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23B" w:rsidRPr="00A8196B" w:rsidP="007A01E7" w14:paraId="55FC88F9" w14:textId="77777777">
      <w:pPr>
        <w:pStyle w:val="Title"/>
      </w:pPr>
      <w:bookmarkStart w:id="0" w:name="_Toc49148152"/>
      <w:r w:rsidRPr="00A8196B">
        <w:t>Supporting Statement for a</w:t>
      </w:r>
      <w:r w:rsidRPr="00A8196B" w:rsidR="009505AD">
        <w:t>n</w:t>
      </w:r>
      <w:r w:rsidRPr="00A8196B">
        <w:t xml:space="preserve"> Information Collection Request (ICR)</w:t>
      </w:r>
    </w:p>
    <w:p w:rsidR="005645B8" w:rsidRPr="00A8196B" w:rsidP="007A01E7" w14:paraId="19900C7F" w14:textId="3D0A7A24">
      <w:pPr>
        <w:pStyle w:val="Title"/>
      </w:pPr>
      <w:r w:rsidRPr="00A8196B">
        <w:t>Under the Paperwork Reduction Act (PRA)</w:t>
      </w:r>
    </w:p>
    <w:p w:rsidR="005645B8" w:rsidRPr="00A8196B" w:rsidP="007A01E7" w14:paraId="0BF5219B" w14:textId="389953C7">
      <w:pPr>
        <w:pStyle w:val="Heading1"/>
      </w:pPr>
      <w:r w:rsidRPr="00A8196B">
        <w:t>EXECUTIVE SUMMARY</w:t>
      </w:r>
      <w:bookmarkEnd w:id="0"/>
    </w:p>
    <w:p w:rsidR="005645B8" w:rsidRPr="00A8196B" w:rsidP="002059F4" w14:paraId="5616E8D6" w14:textId="03BDFD68">
      <w:pPr>
        <w:pStyle w:val="Heading3"/>
        <w:numPr>
          <w:ilvl w:val="0"/>
          <w:numId w:val="0"/>
        </w:numPr>
      </w:pPr>
      <w:bookmarkStart w:id="1" w:name="_Toc49148153"/>
      <w:r w:rsidRPr="00A8196B">
        <w:t>Identification of the Information Collection – Title and Numbers</w:t>
      </w:r>
      <w:bookmarkEnd w:id="1"/>
    </w:p>
    <w:p w:rsidR="0089782B" w:rsidRPr="00A8196B" w:rsidP="009505AD" w14:paraId="1891015E" w14:textId="21A04140">
      <w:pPr>
        <w:pStyle w:val="NoSpacing"/>
        <w:spacing w:after="120"/>
        <w:rPr>
          <w:rFonts w:ascii="Arial" w:hAnsi="Arial" w:cs="Arial"/>
          <w:bCs/>
          <w:sz w:val="24"/>
          <w:szCs w:val="24"/>
        </w:rPr>
      </w:pPr>
      <w:r w:rsidRPr="00A8196B">
        <w:rPr>
          <w:rFonts w:ascii="Arial" w:hAnsi="Arial" w:cs="Arial"/>
          <w:sz w:val="24"/>
          <w:szCs w:val="24"/>
        </w:rPr>
        <w:tab/>
      </w:r>
      <w:r w:rsidRPr="00A8196B" w:rsidR="005645B8">
        <w:rPr>
          <w:rFonts w:ascii="Arial" w:hAnsi="Arial" w:cs="Arial"/>
          <w:b/>
          <w:sz w:val="24"/>
          <w:szCs w:val="24"/>
        </w:rPr>
        <w:t xml:space="preserve">Title: </w:t>
      </w:r>
      <w:r w:rsidRPr="00A8196B" w:rsidR="00EA1876">
        <w:rPr>
          <w:rFonts w:ascii="Arial" w:hAnsi="Arial" w:cs="Arial"/>
          <w:b/>
          <w:sz w:val="24"/>
          <w:szCs w:val="24"/>
        </w:rPr>
        <w:t>TSCA Section 5 Premanufacture Review of New Chemical Substances and Significant New Use Rules for New and Existing Chemical Substances</w:t>
      </w:r>
      <w:r w:rsidR="00F9011F">
        <w:rPr>
          <w:rFonts w:ascii="Arial" w:hAnsi="Arial" w:cs="Arial"/>
          <w:b/>
          <w:sz w:val="24"/>
          <w:szCs w:val="24"/>
        </w:rPr>
        <w:t xml:space="preserve"> (Revision) </w:t>
      </w:r>
    </w:p>
    <w:p w:rsidR="009505AD" w:rsidRPr="00A8196B" w:rsidP="005645B8" w14:paraId="1968D082" w14:textId="7859E549">
      <w:pPr>
        <w:pStyle w:val="NoSpacing"/>
        <w:spacing w:after="120"/>
        <w:rPr>
          <w:rFonts w:ascii="Arial" w:hAnsi="Arial" w:cs="Arial"/>
          <w:sz w:val="24"/>
          <w:szCs w:val="24"/>
        </w:rPr>
      </w:pPr>
      <w:r w:rsidRPr="00A8196B">
        <w:rPr>
          <w:rFonts w:ascii="Arial" w:hAnsi="Arial" w:cs="Arial"/>
          <w:sz w:val="24"/>
          <w:szCs w:val="24"/>
        </w:rPr>
        <w:tab/>
      </w:r>
      <w:r w:rsidRPr="00A8196B">
        <w:rPr>
          <w:rFonts w:ascii="Arial" w:hAnsi="Arial" w:cs="Arial"/>
          <w:b/>
          <w:bCs/>
          <w:sz w:val="24"/>
          <w:szCs w:val="24"/>
        </w:rPr>
        <w:t xml:space="preserve">EPA </w:t>
      </w:r>
      <w:r w:rsidRPr="00A8196B">
        <w:rPr>
          <w:rFonts w:ascii="Arial" w:hAnsi="Arial" w:cs="Arial"/>
          <w:b/>
          <w:bCs/>
          <w:sz w:val="24"/>
          <w:szCs w:val="24"/>
        </w:rPr>
        <w:t>ICR N</w:t>
      </w:r>
      <w:r w:rsidRPr="00A8196B">
        <w:rPr>
          <w:rFonts w:ascii="Arial" w:hAnsi="Arial" w:cs="Arial"/>
          <w:b/>
          <w:bCs/>
          <w:sz w:val="24"/>
          <w:szCs w:val="24"/>
        </w:rPr>
        <w:t>o.</w:t>
      </w:r>
      <w:r w:rsidRPr="00A8196B">
        <w:rPr>
          <w:rFonts w:ascii="Arial" w:hAnsi="Arial" w:cs="Arial"/>
          <w:b/>
          <w:bCs/>
          <w:sz w:val="24"/>
          <w:szCs w:val="24"/>
        </w:rPr>
        <w:t>:</w:t>
      </w:r>
      <w:r w:rsidRPr="00A8196B">
        <w:rPr>
          <w:rFonts w:ascii="Arial" w:hAnsi="Arial" w:cs="Arial"/>
          <w:b/>
          <w:sz w:val="24"/>
          <w:szCs w:val="24"/>
        </w:rPr>
        <w:t xml:space="preserve"> </w:t>
      </w:r>
      <w:r w:rsidRPr="00A8196B" w:rsidR="00BB68C5">
        <w:rPr>
          <w:rFonts w:ascii="Arial" w:hAnsi="Arial" w:cs="Arial"/>
          <w:bCs/>
          <w:sz w:val="24"/>
          <w:szCs w:val="24"/>
        </w:rPr>
        <w:t>1188</w:t>
      </w:r>
      <w:r w:rsidRPr="00A8196B" w:rsidR="00331FCF">
        <w:rPr>
          <w:rFonts w:ascii="Arial" w:hAnsi="Arial" w:cs="Arial"/>
          <w:bCs/>
          <w:sz w:val="24"/>
          <w:szCs w:val="24"/>
        </w:rPr>
        <w:t>.</w:t>
      </w:r>
      <w:r w:rsidRPr="00A8196B" w:rsidR="00BB68C5">
        <w:rPr>
          <w:rFonts w:ascii="Arial" w:hAnsi="Arial" w:cs="Arial"/>
          <w:bCs/>
          <w:sz w:val="24"/>
          <w:szCs w:val="24"/>
        </w:rPr>
        <w:t>1</w:t>
      </w:r>
      <w:r w:rsidR="00F9011F">
        <w:rPr>
          <w:rFonts w:ascii="Arial" w:hAnsi="Arial" w:cs="Arial"/>
          <w:bCs/>
          <w:sz w:val="24"/>
          <w:szCs w:val="24"/>
        </w:rPr>
        <w:t>4</w:t>
      </w:r>
    </w:p>
    <w:p w:rsidR="005645B8" w:rsidRPr="00A8196B" w:rsidP="005645B8" w14:paraId="3EF98889" w14:textId="766B2387">
      <w:pPr>
        <w:pStyle w:val="NoSpacing"/>
        <w:spacing w:after="120"/>
        <w:rPr>
          <w:rFonts w:ascii="Arial" w:hAnsi="Arial" w:cs="Arial"/>
          <w:sz w:val="24"/>
          <w:szCs w:val="24"/>
        </w:rPr>
      </w:pPr>
      <w:r w:rsidRPr="00A8196B">
        <w:rPr>
          <w:rFonts w:ascii="Arial" w:hAnsi="Arial" w:cs="Arial"/>
          <w:sz w:val="24"/>
          <w:szCs w:val="24"/>
        </w:rPr>
        <w:tab/>
      </w:r>
      <w:r w:rsidRPr="00A8196B">
        <w:rPr>
          <w:rFonts w:ascii="Arial" w:hAnsi="Arial" w:cs="Arial"/>
          <w:b/>
          <w:bCs/>
          <w:sz w:val="24"/>
          <w:szCs w:val="24"/>
        </w:rPr>
        <w:t>OMB Control No.:</w:t>
      </w:r>
      <w:r w:rsidRPr="00A8196B">
        <w:rPr>
          <w:rFonts w:ascii="Arial" w:hAnsi="Arial" w:cs="Arial"/>
          <w:sz w:val="24"/>
          <w:szCs w:val="24"/>
        </w:rPr>
        <w:t xml:space="preserve"> </w:t>
      </w:r>
      <w:r w:rsidRPr="00A8196B" w:rsidR="00E3123A">
        <w:rPr>
          <w:rFonts w:ascii="Arial" w:hAnsi="Arial" w:cs="Arial"/>
          <w:sz w:val="24"/>
          <w:szCs w:val="24"/>
        </w:rPr>
        <w:t>2070-</w:t>
      </w:r>
      <w:r w:rsidRPr="00A8196B" w:rsidR="00C02215">
        <w:rPr>
          <w:rFonts w:ascii="Arial" w:hAnsi="Arial" w:cs="Arial"/>
          <w:sz w:val="24"/>
          <w:szCs w:val="24"/>
        </w:rPr>
        <w:t>0038</w:t>
      </w:r>
    </w:p>
    <w:p w:rsidR="005645B8" w:rsidRPr="00A8196B" w:rsidP="005645B8" w14:paraId="05F7B442" w14:textId="632E9212">
      <w:pPr>
        <w:pStyle w:val="NoSpacing"/>
        <w:spacing w:after="120"/>
        <w:rPr>
          <w:rFonts w:ascii="Arial" w:hAnsi="Arial" w:cs="Arial"/>
          <w:sz w:val="24"/>
          <w:szCs w:val="24"/>
        </w:rPr>
      </w:pPr>
      <w:r w:rsidRPr="00A8196B">
        <w:rPr>
          <w:rFonts w:ascii="Arial" w:hAnsi="Arial" w:cs="Arial"/>
          <w:sz w:val="24"/>
          <w:szCs w:val="24"/>
        </w:rPr>
        <w:tab/>
      </w:r>
      <w:r w:rsidRPr="00A8196B">
        <w:rPr>
          <w:rFonts w:ascii="Arial" w:hAnsi="Arial" w:cs="Arial"/>
          <w:b/>
          <w:sz w:val="24"/>
          <w:szCs w:val="24"/>
        </w:rPr>
        <w:t xml:space="preserve">Docket ID No.: </w:t>
      </w:r>
      <w:r w:rsidRPr="00A8196B">
        <w:rPr>
          <w:rFonts w:ascii="Arial" w:hAnsi="Arial" w:cs="Arial"/>
          <w:sz w:val="24"/>
          <w:szCs w:val="24"/>
        </w:rPr>
        <w:t>EPA-HQ-</w:t>
      </w:r>
      <w:r w:rsidRPr="00A8196B" w:rsidR="005B60C2">
        <w:rPr>
          <w:rFonts w:ascii="Arial" w:hAnsi="Arial" w:cs="Arial"/>
          <w:sz w:val="24"/>
          <w:szCs w:val="24"/>
        </w:rPr>
        <w:t>OPPT-20</w:t>
      </w:r>
      <w:r w:rsidRPr="00A8196B" w:rsidR="00093193">
        <w:rPr>
          <w:rFonts w:ascii="Arial" w:hAnsi="Arial" w:cs="Arial"/>
          <w:sz w:val="24"/>
          <w:szCs w:val="24"/>
        </w:rPr>
        <w:t>21-</w:t>
      </w:r>
      <w:r w:rsidRPr="00A8196B" w:rsidR="002B0E49">
        <w:rPr>
          <w:rFonts w:ascii="Arial" w:hAnsi="Arial" w:cs="Arial"/>
          <w:sz w:val="24"/>
          <w:szCs w:val="24"/>
        </w:rPr>
        <w:t>0660</w:t>
      </w:r>
    </w:p>
    <w:p w:rsidR="005645B8" w:rsidRPr="00A8196B" w:rsidP="002059F4" w14:paraId="6A1E128E" w14:textId="3F7F32CE">
      <w:pPr>
        <w:pStyle w:val="Heading3"/>
        <w:numPr>
          <w:ilvl w:val="0"/>
          <w:numId w:val="0"/>
        </w:numPr>
      </w:pPr>
      <w:bookmarkStart w:id="2" w:name="_Toc49148156"/>
      <w:r w:rsidRPr="00A8196B">
        <w:t>Abstract</w:t>
      </w:r>
      <w:bookmarkEnd w:id="2"/>
    </w:p>
    <w:p w:rsidR="008D2210" w:rsidRPr="00A8196B" w:rsidP="008D2210" w14:paraId="49DEADDD" w14:textId="0B2CC86A">
      <w:pPr>
        <w:pStyle w:val="BodyTextFirstIndent"/>
        <w:spacing w:after="200" w:line="276" w:lineRule="auto"/>
      </w:pPr>
      <w:r w:rsidRPr="00A8196B">
        <w:t xml:space="preserve">This </w:t>
      </w:r>
      <w:r>
        <w:t xml:space="preserve">revised </w:t>
      </w:r>
      <w:r w:rsidRPr="00A8196B">
        <w:t xml:space="preserve">information collection request </w:t>
      </w:r>
      <w:r>
        <w:t xml:space="preserve">updates </w:t>
      </w:r>
      <w:r w:rsidRPr="00A8196B">
        <w:t xml:space="preserve">addresses the reporting and recordkeeping requirements associated with </w:t>
      </w:r>
      <w:r w:rsidRPr="00760869">
        <w:t xml:space="preserve">the proposed rule to update the new chemicals procedural regulations at 40 CFR Parts 720, 721, 723, and 725 under the Toxic Substances Control Act (TSCA). The amendments included under this </w:t>
      </w:r>
      <w:r>
        <w:t>new chemicals procedural rule</w:t>
      </w:r>
      <w:r w:rsidRPr="00760869">
        <w:t xml:space="preserve"> cover several goals, including in part to align the regulatory text with the amendments to TSCA’s new chemical review</w:t>
      </w:r>
      <w:r>
        <w:t xml:space="preserve"> provisions</w:t>
      </w:r>
      <w:r w:rsidRPr="00760869">
        <w:t xml:space="preserve"> contained in the Frank R. Lautenberg Chemical Safety for the 21st Century Act, enacted on June 22, 2016</w:t>
      </w:r>
      <w:r>
        <w:t xml:space="preserve"> </w:t>
      </w:r>
      <w:r w:rsidRPr="00760869">
        <w:t>(15 U.S.C. 2604); increase the quality of information initially submitted in new chemicals notices, to reduce the need to update risk assessments if new information is received later in the process, and, ultimately, to reduce the length of time that new chemicals are under review for notices submitted under TSCA section 5(a)(1); and to update the regulations for low volume exemptions (LVEs) and low release and exposure exemptions (LoREXs) to make perfluoroalkyl and polyfluoroalkyl substances (PFAS) ineligible for these exemptions</w:t>
      </w:r>
      <w:r>
        <w:t xml:space="preserve"> and to</w:t>
      </w:r>
      <w:r w:rsidRPr="00C33C1D">
        <w:rPr>
          <w:rFonts w:cs="Arial"/>
        </w:rPr>
        <w:t xml:space="preserve"> codify the ineligibility for </w:t>
      </w:r>
      <w:r>
        <w:rPr>
          <w:rFonts w:cs="Arial"/>
        </w:rPr>
        <w:t xml:space="preserve">these </w:t>
      </w:r>
      <w:r w:rsidRPr="00C33C1D">
        <w:rPr>
          <w:rFonts w:cs="Arial"/>
        </w:rPr>
        <w:t xml:space="preserve">exemptions of </w:t>
      </w:r>
      <w:r>
        <w:rPr>
          <w:rFonts w:cs="Arial"/>
        </w:rPr>
        <w:t xml:space="preserve">certain </w:t>
      </w:r>
      <w:r>
        <w:t>persistent, bioaccumulative, and toxic (</w:t>
      </w:r>
      <w:r w:rsidRPr="00C33C1D">
        <w:rPr>
          <w:rFonts w:cs="Arial"/>
        </w:rPr>
        <w:t>PBT</w:t>
      </w:r>
      <w:r>
        <w:rPr>
          <w:rFonts w:cs="Arial"/>
        </w:rPr>
        <w:t>) chemical substance</w:t>
      </w:r>
      <w:r w:rsidRPr="00C33C1D">
        <w:rPr>
          <w:rFonts w:cs="Arial"/>
        </w:rPr>
        <w:t>s as described in EPA’s 1999 PBT policy</w:t>
      </w:r>
      <w:r w:rsidRPr="00760869">
        <w:t xml:space="preserve">. </w:t>
      </w:r>
    </w:p>
    <w:p w:rsidR="008D2210" w:rsidP="008D2210" w14:paraId="44D0E28F" w14:textId="77777777">
      <w:r>
        <w:t>The proposed new chemical procedural rule affects firms that intend to manufacture (including import) or process a chemical substance and are required to submit information to EPA under TSCA section 5. This includes firms reporting intended manufacture of a new chemical substance or intended manufacture or processing of a chemical substance for a significant new use to EPA using the Premanufacture Notice (PMN) form (EPA Form 7710-25) including PMNs, Significant New Use Notifications (SNUNs), LVEs, LoREXs, and Test-Marketing Exemptions (TMEs). The proposed new chemicals procedural rule is expected primarily to affect two types of firms:</w:t>
      </w:r>
    </w:p>
    <w:p w:rsidR="008D2210" w:rsidP="008D2210" w14:paraId="1C9065C3" w14:textId="77777777">
      <w:pPr>
        <w:pStyle w:val="ListParagraph"/>
        <w:numPr>
          <w:ilvl w:val="0"/>
          <w:numId w:val="29"/>
        </w:numPr>
      </w:pPr>
      <w:r>
        <w:t xml:space="preserve">Manufacturers of PFAS who would have submitted an LVE or LoREX in the baseline but would need to submit a PMN under the proposed rule due to the proposed amendment to make PFAS ineligible for the exemptions. </w:t>
      </w:r>
    </w:p>
    <w:p w:rsidR="008D2210" w:rsidP="008D2210" w14:paraId="6A9CAD33" w14:textId="77777777">
      <w:pPr>
        <w:pStyle w:val="ListParagraph"/>
        <w:numPr>
          <w:ilvl w:val="0"/>
          <w:numId w:val="29"/>
        </w:numPr>
      </w:pPr>
      <w:r>
        <w:t>Firms submitting any TSCA section 5 notices through the PMN form (PMNs, SNUNs, LVEs, LoREXs, TMEs) that are expected to submit fewer amendments to their original submissions due to the amended procedural requirements of the proposed rule.</w:t>
      </w:r>
    </w:p>
    <w:p w:rsidR="008D2210" w:rsidRPr="00A8196B" w:rsidP="008D2210" w14:paraId="17AD62AF" w14:textId="77777777">
      <w:r>
        <w:t>While this proposed rule includes additional amendments to the new chemicals regulations under TSCA, EPA expects that these additional amendments will not result in incremental burden or savings because they are largely already performed in the baseline.</w:t>
      </w:r>
    </w:p>
    <w:p w:rsidR="008D2210" w:rsidRPr="00A8196B" w:rsidP="008D2210" w14:paraId="71AF8F4A" w14:textId="5D0B8058">
      <w:pPr>
        <w:pStyle w:val="CommentText"/>
        <w:spacing w:line="276" w:lineRule="auto"/>
        <w:rPr>
          <w:sz w:val="24"/>
          <w:szCs w:val="24"/>
        </w:rPr>
      </w:pPr>
      <w:r w:rsidRPr="00A8196B">
        <w:rPr>
          <w:sz w:val="24"/>
          <w:szCs w:val="24"/>
        </w:rPr>
        <w:t xml:space="preserve">This ICR </w:t>
      </w:r>
      <w:r>
        <w:rPr>
          <w:sz w:val="24"/>
          <w:szCs w:val="24"/>
        </w:rPr>
        <w:t xml:space="preserve">revision </w:t>
      </w:r>
      <w:r w:rsidRPr="00A8196B">
        <w:rPr>
          <w:sz w:val="24"/>
          <w:szCs w:val="24"/>
        </w:rPr>
        <w:t xml:space="preserve">covers the information collection activities associated with new chemical </w:t>
      </w:r>
      <w:r>
        <w:rPr>
          <w:sz w:val="24"/>
          <w:szCs w:val="24"/>
        </w:rPr>
        <w:t>notices under</w:t>
      </w:r>
      <w:r w:rsidRPr="00A8196B">
        <w:rPr>
          <w:sz w:val="24"/>
          <w:szCs w:val="24"/>
        </w:rPr>
        <w:t xml:space="preserve"> TSCA. The information for required notifications includes chemical identity, use and exposure information, test information and descriptions of other information related to the effects on health and the environment relating to the manufacture, processing, distribution in commerce, use and disposal of the new chemical or the significant new use of the existing chemical substance. </w:t>
      </w:r>
      <w:r>
        <w:rPr>
          <w:sz w:val="24"/>
          <w:szCs w:val="24"/>
        </w:rPr>
        <w:t>EPA’s new chemicals procedural rule</w:t>
      </w:r>
      <w:r w:rsidRPr="0035144B">
        <w:rPr>
          <w:sz w:val="24"/>
          <w:szCs w:val="24"/>
        </w:rPr>
        <w:t xml:space="preserve"> is proposing to clarify the level of detail that a submitter is required to include in a PMN, SNUN, or exemption notice in order for the notice to be considered complete.</w:t>
      </w:r>
    </w:p>
    <w:p w:rsidR="008D2210" w:rsidRPr="00A8196B" w:rsidP="008D2210" w14:paraId="7719012A" w14:textId="77777777">
      <w:pPr>
        <w:pStyle w:val="BodyTextFirstIndent"/>
        <w:spacing w:after="200" w:line="276" w:lineRule="auto"/>
      </w:pPr>
      <w:r w:rsidRPr="00A8196B">
        <w:t>TSCA section 5 requires that any person who proposes to manufacture (which includes import) a “new chemical</w:t>
      </w:r>
      <w:r>
        <w:t xml:space="preserve"> substance</w:t>
      </w:r>
      <w:r w:rsidRPr="00A8196B">
        <w:t xml:space="preserve">” (i.e., a chemical not listed on the TSCA section 8(b) Inventory) must provide a premanufacture notice (PMN) to EPA at least 90 days prior to commencing manufacture of that chemical and that EPA review such notice and take action as appropriate. </w:t>
      </w:r>
      <w:r>
        <w:t>Under TSCA, the term “chemical substance” includes microorganisms</w:t>
      </w:r>
      <w:r w:rsidRPr="00A8196B">
        <w:t>; the 90-day notice for microorganisms is a Microbial Commercial Activity Notice (MCAN).</w:t>
      </w:r>
    </w:p>
    <w:p w:rsidR="008D2210" w:rsidRPr="00A8196B" w:rsidP="008D2210" w14:paraId="154EAF0F" w14:textId="77777777">
      <w:pPr>
        <w:pStyle w:val="BodyTextFirstIndent"/>
        <w:spacing w:after="200" w:line="276" w:lineRule="auto"/>
      </w:pPr>
      <w:r w:rsidRPr="00A8196B">
        <w:t xml:space="preserve">Under TSCA section 5, EPA is authorized to determine that a use of a chemical substance is a significant new use and promulgate a significant new use rule (SNUR). In certain instances, persons may opt to pursue that significant new use, in which case they must submit a notice and undergo a review. For such circumstances, TSCA section 5 requires a significant new use notice (SNUN) from any person who proposes to manufacture or process a chemical for a use that is determined by EPA to be a “significant new use.” </w:t>
      </w:r>
    </w:p>
    <w:p w:rsidR="008D2210" w:rsidRPr="00A8196B" w:rsidP="008D2210" w14:paraId="069E7D3D" w14:textId="77777777">
      <w:pPr>
        <w:pStyle w:val="BodyTextFirstIndent"/>
        <w:spacing w:after="200" w:line="276" w:lineRule="auto"/>
      </w:pPr>
      <w:r w:rsidRPr="00A8196B">
        <w:t xml:space="preserve">TSCA section 5 requires EPA to make one of five possible determinations before the conclusion of its review of the submitted notices regarding risk to human health and the environment from the manufacture, processing, distribution in commerce, use and/or disposal of new chemical substances or significant new uses. EPA’s determination on a </w:t>
      </w:r>
      <w:r>
        <w:t xml:space="preserve">new </w:t>
      </w:r>
      <w:r w:rsidRPr="00A8196B">
        <w:t xml:space="preserve">chemical substance or new use will dictate how and to what extent the chemical’s manufacture, processing, distribution, use, and/or disposal may be restricted. If EPA fails to make a timely determination, fees may be refunded; however, nothing relieves EPA of its obligation to make a determination. EPA requires that the submitter of a PMN </w:t>
      </w:r>
      <w:r w:rsidRPr="00A8196B">
        <w:t>or MCAN inform EPA when non-exempt commercial manufacture of the substance in question actually begins by submitting a Notice of Commencement; EPA would then add the new chemical substance to the TSCA section 8(b) Inventory.</w:t>
      </w:r>
    </w:p>
    <w:p w:rsidR="008D2210" w:rsidRPr="00A8196B" w:rsidP="008D2210" w14:paraId="093735C6" w14:textId="77777777">
      <w:r w:rsidRPr="00A8196B">
        <w:t>Persons who intend to export a substance identified in a proposed or final SNUR are subject to the export notification provisions of TSCA section 12(b), and regulations that interpret TSCA section 12(b) appear at 40 CFR part 707 and the associated paperwork activities and burdens are approved under OMB Control No. 2070-0030, ICR entitled “Notification of Chemical Exports - TSCA Section 12(b),” identified by EPA ICR No. 0795.16.</w:t>
      </w:r>
    </w:p>
    <w:p w:rsidR="00A7023B" w:rsidP="00603585" w14:paraId="5AF180F2" w14:textId="1D47A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 xml:space="preserve">Existing chemicals are chemicals that are already listed on the TSCA Inventory and therefore “existing chemical SNURs” are generally written to require notice </w:t>
      </w:r>
      <w:r w:rsidRPr="00A8196B" w:rsidR="00F175AA">
        <w:t xml:space="preserve">for significant new uses </w:t>
      </w:r>
      <w:r w:rsidRPr="00A8196B" w:rsidR="00916F7A">
        <w:t>of</w:t>
      </w:r>
      <w:r w:rsidRPr="00A8196B" w:rsidR="00F175AA">
        <w:t xml:space="preserve"> chemicals that are already in commerce.</w:t>
      </w:r>
    </w:p>
    <w:p w:rsidR="008D2210" w:rsidP="008D2210" w14:paraId="60782E17" w14:textId="3C514598">
      <w:pPr>
        <w:pStyle w:val="Caption"/>
      </w:pPr>
      <w:r>
        <w:t xml:space="preserve">Summary Total </w:t>
      </w:r>
      <w:r w:rsidR="00DF2553">
        <w:t xml:space="preserve">Respondent </w:t>
      </w:r>
      <w:r>
        <w:t xml:space="preserve">Burden </w:t>
      </w:r>
      <w:r w:rsidR="006B72D6">
        <w:t xml:space="preserve">&amp; </w:t>
      </w:r>
      <w:r>
        <w:t>Cost Revisions</w:t>
      </w:r>
    </w:p>
    <w:tbl>
      <w:tblPr>
        <w:tblW w:w="874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565"/>
        <w:gridCol w:w="1179"/>
        <w:gridCol w:w="1080"/>
        <w:gridCol w:w="1655"/>
        <w:gridCol w:w="1364"/>
      </w:tblGrid>
      <w:tr w14:paraId="1D2614C8" w14:textId="77777777" w:rsidTr="005A27CE">
        <w:tblPrEx>
          <w:tblW w:w="874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trPr>
        <w:tc>
          <w:tcPr>
            <w:tcW w:w="0" w:type="auto"/>
            <w:shd w:val="clear" w:color="000000" w:fill="48A9C5"/>
            <w:vAlign w:val="center"/>
            <w:hideMark/>
          </w:tcPr>
          <w:p w:rsidR="00417DFC" w:rsidRPr="004F3054" w:rsidP="00496826" w14:paraId="5E2AEB9F" w14:textId="14E7B9C7">
            <w:pPr>
              <w:keepNext/>
              <w:spacing w:after="0"/>
              <w:jc w:val="center"/>
              <w:rPr>
                <w:rFonts w:ascii="Arial Narrow" w:hAnsi="Arial Narrow" w:cs="Calibri"/>
                <w:b/>
                <w:bCs/>
                <w:color w:val="FFFFFF"/>
                <w:sz w:val="20"/>
              </w:rPr>
            </w:pPr>
            <w:r>
              <w:rPr>
                <w:rFonts w:ascii="Arial Narrow" w:hAnsi="Arial Narrow" w:cs="Calibri"/>
                <w:b/>
                <w:bCs/>
                <w:color w:val="FFFFFF"/>
                <w:sz w:val="20"/>
              </w:rPr>
              <w:t>Information Collection (IC) Activities</w:t>
            </w:r>
            <w:r w:rsidR="001D1DC2">
              <w:rPr>
                <w:rFonts w:ascii="Arial Narrow" w:hAnsi="Arial Narrow" w:cs="Calibri"/>
                <w:b/>
                <w:bCs/>
                <w:color w:val="FFFFFF"/>
                <w:sz w:val="20"/>
              </w:rPr>
              <w:t xml:space="preserve"> with Change</w:t>
            </w:r>
          </w:p>
        </w:tc>
        <w:tc>
          <w:tcPr>
            <w:tcW w:w="0" w:type="auto"/>
            <w:shd w:val="clear" w:color="000000" w:fill="48A9C5"/>
            <w:vAlign w:val="center"/>
            <w:hideMark/>
          </w:tcPr>
          <w:p w:rsidR="00417DFC" w:rsidRPr="004F3054" w:rsidP="00496826" w14:paraId="2F9E118C" w14:textId="54F5BC41">
            <w:pPr>
              <w:keepNext/>
              <w:spacing w:after="0"/>
              <w:jc w:val="center"/>
              <w:rPr>
                <w:rFonts w:ascii="Arial Narrow" w:hAnsi="Arial Narrow" w:cs="Calibri"/>
                <w:b/>
                <w:bCs/>
                <w:color w:val="FFFFFF"/>
              </w:rPr>
            </w:pPr>
            <w:r>
              <w:rPr>
                <w:rFonts w:ascii="Arial Narrow" w:hAnsi="Arial Narrow" w:cs="Calibri"/>
                <w:b/>
                <w:bCs/>
                <w:color w:val="FFFFFF"/>
              </w:rPr>
              <w:t xml:space="preserve">Change in </w:t>
            </w:r>
            <w:r w:rsidR="004B42E4">
              <w:rPr>
                <w:rFonts w:ascii="Arial Narrow" w:hAnsi="Arial Narrow" w:cs="Calibri"/>
                <w:b/>
                <w:bCs/>
                <w:color w:val="FFFFFF"/>
              </w:rPr>
              <w:t xml:space="preserve">Annual Number </w:t>
            </w:r>
            <w:r w:rsidRPr="004F3054">
              <w:rPr>
                <w:rFonts w:ascii="Arial Narrow" w:hAnsi="Arial Narrow" w:cs="Calibri"/>
                <w:b/>
                <w:bCs/>
                <w:color w:val="FFFFFF"/>
              </w:rPr>
              <w:t>of Notices</w:t>
            </w:r>
          </w:p>
        </w:tc>
        <w:tc>
          <w:tcPr>
            <w:tcW w:w="1179" w:type="dxa"/>
            <w:shd w:val="clear" w:color="000000" w:fill="48A9C5"/>
            <w:vAlign w:val="center"/>
          </w:tcPr>
          <w:p w:rsidR="00417DFC" w:rsidP="00496826" w14:paraId="3955B8F7" w14:textId="114CAA59">
            <w:pPr>
              <w:keepNext/>
              <w:spacing w:after="0"/>
              <w:jc w:val="center"/>
              <w:rPr>
                <w:rFonts w:ascii="Arial Narrow" w:hAnsi="Arial Narrow" w:cs="Calibri"/>
                <w:b/>
                <w:bCs/>
                <w:color w:val="FFFFFF"/>
              </w:rPr>
            </w:pPr>
            <w:r w:rsidRPr="004F3054">
              <w:rPr>
                <w:rFonts w:ascii="Arial Narrow" w:hAnsi="Arial Narrow" w:cs="Calibri"/>
                <w:b/>
                <w:bCs/>
                <w:color w:val="FFFFFF"/>
              </w:rPr>
              <w:t>Change in Burden (hours)</w:t>
            </w:r>
          </w:p>
        </w:tc>
        <w:tc>
          <w:tcPr>
            <w:tcW w:w="1080" w:type="dxa"/>
            <w:shd w:val="clear" w:color="000000" w:fill="48A9C5"/>
            <w:vAlign w:val="center"/>
          </w:tcPr>
          <w:p w:rsidR="00417DFC" w:rsidP="00496826" w14:paraId="2838FC6D" w14:textId="621603C3">
            <w:pPr>
              <w:keepNext/>
              <w:spacing w:after="0"/>
              <w:jc w:val="center"/>
              <w:rPr>
                <w:rFonts w:ascii="Arial Narrow" w:hAnsi="Arial Narrow" w:cs="Calibri"/>
                <w:b/>
                <w:bCs/>
                <w:color w:val="FFFFFF"/>
              </w:rPr>
            </w:pPr>
            <w:r>
              <w:rPr>
                <w:rFonts w:ascii="Arial Narrow" w:hAnsi="Arial Narrow" w:cs="Calibri"/>
                <w:b/>
                <w:bCs/>
                <w:color w:val="FFFFFF"/>
              </w:rPr>
              <w:t>Annual Burden Hours</w:t>
            </w:r>
          </w:p>
        </w:tc>
        <w:tc>
          <w:tcPr>
            <w:tcW w:w="1655" w:type="dxa"/>
            <w:shd w:val="clear" w:color="000000" w:fill="48A9C5"/>
            <w:vAlign w:val="center"/>
          </w:tcPr>
          <w:p w:rsidR="00417DFC" w:rsidRPr="004F3054" w:rsidP="00496826" w14:paraId="74CA0F23" w14:textId="32C3D05C">
            <w:pPr>
              <w:keepNext/>
              <w:spacing w:after="0"/>
              <w:jc w:val="center"/>
              <w:rPr>
                <w:rFonts w:ascii="Arial Narrow" w:hAnsi="Arial Narrow" w:cs="Calibri"/>
                <w:b/>
                <w:bCs/>
                <w:color w:val="FFFFFF"/>
              </w:rPr>
            </w:pPr>
            <w:r w:rsidRPr="004F3054">
              <w:rPr>
                <w:rFonts w:ascii="Arial Narrow" w:hAnsi="Arial Narrow" w:cs="Calibri"/>
                <w:b/>
                <w:bCs/>
                <w:color w:val="FFFFFF"/>
              </w:rPr>
              <w:t>Change in Cost (2021$)</w:t>
            </w:r>
          </w:p>
          <w:p w:rsidR="00417DFC" w:rsidP="00496826" w14:paraId="24E3B8A4" w14:textId="77777777">
            <w:pPr>
              <w:keepNext/>
              <w:spacing w:after="0"/>
              <w:jc w:val="center"/>
              <w:rPr>
                <w:rFonts w:ascii="Arial Narrow" w:hAnsi="Arial Narrow" w:cs="Calibri"/>
                <w:b/>
                <w:bCs/>
                <w:color w:val="FFFFFF"/>
              </w:rPr>
            </w:pPr>
          </w:p>
        </w:tc>
        <w:tc>
          <w:tcPr>
            <w:tcW w:w="0" w:type="auto"/>
            <w:shd w:val="clear" w:color="000000" w:fill="48A9C5"/>
            <w:vAlign w:val="center"/>
          </w:tcPr>
          <w:p w:rsidR="00417DFC" w:rsidP="00496826" w14:paraId="32ADD63E" w14:textId="7243EB9E">
            <w:pPr>
              <w:keepNext/>
              <w:spacing w:after="0"/>
              <w:jc w:val="center"/>
              <w:rPr>
                <w:rFonts w:ascii="Arial Narrow" w:hAnsi="Arial Narrow" w:cs="Calibri"/>
                <w:b/>
                <w:bCs/>
                <w:color w:val="FFFFFF"/>
              </w:rPr>
            </w:pPr>
            <w:r>
              <w:rPr>
                <w:rFonts w:ascii="Arial Narrow" w:hAnsi="Arial Narrow" w:cs="Calibri"/>
                <w:b/>
                <w:bCs/>
                <w:color w:val="FFFFFF"/>
              </w:rPr>
              <w:t>Annual Costs</w:t>
            </w:r>
          </w:p>
        </w:tc>
      </w:tr>
      <w:tr w14:paraId="4C8EA33F" w14:textId="77777777" w:rsidTr="005A27CE">
        <w:tblPrEx>
          <w:tblW w:w="8743" w:type="dxa"/>
          <w:tblInd w:w="607" w:type="dxa"/>
          <w:tblLook w:val="04A0"/>
        </w:tblPrEx>
        <w:trPr>
          <w:trHeight w:val="306"/>
        </w:trPr>
        <w:tc>
          <w:tcPr>
            <w:tcW w:w="0" w:type="auto"/>
            <w:shd w:val="clear" w:color="auto" w:fill="auto"/>
            <w:hideMark/>
          </w:tcPr>
          <w:p w:rsidR="00417DFC" w:rsidRPr="004F3054" w:rsidP="005A27CE" w14:paraId="58F7F766" w14:textId="77777777">
            <w:pPr>
              <w:keepNext/>
              <w:spacing w:after="0"/>
              <w:jc w:val="right"/>
              <w:rPr>
                <w:color w:val="000000"/>
                <w:sz w:val="20"/>
              </w:rPr>
            </w:pPr>
            <w:r w:rsidRPr="004F3054">
              <w:rPr>
                <w:color w:val="000000"/>
                <w:sz w:val="20"/>
              </w:rPr>
              <w:t>PMN</w:t>
            </w:r>
          </w:p>
        </w:tc>
        <w:tc>
          <w:tcPr>
            <w:tcW w:w="0" w:type="auto"/>
            <w:shd w:val="clear" w:color="auto" w:fill="auto"/>
            <w:noWrap/>
            <w:hideMark/>
          </w:tcPr>
          <w:p w:rsidR="00417DFC" w:rsidRPr="005A27CE" w:rsidP="00496826" w14:paraId="3BDAED7B" w14:textId="6E98962C">
            <w:pPr>
              <w:keepNext/>
              <w:spacing w:after="0"/>
              <w:jc w:val="right"/>
              <w:rPr>
                <w:color w:val="000000"/>
                <w:sz w:val="20"/>
              </w:rPr>
            </w:pPr>
            <w:r w:rsidRPr="005A27CE">
              <w:rPr>
                <w:color w:val="000000"/>
                <w:sz w:val="20"/>
              </w:rPr>
              <w:t>12</w:t>
            </w:r>
          </w:p>
        </w:tc>
        <w:tc>
          <w:tcPr>
            <w:tcW w:w="1179" w:type="dxa"/>
          </w:tcPr>
          <w:p w:rsidR="00417DFC" w:rsidRPr="00283D7F" w:rsidP="00496826" w14:paraId="6F061517" w14:textId="5256E225">
            <w:pPr>
              <w:keepNext/>
              <w:spacing w:after="0"/>
              <w:jc w:val="right"/>
              <w:rPr>
                <w:color w:val="000000"/>
                <w:sz w:val="20"/>
              </w:rPr>
            </w:pPr>
            <w:r>
              <w:rPr>
                <w:color w:val="000000"/>
                <w:sz w:val="20"/>
              </w:rPr>
              <w:t>(</w:t>
            </w:r>
            <w:r w:rsidRPr="00283D7F">
              <w:rPr>
                <w:color w:val="000000"/>
                <w:sz w:val="20"/>
              </w:rPr>
              <w:t>3,642</w:t>
            </w:r>
            <w:r>
              <w:rPr>
                <w:color w:val="000000"/>
                <w:sz w:val="20"/>
              </w:rPr>
              <w:t>)</w:t>
            </w:r>
          </w:p>
        </w:tc>
        <w:tc>
          <w:tcPr>
            <w:tcW w:w="1080" w:type="dxa"/>
          </w:tcPr>
          <w:p w:rsidR="00417DFC" w:rsidRPr="00283D7F" w:rsidP="00496826" w14:paraId="3856446C" w14:textId="43D6014E">
            <w:pPr>
              <w:keepNext/>
              <w:spacing w:after="0"/>
              <w:jc w:val="right"/>
              <w:rPr>
                <w:color w:val="000000"/>
                <w:sz w:val="20"/>
              </w:rPr>
            </w:pPr>
            <w:r w:rsidRPr="00283D7F">
              <w:rPr>
                <w:color w:val="000000"/>
                <w:sz w:val="20"/>
              </w:rPr>
              <w:t>72,394</w:t>
            </w:r>
          </w:p>
        </w:tc>
        <w:tc>
          <w:tcPr>
            <w:tcW w:w="1655" w:type="dxa"/>
          </w:tcPr>
          <w:p w:rsidR="00417DFC" w:rsidRPr="00283D7F" w:rsidP="00496826" w14:paraId="387221B7" w14:textId="7C03E350">
            <w:pPr>
              <w:keepNext/>
              <w:spacing w:after="0"/>
              <w:jc w:val="right"/>
              <w:rPr>
                <w:color w:val="000000"/>
                <w:sz w:val="20"/>
              </w:rPr>
            </w:pPr>
            <w:r>
              <w:rPr>
                <w:sz w:val="20"/>
              </w:rPr>
              <w:t>2,564,240</w:t>
            </w:r>
          </w:p>
        </w:tc>
        <w:tc>
          <w:tcPr>
            <w:tcW w:w="0" w:type="auto"/>
          </w:tcPr>
          <w:p w:rsidR="00417DFC" w:rsidRPr="00283D7F" w:rsidP="00496826" w14:paraId="48191431" w14:textId="32B2FCB8">
            <w:pPr>
              <w:keepNext/>
              <w:spacing w:after="0"/>
              <w:jc w:val="right"/>
              <w:rPr>
                <w:color w:val="000000"/>
                <w:sz w:val="20"/>
              </w:rPr>
            </w:pPr>
            <w:r>
              <w:rPr>
                <w:color w:val="000000"/>
                <w:sz w:val="20"/>
              </w:rPr>
              <w:t>$23,187,234</w:t>
            </w:r>
          </w:p>
        </w:tc>
      </w:tr>
      <w:tr w14:paraId="69013F64" w14:textId="77777777" w:rsidTr="005A27CE">
        <w:tblPrEx>
          <w:tblW w:w="8743" w:type="dxa"/>
          <w:tblInd w:w="607" w:type="dxa"/>
          <w:tblLook w:val="04A0"/>
        </w:tblPrEx>
        <w:trPr>
          <w:trHeight w:val="306"/>
        </w:trPr>
        <w:tc>
          <w:tcPr>
            <w:tcW w:w="0" w:type="auto"/>
            <w:shd w:val="clear" w:color="auto" w:fill="auto"/>
            <w:hideMark/>
          </w:tcPr>
          <w:p w:rsidR="00417DFC" w:rsidRPr="004F3054" w:rsidP="005A27CE" w14:paraId="17199669" w14:textId="77777777">
            <w:pPr>
              <w:keepNext/>
              <w:spacing w:after="0"/>
              <w:jc w:val="right"/>
              <w:rPr>
                <w:color w:val="000000"/>
                <w:sz w:val="20"/>
              </w:rPr>
            </w:pPr>
            <w:r w:rsidRPr="004F3054">
              <w:rPr>
                <w:color w:val="000000"/>
                <w:sz w:val="20"/>
              </w:rPr>
              <w:t>SNUN</w:t>
            </w:r>
          </w:p>
        </w:tc>
        <w:tc>
          <w:tcPr>
            <w:tcW w:w="0" w:type="auto"/>
            <w:shd w:val="clear" w:color="auto" w:fill="auto"/>
            <w:noWrap/>
            <w:hideMark/>
          </w:tcPr>
          <w:p w:rsidR="00417DFC" w:rsidRPr="004F3054" w:rsidP="00496826" w14:paraId="4BABEA8C" w14:textId="72433581">
            <w:pPr>
              <w:keepNext/>
              <w:spacing w:after="0"/>
              <w:jc w:val="right"/>
              <w:rPr>
                <w:color w:val="000000"/>
                <w:sz w:val="20"/>
              </w:rPr>
            </w:pPr>
            <w:r>
              <w:rPr>
                <w:color w:val="000000"/>
                <w:sz w:val="20"/>
              </w:rPr>
              <w:t>0</w:t>
            </w:r>
          </w:p>
        </w:tc>
        <w:tc>
          <w:tcPr>
            <w:tcW w:w="1179" w:type="dxa"/>
          </w:tcPr>
          <w:p w:rsidR="00417DFC" w:rsidP="00496826" w14:paraId="7F74DCAC" w14:textId="1BAA4849">
            <w:pPr>
              <w:keepNext/>
              <w:spacing w:after="0"/>
              <w:jc w:val="right"/>
              <w:rPr>
                <w:color w:val="000000"/>
                <w:sz w:val="20"/>
              </w:rPr>
            </w:pPr>
            <w:r>
              <w:rPr>
                <w:color w:val="000000"/>
                <w:sz w:val="20"/>
              </w:rPr>
              <w:t>(</w:t>
            </w:r>
            <w:r>
              <w:rPr>
                <w:color w:val="000000"/>
                <w:sz w:val="20"/>
              </w:rPr>
              <w:t>97</w:t>
            </w:r>
            <w:r>
              <w:rPr>
                <w:color w:val="000000"/>
                <w:sz w:val="20"/>
              </w:rPr>
              <w:t>)</w:t>
            </w:r>
          </w:p>
        </w:tc>
        <w:tc>
          <w:tcPr>
            <w:tcW w:w="1080" w:type="dxa"/>
          </w:tcPr>
          <w:p w:rsidR="00417DFC" w:rsidP="00496826" w14:paraId="5643E144" w14:textId="03FCF63D">
            <w:pPr>
              <w:keepNext/>
              <w:spacing w:after="0"/>
              <w:jc w:val="right"/>
              <w:rPr>
                <w:color w:val="000000"/>
                <w:sz w:val="20"/>
              </w:rPr>
            </w:pPr>
            <w:r>
              <w:rPr>
                <w:color w:val="000000"/>
                <w:sz w:val="20"/>
              </w:rPr>
              <w:t>1,421</w:t>
            </w:r>
          </w:p>
        </w:tc>
        <w:tc>
          <w:tcPr>
            <w:tcW w:w="1655" w:type="dxa"/>
          </w:tcPr>
          <w:p w:rsidR="00417DFC" w:rsidP="00496826" w14:paraId="03D1A91C" w14:textId="0760771E">
            <w:pPr>
              <w:keepNext/>
              <w:spacing w:after="0"/>
              <w:jc w:val="right"/>
              <w:rPr>
                <w:color w:val="000000"/>
                <w:sz w:val="20"/>
              </w:rPr>
            </w:pPr>
            <w:r>
              <w:rPr>
                <w:sz w:val="20"/>
              </w:rPr>
              <w:t>($</w:t>
            </w:r>
            <w:r>
              <w:rPr>
                <w:sz w:val="20"/>
              </w:rPr>
              <w:t xml:space="preserve"> 206,451</w:t>
            </w:r>
            <w:r>
              <w:rPr>
                <w:sz w:val="20"/>
              </w:rPr>
              <w:t>)</w:t>
            </w:r>
          </w:p>
        </w:tc>
        <w:tc>
          <w:tcPr>
            <w:tcW w:w="0" w:type="auto"/>
          </w:tcPr>
          <w:p w:rsidR="00417DFC" w:rsidP="00496826" w14:paraId="1A2A05E4" w14:textId="1795DD1D">
            <w:pPr>
              <w:keepNext/>
              <w:spacing w:after="0"/>
              <w:jc w:val="right"/>
              <w:rPr>
                <w:color w:val="000000"/>
                <w:sz w:val="20"/>
              </w:rPr>
            </w:pPr>
            <w:r>
              <w:rPr>
                <w:color w:val="000000"/>
                <w:sz w:val="20"/>
              </w:rPr>
              <w:t>$568,113</w:t>
            </w:r>
          </w:p>
        </w:tc>
      </w:tr>
      <w:tr w14:paraId="7A58D978" w14:textId="77777777" w:rsidTr="005A27CE">
        <w:tblPrEx>
          <w:tblW w:w="8743" w:type="dxa"/>
          <w:tblInd w:w="607" w:type="dxa"/>
          <w:tblLook w:val="04A0"/>
        </w:tblPrEx>
        <w:trPr>
          <w:trHeight w:val="306"/>
        </w:trPr>
        <w:tc>
          <w:tcPr>
            <w:tcW w:w="0" w:type="auto"/>
            <w:shd w:val="clear" w:color="auto" w:fill="auto"/>
            <w:noWrap/>
            <w:hideMark/>
          </w:tcPr>
          <w:p w:rsidR="00417DFC" w:rsidRPr="004F3054" w:rsidP="005A27CE" w14:paraId="6FE9C860" w14:textId="0F733ED9">
            <w:pPr>
              <w:keepNext/>
              <w:spacing w:after="0"/>
              <w:jc w:val="right"/>
              <w:rPr>
                <w:color w:val="000000"/>
                <w:sz w:val="20"/>
              </w:rPr>
            </w:pPr>
            <w:r w:rsidRPr="004F3054">
              <w:rPr>
                <w:color w:val="000000"/>
                <w:sz w:val="20"/>
              </w:rPr>
              <w:t>LVE/LoREX</w:t>
            </w:r>
          </w:p>
        </w:tc>
        <w:tc>
          <w:tcPr>
            <w:tcW w:w="0" w:type="auto"/>
            <w:shd w:val="clear" w:color="auto" w:fill="auto"/>
            <w:noWrap/>
          </w:tcPr>
          <w:p w:rsidR="00417DFC" w:rsidRPr="004F3054" w:rsidP="00496826" w14:paraId="76B8FE09" w14:textId="6B5052D6">
            <w:pPr>
              <w:keepNext/>
              <w:spacing w:after="0"/>
              <w:jc w:val="right"/>
              <w:rPr>
                <w:color w:val="000000"/>
                <w:sz w:val="20"/>
              </w:rPr>
            </w:pPr>
            <w:r>
              <w:rPr>
                <w:color w:val="000000"/>
                <w:sz w:val="20"/>
              </w:rPr>
              <w:t>(</w:t>
            </w:r>
            <w:r>
              <w:rPr>
                <w:color w:val="000000"/>
                <w:sz w:val="20"/>
              </w:rPr>
              <w:t>12</w:t>
            </w:r>
            <w:r>
              <w:rPr>
                <w:color w:val="000000"/>
                <w:sz w:val="20"/>
              </w:rPr>
              <w:t>)</w:t>
            </w:r>
          </w:p>
        </w:tc>
        <w:tc>
          <w:tcPr>
            <w:tcW w:w="1179" w:type="dxa"/>
          </w:tcPr>
          <w:p w:rsidR="00417DFC" w:rsidP="00496826" w14:paraId="7A0CDD71" w14:textId="695B692D">
            <w:pPr>
              <w:keepNext/>
              <w:spacing w:after="0"/>
              <w:jc w:val="right"/>
              <w:rPr>
                <w:color w:val="000000"/>
                <w:sz w:val="20"/>
              </w:rPr>
            </w:pPr>
            <w:r>
              <w:rPr>
                <w:color w:val="000000"/>
                <w:sz w:val="20"/>
              </w:rPr>
              <w:t>(</w:t>
            </w:r>
            <w:r>
              <w:rPr>
                <w:color w:val="000000"/>
                <w:sz w:val="20"/>
              </w:rPr>
              <w:t>2,321</w:t>
            </w:r>
            <w:r>
              <w:rPr>
                <w:color w:val="000000"/>
                <w:sz w:val="20"/>
              </w:rPr>
              <w:t>)</w:t>
            </w:r>
          </w:p>
        </w:tc>
        <w:tc>
          <w:tcPr>
            <w:tcW w:w="1080" w:type="dxa"/>
          </w:tcPr>
          <w:p w:rsidR="00417DFC" w:rsidP="00496826" w14:paraId="34A24D93" w14:textId="1A7F4107">
            <w:pPr>
              <w:keepNext/>
              <w:spacing w:after="0"/>
              <w:jc w:val="right"/>
              <w:rPr>
                <w:color w:val="000000"/>
                <w:sz w:val="20"/>
              </w:rPr>
            </w:pPr>
            <w:r>
              <w:rPr>
                <w:color w:val="000000"/>
                <w:sz w:val="20"/>
              </w:rPr>
              <w:t>33,345</w:t>
            </w:r>
          </w:p>
        </w:tc>
        <w:tc>
          <w:tcPr>
            <w:tcW w:w="1655" w:type="dxa"/>
          </w:tcPr>
          <w:p w:rsidR="00417DFC" w:rsidP="00496826" w14:paraId="2E21C883" w14:textId="4434E6DE">
            <w:pPr>
              <w:keepNext/>
              <w:spacing w:after="0"/>
              <w:jc w:val="right"/>
              <w:rPr>
                <w:color w:val="000000"/>
                <w:sz w:val="20"/>
              </w:rPr>
            </w:pPr>
            <w:r>
              <w:rPr>
                <w:sz w:val="20"/>
              </w:rPr>
              <w:t xml:space="preserve">($ </w:t>
            </w:r>
            <w:r>
              <w:rPr>
                <w:sz w:val="20"/>
              </w:rPr>
              <w:t>612,298</w:t>
            </w:r>
            <w:r w:rsidR="0068049A">
              <w:rPr>
                <w:sz w:val="20"/>
              </w:rPr>
              <w:t>)</w:t>
            </w:r>
          </w:p>
        </w:tc>
        <w:tc>
          <w:tcPr>
            <w:tcW w:w="0" w:type="auto"/>
          </w:tcPr>
          <w:p w:rsidR="00417DFC" w:rsidP="00496826" w14:paraId="478C900D" w14:textId="0386C984">
            <w:pPr>
              <w:keepNext/>
              <w:spacing w:after="0"/>
              <w:jc w:val="right"/>
              <w:rPr>
                <w:color w:val="000000"/>
                <w:sz w:val="20"/>
              </w:rPr>
            </w:pPr>
            <w:r>
              <w:rPr>
                <w:color w:val="000000"/>
                <w:sz w:val="20"/>
              </w:rPr>
              <w:t>$1,069,530</w:t>
            </w:r>
          </w:p>
        </w:tc>
      </w:tr>
      <w:tr w14:paraId="1DF3C558" w14:textId="77777777" w:rsidTr="005A27CE">
        <w:tblPrEx>
          <w:tblW w:w="8743" w:type="dxa"/>
          <w:tblInd w:w="607" w:type="dxa"/>
          <w:tblLook w:val="04A0"/>
        </w:tblPrEx>
        <w:trPr>
          <w:trHeight w:val="306"/>
        </w:trPr>
        <w:tc>
          <w:tcPr>
            <w:tcW w:w="0" w:type="auto"/>
            <w:shd w:val="clear" w:color="auto" w:fill="auto"/>
            <w:hideMark/>
          </w:tcPr>
          <w:p w:rsidR="00417DFC" w:rsidRPr="004F3054" w:rsidP="001D1DC2" w14:paraId="5E428197" w14:textId="64ED8479">
            <w:pPr>
              <w:keepNext/>
              <w:spacing w:after="0"/>
              <w:rPr>
                <w:b/>
                <w:bCs/>
                <w:color w:val="000000"/>
                <w:sz w:val="20"/>
              </w:rPr>
            </w:pPr>
            <w:r w:rsidRPr="004F3054">
              <w:rPr>
                <w:b/>
                <w:bCs/>
                <w:color w:val="000000"/>
                <w:sz w:val="20"/>
              </w:rPr>
              <w:t>Total</w:t>
            </w:r>
            <w:r w:rsidR="001D1DC2">
              <w:rPr>
                <w:b/>
                <w:bCs/>
                <w:color w:val="000000"/>
                <w:sz w:val="20"/>
              </w:rPr>
              <w:t xml:space="preserve"> </w:t>
            </w:r>
            <w:r w:rsidR="00DF2553">
              <w:rPr>
                <w:b/>
                <w:bCs/>
                <w:color w:val="000000"/>
                <w:sz w:val="20"/>
              </w:rPr>
              <w:t>for full collection</w:t>
            </w:r>
          </w:p>
        </w:tc>
        <w:tc>
          <w:tcPr>
            <w:tcW w:w="0" w:type="auto"/>
            <w:shd w:val="clear" w:color="auto" w:fill="auto"/>
            <w:noWrap/>
            <w:hideMark/>
          </w:tcPr>
          <w:p w:rsidR="00417DFC" w:rsidRPr="004F3054" w:rsidP="00496826" w14:paraId="38725ED0" w14:textId="18FE57EF">
            <w:pPr>
              <w:keepNext/>
              <w:spacing w:after="0"/>
              <w:jc w:val="right"/>
              <w:rPr>
                <w:b/>
                <w:bCs/>
                <w:color w:val="000000"/>
                <w:sz w:val="20"/>
              </w:rPr>
            </w:pPr>
            <w:r>
              <w:rPr>
                <w:b/>
                <w:bCs/>
                <w:color w:val="000000"/>
                <w:sz w:val="20"/>
              </w:rPr>
              <w:t>0</w:t>
            </w:r>
          </w:p>
        </w:tc>
        <w:tc>
          <w:tcPr>
            <w:tcW w:w="1179" w:type="dxa"/>
          </w:tcPr>
          <w:p w:rsidR="00417DFC" w:rsidP="00496826" w14:paraId="38F5A578" w14:textId="2CB8226C">
            <w:pPr>
              <w:keepNext/>
              <w:spacing w:after="0"/>
              <w:jc w:val="right"/>
              <w:rPr>
                <w:b/>
                <w:bCs/>
                <w:color w:val="000000"/>
                <w:sz w:val="20"/>
              </w:rPr>
            </w:pPr>
            <w:r>
              <w:rPr>
                <w:b/>
                <w:bCs/>
                <w:color w:val="000000"/>
                <w:sz w:val="20"/>
              </w:rPr>
              <w:t>(</w:t>
            </w:r>
            <w:r w:rsidR="006B72D6">
              <w:rPr>
                <w:b/>
                <w:bCs/>
                <w:color w:val="000000"/>
                <w:sz w:val="20"/>
              </w:rPr>
              <w:t>5,058</w:t>
            </w:r>
            <w:r>
              <w:rPr>
                <w:b/>
                <w:bCs/>
                <w:color w:val="000000"/>
                <w:sz w:val="20"/>
              </w:rPr>
              <w:t>)</w:t>
            </w:r>
          </w:p>
        </w:tc>
        <w:tc>
          <w:tcPr>
            <w:tcW w:w="1080" w:type="dxa"/>
          </w:tcPr>
          <w:p w:rsidR="00417DFC" w:rsidP="00496826" w14:paraId="1F66A032" w14:textId="526D552F">
            <w:pPr>
              <w:keepNext/>
              <w:spacing w:after="0"/>
              <w:jc w:val="right"/>
              <w:rPr>
                <w:b/>
                <w:bCs/>
                <w:color w:val="000000"/>
                <w:sz w:val="20"/>
              </w:rPr>
            </w:pPr>
            <w:r>
              <w:rPr>
                <w:b/>
                <w:bCs/>
                <w:color w:val="000000"/>
                <w:sz w:val="20"/>
              </w:rPr>
              <w:t>131</w:t>
            </w:r>
            <w:r w:rsidR="00BE5497">
              <w:rPr>
                <w:b/>
                <w:bCs/>
                <w:color w:val="000000"/>
                <w:sz w:val="20"/>
              </w:rPr>
              <w:t>,233</w:t>
            </w:r>
          </w:p>
        </w:tc>
        <w:tc>
          <w:tcPr>
            <w:tcW w:w="1655" w:type="dxa"/>
          </w:tcPr>
          <w:p w:rsidR="00417DFC" w:rsidP="00496826" w14:paraId="114B7841" w14:textId="252E89A9">
            <w:pPr>
              <w:keepNext/>
              <w:spacing w:after="0"/>
              <w:jc w:val="right"/>
              <w:rPr>
                <w:b/>
                <w:bCs/>
                <w:color w:val="000000"/>
                <w:sz w:val="20"/>
              </w:rPr>
            </w:pPr>
            <w:r>
              <w:rPr>
                <w:b/>
                <w:bCs/>
                <w:color w:val="000000"/>
                <w:sz w:val="20"/>
              </w:rPr>
              <w:t>$</w:t>
            </w:r>
            <w:r>
              <w:rPr>
                <w:b/>
                <w:bCs/>
                <w:color w:val="000000"/>
                <w:sz w:val="20"/>
              </w:rPr>
              <w:t>1,745,491</w:t>
            </w:r>
          </w:p>
        </w:tc>
        <w:tc>
          <w:tcPr>
            <w:tcW w:w="0" w:type="auto"/>
          </w:tcPr>
          <w:p w:rsidR="00417DFC" w:rsidP="00496826" w14:paraId="558F398A" w14:textId="76CC471E">
            <w:pPr>
              <w:keepNext/>
              <w:spacing w:after="0"/>
              <w:jc w:val="right"/>
              <w:rPr>
                <w:b/>
                <w:bCs/>
                <w:color w:val="000000"/>
                <w:sz w:val="20"/>
              </w:rPr>
            </w:pPr>
            <w:r>
              <w:rPr>
                <w:b/>
                <w:bCs/>
                <w:color w:val="000000"/>
                <w:sz w:val="20"/>
              </w:rPr>
              <w:t>$39,069</w:t>
            </w:r>
            <w:r w:rsidR="00547AA0">
              <w:rPr>
                <w:b/>
                <w:bCs/>
                <w:color w:val="000000"/>
                <w:sz w:val="20"/>
              </w:rPr>
              <w:t>,569</w:t>
            </w:r>
          </w:p>
        </w:tc>
      </w:tr>
    </w:tbl>
    <w:p w:rsidR="00B262D4" w:rsidRPr="00A8196B" w:rsidP="002059F4" w14:paraId="526A56DE" w14:textId="16A6663E">
      <w:pPr>
        <w:pStyle w:val="Heading1"/>
      </w:pPr>
      <w:r w:rsidRPr="00A8196B">
        <w:t>Supporting Statement</w:t>
      </w:r>
    </w:p>
    <w:p w:rsidR="00B04C37" w:rsidRPr="00A8196B" w:rsidP="00EF50B4" w14:paraId="5A35813B" w14:textId="2E4B4368">
      <w:pPr>
        <w:pStyle w:val="Heading2"/>
      </w:pPr>
      <w:bookmarkStart w:id="3" w:name="_Toc49148160"/>
      <w:r w:rsidRPr="00A8196B">
        <w:t xml:space="preserve">1. </w:t>
      </w:r>
      <w:r w:rsidRPr="00A8196B" w:rsidR="00B1352E">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4C37" w:rsidRPr="00A8196B" w:rsidP="009B2563" w14:paraId="614B3FD8" w14:textId="2349157B">
      <w:pPr>
        <w:rPr>
          <w:rFonts w:cs="Arial"/>
        </w:rPr>
      </w:pPr>
      <w:r w:rsidRPr="00A8196B">
        <w:rPr>
          <w:rFonts w:cs="Arial"/>
        </w:rPr>
        <w:t>If EPA makes a determination under TSCA section 5(a)(3) that a chemical substance or significant new use is not likely to present an unreasonable risk of injury to health or the environment, without consideration of costs or other non-risk factors, including an unreasonable risk to a potentially exposed or susceptible subpopulation identified as relevant by the Administrator under the conditions of use, then the submitter may commence manufacture (including import) or processing for the significant new use.</w:t>
      </w:r>
    </w:p>
    <w:p w:rsidR="00A7023B" w:rsidRPr="00A8196B" w:rsidP="009B2563" w14:paraId="29B89E75" w14:textId="6D8282B7">
      <w:pPr>
        <w:pStyle w:val="BodyTextFirstIndent"/>
        <w:spacing w:after="200" w:line="276" w:lineRule="auto"/>
        <w:rPr>
          <w:rFonts w:cs="Arial"/>
        </w:rPr>
      </w:pPr>
      <w:r w:rsidRPr="00A8196B">
        <w:rPr>
          <w:rFonts w:cs="Arial"/>
        </w:rPr>
        <w:t>TSCA section 5(a) (15 U.S.C. 2604(a)(1)(B)(i))</w:t>
      </w:r>
      <w:r w:rsidRPr="00A8196B" w:rsidR="00AB614C">
        <w:rPr>
          <w:rFonts w:cs="Arial"/>
        </w:rPr>
        <w:t xml:space="preserve"> </w:t>
      </w:r>
      <w:r w:rsidRPr="00A8196B" w:rsidR="00110AEE">
        <w:rPr>
          <w:rFonts w:cs="Arial"/>
        </w:rPr>
        <w:t>(Attachment 1.)</w:t>
      </w:r>
      <w:r w:rsidRPr="00A8196B">
        <w:rPr>
          <w:rFonts w:cs="Arial"/>
        </w:rPr>
        <w:t xml:space="preserve">, requires manufacturers (which includes importers) of new chemical substances to submit to the Administrator of EPA a premanufacture notice (PMN) of intent to manufacture a new chemical substance at least 90 days before manufacture begins. TSCA section 5(a)(1) also requires notification from any person who proposes to manufacture or process a </w:t>
      </w:r>
      <w:r w:rsidRPr="00A8196B">
        <w:rPr>
          <w:rFonts w:cs="Arial"/>
        </w:rPr>
        <w:t xml:space="preserve">chemical substance for a use that EPA has by rule determined to be a significant new use. The notice must include, insofar as known or reasonably ascertainable by the submitter, information described in TSCA section 8(a)(2) (e.g., chemical identity, use and exposure information), plus test information and descriptions of other information related to the effects on health and the environment of the manufacture, processing, </w:t>
      </w:r>
      <w:r w:rsidRPr="00A8196B" w:rsidR="004E0760">
        <w:rPr>
          <w:rFonts w:cs="Arial"/>
        </w:rPr>
        <w:t xml:space="preserve">distribution in commerce, </w:t>
      </w:r>
      <w:r w:rsidRPr="00A8196B">
        <w:rPr>
          <w:rFonts w:cs="Arial"/>
        </w:rPr>
        <w:t>use, and</w:t>
      </w:r>
      <w:r w:rsidRPr="00A8196B" w:rsidR="00553E49">
        <w:rPr>
          <w:rFonts w:cs="Arial"/>
        </w:rPr>
        <w:t>/or</w:t>
      </w:r>
      <w:r w:rsidRPr="00A8196B">
        <w:rPr>
          <w:rFonts w:cs="Arial"/>
        </w:rPr>
        <w:t xml:space="preserve"> disposal of the new chemical substance. TSCA requires EPA to conduct a review of the notice, make one of five possible determinations on the notice, and take such actions as are required in association with that determination (15 U.S.C. 2604(a)(1)(B)(ii)) before manufacturing or processing of the chemical or significant new use can commence. EPA reviews the information provided in the notice and other relevant information available to EPA to evaluate the health and environmental effects of the new chemical substance and make the required determination.</w:t>
      </w:r>
    </w:p>
    <w:p w:rsidR="00093193" w:rsidRPr="00A8196B" w:rsidP="009B2563" w14:paraId="686AC5F9" w14:textId="10C4B758">
      <w:pPr>
        <w:pStyle w:val="BodyTextFirstIndent"/>
        <w:spacing w:after="200" w:line="276" w:lineRule="auto"/>
        <w:rPr>
          <w:rFonts w:cs="Arial"/>
        </w:rPr>
      </w:pPr>
      <w:r w:rsidRPr="00A8196B">
        <w:rPr>
          <w:rFonts w:cs="Arial"/>
        </w:rPr>
        <w:t>TSCA section 5, as interpreted in EPA’s “Microbial Products of Biotechnology; Final Regulation under the Toxic Substances Control Act” (62 FR 17910, April 11, 1997), authorizes EPA to regulate “new” genetically engineered microorganisms. According to the 1997 final rule, “new” microorganisms are those that, through deliberate human intervention, contain genetic material from dissimilar source organisms. Specifically, “intergeneric microorganisms” are those formed by either the deliberate combination of genetic material from organisms classified in different taxonomic genera or constructed with synthetic genes that are not identical in DNA that would be derived from the same genus as the recipient microorganism. Manufacturers of these new microorganisms must submit to EPA a microbial commercial activity notice (MCAN) at least 90 days before manufacture begins. These microorganisms are subject to the same determinations and potential regulatory controls as new chemical substances.</w:t>
      </w:r>
    </w:p>
    <w:p w:rsidR="00093193" w:rsidRPr="00A8196B" w:rsidP="009B2563" w14:paraId="6339BE97" w14:textId="45A52A18">
      <w:pPr>
        <w:pStyle w:val="BodyTextFirstIndent"/>
        <w:spacing w:after="200" w:line="276" w:lineRule="auto"/>
        <w:rPr>
          <w:rFonts w:cs="Arial"/>
        </w:rPr>
      </w:pPr>
      <w:r w:rsidRPr="00A8196B">
        <w:rPr>
          <w:rFonts w:cs="Arial"/>
        </w:rPr>
        <w:t>TSCA section 5(d)(1)(B) (15 U.S.C. § 2604(d)(1)(B)) requires premanufacture notices to include all information in the submitter’s possession or control and TSCA section 5(d)(1)(C)</w:t>
      </w:r>
      <w:r w:rsidRPr="00A8196B" w:rsidR="000A2986">
        <w:rPr>
          <w:rFonts w:cs="Arial"/>
        </w:rPr>
        <w:t xml:space="preserve"> (</w:t>
      </w:r>
      <w:r w:rsidRPr="00A8196B">
        <w:rPr>
          <w:rFonts w:cs="Arial"/>
        </w:rPr>
        <w:t>15 U.S.C. § 2604(d)(1)(C)) requires PMN submitters to provide other information on environmental or health effects that are known to or reasonably ascertainable by the submitter. These requirements are described in 40 CFR 720.50.</w:t>
      </w:r>
    </w:p>
    <w:p w:rsidR="00A7023B" w:rsidRPr="00A8196B" w:rsidP="009B2563" w14:paraId="14E821FC" w14:textId="65BA68A2">
      <w:pPr>
        <w:pStyle w:val="BodyTextFirstIndent"/>
        <w:spacing w:after="200" w:line="276" w:lineRule="auto"/>
        <w:rPr>
          <w:rFonts w:cs="Arial"/>
        </w:rPr>
      </w:pPr>
      <w:r w:rsidRPr="00A8196B">
        <w:rPr>
          <w:rFonts w:cs="Arial"/>
        </w:rPr>
        <w:t xml:space="preserve">TSCA section 5(e) authorizes EPA to prohibit or limit the manufacture, processing, distribution in commerce, use </w:t>
      </w:r>
      <w:r w:rsidRPr="00A8196B" w:rsidR="00F7584A">
        <w:rPr>
          <w:rFonts w:cs="Arial"/>
        </w:rPr>
        <w:t>and/</w:t>
      </w:r>
      <w:r w:rsidRPr="00A8196B">
        <w:rPr>
          <w:rFonts w:cs="Arial"/>
        </w:rPr>
        <w:t xml:space="preserve">or disposal of a new chemical substance or significant new use pending development of information sufficient to allow EPA to perform a reasoned evaluation of the health and environmental effects of the substance. EPA must issue an order under TSCA section 5(e) if the Agency determines (1) that the information available is insufficient to permit a reasoned evaluation of the health or environmental effects; (2) in the absence of sufficient information, the manufacture, processing, distribution, use, </w:t>
      </w:r>
      <w:r w:rsidRPr="00A8196B" w:rsidR="00750BA0">
        <w:rPr>
          <w:rFonts w:cs="Arial"/>
        </w:rPr>
        <w:t>and/</w:t>
      </w:r>
      <w:r w:rsidRPr="00A8196B">
        <w:rPr>
          <w:rFonts w:cs="Arial"/>
        </w:rPr>
        <w:t xml:space="preserve">or disposal may present an unreasonable risk of injury to health or the environment without consideration of costs or other non-risk factors, including an unreasonable risk to a potentially exposed subpopulation identified as </w:t>
      </w:r>
      <w:r w:rsidRPr="00A8196B">
        <w:rPr>
          <w:rFonts w:cs="Arial"/>
        </w:rPr>
        <w:t xml:space="preserve">relevant by the Administrator under the conditions of use; or (3) the substance is or will be produced in substantial quantities and may be released to the environment in substantial quantities or there may be significant or substantial human exposure to the chemical. EPA’s actions often involve negotiation of a TSCA section 5(e) Consent Order to prohibit or limit activities associated with manufacture, processing, distribution in commerce, use and </w:t>
      </w:r>
      <w:r w:rsidRPr="00A8196B" w:rsidR="00622B7D">
        <w:rPr>
          <w:rFonts w:cs="Arial"/>
        </w:rPr>
        <w:t xml:space="preserve">and/or </w:t>
      </w:r>
      <w:r w:rsidRPr="00A8196B">
        <w:rPr>
          <w:rFonts w:cs="Arial"/>
        </w:rPr>
        <w:t>disposal of the new chemical. TSCA section 5(e) Consent Orders can typically include requirements for exposure or release mitigation, testing, labeling and hazard communication, and recordkeeping.</w:t>
      </w:r>
    </w:p>
    <w:p w:rsidR="00A7023B" w:rsidRPr="00A8196B" w:rsidP="009B2563" w14:paraId="2608253B" w14:textId="77777777">
      <w:pPr>
        <w:pStyle w:val="BodyTextFirstIndent"/>
        <w:spacing w:after="200" w:line="276" w:lineRule="auto"/>
        <w:rPr>
          <w:rFonts w:cs="Arial"/>
        </w:rPr>
      </w:pPr>
      <w:r w:rsidRPr="00A8196B">
        <w:rPr>
          <w:rFonts w:cs="Arial"/>
        </w:rPr>
        <w:t>Similarly, if EPA determines under section 5(a)(3)(A) that a chemical substance or significant new use presents an unreasonable risk of injury to health or environment, without consideration of costs or other non-risk factors, including an unreasonable risk to a potentially exposed subpopulation identified as relevant by the Administrator under the conditions of use, the Agency must regulate the chemical under section 5(f) by either (1) issuing a proposed rule under section 6(a); or (2) issuing an order to prohibit or limit the manufacture, processing, or distribution in commerce of the substance. EPA’s action can involve negotiation of a TSCA section 5(f) Consent Order with the PMN submitter.</w:t>
      </w:r>
    </w:p>
    <w:p w:rsidR="00A7023B" w:rsidRPr="00A8196B" w:rsidP="004E6EE2" w14:paraId="59F782AC" w14:textId="5D1ABF67">
      <w:r w:rsidRPr="00A8196B">
        <w:t xml:space="preserve">Significant New Use Rules (SNURs) are authorized under TSCA section 5(a)(2) and EPA is required to consider whether to promulgate SNURs following issuance of section 5(e) or 5(f) orders pursuant to section 5(f)(4). Regulations providing details on EPA’s SNUR authority were promulgated at 40 CFR part 721 and at 40 CFR part 725 </w:t>
      </w:r>
      <w:r w:rsidRPr="00A8196B" w:rsidR="002D25C0">
        <w:t xml:space="preserve">(Attachment </w:t>
      </w:r>
      <w:r w:rsidRPr="00A8196B" w:rsidR="00991104">
        <w:t>2</w:t>
      </w:r>
      <w:r w:rsidRPr="00A8196B" w:rsidR="002D25C0">
        <w:t>.)</w:t>
      </w:r>
      <w:r w:rsidRPr="00A8196B" w:rsidR="0042277D">
        <w:t xml:space="preserve">. </w:t>
      </w:r>
      <w:r w:rsidRPr="00A8196B">
        <w:t>A SNUR requires that any manufacturer or processor – including the PMN submitter – who intends to undertake the activities subject to the SNUR must submit to EPA a significant new use notice (SNUN). EPA must either conclude, following review of a SNUN, that the activities are not likely to present an unreasonable risk, or take appropriate action under section 5(e) or 5(f) to protect against any unreasonable risk. The review would factor in the conditions of use of the chemical specifically associated with the significant new use and, as appropriate, any other conditions of use relevant to the evaluation of the significant new use under section 5(a)(3).</w:t>
      </w:r>
      <w:r w:rsidRPr="00A8196B" w:rsidR="004E6EE2">
        <w:t xml:space="preserve"> </w:t>
      </w:r>
      <w:r w:rsidRPr="00A8196B">
        <w:t>TSCA section 5(e) or 5(f) Orders are only binding on the original PMN submitter for that substance. Consequently, after issuing a section 5 Order, EPA generally promulgates a SNUR</w:t>
      </w:r>
      <w:r w:rsidRPr="00A8196B" w:rsidR="004E6EE2">
        <w:t xml:space="preserve"> </w:t>
      </w:r>
      <w:r w:rsidRPr="00A8196B">
        <w:t>that requires notice to EPA by any manufacturer or processor who wishes to manufacture or process the chemical in a way other than described in the terms and conditions contained in the Order. TSCA section 5(f)(4) requires EPA to either initiate a SNUR rulemaking or explain its reasons for not doing so following action under section 5(e) or 5(f).</w:t>
      </w:r>
    </w:p>
    <w:p w:rsidR="00547088" w:rsidRPr="00A8196B" w:rsidP="004E6EE2" w14:paraId="540227B6" w14:textId="280656D5">
      <w:r w:rsidRPr="00A8196B">
        <w:rPr>
          <w:rFonts w:cs="Arial"/>
        </w:rPr>
        <w:t>For existing chemical SNURs</w:t>
      </w:r>
      <w:r w:rsidRPr="00A8196B" w:rsidR="0004222D">
        <w:rPr>
          <w:rFonts w:cs="Arial"/>
        </w:rPr>
        <w:t xml:space="preserve">, </w:t>
      </w:r>
      <w:r w:rsidRPr="00A8196B" w:rsidR="0004222D">
        <w:t xml:space="preserve">TSCA section 5(a)(2) provides EPA with the authority to designate by rule significant new uses of existing chemical substances for which notice is required. The Administrator must consider the following factors in determining a significant new use of an existing chemical substance: 1) The projected volume of </w:t>
      </w:r>
      <w:r w:rsidRPr="00A8196B" w:rsidR="0004222D">
        <w:t xml:space="preserve">manufacturing and processing of a chemical substance; 2) The extent to which a use changes the type or form of exposure of human beings or the environment to a chemical substance; 3) The extent to which a use increases the magnitude and duration of exposure of human beings or the environment to a chemical substance; and 4) The reasonably anticipated manner and methods of manufacturing, processing, distribution in commerce, </w:t>
      </w:r>
      <w:r w:rsidRPr="00A8196B" w:rsidR="001D3DD4">
        <w:t xml:space="preserve">use </w:t>
      </w:r>
      <w:r w:rsidRPr="00A8196B" w:rsidR="0004222D">
        <w:t>and</w:t>
      </w:r>
      <w:r w:rsidRPr="00A8196B" w:rsidR="001D3DD4">
        <w:t>/or</w:t>
      </w:r>
      <w:r w:rsidRPr="00A8196B" w:rsidR="0004222D">
        <w:t xml:space="preserve"> disposal of a chemical substance.</w:t>
      </w:r>
    </w:p>
    <w:p w:rsidR="005D6F3F" w:rsidRPr="00A8196B" w:rsidP="00F46D89" w14:paraId="2455D58D" w14:textId="06A683AE">
      <w:r w:rsidRPr="00A8196B">
        <w:t>After proposal and finalization of a SNUR, a person who intends to manufacture (including import) or process a significant new use of a chemical substance covered by a SNUR must notify EPA of the intent via a Significant New Use Notice (SNUN) at least 90 days prior to commencing the new use. The required notice must be submitted electronically, via the Central Data Exchange (CDX), using the Agency’s e-PMN software. Within 90 days, EPA must either conclude, following review of a SNUN, that the activities are not likely to present an unreasonable risk to human health or the environment, or take appropriate action under TSCA section 5(e) or 5(f) to protect against any unreasonable risk to human health or the environment. The review would factor in the conditions of use of the chemical specifically associated with the significant new use and, as appropriate, any other conditions of use relevant to the evaluation of the significant new use under TSCA section 5(a)(3).</w:t>
      </w:r>
      <w:r w:rsidRPr="00A8196B" w:rsidR="004E6EE2">
        <w:t xml:space="preserve"> </w:t>
      </w:r>
      <w:r w:rsidRPr="00A8196B">
        <w:t>If the Agency has not made a determination within 90 days, it may extend the evaluation period by up to 90 days with good cause.</w:t>
      </w:r>
    </w:p>
    <w:p w:rsidR="00D559AE" w:rsidRPr="00A8196B" w:rsidP="004E6EE2" w14:paraId="551F7437" w14:textId="469B2C82">
      <w:r w:rsidRPr="00A8196B">
        <w:t>For new chemicals and existing chemicals, if EPA makes a determination under TSCA section 5(a)(3)(C) that a chemical substance or significant new use is not likely to present an unreasonable risk of injury to health or the environment, without consideration of costs or other non-risk factors, including an unreasonable risk to a potentially exposed or susceptible subpopulation identified as relevant by the Administrator under the conditions of use, then the submitter may commence manufacture of the chemical substance or manufacture or processing for the significant new use, notwithstanding the remainder of the review period. In addition, for new chemicals, the Administrator shall make public a statement of the “not likely” finding in the Federal Register, in accordance with TSCA section 5(g). The same reporting requirements that apply to PMNs also apply to SNUNs, and EPA has the same authorities under TSCA section 5(e) and 5(f) to evaluate and regulate the SNUR chemical during the notice review period.</w:t>
      </w:r>
    </w:p>
    <w:p w:rsidR="0068261C" w:rsidRPr="00A8196B" w:rsidP="0068261C" w14:paraId="3DA6180B" w14:textId="662DB1F3">
      <w:r w:rsidRPr="00A8196B">
        <w:t>EPA may also grant certain exemptions from the PMN, SNUN, and MCAN requirements of TSCA section 5. These exemption rules reduce reporting requirements, thereby providing relief to submitters from the burdens of the full PMN reporting requirements.</w:t>
      </w:r>
    </w:p>
    <w:p w:rsidR="007F0CE5" w:rsidRPr="00A8196B" w:rsidP="009514FE" w14:paraId="3D70FA54" w14:textId="20DDDCDA">
      <w:pPr>
        <w:ind w:left="720"/>
        <w:rPr>
          <w:b/>
          <w:bCs/>
        </w:rPr>
      </w:pPr>
      <w:r w:rsidRPr="00A8196B">
        <w:rPr>
          <w:b/>
          <w:bCs/>
        </w:rPr>
        <w:t xml:space="preserve">Exemptions </w:t>
      </w:r>
    </w:p>
    <w:p w:rsidR="032E0664" w:rsidRPr="00A8196B" w:rsidP="2ADB8658" w14:paraId="6746CCAE" w14:textId="567FFB74">
      <w:r w:rsidRPr="00A8196B">
        <w:rPr>
          <w:rFonts w:eastAsia="Calibri" w:cs="Arial"/>
        </w:rPr>
        <w:t>EPA may also grant certain exemptions from the PMN, SNUN, and MCAN requi</w:t>
      </w:r>
      <w:r w:rsidRPr="00A8196B" w:rsidR="7282B7F2">
        <w:rPr>
          <w:rFonts w:eastAsia="Calibri" w:cs="Arial"/>
        </w:rPr>
        <w:t xml:space="preserve">rements </w:t>
      </w:r>
      <w:r w:rsidRPr="00A8196B" w:rsidR="2ADB8658">
        <w:t>of TSCA section 5</w:t>
      </w:r>
      <w:r w:rsidRPr="00A8196B" w:rsidR="0033024B">
        <w:t xml:space="preserve">, </w:t>
      </w:r>
      <w:r w:rsidRPr="00A8196B" w:rsidR="2ADB8658">
        <w:t xml:space="preserve">including the following. These exemption rules reduce reporting </w:t>
      </w:r>
      <w:r w:rsidRPr="00A8196B" w:rsidR="2ADB8658">
        <w:t>requirements, thereby providing relief to submitters from the burdens of the full PMN reporting requirements.</w:t>
      </w:r>
    </w:p>
    <w:p w:rsidR="00093193" w:rsidRPr="00A8196B" w:rsidP="009B2563" w14:paraId="038F0DB5" w14:textId="1350A3F1">
      <w:pPr>
        <w:pStyle w:val="Heading3"/>
        <w:numPr>
          <w:ilvl w:val="0"/>
          <w:numId w:val="0"/>
        </w:numPr>
        <w:spacing w:line="276" w:lineRule="auto"/>
        <w:ind w:left="720"/>
        <w:rPr>
          <w:rFonts w:cs="Arial"/>
        </w:rPr>
      </w:pPr>
      <w:r w:rsidRPr="00A8196B">
        <w:rPr>
          <w:rFonts w:cs="Arial"/>
        </w:rPr>
        <w:t>Test-Marketing Exemption (TME)</w:t>
      </w:r>
    </w:p>
    <w:p w:rsidR="00093193" w:rsidRPr="00A8196B" w:rsidP="004E6EE2" w14:paraId="220D8D48" w14:textId="77777777">
      <w:r w:rsidRPr="00A8196B">
        <w:t>Under TSCA section 5(h)(1), persons may apply for an exemption from the requirements of TSCA section 5 for test-marketing purposes. EPA may grant the exemption if it finds that the test-marketing activities described by the applicant will not present an unreasonable risk of injury to health or the environment including an unreasonable risk to a potentially exposed or susceptible subpopulation identified by the Administrator for the specific conditions of use identified in the application. The applicant must provide the information necessary to make this finding and EPA must grant or deny the exemption within 45 days. If EPA grants the exemption, it may impose appropriate restrictions on the test-marketing activities. See 40 CFR 720.38 and 725.370.</w:t>
      </w:r>
    </w:p>
    <w:p w:rsidR="00093193" w:rsidRPr="00A8196B" w:rsidP="009B2563" w14:paraId="7CF1C34B" w14:textId="77777777">
      <w:pPr>
        <w:pStyle w:val="Heading3"/>
        <w:numPr>
          <w:ilvl w:val="0"/>
          <w:numId w:val="0"/>
        </w:numPr>
        <w:spacing w:line="276" w:lineRule="auto"/>
        <w:ind w:left="720"/>
        <w:rPr>
          <w:rFonts w:cs="Arial"/>
        </w:rPr>
      </w:pPr>
      <w:r w:rsidRPr="00A8196B">
        <w:rPr>
          <w:rFonts w:cs="Arial"/>
        </w:rPr>
        <w:t>Research and Development Exemption (R&amp;D)</w:t>
      </w:r>
    </w:p>
    <w:p w:rsidR="00093193" w:rsidRPr="00A8196B" w:rsidP="004E6EE2" w14:paraId="61DE00AA" w14:textId="77777777">
      <w:r w:rsidRPr="00A8196B">
        <w:t>TSCA section 5(h)(3) exempts from PMN reporting small quantities of chemical substances manufactured only for research and development purposes. Persons using this exemption must have their research overseen by a technically qualified individual and must notify any person involved in the research of any risk. See 40 CFR 720.36. Small quantities of genetically modified microorganisms manufactured solely for research and development purposes are also exempt when additional criteria are met as described in 40 CFR 725.235, activities conducted inside a structure, and 40 CFR 725.238 and 239, activities conducted outside a structure.</w:t>
      </w:r>
    </w:p>
    <w:p w:rsidR="0042277D" w:rsidRPr="00A8196B" w:rsidP="009B2563" w14:paraId="7AC8A79D" w14:textId="77777777">
      <w:pPr>
        <w:pStyle w:val="Heading3"/>
        <w:numPr>
          <w:ilvl w:val="0"/>
          <w:numId w:val="0"/>
        </w:numPr>
        <w:spacing w:line="276" w:lineRule="auto"/>
        <w:ind w:left="720"/>
        <w:rPr>
          <w:rFonts w:cs="Arial"/>
        </w:rPr>
      </w:pPr>
      <w:r w:rsidRPr="00A8196B">
        <w:rPr>
          <w:rFonts w:cs="Arial"/>
        </w:rPr>
        <w:t>TSCA Section 5(h)(4) Exemptions</w:t>
      </w:r>
    </w:p>
    <w:p w:rsidR="009B2563" w:rsidRPr="00A8196B" w:rsidP="004E6EE2" w14:paraId="76E9E229" w14:textId="77777777">
      <w:pPr>
        <w:rPr>
          <w:rFonts w:cs="Arial"/>
        </w:rPr>
      </w:pPr>
      <w:r w:rsidRPr="00A8196B">
        <w:t xml:space="preserve">TSCA section 5(h)(4) authorizes EPA to exempt any person from the provisions of TSCA section 5 if EPA determines, upon application and by rule, that the chemical substance will not present an unreasonable risk of injury to </w:t>
      </w:r>
      <w:r w:rsidRPr="00A8196B">
        <w:rPr>
          <w:rFonts w:cs="Arial"/>
        </w:rPr>
        <w:t>health or the environment when manufactured, processed, distributed, used or disposed of under the exemption. To date EPA has promulgated four rules under this section for traditional chemical substance exemptions and three rules for exemptions specific to microbial products of biotechnology:</w:t>
      </w:r>
    </w:p>
    <w:p w:rsidR="009B2563" w:rsidRPr="00A8196B" w:rsidP="004C0221" w14:paraId="33996A53" w14:textId="77777777">
      <w:pPr>
        <w:pStyle w:val="ListParagraph"/>
        <w:numPr>
          <w:ilvl w:val="0"/>
          <w:numId w:val="22"/>
        </w:numPr>
      </w:pPr>
      <w:r w:rsidRPr="00A8196B">
        <w:t>Low Volume Exemption (LVE) - This exemption applies to substances manufactured in quantities of 10,000 kilograms or less per year; submitters may request that EPA evaluate their exemption at a lower production volume level, to which the submitter would be legally bound. See 40 CFR 723.50.</w:t>
      </w:r>
    </w:p>
    <w:p w:rsidR="009B2563" w:rsidRPr="00A8196B" w:rsidP="004C0221" w14:paraId="5A7881BF" w14:textId="77777777">
      <w:pPr>
        <w:pStyle w:val="ListParagraph"/>
        <w:numPr>
          <w:ilvl w:val="0"/>
          <w:numId w:val="22"/>
        </w:numPr>
      </w:pPr>
      <w:r w:rsidRPr="00A8196B">
        <w:t>Low Release/Low Exposure (LoREX) - This exemption applies to certain chemical substances that meet strict human exposure and environmental release criteria to ensure that these substances will not present an unreasonable risk. See 40 CFR 723.50.</w:t>
      </w:r>
    </w:p>
    <w:p w:rsidR="00A7023B" w:rsidRPr="00A8196B" w:rsidP="004C0221" w14:paraId="724F6F5C" w14:textId="77777777">
      <w:pPr>
        <w:pStyle w:val="ListParagraph"/>
        <w:numPr>
          <w:ilvl w:val="0"/>
          <w:numId w:val="22"/>
        </w:numPr>
      </w:pPr>
      <w:r w:rsidRPr="00A8196B">
        <w:t>Polymer Exemption - This exemption applies to polymers that comply with certain chemical characterizations and that therefore will not present an unreasonable risk of injury to health or the environment.  See 40 CFR 723.250.</w:t>
      </w:r>
    </w:p>
    <w:p w:rsidR="009B2563" w:rsidRPr="00A8196B" w:rsidP="004C0221" w14:paraId="305B2951" w14:textId="0BA92079">
      <w:pPr>
        <w:pStyle w:val="ListParagraph"/>
        <w:numPr>
          <w:ilvl w:val="0"/>
          <w:numId w:val="22"/>
        </w:numPr>
      </w:pPr>
      <w:r w:rsidRPr="00A8196B">
        <w:t>Instant Photographic Film Articles Exemption - This exemption applies to chemical substances used in or for the manufacture or processing of instant photographic and peel-apart film articles. See 40 CFR 723.175.</w:t>
      </w:r>
    </w:p>
    <w:p w:rsidR="004C0221" w:rsidRPr="00A8196B" w:rsidP="004C0221" w14:paraId="33235C18" w14:textId="77777777">
      <w:pPr>
        <w:pStyle w:val="ListParagraph"/>
        <w:numPr>
          <w:ilvl w:val="0"/>
          <w:numId w:val="22"/>
        </w:numPr>
      </w:pPr>
      <w:r w:rsidRPr="00A8196B">
        <w:t>TSCA Experimental Release Application (TERA) - This exemption applies to research and development activities that result in intentional environmental releases of intergeneric microorganisms. EPA may grant the exemption if it finds that the activities described by the applicant will not present an unreasonable risk of injury to health or the environment. The applicant must provide the information necessary to make this finding and EPA must grant or deny the exemption within 60 days. If EPA grants the exemption, it may impose appropriate restrictions on the activities described in the notice. See 40 CFR 725.250.</w:t>
      </w:r>
    </w:p>
    <w:p w:rsidR="004C0221" w:rsidRPr="00A8196B" w:rsidP="004C0221" w14:paraId="2F5E2630" w14:textId="77777777">
      <w:pPr>
        <w:pStyle w:val="ListParagraph"/>
        <w:numPr>
          <w:ilvl w:val="0"/>
          <w:numId w:val="22"/>
        </w:numPr>
      </w:pPr>
      <w:r w:rsidRPr="00A8196B">
        <w:t>Tier I Exemption - This exemption applies to certain microorganisms subject to physical containment and control technologies. EPA has developed specific criteria for the host microorganism, introduced genetic material, and containment technology to ensure that the microorganism will not present an unreasonable risk. See 40 CFR 725.400.</w:t>
      </w:r>
    </w:p>
    <w:p w:rsidR="00093193" w:rsidRPr="00A8196B" w:rsidP="004C0221" w14:paraId="4395A11E" w14:textId="109B42CB">
      <w:pPr>
        <w:pStyle w:val="ListParagraph"/>
        <w:numPr>
          <w:ilvl w:val="0"/>
          <w:numId w:val="22"/>
        </w:numPr>
      </w:pPr>
      <w:r w:rsidRPr="00A8196B">
        <w:t>Tier II Exemption - This exemption applies to the same microorganisms subject to a Tier I exemption without specified physical containment and control technologies.  EPA may grant the exemption if it finds that the physical containment and control technologies described by the applicant will control releases of and exposure to the microorganism such that the microorganism will not present an unreasonable risk of injury to health or the environment. The applicant must provide the information necessary to make this finding and EPA must grant or deny the exemption within 45 days. If EPA grants the exemption, it may impose appropriate restrictions on the activities described in the notice. See 40 CFR 725.428.</w:t>
      </w:r>
    </w:p>
    <w:p w:rsidR="004C0221" w:rsidRPr="00A8196B" w:rsidP="004E6EE2" w14:paraId="48651A97" w14:textId="3A72D058">
      <w:r w:rsidRPr="00A8196B">
        <w:t>Finally, under TSCA section 26(b) manufacturers and processors pay fees for PMNs, MCANs, certain PMN exemption applications and notices, and SNUNs submitted under TSCA sections 5(a) and (h) to help defray the cost of administering</w:t>
      </w:r>
      <w:r w:rsidRPr="00A8196B" w:rsidR="002E04A1">
        <w:t>.</w:t>
      </w:r>
      <w:r w:rsidRPr="00A8196B">
        <w:t xml:space="preserve"> </w:t>
      </w:r>
      <w:r w:rsidRPr="00A8196B" w:rsidR="00DF5A8C">
        <w:t xml:space="preserve"> The following are fee</w:t>
      </w:r>
      <w:r w:rsidRPr="00A8196B">
        <w:t xml:space="preserve"> amounts for all submissions received on or after October 1, 2018:</w:t>
      </w:r>
    </w:p>
    <w:p w:rsidR="004C0221" w:rsidRPr="00A8196B" w:rsidP="004C0221" w14:paraId="21AFCDAE" w14:textId="77777777">
      <w:pPr>
        <w:pStyle w:val="BodyTextFirstIndent"/>
        <w:numPr>
          <w:ilvl w:val="0"/>
          <w:numId w:val="23"/>
        </w:numPr>
        <w:spacing w:after="200" w:line="276" w:lineRule="auto"/>
        <w:rPr>
          <w:rFonts w:cs="Arial"/>
        </w:rPr>
      </w:pPr>
      <w:r w:rsidRPr="00A8196B">
        <w:t>$16,000 for single and consolidated PMN, SNUN and MCAN submitters;</w:t>
      </w:r>
    </w:p>
    <w:p w:rsidR="004C0221" w:rsidRPr="00A8196B" w:rsidP="004C0221" w14:paraId="71448D08" w14:textId="77777777">
      <w:pPr>
        <w:pStyle w:val="BodyTextFirstIndent"/>
        <w:numPr>
          <w:ilvl w:val="0"/>
          <w:numId w:val="23"/>
        </w:numPr>
        <w:spacing w:after="200" w:line="276" w:lineRule="auto"/>
        <w:rPr>
          <w:rFonts w:cs="Arial"/>
        </w:rPr>
      </w:pPr>
      <w:r w:rsidRPr="00A8196B">
        <w:t>$2,800 for each PMN, SNUN, or MCAN submitted by a small business concern;</w:t>
      </w:r>
    </w:p>
    <w:p w:rsidR="004C0221" w:rsidRPr="00A8196B" w:rsidP="004C0221" w14:paraId="7414C559" w14:textId="77777777">
      <w:pPr>
        <w:pStyle w:val="BodyTextFirstIndent"/>
        <w:numPr>
          <w:ilvl w:val="0"/>
          <w:numId w:val="23"/>
        </w:numPr>
        <w:spacing w:after="200" w:line="276" w:lineRule="auto"/>
        <w:rPr>
          <w:rFonts w:cs="Arial"/>
        </w:rPr>
      </w:pPr>
      <w:r w:rsidRPr="00A8196B">
        <w:t>$940 for each LVE, LoREX, TME, TERA, Tier II, or photographic film article exemption notice submitted by a small business concern;</w:t>
      </w:r>
    </w:p>
    <w:p w:rsidR="00093193" w:rsidRPr="00A8196B" w:rsidP="004C0221" w14:paraId="30A21E4B" w14:textId="3A413ED8">
      <w:pPr>
        <w:pStyle w:val="BodyTextFirstIndent"/>
        <w:numPr>
          <w:ilvl w:val="0"/>
          <w:numId w:val="23"/>
        </w:numPr>
        <w:spacing w:after="200" w:line="276" w:lineRule="auto"/>
        <w:rPr>
          <w:rFonts w:cs="Arial"/>
        </w:rPr>
      </w:pPr>
      <w:r w:rsidRPr="00A8196B">
        <w:t>$4,700 for each LVE, LoREX, TME, TERA, Tier II, or photographic film article exemption notice submitted by all other respondents.</w:t>
      </w:r>
    </w:p>
    <w:p w:rsidR="00093193" w:rsidRPr="00A8196B" w:rsidP="004E6EE2" w14:paraId="45C9E4CD" w14:textId="6A40F8DF">
      <w:r w:rsidRPr="00A8196B">
        <w:t>P</w:t>
      </w:r>
      <w:r w:rsidRPr="00A8196B">
        <w:t>ersons subject to TSCA fee requirements must complete fee payments electronically using the Department of Treasury’s Pay.gov electronic collection payment services. The paperwork activities required by the fee rule are presented in another ICR approved under OMB Control No. 2070-0208 (EPA ICR No. 2569.0</w:t>
      </w:r>
      <w:r w:rsidRPr="00A8196B">
        <w:t>4</w:t>
      </w:r>
      <w:r w:rsidRPr="00A8196B">
        <w:t>).</w:t>
      </w:r>
    </w:p>
    <w:p w:rsidR="00E91639" w:rsidRPr="00A8196B" w:rsidP="00567F88" w14:paraId="3B63F352" w14:textId="0F10C902">
      <w:pPr>
        <w:pStyle w:val="Heading2"/>
        <w:ind w:left="270" w:hanging="270"/>
      </w:pPr>
      <w:r w:rsidRPr="00A8196B">
        <w:t xml:space="preserve">2. </w:t>
      </w:r>
      <w:r w:rsidRPr="00A8196B">
        <w:t>Indicate how, by whom, and for what purpose the information is to be used.  Except for a new collection, indicate the actual use the Agency has made of the information received from the current collection</w:t>
      </w:r>
    </w:p>
    <w:p w:rsidR="00A7023B" w:rsidRPr="00A8196B" w:rsidP="00AA6A13" w14:paraId="0E37FC32" w14:textId="77777777">
      <w:pPr>
        <w:rPr>
          <w:b/>
          <w:bCs/>
        </w:rPr>
      </w:pPr>
      <w:r w:rsidRPr="00A8196B">
        <w:rPr>
          <w:b/>
          <w:bCs/>
        </w:rPr>
        <w:tab/>
      </w:r>
      <w:r w:rsidRPr="00A8196B" w:rsidR="00684B22">
        <w:rPr>
          <w:b/>
          <w:bCs/>
        </w:rPr>
        <w:t>New Chemicals</w:t>
      </w:r>
    </w:p>
    <w:p w:rsidR="00A7023B" w:rsidRPr="00A8196B" w:rsidP="004E6EE2" w14:paraId="2FC694BF" w14:textId="77777777">
      <w:r w:rsidRPr="00A8196B">
        <w:t>TSCA requires EPA to review submitters’ section 5 notices and make an affirmative finding on the safety of new chemical substances or significant new uses of chemicals (identified by EPA in rulemaking) before they are manufactured for non-exempt commercial purposes. To make a reasoned evaluation of the potential risk to human health or the environment associated with new chemicals and significant new uses, EPA needs information on each chemical’s structure and properties, manufacturing process, worker exposure, environmental release, production volume, potential industrial, commercial, and consumer use, and potential toxicity related to the substance. EPA needs sufficient information to enable Agency scientists to identify substances with analogous chemical structures and properties, with similar manufacturing processes and with similar uses. The Agency reviews available information to evaluate the toxicity of the chemical and estimate potential exposure to the substance to assess the potential risks to human health or the environment.</w:t>
      </w:r>
    </w:p>
    <w:p w:rsidR="00AA6A13" w:rsidRPr="00A8196B" w:rsidP="00AA6A13" w14:paraId="12586A50" w14:textId="4D437404">
      <w:r w:rsidRPr="00A8196B">
        <w:t>A chemical is considered to be a “new” chemical if it is not listed in the TSCA section 8(b) Inventory of chemicals manufactured or processed in the United States. The Inventory includes both public and confidential information. Chemicals appear in the public portion of the Inventory by name if the company manufacturing the chemical does not claim the name of the chemical to be confidential. Chemicals whose names are claimed confidential are identified in the public portion of the Inventory by an accession number and a generic name. The specific chemical name of a confidential chemical appears only in the confidential portion of the Inventory, which is not available to the public.</w:t>
      </w:r>
    </w:p>
    <w:p w:rsidR="00A7023B" w:rsidRPr="00A8196B" w:rsidP="00AA6A13" w14:paraId="3DDB4541" w14:textId="77777777">
      <w:r w:rsidRPr="00A8196B">
        <w:t xml:space="preserve">A company that demonstrates a bona fide intent to manufacture a chemical substance that does not appear by a specific name in the public portion of the Inventory may ask EPA whether the substance is included in the confidential portion of the Inventory (i.e., to determine whether the substance would be considered new and therefore subject to the TSCA section 5 notice requirements). Similarly, a person who demonstrates a bona fide intent to manufacture or process a chemical substance which is described by a generic chemical name in a SNUR, may ask whether their substance is subject to the requirements of the SNUR. EPA will respond to such an inquiry only if the Agency determines that the company has demonstrated a bona fide intent to manufacture or </w:t>
      </w:r>
      <w:r w:rsidRPr="00A8196B">
        <w:t>import the substance. Reporting provisions found at 40 CFR 720.25, 721.11 or 40 CFR 725.15 require additional information from a submitter so as to encourage the submission only of bona fide inquiries that reflect serious intent.</w:t>
      </w:r>
    </w:p>
    <w:p w:rsidR="00AA6A13" w:rsidRPr="00A8196B" w:rsidP="00AA6A13" w14:paraId="62A155E3" w14:textId="31EF213F">
      <w:r w:rsidRPr="00A8196B">
        <w:t>EPA requires submitters of PMNs and “bona fide notices” to provide a specific chemical identity for the substance for which a notice is made, based on a Chemical Abstracts (CA) Index name or a CA preferred name. This requirement reduces delays caused by incorrect or ambiguous chemical identity, expedites the Agency’s ability to perform Inventory searches, and saves Agency resources spent on naming submitters’ substances.</w:t>
      </w:r>
    </w:p>
    <w:p w:rsidR="00AA6A13" w:rsidRPr="00A8196B" w:rsidP="00AA6A13" w14:paraId="6268D063" w14:textId="77777777">
      <w:r w:rsidRPr="00A8196B">
        <w:t>Since a company’s initial intention to manufacture a substance or microorganism may change after making a PMN or MCAN submission, EPA requires companies to notify the Agency when manufacture (which includes import) begins by submitting a Notice of Commencement of Manufacture or Import (NOC) (see 40 CFR 720.102 and 725.190). Submitters specify in the NOC whether commencement occurred via domestic manufacture or importation and the address of the site(s) of first manufacture. This information is essential to the Agency as a compliance mechanism. The information requirements for NOC reporting also assist in identifying cases in which submitters have mistakenly reported the wrong case number in the NOC, or erroneously listed a substance that is very different from that which they intended to commence manufacture. In addition, the reporting requirements provide submitters an opportunity to update information that may no longer be correct or appropriate as reported in the notice. Finally, the NOC results in EPA adding that substance to the TSCA Inventory.</w:t>
      </w:r>
    </w:p>
    <w:p w:rsidR="00AA6A13" w:rsidRPr="00A8196B" w:rsidP="00AA6A13" w14:paraId="6A0F4785" w14:textId="4DACFB56">
      <w:r w:rsidRPr="00A8196B">
        <w:t xml:space="preserve">EPA requires the use of a specific reporting form (EPA Form No. 7710-56) for NOCs submitted for new chemicals in accordance with 40 CFR 720.102 (see Attachment </w:t>
      </w:r>
      <w:r w:rsidRPr="00A8196B" w:rsidR="00CC58F0">
        <w:t>6</w:t>
      </w:r>
      <w:r w:rsidRPr="00A8196B">
        <w:t>). Although submission of an NOC is also required for new microorganisms, a specific reporting form is not required to be used; however, the required contents of such an NOC are described in 40 CFR 725.190. The use of a standard form for new chemicals leads to greater efficiency by assisting EPA in readily identifying the type of notice, providing uniformity in recording responses in EPA databases, and providing manufacturers a format to assure that important information is not inadvertently omitted in their submissions. Before EPA required the use of a standard NOC form, a significant number of NOCs created difficulty because they were not recognized by the Agency as a NOC or they contained confusing, missing or unnecessary information. These problems resulted in a waste of time and resources for both submitters and EPA personnel who must prepare or review these notices. The required use of a standard reporting form also reduces EPA processing time for NOCs.</w:t>
      </w:r>
    </w:p>
    <w:p w:rsidR="00AA6A13" w:rsidRPr="00A8196B" w:rsidP="00AA6A13" w14:paraId="6737A62F" w14:textId="77777777">
      <w:r w:rsidRPr="00A8196B">
        <w:t xml:space="preserve">On a monthly basis, EPA publishes for the public in the Federal Register information summarizing the content of each PMN and test market exemption application received, including the specific or generic name of the chemical substance and the proposed </w:t>
      </w:r>
      <w:r w:rsidRPr="00A8196B">
        <w:t>use(s), as required by TSCA section 5(d)(2). This monthly publication also includes a list of the PMNs for which EPA has received NOCs.</w:t>
      </w:r>
    </w:p>
    <w:p w:rsidR="00AA6A13" w:rsidRPr="00A8196B" w:rsidP="00AA6A13" w14:paraId="5CEF565A" w14:textId="77777777">
      <w:r w:rsidRPr="00A8196B">
        <w:t>In order to be responsive to inquiries from Congress, the press and the public, EPA also periodically compiles certain information such as the number of notices submitted and their disposition.</w:t>
      </w:r>
    </w:p>
    <w:p w:rsidR="00AA6A13" w:rsidRPr="00A8196B" w:rsidP="00AA6A13" w14:paraId="64D0AF82" w14:textId="0032F201">
      <w:r w:rsidRPr="00A8196B">
        <w:t xml:space="preserve">The recordkeeping requirements for PMNs, MCANs, exemption applications, SNUNs and SNURs are necessary for EPA enforcement purposes. As part of its enforcement program, EPA conducts inspections to review the records of TSCA section 5 submitters to ensure that the information submitted in the notice was correct, that the submitter did not begin manufacture or processing before EPA made a determination, and that, for PMN chemicals or MCAN microorganisms, the notice of commencement was submitted when domestic manufacture or import began. The Agency also </w:t>
      </w:r>
      <w:r w:rsidRPr="00A8196B" w:rsidR="00BC0E6C">
        <w:t>ex</w:t>
      </w:r>
      <w:r w:rsidRPr="00A8196B">
        <w:t>pects manufacturers’ or processors’ chemical substances subject to SNURs to ensure that they are not doing so in violation of the SNUR. The recordkeeping requirements for exemptions are necessary for enforcement purposes as well. EPA conducts inspections to ensure that the information submitted in the aforementioned applications is true and that the person holding the exemption is complying with any restrictions EPA   imposed when it granted the exemption.</w:t>
      </w:r>
    </w:p>
    <w:p w:rsidR="00A7023B" w:rsidRPr="00A8196B" w:rsidP="00AA6A13" w14:paraId="43B9F05F" w14:textId="77777777">
      <w:pPr>
        <w:rPr>
          <w:b/>
          <w:bCs/>
        </w:rPr>
      </w:pPr>
      <w:r w:rsidRPr="00A8196B">
        <w:tab/>
      </w:r>
      <w:r w:rsidRPr="00A8196B" w:rsidR="00684B22">
        <w:rPr>
          <w:b/>
          <w:bCs/>
        </w:rPr>
        <w:t>Existing Chemicals</w:t>
      </w:r>
    </w:p>
    <w:p w:rsidR="006D379E" w:rsidRPr="00A8196B" w:rsidP="00587316" w14:paraId="65EB8384" w14:textId="44F69B8B">
      <w:r w:rsidRPr="00A8196B">
        <w:t>TSCA requires EPA to review submitters’ notices and make an affirmative finding on the safety of significant new uses of chemicals (identified by EPA in rulemaking) before they are manufactured (including imported) for non-exempt commercial purposes. To make a reasoned evaluation of the potential risk to human health or the environment associated with significant new uses, EPA needs information on each chemical’s structure and properties</w:t>
      </w:r>
      <w:r w:rsidRPr="00A8196B" w:rsidR="00D559AE">
        <w:t>;</w:t>
      </w:r>
      <w:r w:rsidRPr="00A8196B">
        <w:t xml:space="preserve"> manufacturing process</w:t>
      </w:r>
      <w:r w:rsidRPr="00A8196B" w:rsidR="00D559AE">
        <w:t>;</w:t>
      </w:r>
      <w:r w:rsidRPr="00A8196B">
        <w:t xml:space="preserve"> worker exposure</w:t>
      </w:r>
      <w:r w:rsidRPr="00A8196B" w:rsidR="00D559AE">
        <w:t>;</w:t>
      </w:r>
      <w:r w:rsidRPr="00A8196B">
        <w:t xml:space="preserve"> environmental release</w:t>
      </w:r>
      <w:r w:rsidRPr="00A8196B" w:rsidR="00D559AE">
        <w:t>;</w:t>
      </w:r>
      <w:r w:rsidRPr="00A8196B">
        <w:t xml:space="preserve"> production volume</w:t>
      </w:r>
      <w:r w:rsidRPr="00A8196B" w:rsidR="00D559AE">
        <w:t>;</w:t>
      </w:r>
      <w:r w:rsidRPr="00A8196B">
        <w:t xml:space="preserve"> potential industrial, commercial, and consumer use</w:t>
      </w:r>
      <w:r w:rsidRPr="00A8196B" w:rsidR="00D559AE">
        <w:t>;</w:t>
      </w:r>
      <w:r w:rsidRPr="00A8196B">
        <w:t xml:space="preserve"> and potential toxicity related to the substance. EPA needs sufficient information to enable Agency scientists to identify substances with analogous chemical structures and properties, with similar manufacturing processes, and with similar uses. The Agency reviews available data to evaluate the toxicity of the chemical and estimate potential exposure to the substance to assess the potential risks to human health or the environment.</w:t>
      </w:r>
    </w:p>
    <w:p w:rsidR="00AA6A13" w:rsidRPr="00A8196B" w:rsidP="00AA6A13" w14:paraId="34E9EEE3" w14:textId="0210A7D3">
      <w:r w:rsidRPr="00A8196B">
        <w:t xml:space="preserve">For both new and existing chemicals, </w:t>
      </w:r>
      <w:r w:rsidRPr="00A8196B" w:rsidR="001B415F">
        <w:t>u</w:t>
      </w:r>
      <w:r w:rsidRPr="00A8196B">
        <w:t xml:space="preserve">sers of the information are EPA employees located primarily in the Office of Pollution Prevention and Toxics (OPPT), within the Office of Chemical Safety and Pollution Prevention (OCSPP), and in the Office of Enforcement and Compliance Assurance (OECA), and Core TSCA Regional Coordinator Inspectors. </w:t>
      </w:r>
      <w:r w:rsidRPr="00A8196B">
        <w:t>EPA s</w:t>
      </w:r>
      <w:r w:rsidRPr="00A8196B">
        <w:t xml:space="preserve">taff within the various </w:t>
      </w:r>
      <w:r w:rsidRPr="00A8196B" w:rsidR="000C7417">
        <w:t>d</w:t>
      </w:r>
      <w:r w:rsidRPr="00A8196B">
        <w:t xml:space="preserve">ivisions of OPPT use this information to review and evaluate the health and environmental effects of new chemicals and significant new uses of </w:t>
      </w:r>
      <w:r w:rsidRPr="00A8196B">
        <w:t xml:space="preserve">existing </w:t>
      </w:r>
      <w:r w:rsidRPr="00A8196B">
        <w:t xml:space="preserve">chemicals, and to recommend and implement regulatory actions if warranted. OCSPP employees in the Regional Offices </w:t>
      </w:r>
      <w:r w:rsidRPr="00A8196B">
        <w:t>and OECA employees in Headquarters and in the Regions use TSCA section 5 information for compliance monitoring and enforcement purposes.</w:t>
      </w:r>
    </w:p>
    <w:p w:rsidR="000D5E31" w:rsidRPr="00A8196B" w:rsidP="00377C64" w14:paraId="44CE1C5B" w14:textId="1FC2F9E2">
      <w:pPr>
        <w:pStyle w:val="Heading2"/>
      </w:pPr>
      <w:r w:rsidRPr="00A8196B">
        <w:t xml:space="preserve">3. </w:t>
      </w:r>
      <w:r w:rsidRPr="00A8196B" w:rsidR="00E9163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3"/>
    </w:p>
    <w:p w:rsidR="00B04C37" w:rsidRPr="00A8196B" w:rsidP="00B04C37" w14:paraId="2CDAA33F" w14:textId="53438987">
      <w:r w:rsidRPr="00A8196B">
        <w:t xml:space="preserve">EPA developed e-PMN software for use in preparing and submitting TSCA section 5 notices such as SNUNs </w:t>
      </w:r>
      <w:r w:rsidRPr="00A8196B" w:rsidR="001B415F">
        <w:t>(for new and existing chemicals)</w:t>
      </w:r>
      <w:r w:rsidRPr="00A8196B">
        <w:t xml:space="preserve"> and support documents electronically to the Agency via </w:t>
      </w:r>
      <w:r w:rsidRPr="00A8196B" w:rsidR="00217783">
        <w:t>CDX and</w:t>
      </w:r>
      <w:r w:rsidRPr="00A8196B">
        <w:t xml:space="preserve"> updated the e-PMN software in 2015 so that it operates more efficiently as a “cloud” software system rather than as a downloadable software system</w:t>
      </w:r>
      <w:r w:rsidRPr="00A8196B" w:rsidR="0042277D">
        <w:t xml:space="preserve"> (Attachment 3.)</w:t>
      </w:r>
      <w:r w:rsidRPr="00A8196B">
        <w:t xml:space="preserve">. EPA’s CDX is the point of entry on the Environmental Information Exchange Network (Exchange Network) for environmental data submissions to the Agency. CDX provides the capability for submitters to access their data through the use of web services. CDX enables EPA and participating program offices to work with stakeholders–including State, tribal, and local governments and regulated industries–to enable streamlined electronic submission of data via the Internet. For more information about CDX, go to </w:t>
      </w:r>
      <w:hyperlink r:id="rId6" w:history="1">
        <w:r w:rsidRPr="00A8196B">
          <w:rPr>
            <w:rStyle w:val="Hyperlink"/>
          </w:rPr>
          <w:t>https://cdx.epa.gov/</w:t>
        </w:r>
      </w:hyperlink>
      <w:r w:rsidRPr="00A8196B">
        <w:t xml:space="preserve">. The use of CDX for submission of TSCA section 5 notices and support documents is consistent with the Government Paperwork Elimination Act (GPEA, Title XVII of Public Law 105-277) that requires Federal agencies to provide electronic submission, maintenance, or disclosure of information, when practicable as a substitute for </w:t>
      </w:r>
      <w:r w:rsidRPr="00A8196B" w:rsidR="003B26BC">
        <w:t>paper.</w:t>
      </w:r>
    </w:p>
    <w:p w:rsidR="00B04C37" w:rsidRPr="00A8196B" w:rsidP="00EF50B4" w14:paraId="41393368" w14:textId="313BC31F">
      <w:pPr>
        <w:pStyle w:val="Heading2"/>
      </w:pPr>
      <w:r w:rsidRPr="00A8196B">
        <w:t xml:space="preserve">4. </w:t>
      </w:r>
      <w:r w:rsidRPr="00A8196B" w:rsidR="003041B0">
        <w:t>D</w:t>
      </w:r>
      <w:r w:rsidRPr="00A8196B" w:rsidR="000D5E31">
        <w:t>escribe efforts to identify duplication.</w:t>
      </w:r>
      <w:r w:rsidRPr="00A8196B" w:rsidR="0093316B">
        <w:t xml:space="preserve"> Show specifically why any similar information already available cannot be used or modified for use for the purposes described in Item 2 above.</w:t>
      </w:r>
    </w:p>
    <w:p w:rsidR="00A7023B" w:rsidRPr="00A8196B" w:rsidP="009B2563" w14:paraId="2B283126" w14:textId="77777777">
      <w:pPr>
        <w:pStyle w:val="BodyTextFirstIndent"/>
        <w:spacing w:after="200" w:line="276" w:lineRule="auto"/>
        <w:rPr>
          <w:b/>
          <w:bCs/>
        </w:rPr>
      </w:pPr>
      <w:r w:rsidRPr="00A8196B">
        <w:rPr>
          <w:b/>
          <w:bCs/>
        </w:rPr>
        <w:tab/>
      </w:r>
      <w:r w:rsidRPr="00A8196B" w:rsidR="00684B22">
        <w:rPr>
          <w:b/>
          <w:bCs/>
        </w:rPr>
        <w:t>New Chemicals</w:t>
      </w:r>
    </w:p>
    <w:p w:rsidR="00A7023B" w:rsidRPr="00A8196B" w:rsidP="004E6EE2" w14:paraId="008333DC" w14:textId="77777777">
      <w:r w:rsidRPr="00A8196B">
        <w:t>EPA is the only federal agency that regularly collects information on new chemical substances as defined under TSCA section 3 (in instances where chemical substances also have drug or cosmetic uses, the Food and Drug Administration would have jurisdiction over activities associated with those uses.)  Therefore, the information submitters provide in a PMN or MCAN cannot be obtained elsewhere. However, information previously submitted to EPA need not be resubmitted if the following conditions are met: the information was submitted with no claims of confidentiality and the PMN (or other TSCA section 5 notice) identifies the office or person to whom the information was submitted and the date of the submission.</w:t>
      </w:r>
    </w:p>
    <w:p w:rsidR="00A7023B" w:rsidRPr="00A8196B" w:rsidP="004E6EE2" w14:paraId="243F5362" w14:textId="77777777">
      <w:pPr>
        <w:pStyle w:val="BodyTextFirstIndent"/>
        <w:keepNext/>
        <w:spacing w:after="200" w:line="276" w:lineRule="auto"/>
        <w:rPr>
          <w:b/>
          <w:bCs/>
        </w:rPr>
      </w:pPr>
      <w:r w:rsidRPr="00A8196B">
        <w:rPr>
          <w:b/>
          <w:bCs/>
        </w:rPr>
        <w:tab/>
      </w:r>
      <w:r w:rsidRPr="00A8196B" w:rsidR="00684B22">
        <w:rPr>
          <w:b/>
          <w:bCs/>
        </w:rPr>
        <w:t>Existing Chemicals</w:t>
      </w:r>
    </w:p>
    <w:p w:rsidR="00A7023B" w:rsidRPr="00A8196B" w:rsidP="004E6EE2" w14:paraId="7B470FAF" w14:textId="77777777">
      <w:r w:rsidRPr="00A8196B">
        <w:t xml:space="preserve">EPA is the only federal agency that collects information on significant new uses of chemical substances. A notification of an intent to engage in a significant new use </w:t>
      </w:r>
      <w:r w:rsidRPr="00A8196B">
        <w:t>serves two functions: as a notice, and as a document that contains information about a chemical substance and potential exposures to that substance.</w:t>
      </w:r>
    </w:p>
    <w:p w:rsidR="00B04C37" w:rsidRPr="00A8196B" w:rsidP="00B04C37" w14:paraId="4E30B8C4" w14:textId="4E99BF27">
      <w:r w:rsidRPr="00A8196B">
        <w:t>The notification element is unique to SNURs and therefore not obtainable elsewhere.  The chemical information aspect will also contain unique information. Only the person who intends to commence a significant new use of a chemical substance will know the potential for human and environmental exposures to that substance, the quantity intended to be manufactured (including imported) or processed, and the manner in which the person will engage in the significant new use.</w:t>
      </w:r>
    </w:p>
    <w:p w:rsidR="00B04C37" w:rsidRPr="00A8196B" w:rsidP="00B04C37" w14:paraId="5E11DED5" w14:textId="742F3D92">
      <w:r w:rsidRPr="00A8196B">
        <w:t>A person submitting a significant new use notice is not required to develop test data. However, the person must submit data that are known to or reasonably ascertainable by that person. For published data the submitter need only provide a literature citation (40 CFR 720.50(d)(3)(ii)). For existing chemicals that are related to the chemical substance that is the subject of the SNUR (e.g., impurities, byproducts), neither the published data nor a literature citation need be submitted. Also, notices need not include information previously submitted to EPA (unless the previously submitted information was claimed confidential, in which case it must be resubmitted).</w:t>
      </w:r>
    </w:p>
    <w:p w:rsidR="000D5E31" w:rsidRPr="00A8196B" w:rsidP="00EF50B4" w14:paraId="318B9393" w14:textId="10F81AA0">
      <w:pPr>
        <w:pStyle w:val="Heading2"/>
      </w:pPr>
      <w:r w:rsidRPr="00A8196B">
        <w:t xml:space="preserve">5. </w:t>
      </w:r>
      <w:r w:rsidRPr="00A8196B">
        <w:t>If the collection of information impacts small businesses or other small entities, describe the methods used to minimize burden.</w:t>
      </w:r>
    </w:p>
    <w:p w:rsidR="00CA19A2" w:rsidRPr="00A8196B" w:rsidP="00CA19A2" w14:paraId="0F979E96" w14:textId="3B2B4712">
      <w:r w:rsidRPr="00A8196B">
        <w:t>All business, regardless of size, must comply with the requirements of TSCA section 5. However, OPPT has taken a number of steps intended to minimize the burden placed on small business. For instance, TSCA section 26(d) established an Assistance Office to provide technical and other nonfinancial assistance to manufacturers (including importers) and processors of chemical substances and mixtures. This office has established a toll-free hotline, performs on-site field visits and consultations, and has hired a contractor to assist small businesses, free of charge, in complying with TSCA requirements. Small businesses also pay a lower fee for SNUN submissions.</w:t>
      </w:r>
    </w:p>
    <w:p w:rsidR="003C2C15" w:rsidRPr="00A8196B" w:rsidP="004E6EE2" w14:paraId="1D8D9154" w14:textId="2EABDD44">
      <w:r w:rsidRPr="00A8196B">
        <w:t xml:space="preserve">The reporting and recordkeeping requirements associated with TSCA section 5 are applicable to all affected entities, regardless of size of business. However, EPA provides specialized assistance to respondents, particularly to small entities. TSCA section 26(d) established the TSCA Assistance Office, now known as the </w:t>
      </w:r>
      <w:r w:rsidRPr="00A8196B" w:rsidR="6CC7BB61">
        <w:t>Stakeholder Engagement Branch</w:t>
      </w:r>
      <w:r w:rsidRPr="00A8196B">
        <w:t xml:space="preserve">, to provide technical and other non-financial assistance to manufacturers and processors of chemical substances. This office has established a TSCA Hotline to assist small businesses complying with TSCA rules. It provides material such as copies of </w:t>
      </w:r>
      <w:r w:rsidRPr="005A27CE">
        <w:rPr>
          <w:i/>
          <w:iCs/>
        </w:rPr>
        <w:t>Federal Register</w:t>
      </w:r>
      <w:r w:rsidRPr="00A8196B">
        <w:t xml:space="preserve"> notices, advisories, and other information on request. In addition, currently “small business concerns” submit a reduced fee for notices and exemptions where such fees apply. Under the 2018 user fee rule, for PMNs, SNUNs, and MCANs, small business concerns submit a fee of $2,800 (rather than $16,000) and for LVE, LoREX, TME, TERA, Tier II, and photographic film article exemptions, a fee of $940 (rather than $4,700).</w:t>
      </w:r>
    </w:p>
    <w:p w:rsidR="003C2C15" w:rsidRPr="00A8196B" w:rsidP="004E6EE2" w14:paraId="5B0D1436" w14:textId="77777777">
      <w:r w:rsidRPr="00A8196B">
        <w:t>Moreover, EPA has taken certain steps to minimize the reporting burden associated with complying with this collection for all respondents. For example, the information technology used by EPA includes bibliographic databases that reference scientific literature and databases containing previously-submitted chemical information. These databases allow EPA to exempt submitters from needlessly providing already-published data or resubmitting previously submitted information (unless the previously submitted information was claimed confidential).</w:t>
      </w:r>
    </w:p>
    <w:p w:rsidR="003C2C15" w:rsidRPr="00A8196B" w:rsidP="004E6EE2" w14:paraId="1FCD4D83" w14:textId="4403313A">
      <w:r w:rsidRPr="00A8196B">
        <w:t xml:space="preserve">Also, as discussed </w:t>
      </w:r>
      <w:r w:rsidRPr="00A8196B" w:rsidR="000110EC">
        <w:t>previously</w:t>
      </w:r>
      <w:r w:rsidRPr="00A8196B">
        <w:t>, EPA has issued several TSCA section 5 exemption rules that reduce PMN reporting requirements thereby providing relief to submitters from the burden of responding to the full PMN/MCAN requirements.</w:t>
      </w:r>
    </w:p>
    <w:p w:rsidR="003C2C15" w:rsidRPr="00A8196B" w:rsidP="004E6EE2" w14:paraId="222351AA" w14:textId="6FEAFDC0">
      <w:r w:rsidRPr="00A8196B">
        <w:t>Finally, EPA provides the services of pre-</w:t>
      </w:r>
      <w:r w:rsidRPr="00A8196B" w:rsidR="4D8E675F">
        <w:t>notice</w:t>
      </w:r>
      <w:r w:rsidRPr="00A8196B">
        <w:t xml:space="preserve"> communications coordinators and other personnel to assist persons in a comprehensive manner for purposes of notice preparation prior to submission. For instance, for new chemical substances a PMN submitter may, upon consultation with the pre-</w:t>
      </w:r>
      <w:r w:rsidRPr="00A8196B" w:rsidR="56822933">
        <w:t>notice</w:t>
      </w:r>
      <w:r w:rsidRPr="00A8196B">
        <w:t xml:space="preserve"> communication coordinator, prepare one “consolidated notice” for up to six chemical substances if they are similar in physicochemical structure and use and share common test data or other information. Pre-</w:t>
      </w:r>
      <w:r w:rsidRPr="00A8196B" w:rsidR="4DF38ABA">
        <w:t>notice</w:t>
      </w:r>
      <w:r w:rsidRPr="00A8196B">
        <w:t xml:space="preserve"> communication coordinators respond to other pre-</w:t>
      </w:r>
      <w:r w:rsidRPr="00A8196B" w:rsidR="1DF659D7">
        <w:t>notice</w:t>
      </w:r>
      <w:r w:rsidRPr="00A8196B">
        <w:t xml:space="preserve"> inquiries that may pertain to the full scope of the TSCA section 5 regulations.</w:t>
      </w:r>
    </w:p>
    <w:p w:rsidR="00897D7E" w:rsidRPr="00A8196B" w:rsidP="00EF50B4" w14:paraId="5F088A3E" w14:textId="4B9F9FD0">
      <w:pPr>
        <w:pStyle w:val="Heading2"/>
      </w:pPr>
      <w:r w:rsidRPr="00A8196B">
        <w:t xml:space="preserve">6. </w:t>
      </w:r>
      <w:r w:rsidRPr="00A8196B" w:rsidR="00BE461C">
        <w:t>Describe the consequence to Federal program or policy activities if the collection is not conducted or is conducted less frequently, as well as any technical or legal obstacles to reducing burden.</w:t>
      </w:r>
    </w:p>
    <w:p w:rsidR="00B04C37" w:rsidRPr="00A8196B" w:rsidP="004E6EE2" w14:paraId="24CE7C29" w14:textId="49E8CF5A">
      <w:r w:rsidRPr="00A8196B">
        <w:t xml:space="preserve">The frequency of the submission of information under TSCA section 5 is not under the Agency’s control. Manufacturers of new chemical substances must submit a PMN, SNUN, or MCAN at least 90 days prior to anticipated manufacturing or distribution of the substance for non-exempt commercial use. </w:t>
      </w:r>
      <w:r w:rsidRPr="00A8196B" w:rsidR="008E6A92">
        <w:rPr>
          <w:rFonts w:eastAsia="Times New Roman"/>
        </w:rPr>
        <w:t>For existing chemicals, manufacturers submit a SNUN</w:t>
      </w:r>
      <w:r w:rsidRPr="00A8196B" w:rsidR="00787DEA">
        <w:rPr>
          <w:rFonts w:eastAsia="Times New Roman"/>
        </w:rPr>
        <w:t xml:space="preserve">. </w:t>
      </w:r>
      <w:r w:rsidRPr="00A8196B">
        <w:t xml:space="preserve">Submissions of exemption applications must be submitted within 45 or 30 days prior to anticipated manufacturing or distribution of the substance for non-exempt commercial use. </w:t>
      </w:r>
      <w:r w:rsidRPr="00A8196B" w:rsidR="0021586C">
        <w:t>For both new and existing chemical</w:t>
      </w:r>
      <w:r w:rsidRPr="00A8196B" w:rsidR="000D0ED2">
        <w:t xml:space="preserve"> substances, i</w:t>
      </w:r>
      <w:r w:rsidRPr="00A8196B">
        <w:t>nformation is provided to EPA on an as-needed basis, initiated by submitters. Subsequent reporting would only be required if EPA determined that a specific use of a substance not included in the notice under review constituted a significant new use. Less frequent collection would mean submitters not being required to provide notice to EPA at all, which is contrary to the statutory direction. Without the notice and included information, EPA would be unable to administer the TSCA new chemical review requirements and would be unable to carry out its statutory mandate to protect the public from unreasonable risks to health and the environment.</w:t>
      </w:r>
    </w:p>
    <w:p w:rsidR="00A7023B" w:rsidRPr="00A8196B" w:rsidP="00EF50B4" w14:paraId="47BDD1E5" w14:textId="0412CE26">
      <w:pPr>
        <w:pStyle w:val="Heading2"/>
        <w:keepNext/>
        <w:keepLines/>
        <w:tabs>
          <w:tab w:val="clear" w:pos="1080"/>
        </w:tabs>
      </w:pPr>
      <w:r w:rsidRPr="00A8196B">
        <w:t xml:space="preserve">7. </w:t>
      </w:r>
      <w:r w:rsidRPr="00A8196B" w:rsidR="009A7738">
        <w:t>Explain any special circumstances that require the collection to be conducted in a manner</w:t>
      </w:r>
      <w:r w:rsidRPr="00A8196B" w:rsidR="0093316B">
        <w:t>:</w:t>
      </w:r>
    </w:p>
    <w:p w:rsidR="00A7023B" w:rsidRPr="00A8196B" w:rsidP="004E6EE2" w14:paraId="7CE1F218" w14:textId="77777777">
      <w:pPr>
        <w:pStyle w:val="Heading3"/>
        <w:contextualSpacing/>
      </w:pPr>
      <w:r w:rsidRPr="00A8196B">
        <w:t>requiring respondents to report information to the agency more often than quarterly;</w:t>
      </w:r>
    </w:p>
    <w:p w:rsidR="00A7023B" w:rsidRPr="00A8196B" w:rsidP="004E6EE2" w14:paraId="20EAFDB9" w14:textId="77777777">
      <w:pPr>
        <w:pStyle w:val="Heading3"/>
        <w:contextualSpacing/>
      </w:pPr>
      <w:r w:rsidRPr="00A8196B">
        <w:t>requiring respondents to prepare a written response to a collection of information in fewer than 30 days after receipt of it;</w:t>
      </w:r>
    </w:p>
    <w:p w:rsidR="00A7023B" w:rsidRPr="00A8196B" w:rsidP="004E6EE2" w14:paraId="57B33047" w14:textId="77777777">
      <w:pPr>
        <w:pStyle w:val="Heading3"/>
        <w:contextualSpacing/>
      </w:pPr>
      <w:r w:rsidRPr="00A8196B">
        <w:t>requiring respondents to submit more than an original and two copies of any document;</w:t>
      </w:r>
    </w:p>
    <w:p w:rsidR="0093316B" w:rsidRPr="00A8196B" w:rsidP="004E6EE2" w14:paraId="2804ABBE" w14:textId="49157841">
      <w:pPr>
        <w:pStyle w:val="Heading3"/>
        <w:contextualSpacing/>
      </w:pPr>
      <w:r w:rsidRPr="00A8196B">
        <w:t xml:space="preserve">requiring respondents to retain records, other than health, medical, government contract, grant-in-aid, or tax records, for more than three years; </w:t>
      </w:r>
    </w:p>
    <w:p w:rsidR="0093316B" w:rsidRPr="00A8196B" w:rsidP="004E6EE2" w14:paraId="563D6CEB" w14:textId="77777777">
      <w:pPr>
        <w:pStyle w:val="Heading3"/>
        <w:contextualSpacing/>
      </w:pPr>
      <w:r w:rsidRPr="00A8196B">
        <w:t>in connection with a statistical survey, that is not designed to produce valid and reliable results that can be generalized to the universe of study;</w:t>
      </w:r>
    </w:p>
    <w:p w:rsidR="00A7023B" w:rsidRPr="00A8196B" w:rsidP="004E6EE2" w14:paraId="231EF976" w14:textId="77777777">
      <w:pPr>
        <w:pStyle w:val="Heading3"/>
        <w:contextualSpacing/>
      </w:pPr>
      <w:r w:rsidRPr="00A8196B">
        <w:t>requiring the use of a statistical data classification that has not been reviewed and approved by OMB;</w:t>
      </w:r>
    </w:p>
    <w:p w:rsidR="0093316B" w:rsidRPr="00A8196B" w:rsidP="004E6EE2" w14:paraId="3FDECF9C" w14:textId="3AA33B19">
      <w:pPr>
        <w:pStyle w:val="Heading3"/>
        <w:contextualSpacing/>
      </w:pPr>
      <w:r w:rsidRPr="00A8196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023B" w:rsidRPr="00A8196B" w:rsidP="00C47D6B" w14:paraId="5D175C27" w14:textId="77777777">
      <w:pPr>
        <w:pStyle w:val="Heading3"/>
      </w:pPr>
      <w:r w:rsidRPr="00A8196B">
        <w:t>requiring respondents to submit proprietary trade secrets, or other confidential information unless the agency can demonstrate that it has instituted procedures to protect the information's confidentiality to the extent permitted by law.</w:t>
      </w:r>
    </w:p>
    <w:p w:rsidR="00B04C37" w:rsidRPr="00A8196B" w:rsidP="00EF50B4" w14:paraId="0F167EA6" w14:textId="7C86D1E7">
      <w:pPr>
        <w:pStyle w:val="Heading2"/>
        <w:ind w:firstLine="0"/>
        <w:rPr>
          <w:b w:val="0"/>
        </w:rPr>
      </w:pPr>
      <w:r w:rsidRPr="00A8196B">
        <w:rPr>
          <w:b w:val="0"/>
          <w:bCs w:val="0"/>
        </w:rPr>
        <w:t>Recordkeeping for new chemical substances is for five years.</w:t>
      </w:r>
      <w:r w:rsidRPr="00A8196B">
        <w:rPr>
          <w:b w:val="0"/>
        </w:rPr>
        <w:t xml:space="preserve"> </w:t>
      </w:r>
      <w:r w:rsidR="008F6B7B">
        <w:rPr>
          <w:b w:val="0"/>
        </w:rPr>
        <w:t xml:space="preserve">See, e.g., </w:t>
      </w:r>
      <w:r w:rsidRPr="001B6CF8" w:rsidR="008F6B7B">
        <w:rPr>
          <w:b w:val="0"/>
        </w:rPr>
        <w:t xml:space="preserve">40 CFR 720.78, </w:t>
      </w:r>
      <w:r w:rsidR="008F6B7B">
        <w:rPr>
          <w:b w:val="0"/>
        </w:rPr>
        <w:t>720.</w:t>
      </w:r>
      <w:r w:rsidRPr="001B6CF8" w:rsidR="008F6B7B">
        <w:rPr>
          <w:b w:val="0"/>
        </w:rPr>
        <w:t>125, 723.50, 725.65</w:t>
      </w:r>
      <w:r w:rsidR="008F6B7B">
        <w:rPr>
          <w:b w:val="0"/>
        </w:rPr>
        <w:t>,</w:t>
      </w:r>
      <w:r w:rsidRPr="001B6CF8" w:rsidR="008F6B7B">
        <w:rPr>
          <w:b w:val="0"/>
        </w:rPr>
        <w:t xml:space="preserve"> and </w:t>
      </w:r>
      <w:r w:rsidR="008F6B7B">
        <w:rPr>
          <w:b w:val="0"/>
        </w:rPr>
        <w:t>725.</w:t>
      </w:r>
      <w:r w:rsidRPr="001B6CF8" w:rsidR="008F6B7B">
        <w:rPr>
          <w:b w:val="0"/>
        </w:rPr>
        <w:t>950</w:t>
      </w:r>
      <w:r w:rsidR="008F6B7B">
        <w:rPr>
          <w:b w:val="0"/>
        </w:rPr>
        <w:t>.</w:t>
      </w:r>
    </w:p>
    <w:p w:rsidR="00A7023B" w:rsidRPr="00A8196B" w:rsidP="00EF50B4" w14:paraId="2A40A0DE" w14:textId="524550B7">
      <w:pPr>
        <w:pStyle w:val="Heading2"/>
        <w:keepNext/>
        <w:keepLines/>
        <w:tabs>
          <w:tab w:val="clear" w:pos="1080"/>
        </w:tabs>
        <w:ind w:left="547" w:hanging="547"/>
      </w:pPr>
      <w:r w:rsidRPr="00A8196B">
        <w:t xml:space="preserve">8. </w:t>
      </w:r>
      <w:r w:rsidRPr="00A8196B" w:rsidR="009A7738">
        <w:t>If applicable, provide a copy and identify the date and page number of publication in the Federal Register of the agency’s notice, required by 5</w:t>
      </w:r>
      <w:r w:rsidRPr="00A8196B" w:rsidR="002059F4">
        <w:t xml:space="preserve"> </w:t>
      </w:r>
      <w:r w:rsidRPr="00A8196B" w:rsidR="009A7738">
        <w:t xml:space="preserve">CFR </w:t>
      </w:r>
      <w:r w:rsidRPr="00A8196B" w:rsidR="002059F4">
        <w:t>1</w:t>
      </w:r>
      <w:r w:rsidRPr="00A8196B" w:rsidR="009A7738">
        <w:t>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9A7738" w:rsidRPr="00A8196B" w:rsidP="00C47D6B" w14:paraId="4DF9935E" w14:textId="7A1C499A">
      <w:pPr>
        <w:pStyle w:val="Heading3"/>
        <w:numPr>
          <w:ilvl w:val="0"/>
          <w:numId w:val="0"/>
        </w:numPr>
        <w:ind w:left="547"/>
      </w:pPr>
      <w:r w:rsidRPr="00A8196B">
        <w:t xml:space="preserve">Describe efforts to consult with persons outside </w:t>
      </w:r>
      <w:r w:rsidRPr="00A8196B" w:rsidR="002059F4">
        <w:t>EPA</w:t>
      </w:r>
      <w:r w:rsidRPr="00A8196B">
        <w:t xml:space="preserve"> to obtain their views on the availability of data, frequency of collection, the clarity of instructions and recordkeeping, disclosure, or reporting format (if any), and on the data elements to be recorded, disclosed, or report</w:t>
      </w:r>
      <w:r w:rsidRPr="00A8196B" w:rsidR="00E00E93">
        <w:t>ed</w:t>
      </w:r>
      <w:r w:rsidRPr="00A8196B">
        <w:t>.</w:t>
      </w:r>
    </w:p>
    <w:p w:rsidR="00E00E93" w:rsidP="00C47D6B" w14:paraId="57FCDACA" w14:textId="1CC89619">
      <w:pPr>
        <w:pStyle w:val="Heading3"/>
        <w:numPr>
          <w:ilvl w:val="0"/>
          <w:numId w:val="0"/>
        </w:numPr>
        <w:ind w:left="547"/>
      </w:pPr>
      <w:r w:rsidRPr="00A8196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F6B7B" w:rsidP="00DF5EC6" w14:paraId="5632F6ED" w14:textId="66C179AA">
      <w:pPr>
        <w:pStyle w:val="NoSpacing"/>
        <w:rPr>
          <w:rFonts w:ascii="Arial" w:hAnsi="Arial" w:cs="Arial"/>
          <w:sz w:val="24"/>
          <w:szCs w:val="24"/>
        </w:rPr>
      </w:pPr>
      <w:r>
        <w:rPr>
          <w:rFonts w:ascii="Arial" w:hAnsi="Arial" w:cs="Arial"/>
          <w:sz w:val="24"/>
          <w:szCs w:val="24"/>
        </w:rPr>
        <w:t xml:space="preserve">This ICR </w:t>
      </w:r>
      <w:r w:rsidR="00DF5EC6">
        <w:rPr>
          <w:rFonts w:ascii="Arial" w:hAnsi="Arial" w:cs="Arial"/>
          <w:sz w:val="24"/>
          <w:szCs w:val="24"/>
        </w:rPr>
        <w:t xml:space="preserve">revision </w:t>
      </w:r>
      <w:r>
        <w:rPr>
          <w:rFonts w:ascii="Arial" w:hAnsi="Arial" w:cs="Arial"/>
          <w:sz w:val="24"/>
          <w:szCs w:val="24"/>
        </w:rPr>
        <w:t xml:space="preserve">will be posted to the docket for comment along with the proposed new chemicals procedural rule. After comments are received, EPA will summarize and address those comments, as appropriate. </w:t>
      </w:r>
    </w:p>
    <w:p w:rsidR="00DF5EC6" w:rsidRPr="008F6B7B" w:rsidP="00DF5EC6" w14:paraId="27656466" w14:textId="77777777">
      <w:pPr>
        <w:pStyle w:val="NoSpacing"/>
      </w:pPr>
    </w:p>
    <w:p w:rsidR="009A7738" w:rsidRPr="00A8196B" w:rsidP="00EF50B4" w14:paraId="68CD10BA" w14:textId="46B3C519">
      <w:pPr>
        <w:pStyle w:val="Heading2"/>
      </w:pPr>
      <w:r w:rsidRPr="00A8196B">
        <w:t xml:space="preserve">9. </w:t>
      </w:r>
      <w:r w:rsidRPr="00A8196B">
        <w:t>Explain any decision to provide any payment or gift to respondents, other than remuneration of contractors or grantees.</w:t>
      </w:r>
    </w:p>
    <w:p w:rsidR="00A7023B" w:rsidRPr="00A8196B" w:rsidP="00391E9E" w14:paraId="66A00132" w14:textId="77777777">
      <w:pPr>
        <w:rPr>
          <w:lang w:bidi="en-US"/>
        </w:rPr>
      </w:pPr>
      <w:r w:rsidRPr="00A8196B">
        <w:rPr>
          <w:lang w:bidi="en-US"/>
        </w:rPr>
        <w:t>Not applicable.</w:t>
      </w:r>
    </w:p>
    <w:p w:rsidR="009A7738" w:rsidRPr="00A8196B" w:rsidP="00EF50B4" w14:paraId="1E0798B2" w14:textId="4A87778D">
      <w:pPr>
        <w:pStyle w:val="Heading2"/>
      </w:pPr>
      <w:r w:rsidRPr="00A8196B">
        <w:t xml:space="preserve">10. </w:t>
      </w:r>
      <w:r w:rsidRPr="00A8196B">
        <w:t>Describe any assurance of confidentiality provided to respondents and the basis for the assurance in statute, regulation, or agency policy.</w:t>
      </w:r>
      <w:r w:rsidRPr="00A8196B" w:rsidR="00E00E93">
        <w:t xml:space="preserve"> If the collection requires a </w:t>
      </w:r>
      <w:r w:rsidRPr="00A8196B" w:rsidR="00AA26A0">
        <w:t>system of records notice (SORN)</w:t>
      </w:r>
      <w:r w:rsidRPr="00A8196B" w:rsidR="00E00E93">
        <w:t xml:space="preserve"> or privacy impact assessment (PIA), those should be cited and described here.</w:t>
      </w:r>
    </w:p>
    <w:p w:rsidR="00AA6A13" w:rsidRPr="00A8196B" w:rsidP="004E6EE2" w14:paraId="03792E26" w14:textId="77777777">
      <w:r w:rsidRPr="00A8196B">
        <w:t xml:space="preserve">Much of the required premanufacture information may be considered by the submitter to be a trade secret, proprietary, or “confidential business information” (CBI). However, TSCA mandates that EPA require the submission of such information because it is essential for providing a basis to determine unreasonable risk. EPA cannot draw conclusions or make assumptions concerning toxicological effects and potential risks without examining physicochemical structure, methods of production, byproducts, potential uses, exposure information, etc. The Agency is required by TSCA section 5(d)(2) to publish a </w:t>
      </w:r>
      <w:r w:rsidRPr="005A27CE">
        <w:rPr>
          <w:i/>
          <w:iCs/>
        </w:rPr>
        <w:t>Federal Register</w:t>
      </w:r>
      <w:r w:rsidRPr="00A8196B">
        <w:t xml:space="preserve"> notice that identifies the chemical substance, lists its uses or intended uses and describes test information. Congress included these provisions to allow active public participation in the review process.</w:t>
      </w:r>
    </w:p>
    <w:p w:rsidR="00AA6A13" w:rsidRPr="00A8196B" w:rsidP="004E6EE2" w14:paraId="5AEC1523" w14:textId="21988815">
      <w:r w:rsidRPr="00A8196B">
        <w:t xml:space="preserve">The Agency’s policies allow public involvement while preserving confidentiality. Amended TSCA section 14(a) prohibits disclosure of trade secret information publicly when the requirements of TSCA section 14(c) are met. Also, TSCA section 14(b) allows disclosure of health and safety studies, including underlying information, unless these studies disclose confidential process or mixture information. Under 40 CFR 720.85 and 720.87 (See also 40 CFR part 2), when the specific chemical identity or use information are claimed confidential, the Agency requires the submitter to provide generic descriptions for inclusion in </w:t>
      </w:r>
      <w:r w:rsidRPr="005A27CE">
        <w:rPr>
          <w:i/>
          <w:iCs/>
        </w:rPr>
        <w:t>Federal Register</w:t>
      </w:r>
      <w:r w:rsidRPr="00A8196B">
        <w:t xml:space="preserve"> notices and the public file. Additionally, the submitter must provide a “sanitized” copy of all health and environmental effects information, with confidential information deleted, for placement in the public docket. Within the Agency, only personnel with the required clearance may handle TSCA CBI.</w:t>
      </w:r>
    </w:p>
    <w:p w:rsidR="00AA6A13" w:rsidRPr="00A8196B" w:rsidP="004E6EE2" w14:paraId="0C6E6DDB" w14:textId="7A15B9C0">
      <w:r w:rsidRPr="00A8196B">
        <w:t xml:space="preserve">As amended by the Lautenberg Act, TSCA section 14(c)(3) requires that any CBI claims be substantiated concurrently with the submission of the information, except that CBI claims described in TSCA section 14(c)(2) are not subject to substantiation. Based on its experience, EPA expects that most information included in TSCA section 5 notices will be claimed CBI pursuant to TSCA section 14(c)(3). To implement this new requirement for substantiation, the Agency will generally allow a PMN submitter to substantiate or correct a previously submitted substantiation for a period of 30 days from the date the PMN submitter made a CBI claim.  If properly substantiated, the Agency will continue to stringently prevent unauthorized disclosure of CBI. These procedures apply to CBI submitted by manufacturers as well as CBI generated by EPA staff in the course of their review. Access to CBI is restricted to persons who need the </w:t>
      </w:r>
      <w:r w:rsidRPr="00A8196B">
        <w:t>information for their work. No one is allowed access to CBI without first undergoing instruction on procedures for handling CBI. Special procedures have been instituted to restrict access to computerized CBI and to ensure that such information is secure. These procedures are detailed in the “TSCA CBI Protection Manual,” October 2003. EPA believes these procedures protect confidential business information while providing the public with as much information as possible.</w:t>
      </w:r>
    </w:p>
    <w:p w:rsidR="00B04C37" w:rsidRPr="00A8196B" w:rsidP="009B2563" w14:paraId="2307E80C" w14:textId="5A798FE0">
      <w:r w:rsidRPr="00A8196B">
        <w:t>Information provided in a significant new use notice may receive confidential treatment</w:t>
      </w:r>
      <w:r w:rsidRPr="00A8196B" w:rsidR="00BC2F0A">
        <w:t xml:space="preserve"> consistent with the requirements of TSCA</w:t>
      </w:r>
      <w:r w:rsidRPr="00A8196B">
        <w:t>. TSCA section 14 allows a manufacturer (including importer) or processor to designate submitted information as confidential business information (CBI). The Agency has developed a comprehensive system to prevent the unauthorized disclosure of CBI. This system includes procedures for logging CBI in and out of designated locked file cabinets, for photocopying and transmitting CBI, and for restricting confidential information only to personnel with CBI security clearance. No one is allowed access to CBI until they have received instructions for handling CBI.</w:t>
      </w:r>
    </w:p>
    <w:p w:rsidR="00A7023B" w:rsidRPr="00A8196B" w:rsidP="009B2563" w14:paraId="6DEA6914" w14:textId="77777777">
      <w:pPr>
        <w:autoSpaceDE w:val="0"/>
        <w:autoSpaceDN w:val="0"/>
      </w:pPr>
      <w:r w:rsidRPr="00A8196B">
        <w:t>EPA will ensure secure transmission of SNUN data submitted through CDX via the Transport Layer Security (TLS) protocol. TLS is a widely used approach for securing Internet transactions and is endorsed by the National Institute of Standards and Technology (NIST) for protecting data sent over the Internet. See NIST Special Publication 800–52 Revision 1, “Guidelines for the Selection, Configuration, and Use of Transport Layer Security (TLS) Implementations, (dated A</w:t>
      </w:r>
      <w:r w:rsidRPr="00A8196B" w:rsidR="00672978">
        <w:t>ugust</w:t>
      </w:r>
      <w:r w:rsidRPr="00A8196B">
        <w:t xml:space="preserve"> 20</w:t>
      </w:r>
      <w:r w:rsidRPr="00A8196B" w:rsidR="00672978">
        <w:t>19</w:t>
      </w:r>
      <w:r w:rsidRPr="00A8196B">
        <w:t xml:space="preserve">)”. </w:t>
      </w:r>
      <w:r w:rsidRPr="00A8196B" w:rsidR="001A16B8">
        <w:t xml:space="preserve">(Attachment 4.) </w:t>
      </w:r>
      <w:r w:rsidRPr="00A8196B">
        <w:t>In addition, e-PMN software enables the SNUN submitter to electronically sign, encrypt, and submit reports which EPA subsequently provides back to the submitter as an unaltered copy of</w:t>
      </w:r>
      <w:r w:rsidRPr="00A8196B">
        <w:rPr>
          <w:i/>
          <w:iCs/>
        </w:rPr>
        <w:t xml:space="preserve"> </w:t>
      </w:r>
      <w:r w:rsidRPr="00A8196B">
        <w:t>record. This assures the submitter that the Agency has received exactly what the submitter sent to EPA.</w:t>
      </w:r>
    </w:p>
    <w:p w:rsidR="00AA6A13" w:rsidRPr="00A8196B" w:rsidP="009B2563" w14:paraId="67236A96" w14:textId="6EEF5059">
      <w:pPr>
        <w:pStyle w:val="BodyTextFirstIndent"/>
        <w:spacing w:after="200" w:line="276" w:lineRule="auto"/>
      </w:pPr>
      <w:r w:rsidRPr="00A8196B">
        <w:t>Any information being sent via CDX is transmitted using secure technologies to protect CBI. The e-PMN software encrypts PMN submissions using a Federal Information Processing Standards (FIPS)-compliant encryption module. The encryption module employs a public key algorithm which converts readable text into encrypted text. This public key is downloaded from CDX to the e-PMN software, and the corresponding private key is sent to EPA’s New Chemical System (NCS). The encryption remains while the submission is transmitted via CDX to NCS. The file can be decrypted only with the NCS's private key when it has reached its final destination. The NCS is the only party that possesses the private key, which converts the encrypted text back into readable text.</w:t>
      </w:r>
    </w:p>
    <w:p w:rsidR="00AA6A13" w:rsidRPr="00A8196B" w:rsidP="004E6EE2" w14:paraId="57D6D12C" w14:textId="62A00C36">
      <w:r w:rsidRPr="00A8196B">
        <w:t xml:space="preserve">The same </w:t>
      </w:r>
      <w:r w:rsidRPr="00A8196B" w:rsidR="00582487">
        <w:t xml:space="preserve">processes would be used </w:t>
      </w:r>
      <w:r w:rsidRPr="00A8196B">
        <w:t xml:space="preserve">for all correspondence </w:t>
      </w:r>
      <w:r w:rsidRPr="00A8196B" w:rsidR="00582487">
        <w:t xml:space="preserve">returning </w:t>
      </w:r>
      <w:r w:rsidRPr="00A8196B">
        <w:t>to the submitter. The NCS and e-PMN software are also provided with a set of public and private keys, so that correspondence containing any potential confidential business information will remain encrypted during transmission via CDX</w:t>
      </w:r>
      <w:r w:rsidRPr="00A8196B">
        <w:rPr>
          <w:color w:val="FF0000"/>
        </w:rPr>
        <w:t xml:space="preserve"> </w:t>
      </w:r>
      <w:r w:rsidRPr="00A8196B">
        <w:t>and can be opened only by the submitter within the e-PMN software.</w:t>
      </w:r>
    </w:p>
    <w:p w:rsidR="00A7023B" w:rsidRPr="00A8196B" w:rsidP="009B2563" w14:paraId="6C82782F" w14:textId="77777777">
      <w:r w:rsidRPr="00A8196B">
        <w:t>Additionally, special procedures also restrict access to computerized CBI. These security measures apply to CBI submitted by manufacturers as well as CBI generated by EPA staff in the course of their review.</w:t>
      </w:r>
    </w:p>
    <w:p w:rsidR="00575DC0" w:rsidRPr="00A8196B" w:rsidP="00EF50B4" w14:paraId="675D5854" w14:textId="475FB919">
      <w:pPr>
        <w:pStyle w:val="Heading2"/>
      </w:pPr>
      <w:r w:rsidRPr="00A8196B">
        <w:t xml:space="preserve">11. </w:t>
      </w:r>
      <w:r w:rsidRPr="00A8196B" w:rsidR="009A7738">
        <w:t xml:space="preserve">Provide additional justification for any questions of a sensitive nature, </w:t>
      </w:r>
      <w:r w:rsidRPr="00A8196B">
        <w:t>such as sexual behavior and attitudes, religious beliefs, and other</w:t>
      </w:r>
      <w:r w:rsidRPr="00A8196B" w:rsidR="009A7738">
        <w:t xml:space="preserve"> matters that are commonly considered private.</w:t>
      </w:r>
      <w:r w:rsidRPr="00A8196B" w:rsidR="00E00E93">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1E9E" w:rsidRPr="00A8196B" w:rsidP="00391E9E" w14:paraId="78DB836C" w14:textId="2E8DF70A">
      <w:pPr>
        <w:rPr>
          <w:lang w:bidi="en-US"/>
        </w:rPr>
      </w:pPr>
      <w:r w:rsidRPr="00A8196B">
        <w:rPr>
          <w:lang w:bidi="en-US"/>
        </w:rPr>
        <w:t xml:space="preserve">Not applicable. </w:t>
      </w:r>
      <w:r w:rsidRPr="00A8196B">
        <w:t>The information does not include responses to questions of a sensitive nature.</w:t>
      </w:r>
    </w:p>
    <w:p w:rsidR="00A7023B" w:rsidRPr="00A8196B" w:rsidP="00EF50B4" w14:paraId="76DF62ED" w14:textId="4A6D7F42">
      <w:pPr>
        <w:pStyle w:val="Heading2"/>
        <w:keepNext/>
        <w:keepLines/>
        <w:tabs>
          <w:tab w:val="clear" w:pos="1080"/>
        </w:tabs>
      </w:pPr>
      <w:r w:rsidRPr="00A8196B">
        <w:t xml:space="preserve">12. </w:t>
      </w:r>
      <w:r w:rsidRPr="00A8196B" w:rsidR="00294EAC">
        <w:t>Provide estimates of the hour burden of the collection of information.</w:t>
      </w:r>
      <w:r w:rsidRPr="00A8196B" w:rsidR="00E00E93">
        <w:t xml:space="preserve"> The statement should:</w:t>
      </w:r>
    </w:p>
    <w:p w:rsidR="00E00E93" w:rsidRPr="00A8196B" w:rsidP="004E6EE2" w14:paraId="7FC47722" w14:textId="6352B465">
      <w:pPr>
        <w:pStyle w:val="Heading3"/>
        <w:numPr>
          <w:ilvl w:val="0"/>
          <w:numId w:val="5"/>
        </w:numPr>
        <w:contextualSpacing/>
      </w:pPr>
      <w:r w:rsidRPr="00A8196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7023B" w:rsidRPr="00A8196B" w:rsidP="004E6EE2" w14:paraId="52337530" w14:textId="77777777">
      <w:pPr>
        <w:pStyle w:val="Heading3"/>
        <w:contextualSpacing/>
      </w:pPr>
      <w:r w:rsidRPr="00A8196B">
        <w:t>If this request for approval covers more than one form, provide separate hour burden estimates for each form and aggregate the hour burdens.</w:t>
      </w:r>
    </w:p>
    <w:p w:rsidR="00A7023B" w:rsidRPr="00A8196B" w:rsidP="00C47D6B" w14:paraId="7B6DB6B3" w14:textId="77777777">
      <w:pPr>
        <w:pStyle w:val="Heading3"/>
      </w:pPr>
      <w:r w:rsidRPr="00A8196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CA19A2" w:rsidRPr="00A8196B" w:rsidP="009B2563" w14:paraId="72508724" w14:textId="41406F68">
      <w:r w:rsidRPr="00A8196B">
        <w:t xml:space="preserve">Respondents </w:t>
      </w:r>
      <w:r w:rsidRPr="00A8196B" w:rsidR="00741685">
        <w:t xml:space="preserve">or entities potentially </w:t>
      </w:r>
      <w:r w:rsidRPr="00A8196B">
        <w:t xml:space="preserve">affected by this </w:t>
      </w:r>
      <w:r w:rsidRPr="00A8196B" w:rsidR="00741685">
        <w:t>ICR</w:t>
      </w:r>
      <w:r w:rsidRPr="00A8196B">
        <w:t xml:space="preserve"> are </w:t>
      </w:r>
      <w:r w:rsidRPr="00A8196B" w:rsidR="00741685">
        <w:t>chemical manufacturers (defined by statute to include importers) and processors, e.g., entities identified by the North American Industrial Classification System (</w:t>
      </w:r>
      <w:r w:rsidRPr="00A8196B">
        <w:t>NAICS</w:t>
      </w:r>
      <w:r w:rsidRPr="00A8196B" w:rsidR="00741685">
        <w:t>) codes</w:t>
      </w:r>
      <w:r w:rsidRPr="00A8196B">
        <w:t xml:space="preserve"> 325</w:t>
      </w:r>
      <w:r w:rsidRPr="00A8196B" w:rsidR="00741685">
        <w:t>,</w:t>
      </w:r>
      <w:r w:rsidRPr="00A8196B">
        <w:t xml:space="preserve"> Chemicals and Allied Products Manufacturers</w:t>
      </w:r>
      <w:r w:rsidRPr="00A8196B" w:rsidR="00741685">
        <w:t>,</w:t>
      </w:r>
      <w:r w:rsidRPr="00A8196B">
        <w:t xml:space="preserve"> and 324</w:t>
      </w:r>
      <w:r w:rsidRPr="00A8196B" w:rsidR="00741685">
        <w:t>,</w:t>
      </w:r>
      <w:r w:rsidRPr="00A8196B">
        <w:t xml:space="preserve"> Petroleum Refining.</w:t>
      </w:r>
    </w:p>
    <w:p w:rsidR="00CA19A2" w:rsidRPr="00A8196B" w:rsidP="009B2563" w14:paraId="7903C447" w14:textId="2E83EBAB">
      <w:r w:rsidRPr="00A8196B">
        <w:t xml:space="preserve">Information submitted under this collection must include, insofar as it is known to or reasonably ascertainable by the submitter, information described in TSCA section 8(a)(2) (i.e., chemical identity, use, and exposure data), as well as test data, and descriptions of other data related to the effects on health and the environment of the manufacture, processing, distribution in commerce, </w:t>
      </w:r>
      <w:r w:rsidRPr="00A8196B" w:rsidR="00C63DF2">
        <w:t>use</w:t>
      </w:r>
      <w:r w:rsidRPr="00A8196B">
        <w:t xml:space="preserve"> and</w:t>
      </w:r>
      <w:r w:rsidRPr="00A8196B" w:rsidR="00C63DF2">
        <w:t>/or</w:t>
      </w:r>
      <w:r w:rsidRPr="00A8196B">
        <w:t xml:space="preserve"> disposal of the chemical substance (TSCA section 5(d)). After receipt of a notice, EPA has 90 days (extendable to 180 days) to evaluate the notice’s content.</w:t>
      </w:r>
    </w:p>
    <w:p w:rsidR="00B04B5F" w:rsidRPr="00A8196B" w:rsidP="009B2563" w14:paraId="6779857E" w14:textId="53B2EE48">
      <w:r w:rsidRPr="00A8196B">
        <w:t xml:space="preserve">Only those persons who intend to engage in a significant new use of a chemical substance must submit notice of their intentions to EPA. According to 40 CFR 721.1(c), persons submitting a SNUN must comply with the same notice requirements and EPA regulatory procedures as persons submitting a PMN, including submission of test data on health and environmental effects as described in 720.50. SNUNs must be on EPA Form No. 7710–25, generated using e-PMN software, and submitted to the Agency in accordance with the procedures set forth in 721.25 and 720.40. E-PMN software is available electronically </w:t>
      </w:r>
      <w:r w:rsidRPr="00A8196B" w:rsidR="001A16B8">
        <w:t>(Attachment 3)</w:t>
      </w:r>
      <w:r w:rsidRPr="00A8196B">
        <w:t>.</w:t>
      </w:r>
    </w:p>
    <w:p w:rsidR="00CA19A2" w:rsidRPr="00A8196B" w:rsidP="009B2563" w14:paraId="01EA8B36" w14:textId="667B8DC1">
      <w:r w:rsidRPr="00A8196B">
        <w:t>This section presents estimates of the cost and burden associated with the recordkeeping and reporting requirements for significant new use rules for existing chemicals under TSCA section 5(a)(2). The methodology used to estimate the recordkeeping costs, reporting costs, and burden for this ICR renewal is largely based on previous experience with SNURs and is consistent with the analysis presented in the supporting statement prepared for the previous ICR. This ICR is updated from the previous ICR to account for the changes in burden resulting from updated assumptions and corrections to prior analyses.</w:t>
      </w:r>
    </w:p>
    <w:p w:rsidR="00CA19A2" w:rsidRPr="00A8196B" w:rsidP="009B2563" w14:paraId="67806124" w14:textId="77777777">
      <w:r w:rsidRPr="00A8196B">
        <w:t>To comply with the regulation, manufacturers (including importers) must complete the activities listed in Table 1. Table 1 also provides a cross-walk of the related Information Collection that corresponds to each activity.</w:t>
      </w:r>
    </w:p>
    <w:p w:rsidR="00CA19A2" w:rsidRPr="00A8196B" w:rsidP="00284C7A" w14:paraId="11D22802" w14:textId="042668EF">
      <w:pPr>
        <w:pStyle w:val="Heading4"/>
      </w:pPr>
      <w:bookmarkStart w:id="4" w:name="_Ref264803886"/>
      <w:r w:rsidRPr="00A8196B">
        <w:t xml:space="preserve">Table </w:t>
      </w:r>
      <w:r w:rsidRPr="00A8196B">
        <w:fldChar w:fldCharType="begin"/>
      </w:r>
      <w:r w:rsidRPr="00A8196B">
        <w:instrText>SEQ Table \* ARABIC</w:instrText>
      </w:r>
      <w:r w:rsidRPr="00A8196B">
        <w:fldChar w:fldCharType="separate"/>
      </w:r>
      <w:r w:rsidR="009B2ACE">
        <w:rPr>
          <w:noProof/>
        </w:rPr>
        <w:t>1</w:t>
      </w:r>
      <w:r w:rsidRPr="00A8196B">
        <w:fldChar w:fldCharType="end"/>
      </w:r>
      <w:bookmarkEnd w:id="4"/>
      <w:r w:rsidRPr="00A8196B">
        <w:t>: Cross-walk between Industry Activities and Related Information Collections (ICs)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6"/>
        <w:gridCol w:w="4895"/>
        <w:gridCol w:w="2089"/>
      </w:tblGrid>
      <w:tr w14:paraId="2310A9F7" w14:textId="77777777" w:rsidTr="00C47D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0" w:type="auto"/>
          </w:tcPr>
          <w:p w:rsidR="00CA19A2" w:rsidRPr="00A8196B" w:rsidP="00C47D6B" w14:paraId="4655A1D4" w14:textId="77777777">
            <w:pPr>
              <w:keepNext/>
              <w:spacing w:after="0" w:line="240" w:lineRule="auto"/>
              <w:rPr>
                <w:b/>
                <w:sz w:val="22"/>
              </w:rPr>
            </w:pPr>
            <w:r w:rsidRPr="00A8196B">
              <w:rPr>
                <w:b/>
                <w:sz w:val="22"/>
              </w:rPr>
              <w:t>Activity</w:t>
            </w:r>
          </w:p>
        </w:tc>
        <w:tc>
          <w:tcPr>
            <w:tcW w:w="0" w:type="auto"/>
          </w:tcPr>
          <w:p w:rsidR="00CA19A2" w:rsidRPr="00A8196B" w:rsidP="00C47D6B" w14:paraId="5E2E1855" w14:textId="77777777">
            <w:pPr>
              <w:keepNext/>
              <w:spacing w:after="0" w:line="240" w:lineRule="auto"/>
              <w:rPr>
                <w:b/>
                <w:sz w:val="22"/>
              </w:rPr>
            </w:pPr>
            <w:r w:rsidRPr="00A8196B">
              <w:rPr>
                <w:b/>
                <w:sz w:val="22"/>
              </w:rPr>
              <w:t>Description</w:t>
            </w:r>
          </w:p>
        </w:tc>
        <w:tc>
          <w:tcPr>
            <w:tcW w:w="0" w:type="auto"/>
          </w:tcPr>
          <w:p w:rsidR="00CA19A2" w:rsidRPr="00A8196B" w:rsidP="00C47D6B" w14:paraId="2968584F" w14:textId="77777777">
            <w:pPr>
              <w:keepNext/>
              <w:spacing w:after="0" w:line="240" w:lineRule="auto"/>
              <w:rPr>
                <w:b/>
                <w:sz w:val="22"/>
              </w:rPr>
            </w:pPr>
            <w:r w:rsidRPr="00A8196B">
              <w:rPr>
                <w:b/>
                <w:sz w:val="22"/>
              </w:rPr>
              <w:t>Related IC(s)</w:t>
            </w:r>
          </w:p>
        </w:tc>
      </w:tr>
      <w:tr w14:paraId="06F04BFD" w14:textId="77777777" w:rsidTr="00C47D6B">
        <w:tblPrEx>
          <w:tblW w:w="0" w:type="auto"/>
          <w:tblLook w:val="01E0"/>
        </w:tblPrEx>
        <w:trPr>
          <w:cantSplit/>
        </w:trPr>
        <w:tc>
          <w:tcPr>
            <w:tcW w:w="0" w:type="auto"/>
          </w:tcPr>
          <w:p w:rsidR="00CA19A2" w:rsidRPr="00A8196B" w:rsidP="00C47D6B" w14:paraId="51552559" w14:textId="77777777">
            <w:pPr>
              <w:keepNext/>
              <w:spacing w:after="0" w:line="240" w:lineRule="auto"/>
              <w:rPr>
                <w:bCs/>
                <w:sz w:val="22"/>
              </w:rPr>
            </w:pPr>
            <w:r w:rsidRPr="00A8196B">
              <w:rPr>
                <w:sz w:val="22"/>
              </w:rPr>
              <w:t xml:space="preserve">Chemical verification </w:t>
            </w:r>
          </w:p>
        </w:tc>
        <w:tc>
          <w:tcPr>
            <w:tcW w:w="0" w:type="auto"/>
          </w:tcPr>
          <w:p w:rsidR="00CA19A2" w:rsidRPr="00A8196B" w:rsidP="00C47D6B" w14:paraId="4A869F26" w14:textId="77777777">
            <w:pPr>
              <w:keepNext/>
              <w:spacing w:after="0" w:line="240" w:lineRule="auto"/>
              <w:rPr>
                <w:sz w:val="22"/>
              </w:rPr>
            </w:pPr>
            <w:r w:rsidRPr="00A8196B">
              <w:rPr>
                <w:sz w:val="22"/>
              </w:rPr>
              <w:t>When a SNUR is published, companies must review the rule to verify whether a chemical they manufacture (including import) is subject to the rule.</w:t>
            </w:r>
          </w:p>
        </w:tc>
        <w:tc>
          <w:tcPr>
            <w:tcW w:w="0" w:type="auto"/>
          </w:tcPr>
          <w:p w:rsidR="00CA19A2" w:rsidRPr="00A8196B" w:rsidP="00C47D6B" w14:paraId="38ED6960" w14:textId="75F20982">
            <w:pPr>
              <w:keepNext/>
              <w:spacing w:after="0" w:line="240" w:lineRule="auto"/>
              <w:rPr>
                <w:sz w:val="22"/>
              </w:rPr>
            </w:pPr>
            <w:r w:rsidRPr="00A8196B">
              <w:rPr>
                <w:sz w:val="22"/>
              </w:rPr>
              <w:t>Chemical Verification</w:t>
            </w:r>
          </w:p>
        </w:tc>
      </w:tr>
      <w:tr w14:paraId="3A10BD18" w14:textId="77777777" w:rsidTr="00C47D6B">
        <w:tblPrEx>
          <w:tblW w:w="0" w:type="auto"/>
          <w:tblLook w:val="01E0"/>
        </w:tblPrEx>
        <w:trPr>
          <w:cantSplit/>
        </w:trPr>
        <w:tc>
          <w:tcPr>
            <w:tcW w:w="0" w:type="auto"/>
          </w:tcPr>
          <w:p w:rsidR="00CA19A2" w:rsidRPr="00A8196B" w:rsidP="00EF50B4" w14:paraId="4B9FE0A8" w14:textId="77777777">
            <w:pPr>
              <w:spacing w:after="0" w:line="240" w:lineRule="auto"/>
              <w:rPr>
                <w:sz w:val="22"/>
              </w:rPr>
            </w:pPr>
            <w:r w:rsidRPr="00A8196B">
              <w:rPr>
                <w:bCs/>
                <w:sz w:val="22"/>
              </w:rPr>
              <w:t>Rule familiarization</w:t>
            </w:r>
          </w:p>
        </w:tc>
        <w:tc>
          <w:tcPr>
            <w:tcW w:w="0" w:type="auto"/>
          </w:tcPr>
          <w:p w:rsidR="00CA19A2" w:rsidRPr="00A8196B" w:rsidP="00EF50B4" w14:paraId="4F7A6C44" w14:textId="77777777">
            <w:pPr>
              <w:spacing w:after="0" w:line="240" w:lineRule="auto"/>
              <w:rPr>
                <w:sz w:val="22"/>
              </w:rPr>
            </w:pPr>
            <w:r w:rsidRPr="00A8196B">
              <w:rPr>
                <w:sz w:val="22"/>
              </w:rPr>
              <w:t>Site staff must familiarize themselves with the requirements of the rule. This entails reading the rule, understanding the various reporting and administrative requirements, and determining the manner in which the reporting requirements will be met.</w:t>
            </w:r>
          </w:p>
        </w:tc>
        <w:tc>
          <w:tcPr>
            <w:tcW w:w="0" w:type="auto"/>
          </w:tcPr>
          <w:p w:rsidR="00CA19A2" w:rsidRPr="00A8196B" w:rsidP="00EF50B4" w14:paraId="26984160" w14:textId="77777777">
            <w:pPr>
              <w:spacing w:after="0" w:line="240" w:lineRule="auto"/>
              <w:rPr>
                <w:sz w:val="22"/>
              </w:rPr>
            </w:pPr>
            <w:r w:rsidRPr="00A8196B">
              <w:rPr>
                <w:sz w:val="22"/>
              </w:rPr>
              <w:t>Rule Familiarization</w:t>
            </w:r>
          </w:p>
        </w:tc>
      </w:tr>
      <w:tr w14:paraId="260D4F25" w14:textId="77777777" w:rsidTr="00C47D6B">
        <w:tblPrEx>
          <w:tblW w:w="0" w:type="auto"/>
          <w:tblLook w:val="01E0"/>
        </w:tblPrEx>
        <w:trPr>
          <w:cantSplit/>
        </w:trPr>
        <w:tc>
          <w:tcPr>
            <w:tcW w:w="0" w:type="auto"/>
          </w:tcPr>
          <w:p w:rsidR="00CA19A2" w:rsidRPr="00A8196B" w:rsidP="00EF50B4" w14:paraId="2F33048E" w14:textId="77777777">
            <w:pPr>
              <w:spacing w:after="0" w:line="240" w:lineRule="auto"/>
              <w:rPr>
                <w:bCs/>
                <w:sz w:val="22"/>
              </w:rPr>
            </w:pPr>
            <w:r w:rsidRPr="00A8196B">
              <w:rPr>
                <w:bCs/>
                <w:sz w:val="22"/>
              </w:rPr>
              <w:t xml:space="preserve">CDX registration, electronic signature agreement, and Pay.gov account set up </w:t>
            </w:r>
          </w:p>
        </w:tc>
        <w:tc>
          <w:tcPr>
            <w:tcW w:w="0" w:type="auto"/>
          </w:tcPr>
          <w:p w:rsidR="00CA19A2" w:rsidRPr="00A8196B" w:rsidP="00EF50B4" w14:paraId="53429653" w14:textId="77777777">
            <w:pPr>
              <w:spacing w:after="0" w:line="240" w:lineRule="auto"/>
              <w:rPr>
                <w:sz w:val="22"/>
              </w:rPr>
            </w:pPr>
            <w:r w:rsidRPr="00A8196B">
              <w:rPr>
                <w:sz w:val="22"/>
              </w:rPr>
              <w:t>Before submitting a SNUN, all respondents must register with CDX. In addition, respondents must complete an Electronic Signature Agreement form, which is signed, dated, and either submitted electronically or mailed back to EPA, and register for a Pay.gov account.</w:t>
            </w:r>
          </w:p>
        </w:tc>
        <w:tc>
          <w:tcPr>
            <w:tcW w:w="0" w:type="auto"/>
          </w:tcPr>
          <w:p w:rsidR="00CA19A2" w:rsidRPr="00A8196B" w:rsidP="00EF50B4" w14:paraId="3C8DC6B8" w14:textId="77777777">
            <w:pPr>
              <w:spacing w:after="0" w:line="240" w:lineRule="auto"/>
              <w:rPr>
                <w:sz w:val="22"/>
              </w:rPr>
            </w:pPr>
            <w:r w:rsidRPr="00A8196B">
              <w:rPr>
                <w:sz w:val="22"/>
              </w:rPr>
              <w:t>CDX Registration Activities</w:t>
            </w:r>
          </w:p>
        </w:tc>
      </w:tr>
      <w:tr w14:paraId="295631BF" w14:textId="77777777" w:rsidTr="00C47D6B">
        <w:tblPrEx>
          <w:tblW w:w="0" w:type="auto"/>
          <w:tblLook w:val="01E0"/>
        </w:tblPrEx>
        <w:trPr>
          <w:cantSplit/>
        </w:trPr>
        <w:tc>
          <w:tcPr>
            <w:tcW w:w="0" w:type="auto"/>
          </w:tcPr>
          <w:p w:rsidR="00CA19A2" w:rsidRPr="00A8196B" w:rsidP="00EF50B4" w14:paraId="67A21129" w14:textId="77777777">
            <w:pPr>
              <w:spacing w:after="0" w:line="240" w:lineRule="auto"/>
              <w:rPr>
                <w:sz w:val="22"/>
              </w:rPr>
            </w:pPr>
            <w:r w:rsidRPr="00A8196B">
              <w:rPr>
                <w:bCs/>
                <w:sz w:val="22"/>
              </w:rPr>
              <w:t>Preparation of reports (form completion and form submission)</w:t>
            </w:r>
          </w:p>
        </w:tc>
        <w:tc>
          <w:tcPr>
            <w:tcW w:w="0" w:type="auto"/>
          </w:tcPr>
          <w:p w:rsidR="00CA19A2" w:rsidRPr="00A8196B" w:rsidP="00EF50B4" w14:paraId="4F79401D" w14:textId="77777777">
            <w:pPr>
              <w:spacing w:after="0" w:line="240" w:lineRule="auto"/>
              <w:rPr>
                <w:sz w:val="22"/>
              </w:rPr>
            </w:pPr>
            <w:r w:rsidRPr="00A8196B">
              <w:rPr>
                <w:sz w:val="22"/>
              </w:rPr>
              <w:t xml:space="preserve">Site staff must collect all information required for a SNUN and submit an electronic SNUN form. Firms must also keep records supporting their submissions. </w:t>
            </w:r>
          </w:p>
        </w:tc>
        <w:tc>
          <w:tcPr>
            <w:tcW w:w="0" w:type="auto"/>
          </w:tcPr>
          <w:p w:rsidR="00CA19A2" w:rsidRPr="00A8196B" w:rsidP="00EF50B4" w14:paraId="799D79CA" w14:textId="77777777">
            <w:pPr>
              <w:spacing w:after="0" w:line="240" w:lineRule="auto"/>
              <w:rPr>
                <w:sz w:val="22"/>
              </w:rPr>
            </w:pPr>
            <w:r w:rsidRPr="00A8196B">
              <w:rPr>
                <w:sz w:val="22"/>
              </w:rPr>
              <w:t>Prepare and Submit Report, and Maintain Records</w:t>
            </w:r>
          </w:p>
        </w:tc>
      </w:tr>
      <w:tr w14:paraId="21371424" w14:textId="77777777" w:rsidTr="00C47D6B">
        <w:tblPrEx>
          <w:tblW w:w="0" w:type="auto"/>
          <w:tblLook w:val="01E0"/>
        </w:tblPrEx>
        <w:trPr>
          <w:cantSplit/>
        </w:trPr>
        <w:tc>
          <w:tcPr>
            <w:tcW w:w="0" w:type="auto"/>
          </w:tcPr>
          <w:p w:rsidR="009A5143" w:rsidRPr="00A8196B" w:rsidP="00EF50B4" w14:paraId="4F65541B" w14:textId="11ECDA18">
            <w:pPr>
              <w:spacing w:after="0" w:line="240" w:lineRule="auto"/>
              <w:rPr>
                <w:bCs/>
                <w:sz w:val="22"/>
              </w:rPr>
            </w:pPr>
            <w:r w:rsidRPr="00A8196B">
              <w:rPr>
                <w:color w:val="000000"/>
                <w:sz w:val="22"/>
              </w:rPr>
              <w:t xml:space="preserve">Notifying customers </w:t>
            </w:r>
          </w:p>
        </w:tc>
        <w:tc>
          <w:tcPr>
            <w:tcW w:w="0" w:type="auto"/>
          </w:tcPr>
          <w:p w:rsidR="009A5143" w:rsidRPr="00A8196B" w:rsidP="00EF50B4" w14:paraId="7D585EC8" w14:textId="64E58381">
            <w:pPr>
              <w:spacing w:after="0" w:line="240" w:lineRule="auto"/>
              <w:rPr>
                <w:sz w:val="22"/>
              </w:rPr>
            </w:pPr>
            <w:r w:rsidRPr="00A8196B">
              <w:t xml:space="preserve">Manufacturers (including importers) and processors </w:t>
            </w:r>
            <w:r w:rsidRPr="00A8196B" w:rsidR="00C52681">
              <w:t>must notify cus</w:t>
            </w:r>
            <w:r w:rsidRPr="00A8196B" w:rsidR="00707B04">
              <w:t>tomers of the SNUR</w:t>
            </w:r>
            <w:r w:rsidRPr="00A8196B" w:rsidR="008954A8">
              <w:t xml:space="preserve"> such as by annotating an SDS. </w:t>
            </w:r>
          </w:p>
        </w:tc>
        <w:tc>
          <w:tcPr>
            <w:tcW w:w="0" w:type="auto"/>
          </w:tcPr>
          <w:p w:rsidR="009A5143" w:rsidRPr="00A8196B" w:rsidP="00EF50B4" w14:paraId="423909BB" w14:textId="346350BC">
            <w:pPr>
              <w:spacing w:after="0" w:line="240" w:lineRule="auto"/>
              <w:rPr>
                <w:sz w:val="22"/>
              </w:rPr>
            </w:pPr>
            <w:r w:rsidRPr="00A8196B">
              <w:rPr>
                <w:sz w:val="22"/>
              </w:rPr>
              <w:t>Customer Notification</w:t>
            </w:r>
          </w:p>
        </w:tc>
      </w:tr>
    </w:tbl>
    <w:p w:rsidR="00AA6A13" w:rsidRPr="00A8196B" w:rsidP="004E6EE2" w14:paraId="1F5B17CC" w14:textId="58ECD86B">
      <w:pPr>
        <w:spacing w:before="240"/>
      </w:pPr>
      <w:r w:rsidRPr="00A8196B">
        <w:t>T</w:t>
      </w:r>
      <w:r w:rsidRPr="00A8196B">
        <w:t>o assist in the evaluation, EPA encourages submitters to contact an EPA specialist through a pre-notice consultation to ensure that the submitter understands EPA’s review process of the information helpful to make a determination regarding the chemical.  EPA also issued a guidance document, entitled “Points to Consider When Preparing TSCA New Chemical Notifications,” to inform and assist submitters planning to prepare PMNs, SNUNs</w:t>
      </w:r>
      <w:r w:rsidRPr="00A8196B" w:rsidR="00803F62">
        <w:t xml:space="preserve"> (including for existing chemicals)</w:t>
      </w:r>
      <w:r w:rsidRPr="00A8196B">
        <w:t>, and exemption applications for Agency review</w:t>
      </w:r>
      <w:r w:rsidRPr="00A8196B" w:rsidR="00AB70CB">
        <w:t xml:space="preserve"> (Attachment 5.)</w:t>
      </w:r>
      <w:r w:rsidRPr="00A8196B">
        <w:t>.</w:t>
      </w:r>
    </w:p>
    <w:p w:rsidR="00AA6A13" w:rsidRPr="00A8196B" w:rsidP="00AC4930" w14:paraId="04ACB2DF" w14:textId="65B7E143">
      <w:pPr>
        <w:pStyle w:val="Heading3"/>
        <w:numPr>
          <w:ilvl w:val="0"/>
          <w:numId w:val="0"/>
        </w:numPr>
        <w:tabs>
          <w:tab w:val="left" w:pos="720"/>
        </w:tabs>
        <w:spacing w:line="276" w:lineRule="auto"/>
      </w:pPr>
      <w:r w:rsidRPr="00A8196B">
        <w:tab/>
      </w:r>
      <w:r w:rsidRPr="00A8196B">
        <w:t>Data Items - Reporting Requirements</w:t>
      </w:r>
    </w:p>
    <w:p w:rsidR="00AA6A13" w:rsidRPr="00A8196B" w:rsidP="009B2563" w14:paraId="7056CC9B" w14:textId="77777777">
      <w:pPr>
        <w:pStyle w:val="BodyTextFirstIndent"/>
        <w:spacing w:after="200" w:line="276" w:lineRule="auto"/>
      </w:pPr>
      <w:r w:rsidRPr="00A8196B">
        <w:rPr>
          <w:u w:val="single"/>
        </w:rPr>
        <w:t>Premanufacture Notices</w:t>
      </w:r>
      <w:r w:rsidRPr="00A8196B">
        <w:t xml:space="preserve"> - Premanufacture notices required by TSCA section 5 must include certain information to the extent known to or reasonably ascertainable by the submitter. This information is defined in TSCA sections 5(d)(1) and 8(a)(2) and 40 CFR 720.45. Specific information includes the following:</w:t>
      </w:r>
    </w:p>
    <w:p w:rsidR="00AA6A13" w:rsidRPr="00A8196B" w:rsidP="009B2563" w14:paraId="4CF44DF8" w14:textId="77777777">
      <w:pPr>
        <w:pStyle w:val="ListParagraph"/>
        <w:numPr>
          <w:ilvl w:val="0"/>
          <w:numId w:val="19"/>
        </w:numPr>
      </w:pPr>
      <w:r w:rsidRPr="00A8196B">
        <w:t>Common or trade name, chemical identity and molecular structure of the chemical in question;</w:t>
      </w:r>
    </w:p>
    <w:p w:rsidR="00AA6A13" w:rsidRPr="00A8196B" w:rsidP="009B2563" w14:paraId="53600014" w14:textId="77777777">
      <w:pPr>
        <w:pStyle w:val="ListParagraph"/>
        <w:numPr>
          <w:ilvl w:val="0"/>
          <w:numId w:val="19"/>
        </w:numPr>
      </w:pPr>
      <w:r w:rsidRPr="00A8196B">
        <w:t>Categories or proposed categories of use of the chemical;</w:t>
      </w:r>
    </w:p>
    <w:p w:rsidR="00AA6A13" w:rsidRPr="00A8196B" w:rsidP="009B2563" w14:paraId="24EFE911" w14:textId="77777777">
      <w:pPr>
        <w:pStyle w:val="ListParagraph"/>
        <w:numPr>
          <w:ilvl w:val="0"/>
          <w:numId w:val="19"/>
        </w:numPr>
      </w:pPr>
      <w:r w:rsidRPr="00A8196B">
        <w:t>Estimate of the total amount of such chemical to be manufactured or processed, including the amount to be manufactured or processed for each use category;</w:t>
      </w:r>
    </w:p>
    <w:p w:rsidR="00AA6A13" w:rsidRPr="00A8196B" w:rsidP="009B2563" w14:paraId="22CCF6F0" w14:textId="6734CF5B">
      <w:pPr>
        <w:pStyle w:val="ListParagraph"/>
        <w:numPr>
          <w:ilvl w:val="0"/>
          <w:numId w:val="19"/>
        </w:numPr>
      </w:pPr>
      <w:r w:rsidRPr="00A8196B">
        <w:t xml:space="preserve">Description of the byproducts resulting from the manufacture, processing, use </w:t>
      </w:r>
      <w:r w:rsidRPr="00A8196B" w:rsidR="00705A80">
        <w:t>and/</w:t>
      </w:r>
      <w:r w:rsidRPr="00A8196B">
        <w:t>or disposal of the chemical;</w:t>
      </w:r>
    </w:p>
    <w:p w:rsidR="00AA6A13" w:rsidRPr="00A8196B" w:rsidP="009B2563" w14:paraId="2C2A0CC9" w14:textId="77777777">
      <w:pPr>
        <w:pStyle w:val="ListParagraph"/>
        <w:numPr>
          <w:ilvl w:val="0"/>
          <w:numId w:val="19"/>
        </w:numPr>
      </w:pPr>
      <w:r w:rsidRPr="00A8196B">
        <w:t>Estimate of the total number of individuals who will be exposed to the chemical in their places of employment, and the duration of such exposure; and</w:t>
      </w:r>
    </w:p>
    <w:p w:rsidR="00AA6A13" w:rsidRPr="00A8196B" w:rsidP="009B2563" w14:paraId="64394C51" w14:textId="77777777">
      <w:pPr>
        <w:pStyle w:val="ListParagraph"/>
        <w:numPr>
          <w:ilvl w:val="0"/>
          <w:numId w:val="19"/>
        </w:numPr>
      </w:pPr>
      <w:r w:rsidRPr="00A8196B">
        <w:t>Manner or method of the disposal of the chemical.</w:t>
      </w:r>
    </w:p>
    <w:p w:rsidR="00C3038D" w:rsidRPr="00A8196B" w:rsidP="009B2563" w14:paraId="61895875" w14:textId="6F175DB2">
      <w:pPr>
        <w:pStyle w:val="BodyTextFirstIndent"/>
        <w:spacing w:after="200" w:line="276" w:lineRule="auto"/>
      </w:pPr>
      <w:r w:rsidRPr="00A8196B">
        <w:t xml:space="preserve">In addition, the submitter must provide any test data in the submitter’s possession that indicate the health or environmental effects of the chemical, and a description of any other data known to the submitter concerning the health or environmental effects of the chemical. The specific information requirements are spelled out in 40 CFR part 720, on the PMN reporting form itself, and in the Instruction Manual for Reporting under the TSCA §5 New Chemicals Program (Attachment </w:t>
      </w:r>
      <w:r w:rsidRPr="00A8196B">
        <w:t>3</w:t>
      </w:r>
      <w:r w:rsidRPr="00A8196B">
        <w:t>).</w:t>
      </w:r>
    </w:p>
    <w:p w:rsidR="00AA6A13" w:rsidRPr="00A8196B" w:rsidP="009B2563" w14:paraId="5B477212" w14:textId="36156EEF">
      <w:pPr>
        <w:pStyle w:val="BodyTextFirstIndent"/>
        <w:spacing w:after="200" w:line="276" w:lineRule="auto"/>
      </w:pPr>
      <w:r w:rsidRPr="00A8196B">
        <w:t>To facilitate the review of chemicals, EPA has developed a PMN reporting form (EPA Form 7710-25;</w:t>
      </w:r>
      <w:r w:rsidRPr="00A8196B" w:rsidR="00C3038D">
        <w:t xml:space="preserve"> </w:t>
      </w:r>
      <w:r w:rsidRPr="00A8196B">
        <w:t xml:space="preserve">Attachment </w:t>
      </w:r>
      <w:r w:rsidRPr="00A8196B" w:rsidR="00C3038D">
        <w:t>6</w:t>
      </w:r>
      <w:r w:rsidRPr="00A8196B">
        <w:t xml:space="preserve">). This form is required for reporting new chemicals under TSCA section 5(a)(1) and is also required for submitting Significant New Use Notices (SNUNs). By supplying the information specified in the form, submitters do not incur the </w:t>
      </w:r>
      <w:r w:rsidRPr="00A8196B">
        <w:t>burden of providing information unnecessary for EPA’s review. Therefore, use of the form lessens the burden on companies by reducing uncertainty, minimizing the need for additional contact with EPA, and allowing companies to establish procedures for meeting reporting requirements.</w:t>
      </w:r>
    </w:p>
    <w:p w:rsidR="00AA6A13" w:rsidP="009B2563" w14:paraId="5EF00CC8" w14:textId="4F1EC53F">
      <w:pPr>
        <w:pStyle w:val="BodyTextFirstIndent"/>
        <w:spacing w:after="200" w:line="276" w:lineRule="auto"/>
      </w:pPr>
      <w:r w:rsidRPr="00A8196B">
        <w:t>EPA has limited the level of detail of information required in the PMN form to that necessary for EPA to conduct an initial review of a chemical. However, submitters may include additional or optional information in their notices that they believe EPA should consider in its review. For example, submitters may identify pollution prevention techniques being employed by the submitter that may be relevant to the Agency’s risk assessment. EPA encourages submitters to provide information on the benefits of the new substance in comparison to existing chemical substances, information on the substitutes, and any additional information available to them on waste management techniques.</w:t>
      </w:r>
    </w:p>
    <w:p w:rsidR="00A055B4" w:rsidP="00A055B4" w14:paraId="0FDBC9D2" w14:textId="506E5007">
      <w:pPr>
        <w:pStyle w:val="BodyTextFirstIndent"/>
      </w:pPr>
      <w:r>
        <w:t>With this revised ICR and associated proposed rule, EPA believe there will be fewer incomplete information being submitted relating to the review of the PMN form resulting from (1) submitters not providing adequate information or level of detail necessary and (2) submitters not providing all known or reasonably ascertainable information at the time of the initial submission.</w:t>
      </w:r>
    </w:p>
    <w:p w:rsidR="00A055B4" w:rsidP="00A055B4" w14:paraId="7DDA2A51" w14:textId="77777777">
      <w:pPr>
        <w:pStyle w:val="BodyTextFirstIndent"/>
      </w:pPr>
      <w:r>
        <w:t xml:space="preserve">In the first case, submitters are often unclear regarding what information to report to EPA or what level of detail to provide, which often results in an incomplete submission. When EPA does not receive sufficient detail, the Agency must rely on assumptions to assess the risk of the new chemical substance.  Additionally, when these amendments occur late in the review process, they result in further inefficiencies as they delay the Agency’s review process. </w:t>
      </w:r>
    </w:p>
    <w:p w:rsidR="00A055B4" w:rsidP="00A055B4" w14:paraId="35966BFF" w14:textId="77777777">
      <w:pPr>
        <w:pStyle w:val="BodyTextFirstIndent"/>
      </w:pPr>
      <w:r>
        <w:t xml:space="preserve">In the second case, submitters may provide additional information in response to EPA’s initial risk assessment. Submitters have typically been allowed to provide additional information after the time of the initial submission. As a result, submitters may attempt to mitigate the risk in EPA’s initial risk assessment by removing a new use or decreasing a production volume. When EPA receives such information, it may require EPA to repeat the assessments with the additional information. The submission of such information results in inefficient use of EPA resources and can jeopardize EPA’s ability to conclude its review and make its determination within the review period outlined in the statute. </w:t>
      </w:r>
    </w:p>
    <w:p w:rsidR="00A055B4" w:rsidRPr="00A8196B" w:rsidP="00A055B4" w14:paraId="66B9F82A" w14:textId="27B837B6">
      <w:pPr>
        <w:pStyle w:val="BodyTextFirstIndent"/>
        <w:spacing w:after="200" w:line="276" w:lineRule="auto"/>
      </w:pPr>
      <w:r>
        <w:t xml:space="preserve">The proposed rule </w:t>
      </w:r>
      <w:r w:rsidRPr="00D371B1">
        <w:t xml:space="preserve">would help submitters provide all relevant information in their initial notice submissions. EPA has observed that many data elements in notice submissions often lack the level of detail that EPA needs to make a refined assessment of risk. EPA believes that specifying more detailed information requirements in 40 CFR 720.45 and data fields in the CDX user interface would promote more robust submissions upfront and help to minimize the need for EPA to use default values and conservative assumptions in its risk assessment and modeling. </w:t>
      </w:r>
    </w:p>
    <w:p w:rsidR="00AA6A13" w:rsidRPr="00A8196B" w:rsidP="009B2563" w14:paraId="3A27323E" w14:textId="3A71C7A9">
      <w:pPr>
        <w:pStyle w:val="BodyTextFirstIndent"/>
        <w:spacing w:after="200" w:line="276" w:lineRule="auto"/>
        <w:rPr>
          <w:rFonts w:cs="Arial"/>
        </w:rPr>
      </w:pPr>
      <w:r w:rsidRPr="00A8196B">
        <w:rPr>
          <w:rFonts w:cs="Arial"/>
        </w:rPr>
        <w:t xml:space="preserve">The existing PMN form is not appropriate for reporting of new microorganisms in MCANs since the form was designed with traditional chemical substances in mind.  The </w:t>
      </w:r>
      <w:r w:rsidRPr="00A8196B">
        <w:rPr>
          <w:rFonts w:cs="Arial"/>
        </w:rPr>
        <w:t xml:space="preserve">submitter will be able to provide the information required by the regulations in a format of his or her own choosing. Submitters of MCANs are required to use the e-PMN software to generate a finalized “header” sheet, called EPA Form 6300-07, </w:t>
      </w:r>
      <w:r w:rsidRPr="00A8196B">
        <w:rPr>
          <w:rFonts w:cs="Arial"/>
          <w:i/>
        </w:rPr>
        <w:t>TSCA Biotechnology Notice for Online Submissions</w:t>
      </w:r>
      <w:r w:rsidRPr="00A8196B">
        <w:rPr>
          <w:rFonts w:cs="Arial"/>
        </w:rPr>
        <w:t>. The form simply requires contact information, the addition of any attachments, and a signature page</w:t>
      </w:r>
      <w:r w:rsidRPr="00A8196B" w:rsidR="00057B7A">
        <w:rPr>
          <w:rFonts w:cs="Arial"/>
        </w:rPr>
        <w:t xml:space="preserve"> (Attachment 7.)</w:t>
      </w:r>
      <w:r w:rsidRPr="00A8196B">
        <w:rPr>
          <w:rFonts w:cs="Arial"/>
        </w:rPr>
        <w:t>.</w:t>
      </w:r>
    </w:p>
    <w:p w:rsidR="00AA6A13" w:rsidRPr="00A8196B" w:rsidP="009B2563" w14:paraId="0CBF4959" w14:textId="0CE00BE6">
      <w:pPr>
        <w:pStyle w:val="BodyTextFirstIndent"/>
        <w:spacing w:after="200" w:line="276" w:lineRule="auto"/>
        <w:rPr>
          <w:rFonts w:cs="Arial"/>
        </w:rPr>
      </w:pPr>
      <w:r w:rsidRPr="00A8196B">
        <w:rPr>
          <w:rFonts w:cs="Arial"/>
        </w:rPr>
        <w:t>The e-PMN form also includes a User Fee Payment Identity Number field to enable the Agency to match more easily a particular user fee with a particular notice submission. A User Fee Payment Identity Number is required and may be a wire transfer number, or a “Pay.gov” transaction number used to transmit the user fee. This information is presently in the submitter’s possession.</w:t>
      </w:r>
    </w:p>
    <w:p w:rsidR="00AA6A13" w:rsidRPr="00A8196B" w:rsidP="009B2563" w14:paraId="216D8020" w14:textId="3404CD4E">
      <w:pPr>
        <w:pStyle w:val="BodyTextFirstIndent"/>
        <w:spacing w:after="200" w:line="276" w:lineRule="auto"/>
        <w:rPr>
          <w:rFonts w:cs="Arial"/>
        </w:rPr>
      </w:pPr>
      <w:r w:rsidRPr="00A8196B">
        <w:rPr>
          <w:rFonts w:cs="Arial"/>
        </w:rPr>
        <w:t>Another information element on the PMN form is optional and consists simply of the e-mail addresses for the principals listed on the Submitter Identification section of the PMN form. This information helps facilitate electronic communications with the proper point of contact from the submitting entity.</w:t>
      </w:r>
    </w:p>
    <w:p w:rsidR="00AA6A13" w:rsidRPr="00A8196B" w:rsidP="004E6EE2" w14:paraId="00D90639" w14:textId="5F7716A9">
      <w:pPr>
        <w:pStyle w:val="BodyTextFirstIndent"/>
        <w:widowControl/>
        <w:spacing w:after="200" w:line="276" w:lineRule="auto"/>
        <w:rPr>
          <w:rFonts w:cs="Arial"/>
        </w:rPr>
      </w:pPr>
      <w:r w:rsidRPr="00A8196B">
        <w:rPr>
          <w:rFonts w:cs="Arial"/>
          <w:u w:val="single"/>
        </w:rPr>
        <w:t>Exemption Applications</w:t>
      </w:r>
      <w:r w:rsidRPr="00A8196B">
        <w:rPr>
          <w:rFonts w:cs="Arial"/>
        </w:rPr>
        <w:t xml:space="preserve"> - Applications for exemptions from premanufacture or microbial commercial activity notice requirements have additional information requirements, as follows:</w:t>
      </w:r>
    </w:p>
    <w:p w:rsidR="00AA6A13" w:rsidRPr="00A8196B" w:rsidP="009B2563" w14:paraId="771255E6" w14:textId="678E5345">
      <w:r w:rsidRPr="00A8196B">
        <w:rPr>
          <w:rFonts w:cs="Arial"/>
          <w:u w:val="single"/>
        </w:rPr>
        <w:t>Test-Marketing Exemption (TME) (40 CFR 720.38)</w:t>
      </w:r>
      <w:r w:rsidRPr="00A8196B" w:rsidR="00A405E0">
        <w:rPr>
          <w:rFonts w:cs="Arial"/>
        </w:rPr>
        <w:t xml:space="preserve"> - </w:t>
      </w:r>
      <w:r w:rsidRPr="00A8196B">
        <w:t>Since April 6, 2010, TME submitters have been required to use the e-PMN software to generate finalized submissions using either Form 7710-25 or a cover letter and attached information. The test-marking exemption rule states that applicants should provide the following information: (1) all existing health and environmental effects data on the chemical or a discussion of toxicity based on structure-activity relationships and relevant data on chemical analogues; (2) the maximum quantity of the chemical substance that the applicant will manufacture for test-marketing purposes; (3) the maximum number of persons who may be provided the chemical substance during test-marketing; (4) the maximum number of persons who may be exposed to the chemical substance as a result of test-marketing, including information regarding the duration and route of such exposure; and (5) a description of the test-marketing activity, including its length and how it can be distinguished from full-scale commercial production and research and development. The Agency retains the right to determine that an application contains insufficient information to make an evaluation. Any person who receives a test-marketing exemption must retain documentation of any information in the exemption application and documentation of their compliance with any restrictions imposed by EPA when it granted the application. This information must be retained for five years from the final date of manufacture or import under the exemption.</w:t>
      </w:r>
    </w:p>
    <w:p w:rsidR="00AA6A13" w:rsidRPr="00A8196B" w:rsidP="009B2563" w14:paraId="77C9313D" w14:textId="18766FD6">
      <w:pPr>
        <w:rPr>
          <w:rFonts w:cs="Arial"/>
        </w:rPr>
      </w:pPr>
      <w:r w:rsidRPr="00A8196B">
        <w:rPr>
          <w:rFonts w:cs="Arial"/>
          <w:u w:val="single"/>
        </w:rPr>
        <w:t>Research and Development Exemption (R&amp;D) (40 CFR 720.36)</w:t>
      </w:r>
      <w:r w:rsidRPr="00A8196B" w:rsidR="00A405E0">
        <w:rPr>
          <w:rFonts w:cs="Arial"/>
          <w:u w:val="single"/>
        </w:rPr>
        <w:t xml:space="preserve"> </w:t>
      </w:r>
      <w:r w:rsidRPr="00A8196B" w:rsidR="00A405E0">
        <w:rPr>
          <w:rFonts w:cs="Arial"/>
        </w:rPr>
        <w:t xml:space="preserve">- </w:t>
      </w:r>
      <w:r w:rsidRPr="00A8196B">
        <w:rPr>
          <w:rFonts w:cs="Arial"/>
        </w:rPr>
        <w:t xml:space="preserve">A manufacturer using this exemption must notify all persons in its employ, or to whom it distributes the </w:t>
      </w:r>
      <w:r w:rsidRPr="00A8196B">
        <w:rPr>
          <w:rFonts w:cs="Arial"/>
        </w:rPr>
        <w:t>chemical substance and who are involved in any way in the research, of any risk to health associated with the chemical substance.</w:t>
      </w:r>
    </w:p>
    <w:p w:rsidR="00AA6A13" w:rsidP="009B2563" w14:paraId="5D2A1691" w14:textId="6873F618">
      <w:pPr>
        <w:rPr>
          <w:rFonts w:cs="Arial"/>
        </w:rPr>
      </w:pPr>
      <w:r w:rsidRPr="00A8196B">
        <w:rPr>
          <w:rFonts w:cs="Arial"/>
          <w:u w:val="single"/>
        </w:rPr>
        <w:t>TSCA section 5(h)(4) Exemptions</w:t>
      </w:r>
      <w:r w:rsidRPr="00A8196B" w:rsidR="00A405E0">
        <w:rPr>
          <w:rFonts w:cs="Arial"/>
          <w:u w:val="single"/>
        </w:rPr>
        <w:t xml:space="preserve"> </w:t>
      </w:r>
      <w:r w:rsidRPr="00A8196B" w:rsidR="00A405E0">
        <w:rPr>
          <w:rFonts w:cs="Arial"/>
        </w:rPr>
        <w:t>-</w:t>
      </w:r>
      <w:r w:rsidRPr="00A8196B" w:rsidR="00C30EE2">
        <w:rPr>
          <w:rFonts w:cs="Arial"/>
        </w:rPr>
        <w:t xml:space="preserve"> </w:t>
      </w:r>
      <w:r w:rsidRPr="00A8196B" w:rsidR="00CC58F0">
        <w:rPr>
          <w:rFonts w:cs="Arial"/>
        </w:rPr>
        <w:t>F</w:t>
      </w:r>
      <w:r w:rsidRPr="00A8196B">
        <w:rPr>
          <w:rFonts w:cs="Arial"/>
        </w:rPr>
        <w:t>or the low volume exemption (LVE) (40 CFR 723.50), submitters are required to submit their exemption on the PMN form (generated using the e-PMN software) to ensure that the Agency has adequate information to make a determination that these substances will not present an unreasonable risk. Statements describing exposure and release controls, site, and use in an exemption application are legally binding and enforceable.</w:t>
      </w:r>
    </w:p>
    <w:p w:rsidR="00A055B4" w:rsidRPr="00A8196B" w:rsidP="00A055B4" w14:paraId="5FF46A8D" w14:textId="77777777">
      <w:pPr>
        <w:rPr>
          <w:rFonts w:cs="Arial"/>
        </w:rPr>
      </w:pPr>
      <w:r>
        <w:rPr>
          <w:rFonts w:cs="Arial"/>
        </w:rPr>
        <w:t xml:space="preserve">In the proposed new chemicals procedural rule associated with this ICR update, </w:t>
      </w:r>
      <w:r w:rsidRPr="00C33C1D">
        <w:rPr>
          <w:rFonts w:cs="Arial"/>
        </w:rPr>
        <w:t xml:space="preserve">EPA is proposing several amendments to the current LVE and LoREX regulations. EPA is proposing: (1) that submitters may not commence manufacture until EPA has approved the LVE or LoREX notice; (2) that EPA proactively inform LVE and LoREX holders if the chemical substance that is the subject of the LVE or LoREX </w:t>
      </w:r>
      <w:r>
        <w:rPr>
          <w:rFonts w:cs="Arial"/>
        </w:rPr>
        <w:t>becomes subject to a proposed or final SNUR and the chemical identity is CBI</w:t>
      </w:r>
      <w:r w:rsidRPr="00C33C1D">
        <w:rPr>
          <w:rFonts w:cs="Arial"/>
        </w:rPr>
        <w:t xml:space="preserve">, (3) that PFAS be categorically ineligible for these exemptions; and (4) </w:t>
      </w:r>
      <w:bookmarkStart w:id="5" w:name="_Hlk126934399"/>
      <w:r w:rsidRPr="00C33C1D">
        <w:rPr>
          <w:rFonts w:cs="Arial"/>
        </w:rPr>
        <w:t>to codify the ineligibility for exemptions of PBTs as described in EPA’s 1999 PBT policy</w:t>
      </w:r>
      <w:bookmarkEnd w:id="5"/>
      <w:r w:rsidRPr="00C33C1D">
        <w:rPr>
          <w:rFonts w:cs="Arial"/>
        </w:rPr>
        <w:t>.</w:t>
      </w:r>
    </w:p>
    <w:p w:rsidR="00AA6A13" w:rsidRPr="00A8196B" w:rsidP="00284C7A" w14:paraId="32B0A77F" w14:textId="155BE93C">
      <w:pPr>
        <w:rPr>
          <w:rFonts w:cs="Arial"/>
        </w:rPr>
      </w:pPr>
      <w:r w:rsidRPr="00A8196B">
        <w:rPr>
          <w:u w:val="single"/>
        </w:rPr>
        <w:t>For the low exposure/low release exemption</w:t>
      </w:r>
      <w:r w:rsidRPr="00A8196B">
        <w:rPr>
          <w:rFonts w:cs="Arial"/>
        </w:rPr>
        <w:t xml:space="preserve"> (LoREX) (40 CFR 723.50), submitters are required to submit their exemption on the PMN form (generated using the e-PMN software). The LoREX exemption encourages the use of pollution prevention practices through the development of manufacturing, processing and use techniques that minimize exposure to workers, consumers, the general public and the environment. As with the low volume exemption, site, use, exposure and release controls identified in the notice are binding.</w:t>
      </w:r>
    </w:p>
    <w:p w:rsidR="00AA6A13" w:rsidRPr="00A8196B" w:rsidP="00284C7A" w14:paraId="3E167F6A" w14:textId="0DB8BF58">
      <w:pPr>
        <w:rPr>
          <w:rFonts w:cs="Arial"/>
        </w:rPr>
      </w:pPr>
      <w:r w:rsidRPr="00A8196B">
        <w:rPr>
          <w:u w:val="single"/>
        </w:rPr>
        <w:t>The polymer exemption rule (40 CFR 723.250)</w:t>
      </w:r>
      <w:r w:rsidRPr="00A8196B">
        <w:rPr>
          <w:rFonts w:cs="Arial"/>
        </w:rPr>
        <w:t xml:space="preserve"> </w:t>
      </w:r>
      <w:r w:rsidRPr="00A8196B" w:rsidR="00A405E0">
        <w:rPr>
          <w:rFonts w:cs="Arial"/>
        </w:rPr>
        <w:t>-</w:t>
      </w:r>
      <w:r w:rsidRPr="00A8196B">
        <w:rPr>
          <w:rFonts w:cs="Arial"/>
        </w:rPr>
        <w:t xml:space="preserve"> requires the submission of a post-manufacture report to EPA. A simple one-page annual report is required to be submitted to the Agency no later than January 31 of the year subsequent to initial manufacture under the terms of the exemption. The report must include company identity information including the name and telephone number of a technical contact and the number of exempt substances for which manufacture commenced during the preceding year. These reports are not subject to the electronic reporting requirements of the e-PMN rule.</w:t>
      </w:r>
    </w:p>
    <w:p w:rsidR="00A7023B" w:rsidRPr="00A8196B" w:rsidP="009B2563" w14:paraId="064EA5D2" w14:textId="77777777">
      <w:pPr>
        <w:pStyle w:val="ListNumber"/>
        <w:numPr>
          <w:ilvl w:val="0"/>
          <w:numId w:val="0"/>
        </w:numPr>
        <w:spacing w:after="200" w:line="276" w:lineRule="auto"/>
        <w:rPr>
          <w:rFonts w:ascii="Arial" w:hAnsi="Arial" w:cs="Arial"/>
        </w:rPr>
      </w:pPr>
      <w:r w:rsidRPr="00A8196B">
        <w:rPr>
          <w:rFonts w:ascii="Arial" w:hAnsi="Arial" w:cs="Arial"/>
          <w:u w:val="single"/>
        </w:rPr>
        <w:t>Instant photographic film articles exemption notices</w:t>
      </w:r>
      <w:r w:rsidRPr="00A8196B">
        <w:rPr>
          <w:rFonts w:ascii="Arial" w:hAnsi="Arial" w:cs="Arial"/>
        </w:rPr>
        <w:t xml:space="preserve"> (under 40 CFR 723.175) </w:t>
      </w:r>
      <w:r w:rsidRPr="00A8196B" w:rsidR="00A405E0">
        <w:rPr>
          <w:rFonts w:ascii="Arial" w:hAnsi="Arial" w:cs="Arial"/>
        </w:rPr>
        <w:t xml:space="preserve">– there </w:t>
      </w:r>
      <w:r w:rsidRPr="00A8196B">
        <w:rPr>
          <w:rFonts w:ascii="Arial" w:hAnsi="Arial" w:cs="Arial"/>
        </w:rPr>
        <w:t>must, at a minimum, identif</w:t>
      </w:r>
      <w:r w:rsidRPr="00A8196B" w:rsidR="00A405E0">
        <w:rPr>
          <w:rFonts w:ascii="Arial" w:hAnsi="Arial" w:cs="Arial"/>
        </w:rPr>
        <w:t>ication</w:t>
      </w:r>
      <w:r w:rsidRPr="00A8196B">
        <w:rPr>
          <w:rFonts w:ascii="Arial" w:hAnsi="Arial" w:cs="Arial"/>
        </w:rPr>
        <w:t xml:space="preserve"> </w:t>
      </w:r>
      <w:r w:rsidRPr="00A8196B" w:rsidR="00A405E0">
        <w:rPr>
          <w:rFonts w:ascii="Arial" w:hAnsi="Arial" w:cs="Arial"/>
        </w:rPr>
        <w:t>by</w:t>
      </w:r>
      <w:r w:rsidRPr="00A8196B">
        <w:rPr>
          <w:rFonts w:ascii="Arial" w:hAnsi="Arial" w:cs="Arial"/>
        </w:rPr>
        <w:t xml:space="preserve"> the manufacturer and the new chemical substance. Applicants must submit an exemption notice when manufacture begins and comply with certain requirements to limit exposure to the chemical. Applicants must retain certain records for 30 years from the final date of manufacture.</w:t>
      </w:r>
    </w:p>
    <w:p w:rsidR="00A7023B" w:rsidRPr="00A8196B" w:rsidP="00CC58F0" w14:paraId="1DB143C8" w14:textId="677754D7">
      <w:r w:rsidRPr="00A8196B">
        <w:rPr>
          <w:u w:val="single"/>
        </w:rPr>
        <w:t>TSCA experimental release application (TERA)</w:t>
      </w:r>
      <w:r w:rsidRPr="00A8196B">
        <w:t xml:space="preserve"> (under 40 CFR 725.250) </w:t>
      </w:r>
      <w:r w:rsidRPr="00A8196B" w:rsidR="00A405E0">
        <w:t xml:space="preserve">- </w:t>
      </w:r>
      <w:r w:rsidRPr="00A8196B">
        <w:t xml:space="preserve">applies to research and development activities that result in intentional environmental releases of </w:t>
      </w:r>
      <w:r w:rsidRPr="00A8196B">
        <w:t>new microorganisms. Applicants are required to include adequate information in their exemption application so that the Agency can make a determination as to whether the microorganism will present an unreasonable risk. Submitters must follow the conditions described in the TERA as well as any conditions of EPA’s TERA approval.</w:t>
      </w:r>
    </w:p>
    <w:p w:rsidR="00AA6A13" w:rsidRPr="00A8196B" w:rsidP="00CC58F0" w14:paraId="3FDA97C9" w14:textId="0B3C2703">
      <w:r w:rsidRPr="00A8196B">
        <w:t xml:space="preserve">Tier 1 </w:t>
      </w:r>
      <w:r w:rsidRPr="00A8196B">
        <w:t>exemption (40 CFR 725.424) - applies to certain new</w:t>
      </w:r>
      <w:r w:rsidRPr="00A8196B">
        <w:t xml:space="preserve"> </w:t>
      </w:r>
      <w:r w:rsidRPr="00A8196B">
        <w:t>microorganisms subject to physical containment and control technologies. EPA has</w:t>
      </w:r>
      <w:r w:rsidRPr="00A8196B">
        <w:t xml:space="preserve"> </w:t>
      </w:r>
      <w:r w:rsidRPr="00A8196B">
        <w:t>developed specific criteria for the host microorganism, introduced genetic material, and</w:t>
      </w:r>
      <w:r w:rsidRPr="00A8196B">
        <w:t xml:space="preserve"> </w:t>
      </w:r>
      <w:r w:rsidRPr="00A8196B">
        <w:t>containment technology to ensure that the microorganism will not present an</w:t>
      </w:r>
      <w:r w:rsidRPr="00A8196B">
        <w:t xml:space="preserve"> </w:t>
      </w:r>
      <w:r w:rsidRPr="00A8196B">
        <w:t>unreasonable risk. Applicants must notify EPA 10 days before manufacture, certifying</w:t>
      </w:r>
      <w:r w:rsidRPr="00A8196B">
        <w:t xml:space="preserve"> </w:t>
      </w:r>
      <w:r w:rsidRPr="00A8196B">
        <w:t>compliance with the exemption criteria and include the site of manufacture or import.</w:t>
      </w:r>
    </w:p>
    <w:p w:rsidR="00AA6A13" w:rsidRPr="00A8196B" w:rsidP="00CC58F0" w14:paraId="3FFDC566" w14:textId="2307B8E0">
      <w:r w:rsidRPr="00A8196B">
        <w:t>Tier II exemption (40 CFR 725.428) - applies to the same microorganisms subject to a Tier I exemption; however, the applicant must provide adequate information on its proposed physical containment and control technologies in order for EPA to evaluate the exemption. If EPA grants the exemption, it may impose appropriate restrictions on the activities described in the notice.</w:t>
      </w:r>
    </w:p>
    <w:p w:rsidR="00AA6A13" w:rsidRPr="00A8196B" w:rsidP="009B2563" w14:paraId="058AA98F" w14:textId="7E8A36D9">
      <w:pPr>
        <w:pStyle w:val="BodyTextFirstIndent"/>
        <w:spacing w:after="200" w:line="276" w:lineRule="auto"/>
        <w:rPr>
          <w:rFonts w:cs="Arial"/>
        </w:rPr>
      </w:pPr>
      <w:r w:rsidRPr="00A8196B">
        <w:rPr>
          <w:rFonts w:cs="Arial"/>
          <w:u w:val="single"/>
        </w:rPr>
        <w:t>Submitters of biotechnology notices</w:t>
      </w:r>
      <w:r w:rsidRPr="00A8196B">
        <w:rPr>
          <w:rFonts w:cs="Arial"/>
        </w:rPr>
        <w:t xml:space="preserve"> (i.e., MCANs, TERAs, Tier I exemptions, and Tier II exemptions) </w:t>
      </w:r>
      <w:r w:rsidRPr="00A8196B" w:rsidR="00A405E0">
        <w:rPr>
          <w:rFonts w:cs="Arial"/>
        </w:rPr>
        <w:t xml:space="preserve">- </w:t>
      </w:r>
      <w:r w:rsidRPr="00A8196B">
        <w:rPr>
          <w:rFonts w:cs="Arial"/>
        </w:rPr>
        <w:t xml:space="preserve">are required to use the e-PMN software to generate a finalized “header” sheet, called EPA Form 6300-07, </w:t>
      </w:r>
      <w:r w:rsidRPr="00A8196B">
        <w:rPr>
          <w:rFonts w:cs="Arial"/>
          <w:i/>
        </w:rPr>
        <w:t>TSCA Biotechnology Notice for Online Submissions</w:t>
      </w:r>
      <w:r w:rsidRPr="00A8196B">
        <w:rPr>
          <w:rFonts w:cs="Arial"/>
        </w:rPr>
        <w:t>. The form requires contact information, the addition of any attachments, and a signature page.</w:t>
      </w:r>
    </w:p>
    <w:p w:rsidR="00AA6A13" w:rsidRPr="00A8196B" w:rsidP="009B2563" w14:paraId="33977BB6" w14:textId="5D30E4D2">
      <w:pPr>
        <w:pStyle w:val="BodyTextFirstIndent"/>
        <w:spacing w:after="200" w:line="276" w:lineRule="auto"/>
        <w:rPr>
          <w:rFonts w:cs="Arial"/>
        </w:rPr>
      </w:pPr>
      <w:r w:rsidRPr="00A8196B">
        <w:rPr>
          <w:rFonts w:cs="Arial"/>
          <w:u w:val="single"/>
        </w:rPr>
        <w:t>Notices of Commencement</w:t>
      </w:r>
      <w:r w:rsidRPr="00A8196B">
        <w:rPr>
          <w:rFonts w:cs="Arial"/>
        </w:rPr>
        <w:t xml:space="preserve"> - Under 40 CFR 720.102 and 725.190, EPA requires companies to notify the Agency by submitting a Notice of Commencement (NOC) when non-exempt commercial manufacture (including importation) of a new chemical begins. Required reporting information includes the following:</w:t>
      </w:r>
    </w:p>
    <w:p w:rsidR="00AA6A13" w:rsidRPr="00A8196B" w:rsidP="009B2563" w14:paraId="5571C7C3" w14:textId="77777777">
      <w:pPr>
        <w:pStyle w:val="ListParagraph"/>
        <w:numPr>
          <w:ilvl w:val="0"/>
          <w:numId w:val="20"/>
        </w:numPr>
        <w:rPr>
          <w:rFonts w:cs="Arial"/>
        </w:rPr>
      </w:pPr>
      <w:r w:rsidRPr="00A8196B">
        <w:rPr>
          <w:rFonts w:cs="Arial"/>
        </w:rPr>
        <w:t>Specific chemical identity of the chemical, and a generic chemical name if the specific name is considered confidential;</w:t>
      </w:r>
    </w:p>
    <w:p w:rsidR="00AA6A13" w:rsidRPr="00A8196B" w:rsidP="009B2563" w14:paraId="09096B18" w14:textId="77777777">
      <w:pPr>
        <w:pStyle w:val="ListParagraph"/>
        <w:numPr>
          <w:ilvl w:val="0"/>
          <w:numId w:val="20"/>
        </w:numPr>
        <w:rPr>
          <w:rFonts w:cs="Arial"/>
        </w:rPr>
      </w:pPr>
      <w:r w:rsidRPr="00A8196B">
        <w:rPr>
          <w:rFonts w:cs="Arial"/>
        </w:rPr>
        <w:t>Premanufacture notice number assigned by EPA;</w:t>
      </w:r>
    </w:p>
    <w:p w:rsidR="00AA6A13" w:rsidRPr="00A8196B" w:rsidP="009B2563" w14:paraId="495E36BC" w14:textId="77777777">
      <w:pPr>
        <w:pStyle w:val="ListParagraph"/>
        <w:numPr>
          <w:ilvl w:val="0"/>
          <w:numId w:val="20"/>
        </w:numPr>
        <w:rPr>
          <w:rFonts w:cs="Arial"/>
        </w:rPr>
      </w:pPr>
      <w:r w:rsidRPr="00A8196B">
        <w:rPr>
          <w:rFonts w:cs="Arial"/>
        </w:rPr>
        <w:t>Date that manufacture commenced;</w:t>
      </w:r>
    </w:p>
    <w:p w:rsidR="00AA6A13" w:rsidRPr="00A8196B" w:rsidP="009B2563" w14:paraId="3E669AEC" w14:textId="77777777">
      <w:pPr>
        <w:pStyle w:val="ListParagraph"/>
        <w:numPr>
          <w:ilvl w:val="0"/>
          <w:numId w:val="20"/>
        </w:numPr>
        <w:rPr>
          <w:rFonts w:cs="Arial"/>
        </w:rPr>
      </w:pPr>
      <w:r w:rsidRPr="00A8196B">
        <w:rPr>
          <w:rFonts w:cs="Arial"/>
        </w:rPr>
        <w:t>Address of the site where manufacture commenced;</w:t>
      </w:r>
    </w:p>
    <w:p w:rsidR="00AA6A13" w:rsidRPr="00A8196B" w:rsidP="009B2563" w14:paraId="0152144C" w14:textId="77777777">
      <w:pPr>
        <w:pStyle w:val="ListParagraph"/>
        <w:numPr>
          <w:ilvl w:val="0"/>
          <w:numId w:val="20"/>
        </w:numPr>
        <w:rPr>
          <w:rFonts w:cs="Arial"/>
        </w:rPr>
      </w:pPr>
      <w:r w:rsidRPr="00A8196B">
        <w:rPr>
          <w:rFonts w:cs="Arial"/>
        </w:rPr>
        <w:t>Name and address of the submitting company, the name of the authorized official signing the NOC, the name and telephone number of a technical contact person; and</w:t>
      </w:r>
    </w:p>
    <w:p w:rsidR="00AA6A13" w:rsidRPr="00A8196B" w:rsidP="009B2563" w14:paraId="44E162CE" w14:textId="77777777">
      <w:pPr>
        <w:pStyle w:val="ListParagraph"/>
        <w:numPr>
          <w:ilvl w:val="0"/>
          <w:numId w:val="20"/>
        </w:numPr>
        <w:rPr>
          <w:rFonts w:cs="Arial"/>
        </w:rPr>
      </w:pPr>
      <w:r w:rsidRPr="00A8196B">
        <w:rPr>
          <w:rFonts w:cs="Arial"/>
        </w:rPr>
        <w:t>Clear indication of what information, if any, is to be considered confidential.</w:t>
      </w:r>
    </w:p>
    <w:p w:rsidR="00AA6A13" w:rsidRPr="00A8196B" w:rsidP="009B2563" w14:paraId="15983F59" w14:textId="524EE2DA">
      <w:pPr>
        <w:pStyle w:val="BodyTextFirstIndent"/>
        <w:spacing w:after="200" w:line="276" w:lineRule="auto"/>
        <w:rPr>
          <w:rFonts w:cs="Arial"/>
        </w:rPr>
      </w:pPr>
      <w:r w:rsidRPr="00A8196B">
        <w:rPr>
          <w:rFonts w:cs="Arial"/>
        </w:rPr>
        <w:t>For traditional chemicals regulated under 40 CFR part 720, NOCs must be submitted to EPA using the NOC form (EPA Form 7710-56)</w:t>
      </w:r>
      <w:r w:rsidRPr="00A8196B" w:rsidR="00057B7A">
        <w:rPr>
          <w:rFonts w:cs="Arial"/>
        </w:rPr>
        <w:t>(Attachment 8)</w:t>
      </w:r>
      <w:r w:rsidRPr="00A8196B">
        <w:rPr>
          <w:rFonts w:cs="Arial"/>
        </w:rPr>
        <w:t xml:space="preserve">. Since the effective date of the e-PMN rule, submitters are required to use the e-PMN software to generate a finalized submission using Form 7710-56. The submitter must provide the NOC to EPA on, or no later than 30 calendar days after, the day manufacture (including importation) </w:t>
      </w:r>
      <w:r w:rsidRPr="00A8196B">
        <w:rPr>
          <w:rFonts w:cs="Arial"/>
        </w:rPr>
        <w:t>began. The existing NOC form is not appropriate for reporting of new microorganisms since the form was designed with traditional chemical substances in mind. Thus, under 40 CFR 725.190 the submitter may provide information in a format of his or her own choosing when reporting an NOC for a new microorganism.</w:t>
      </w:r>
    </w:p>
    <w:p w:rsidR="00AA6A13" w:rsidRPr="00A8196B" w:rsidP="009B2563" w14:paraId="0CC2F55A" w14:textId="0D588068">
      <w:pPr>
        <w:pStyle w:val="BodyTextFirstIndent"/>
        <w:spacing w:after="200" w:line="276" w:lineRule="auto"/>
        <w:rPr>
          <w:rFonts w:cs="Arial"/>
        </w:rPr>
      </w:pPr>
      <w:r w:rsidRPr="00A8196B">
        <w:rPr>
          <w:rFonts w:cs="Arial"/>
          <w:u w:val="single"/>
        </w:rPr>
        <w:t>Bona Fides</w:t>
      </w:r>
      <w:r w:rsidRPr="00A8196B">
        <w:rPr>
          <w:rFonts w:cs="Arial"/>
        </w:rPr>
        <w:t xml:space="preserve"> - To determine whether a chemical substance is on the confidential portion of the TSCA Inventory, submitters of bona fide inquiries under 40 CFR 720.25 and 40 CFR 725.15 are required to provide the specific chemical identity of the substance in question, a signed statement that the submitter intends to manufacture that substance, a description of the research and development activity conducted on that substance, a description of the intended use of the substance, infrared spectrum data to identify the substance, the estimated date on which the company intends to submit a PMN, the address of the facility where manufacturing or processing will occur, and a description of the manufacturing process. A similar procedure is followed for companies wishing to obtain confidential information for a SNUR, including chemical identity, and terms of the SNUR (see 40 CFR 721.11).</w:t>
      </w:r>
    </w:p>
    <w:p w:rsidR="00A7023B" w:rsidRPr="00A8196B" w:rsidP="009B2563" w14:paraId="04EE712F" w14:textId="77777777">
      <w:pPr>
        <w:pStyle w:val="BodyTextFirstIndent"/>
        <w:spacing w:after="200" w:line="276" w:lineRule="auto"/>
        <w:rPr>
          <w:rFonts w:cs="Arial"/>
        </w:rPr>
      </w:pPr>
      <w:r w:rsidRPr="00A8196B">
        <w:rPr>
          <w:rFonts w:cs="Arial"/>
        </w:rPr>
        <w:t>To determine whether a microorganism is on the confidential portion of the TSCA Inventory, submitters of bona fide inquiries under 40 CFR 725.15 are required to provide the taxonomic designations, pertinent genotypic and phenotypic information, a signed statement that the submitter intends to manufacture that microorganism, a description of the research and development activity conducted on that substance, a description of the intended use of the substance, and an indication of whether a related microorganism was previously reviewed by EPA to the extent known by the submitter. Bona fides are also subject to the e-PMN rule electronic reporting requirements.</w:t>
      </w:r>
    </w:p>
    <w:p w:rsidR="00A7023B" w:rsidRPr="00A8196B" w:rsidP="004E6EE2" w14:paraId="1F053DD1" w14:textId="77777777">
      <w:pPr>
        <w:pStyle w:val="BodyTextFirstIndent"/>
        <w:widowControl/>
        <w:spacing w:after="200" w:line="276" w:lineRule="auto"/>
        <w:rPr>
          <w:rFonts w:cs="Arial"/>
        </w:rPr>
      </w:pPr>
      <w:r w:rsidRPr="00A8196B">
        <w:rPr>
          <w:rFonts w:cs="Arial"/>
          <w:u w:val="single"/>
        </w:rPr>
        <w:t>User Fees</w:t>
      </w:r>
      <w:r w:rsidRPr="00A8196B">
        <w:rPr>
          <w:rFonts w:cs="Arial"/>
        </w:rPr>
        <w:t xml:space="preserve"> – There is a TSCA section 26(b) rule in place at 40 CFR part 700 that requires manufacturers and processors to pay fees for PMNs, MCANs, certain PMN exemption application notices, and SNUNs submitted under TSCA sections 5(a) and (h), and requires a limited amount of additional information to be submitted with the section 5 notice. This information includes certification that the firm is a “small business concern” (if applicable), a certification statement that the submitter remitted the appropriate fee, and the placement of corresponding identifying numbers both on the PMN form and the fee remittance. A </w:t>
      </w:r>
      <w:r w:rsidRPr="00A8196B" w:rsidR="00E7762E">
        <w:t>final rule</w:t>
      </w:r>
      <w:r w:rsidRPr="00A8196B">
        <w:rPr>
          <w:rFonts w:cs="Arial"/>
        </w:rPr>
        <w:t xml:space="preserve"> (and associated ICR) that established the TSCA-associated user fees was issued to implement the Lautenberg Act amendments to TSCA became effective October 18, 2018 (83 FR 52694).</w:t>
      </w:r>
    </w:p>
    <w:p w:rsidR="00AA6A13" w:rsidRPr="00A8196B" w:rsidP="004C0221" w14:paraId="39964AC2" w14:textId="0FE35374">
      <w:pPr>
        <w:pStyle w:val="Heading3"/>
        <w:numPr>
          <w:ilvl w:val="0"/>
          <w:numId w:val="0"/>
        </w:numPr>
        <w:spacing w:line="276" w:lineRule="auto"/>
        <w:ind w:firstLine="810"/>
      </w:pPr>
      <w:r w:rsidRPr="00A8196B">
        <w:t>Information Items - Recordkeeping Requirements</w:t>
      </w:r>
    </w:p>
    <w:p w:rsidR="00AA6A13" w:rsidRPr="00A8196B" w:rsidP="009B2563" w14:paraId="55BED4C2" w14:textId="77777777">
      <w:pPr>
        <w:pStyle w:val="BodyTextFirstIndent"/>
        <w:spacing w:after="200" w:line="276" w:lineRule="auto"/>
      </w:pPr>
      <w:r w:rsidRPr="00A8196B">
        <w:t xml:space="preserve">Under 40 CFR 720.78(a), TSCA section 5 notice submitters must keep the following information or data for five years from the date of commencement of manufacture or processing: documentation of information in the notice (e.g., sources of information provided in the notice); production volume for the first three years of production; the date of commencement, plus documentation of this information; and “other data” </w:t>
      </w:r>
      <w:r w:rsidRPr="00A8196B">
        <w:t>described in the notice, as required by 40 CFR 720.50(b).</w:t>
      </w:r>
    </w:p>
    <w:p w:rsidR="00AA6A13" w:rsidRPr="00A8196B" w:rsidP="009B2563" w14:paraId="14F4FFFB" w14:textId="77777777">
      <w:pPr>
        <w:pStyle w:val="BodyTextFirstIndent"/>
        <w:spacing w:after="200" w:line="276" w:lineRule="auto"/>
      </w:pPr>
      <w:r w:rsidRPr="00A8196B">
        <w:t>Recordkeeping requirements under SNURs require persons who manufacture or process a substance subject to significant new use reporting to maintain records indicating their compliance with certain methods of manufacture or processing. Recordkeeping requirements apply to SNURs for which compliance can be monitored by recordkeeping or SNUR notice (SNUN) submission under TSCA section 5(a)(2). For example, upon occasion EPA may determine that a specific set of exposure controls will adequately mitigate risks to workers by a specific chemical substance. In such cases, EPA may determine, by rule, that the failure to utilize such controls constitutes a significant new use. However, those persons employing the controls identified in the SNUR are not required to report to EPA. In order to demonstrate to EPA inspectors that they are properly employing worker exposure controls (to avoid SNUR notification requirements), manufacturers or processors will likely maintain some record of their compliance. In instances such as those described above, EPA would require that records be kept documenting the establishment and implementation of procedures to ensure that the exposure controls were in place. These records aid inspectors in EPA’s compliance monitoring program during their visits to plants where substances subject to SNUR requirements are manufactured or processed. EPA does not consider recordkeeping that indicates compliance with a SNUR to be burdensome. Information contained in these records is not submitted to EPA. Therefore, the costs of keeping such records should be minimal.</w:t>
      </w:r>
    </w:p>
    <w:p w:rsidR="00AA6A13" w:rsidRPr="00A8196B" w:rsidP="009B2563" w14:paraId="160CEA12" w14:textId="77777777">
      <w:pPr>
        <w:pStyle w:val="BodyTextFirstIndent"/>
        <w:spacing w:after="200" w:line="276" w:lineRule="auto"/>
      </w:pPr>
      <w:r w:rsidRPr="00A8196B">
        <w:t>There are also recordkeeping requirements for persons subject to section 5 orders (most often consent orders) containing exposure controls. Depending on the facts of each case, submitters must keep records in connection with the use of the exposure controls including one or more of the following: (1) documentation of manufacture volumes of the PMN substance, with associated dates of manufacture; (2) documentation of the names and addresses of all persons outside the site of manufacture to whom the submitter directly sells or transfers the substance, with associated dates of transfer; (3) documentation of the establishment and implementation of personal protective equipment program; (4) documentation of chemical protective clothing imperviousness testing; (5) documentation of the hazard communication program; (6) copies of labels; (7) copies of material safety data sheets; (8) documentation of compliance with industrial, commercial and consumer use limitations; and (9) documentation of compliance with disposal and release to water limitations.</w:t>
      </w:r>
    </w:p>
    <w:p w:rsidR="00AA6A13" w:rsidRPr="00A8196B" w:rsidP="004C0221" w14:paraId="087C7CA0" w14:textId="27CFE259">
      <w:pPr>
        <w:pStyle w:val="Heading3"/>
        <w:numPr>
          <w:ilvl w:val="0"/>
          <w:numId w:val="0"/>
        </w:numPr>
        <w:spacing w:line="276" w:lineRule="auto"/>
        <w:ind w:firstLine="720"/>
        <w:rPr>
          <w:rFonts w:cs="Arial"/>
        </w:rPr>
      </w:pPr>
      <w:r w:rsidRPr="00A8196B">
        <w:rPr>
          <w:rFonts w:cs="Arial"/>
        </w:rPr>
        <w:t>Respondent Activities</w:t>
      </w:r>
    </w:p>
    <w:p w:rsidR="00AA6A13" w:rsidRPr="00A8196B" w:rsidP="009B2563" w14:paraId="2AC5AF90" w14:textId="77777777">
      <w:pPr>
        <w:pStyle w:val="BodyTextFirstIndent"/>
        <w:spacing w:after="200" w:line="276" w:lineRule="auto"/>
        <w:rPr>
          <w:rFonts w:cs="Arial"/>
        </w:rPr>
      </w:pPr>
      <w:r w:rsidRPr="00A8196B">
        <w:rPr>
          <w:rFonts w:cs="Arial"/>
        </w:rPr>
        <w:t>In responding to the reporting and recordkeeping requirements outlined in this document, respondents will engage in the following activities:</w:t>
      </w:r>
    </w:p>
    <w:p w:rsidR="001B415F" w:rsidRPr="00A8196B" w:rsidP="00EF50B4" w14:paraId="018303DF" w14:textId="292B3712">
      <w:pPr>
        <w:pStyle w:val="ListBulletNoSpace"/>
        <w:numPr>
          <w:ilvl w:val="0"/>
          <w:numId w:val="18"/>
        </w:numPr>
        <w:spacing w:after="200" w:line="276" w:lineRule="auto"/>
        <w:contextualSpacing/>
        <w:rPr>
          <w:rFonts w:ascii="Arial" w:hAnsi="Arial" w:cs="Arial"/>
        </w:rPr>
      </w:pPr>
      <w:r w:rsidRPr="00A8196B">
        <w:rPr>
          <w:rFonts w:ascii="Arial" w:hAnsi="Arial" w:cs="Arial"/>
        </w:rPr>
        <w:t>Read regulatory requirements and provisions;</w:t>
      </w:r>
    </w:p>
    <w:p w:rsidR="004C0221" w:rsidRPr="00A8196B" w:rsidP="00EF50B4" w14:paraId="2BAD6680" w14:textId="77777777">
      <w:pPr>
        <w:pStyle w:val="ListBulletNoSpace"/>
        <w:numPr>
          <w:ilvl w:val="0"/>
          <w:numId w:val="18"/>
        </w:numPr>
        <w:spacing w:after="200" w:line="276" w:lineRule="auto"/>
        <w:contextualSpacing/>
        <w:rPr>
          <w:rFonts w:ascii="Arial" w:hAnsi="Arial" w:cs="Arial"/>
        </w:rPr>
      </w:pPr>
      <w:r w:rsidRPr="00A8196B">
        <w:rPr>
          <w:rFonts w:ascii="Arial" w:hAnsi="Arial" w:cs="Arial"/>
        </w:rPr>
        <w:t>Determine which provisions are applicable to their activities;</w:t>
      </w:r>
    </w:p>
    <w:p w:rsidR="001B415F" w:rsidRPr="00A8196B" w:rsidP="00EF50B4" w14:paraId="763872CF" w14:textId="6D2B2814">
      <w:pPr>
        <w:pStyle w:val="ListBulletNoSpace"/>
        <w:numPr>
          <w:ilvl w:val="0"/>
          <w:numId w:val="18"/>
        </w:numPr>
        <w:spacing w:after="200" w:line="276" w:lineRule="auto"/>
        <w:contextualSpacing/>
        <w:rPr>
          <w:rFonts w:ascii="Arial" w:hAnsi="Arial" w:cs="Arial"/>
        </w:rPr>
      </w:pPr>
      <w:r w:rsidRPr="00A8196B">
        <w:rPr>
          <w:rFonts w:ascii="Arial" w:hAnsi="Arial" w:cs="Arial"/>
        </w:rPr>
        <w:t>Gather information necessary to meet the requirements;</w:t>
      </w:r>
    </w:p>
    <w:p w:rsidR="001B415F" w:rsidRPr="00A8196B" w:rsidP="00EF50B4" w14:paraId="0E2731B8" w14:textId="2FB18E1D">
      <w:pPr>
        <w:pStyle w:val="ListBulletNoSpace"/>
        <w:numPr>
          <w:ilvl w:val="0"/>
          <w:numId w:val="18"/>
        </w:numPr>
        <w:spacing w:after="200" w:line="276" w:lineRule="auto"/>
        <w:contextualSpacing/>
        <w:rPr>
          <w:rFonts w:ascii="Arial" w:hAnsi="Arial" w:cs="Arial"/>
        </w:rPr>
      </w:pPr>
      <w:r w:rsidRPr="00A8196B">
        <w:rPr>
          <w:rFonts w:ascii="Arial" w:hAnsi="Arial" w:cs="Arial"/>
        </w:rPr>
        <w:t>Substantiate any claims of confidential business information;</w:t>
      </w:r>
    </w:p>
    <w:p w:rsidR="001B415F" w:rsidRPr="00A8196B" w:rsidP="00EF50B4" w14:paraId="10DFA222" w14:textId="6BE51665">
      <w:pPr>
        <w:pStyle w:val="ListBulletNoSpace"/>
        <w:numPr>
          <w:ilvl w:val="0"/>
          <w:numId w:val="18"/>
        </w:numPr>
        <w:spacing w:after="200" w:line="276" w:lineRule="auto"/>
        <w:contextualSpacing/>
        <w:rPr>
          <w:rFonts w:ascii="Arial" w:hAnsi="Arial" w:cs="Arial"/>
        </w:rPr>
      </w:pPr>
      <w:r w:rsidRPr="00A8196B">
        <w:rPr>
          <w:rFonts w:ascii="Arial" w:hAnsi="Arial" w:cs="Arial"/>
        </w:rPr>
        <w:t>Register with CDX;</w:t>
      </w:r>
    </w:p>
    <w:p w:rsidR="00AA6A13" w:rsidRPr="00A8196B" w:rsidP="00EF50B4" w14:paraId="3B6103CA" w14:textId="6F6242E4">
      <w:pPr>
        <w:pStyle w:val="ListBulletNoSpace"/>
        <w:numPr>
          <w:ilvl w:val="0"/>
          <w:numId w:val="18"/>
        </w:numPr>
        <w:spacing w:after="200" w:line="276" w:lineRule="auto"/>
        <w:contextualSpacing/>
        <w:rPr>
          <w:rFonts w:ascii="Arial" w:hAnsi="Arial" w:cs="Arial"/>
        </w:rPr>
      </w:pPr>
      <w:r w:rsidRPr="00A8196B">
        <w:rPr>
          <w:rFonts w:ascii="Arial" w:hAnsi="Arial" w:cs="Arial"/>
        </w:rPr>
        <w:t>U</w:t>
      </w:r>
      <w:r w:rsidRPr="00A8196B">
        <w:rPr>
          <w:rFonts w:ascii="Arial" w:hAnsi="Arial" w:cs="Arial"/>
        </w:rPr>
        <w:t>se the e-PMN software</w:t>
      </w:r>
      <w:r w:rsidRPr="00A8196B" w:rsidR="4489EE34">
        <w:rPr>
          <w:rFonts w:ascii="Arial" w:hAnsi="Arial" w:cs="Arial"/>
        </w:rPr>
        <w:t xml:space="preserve"> for notifications including SNUNs</w:t>
      </w:r>
      <w:r w:rsidRPr="00A8196B" w:rsidR="00C30EE2">
        <w:rPr>
          <w:rFonts w:ascii="Arial" w:hAnsi="Arial" w:cs="Arial"/>
        </w:rPr>
        <w:t>;</w:t>
      </w:r>
      <w:r w:rsidRPr="00A8196B" w:rsidR="4489EE34">
        <w:rPr>
          <w:rFonts w:ascii="Arial" w:hAnsi="Arial" w:cs="Arial"/>
        </w:rPr>
        <w:t xml:space="preserve"> </w:t>
      </w:r>
    </w:p>
    <w:p w:rsidR="00AA6A13" w:rsidRPr="00A8196B" w:rsidP="00EF50B4" w14:paraId="13DB40B7" w14:textId="77777777">
      <w:pPr>
        <w:pStyle w:val="ListBulletNoSpace"/>
        <w:numPr>
          <w:ilvl w:val="0"/>
          <w:numId w:val="18"/>
        </w:numPr>
        <w:spacing w:after="200" w:line="276" w:lineRule="auto"/>
        <w:contextualSpacing/>
        <w:rPr>
          <w:rFonts w:ascii="Arial" w:hAnsi="Arial" w:cs="Arial"/>
        </w:rPr>
      </w:pPr>
      <w:r w:rsidRPr="00A8196B">
        <w:rPr>
          <w:rFonts w:ascii="Arial" w:hAnsi="Arial" w:cs="Arial"/>
        </w:rPr>
        <w:t>Submit information to EPA, as necessary;</w:t>
      </w:r>
    </w:p>
    <w:p w:rsidR="00AA6A13" w:rsidRPr="00A8196B" w:rsidP="00EF50B4" w14:paraId="5D4E6846" w14:textId="77777777">
      <w:pPr>
        <w:pStyle w:val="ListBulletNoSpace"/>
        <w:numPr>
          <w:ilvl w:val="0"/>
          <w:numId w:val="18"/>
        </w:numPr>
        <w:spacing w:after="200" w:line="276" w:lineRule="auto"/>
        <w:contextualSpacing/>
        <w:rPr>
          <w:rFonts w:ascii="Arial" w:hAnsi="Arial" w:cs="Arial"/>
        </w:rPr>
      </w:pPr>
      <w:r w:rsidRPr="00A8196B">
        <w:rPr>
          <w:rFonts w:ascii="Arial" w:hAnsi="Arial" w:cs="Arial"/>
        </w:rPr>
        <w:t>Comply with any restrictions EPA may impose upon completion of review of their submission; and</w:t>
      </w:r>
    </w:p>
    <w:p w:rsidR="00AA6A13" w:rsidRPr="00A8196B" w:rsidP="009B2563" w14:paraId="24031D53" w14:textId="77777777">
      <w:pPr>
        <w:pStyle w:val="ListBulletNoSpace"/>
        <w:numPr>
          <w:ilvl w:val="0"/>
          <w:numId w:val="18"/>
        </w:numPr>
        <w:spacing w:after="200" w:line="276" w:lineRule="auto"/>
        <w:rPr>
          <w:rFonts w:ascii="Arial" w:hAnsi="Arial" w:cs="Arial"/>
        </w:rPr>
      </w:pPr>
      <w:r w:rsidRPr="00A8196B">
        <w:rPr>
          <w:rFonts w:ascii="Arial" w:hAnsi="Arial" w:cs="Arial"/>
        </w:rPr>
        <w:t>Maintain any necessary records.</w:t>
      </w:r>
    </w:p>
    <w:p w:rsidR="00CA19A2" w:rsidRPr="00A8196B" w:rsidP="0080193B" w14:paraId="43415B6B" w14:textId="3321107C">
      <w:pPr>
        <w:ind w:firstLine="720"/>
      </w:pPr>
      <w:r w:rsidRPr="00A8196B">
        <w:rPr>
          <w:b/>
        </w:rPr>
        <w:t>Estimating Respondent Burden</w:t>
      </w:r>
    </w:p>
    <w:p w:rsidR="00CA19A2" w:rsidRPr="00A8196B" w:rsidP="009B2563" w14:paraId="343587D2" w14:textId="4DF59B7D">
      <w:r w:rsidRPr="00A8196B">
        <w:rPr>
          <w:u w:val="single"/>
        </w:rPr>
        <w:t>Number of Significant New Use Notices Projected</w:t>
      </w:r>
    </w:p>
    <w:p w:rsidR="00CA19A2" w:rsidRPr="00A8196B" w:rsidP="009B2563" w14:paraId="499C5193" w14:textId="2E9BC537">
      <w:pPr>
        <w:pStyle w:val="NormalWeb"/>
        <w:spacing w:before="0" w:beforeAutospacing="0" w:after="200" w:afterAutospacing="0" w:line="276" w:lineRule="auto"/>
        <w:rPr>
          <w:rFonts w:ascii="Arial" w:hAnsi="Arial" w:cs="Arial"/>
        </w:rPr>
      </w:pPr>
      <w:r w:rsidRPr="00A8196B">
        <w:rPr>
          <w:rFonts w:ascii="Arial" w:hAnsi="Arial" w:cs="Arial"/>
        </w:rPr>
        <w:t>During the years 20</w:t>
      </w:r>
      <w:r w:rsidRPr="00A8196B" w:rsidR="004907FE">
        <w:rPr>
          <w:rFonts w:ascii="Arial" w:hAnsi="Arial" w:cs="Arial"/>
        </w:rPr>
        <w:t>19</w:t>
      </w:r>
      <w:r w:rsidRPr="00A8196B">
        <w:rPr>
          <w:rFonts w:ascii="Arial" w:hAnsi="Arial" w:cs="Arial"/>
        </w:rPr>
        <w:t xml:space="preserve"> through </w:t>
      </w:r>
      <w:r w:rsidRPr="00A8196B" w:rsidR="004907FE">
        <w:rPr>
          <w:rFonts w:ascii="Arial" w:hAnsi="Arial" w:cs="Arial"/>
        </w:rPr>
        <w:t xml:space="preserve">December </w:t>
      </w:r>
      <w:r w:rsidRPr="00A8196B">
        <w:rPr>
          <w:rFonts w:ascii="Arial" w:hAnsi="Arial" w:cs="Arial"/>
        </w:rPr>
        <w:t>20</w:t>
      </w:r>
      <w:r w:rsidRPr="00A8196B" w:rsidR="004907FE">
        <w:rPr>
          <w:rFonts w:ascii="Arial" w:hAnsi="Arial" w:cs="Arial"/>
        </w:rPr>
        <w:t>21</w:t>
      </w:r>
      <w:r w:rsidRPr="00A8196B">
        <w:rPr>
          <w:rFonts w:ascii="Arial" w:hAnsi="Arial" w:cs="Arial"/>
        </w:rPr>
        <w:t xml:space="preserve">, EPA proposed and finalized existing chemical SNURs under TSCA section 5(a)(2). </w:t>
      </w:r>
      <w:r w:rsidRPr="00A8196B">
        <w:rPr>
          <w:rFonts w:ascii="Arial" w:hAnsi="Arial" w:cs="Arial"/>
          <w:color w:val="000000"/>
          <w:shd w:val="clear" w:color="auto" w:fill="FFFFFF"/>
        </w:rPr>
        <w:t>EPA expects to promulgate</w:t>
      </w:r>
      <w:r w:rsidRPr="00A8196B" w:rsidR="003433FA">
        <w:rPr>
          <w:rFonts w:ascii="Arial" w:hAnsi="Arial" w:cs="Arial"/>
          <w:color w:val="000000"/>
          <w:shd w:val="clear" w:color="auto" w:fill="FFFFFF"/>
        </w:rPr>
        <w:t xml:space="preserve"> up to </w:t>
      </w:r>
      <w:r w:rsidRPr="00A8196B" w:rsidR="00A33CDA">
        <w:rPr>
          <w:rFonts w:ascii="Arial" w:hAnsi="Arial" w:cs="Arial"/>
          <w:color w:val="000000"/>
          <w:shd w:val="clear" w:color="auto" w:fill="FFFFFF"/>
        </w:rPr>
        <w:t>12</w:t>
      </w:r>
      <w:r w:rsidRPr="00A8196B">
        <w:rPr>
          <w:rFonts w:ascii="Arial" w:hAnsi="Arial" w:cs="Arial"/>
          <w:color w:val="000000"/>
          <w:shd w:val="clear" w:color="auto" w:fill="FFFFFF"/>
        </w:rPr>
        <w:t xml:space="preserve"> existing chemical SNURs between</w:t>
      </w:r>
      <w:r w:rsidRPr="00A8196B" w:rsidR="00C41188">
        <w:rPr>
          <w:rFonts w:ascii="Arial" w:hAnsi="Arial" w:cs="Arial"/>
          <w:color w:val="000000"/>
          <w:shd w:val="clear" w:color="auto" w:fill="FFFFFF"/>
        </w:rPr>
        <w:t xml:space="preserve"> 2022-2024</w:t>
      </w:r>
      <w:r w:rsidRPr="00A8196B">
        <w:rPr>
          <w:rFonts w:ascii="Arial" w:hAnsi="Arial" w:cs="Arial"/>
          <w:color w:val="000000"/>
          <w:shd w:val="clear" w:color="auto" w:fill="FFFFFF"/>
        </w:rPr>
        <w:t xml:space="preserve">, for an average of </w:t>
      </w:r>
      <w:r w:rsidRPr="00A8196B" w:rsidR="00FD0B48">
        <w:rPr>
          <w:rFonts w:ascii="Arial" w:hAnsi="Arial" w:cs="Arial"/>
          <w:color w:val="000000"/>
          <w:shd w:val="clear" w:color="auto" w:fill="FFFFFF"/>
        </w:rPr>
        <w:t>four</w:t>
      </w:r>
      <w:r w:rsidRPr="00A8196B">
        <w:rPr>
          <w:rFonts w:ascii="Arial" w:hAnsi="Arial" w:cs="Arial"/>
          <w:color w:val="000000"/>
          <w:shd w:val="clear" w:color="auto" w:fill="FFFFFF"/>
        </w:rPr>
        <w:t xml:space="preserve"> existing chemical SNURs per year. </w:t>
      </w:r>
      <w:r w:rsidRPr="00A8196B">
        <w:rPr>
          <w:rFonts w:ascii="Arial" w:hAnsi="Arial" w:cs="Arial"/>
        </w:rPr>
        <w:t xml:space="preserve">Therefore, EPA is estimating an average of </w:t>
      </w:r>
      <w:r w:rsidRPr="00A8196B" w:rsidR="00887726">
        <w:rPr>
          <w:rFonts w:ascii="Arial" w:hAnsi="Arial" w:cs="Arial"/>
        </w:rPr>
        <w:t xml:space="preserve">three to four </w:t>
      </w:r>
      <w:r w:rsidRPr="00A8196B">
        <w:rPr>
          <w:rFonts w:ascii="Arial" w:hAnsi="Arial" w:cs="Arial"/>
        </w:rPr>
        <w:t xml:space="preserve">existing chemical SNURs per year </w:t>
      </w:r>
      <w:r w:rsidRPr="00A8196B" w:rsidR="00887726">
        <w:rPr>
          <w:rFonts w:ascii="Arial" w:hAnsi="Arial" w:cs="Arial"/>
        </w:rPr>
        <w:t xml:space="preserve">(9-12 SNURS) </w:t>
      </w:r>
      <w:r w:rsidRPr="00A8196B">
        <w:rPr>
          <w:rFonts w:ascii="Arial" w:hAnsi="Arial" w:cs="Arial"/>
        </w:rPr>
        <w:t>under TSCA section 5(a)(2) during the period covered by this ICR.</w:t>
      </w:r>
    </w:p>
    <w:p w:rsidR="00F329C8" w:rsidRPr="00A8196B" w:rsidP="009514FE" w14:paraId="18A244DE" w14:textId="7445CE31">
      <w:pPr>
        <w:pStyle w:val="NormalWeb"/>
        <w:spacing w:before="0" w:beforeAutospacing="0" w:after="200" w:afterAutospacing="0" w:line="276" w:lineRule="auto"/>
        <w:rPr>
          <w:rFonts w:cs="Arial"/>
        </w:rPr>
      </w:pPr>
      <w:r w:rsidRPr="00A8196B">
        <w:rPr>
          <w:rFonts w:ascii="Arial" w:hAnsi="Arial" w:cs="Arial"/>
        </w:rPr>
        <w:t>EPA may receive SNUNs as a result of SNURs. SNUNs cover SNURs that are issued for both the new chemical and existing chemical programs. EPA reviewed the number of SNUNs received between 201</w:t>
      </w:r>
      <w:r w:rsidRPr="00A8196B" w:rsidR="0098141A">
        <w:rPr>
          <w:rFonts w:ascii="Arial" w:hAnsi="Arial" w:cs="Arial"/>
        </w:rPr>
        <w:t>9</w:t>
      </w:r>
      <w:r w:rsidRPr="00A8196B">
        <w:rPr>
          <w:rFonts w:ascii="Arial" w:hAnsi="Arial" w:cs="Arial"/>
        </w:rPr>
        <w:t xml:space="preserve"> and 20</w:t>
      </w:r>
      <w:r w:rsidRPr="00A8196B" w:rsidR="0098141A">
        <w:rPr>
          <w:rFonts w:ascii="Arial" w:hAnsi="Arial" w:cs="Arial"/>
        </w:rPr>
        <w:t>21</w:t>
      </w:r>
      <w:r w:rsidRPr="00A8196B">
        <w:rPr>
          <w:rFonts w:ascii="Arial" w:hAnsi="Arial" w:cs="Arial"/>
        </w:rPr>
        <w:t xml:space="preserve"> and determined that only one of the SNUNs received resulted from promulgation of an existing chemical SNUR. Therefore, this ICR conservatively estimates an average of one SNUN received per year as a result of existing chemical SNURs, with a single firm impacted per SNUN submitted.</w:t>
      </w:r>
    </w:p>
    <w:p w:rsidR="00CA19A2" w:rsidRPr="00A8196B" w:rsidP="008C16F4" w14:paraId="3FDE7A1C" w14:textId="402B967E">
      <w:pPr>
        <w:pStyle w:val="Caption"/>
      </w:pPr>
      <w:r w:rsidRPr="00A8196B">
        <w:t xml:space="preserve">Table </w:t>
      </w:r>
      <w:r w:rsidRPr="00A8196B">
        <w:fldChar w:fldCharType="begin"/>
      </w:r>
      <w:r w:rsidRPr="00A8196B">
        <w:instrText>SEQ Table \* ARABIC</w:instrText>
      </w:r>
      <w:r w:rsidRPr="00A8196B">
        <w:fldChar w:fldCharType="separate"/>
      </w:r>
      <w:r w:rsidR="009B2ACE">
        <w:rPr>
          <w:noProof/>
        </w:rPr>
        <w:t>2</w:t>
      </w:r>
      <w:r w:rsidRPr="00A8196B">
        <w:fldChar w:fldCharType="end"/>
      </w:r>
      <w:r w:rsidRPr="00A8196B">
        <w:t xml:space="preserve">: Anticipated Number of </w:t>
      </w:r>
      <w:r w:rsidRPr="00A8196B" w:rsidR="001B415F">
        <w:t xml:space="preserve">Existing Chemical </w:t>
      </w:r>
      <w:r w:rsidRPr="00A8196B">
        <w:t>SNURs and SNUNs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2207"/>
        <w:gridCol w:w="3547"/>
        <w:gridCol w:w="3590"/>
      </w:tblGrid>
      <w:tr w14:paraId="4B2A0BB9" w14:textId="77777777" w:rsidTr="00EF50B4">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Ex>
        <w:trPr>
          <w:jc w:val="center"/>
        </w:trPr>
        <w:tc>
          <w:tcPr>
            <w:tcW w:w="1181" w:type="pct"/>
          </w:tcPr>
          <w:p w:rsidR="00CA19A2" w:rsidRPr="00A8196B" w:rsidP="00EF50B4" w14:paraId="54FF6A99" w14:textId="77777777">
            <w:pPr>
              <w:spacing w:after="0" w:line="240" w:lineRule="auto"/>
              <w:jc w:val="center"/>
              <w:rPr>
                <w:b/>
                <w:bCs/>
                <w:sz w:val="22"/>
              </w:rPr>
            </w:pPr>
            <w:r w:rsidRPr="00A8196B">
              <w:rPr>
                <w:b/>
                <w:bCs/>
                <w:sz w:val="22"/>
              </w:rPr>
              <w:t>Year</w:t>
            </w:r>
          </w:p>
        </w:tc>
        <w:tc>
          <w:tcPr>
            <w:tcW w:w="1898" w:type="pct"/>
          </w:tcPr>
          <w:p w:rsidR="00CA19A2" w:rsidRPr="00A8196B" w:rsidP="00EF50B4" w14:paraId="65A95508" w14:textId="744F6D52">
            <w:pPr>
              <w:spacing w:after="0" w:line="240" w:lineRule="auto"/>
              <w:jc w:val="center"/>
              <w:rPr>
                <w:b/>
                <w:bCs/>
                <w:sz w:val="22"/>
              </w:rPr>
            </w:pPr>
            <w:r w:rsidRPr="00A8196B">
              <w:rPr>
                <w:b/>
                <w:bCs/>
                <w:sz w:val="22"/>
              </w:rPr>
              <w:t>Anticipated Number of SNURs</w:t>
            </w:r>
          </w:p>
        </w:tc>
        <w:tc>
          <w:tcPr>
            <w:tcW w:w="1921" w:type="pct"/>
          </w:tcPr>
          <w:p w:rsidR="00CA19A2" w:rsidRPr="00A8196B" w:rsidP="00EF50B4" w14:paraId="2C3011DD" w14:textId="77777777">
            <w:pPr>
              <w:spacing w:after="0" w:line="240" w:lineRule="auto"/>
              <w:jc w:val="center"/>
              <w:rPr>
                <w:b/>
                <w:bCs/>
                <w:sz w:val="22"/>
              </w:rPr>
            </w:pPr>
            <w:r w:rsidRPr="00A8196B">
              <w:rPr>
                <w:b/>
                <w:bCs/>
                <w:sz w:val="22"/>
              </w:rPr>
              <w:t>Anticipated Number of SNUNS</w:t>
            </w:r>
          </w:p>
        </w:tc>
      </w:tr>
      <w:tr w14:paraId="5FAF4BBB"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27109A24" w14:textId="77777777">
            <w:pPr>
              <w:spacing w:after="0" w:line="240" w:lineRule="auto"/>
              <w:jc w:val="center"/>
              <w:rPr>
                <w:sz w:val="22"/>
              </w:rPr>
            </w:pPr>
            <w:r w:rsidRPr="00A8196B">
              <w:rPr>
                <w:sz w:val="22"/>
              </w:rPr>
              <w:t>First Year</w:t>
            </w:r>
          </w:p>
        </w:tc>
        <w:tc>
          <w:tcPr>
            <w:tcW w:w="1898" w:type="pct"/>
          </w:tcPr>
          <w:p w:rsidR="00CA19A2" w:rsidRPr="00A8196B" w:rsidP="00EF50B4" w14:paraId="42F61A10" w14:textId="69E624B4">
            <w:pPr>
              <w:spacing w:after="0" w:line="240" w:lineRule="auto"/>
              <w:jc w:val="center"/>
              <w:rPr>
                <w:sz w:val="22"/>
              </w:rPr>
            </w:pPr>
            <w:r w:rsidRPr="00A8196B">
              <w:rPr>
                <w:color w:val="000000" w:themeColor="text1"/>
                <w:sz w:val="22"/>
              </w:rPr>
              <w:t>4</w:t>
            </w:r>
          </w:p>
        </w:tc>
        <w:tc>
          <w:tcPr>
            <w:tcW w:w="1921" w:type="pct"/>
          </w:tcPr>
          <w:p w:rsidR="00CA19A2" w:rsidRPr="00A8196B" w:rsidP="00EF50B4" w14:paraId="7652C07C" w14:textId="77777777">
            <w:pPr>
              <w:spacing w:after="0" w:line="240" w:lineRule="auto"/>
              <w:jc w:val="center"/>
              <w:rPr>
                <w:sz w:val="22"/>
              </w:rPr>
            </w:pPr>
            <w:r w:rsidRPr="00A8196B">
              <w:rPr>
                <w:color w:val="000000"/>
                <w:sz w:val="22"/>
              </w:rPr>
              <w:t>1</w:t>
            </w:r>
          </w:p>
        </w:tc>
      </w:tr>
      <w:tr w14:paraId="47FAD016"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62F93A58" w14:textId="77777777">
            <w:pPr>
              <w:spacing w:after="0" w:line="240" w:lineRule="auto"/>
              <w:jc w:val="center"/>
              <w:rPr>
                <w:sz w:val="22"/>
              </w:rPr>
            </w:pPr>
            <w:r w:rsidRPr="00A8196B">
              <w:rPr>
                <w:sz w:val="22"/>
              </w:rPr>
              <w:t>Second Year</w:t>
            </w:r>
          </w:p>
        </w:tc>
        <w:tc>
          <w:tcPr>
            <w:tcW w:w="1898" w:type="pct"/>
          </w:tcPr>
          <w:p w:rsidR="00CA19A2" w:rsidRPr="00A8196B" w:rsidP="00EF50B4" w14:paraId="0E403403" w14:textId="1567AA69">
            <w:pPr>
              <w:spacing w:after="0" w:line="240" w:lineRule="auto"/>
              <w:jc w:val="center"/>
              <w:rPr>
                <w:sz w:val="22"/>
              </w:rPr>
            </w:pPr>
            <w:r w:rsidRPr="00A8196B">
              <w:rPr>
                <w:color w:val="000000" w:themeColor="text1"/>
                <w:sz w:val="22"/>
              </w:rPr>
              <w:t>4</w:t>
            </w:r>
          </w:p>
        </w:tc>
        <w:tc>
          <w:tcPr>
            <w:tcW w:w="1921" w:type="pct"/>
          </w:tcPr>
          <w:p w:rsidR="00CA19A2" w:rsidRPr="00A8196B" w:rsidP="00EF50B4" w14:paraId="50181C19" w14:textId="77777777">
            <w:pPr>
              <w:spacing w:after="0" w:line="240" w:lineRule="auto"/>
              <w:jc w:val="center"/>
              <w:rPr>
                <w:sz w:val="22"/>
              </w:rPr>
            </w:pPr>
            <w:r w:rsidRPr="00A8196B">
              <w:rPr>
                <w:color w:val="000000"/>
                <w:sz w:val="22"/>
              </w:rPr>
              <w:t>1</w:t>
            </w:r>
          </w:p>
        </w:tc>
      </w:tr>
      <w:tr w14:paraId="586D2117"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7C0DB022" w14:textId="77777777">
            <w:pPr>
              <w:spacing w:after="0" w:line="240" w:lineRule="auto"/>
              <w:jc w:val="center"/>
              <w:rPr>
                <w:sz w:val="22"/>
              </w:rPr>
            </w:pPr>
            <w:r w:rsidRPr="00A8196B">
              <w:rPr>
                <w:sz w:val="22"/>
              </w:rPr>
              <w:t>Third Year</w:t>
            </w:r>
          </w:p>
        </w:tc>
        <w:tc>
          <w:tcPr>
            <w:tcW w:w="1898" w:type="pct"/>
          </w:tcPr>
          <w:p w:rsidR="00CA19A2" w:rsidRPr="00A8196B" w:rsidP="00EF50B4" w14:paraId="342B07E1" w14:textId="34A27F2C">
            <w:pPr>
              <w:spacing w:after="0" w:line="240" w:lineRule="auto"/>
              <w:jc w:val="center"/>
              <w:rPr>
                <w:sz w:val="22"/>
              </w:rPr>
            </w:pPr>
            <w:r w:rsidRPr="00A8196B">
              <w:rPr>
                <w:color w:val="000000" w:themeColor="text1"/>
                <w:sz w:val="22"/>
              </w:rPr>
              <w:t>4</w:t>
            </w:r>
          </w:p>
        </w:tc>
        <w:tc>
          <w:tcPr>
            <w:tcW w:w="1921" w:type="pct"/>
          </w:tcPr>
          <w:p w:rsidR="00CA19A2" w:rsidRPr="00A8196B" w:rsidP="00EF50B4" w14:paraId="71DA2292" w14:textId="77777777">
            <w:pPr>
              <w:spacing w:after="0" w:line="240" w:lineRule="auto"/>
              <w:jc w:val="center"/>
              <w:rPr>
                <w:sz w:val="22"/>
              </w:rPr>
            </w:pPr>
            <w:r w:rsidRPr="00A8196B">
              <w:rPr>
                <w:color w:val="000000"/>
                <w:sz w:val="22"/>
              </w:rPr>
              <w:t>1</w:t>
            </w:r>
          </w:p>
        </w:tc>
      </w:tr>
      <w:tr w14:paraId="187062C3"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6D9B587A" w14:textId="77777777">
            <w:pPr>
              <w:spacing w:after="0" w:line="240" w:lineRule="auto"/>
              <w:jc w:val="center"/>
              <w:rPr>
                <w:b/>
                <w:bCs/>
                <w:sz w:val="22"/>
              </w:rPr>
            </w:pPr>
            <w:r w:rsidRPr="00A8196B">
              <w:rPr>
                <w:b/>
                <w:bCs/>
                <w:sz w:val="22"/>
              </w:rPr>
              <w:t>Three Year Totals</w:t>
            </w:r>
          </w:p>
        </w:tc>
        <w:tc>
          <w:tcPr>
            <w:tcW w:w="1898" w:type="pct"/>
          </w:tcPr>
          <w:p w:rsidR="00CA19A2" w:rsidRPr="00A8196B" w:rsidP="00EF50B4" w14:paraId="7B9E3A73" w14:textId="4DBA2911">
            <w:pPr>
              <w:spacing w:after="0" w:line="240" w:lineRule="auto"/>
              <w:jc w:val="center"/>
              <w:rPr>
                <w:b/>
                <w:bCs/>
                <w:sz w:val="22"/>
              </w:rPr>
            </w:pPr>
            <w:r w:rsidRPr="00A8196B">
              <w:rPr>
                <w:b/>
                <w:bCs/>
                <w:color w:val="000000" w:themeColor="text1"/>
                <w:sz w:val="22"/>
              </w:rPr>
              <w:t>12</w:t>
            </w:r>
          </w:p>
        </w:tc>
        <w:tc>
          <w:tcPr>
            <w:tcW w:w="1921" w:type="pct"/>
          </w:tcPr>
          <w:p w:rsidR="00CA19A2" w:rsidRPr="00A8196B" w:rsidP="00EF50B4" w14:paraId="003550FB" w14:textId="77777777">
            <w:pPr>
              <w:spacing w:after="0" w:line="240" w:lineRule="auto"/>
              <w:jc w:val="center"/>
              <w:rPr>
                <w:b/>
                <w:bCs/>
                <w:sz w:val="22"/>
              </w:rPr>
            </w:pPr>
            <w:r w:rsidRPr="00A8196B">
              <w:rPr>
                <w:b/>
                <w:bCs/>
                <w:color w:val="000000"/>
                <w:sz w:val="22"/>
              </w:rPr>
              <w:t>3</w:t>
            </w:r>
          </w:p>
        </w:tc>
      </w:tr>
    </w:tbl>
    <w:p w:rsidR="00CA19A2" w:rsidRPr="00A8196B" w:rsidP="00EF50B4" w14:paraId="7837D9DE" w14:textId="7D285928">
      <w:pPr>
        <w:widowControl w:val="0"/>
        <w:adjustRightInd w:val="0"/>
        <w:spacing w:before="240"/>
        <w:rPr>
          <w:u w:val="single"/>
        </w:rPr>
      </w:pPr>
      <w:r w:rsidRPr="00A8196B">
        <w:rPr>
          <w:u w:val="single"/>
        </w:rPr>
        <w:t>Alternative Responses</w:t>
      </w:r>
    </w:p>
    <w:p w:rsidR="00CA19A2" w:rsidRPr="00A8196B" w:rsidP="009B2563" w14:paraId="5F6D4E94" w14:textId="2FD7966B">
      <w:r w:rsidRPr="00A8196B">
        <w:t>The burden associated with a SNUR could involve a number of possible industry responses. That is, when a SNUR is promulgated, a firm seeking to engage in a new use for a subject chemical has five options regarding possible courses of action that may generate burden:</w:t>
      </w:r>
    </w:p>
    <w:p w:rsidR="00A7023B" w:rsidRPr="00A8196B" w:rsidP="009B2563" w14:paraId="2BCBD398" w14:textId="40932D9E">
      <w:pPr>
        <w:pStyle w:val="ListParagraph"/>
        <w:numPr>
          <w:ilvl w:val="0"/>
          <w:numId w:val="16"/>
        </w:numPr>
        <w:tabs>
          <w:tab w:val="left" w:pos="-1440"/>
        </w:tabs>
      </w:pPr>
      <w:r w:rsidRPr="00A8196B">
        <w:t>T</w:t>
      </w:r>
      <w:r w:rsidRPr="00A8196B" w:rsidR="00CA19A2">
        <w:t>he company could submit a SNUN</w:t>
      </w:r>
      <w:r w:rsidRPr="00A8196B" w:rsidR="00F525DA">
        <w:t xml:space="preserve"> and could provide information in the SNUN to demonstrate that the new use would not be likely to present unreasonable risk </w:t>
      </w:r>
      <w:r w:rsidRPr="00A8196B" w:rsidR="00F525DA">
        <w:t>to health or the environment under the conditions of use</w:t>
      </w:r>
      <w:r w:rsidRPr="00A8196B" w:rsidR="00CA19A2">
        <w:t xml:space="preserve">. This option would be chosen by any company </w:t>
      </w:r>
      <w:r w:rsidRPr="00A8196B" w:rsidR="00F525DA">
        <w:t>wishing to initiate a new use covered</w:t>
      </w:r>
      <w:r w:rsidRPr="00A8196B" w:rsidR="00CA19A2">
        <w:t xml:space="preserve"> by the provisions of the SNUR.</w:t>
      </w:r>
    </w:p>
    <w:p w:rsidR="00A7023B" w:rsidRPr="00A8196B" w:rsidP="4F01E05F" w14:paraId="1637908F" w14:textId="73E1D179">
      <w:pPr>
        <w:pStyle w:val="ListParagraph"/>
        <w:numPr>
          <w:ilvl w:val="0"/>
          <w:numId w:val="16"/>
        </w:numPr>
      </w:pPr>
      <w:r w:rsidRPr="00A8196B">
        <w:t>In the event that a significant new use is described as the failure to establish and implement programs for providing for the use of specific measures to control worker exposure to or release of substances, a company can request an equivalency determination. This option would be chosen if a manufacturer (including importer) had reason to believe that there may be alternative methods not considered by EPA that provide equivalent or superior protection from worker exposure or environmental release of the subject chemical.</w:t>
      </w:r>
    </w:p>
    <w:p w:rsidR="00A7023B" w:rsidRPr="00A8196B" w:rsidP="4F01E05F" w14:paraId="1FB320D1" w14:textId="3A59186F">
      <w:pPr>
        <w:pStyle w:val="ListParagraph"/>
        <w:numPr>
          <w:ilvl w:val="0"/>
          <w:numId w:val="16"/>
        </w:numPr>
      </w:pPr>
      <w:r w:rsidRPr="00A8196B">
        <w:t>The company can comply with the SNUR, ensuring that all provisions of the SNUR are implemented regarding the planned use of the subject chemical.</w:t>
      </w:r>
    </w:p>
    <w:p w:rsidR="000046CE" w:rsidRPr="00A8196B" w:rsidP="281E812B" w14:paraId="127132D2" w14:textId="4EBA196A">
      <w:pPr>
        <w:pStyle w:val="ListParagraph"/>
        <w:numPr>
          <w:ilvl w:val="0"/>
          <w:numId w:val="16"/>
        </w:numPr>
      </w:pPr>
      <w:r w:rsidRPr="00A8196B">
        <w:t>The company can request review of the SNUR for possible modification or revocation.</w:t>
      </w:r>
    </w:p>
    <w:p w:rsidR="00CA19A2" w:rsidRPr="00A8196B" w:rsidP="4F01E05F" w14:paraId="495EA631" w14:textId="57D49BFE">
      <w:pPr>
        <w:pStyle w:val="ListParagraph"/>
        <w:numPr>
          <w:ilvl w:val="0"/>
          <w:numId w:val="16"/>
        </w:numPr>
      </w:pPr>
      <w:r w:rsidRPr="00A8196B">
        <w:t>The company may simply decide to forgo the new use, avoiding regulatory compliance activities altogether.</w:t>
      </w:r>
    </w:p>
    <w:p w:rsidR="00CA19A2" w:rsidRPr="00A8196B" w:rsidP="009B2563" w14:paraId="46494C21" w14:textId="35BF00B8">
      <w:r w:rsidRPr="00A8196B">
        <w:t>Additionally, under current regulations at 40 CFR 721.5(a)(2), all manufacturers (including importers) and processors of chemicals subject to SNURs are subject to certain requirements regardless of whether they engage in a significant new use unless certain information can be demonstrated</w:t>
      </w:r>
      <w:r>
        <w:rPr>
          <w:rStyle w:val="FootnoteReference"/>
        </w:rPr>
        <w:footnoteReference w:id="3"/>
      </w:r>
      <w:r w:rsidRPr="00A8196B">
        <w:t>. However, without prior knowledge of chemicals which would be the subject of future SNURs, estimating the number of potentially affected entities subject to 40 CFR 721.5(a)(2) is not possible.</w:t>
      </w:r>
    </w:p>
    <w:p w:rsidR="00CA19A2" w:rsidRPr="00A8196B" w:rsidP="009B2563" w14:paraId="16A473B9" w14:textId="77777777">
      <w:r w:rsidRPr="00A8196B">
        <w:t>The following section estimates the cost and burden of submitting a SNUN (option 1) and then discusses the other options qualitatively.</w:t>
      </w:r>
    </w:p>
    <w:p w:rsidR="00CA19A2" w:rsidRPr="00A8196B" w:rsidP="009B2563" w14:paraId="781CB8A3" w14:textId="2FBE1CC6">
      <w:pPr>
        <w:widowControl w:val="0"/>
        <w:adjustRightInd w:val="0"/>
        <w:rPr>
          <w:u w:val="single"/>
        </w:rPr>
      </w:pPr>
      <w:r w:rsidRPr="00A8196B">
        <w:rPr>
          <w:u w:val="single"/>
        </w:rPr>
        <w:t>Burden Estimates</w:t>
      </w:r>
    </w:p>
    <w:p w:rsidR="00CA19A2" w:rsidRPr="00A8196B" w:rsidP="009B2563" w14:paraId="6A8B5C80" w14:textId="04D23366">
      <w:r w:rsidRPr="00A8196B">
        <w:t>TSCA section 5(a)(2) imposes two requirements on industry</w:t>
      </w:r>
      <w:r w:rsidRPr="00A8196B" w:rsidR="3700037A">
        <w:t>:</w:t>
      </w:r>
      <w:r w:rsidRPr="00A8196B">
        <w:t xml:space="preserve"> </w:t>
      </w:r>
      <w:r w:rsidRPr="00A8196B" w:rsidR="29111407">
        <w:t>f</w:t>
      </w:r>
      <w:r w:rsidRPr="00A8196B">
        <w:t xml:space="preserve">irst, manufacturers (including importers) and processors of chemicals must choose among the options mentioned above. This section presents estimates of submitting SNUNs (i.e., the first option) and then briefly discusses the other four options. Second, manufacturers (including importers) and processors of chemicals covered by SNURs will incur burden and costs associated with notifying customers of the </w:t>
      </w:r>
      <w:r w:rsidRPr="00A8196B" w:rsidR="7E710DFB">
        <w:t>SNUR requirements</w:t>
      </w:r>
      <w:r w:rsidRPr="00A8196B" w:rsidR="2FDE539B">
        <w:t>.</w:t>
      </w:r>
      <w:r w:rsidRPr="00A8196B">
        <w:t xml:space="preserve"> Therefore, they must first determine if their chemical is subject to the SNUR and then must determine how to notify their customers.</w:t>
      </w:r>
    </w:p>
    <w:p w:rsidR="00CA19A2" w:rsidRPr="00A8196B" w:rsidP="009B2563" w14:paraId="7F6886D8" w14:textId="00345351">
      <w:r w:rsidRPr="00A8196B">
        <w:rPr>
          <w:u w:val="single"/>
        </w:rPr>
        <w:t>Chemical Verification</w:t>
      </w:r>
    </w:p>
    <w:p w:rsidR="00CA19A2" w:rsidRPr="00A8196B" w:rsidP="009B2563" w14:paraId="62954B40" w14:textId="18BF7F88">
      <w:r w:rsidRPr="00A8196B">
        <w:t xml:space="preserve">When a SNUR is published, companies must review the rule to verify whether their chemical substance is subject to the rule. EPA distinguishes between SNURs that regulate a specific chemical and SNURs that regulate a chemical formula, understood as a set of distinct chemicals that share a common chemical structure. EPA expects to promulgate </w:t>
      </w:r>
      <w:r w:rsidRPr="00A8196B" w:rsidR="00664325">
        <w:t>up to 12</w:t>
      </w:r>
      <w:r w:rsidRPr="00A8196B">
        <w:t xml:space="preserve"> </w:t>
      </w:r>
      <w:r w:rsidRPr="00A8196B">
        <w:rPr>
          <w:color w:val="000000"/>
          <w:shd w:val="clear" w:color="auto" w:fill="FFFFFF"/>
        </w:rPr>
        <w:t xml:space="preserve">existing chemical SNURs during the three-year period covered by this ICR, covering an average of 4.33 chemicals and 0.83 chemical formulas per SNUR. </w:t>
      </w:r>
      <w:r w:rsidRPr="00A8196B">
        <w:t>EPA estimates that an average of 0.17 hours (10 minutes) of technical labor time per chemical is used to verify that a chemical is subject to a SNUR and 0.50 hours (30 minutes) to verify that a chemical formula is subject to a SNUR. This is equivalent to 1.14 hours ([0.17 hours/chemical x 4.33 chemicals/SNUR] + [0.50 hours/chemical x 0.83 chemical formulas/SNUR] = 1.14 hours).</w:t>
      </w:r>
    </w:p>
    <w:p w:rsidR="00CA19A2" w:rsidRPr="00A8196B" w:rsidP="009B2563" w14:paraId="5D4080C2" w14:textId="5AD992A4">
      <w:pPr>
        <w:pStyle w:val="Heading3"/>
        <w:numPr>
          <w:ilvl w:val="0"/>
          <w:numId w:val="0"/>
        </w:numPr>
        <w:spacing w:line="276" w:lineRule="auto"/>
        <w:rPr>
          <w:rFonts w:cs="Arial"/>
          <w:b w:val="0"/>
          <w:u w:val="single"/>
        </w:rPr>
      </w:pPr>
      <w:bookmarkStart w:id="6" w:name="_Toc271126403"/>
      <w:bookmarkStart w:id="7" w:name="_Ref273970259"/>
      <w:bookmarkStart w:id="8" w:name="_Ref300654005"/>
      <w:bookmarkStart w:id="9" w:name="_Ref300654011"/>
      <w:bookmarkStart w:id="10" w:name="_Toc301370438"/>
      <w:bookmarkStart w:id="11" w:name="_Toc301632899"/>
      <w:r w:rsidRPr="00A8196B">
        <w:rPr>
          <w:rFonts w:cs="Arial"/>
          <w:b w:val="0"/>
          <w:u w:val="single"/>
        </w:rPr>
        <w:t>Rule Familiarization</w:t>
      </w:r>
      <w:bookmarkEnd w:id="6"/>
      <w:bookmarkEnd w:id="7"/>
      <w:bookmarkEnd w:id="8"/>
      <w:bookmarkEnd w:id="9"/>
      <w:bookmarkEnd w:id="10"/>
      <w:bookmarkEnd w:id="11"/>
    </w:p>
    <w:p w:rsidR="00A7023B" w:rsidRPr="00A8196B" w:rsidP="004E6EE2" w14:paraId="4DABE34B" w14:textId="1EBE689A">
      <w:pPr>
        <w:rPr>
          <w:iCs/>
        </w:rPr>
      </w:pPr>
      <w:r w:rsidRPr="00A8196B">
        <w:t xml:space="preserve">Staff at firms </w:t>
      </w:r>
      <w:r w:rsidRPr="00A8196B" w:rsidR="00B20C46">
        <w:t>that</w:t>
      </w:r>
      <w:r w:rsidRPr="00A8196B">
        <w:t xml:space="preserve"> </w:t>
      </w:r>
      <w:r w:rsidRPr="00A8196B" w:rsidR="00B20C46">
        <w:t>manufacture or process chemicals</w:t>
      </w:r>
      <w:r w:rsidRPr="00A8196B">
        <w:t xml:space="preserve"> subject to the SNUR must become familiar with the SNUR and its various requirements. In EPA’s best professional judgment, rule familiarization is estimated to be equivalent to the burden for companies to become familiar with the </w:t>
      </w:r>
      <w:r w:rsidRPr="00A8196B">
        <w:rPr>
          <w:iCs/>
        </w:rPr>
        <w:t>Premanufacture Notification Electronic Reporting Rule, which requires the mandatory electronic reporting of SNUNs and other TSCA section 5 notices:</w:t>
      </w:r>
      <w:r w:rsidRPr="00A8196B">
        <w:t xml:space="preserve"> </w:t>
      </w:r>
      <w:r w:rsidRPr="00A8196B">
        <w:t xml:space="preserve">0.55 hours of technical labor and 0.27 hours of managerial labor, as described in the </w:t>
      </w:r>
      <w:r w:rsidRPr="00A8196B">
        <w:rPr>
          <w:i/>
          <w:iCs/>
        </w:rPr>
        <w:t>Economic Analysis of the Premanufacture Notification Electronic Reporting Final Rule</w:t>
      </w:r>
      <w:r w:rsidRPr="00A8196B">
        <w:rPr>
          <w:iCs/>
        </w:rPr>
        <w:t xml:space="preserve"> (EPA, 2009a).</w:t>
      </w:r>
    </w:p>
    <w:p w:rsidR="00CA19A2" w:rsidRPr="00A8196B" w:rsidP="008C16F4" w14:paraId="28DACF5C" w14:textId="663E7511">
      <w:pPr>
        <w:pStyle w:val="Caption"/>
      </w:pPr>
      <w:bookmarkStart w:id="12" w:name="_Ref260663278"/>
      <w:bookmarkStart w:id="13" w:name="_Toc301633000"/>
      <w:r w:rsidRPr="00A8196B">
        <w:t xml:space="preserve">Table </w:t>
      </w:r>
      <w:r w:rsidRPr="00A8196B">
        <w:fldChar w:fldCharType="begin"/>
      </w:r>
      <w:r w:rsidRPr="00A8196B">
        <w:instrText>SEQ Table \* ARABIC</w:instrText>
      </w:r>
      <w:r w:rsidRPr="00A8196B">
        <w:fldChar w:fldCharType="separate"/>
      </w:r>
      <w:r w:rsidR="009B2ACE">
        <w:rPr>
          <w:noProof/>
        </w:rPr>
        <w:t>3</w:t>
      </w:r>
      <w:r w:rsidRPr="00A8196B">
        <w:fldChar w:fldCharType="end"/>
      </w:r>
      <w:r w:rsidRPr="00A8196B">
        <w:t xml:space="preserve">: </w:t>
      </w:r>
      <w:bookmarkEnd w:id="12"/>
      <w:r w:rsidRPr="00A8196B">
        <w:t>Rule Familiarization Burden for SNUR Submitters</w:t>
      </w:r>
      <w:bookmarkEnd w:id="13"/>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302"/>
        <w:gridCol w:w="1530"/>
        <w:gridCol w:w="1618"/>
        <w:gridCol w:w="1461"/>
        <w:gridCol w:w="1429"/>
      </w:tblGrid>
      <w:tr w14:paraId="6AF1B9E9" w14:textId="77777777" w:rsidTr="004E6EE2">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53"/>
          <w:tblHeader/>
        </w:trPr>
        <w:tc>
          <w:tcPr>
            <w:tcW w:w="1768" w:type="pct"/>
            <w:vMerge w:val="restart"/>
            <w:vAlign w:val="bottom"/>
          </w:tcPr>
          <w:p w:rsidR="00CA19A2" w:rsidRPr="00A8196B" w:rsidP="004E6EE2" w14:paraId="6D51C181" w14:textId="77777777">
            <w:pPr>
              <w:spacing w:after="0" w:line="240" w:lineRule="auto"/>
              <w:ind w:left="-18" w:firstLine="18"/>
              <w:jc w:val="center"/>
              <w:rPr>
                <w:b/>
                <w:bCs/>
                <w:color w:val="000000"/>
                <w:sz w:val="22"/>
              </w:rPr>
            </w:pPr>
            <w:r w:rsidRPr="00A8196B">
              <w:rPr>
                <w:b/>
                <w:bCs/>
                <w:color w:val="000000"/>
                <w:sz w:val="22"/>
              </w:rPr>
              <w:t>Activity</w:t>
            </w:r>
          </w:p>
        </w:tc>
        <w:tc>
          <w:tcPr>
            <w:tcW w:w="819" w:type="pct"/>
            <w:vMerge w:val="restart"/>
            <w:vAlign w:val="bottom"/>
          </w:tcPr>
          <w:p w:rsidR="00CA19A2" w:rsidRPr="00A8196B" w:rsidP="004E6EE2" w14:paraId="74795DD5" w14:textId="77777777">
            <w:pPr>
              <w:spacing w:after="0" w:line="240" w:lineRule="auto"/>
              <w:jc w:val="center"/>
              <w:rPr>
                <w:b/>
                <w:bCs/>
                <w:color w:val="000000"/>
                <w:sz w:val="22"/>
              </w:rPr>
            </w:pPr>
            <w:r w:rsidRPr="00A8196B">
              <w:rPr>
                <w:b/>
                <w:bCs/>
                <w:color w:val="000000"/>
                <w:sz w:val="22"/>
              </w:rPr>
              <w:t>Clerical Hours</w:t>
            </w:r>
          </w:p>
        </w:tc>
        <w:tc>
          <w:tcPr>
            <w:tcW w:w="866" w:type="pct"/>
            <w:vMerge w:val="restart"/>
            <w:vAlign w:val="bottom"/>
          </w:tcPr>
          <w:p w:rsidR="00CA19A2" w:rsidRPr="00A8196B" w:rsidP="004E6EE2" w14:paraId="6F11AAD7" w14:textId="77777777">
            <w:pPr>
              <w:spacing w:after="0" w:line="240" w:lineRule="auto"/>
              <w:jc w:val="center"/>
              <w:rPr>
                <w:b/>
                <w:bCs/>
                <w:color w:val="000000"/>
                <w:sz w:val="22"/>
              </w:rPr>
            </w:pPr>
            <w:r w:rsidRPr="00A8196B">
              <w:rPr>
                <w:b/>
                <w:bCs/>
                <w:color w:val="000000"/>
                <w:sz w:val="22"/>
              </w:rPr>
              <w:t>Technical Hours</w:t>
            </w:r>
          </w:p>
        </w:tc>
        <w:tc>
          <w:tcPr>
            <w:tcW w:w="782" w:type="pct"/>
            <w:vMerge w:val="restart"/>
            <w:vAlign w:val="bottom"/>
          </w:tcPr>
          <w:p w:rsidR="00CA19A2" w:rsidRPr="00A8196B" w:rsidP="004E6EE2" w14:paraId="13D3DAB1" w14:textId="77777777">
            <w:pPr>
              <w:spacing w:after="0" w:line="240" w:lineRule="auto"/>
              <w:jc w:val="center"/>
              <w:rPr>
                <w:b/>
                <w:bCs/>
                <w:color w:val="000000"/>
                <w:sz w:val="22"/>
              </w:rPr>
            </w:pPr>
            <w:r w:rsidRPr="00A8196B">
              <w:rPr>
                <w:b/>
                <w:bCs/>
                <w:color w:val="000000"/>
                <w:sz w:val="22"/>
              </w:rPr>
              <w:t>Managerial Hours</w:t>
            </w:r>
          </w:p>
        </w:tc>
        <w:tc>
          <w:tcPr>
            <w:tcW w:w="765" w:type="pct"/>
            <w:vMerge w:val="restart"/>
            <w:vAlign w:val="bottom"/>
          </w:tcPr>
          <w:p w:rsidR="00CA19A2" w:rsidRPr="00A8196B" w:rsidP="004E6EE2" w14:paraId="41797106" w14:textId="77777777">
            <w:pPr>
              <w:spacing w:after="0" w:line="240" w:lineRule="auto"/>
              <w:jc w:val="center"/>
              <w:rPr>
                <w:b/>
                <w:bCs/>
                <w:color w:val="000000"/>
                <w:sz w:val="22"/>
              </w:rPr>
            </w:pPr>
            <w:r w:rsidRPr="00A8196B">
              <w:rPr>
                <w:b/>
                <w:bCs/>
                <w:color w:val="000000"/>
                <w:sz w:val="22"/>
              </w:rPr>
              <w:t>Total Hours</w:t>
            </w:r>
          </w:p>
        </w:tc>
      </w:tr>
      <w:tr w14:paraId="00928DB8" w14:textId="77777777" w:rsidTr="004E6EE2">
        <w:tblPrEx>
          <w:tblW w:w="5000" w:type="pct"/>
          <w:tblLook w:val="04A0"/>
        </w:tblPrEx>
        <w:trPr>
          <w:trHeight w:val="253"/>
          <w:tblHeader/>
        </w:trPr>
        <w:tc>
          <w:tcPr>
            <w:tcW w:w="1768" w:type="pct"/>
            <w:vMerge/>
          </w:tcPr>
          <w:p w:rsidR="00CA19A2" w:rsidRPr="00A8196B" w:rsidP="00EF50B4" w14:paraId="56760B77" w14:textId="77777777">
            <w:pPr>
              <w:spacing w:after="0" w:line="240" w:lineRule="auto"/>
              <w:rPr>
                <w:b/>
                <w:bCs/>
                <w:color w:val="000000"/>
                <w:sz w:val="22"/>
              </w:rPr>
            </w:pPr>
          </w:p>
        </w:tc>
        <w:tc>
          <w:tcPr>
            <w:tcW w:w="819" w:type="pct"/>
            <w:vMerge/>
          </w:tcPr>
          <w:p w:rsidR="00CA19A2" w:rsidRPr="00A8196B" w:rsidP="00EF50B4" w14:paraId="09A2BCC2" w14:textId="77777777">
            <w:pPr>
              <w:spacing w:after="0" w:line="240" w:lineRule="auto"/>
              <w:rPr>
                <w:b/>
                <w:bCs/>
                <w:color w:val="000000"/>
                <w:sz w:val="22"/>
              </w:rPr>
            </w:pPr>
          </w:p>
        </w:tc>
        <w:tc>
          <w:tcPr>
            <w:tcW w:w="866" w:type="pct"/>
            <w:vMerge/>
          </w:tcPr>
          <w:p w:rsidR="00CA19A2" w:rsidRPr="00A8196B" w:rsidP="00EF50B4" w14:paraId="433020DD" w14:textId="77777777">
            <w:pPr>
              <w:spacing w:after="0" w:line="240" w:lineRule="auto"/>
              <w:rPr>
                <w:b/>
                <w:bCs/>
                <w:color w:val="000000"/>
                <w:sz w:val="22"/>
              </w:rPr>
            </w:pPr>
          </w:p>
        </w:tc>
        <w:tc>
          <w:tcPr>
            <w:tcW w:w="782" w:type="pct"/>
            <w:vMerge/>
          </w:tcPr>
          <w:p w:rsidR="00CA19A2" w:rsidRPr="00A8196B" w:rsidP="00EF50B4" w14:paraId="28699594" w14:textId="77777777">
            <w:pPr>
              <w:spacing w:after="0" w:line="240" w:lineRule="auto"/>
              <w:rPr>
                <w:b/>
                <w:bCs/>
                <w:color w:val="000000"/>
                <w:sz w:val="22"/>
              </w:rPr>
            </w:pPr>
          </w:p>
        </w:tc>
        <w:tc>
          <w:tcPr>
            <w:tcW w:w="765" w:type="pct"/>
            <w:vMerge/>
          </w:tcPr>
          <w:p w:rsidR="00CA19A2" w:rsidRPr="00A8196B" w:rsidP="00EF50B4" w14:paraId="759C19B1" w14:textId="77777777">
            <w:pPr>
              <w:spacing w:after="0" w:line="240" w:lineRule="auto"/>
              <w:rPr>
                <w:b/>
                <w:bCs/>
                <w:color w:val="000000"/>
                <w:sz w:val="22"/>
              </w:rPr>
            </w:pPr>
          </w:p>
        </w:tc>
      </w:tr>
      <w:tr w14:paraId="31637A67" w14:textId="77777777" w:rsidTr="004E6EE2">
        <w:tblPrEx>
          <w:tblW w:w="5000" w:type="pct"/>
          <w:tblLook w:val="04A0"/>
        </w:tblPrEx>
        <w:trPr>
          <w:tblHeader/>
        </w:trPr>
        <w:tc>
          <w:tcPr>
            <w:tcW w:w="1768" w:type="pct"/>
            <w:shd w:val="clear" w:color="auto" w:fill="auto"/>
            <w:hideMark/>
          </w:tcPr>
          <w:p w:rsidR="00CA19A2" w:rsidRPr="00A8196B" w:rsidP="00EF50B4" w14:paraId="11538D69" w14:textId="77777777">
            <w:pPr>
              <w:spacing w:after="0" w:line="240" w:lineRule="auto"/>
              <w:jc w:val="center"/>
              <w:rPr>
                <w:color w:val="000000"/>
                <w:sz w:val="22"/>
              </w:rPr>
            </w:pPr>
            <w:r w:rsidRPr="00A8196B">
              <w:rPr>
                <w:sz w:val="22"/>
              </w:rPr>
              <w:t>Rule familiarization</w:t>
            </w:r>
          </w:p>
        </w:tc>
        <w:tc>
          <w:tcPr>
            <w:tcW w:w="819" w:type="pct"/>
            <w:shd w:val="clear" w:color="auto" w:fill="auto"/>
          </w:tcPr>
          <w:p w:rsidR="00CA19A2" w:rsidRPr="00A8196B" w:rsidP="00EF50B4" w14:paraId="4D64A626" w14:textId="77777777">
            <w:pPr>
              <w:spacing w:after="0" w:line="240" w:lineRule="auto"/>
              <w:jc w:val="center"/>
              <w:rPr>
                <w:color w:val="000000"/>
                <w:sz w:val="22"/>
              </w:rPr>
            </w:pPr>
            <w:r w:rsidRPr="00A8196B">
              <w:rPr>
                <w:color w:val="000000"/>
                <w:sz w:val="22"/>
              </w:rPr>
              <w:t>0.00</w:t>
            </w:r>
          </w:p>
        </w:tc>
        <w:tc>
          <w:tcPr>
            <w:tcW w:w="866" w:type="pct"/>
            <w:shd w:val="clear" w:color="auto" w:fill="auto"/>
          </w:tcPr>
          <w:p w:rsidR="00CA19A2" w:rsidRPr="00A8196B" w:rsidP="00EF50B4" w14:paraId="2946DD34" w14:textId="77777777">
            <w:pPr>
              <w:spacing w:after="0" w:line="240" w:lineRule="auto"/>
              <w:jc w:val="center"/>
              <w:rPr>
                <w:color w:val="000000"/>
                <w:sz w:val="22"/>
              </w:rPr>
            </w:pPr>
            <w:r w:rsidRPr="00A8196B">
              <w:rPr>
                <w:color w:val="000000"/>
                <w:sz w:val="22"/>
              </w:rPr>
              <w:t>0.55</w:t>
            </w:r>
          </w:p>
        </w:tc>
        <w:tc>
          <w:tcPr>
            <w:tcW w:w="782" w:type="pct"/>
            <w:shd w:val="clear" w:color="auto" w:fill="auto"/>
          </w:tcPr>
          <w:p w:rsidR="00CA19A2" w:rsidRPr="00A8196B" w:rsidP="00EF50B4" w14:paraId="1EA0EA83" w14:textId="77777777">
            <w:pPr>
              <w:spacing w:after="0" w:line="240" w:lineRule="auto"/>
              <w:jc w:val="center"/>
              <w:rPr>
                <w:color w:val="000000"/>
                <w:sz w:val="22"/>
              </w:rPr>
            </w:pPr>
            <w:r w:rsidRPr="00A8196B">
              <w:rPr>
                <w:color w:val="000000"/>
                <w:sz w:val="22"/>
              </w:rPr>
              <w:t>0.27</w:t>
            </w:r>
          </w:p>
        </w:tc>
        <w:tc>
          <w:tcPr>
            <w:tcW w:w="765" w:type="pct"/>
            <w:shd w:val="clear" w:color="auto" w:fill="auto"/>
          </w:tcPr>
          <w:p w:rsidR="00CA19A2" w:rsidRPr="00A8196B" w:rsidP="00EF50B4" w14:paraId="1E51562B" w14:textId="77777777">
            <w:pPr>
              <w:spacing w:after="0" w:line="240" w:lineRule="auto"/>
              <w:jc w:val="center"/>
              <w:rPr>
                <w:b/>
                <w:color w:val="000000"/>
                <w:sz w:val="22"/>
              </w:rPr>
            </w:pPr>
            <w:r w:rsidRPr="00A8196B">
              <w:rPr>
                <w:b/>
                <w:color w:val="000000"/>
                <w:sz w:val="22"/>
              </w:rPr>
              <w:t>0.82</w:t>
            </w:r>
          </w:p>
        </w:tc>
      </w:tr>
    </w:tbl>
    <w:p w:rsidR="00FB2F60" w:rsidRPr="00A8196B" w:rsidP="00C47D6B" w14:paraId="039D3E01" w14:textId="33BABB80">
      <w:pPr>
        <w:rPr>
          <w:b/>
          <w:sz w:val="18"/>
          <w:szCs w:val="18"/>
        </w:rPr>
      </w:pPr>
      <w:bookmarkStart w:id="14" w:name="_Toc271126404"/>
      <w:bookmarkStart w:id="15" w:name="_Ref273970249"/>
      <w:bookmarkStart w:id="16" w:name="_Ref300654049"/>
      <w:bookmarkStart w:id="17" w:name="_Toc301370439"/>
      <w:bookmarkStart w:id="18" w:name="_Toc301632901"/>
      <w:r w:rsidRPr="00A8196B">
        <w:rPr>
          <w:sz w:val="18"/>
          <w:szCs w:val="18"/>
        </w:rPr>
        <w:t>Some burden estimate totals may not calculate due to rounding of unit burden estimates</w:t>
      </w:r>
    </w:p>
    <w:p w:rsidR="00CA19A2" w:rsidRPr="00A8196B" w:rsidP="009B2563" w14:paraId="445CE8DE" w14:textId="58F9D640">
      <w:pPr>
        <w:pStyle w:val="Heading3"/>
        <w:numPr>
          <w:ilvl w:val="0"/>
          <w:numId w:val="0"/>
        </w:numPr>
        <w:tabs>
          <w:tab w:val="num" w:pos="720"/>
        </w:tabs>
        <w:adjustRightInd/>
        <w:spacing w:line="276" w:lineRule="auto"/>
        <w:ind w:left="720" w:hanging="720"/>
        <w:rPr>
          <w:rFonts w:cs="Arial"/>
          <w:b w:val="0"/>
          <w:u w:val="single"/>
        </w:rPr>
      </w:pPr>
      <w:r w:rsidRPr="00A8196B">
        <w:rPr>
          <w:rFonts w:cs="Arial"/>
          <w:b w:val="0"/>
          <w:u w:val="single"/>
        </w:rPr>
        <w:t>CDX Registration, CDX Electronic Signature, and Pay.gov Account Setup</w:t>
      </w:r>
      <w:bookmarkEnd w:id="14"/>
      <w:bookmarkEnd w:id="15"/>
      <w:bookmarkEnd w:id="16"/>
      <w:bookmarkEnd w:id="17"/>
      <w:bookmarkEnd w:id="18"/>
    </w:p>
    <w:p w:rsidR="00CA19A2" w:rsidRPr="00A8196B" w:rsidP="009B2563" w14:paraId="2D3E75B9" w14:textId="02304308">
      <w:pPr>
        <w:pStyle w:val="BodyText"/>
        <w:spacing w:after="200" w:line="276" w:lineRule="auto"/>
        <w:rPr>
          <w:rFonts w:cs="Arial"/>
          <w:iCs/>
          <w:szCs w:val="24"/>
        </w:rPr>
      </w:pPr>
      <w:r w:rsidRPr="00A8196B">
        <w:rPr>
          <w:rFonts w:cs="Arial"/>
          <w:iCs/>
          <w:szCs w:val="24"/>
        </w:rPr>
        <w:t>First-time submitters of any section 5 notice (including Premanufacture Notices (</w:t>
      </w:r>
      <w:r w:rsidRPr="00A8196B">
        <w:rPr>
          <w:rStyle w:val="apple-style-span"/>
          <w:rFonts w:cs="Arial"/>
          <w:color w:val="000000"/>
          <w:szCs w:val="24"/>
        </w:rPr>
        <w:t>PMNs), Significant New Use Notices (SNUNs), Test Market Exemption (TME) applications, Low Volume Exemption (LVE) notices, Low Exposure/Low Release (LoREX) exemption notices, Biotechnology Notices for genetically modified microorganisms, Notices of Commencement of Manufacture or Import (NOCs), and support documents to section 5 notices</w:t>
      </w:r>
      <w:r w:rsidRPr="00A8196B">
        <w:rPr>
          <w:rFonts w:cs="Arial"/>
          <w:iCs/>
          <w:szCs w:val="24"/>
        </w:rPr>
        <w:t>) are required to register their company and key users with the CDX reporting tool, deliver a CDX electronic signature to EPA, and establish and use a Pay.gov E-payment account.</w:t>
      </w:r>
      <w:r w:rsidRPr="00A8196B">
        <w:rPr>
          <w:rStyle w:val="FootnoteReference"/>
          <w:rFonts w:eastAsiaTheme="majorEastAsia" w:cs="Arial"/>
          <w:iCs/>
          <w:szCs w:val="24"/>
        </w:rPr>
        <w:t xml:space="preserve"> </w:t>
      </w:r>
      <w:r w:rsidRPr="00A8196B">
        <w:rPr>
          <w:rFonts w:cs="Arial"/>
          <w:iCs/>
          <w:szCs w:val="24"/>
        </w:rPr>
        <w:t xml:space="preserve">These activities are only required </w:t>
      </w:r>
      <w:r w:rsidRPr="00A8196B" w:rsidR="00366B2C">
        <w:rPr>
          <w:rFonts w:cs="Arial"/>
          <w:iCs/>
          <w:szCs w:val="24"/>
        </w:rPr>
        <w:t>for</w:t>
      </w:r>
      <w:r w:rsidRPr="00A8196B">
        <w:rPr>
          <w:rFonts w:cs="Arial"/>
          <w:iCs/>
          <w:szCs w:val="24"/>
        </w:rPr>
        <w:t xml:space="preserve"> first-time submitters of any section 5 notice. It is not known how many submitters of SNUNs from existing chemical SNURs will be first-time submitters of any section 5 notices; therefore, EPA conservatively assumes that all submitters will incur these costs. These activities are estimated to require the following burden, based on the estimates presented in the </w:t>
      </w:r>
      <w:r w:rsidRPr="00A8196B">
        <w:rPr>
          <w:rFonts w:cs="Arial"/>
          <w:i/>
          <w:iCs/>
          <w:szCs w:val="24"/>
        </w:rPr>
        <w:t>Economic Analysis of the Premanufacture Notification Electronic Reporting Final Rule</w:t>
      </w:r>
      <w:r w:rsidRPr="00A8196B">
        <w:rPr>
          <w:rFonts w:cs="Arial"/>
          <w:iCs/>
          <w:szCs w:val="24"/>
        </w:rPr>
        <w:t xml:space="preserve"> (EPA, 2009a):</w:t>
      </w:r>
    </w:p>
    <w:p w:rsidR="00CA19A2" w:rsidRPr="00A8196B" w:rsidP="009B2563" w14:paraId="6CB55A45" w14:textId="77777777">
      <w:pPr>
        <w:pStyle w:val="BodyText"/>
        <w:widowControl/>
        <w:numPr>
          <w:ilvl w:val="1"/>
          <w:numId w:val="7"/>
        </w:numPr>
        <w:tabs>
          <w:tab w:val="num" w:pos="720"/>
          <w:tab w:val="clear" w:pos="2160"/>
        </w:tabs>
        <w:autoSpaceDE/>
        <w:autoSpaceDN/>
        <w:adjustRightInd/>
        <w:spacing w:after="200" w:line="276" w:lineRule="auto"/>
        <w:ind w:left="720"/>
        <w:rPr>
          <w:iCs/>
          <w:szCs w:val="24"/>
        </w:rPr>
      </w:pPr>
      <w:r w:rsidRPr="00A8196B">
        <w:rPr>
          <w:i/>
          <w:szCs w:val="24"/>
        </w:rPr>
        <w:t>CDX registration:</w:t>
      </w:r>
      <w:r w:rsidRPr="00A8196B">
        <w:rPr>
          <w:iCs/>
          <w:szCs w:val="24"/>
        </w:rPr>
        <w:t xml:space="preserve"> EPA estimates that companies will spend approximately 0.18 hours per employee to register with CDX, and that an average of four technical staff members and one manager will need to register for each company, totaling approximately 0.92 hours of burden per company.</w:t>
      </w:r>
    </w:p>
    <w:p w:rsidR="00A7023B" w:rsidRPr="00A8196B" w:rsidP="009B2563" w14:paraId="779D6E02" w14:textId="77777777">
      <w:pPr>
        <w:pStyle w:val="BodyText"/>
        <w:widowControl/>
        <w:numPr>
          <w:ilvl w:val="1"/>
          <w:numId w:val="7"/>
        </w:numPr>
        <w:tabs>
          <w:tab w:val="num" w:pos="720"/>
          <w:tab w:val="clear" w:pos="2160"/>
          <w:tab w:val="left" w:pos="8640"/>
        </w:tabs>
        <w:autoSpaceDE/>
        <w:autoSpaceDN/>
        <w:adjustRightInd/>
        <w:spacing w:after="200" w:line="276" w:lineRule="auto"/>
        <w:ind w:left="720"/>
        <w:rPr>
          <w:iCs/>
          <w:szCs w:val="24"/>
        </w:rPr>
      </w:pPr>
      <w:r w:rsidRPr="00A8196B">
        <w:rPr>
          <w:i/>
          <w:szCs w:val="24"/>
        </w:rPr>
        <w:t>CDX electronic signature:</w:t>
      </w:r>
      <w:r w:rsidRPr="00A8196B">
        <w:rPr>
          <w:iCs/>
          <w:szCs w:val="24"/>
        </w:rPr>
        <w:t xml:space="preserve"> EPA estimates that companies will spend 0.25 hours preparing, submitting, and filing an electronic signature agreement (Authentication of Identity) form to EPA per employee. This burden will apply to four technical staff members and one manager per company, totaling 1.25 hours of burden per company. In addition, EPA estimates that a manager will spend an additional 0.50 hours accessing, preparing, and submitting verification forms (Verification of Authorization) for all authorized submitters to EPA. The total burden incurred by companies submitting and then verifying electronic signature agreements is 1.75 hours. Note that this burden does not include any additional time required to contact EPA’s CDX help desk to notify a change of submitter status, should one occur.</w:t>
      </w:r>
    </w:p>
    <w:p w:rsidR="00CA19A2" w:rsidRPr="00A8196B" w:rsidP="009B2563" w14:paraId="4AB0CC13" w14:textId="64DC6F0F">
      <w:pPr>
        <w:pStyle w:val="BodyText"/>
        <w:widowControl/>
        <w:numPr>
          <w:ilvl w:val="1"/>
          <w:numId w:val="8"/>
        </w:numPr>
        <w:tabs>
          <w:tab w:val="left" w:pos="720"/>
          <w:tab w:val="left" w:pos="2160"/>
        </w:tabs>
        <w:autoSpaceDE/>
        <w:autoSpaceDN/>
        <w:adjustRightInd/>
        <w:spacing w:after="200" w:line="276" w:lineRule="auto"/>
        <w:ind w:left="720"/>
        <w:rPr>
          <w:iCs/>
          <w:szCs w:val="24"/>
        </w:rPr>
      </w:pPr>
      <w:r w:rsidRPr="00A8196B">
        <w:rPr>
          <w:i/>
          <w:szCs w:val="24"/>
        </w:rPr>
        <w:t>Payment via Pay.gov account:</w:t>
      </w:r>
      <w:r w:rsidRPr="00A8196B">
        <w:rPr>
          <w:iCs/>
          <w:szCs w:val="24"/>
        </w:rPr>
        <w:t xml:space="preserve"> EPA estimates that one manager per company will spend approximately 0.13 hours setting up a Pay.gov ID account, logging into the system, finding the appropriate form, and filling it out. This burden does not include the time required to click ‘submit’ on the form and wait for payment processing.</w:t>
      </w:r>
    </w:p>
    <w:p w:rsidR="00CA19A2" w:rsidRPr="00A8196B" w:rsidP="008C16F4" w14:paraId="25786C65" w14:textId="46895784">
      <w:pPr>
        <w:pStyle w:val="Caption"/>
      </w:pPr>
      <w:bookmarkStart w:id="19" w:name="_Toc301633001"/>
      <w:r w:rsidRPr="00A8196B">
        <w:t xml:space="preserve">Table </w:t>
      </w:r>
      <w:r w:rsidRPr="00A8196B">
        <w:fldChar w:fldCharType="begin"/>
      </w:r>
      <w:r w:rsidRPr="00A8196B">
        <w:instrText>SEQ Table \* ARABIC</w:instrText>
      </w:r>
      <w:r w:rsidRPr="00A8196B">
        <w:fldChar w:fldCharType="separate"/>
      </w:r>
      <w:r w:rsidR="009B2ACE">
        <w:rPr>
          <w:noProof/>
        </w:rPr>
        <w:t>4</w:t>
      </w:r>
      <w:r w:rsidRPr="00A8196B">
        <w:fldChar w:fldCharType="end"/>
      </w:r>
      <w:r w:rsidRPr="00A8196B">
        <w:t>: CDX Registration, CDX Electronic Signature, and Pay.gov Account Setup Burden for First-Time Submitters</w:t>
      </w:r>
      <w:bookmarkEnd w:id="19"/>
    </w:p>
    <w:tbl>
      <w:tblPr>
        <w:tblW w:w="5000" w:type="pct"/>
        <w:tblLook w:val="04A0"/>
      </w:tblPr>
      <w:tblGrid>
        <w:gridCol w:w="3324"/>
        <w:gridCol w:w="1616"/>
        <w:gridCol w:w="1231"/>
        <w:gridCol w:w="1909"/>
        <w:gridCol w:w="1270"/>
      </w:tblGrid>
      <w:tr w14:paraId="07FC7EB8" w14:textId="77777777" w:rsidTr="000975A6">
        <w:tblPrEx>
          <w:tblW w:w="5000" w:type="pct"/>
          <w:tblLook w:val="04A0"/>
        </w:tblPrEx>
        <w:trPr>
          <w:trHeight w:val="253"/>
        </w:trPr>
        <w:tc>
          <w:tcPr>
            <w:tcW w:w="1778" w:type="pct"/>
            <w:vMerge w:val="restart"/>
            <w:tcBorders>
              <w:top w:val="single" w:sz="4" w:space="0" w:color="auto"/>
              <w:left w:val="single" w:sz="4" w:space="0" w:color="auto"/>
              <w:bottom w:val="single" w:sz="4" w:space="0" w:color="000000"/>
              <w:right w:val="single" w:sz="4" w:space="0" w:color="auto"/>
            </w:tcBorders>
            <w:vAlign w:val="bottom"/>
          </w:tcPr>
          <w:p w:rsidR="00CA19A2" w:rsidRPr="00A8196B" w:rsidP="000975A6" w14:paraId="17E316F7" w14:textId="77777777">
            <w:pPr>
              <w:keepNext/>
              <w:spacing w:after="0" w:line="240" w:lineRule="auto"/>
              <w:rPr>
                <w:b/>
                <w:bCs/>
                <w:color w:val="000000"/>
                <w:sz w:val="22"/>
              </w:rPr>
            </w:pPr>
            <w:r w:rsidRPr="00A8196B">
              <w:rPr>
                <w:b/>
                <w:bCs/>
                <w:color w:val="000000"/>
                <w:sz w:val="22"/>
              </w:rPr>
              <w:t>Activity</w:t>
            </w:r>
          </w:p>
        </w:tc>
        <w:tc>
          <w:tcPr>
            <w:tcW w:w="864" w:type="pct"/>
            <w:vMerge w:val="restart"/>
            <w:tcBorders>
              <w:top w:val="single" w:sz="4" w:space="0" w:color="auto"/>
              <w:left w:val="single" w:sz="4" w:space="0" w:color="auto"/>
              <w:bottom w:val="single" w:sz="4" w:space="0" w:color="000000"/>
              <w:right w:val="single" w:sz="4" w:space="0" w:color="auto"/>
            </w:tcBorders>
            <w:vAlign w:val="bottom"/>
          </w:tcPr>
          <w:p w:rsidR="00CA19A2" w:rsidRPr="00A8196B" w:rsidP="000975A6" w14:paraId="7DF4C503" w14:textId="77777777">
            <w:pPr>
              <w:keepNext/>
              <w:spacing w:after="0" w:line="240" w:lineRule="auto"/>
              <w:jc w:val="center"/>
              <w:rPr>
                <w:b/>
                <w:bCs/>
                <w:color w:val="000000"/>
                <w:sz w:val="22"/>
              </w:rPr>
            </w:pPr>
            <w:r w:rsidRPr="00A8196B">
              <w:rPr>
                <w:b/>
                <w:bCs/>
                <w:color w:val="000000"/>
                <w:sz w:val="22"/>
              </w:rPr>
              <w:t>Clerical Hours</w:t>
            </w:r>
          </w:p>
        </w:tc>
        <w:tc>
          <w:tcPr>
            <w:tcW w:w="658" w:type="pct"/>
            <w:vMerge w:val="restart"/>
            <w:tcBorders>
              <w:top w:val="single" w:sz="4" w:space="0" w:color="auto"/>
              <w:left w:val="single" w:sz="4" w:space="0" w:color="auto"/>
              <w:bottom w:val="single" w:sz="4" w:space="0" w:color="000000"/>
              <w:right w:val="single" w:sz="4" w:space="0" w:color="auto"/>
            </w:tcBorders>
            <w:vAlign w:val="bottom"/>
          </w:tcPr>
          <w:p w:rsidR="00CA19A2" w:rsidRPr="00A8196B" w:rsidP="000975A6" w14:paraId="323708A4" w14:textId="77777777">
            <w:pPr>
              <w:keepNext/>
              <w:spacing w:after="0" w:line="240" w:lineRule="auto"/>
              <w:jc w:val="center"/>
              <w:rPr>
                <w:b/>
                <w:bCs/>
                <w:color w:val="000000"/>
                <w:sz w:val="22"/>
              </w:rPr>
            </w:pPr>
            <w:r w:rsidRPr="00A8196B">
              <w:rPr>
                <w:b/>
                <w:bCs/>
                <w:color w:val="000000"/>
                <w:sz w:val="22"/>
              </w:rPr>
              <w:t>Technical Hours</w:t>
            </w:r>
          </w:p>
        </w:tc>
        <w:tc>
          <w:tcPr>
            <w:tcW w:w="1021" w:type="pct"/>
            <w:vMerge w:val="restart"/>
            <w:tcBorders>
              <w:top w:val="single" w:sz="4" w:space="0" w:color="auto"/>
              <w:left w:val="single" w:sz="4" w:space="0" w:color="auto"/>
              <w:bottom w:val="single" w:sz="4" w:space="0" w:color="000000"/>
              <w:right w:val="nil"/>
            </w:tcBorders>
            <w:vAlign w:val="bottom"/>
          </w:tcPr>
          <w:p w:rsidR="00CA19A2" w:rsidRPr="00A8196B" w:rsidP="000975A6" w14:paraId="04533B7F" w14:textId="77777777">
            <w:pPr>
              <w:keepNext/>
              <w:spacing w:after="0" w:line="240" w:lineRule="auto"/>
              <w:jc w:val="center"/>
              <w:rPr>
                <w:b/>
                <w:bCs/>
                <w:color w:val="000000"/>
                <w:sz w:val="22"/>
              </w:rPr>
            </w:pPr>
            <w:r w:rsidRPr="00A8196B">
              <w:rPr>
                <w:b/>
                <w:bCs/>
                <w:color w:val="000000"/>
                <w:sz w:val="22"/>
              </w:rPr>
              <w:t>Managerial Hours</w:t>
            </w:r>
          </w:p>
        </w:tc>
        <w:tc>
          <w:tcPr>
            <w:tcW w:w="679" w:type="pct"/>
            <w:vMerge w:val="restart"/>
            <w:tcBorders>
              <w:top w:val="single" w:sz="8" w:space="0" w:color="auto"/>
              <w:left w:val="single" w:sz="8" w:space="0" w:color="auto"/>
              <w:bottom w:val="single" w:sz="4" w:space="0" w:color="000000"/>
              <w:right w:val="single" w:sz="4" w:space="0" w:color="auto"/>
            </w:tcBorders>
            <w:vAlign w:val="bottom"/>
          </w:tcPr>
          <w:p w:rsidR="00CA19A2" w:rsidRPr="00A8196B" w:rsidP="000975A6" w14:paraId="081E284B" w14:textId="77777777">
            <w:pPr>
              <w:keepNext/>
              <w:spacing w:after="0" w:line="240" w:lineRule="auto"/>
              <w:jc w:val="center"/>
              <w:rPr>
                <w:b/>
                <w:bCs/>
                <w:color w:val="000000"/>
                <w:sz w:val="22"/>
              </w:rPr>
            </w:pPr>
            <w:r w:rsidRPr="00A8196B">
              <w:rPr>
                <w:b/>
                <w:bCs/>
                <w:color w:val="000000"/>
                <w:sz w:val="22"/>
              </w:rPr>
              <w:t>Total Hours</w:t>
            </w:r>
          </w:p>
        </w:tc>
      </w:tr>
      <w:tr w14:paraId="33767EDF" w14:textId="77777777" w:rsidTr="000975A6">
        <w:tblPrEx>
          <w:tblW w:w="5000" w:type="pct"/>
          <w:tblLook w:val="04A0"/>
        </w:tblPrEx>
        <w:trPr>
          <w:trHeight w:val="253"/>
        </w:trPr>
        <w:tc>
          <w:tcPr>
            <w:tcW w:w="1778" w:type="pct"/>
            <w:vMerge/>
            <w:tcBorders>
              <w:top w:val="single" w:sz="4" w:space="0" w:color="auto"/>
              <w:left w:val="single" w:sz="4" w:space="0" w:color="auto"/>
              <w:bottom w:val="single" w:sz="4" w:space="0" w:color="000000"/>
              <w:right w:val="single" w:sz="4" w:space="0" w:color="auto"/>
            </w:tcBorders>
            <w:vAlign w:val="center"/>
          </w:tcPr>
          <w:p w:rsidR="00CA19A2" w:rsidRPr="00A8196B" w:rsidP="00EF50B4" w14:paraId="7C961888" w14:textId="77777777">
            <w:pPr>
              <w:keepNext/>
              <w:spacing w:after="0" w:line="240" w:lineRule="auto"/>
              <w:rPr>
                <w:b/>
                <w:bCs/>
                <w:color w:val="000000"/>
                <w:sz w:val="22"/>
              </w:rPr>
            </w:pPr>
          </w:p>
        </w:tc>
        <w:tc>
          <w:tcPr>
            <w:tcW w:w="864" w:type="pct"/>
            <w:vMerge/>
            <w:tcBorders>
              <w:top w:val="single" w:sz="4" w:space="0" w:color="auto"/>
              <w:left w:val="single" w:sz="4" w:space="0" w:color="auto"/>
              <w:bottom w:val="single" w:sz="4" w:space="0" w:color="000000"/>
              <w:right w:val="single" w:sz="4" w:space="0" w:color="auto"/>
            </w:tcBorders>
            <w:vAlign w:val="center"/>
          </w:tcPr>
          <w:p w:rsidR="00CA19A2" w:rsidRPr="00A8196B" w:rsidP="00EF50B4" w14:paraId="25380262" w14:textId="77777777">
            <w:pPr>
              <w:keepNext/>
              <w:spacing w:after="0" w:line="240" w:lineRule="auto"/>
              <w:rPr>
                <w:b/>
                <w:bCs/>
                <w:color w:val="000000"/>
                <w:sz w:val="22"/>
              </w:rPr>
            </w:pPr>
          </w:p>
        </w:tc>
        <w:tc>
          <w:tcPr>
            <w:tcW w:w="658" w:type="pct"/>
            <w:vMerge/>
            <w:tcBorders>
              <w:top w:val="single" w:sz="4" w:space="0" w:color="auto"/>
              <w:left w:val="single" w:sz="4" w:space="0" w:color="auto"/>
              <w:bottom w:val="single" w:sz="4" w:space="0" w:color="000000"/>
              <w:right w:val="single" w:sz="4" w:space="0" w:color="auto"/>
            </w:tcBorders>
            <w:vAlign w:val="center"/>
          </w:tcPr>
          <w:p w:rsidR="00CA19A2" w:rsidRPr="00A8196B" w:rsidP="00EF50B4" w14:paraId="70C02F82" w14:textId="77777777">
            <w:pPr>
              <w:keepNext/>
              <w:spacing w:after="0" w:line="240" w:lineRule="auto"/>
              <w:rPr>
                <w:b/>
                <w:bCs/>
                <w:color w:val="000000"/>
                <w:sz w:val="22"/>
              </w:rPr>
            </w:pPr>
          </w:p>
        </w:tc>
        <w:tc>
          <w:tcPr>
            <w:tcW w:w="1021" w:type="pct"/>
            <w:vMerge/>
            <w:tcBorders>
              <w:top w:val="single" w:sz="4" w:space="0" w:color="auto"/>
              <w:left w:val="single" w:sz="4" w:space="0" w:color="auto"/>
              <w:bottom w:val="single" w:sz="4" w:space="0" w:color="000000"/>
              <w:right w:val="nil"/>
            </w:tcBorders>
            <w:vAlign w:val="center"/>
          </w:tcPr>
          <w:p w:rsidR="00CA19A2" w:rsidRPr="00A8196B" w:rsidP="00EF50B4" w14:paraId="17EB7A20" w14:textId="77777777">
            <w:pPr>
              <w:keepNext/>
              <w:spacing w:after="0" w:line="240" w:lineRule="auto"/>
              <w:rPr>
                <w:b/>
                <w:bCs/>
                <w:color w:val="000000"/>
                <w:sz w:val="22"/>
              </w:rPr>
            </w:pPr>
          </w:p>
        </w:tc>
        <w:tc>
          <w:tcPr>
            <w:tcW w:w="679" w:type="pct"/>
            <w:vMerge/>
            <w:tcBorders>
              <w:top w:val="single" w:sz="8" w:space="0" w:color="auto"/>
              <w:left w:val="single" w:sz="8" w:space="0" w:color="auto"/>
              <w:bottom w:val="single" w:sz="4" w:space="0" w:color="000000"/>
              <w:right w:val="single" w:sz="4" w:space="0" w:color="auto"/>
            </w:tcBorders>
            <w:vAlign w:val="center"/>
          </w:tcPr>
          <w:p w:rsidR="00CA19A2" w:rsidRPr="00A8196B" w:rsidP="00EF50B4" w14:paraId="3FB8E6AE" w14:textId="77777777">
            <w:pPr>
              <w:keepNext/>
              <w:spacing w:after="0" w:line="240" w:lineRule="auto"/>
              <w:rPr>
                <w:b/>
                <w:bCs/>
                <w:color w:val="000000"/>
                <w:sz w:val="22"/>
              </w:rPr>
            </w:pPr>
          </w:p>
        </w:tc>
      </w:tr>
      <w:tr w14:paraId="4542E464" w14:textId="77777777" w:rsidTr="000975A6">
        <w:tblPrEx>
          <w:tblW w:w="5000" w:type="pct"/>
          <w:tblLook w:val="04A0"/>
        </w:tblPrEx>
        <w:tc>
          <w:tcPr>
            <w:tcW w:w="1778" w:type="pct"/>
            <w:tcBorders>
              <w:top w:val="nil"/>
              <w:left w:val="single" w:sz="4" w:space="0" w:color="auto"/>
              <w:bottom w:val="single" w:sz="4" w:space="0" w:color="auto"/>
              <w:right w:val="single" w:sz="4" w:space="0" w:color="auto"/>
            </w:tcBorders>
            <w:shd w:val="clear" w:color="auto" w:fill="auto"/>
            <w:vAlign w:val="bottom"/>
            <w:hideMark/>
          </w:tcPr>
          <w:p w:rsidR="00CA19A2" w:rsidRPr="00A8196B" w:rsidP="00EF50B4" w14:paraId="63EE0CCC" w14:textId="77777777">
            <w:pPr>
              <w:keepNext/>
              <w:spacing w:after="0" w:line="240" w:lineRule="auto"/>
              <w:rPr>
                <w:color w:val="000000"/>
                <w:sz w:val="22"/>
              </w:rPr>
            </w:pPr>
            <w:r w:rsidRPr="00A8196B">
              <w:rPr>
                <w:sz w:val="22"/>
              </w:rPr>
              <w:t>CDX registration</w:t>
            </w:r>
          </w:p>
        </w:tc>
        <w:tc>
          <w:tcPr>
            <w:tcW w:w="864" w:type="pct"/>
            <w:tcBorders>
              <w:top w:val="nil"/>
              <w:left w:val="single" w:sz="4" w:space="0" w:color="auto"/>
              <w:bottom w:val="single" w:sz="4" w:space="0" w:color="auto"/>
              <w:right w:val="single" w:sz="4" w:space="0" w:color="auto"/>
            </w:tcBorders>
            <w:shd w:val="clear" w:color="auto" w:fill="auto"/>
            <w:vAlign w:val="center"/>
            <w:hideMark/>
          </w:tcPr>
          <w:p w:rsidR="00CA19A2" w:rsidRPr="00A8196B" w:rsidP="00EF50B4" w14:paraId="3E6DDB81" w14:textId="77777777">
            <w:pPr>
              <w:keepNext/>
              <w:spacing w:after="0" w:line="240" w:lineRule="auto"/>
              <w:jc w:val="center"/>
              <w:rPr>
                <w:color w:val="000000"/>
                <w:sz w:val="22"/>
              </w:rPr>
            </w:pPr>
            <w:r w:rsidRPr="00A8196B">
              <w:rPr>
                <w:color w:val="000000"/>
                <w:sz w:val="22"/>
              </w:rPr>
              <w:t>0.00</w:t>
            </w:r>
          </w:p>
        </w:tc>
        <w:tc>
          <w:tcPr>
            <w:tcW w:w="658" w:type="pct"/>
            <w:tcBorders>
              <w:top w:val="nil"/>
              <w:left w:val="single" w:sz="4" w:space="0" w:color="auto"/>
              <w:bottom w:val="single" w:sz="4" w:space="0" w:color="auto"/>
              <w:right w:val="single" w:sz="4" w:space="0" w:color="auto"/>
            </w:tcBorders>
            <w:shd w:val="clear" w:color="auto" w:fill="auto"/>
            <w:vAlign w:val="center"/>
            <w:hideMark/>
          </w:tcPr>
          <w:p w:rsidR="00CA19A2" w:rsidRPr="00A8196B" w:rsidP="00EF50B4" w14:paraId="178AC533" w14:textId="77777777">
            <w:pPr>
              <w:keepNext/>
              <w:spacing w:after="0" w:line="240" w:lineRule="auto"/>
              <w:jc w:val="center"/>
              <w:rPr>
                <w:color w:val="000000"/>
                <w:sz w:val="22"/>
              </w:rPr>
            </w:pPr>
            <w:r w:rsidRPr="00A8196B">
              <w:rPr>
                <w:color w:val="000000"/>
                <w:sz w:val="22"/>
              </w:rPr>
              <w:t>0.73</w:t>
            </w:r>
          </w:p>
        </w:tc>
        <w:tc>
          <w:tcPr>
            <w:tcW w:w="1021" w:type="pct"/>
            <w:tcBorders>
              <w:top w:val="nil"/>
              <w:left w:val="single" w:sz="4" w:space="0" w:color="auto"/>
              <w:bottom w:val="single" w:sz="4" w:space="0" w:color="auto"/>
              <w:right w:val="nil"/>
            </w:tcBorders>
            <w:shd w:val="clear" w:color="auto" w:fill="auto"/>
            <w:vAlign w:val="center"/>
            <w:hideMark/>
          </w:tcPr>
          <w:p w:rsidR="00CA19A2" w:rsidRPr="00A8196B" w:rsidP="00EF50B4" w14:paraId="41BBE721" w14:textId="77777777">
            <w:pPr>
              <w:keepNext/>
              <w:spacing w:after="0" w:line="240" w:lineRule="auto"/>
              <w:jc w:val="center"/>
              <w:rPr>
                <w:color w:val="000000"/>
                <w:sz w:val="22"/>
              </w:rPr>
            </w:pPr>
            <w:r w:rsidRPr="00A8196B">
              <w:rPr>
                <w:color w:val="000000"/>
                <w:sz w:val="22"/>
              </w:rPr>
              <w:t>0.18</w:t>
            </w:r>
          </w:p>
        </w:tc>
        <w:tc>
          <w:tcPr>
            <w:tcW w:w="679" w:type="pct"/>
            <w:tcBorders>
              <w:top w:val="nil"/>
              <w:left w:val="single" w:sz="8" w:space="0" w:color="auto"/>
              <w:bottom w:val="single" w:sz="4" w:space="0" w:color="auto"/>
              <w:right w:val="single" w:sz="4" w:space="0" w:color="auto"/>
            </w:tcBorders>
            <w:shd w:val="clear" w:color="auto" w:fill="auto"/>
            <w:vAlign w:val="center"/>
            <w:hideMark/>
          </w:tcPr>
          <w:p w:rsidR="00CA19A2" w:rsidRPr="00A8196B" w:rsidP="00EF50B4" w14:paraId="609EC044" w14:textId="77777777">
            <w:pPr>
              <w:keepNext/>
              <w:spacing w:after="0" w:line="240" w:lineRule="auto"/>
              <w:jc w:val="center"/>
              <w:rPr>
                <w:b/>
                <w:color w:val="000000"/>
                <w:sz w:val="22"/>
              </w:rPr>
            </w:pPr>
            <w:r w:rsidRPr="00A8196B">
              <w:rPr>
                <w:b/>
                <w:color w:val="000000"/>
                <w:sz w:val="22"/>
              </w:rPr>
              <w:t>0.92</w:t>
            </w:r>
          </w:p>
        </w:tc>
      </w:tr>
      <w:tr w14:paraId="7F5E1EFF" w14:textId="77777777" w:rsidTr="000975A6">
        <w:tblPrEx>
          <w:tblW w:w="5000" w:type="pct"/>
          <w:tblLook w:val="04A0"/>
        </w:tblPrEx>
        <w:tc>
          <w:tcPr>
            <w:tcW w:w="1778" w:type="pct"/>
            <w:tcBorders>
              <w:top w:val="single" w:sz="4" w:space="0" w:color="auto"/>
              <w:left w:val="single" w:sz="4" w:space="0" w:color="auto"/>
              <w:bottom w:val="single" w:sz="4" w:space="0" w:color="auto"/>
              <w:right w:val="single" w:sz="4" w:space="0" w:color="auto"/>
            </w:tcBorders>
            <w:shd w:val="clear" w:color="auto" w:fill="auto"/>
            <w:vAlign w:val="bottom"/>
          </w:tcPr>
          <w:p w:rsidR="00CA19A2" w:rsidRPr="00A8196B" w:rsidP="00EF50B4" w14:paraId="3240BB8D" w14:textId="77777777">
            <w:pPr>
              <w:keepNext/>
              <w:spacing w:after="0" w:line="240" w:lineRule="auto"/>
              <w:rPr>
                <w:sz w:val="22"/>
              </w:rPr>
            </w:pPr>
            <w:r w:rsidRPr="00A8196B">
              <w:rPr>
                <w:sz w:val="22"/>
              </w:rPr>
              <w:t>CDX electronic signature</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CA19A2" w:rsidRPr="00A8196B" w:rsidP="00EF50B4" w14:paraId="7867E749" w14:textId="77777777">
            <w:pPr>
              <w:keepNext/>
              <w:spacing w:after="0" w:line="240" w:lineRule="auto"/>
              <w:jc w:val="center"/>
              <w:rPr>
                <w:color w:val="000000"/>
                <w:sz w:val="22"/>
              </w:rPr>
            </w:pPr>
            <w:r w:rsidRPr="00A8196B">
              <w:rPr>
                <w:color w:val="000000"/>
                <w:sz w:val="22"/>
              </w:rPr>
              <w:t>0.00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CA19A2" w:rsidRPr="00A8196B" w:rsidP="00EF50B4" w14:paraId="4520DE45" w14:textId="77777777">
            <w:pPr>
              <w:keepNext/>
              <w:spacing w:after="0" w:line="240" w:lineRule="auto"/>
              <w:jc w:val="center"/>
              <w:rPr>
                <w:color w:val="000000"/>
                <w:sz w:val="22"/>
              </w:rPr>
            </w:pPr>
            <w:r w:rsidRPr="00A8196B">
              <w:rPr>
                <w:color w:val="000000"/>
                <w:sz w:val="22"/>
              </w:rPr>
              <w:t>1.00</w:t>
            </w:r>
          </w:p>
        </w:tc>
        <w:tc>
          <w:tcPr>
            <w:tcW w:w="1021" w:type="pct"/>
            <w:tcBorders>
              <w:top w:val="single" w:sz="4" w:space="0" w:color="auto"/>
              <w:left w:val="single" w:sz="4" w:space="0" w:color="auto"/>
              <w:bottom w:val="single" w:sz="4" w:space="0" w:color="auto"/>
              <w:right w:val="nil"/>
            </w:tcBorders>
            <w:shd w:val="clear" w:color="auto" w:fill="auto"/>
            <w:vAlign w:val="center"/>
          </w:tcPr>
          <w:p w:rsidR="00CA19A2" w:rsidRPr="00A8196B" w:rsidP="00EF50B4" w14:paraId="18FBD58F" w14:textId="77777777">
            <w:pPr>
              <w:keepNext/>
              <w:spacing w:after="0" w:line="240" w:lineRule="auto"/>
              <w:jc w:val="center"/>
              <w:rPr>
                <w:color w:val="000000"/>
                <w:sz w:val="22"/>
              </w:rPr>
            </w:pPr>
            <w:r w:rsidRPr="00A8196B">
              <w:rPr>
                <w:color w:val="000000"/>
                <w:sz w:val="22"/>
              </w:rPr>
              <w:t>0.75</w:t>
            </w:r>
          </w:p>
        </w:tc>
        <w:tc>
          <w:tcPr>
            <w:tcW w:w="679" w:type="pct"/>
            <w:tcBorders>
              <w:top w:val="single" w:sz="4" w:space="0" w:color="auto"/>
              <w:left w:val="single" w:sz="8" w:space="0" w:color="auto"/>
              <w:bottom w:val="single" w:sz="4" w:space="0" w:color="auto"/>
              <w:right w:val="single" w:sz="4" w:space="0" w:color="auto"/>
            </w:tcBorders>
            <w:shd w:val="clear" w:color="auto" w:fill="auto"/>
            <w:vAlign w:val="center"/>
          </w:tcPr>
          <w:p w:rsidR="00CA19A2" w:rsidRPr="00A8196B" w:rsidP="00EF50B4" w14:paraId="103C9649" w14:textId="77777777">
            <w:pPr>
              <w:keepNext/>
              <w:spacing w:after="0" w:line="240" w:lineRule="auto"/>
              <w:jc w:val="center"/>
              <w:rPr>
                <w:b/>
                <w:color w:val="000000"/>
                <w:sz w:val="22"/>
              </w:rPr>
            </w:pPr>
            <w:r w:rsidRPr="00A8196B">
              <w:rPr>
                <w:b/>
                <w:color w:val="000000"/>
                <w:sz w:val="22"/>
              </w:rPr>
              <w:t>1.75</w:t>
            </w:r>
          </w:p>
        </w:tc>
      </w:tr>
      <w:tr w14:paraId="23AF06A4" w14:textId="77777777" w:rsidTr="000975A6">
        <w:tblPrEx>
          <w:tblW w:w="5000" w:type="pct"/>
          <w:tblLook w:val="04A0"/>
        </w:tblPrEx>
        <w:tc>
          <w:tcPr>
            <w:tcW w:w="1778" w:type="pct"/>
            <w:tcBorders>
              <w:top w:val="single" w:sz="4" w:space="0" w:color="auto"/>
              <w:left w:val="single" w:sz="4" w:space="0" w:color="auto"/>
              <w:bottom w:val="single" w:sz="4" w:space="0" w:color="auto"/>
              <w:right w:val="single" w:sz="4" w:space="0" w:color="auto"/>
            </w:tcBorders>
            <w:vAlign w:val="bottom"/>
            <w:hideMark/>
          </w:tcPr>
          <w:p w:rsidR="00CA19A2" w:rsidRPr="00A8196B" w:rsidP="00EF50B4" w14:paraId="58D80A7B" w14:textId="77777777">
            <w:pPr>
              <w:keepNext/>
              <w:spacing w:after="0" w:line="240" w:lineRule="auto"/>
              <w:rPr>
                <w:color w:val="000000"/>
                <w:sz w:val="22"/>
              </w:rPr>
            </w:pPr>
            <w:r w:rsidRPr="00A8196B">
              <w:rPr>
                <w:sz w:val="22"/>
              </w:rPr>
              <w:t>E-payment (Pay.gov ID)</w:t>
            </w:r>
          </w:p>
        </w:tc>
        <w:tc>
          <w:tcPr>
            <w:tcW w:w="864" w:type="pct"/>
            <w:tcBorders>
              <w:top w:val="single" w:sz="4" w:space="0" w:color="auto"/>
              <w:left w:val="single" w:sz="4" w:space="0" w:color="auto"/>
              <w:bottom w:val="single" w:sz="4" w:space="0" w:color="auto"/>
              <w:right w:val="single" w:sz="4" w:space="0" w:color="auto"/>
            </w:tcBorders>
            <w:hideMark/>
          </w:tcPr>
          <w:p w:rsidR="00CA19A2" w:rsidRPr="00A8196B" w:rsidP="00EF50B4" w14:paraId="7316F59C" w14:textId="77777777">
            <w:pPr>
              <w:keepNext/>
              <w:spacing w:after="0" w:line="240" w:lineRule="auto"/>
              <w:jc w:val="center"/>
              <w:rPr>
                <w:color w:val="000000"/>
                <w:sz w:val="22"/>
              </w:rPr>
            </w:pPr>
            <w:r w:rsidRPr="00A8196B">
              <w:rPr>
                <w:color w:val="000000"/>
                <w:sz w:val="22"/>
              </w:rPr>
              <w:t>0.00</w:t>
            </w:r>
          </w:p>
        </w:tc>
        <w:tc>
          <w:tcPr>
            <w:tcW w:w="658" w:type="pct"/>
            <w:tcBorders>
              <w:top w:val="single" w:sz="4" w:space="0" w:color="auto"/>
              <w:left w:val="single" w:sz="4" w:space="0" w:color="auto"/>
              <w:bottom w:val="single" w:sz="4" w:space="0" w:color="auto"/>
              <w:right w:val="single" w:sz="4" w:space="0" w:color="auto"/>
            </w:tcBorders>
            <w:vAlign w:val="center"/>
            <w:hideMark/>
          </w:tcPr>
          <w:p w:rsidR="00CA19A2" w:rsidRPr="00A8196B" w:rsidP="00EF50B4" w14:paraId="52D95536" w14:textId="77777777">
            <w:pPr>
              <w:keepNext/>
              <w:spacing w:after="0" w:line="240" w:lineRule="auto"/>
              <w:jc w:val="center"/>
              <w:rPr>
                <w:color w:val="000000"/>
                <w:sz w:val="22"/>
              </w:rPr>
            </w:pPr>
            <w:r w:rsidRPr="00A8196B">
              <w:rPr>
                <w:color w:val="000000"/>
                <w:sz w:val="22"/>
              </w:rPr>
              <w:t>0.00</w:t>
            </w:r>
          </w:p>
        </w:tc>
        <w:tc>
          <w:tcPr>
            <w:tcW w:w="1021" w:type="pct"/>
            <w:tcBorders>
              <w:top w:val="single" w:sz="4" w:space="0" w:color="auto"/>
              <w:left w:val="single" w:sz="4" w:space="0" w:color="auto"/>
              <w:bottom w:val="single" w:sz="4" w:space="0" w:color="auto"/>
              <w:right w:val="nil"/>
            </w:tcBorders>
            <w:vAlign w:val="center"/>
            <w:hideMark/>
          </w:tcPr>
          <w:p w:rsidR="00CA19A2" w:rsidRPr="00A8196B" w:rsidP="00EF50B4" w14:paraId="76A6D60D" w14:textId="77777777">
            <w:pPr>
              <w:keepNext/>
              <w:spacing w:after="0" w:line="240" w:lineRule="auto"/>
              <w:jc w:val="center"/>
              <w:rPr>
                <w:color w:val="000000"/>
                <w:sz w:val="22"/>
              </w:rPr>
            </w:pPr>
            <w:r w:rsidRPr="00A8196B">
              <w:rPr>
                <w:color w:val="000000"/>
                <w:sz w:val="22"/>
              </w:rPr>
              <w:t>0.13</w:t>
            </w:r>
          </w:p>
        </w:tc>
        <w:tc>
          <w:tcPr>
            <w:tcW w:w="679" w:type="pct"/>
            <w:tcBorders>
              <w:top w:val="single" w:sz="4" w:space="0" w:color="auto"/>
              <w:left w:val="single" w:sz="8" w:space="0" w:color="auto"/>
              <w:bottom w:val="single" w:sz="4" w:space="0" w:color="auto"/>
              <w:right w:val="single" w:sz="4" w:space="0" w:color="auto"/>
            </w:tcBorders>
            <w:vAlign w:val="center"/>
            <w:hideMark/>
          </w:tcPr>
          <w:p w:rsidR="00CA19A2" w:rsidRPr="00A8196B" w:rsidP="00EF50B4" w14:paraId="796E9DF7" w14:textId="77777777">
            <w:pPr>
              <w:keepNext/>
              <w:spacing w:after="0" w:line="240" w:lineRule="auto"/>
              <w:jc w:val="center"/>
              <w:rPr>
                <w:b/>
                <w:color w:val="000000"/>
                <w:sz w:val="22"/>
              </w:rPr>
            </w:pPr>
            <w:r w:rsidRPr="00A8196B">
              <w:rPr>
                <w:b/>
                <w:color w:val="000000"/>
                <w:sz w:val="22"/>
              </w:rPr>
              <w:t>0.13</w:t>
            </w:r>
          </w:p>
        </w:tc>
      </w:tr>
      <w:tr w14:paraId="742FBD03" w14:textId="77777777" w:rsidTr="000975A6">
        <w:tblPrEx>
          <w:tblW w:w="5000" w:type="pct"/>
          <w:tblLook w:val="04A0"/>
        </w:tblPrEx>
        <w:tc>
          <w:tcPr>
            <w:tcW w:w="1778" w:type="pct"/>
            <w:tcBorders>
              <w:top w:val="single" w:sz="4" w:space="0" w:color="auto"/>
              <w:left w:val="single" w:sz="4" w:space="0" w:color="auto"/>
              <w:bottom w:val="single" w:sz="4" w:space="0" w:color="auto"/>
              <w:right w:val="single" w:sz="4" w:space="0" w:color="auto"/>
            </w:tcBorders>
            <w:vAlign w:val="center"/>
          </w:tcPr>
          <w:p w:rsidR="00CA19A2" w:rsidRPr="00A8196B" w:rsidP="00EF50B4" w14:paraId="0C9E8970" w14:textId="77777777">
            <w:pPr>
              <w:keepNext/>
              <w:spacing w:after="0" w:line="240" w:lineRule="auto"/>
              <w:rPr>
                <w:color w:val="000000"/>
                <w:sz w:val="22"/>
              </w:rPr>
            </w:pPr>
            <w:r w:rsidRPr="00A8196B">
              <w:rPr>
                <w:b/>
                <w:bCs/>
                <w:sz w:val="22"/>
              </w:rPr>
              <w:t>Total</w:t>
            </w:r>
          </w:p>
        </w:tc>
        <w:tc>
          <w:tcPr>
            <w:tcW w:w="864" w:type="pct"/>
            <w:tcBorders>
              <w:top w:val="single" w:sz="4" w:space="0" w:color="auto"/>
              <w:left w:val="single" w:sz="4" w:space="0" w:color="auto"/>
              <w:bottom w:val="single" w:sz="4" w:space="0" w:color="auto"/>
              <w:right w:val="single" w:sz="4" w:space="0" w:color="auto"/>
            </w:tcBorders>
          </w:tcPr>
          <w:p w:rsidR="00CA19A2" w:rsidRPr="00A8196B" w:rsidP="00EF50B4" w14:paraId="390B4895" w14:textId="77777777">
            <w:pPr>
              <w:keepNext/>
              <w:spacing w:after="0" w:line="240" w:lineRule="auto"/>
              <w:jc w:val="center"/>
              <w:rPr>
                <w:color w:val="000000"/>
                <w:sz w:val="22"/>
              </w:rPr>
            </w:pPr>
            <w:r w:rsidRPr="00A8196B">
              <w:rPr>
                <w:color w:val="000000"/>
                <w:sz w:val="22"/>
              </w:rPr>
              <w:t>0.00</w:t>
            </w:r>
          </w:p>
        </w:tc>
        <w:tc>
          <w:tcPr>
            <w:tcW w:w="658" w:type="pct"/>
            <w:tcBorders>
              <w:top w:val="single" w:sz="4" w:space="0" w:color="auto"/>
              <w:left w:val="single" w:sz="4" w:space="0" w:color="auto"/>
              <w:bottom w:val="single" w:sz="4" w:space="0" w:color="auto"/>
              <w:right w:val="single" w:sz="4" w:space="0" w:color="auto"/>
            </w:tcBorders>
            <w:vAlign w:val="center"/>
          </w:tcPr>
          <w:p w:rsidR="00CA19A2" w:rsidRPr="00A8196B" w:rsidP="00EF50B4" w14:paraId="00EC4D21" w14:textId="77777777">
            <w:pPr>
              <w:keepNext/>
              <w:spacing w:after="0" w:line="240" w:lineRule="auto"/>
              <w:jc w:val="center"/>
              <w:rPr>
                <w:color w:val="000000"/>
                <w:sz w:val="22"/>
              </w:rPr>
            </w:pPr>
            <w:r w:rsidRPr="00A8196B">
              <w:rPr>
                <w:b/>
                <w:bCs/>
                <w:color w:val="000000"/>
                <w:sz w:val="22"/>
              </w:rPr>
              <w:t>1.73</w:t>
            </w:r>
          </w:p>
        </w:tc>
        <w:tc>
          <w:tcPr>
            <w:tcW w:w="1021" w:type="pct"/>
            <w:tcBorders>
              <w:top w:val="single" w:sz="4" w:space="0" w:color="auto"/>
              <w:left w:val="single" w:sz="4" w:space="0" w:color="auto"/>
              <w:bottom w:val="single" w:sz="4" w:space="0" w:color="auto"/>
              <w:right w:val="nil"/>
            </w:tcBorders>
            <w:vAlign w:val="center"/>
          </w:tcPr>
          <w:p w:rsidR="00CA19A2" w:rsidRPr="00A8196B" w:rsidP="00EF50B4" w14:paraId="0457AC08" w14:textId="77777777">
            <w:pPr>
              <w:keepNext/>
              <w:spacing w:after="0" w:line="240" w:lineRule="auto"/>
              <w:jc w:val="center"/>
              <w:rPr>
                <w:color w:val="000000"/>
                <w:sz w:val="22"/>
              </w:rPr>
            </w:pPr>
            <w:r w:rsidRPr="00A8196B">
              <w:rPr>
                <w:b/>
                <w:bCs/>
                <w:color w:val="000000"/>
                <w:sz w:val="22"/>
              </w:rPr>
              <w:t>1.07</w:t>
            </w:r>
          </w:p>
        </w:tc>
        <w:tc>
          <w:tcPr>
            <w:tcW w:w="679" w:type="pct"/>
            <w:tcBorders>
              <w:top w:val="single" w:sz="4" w:space="0" w:color="auto"/>
              <w:left w:val="single" w:sz="8" w:space="0" w:color="auto"/>
              <w:bottom w:val="single" w:sz="4" w:space="0" w:color="auto"/>
              <w:right w:val="single" w:sz="4" w:space="0" w:color="auto"/>
            </w:tcBorders>
            <w:vAlign w:val="center"/>
          </w:tcPr>
          <w:p w:rsidR="00CA19A2" w:rsidRPr="00A8196B" w:rsidP="00EF50B4" w14:paraId="326F557F" w14:textId="77777777">
            <w:pPr>
              <w:keepNext/>
              <w:spacing w:after="0" w:line="240" w:lineRule="auto"/>
              <w:jc w:val="center"/>
              <w:rPr>
                <w:color w:val="000000"/>
                <w:sz w:val="22"/>
              </w:rPr>
            </w:pPr>
            <w:r w:rsidRPr="00A8196B">
              <w:rPr>
                <w:b/>
                <w:bCs/>
                <w:color w:val="000000"/>
                <w:sz w:val="22"/>
              </w:rPr>
              <w:t>2.80</w:t>
            </w:r>
          </w:p>
        </w:tc>
      </w:tr>
    </w:tbl>
    <w:p w:rsidR="00702291" w:rsidRPr="00A8196B" w:rsidP="00702291" w14:paraId="352177EF" w14:textId="6D7A585B">
      <w:pPr>
        <w:pStyle w:val="BodyText"/>
        <w:spacing w:after="0"/>
        <w:rPr>
          <w:u w:val="single"/>
        </w:rPr>
      </w:pPr>
      <w:r w:rsidRPr="00A8196B">
        <w:rPr>
          <w:sz w:val="18"/>
          <w:szCs w:val="18"/>
        </w:rPr>
        <w:t>Some burden estimate totals may not calculate due to rounding of unit burden estimates</w:t>
      </w:r>
    </w:p>
    <w:p w:rsidR="00A7023B" w:rsidRPr="00A8196B" w:rsidP="000975A6" w14:paraId="4368205C" w14:textId="77777777">
      <w:pPr>
        <w:pStyle w:val="BodyText"/>
        <w:spacing w:before="240" w:after="200" w:line="276" w:lineRule="auto"/>
        <w:rPr>
          <w:u w:val="single"/>
        </w:rPr>
      </w:pPr>
      <w:r w:rsidRPr="00A8196B">
        <w:rPr>
          <w:u w:val="single"/>
        </w:rPr>
        <w:t>Submitting a SNUN</w:t>
      </w:r>
    </w:p>
    <w:p w:rsidR="00702291" w:rsidRPr="00A8196B" w:rsidP="009B2563" w14:paraId="021284C5" w14:textId="1088379E">
      <w:pPr>
        <w:pStyle w:val="BodyText"/>
        <w:spacing w:after="200" w:line="276" w:lineRule="auto"/>
        <w:rPr>
          <w:szCs w:val="24"/>
        </w:rPr>
      </w:pPr>
      <w:r w:rsidRPr="00A8196B">
        <w:rPr>
          <w:szCs w:val="24"/>
        </w:rPr>
        <w:t xml:space="preserve">When submitting a SNUN, individuals at different occupational levels must spend time on the required </w:t>
      </w:r>
      <w:r w:rsidRPr="00A8196B" w:rsidR="003B1B65">
        <w:rPr>
          <w:szCs w:val="24"/>
        </w:rPr>
        <w:t xml:space="preserve">recordkeeping and </w:t>
      </w:r>
      <w:r w:rsidRPr="00A8196B">
        <w:rPr>
          <w:szCs w:val="24"/>
        </w:rPr>
        <w:t>reporting activities. SNUN submitters are required to gather and submit information regarding the data elements identified in the applicable SNUN reporting form. The methodology and calculations assume that the employee responsible for collecting, filling out, and submitting the requested information has a reasonable level of familiarity with the company and knowledge of operations at the site. It is assumed that, for most entities, these tasks are similar to other employee duties that require familiarity with EPA, state, and other federal agency requests for chemical information and do not require additional familiarization or training beyond the basic rule familiarization described above.</w:t>
      </w:r>
    </w:p>
    <w:p w:rsidR="00702291" w:rsidRPr="00A8196B" w:rsidP="009B2563" w14:paraId="37B275ED" w14:textId="77777777">
      <w:pPr>
        <w:pStyle w:val="BodyText"/>
        <w:spacing w:after="200" w:line="276" w:lineRule="auto"/>
        <w:rPr>
          <w:b/>
          <w:color w:val="000000"/>
          <w:sz w:val="22"/>
        </w:rPr>
      </w:pPr>
      <w:r w:rsidRPr="00A8196B">
        <w:rPr>
          <w:rStyle w:val="BodyTextChar"/>
          <w:rFonts w:eastAsiaTheme="minorHAnsi"/>
          <w:spacing w:val="-2"/>
        </w:rPr>
        <w:t xml:space="preserve">Estimates of the burden of completing a SNUN form are based on the burden of completing a PMN submission, since the data requirements are the same and the same form is used for both. EPA has harmonized estimates of the reporting and recordkeeping burden related to the submission of both new and existing chemical SNUNs. The reporting and recordkeeping burden for Existing Chemical SNUNs is estimated to be </w:t>
      </w:r>
      <w:r w:rsidRPr="00A8196B">
        <w:t xml:space="preserve">91.68 </w:t>
      </w:r>
      <w:r w:rsidRPr="00A8196B">
        <w:rPr>
          <w:rStyle w:val="BodyTextChar"/>
          <w:rFonts w:eastAsiaTheme="minorHAnsi"/>
          <w:spacing w:val="-2"/>
        </w:rPr>
        <w:t xml:space="preserve">hours and is based on </w:t>
      </w:r>
      <w:r w:rsidRPr="00A8196B">
        <w:t xml:space="preserve">the 1994 </w:t>
      </w:r>
      <w:r w:rsidRPr="00A8196B">
        <w:rPr>
          <w:i/>
          <w:iCs/>
        </w:rPr>
        <w:t xml:space="preserve">Regulatory Impact Analysis of Amendments (RIA) to Regulations for TSCA Section 5 Premanufacture Notifications </w:t>
      </w:r>
      <w:r w:rsidRPr="00A8196B">
        <w:rPr>
          <w:iCs/>
        </w:rPr>
        <w:t xml:space="preserve">(EPA, 1994) and has been </w:t>
      </w:r>
      <w:r w:rsidRPr="00A8196B">
        <w:rPr>
          <w:rStyle w:val="BodyTextChar"/>
          <w:rFonts w:eastAsiaTheme="minorHAnsi"/>
        </w:rPr>
        <w:t xml:space="preserve">adjusted to reflect burden reductions resulting from the 2009 final PMN Electronic Reporting (ePMN) Rule that requires the electronic submission of all TSCA section 5 notices. Electronic submission of SNUN forms is expected to remove all clerical burden and reduce the recordkeeping burden associated with preparing and submitting a SNUN (EPA, 2009a). </w:t>
      </w:r>
      <w:r w:rsidRPr="00A8196B">
        <w:t>In addition, electronic submission is expected to generate an additional 0.18 hours of technical burden associated with the completion of the User Fee Payment Identification Number and email address data elements on the electronic SNUN form</w:t>
      </w:r>
      <w:r w:rsidRPr="00A8196B">
        <w:rPr>
          <w:b/>
          <w:color w:val="000000"/>
          <w:sz w:val="22"/>
        </w:rPr>
        <w:t>.</w:t>
      </w:r>
    </w:p>
    <w:p w:rsidR="00CA19A2" w:rsidRPr="00A8196B" w:rsidP="009B2563" w14:paraId="4F1CD28E" w14:textId="5462E528">
      <w:pPr>
        <w:pStyle w:val="BodyText"/>
        <w:spacing w:after="200" w:line="276" w:lineRule="auto"/>
        <w:rPr>
          <w:spacing w:val="-2"/>
        </w:rPr>
      </w:pPr>
      <w:r w:rsidRPr="00A8196B">
        <w:rPr>
          <w:u w:val="single"/>
        </w:rPr>
        <w:t>Alternative Options</w:t>
      </w:r>
    </w:p>
    <w:p w:rsidR="00CA19A2" w:rsidRPr="00A8196B" w:rsidP="004E6EE2" w14:paraId="18F77313" w14:textId="203B195F">
      <w:r w:rsidRPr="00A8196B">
        <w:t>Should a company choose to request an equivalency determination (i.e., the second option), or review for modification/revocation (i.e., the fourth option), EPA estimates that a data collection and preparation effort similar to that of a SNUN would be required, and thus the burden is estimated to range up to 91.68 hours for these alternatives, the same as for submitting a SNUN.</w:t>
      </w:r>
    </w:p>
    <w:p w:rsidR="00A7023B" w:rsidRPr="00A8196B" w:rsidP="009B2563" w14:paraId="0AF7F761" w14:textId="54764179">
      <w:r w:rsidRPr="00A8196B">
        <w:t xml:space="preserve">In complying with a SNUR, a company would incur costs to ensure all provisions of the SNUR were implemented at the subject facility (i.e., the third option). Since the nature of such provisions will vary depending on the significant new uses identified in each respective SNUR, estimating burden at this time is not possible. In addition to costs of implementation, firms choosing this option will have minor costs associated with </w:t>
      </w:r>
      <w:r w:rsidRPr="00A8196B">
        <w:rPr>
          <w:spacing w:val="-2"/>
        </w:rPr>
        <w:t xml:space="preserve">keeping records that document compliance with SNUR conditions for avoiding a Significant New Use. Such recordkeeping requirements may involve copying and filing relevant records, including those related to: category of use and marketing, and production volume. Records would typically be required to be maintained for five years from the date of their creation. </w:t>
      </w:r>
      <w:r w:rsidRPr="00A8196B">
        <w:t>Previous existing chemical SNUR ICRs have estimated</w:t>
      </w:r>
      <w:r w:rsidRPr="00A8196B">
        <w:rPr>
          <w:spacing w:val="-2"/>
        </w:rPr>
        <w:t xml:space="preserve"> recordkeeping requirements to be five percent of the reporting burden for a certain activity (EPA, 2009b). Per-activity burden is taken from </w:t>
      </w:r>
      <w:r w:rsidRPr="00A8196B">
        <w:t xml:space="preserve">the midpoint estimated burden of each section of the SNUN form (EPA, 1994). </w:t>
      </w:r>
      <w:r w:rsidRPr="00A8196B">
        <w:rPr>
          <w:spacing w:val="-2"/>
        </w:rPr>
        <w:t xml:space="preserve">The recordkeeping burden per significant new use is estimated to range from </w:t>
      </w:r>
      <w:r w:rsidRPr="00A8196B">
        <w:t>0.01 hours (0.25 * 0.05) for keeping records of trade names and chemical synonyms to 0.76 hours (15.25 * 0.05) for keeping records of sites controlled by others. The total recordkeeping burden per firm will depend on the significant new use(s) identified.</w:t>
      </w:r>
    </w:p>
    <w:p w:rsidR="00702291" w:rsidRPr="00A8196B" w:rsidP="009B2563" w14:paraId="47C68EF2" w14:textId="4AB488FC">
      <w:r w:rsidRPr="00A8196B">
        <w:t>The final alternative for a company considering a significant new use of a chemical that is subject to a SNUR is to forgo the new use (i.e., the fifth option). In carrying out such a response, the company would incur no direct regulatory burden or costs.</w:t>
      </w:r>
    </w:p>
    <w:p w:rsidR="00702291" w:rsidRPr="00A8196B" w:rsidP="009B2563" w14:paraId="2C2ACE19" w14:textId="01BB357B">
      <w:r w:rsidRPr="00A8196B">
        <w:rPr>
          <w:u w:val="single"/>
        </w:rPr>
        <w:t>Customer Notification</w:t>
      </w:r>
    </w:p>
    <w:p w:rsidR="00CA19A2" w:rsidRPr="00A8196B" w:rsidP="009B2563" w14:paraId="18386DD6" w14:textId="4E0F5733">
      <w:r w:rsidRPr="00A8196B">
        <w:t>Manufacturers (including importers) and processors of chemical substances subject to SNURs must notify recipients of such chemicals of the SNUR or verify that knowledge of the SNUR has been otherwise acquired by recipients, or that the recipients are unable to engage in significant new uses</w:t>
      </w:r>
      <w:r w:rsidRPr="00A8196B" w:rsidR="47D7FFA8">
        <w:t>, if they do not wish to submit a SNUN</w:t>
      </w:r>
      <w:r w:rsidRPr="00A8196B">
        <w:t xml:space="preserve">. Since it is not expected that all such entities will have complete knowledge of all uses of any </w:t>
      </w:r>
      <w:r w:rsidRPr="00A8196B" w:rsidR="2DF2964C">
        <w:t>chemicals</w:t>
      </w:r>
      <w:r w:rsidRPr="00A8196B">
        <w:t xml:space="preserve"> subject to a SNUR, and because filing a SNUN could require significantly more burden, it is assumed that manufacturers (including importers) and processors will most often choose to notify their customers of SNUR regulatory activities. As this notification may be accomplished by simply annotating a</w:t>
      </w:r>
      <w:r w:rsidRPr="00A8196B" w:rsidR="00723A57">
        <w:t xml:space="preserve"> Safety Data Sheet (</w:t>
      </w:r>
      <w:r w:rsidRPr="00A8196B">
        <w:t>SDS</w:t>
      </w:r>
      <w:r w:rsidRPr="00A8196B" w:rsidR="00723A57">
        <w:t>)</w:t>
      </w:r>
      <w:r w:rsidRPr="00A8196B">
        <w:t>, EPA estimates the associated burden to be about one hour of a technical employee's time per manufacturer or processor per chemical and three hours per manufacturer or processor per chemical formula. EPA estimates that each SNUR will cover approximately 4.33 chemicals and 0.83 chemical formulas. Furthermore, EPA assumes that there are two manufacturers (including importers) or processors per chemical.</w:t>
      </w:r>
      <w:r>
        <w:rPr>
          <w:rStyle w:val="FootnoteReference"/>
        </w:rPr>
        <w:footnoteReference w:id="4"/>
      </w:r>
      <w:r w:rsidRPr="00A8196B">
        <w:t xml:space="preserve"> Therefore, the </w:t>
      </w:r>
      <w:r w:rsidRPr="00A8196B" w:rsidR="00664325">
        <w:t xml:space="preserve">notification </w:t>
      </w:r>
      <w:r w:rsidRPr="00A8196B">
        <w:t>burden per SNUR is estimated to be 13.67 hours</w:t>
      </w:r>
      <w:r w:rsidRPr="00A8196B">
        <w:t xml:space="preserve"> </w:t>
      </w:r>
      <w:r w:rsidRPr="00A8196B">
        <w:t>per SNUR ([1.00 hours/chemical x 4.33 chemicals/SNUR x 2.00 manufacturers] + [3.00 hours/chemical x 0.83 chemical formulas/SNUR x 2.00 manufacturers] = 13.67 hours).</w:t>
      </w:r>
    </w:p>
    <w:p w:rsidR="00702291" w:rsidRPr="00A8196B" w:rsidP="009B2563" w14:paraId="09FB7527" w14:textId="5410B122">
      <w:pPr>
        <w:rPr>
          <w:u w:val="single"/>
        </w:rPr>
      </w:pPr>
      <w:r w:rsidRPr="00A8196B">
        <w:rPr>
          <w:u w:val="single"/>
        </w:rPr>
        <w:t>Summary of Unit Burdens</w:t>
      </w:r>
    </w:p>
    <w:p w:rsidR="00A7023B" w:rsidRPr="00A8196B" w:rsidP="009B2563" w14:paraId="2D5E3799" w14:textId="77777777">
      <w:r w:rsidRPr="00A8196B">
        <w:t>The following table summarizes the burden associated with the activities required under a SNUR, under compliance option 1.</w:t>
      </w:r>
    </w:p>
    <w:p w:rsidR="00CA19A2" w:rsidRPr="00A8196B" w:rsidP="008C16F4" w14:paraId="79DB40CA" w14:textId="593869E9">
      <w:pPr>
        <w:pStyle w:val="Caption"/>
      </w:pPr>
      <w:r w:rsidRPr="00A8196B">
        <w:t xml:space="preserve">Table </w:t>
      </w:r>
      <w:r w:rsidRPr="00A8196B">
        <w:rPr>
          <w:bCs/>
        </w:rPr>
        <w:fldChar w:fldCharType="begin"/>
      </w:r>
      <w:r w:rsidRPr="00A8196B">
        <w:rPr>
          <w:bCs/>
        </w:rPr>
        <w:instrText xml:space="preserve"> SEQ Table \* ARABIC </w:instrText>
      </w:r>
      <w:r w:rsidRPr="00A8196B">
        <w:rPr>
          <w:bCs/>
        </w:rPr>
        <w:fldChar w:fldCharType="separate"/>
      </w:r>
      <w:r w:rsidR="009B2ACE">
        <w:rPr>
          <w:bCs/>
          <w:noProof/>
        </w:rPr>
        <w:t>5</w:t>
      </w:r>
      <w:r w:rsidRPr="00A8196B">
        <w:rPr>
          <w:bCs/>
        </w:rPr>
        <w:fldChar w:fldCharType="end"/>
      </w:r>
      <w:r w:rsidRPr="00A8196B">
        <w:rPr>
          <w:bCs/>
        </w:rPr>
        <w:t>: Summary of Unit Burdens</w:t>
      </w:r>
    </w:p>
    <w:tbl>
      <w:tblPr>
        <w:tblStyle w:val="TableGrid"/>
        <w:tblW w:w="5000" w:type="pct"/>
        <w:tblLook w:val="04A0"/>
      </w:tblPr>
      <w:tblGrid>
        <w:gridCol w:w="7375"/>
        <w:gridCol w:w="1975"/>
      </w:tblGrid>
      <w:tr w14:paraId="2294B9D7" w14:textId="77777777" w:rsidTr="000975A6">
        <w:tblPrEx>
          <w:tblW w:w="5000" w:type="pct"/>
          <w:tblLook w:val="04A0"/>
        </w:tblPrEx>
        <w:tc>
          <w:tcPr>
            <w:tcW w:w="7375" w:type="dxa"/>
            <w:vAlign w:val="bottom"/>
          </w:tcPr>
          <w:p w:rsidR="00CA19A2" w:rsidRPr="00A8196B" w:rsidP="000975A6" w14:paraId="6B517D31" w14:textId="1ED83150">
            <w:pPr>
              <w:keepNext/>
              <w:spacing w:after="0" w:line="240" w:lineRule="auto"/>
              <w:rPr>
                <w:b/>
                <w:bCs/>
                <w:color w:val="000000"/>
                <w:sz w:val="22"/>
              </w:rPr>
            </w:pPr>
            <w:r w:rsidRPr="00A8196B">
              <w:rPr>
                <w:b/>
                <w:bCs/>
                <w:color w:val="000000"/>
                <w:sz w:val="22"/>
              </w:rPr>
              <w:t>Collection Activity</w:t>
            </w:r>
          </w:p>
        </w:tc>
        <w:tc>
          <w:tcPr>
            <w:tcW w:w="1975" w:type="dxa"/>
          </w:tcPr>
          <w:p w:rsidR="00CA19A2" w:rsidRPr="00A8196B" w:rsidP="000975A6" w14:paraId="303CABBA" w14:textId="77777777">
            <w:pPr>
              <w:keepNext/>
              <w:spacing w:after="0" w:line="240" w:lineRule="auto"/>
              <w:jc w:val="center"/>
              <w:rPr>
                <w:b/>
                <w:bCs/>
                <w:color w:val="000000"/>
                <w:sz w:val="22"/>
              </w:rPr>
            </w:pPr>
            <w:r w:rsidRPr="00A8196B">
              <w:rPr>
                <w:b/>
                <w:bCs/>
                <w:color w:val="000000"/>
                <w:sz w:val="22"/>
              </w:rPr>
              <w:t>Estimated Burden Hours</w:t>
            </w:r>
          </w:p>
        </w:tc>
      </w:tr>
      <w:tr w14:paraId="5512AAEC" w14:textId="77777777" w:rsidTr="000975A6">
        <w:tblPrEx>
          <w:tblW w:w="5000" w:type="pct"/>
          <w:tblLook w:val="04A0"/>
        </w:tblPrEx>
        <w:tc>
          <w:tcPr>
            <w:tcW w:w="7375" w:type="dxa"/>
          </w:tcPr>
          <w:p w:rsidR="00CA19A2" w:rsidRPr="00A8196B" w:rsidP="000975A6" w14:paraId="3EAA3A95" w14:textId="77777777">
            <w:pPr>
              <w:keepNext/>
              <w:spacing w:after="0" w:line="240" w:lineRule="auto"/>
              <w:rPr>
                <w:color w:val="000000"/>
                <w:sz w:val="22"/>
              </w:rPr>
            </w:pPr>
            <w:r w:rsidRPr="00A8196B">
              <w:rPr>
                <w:color w:val="000000"/>
                <w:sz w:val="22"/>
              </w:rPr>
              <w:t>Chemical verification (per SNUR)</w:t>
            </w:r>
          </w:p>
        </w:tc>
        <w:tc>
          <w:tcPr>
            <w:tcW w:w="1975" w:type="dxa"/>
          </w:tcPr>
          <w:p w:rsidR="00CA19A2" w:rsidRPr="00A8196B" w:rsidP="000975A6" w14:paraId="239638ED" w14:textId="77777777">
            <w:pPr>
              <w:keepNext/>
              <w:spacing w:after="0" w:line="240" w:lineRule="auto"/>
              <w:jc w:val="center"/>
              <w:rPr>
                <w:color w:val="000000"/>
                <w:sz w:val="22"/>
              </w:rPr>
            </w:pPr>
            <w:r w:rsidRPr="00A8196B">
              <w:rPr>
                <w:color w:val="000000"/>
                <w:sz w:val="22"/>
              </w:rPr>
              <w:t>1.14</w:t>
            </w:r>
          </w:p>
        </w:tc>
      </w:tr>
      <w:tr w14:paraId="6DAC3B7A" w14:textId="77777777" w:rsidTr="000975A6">
        <w:tblPrEx>
          <w:tblW w:w="5000" w:type="pct"/>
          <w:tblLook w:val="04A0"/>
        </w:tblPrEx>
        <w:tc>
          <w:tcPr>
            <w:tcW w:w="7375" w:type="dxa"/>
          </w:tcPr>
          <w:p w:rsidR="00CA19A2" w:rsidRPr="00A8196B" w:rsidP="000975A6" w14:paraId="4833FCDF" w14:textId="77777777">
            <w:pPr>
              <w:keepNext/>
              <w:spacing w:after="0" w:line="240" w:lineRule="auto"/>
              <w:rPr>
                <w:color w:val="000000"/>
                <w:sz w:val="22"/>
              </w:rPr>
            </w:pPr>
            <w:r w:rsidRPr="00A8196B">
              <w:rPr>
                <w:color w:val="000000"/>
                <w:sz w:val="22"/>
              </w:rPr>
              <w:t>Rule Familiarization (per company)</w:t>
            </w:r>
          </w:p>
        </w:tc>
        <w:tc>
          <w:tcPr>
            <w:tcW w:w="1975" w:type="dxa"/>
          </w:tcPr>
          <w:p w:rsidR="00CA19A2" w:rsidRPr="00A8196B" w:rsidP="000975A6" w14:paraId="0D78C863" w14:textId="77777777">
            <w:pPr>
              <w:keepNext/>
              <w:spacing w:after="0" w:line="240" w:lineRule="auto"/>
              <w:jc w:val="center"/>
              <w:rPr>
                <w:color w:val="000000"/>
                <w:sz w:val="22"/>
              </w:rPr>
            </w:pPr>
            <w:r w:rsidRPr="00A8196B">
              <w:rPr>
                <w:color w:val="000000"/>
                <w:sz w:val="22"/>
              </w:rPr>
              <w:t>0.82</w:t>
            </w:r>
          </w:p>
        </w:tc>
      </w:tr>
      <w:tr w14:paraId="473F75FA" w14:textId="77777777" w:rsidTr="000975A6">
        <w:tblPrEx>
          <w:tblW w:w="5000" w:type="pct"/>
          <w:tblLook w:val="04A0"/>
        </w:tblPrEx>
        <w:tc>
          <w:tcPr>
            <w:tcW w:w="7375" w:type="dxa"/>
          </w:tcPr>
          <w:p w:rsidR="00CA19A2" w:rsidRPr="00A8196B" w:rsidP="000975A6" w14:paraId="0372BC66" w14:textId="77777777">
            <w:pPr>
              <w:keepNext/>
              <w:spacing w:after="0" w:line="240" w:lineRule="auto"/>
              <w:rPr>
                <w:color w:val="000000"/>
                <w:sz w:val="22"/>
              </w:rPr>
            </w:pPr>
            <w:r w:rsidRPr="00A8196B">
              <w:rPr>
                <w:color w:val="000000"/>
                <w:sz w:val="22"/>
              </w:rPr>
              <w:t xml:space="preserve">CDX registration, electronic signature, and Pay.gov account set-up (per company) </w:t>
            </w:r>
          </w:p>
        </w:tc>
        <w:tc>
          <w:tcPr>
            <w:tcW w:w="1975" w:type="dxa"/>
          </w:tcPr>
          <w:p w:rsidR="00CA19A2" w:rsidRPr="00A8196B" w:rsidP="000975A6" w14:paraId="63B238F2" w14:textId="77777777">
            <w:pPr>
              <w:keepNext/>
              <w:spacing w:after="0" w:line="240" w:lineRule="auto"/>
              <w:jc w:val="center"/>
              <w:rPr>
                <w:color w:val="000000"/>
                <w:sz w:val="22"/>
              </w:rPr>
            </w:pPr>
            <w:r w:rsidRPr="00A8196B">
              <w:rPr>
                <w:color w:val="000000"/>
                <w:sz w:val="22"/>
              </w:rPr>
              <w:t>2.80</w:t>
            </w:r>
          </w:p>
        </w:tc>
      </w:tr>
      <w:tr w14:paraId="726140FA" w14:textId="77777777" w:rsidTr="000975A6">
        <w:tblPrEx>
          <w:tblW w:w="5000" w:type="pct"/>
          <w:tblLook w:val="04A0"/>
        </w:tblPrEx>
        <w:tc>
          <w:tcPr>
            <w:tcW w:w="7375" w:type="dxa"/>
          </w:tcPr>
          <w:p w:rsidR="00CA19A2" w:rsidRPr="00A8196B" w:rsidP="000975A6" w14:paraId="689DDE65" w14:textId="41B8BD55">
            <w:pPr>
              <w:keepNext/>
              <w:spacing w:after="0" w:line="240" w:lineRule="auto"/>
              <w:rPr>
                <w:color w:val="000000"/>
                <w:sz w:val="22"/>
              </w:rPr>
            </w:pPr>
            <w:r w:rsidRPr="00A8196B">
              <w:rPr>
                <w:color w:val="000000"/>
                <w:sz w:val="22"/>
              </w:rPr>
              <w:t>SNUN preparation</w:t>
            </w:r>
            <w:r w:rsidRPr="00A8196B" w:rsidR="00776B0D">
              <w:rPr>
                <w:color w:val="000000"/>
                <w:sz w:val="22"/>
              </w:rPr>
              <w:t>, submission, and recordkeeping</w:t>
            </w:r>
            <w:r w:rsidRPr="00A8196B">
              <w:rPr>
                <w:color w:val="000000"/>
                <w:sz w:val="22"/>
              </w:rPr>
              <w:t xml:space="preserve"> (per report)</w:t>
            </w:r>
          </w:p>
        </w:tc>
        <w:tc>
          <w:tcPr>
            <w:tcW w:w="1975" w:type="dxa"/>
          </w:tcPr>
          <w:p w:rsidR="00CA19A2" w:rsidRPr="00A8196B" w:rsidP="000975A6" w14:paraId="0B69BC16" w14:textId="77777777">
            <w:pPr>
              <w:keepNext/>
              <w:spacing w:after="0" w:line="240" w:lineRule="auto"/>
              <w:jc w:val="center"/>
              <w:rPr>
                <w:color w:val="000000"/>
                <w:sz w:val="22"/>
              </w:rPr>
            </w:pPr>
            <w:r w:rsidRPr="00A8196B">
              <w:rPr>
                <w:color w:val="000000"/>
                <w:sz w:val="22"/>
              </w:rPr>
              <w:t>91.68</w:t>
            </w:r>
          </w:p>
        </w:tc>
      </w:tr>
      <w:tr w14:paraId="1B3B584D" w14:textId="77777777" w:rsidTr="000975A6">
        <w:tblPrEx>
          <w:tblW w:w="5000" w:type="pct"/>
          <w:tblLook w:val="04A0"/>
        </w:tblPrEx>
        <w:tc>
          <w:tcPr>
            <w:tcW w:w="7375" w:type="dxa"/>
          </w:tcPr>
          <w:p w:rsidR="00CA19A2" w:rsidRPr="00A8196B" w:rsidP="000975A6" w14:paraId="18069E60" w14:textId="77777777">
            <w:pPr>
              <w:spacing w:after="0" w:line="240" w:lineRule="auto"/>
              <w:rPr>
                <w:color w:val="000000"/>
                <w:sz w:val="22"/>
              </w:rPr>
            </w:pPr>
            <w:r w:rsidRPr="00A8196B">
              <w:rPr>
                <w:color w:val="000000"/>
                <w:sz w:val="22"/>
              </w:rPr>
              <w:t>Notifying customers (per SNUR)</w:t>
            </w:r>
          </w:p>
        </w:tc>
        <w:tc>
          <w:tcPr>
            <w:tcW w:w="1975" w:type="dxa"/>
          </w:tcPr>
          <w:p w:rsidR="00CA19A2" w:rsidRPr="00A8196B" w:rsidP="000975A6" w14:paraId="50F67D8D" w14:textId="77777777">
            <w:pPr>
              <w:keepNext/>
              <w:spacing w:after="0" w:line="240" w:lineRule="auto"/>
              <w:jc w:val="center"/>
              <w:rPr>
                <w:color w:val="000000"/>
                <w:sz w:val="22"/>
              </w:rPr>
            </w:pPr>
            <w:r w:rsidRPr="00A8196B">
              <w:rPr>
                <w:color w:val="000000"/>
                <w:sz w:val="22"/>
              </w:rPr>
              <w:t>13.67</w:t>
            </w:r>
          </w:p>
        </w:tc>
      </w:tr>
    </w:tbl>
    <w:p w:rsidR="00CA19A2" w:rsidRPr="00A8196B" w:rsidP="000975A6" w14:paraId="6716FC9A" w14:textId="42605D4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40" w:lineRule="auto"/>
        <w:ind w:right="576"/>
        <w:rPr>
          <w:rFonts w:cs="Arial"/>
        </w:rPr>
      </w:pPr>
      <w:r w:rsidRPr="00A8196B">
        <w:rPr>
          <w:rFonts w:cs="Arial"/>
          <w:b/>
        </w:rPr>
        <w:tab/>
      </w:r>
      <w:r w:rsidRPr="00A8196B">
        <w:rPr>
          <w:rFonts w:cs="Arial"/>
          <w:b/>
        </w:rPr>
        <w:t>Estimating Respondent Costs</w:t>
      </w:r>
    </w:p>
    <w:p w:rsidR="00CA19A2" w:rsidRPr="00A8196B" w:rsidP="000975A6" w14:paraId="3A6F5AD4" w14:textId="77777777">
      <w:r w:rsidRPr="00A8196B">
        <w:t>The unit costs of filing a SNUN are estimated by monetizing the labor time spent preparing the SNUN and then adding any fixed costs associated with filing a SNUN. This section derives these unit costs.</w:t>
      </w:r>
    </w:p>
    <w:p w:rsidR="00702291" w:rsidRPr="00A8196B" w:rsidP="009B2563" w14:paraId="6662F1CD" w14:textId="77A5EDF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rFonts w:cs="Arial"/>
          <w:u w:val="single"/>
        </w:rPr>
      </w:pPr>
      <w:r w:rsidRPr="00A8196B">
        <w:rPr>
          <w:rFonts w:cs="Arial"/>
          <w:u w:val="single"/>
        </w:rPr>
        <w:t>Wages</w:t>
      </w:r>
    </w:p>
    <w:p w:rsidR="00A7023B" w:rsidRPr="00A8196B" w:rsidP="000975A6" w14:paraId="330DFB24" w14:textId="77777777">
      <w:r w:rsidRPr="00A8196B">
        <w:t xml:space="preserve">Wage and fringe benefit data for each labor category (e.g., managerial, professional/technical, and clerical labor) are taken from the U.S. Bureau of Labor Statistics (BLS) Employer Costs for Employee Compensation (ECEC) Supplementary Tables (BLS 2021a). In the BLS report, wages are represented by the “wages and salaries” cost component and fringe benefits are represented by “total benefits” </w:t>
      </w:r>
      <w:r w:rsidRPr="00A8196B" w:rsidR="00831525">
        <w:t>(Attachment 7).</w:t>
      </w:r>
    </w:p>
    <w:p w:rsidR="00793758" w:rsidRPr="00A8196B" w:rsidP="000975A6" w14:paraId="5CC7A253" w14:textId="739194FF">
      <w:r w:rsidRPr="00A8196B">
        <w:t>Overhead costs are assumed to equal 20% of the sum of wages plus fringe benefits. This loading factor is described in Handbook on Valuing Changes in Time Use Induced by Regulatory Requirements and Other U.S. EPA Actions (EPA 2020d) and is reflective of multiplier values used in prior EPA RIAs and ICRs that are based on industry- and occupation-specific overhead rates affected by EPA regulations. This overhead loading factor is multiplied by the total compensation (wages plus fringe benefits). For example, the June 2021 fully loaded wage for professional/technical labor is ($45.59 + $22.80) * 1.2 = $82.06. Fully loaded costs for managerial and clerical labor are calculated in a similar manner. The calculated overhead costs (20% of the total compensation) are shown in Table 6 as well as the total hourly loaded wages.</w:t>
      </w:r>
    </w:p>
    <w:p w:rsidR="00CA19A2" w:rsidRPr="00A8196B" w:rsidP="009514FE" w14:paraId="1561FF7F" w14:textId="546F6E49">
      <w:pPr>
        <w:spacing w:after="160" w:line="259" w:lineRule="auto"/>
        <w:rPr>
          <w:b/>
          <w:szCs w:val="24"/>
        </w:rPr>
      </w:pPr>
      <w:bookmarkStart w:id="20" w:name="_Ref424061397"/>
      <w:r w:rsidRPr="00A8196B">
        <w:rPr>
          <w:b/>
        </w:rPr>
        <w:t xml:space="preserve">Table </w:t>
      </w:r>
      <w:r w:rsidRPr="00A8196B">
        <w:rPr>
          <w:b/>
          <w:szCs w:val="24"/>
        </w:rPr>
        <w:fldChar w:fldCharType="begin"/>
      </w:r>
      <w:r w:rsidRPr="00A8196B">
        <w:rPr>
          <w:b/>
          <w:szCs w:val="24"/>
        </w:rPr>
        <w:instrText xml:space="preserve"> SEQ Table \* ARABIC </w:instrText>
      </w:r>
      <w:r w:rsidRPr="00A8196B">
        <w:rPr>
          <w:b/>
          <w:szCs w:val="24"/>
        </w:rPr>
        <w:fldChar w:fldCharType="separate"/>
      </w:r>
      <w:r w:rsidR="009B2ACE">
        <w:rPr>
          <w:b/>
          <w:noProof/>
          <w:szCs w:val="24"/>
        </w:rPr>
        <w:t>6</w:t>
      </w:r>
      <w:r w:rsidRPr="00A8196B">
        <w:rPr>
          <w:b/>
          <w:szCs w:val="24"/>
        </w:rPr>
        <w:fldChar w:fldCharType="end"/>
      </w:r>
      <w:bookmarkEnd w:id="20"/>
      <w:r w:rsidRPr="00A8196B">
        <w:rPr>
          <w:b/>
          <w:szCs w:val="24"/>
        </w:rPr>
        <w:t>: Derivation of Loaded Wage Rates for the Private Manufacturing Sector in 20</w:t>
      </w:r>
      <w:r w:rsidRPr="00A8196B" w:rsidR="005C38FD">
        <w:rPr>
          <w:b/>
          <w:szCs w:val="24"/>
        </w:rPr>
        <w:t>21</w:t>
      </w:r>
      <w:r w:rsidRPr="00A8196B">
        <w:rPr>
          <w:b/>
          <w:szCs w:val="24"/>
        </w:rPr>
        <w:t xml:space="preserve">$ </w:t>
      </w:r>
    </w:p>
    <w:tbl>
      <w:tblPr>
        <w:tblW w:w="0" w:type="auto"/>
        <w:tblLayout w:type="fixed"/>
        <w:tblLook w:val="04A0"/>
      </w:tblPr>
      <w:tblGrid>
        <w:gridCol w:w="1790"/>
        <w:gridCol w:w="371"/>
        <w:gridCol w:w="259"/>
        <w:gridCol w:w="332"/>
        <w:gridCol w:w="658"/>
        <w:gridCol w:w="201"/>
        <w:gridCol w:w="609"/>
        <w:gridCol w:w="192"/>
        <w:gridCol w:w="1158"/>
        <w:gridCol w:w="257"/>
        <w:gridCol w:w="1183"/>
        <w:gridCol w:w="301"/>
        <w:gridCol w:w="959"/>
        <w:gridCol w:w="217"/>
        <w:gridCol w:w="853"/>
      </w:tblGrid>
      <w:tr w14:paraId="1DB021AB" w14:textId="77777777" w:rsidTr="009514FE">
        <w:tblPrEx>
          <w:tblW w:w="0" w:type="auto"/>
          <w:tblLayout w:type="fixed"/>
          <w:tblLook w:val="04A0"/>
        </w:tblPrEx>
        <w:trPr>
          <w:trHeight w:val="673"/>
        </w:trPr>
        <w:tc>
          <w:tcPr>
            <w:tcW w:w="216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165578A1" w14:textId="6D6050E6">
            <w:pPr>
              <w:spacing w:after="0" w:line="240" w:lineRule="auto"/>
              <w:jc w:val="center"/>
              <w:rPr>
                <w:b/>
                <w:color w:val="000000"/>
                <w:sz w:val="16"/>
                <w:szCs w:val="18"/>
              </w:rPr>
            </w:pPr>
            <w:r w:rsidRPr="00A8196B">
              <w:rPr>
                <w:b/>
                <w:bCs/>
                <w:color w:val="000000"/>
                <w:sz w:val="16"/>
                <w:szCs w:val="18"/>
              </w:rPr>
              <w:t>Labor Category/</w:t>
            </w:r>
            <w:r w:rsidRPr="00A8196B">
              <w:rPr>
                <w:b/>
                <w:bCs/>
                <w:color w:val="000000"/>
                <w:sz w:val="16"/>
                <w:szCs w:val="18"/>
              </w:rPr>
              <w:br/>
              <w:t>Data Series</w:t>
            </w:r>
            <w:r w:rsidRPr="00A8196B">
              <w:rPr>
                <w:b/>
                <w:bCs/>
                <w:color w:val="000000"/>
                <w:sz w:val="16"/>
                <w:szCs w:val="18"/>
                <w:vertAlign w:val="superscript"/>
              </w:rPr>
              <w:t>a</w:t>
            </w:r>
          </w:p>
        </w:tc>
        <w:tc>
          <w:tcPr>
            <w:tcW w:w="59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68016811" w14:textId="77777777">
            <w:pPr>
              <w:spacing w:after="0" w:line="240" w:lineRule="auto"/>
              <w:jc w:val="center"/>
              <w:rPr>
                <w:b/>
                <w:color w:val="000000"/>
                <w:sz w:val="16"/>
                <w:szCs w:val="18"/>
              </w:rPr>
            </w:pPr>
            <w:r w:rsidRPr="00A8196B">
              <w:rPr>
                <w:b/>
                <w:color w:val="000000"/>
                <w:sz w:val="16"/>
                <w:szCs w:val="18"/>
              </w:rPr>
              <w:t>Date</w:t>
            </w:r>
          </w:p>
        </w:tc>
        <w:tc>
          <w:tcPr>
            <w:tcW w:w="85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19023B21" w14:textId="77777777">
            <w:pPr>
              <w:spacing w:after="0" w:line="240" w:lineRule="auto"/>
              <w:jc w:val="center"/>
              <w:rPr>
                <w:b/>
                <w:color w:val="000000"/>
                <w:sz w:val="16"/>
                <w:szCs w:val="18"/>
              </w:rPr>
            </w:pPr>
            <w:r w:rsidRPr="00A8196B">
              <w:rPr>
                <w:b/>
                <w:color w:val="000000"/>
                <w:sz w:val="16"/>
                <w:szCs w:val="18"/>
              </w:rPr>
              <w:t>Wage ($/hour)</w:t>
            </w:r>
          </w:p>
        </w:tc>
        <w:tc>
          <w:tcPr>
            <w:tcW w:w="80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05A32A7F" w14:textId="77777777">
            <w:pPr>
              <w:spacing w:after="0" w:line="240" w:lineRule="auto"/>
              <w:jc w:val="center"/>
              <w:rPr>
                <w:b/>
                <w:color w:val="000000"/>
                <w:sz w:val="16"/>
                <w:szCs w:val="18"/>
              </w:rPr>
            </w:pPr>
            <w:r w:rsidRPr="00A8196B">
              <w:rPr>
                <w:b/>
                <w:color w:val="000000"/>
                <w:sz w:val="16"/>
                <w:szCs w:val="18"/>
              </w:rPr>
              <w:t>Fringe Benefit</w:t>
            </w:r>
          </w:p>
        </w:tc>
        <w:tc>
          <w:tcPr>
            <w:tcW w:w="141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5FA204E1" w14:textId="77777777">
            <w:pPr>
              <w:spacing w:after="0" w:line="240" w:lineRule="auto"/>
              <w:jc w:val="center"/>
              <w:rPr>
                <w:b/>
                <w:color w:val="000000"/>
                <w:sz w:val="16"/>
                <w:szCs w:val="18"/>
              </w:rPr>
            </w:pPr>
            <w:r w:rsidRPr="00A8196B">
              <w:rPr>
                <w:b/>
                <w:color w:val="000000"/>
                <w:sz w:val="16"/>
                <w:szCs w:val="18"/>
              </w:rPr>
              <w:t>Total Compensation</w:t>
            </w:r>
          </w:p>
        </w:tc>
        <w:tc>
          <w:tcPr>
            <w:tcW w:w="148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65A21529" w14:textId="77777777">
            <w:pPr>
              <w:spacing w:after="0" w:line="240" w:lineRule="auto"/>
              <w:jc w:val="center"/>
              <w:rPr>
                <w:b/>
                <w:color w:val="000000"/>
                <w:sz w:val="16"/>
                <w:szCs w:val="18"/>
              </w:rPr>
            </w:pPr>
            <w:r w:rsidRPr="00A8196B">
              <w:rPr>
                <w:b/>
                <w:color w:val="000000"/>
                <w:sz w:val="16"/>
                <w:szCs w:val="18"/>
              </w:rPr>
              <w:t>Overhead as % of Total Compensation</w:t>
            </w:r>
            <w:r w:rsidRPr="00A8196B">
              <w:rPr>
                <w:b/>
                <w:color w:val="000000"/>
                <w:sz w:val="16"/>
                <w:szCs w:val="18"/>
                <w:vertAlign w:val="superscript"/>
              </w:rPr>
              <w:t>b</w:t>
            </w:r>
          </w:p>
        </w:tc>
        <w:tc>
          <w:tcPr>
            <w:tcW w:w="117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1612B58A" w14:textId="77777777">
            <w:pPr>
              <w:spacing w:after="0" w:line="240" w:lineRule="auto"/>
              <w:jc w:val="center"/>
              <w:rPr>
                <w:b/>
                <w:color w:val="000000"/>
                <w:sz w:val="16"/>
                <w:szCs w:val="18"/>
              </w:rPr>
            </w:pPr>
            <w:r w:rsidRPr="00A8196B">
              <w:rPr>
                <w:b/>
                <w:color w:val="000000"/>
                <w:sz w:val="16"/>
                <w:szCs w:val="18"/>
              </w:rPr>
              <w:t>Overhead</w:t>
            </w:r>
          </w:p>
        </w:tc>
        <w:tc>
          <w:tcPr>
            <w:tcW w:w="85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C38FD" w:rsidRPr="00A8196B" w:rsidP="005C38FD" w14:paraId="66CB3B55" w14:textId="77777777">
            <w:pPr>
              <w:spacing w:after="0" w:line="240" w:lineRule="auto"/>
              <w:jc w:val="center"/>
              <w:rPr>
                <w:b/>
                <w:color w:val="000000"/>
                <w:sz w:val="16"/>
                <w:szCs w:val="18"/>
              </w:rPr>
            </w:pPr>
            <w:r w:rsidRPr="00A8196B">
              <w:rPr>
                <w:b/>
                <w:color w:val="000000"/>
                <w:sz w:val="16"/>
                <w:szCs w:val="18"/>
              </w:rPr>
              <w:t>Hourly Loaded Wages</w:t>
            </w:r>
            <w:r w:rsidRPr="00A8196B">
              <w:rPr>
                <w:b/>
                <w:color w:val="000000"/>
                <w:sz w:val="16"/>
                <w:szCs w:val="18"/>
                <w:vertAlign w:val="superscript"/>
              </w:rPr>
              <w:t>c</w:t>
            </w:r>
          </w:p>
        </w:tc>
      </w:tr>
      <w:tr w14:paraId="2A53FA99" w14:textId="77777777" w:rsidTr="009514FE">
        <w:tblPrEx>
          <w:tblW w:w="0" w:type="auto"/>
          <w:tblLayout w:type="fixed"/>
          <w:tblLook w:val="04A0"/>
        </w:tblPrEx>
        <w:trPr>
          <w:trHeight w:val="223"/>
        </w:trPr>
        <w:tc>
          <w:tcPr>
            <w:tcW w:w="2161" w:type="dxa"/>
            <w:gridSpan w:val="2"/>
            <w:vMerge/>
            <w:tcBorders>
              <w:top w:val="single" w:sz="4" w:space="0" w:color="auto"/>
              <w:left w:val="single" w:sz="8" w:space="0" w:color="auto"/>
              <w:bottom w:val="single" w:sz="8" w:space="0" w:color="000000"/>
              <w:right w:val="single" w:sz="8" w:space="0" w:color="auto"/>
            </w:tcBorders>
            <w:vAlign w:val="center"/>
            <w:hideMark/>
          </w:tcPr>
          <w:p w:rsidR="005C38FD" w:rsidRPr="00A8196B" w:rsidP="003F6301" w14:paraId="22222B90" w14:textId="77777777">
            <w:pPr>
              <w:spacing w:after="0" w:line="240" w:lineRule="auto"/>
              <w:jc w:val="center"/>
              <w:rPr>
                <w:b/>
                <w:color w:val="000000"/>
                <w:sz w:val="16"/>
                <w:szCs w:val="18"/>
              </w:rPr>
            </w:pPr>
          </w:p>
        </w:tc>
        <w:tc>
          <w:tcPr>
            <w:tcW w:w="591" w:type="dxa"/>
            <w:gridSpan w:val="2"/>
            <w:vMerge/>
            <w:tcBorders>
              <w:top w:val="single" w:sz="4" w:space="0" w:color="auto"/>
              <w:left w:val="single" w:sz="8" w:space="0" w:color="auto"/>
              <w:bottom w:val="single" w:sz="8" w:space="0" w:color="000000"/>
              <w:right w:val="single" w:sz="8" w:space="0" w:color="auto"/>
            </w:tcBorders>
            <w:vAlign w:val="center"/>
            <w:hideMark/>
          </w:tcPr>
          <w:p w:rsidR="005C38FD" w:rsidRPr="00A8196B" w:rsidP="003F6301" w14:paraId="13EDF3D4" w14:textId="77777777">
            <w:pPr>
              <w:spacing w:after="0" w:line="240" w:lineRule="auto"/>
              <w:jc w:val="center"/>
              <w:rPr>
                <w:b/>
                <w:color w:val="000000"/>
                <w:sz w:val="16"/>
                <w:szCs w:val="18"/>
              </w:rPr>
            </w:pPr>
          </w:p>
        </w:tc>
        <w:tc>
          <w:tcPr>
            <w:tcW w:w="859" w:type="dxa"/>
            <w:gridSpan w:val="2"/>
            <w:tcBorders>
              <w:top w:val="single" w:sz="4" w:space="0" w:color="auto"/>
              <w:left w:val="nil"/>
              <w:bottom w:val="single" w:sz="8" w:space="0" w:color="auto"/>
              <w:right w:val="single" w:sz="8" w:space="0" w:color="auto"/>
            </w:tcBorders>
            <w:shd w:val="clear" w:color="000000" w:fill="D9D9D9"/>
            <w:vAlign w:val="center"/>
            <w:hideMark/>
          </w:tcPr>
          <w:p w:rsidR="005C38FD" w:rsidRPr="00A8196B" w:rsidP="005C38FD" w14:paraId="2AAFCE8E" w14:textId="77777777">
            <w:pPr>
              <w:spacing w:after="0" w:line="240" w:lineRule="auto"/>
              <w:jc w:val="center"/>
              <w:rPr>
                <w:b/>
                <w:i/>
                <w:color w:val="000000"/>
                <w:sz w:val="16"/>
                <w:szCs w:val="18"/>
              </w:rPr>
            </w:pPr>
            <w:r w:rsidRPr="00A8196B">
              <w:rPr>
                <w:b/>
                <w:i/>
                <w:color w:val="000000"/>
                <w:sz w:val="16"/>
                <w:szCs w:val="18"/>
              </w:rPr>
              <w:t>(a)</w:t>
            </w:r>
          </w:p>
        </w:tc>
        <w:tc>
          <w:tcPr>
            <w:tcW w:w="801" w:type="dxa"/>
            <w:gridSpan w:val="2"/>
            <w:tcBorders>
              <w:top w:val="single" w:sz="4" w:space="0" w:color="auto"/>
              <w:left w:val="nil"/>
              <w:bottom w:val="single" w:sz="8" w:space="0" w:color="auto"/>
              <w:right w:val="single" w:sz="8" w:space="0" w:color="auto"/>
            </w:tcBorders>
            <w:shd w:val="clear" w:color="000000" w:fill="D9D9D9"/>
            <w:vAlign w:val="center"/>
            <w:hideMark/>
          </w:tcPr>
          <w:p w:rsidR="005C38FD" w:rsidRPr="00A8196B" w:rsidP="005C38FD" w14:paraId="3593DC74" w14:textId="77777777">
            <w:pPr>
              <w:spacing w:after="0" w:line="240" w:lineRule="auto"/>
              <w:jc w:val="center"/>
              <w:rPr>
                <w:b/>
                <w:i/>
                <w:color w:val="000000"/>
                <w:sz w:val="16"/>
                <w:szCs w:val="18"/>
              </w:rPr>
            </w:pPr>
            <w:r w:rsidRPr="00A8196B">
              <w:rPr>
                <w:b/>
                <w:i/>
                <w:color w:val="000000"/>
                <w:sz w:val="16"/>
                <w:szCs w:val="18"/>
              </w:rPr>
              <w:t>(b)</w:t>
            </w:r>
          </w:p>
        </w:tc>
        <w:tc>
          <w:tcPr>
            <w:tcW w:w="1415" w:type="dxa"/>
            <w:gridSpan w:val="2"/>
            <w:tcBorders>
              <w:top w:val="single" w:sz="4" w:space="0" w:color="auto"/>
              <w:left w:val="nil"/>
              <w:bottom w:val="single" w:sz="8" w:space="0" w:color="auto"/>
              <w:right w:val="single" w:sz="8" w:space="0" w:color="auto"/>
            </w:tcBorders>
            <w:shd w:val="clear" w:color="000000" w:fill="D9D9D9"/>
            <w:vAlign w:val="center"/>
            <w:hideMark/>
          </w:tcPr>
          <w:p w:rsidR="005C38FD" w:rsidRPr="00A8196B" w:rsidP="005C38FD" w14:paraId="047D10D5" w14:textId="77777777">
            <w:pPr>
              <w:spacing w:after="0" w:line="240" w:lineRule="auto"/>
              <w:jc w:val="center"/>
              <w:rPr>
                <w:b/>
                <w:i/>
                <w:color w:val="000000"/>
                <w:sz w:val="16"/>
                <w:szCs w:val="18"/>
              </w:rPr>
            </w:pPr>
            <w:r w:rsidRPr="00A8196B">
              <w:rPr>
                <w:b/>
                <w:i/>
                <w:color w:val="000000"/>
                <w:sz w:val="16"/>
                <w:szCs w:val="18"/>
              </w:rPr>
              <w:t>(c) =(b)+(a)</w:t>
            </w:r>
          </w:p>
        </w:tc>
        <w:tc>
          <w:tcPr>
            <w:tcW w:w="1484" w:type="dxa"/>
            <w:gridSpan w:val="2"/>
            <w:tcBorders>
              <w:top w:val="single" w:sz="4" w:space="0" w:color="auto"/>
              <w:left w:val="nil"/>
              <w:bottom w:val="single" w:sz="8" w:space="0" w:color="auto"/>
              <w:right w:val="single" w:sz="8" w:space="0" w:color="auto"/>
            </w:tcBorders>
            <w:shd w:val="clear" w:color="000000" w:fill="D9D9D9"/>
            <w:vAlign w:val="center"/>
            <w:hideMark/>
          </w:tcPr>
          <w:p w:rsidR="005C38FD" w:rsidRPr="00A8196B" w:rsidP="005C38FD" w14:paraId="4CFB61D1" w14:textId="77777777">
            <w:pPr>
              <w:spacing w:after="0" w:line="240" w:lineRule="auto"/>
              <w:jc w:val="center"/>
              <w:rPr>
                <w:b/>
                <w:i/>
                <w:color w:val="000000"/>
                <w:sz w:val="16"/>
                <w:szCs w:val="18"/>
              </w:rPr>
            </w:pPr>
            <w:r w:rsidRPr="00A8196B">
              <w:rPr>
                <w:b/>
                <w:i/>
                <w:color w:val="000000"/>
                <w:sz w:val="16"/>
                <w:szCs w:val="18"/>
              </w:rPr>
              <w:t>(d)</w:t>
            </w:r>
          </w:p>
        </w:tc>
        <w:tc>
          <w:tcPr>
            <w:tcW w:w="1176" w:type="dxa"/>
            <w:gridSpan w:val="2"/>
            <w:tcBorders>
              <w:top w:val="single" w:sz="4" w:space="0" w:color="auto"/>
              <w:left w:val="nil"/>
              <w:bottom w:val="single" w:sz="8" w:space="0" w:color="auto"/>
              <w:right w:val="single" w:sz="8" w:space="0" w:color="auto"/>
            </w:tcBorders>
            <w:shd w:val="clear" w:color="000000" w:fill="D9D9D9"/>
            <w:vAlign w:val="center"/>
            <w:hideMark/>
          </w:tcPr>
          <w:p w:rsidR="005C38FD" w:rsidRPr="00A8196B" w:rsidP="005C38FD" w14:paraId="62E46FBB" w14:textId="77777777">
            <w:pPr>
              <w:spacing w:after="0" w:line="240" w:lineRule="auto"/>
              <w:jc w:val="center"/>
              <w:rPr>
                <w:b/>
                <w:i/>
                <w:color w:val="000000"/>
                <w:sz w:val="16"/>
                <w:szCs w:val="18"/>
              </w:rPr>
            </w:pPr>
            <w:r w:rsidRPr="00A8196B">
              <w:rPr>
                <w:b/>
                <w:i/>
                <w:color w:val="000000"/>
                <w:sz w:val="16"/>
                <w:szCs w:val="18"/>
              </w:rPr>
              <w:t>(e)=(c)*(d)</w:t>
            </w:r>
          </w:p>
        </w:tc>
        <w:tc>
          <w:tcPr>
            <w:tcW w:w="853" w:type="dxa"/>
            <w:tcBorders>
              <w:top w:val="single" w:sz="4" w:space="0" w:color="auto"/>
              <w:left w:val="nil"/>
              <w:bottom w:val="single" w:sz="8" w:space="0" w:color="auto"/>
              <w:right w:val="single" w:sz="8" w:space="0" w:color="auto"/>
            </w:tcBorders>
            <w:shd w:val="clear" w:color="000000" w:fill="D9D9D9"/>
            <w:vAlign w:val="center"/>
            <w:hideMark/>
          </w:tcPr>
          <w:p w:rsidR="005C38FD" w:rsidRPr="00A8196B" w:rsidP="005C38FD" w14:paraId="709F4CD8" w14:textId="77777777">
            <w:pPr>
              <w:spacing w:after="0" w:line="240" w:lineRule="auto"/>
              <w:jc w:val="center"/>
              <w:rPr>
                <w:b/>
                <w:i/>
                <w:color w:val="000000"/>
                <w:sz w:val="16"/>
                <w:szCs w:val="18"/>
              </w:rPr>
            </w:pPr>
            <w:r w:rsidRPr="00A8196B">
              <w:rPr>
                <w:b/>
                <w:i/>
                <w:color w:val="000000"/>
                <w:sz w:val="16"/>
                <w:szCs w:val="18"/>
              </w:rPr>
              <w:t>(f)=(c)+(e)</w:t>
            </w:r>
          </w:p>
        </w:tc>
      </w:tr>
      <w:tr w14:paraId="17151974"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340" w:type="dxa"/>
            <w:gridSpan w:val="15"/>
            <w:shd w:val="clear" w:color="auto" w:fill="D9D9D9" w:themeFill="background1" w:themeFillShade="D9"/>
          </w:tcPr>
          <w:p w:rsidR="003F6301" w:rsidRPr="00A8196B" w:rsidP="003F6301" w14:paraId="6DD4C84D" w14:textId="085DC507">
            <w:pPr>
              <w:spacing w:after="0" w:line="240" w:lineRule="auto"/>
              <w:rPr>
                <w:color w:val="000000"/>
                <w:sz w:val="16"/>
                <w:szCs w:val="18"/>
              </w:rPr>
            </w:pPr>
            <w:r w:rsidRPr="00A8196B">
              <w:rPr>
                <w:color w:val="000000"/>
                <w:sz w:val="16"/>
                <w:szCs w:val="18"/>
              </w:rPr>
              <w:t>Managerial</w:t>
            </w:r>
          </w:p>
        </w:tc>
      </w:tr>
      <w:tr w14:paraId="5F106337"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1790" w:type="dxa"/>
            <w:shd w:val="clear" w:color="auto" w:fill="auto"/>
          </w:tcPr>
          <w:p w:rsidR="005C38FD" w:rsidRPr="00A8196B" w:rsidP="005C38FD" w14:paraId="05E8AFC6" w14:textId="77777777">
            <w:pPr>
              <w:spacing w:after="0" w:line="240" w:lineRule="auto"/>
              <w:rPr>
                <w:color w:val="000000"/>
                <w:sz w:val="16"/>
                <w:szCs w:val="18"/>
              </w:rPr>
            </w:pPr>
            <w:r w:rsidRPr="00A8196B">
              <w:rPr>
                <w:color w:val="000000"/>
                <w:sz w:val="16"/>
                <w:szCs w:val="18"/>
              </w:rPr>
              <w:t>BLS ECEC, Private Manufacturing industries, “Mgt, Business, and Financial”</w:t>
            </w:r>
          </w:p>
        </w:tc>
        <w:tc>
          <w:tcPr>
            <w:tcW w:w="630" w:type="dxa"/>
            <w:gridSpan w:val="2"/>
            <w:shd w:val="clear" w:color="auto" w:fill="auto"/>
            <w:hideMark/>
          </w:tcPr>
          <w:p w:rsidR="005C38FD" w:rsidRPr="00A8196B" w:rsidP="005C38FD" w14:paraId="4AAC04B0" w14:textId="235D230A">
            <w:pPr>
              <w:spacing w:after="0" w:line="240" w:lineRule="auto"/>
              <w:rPr>
                <w:color w:val="000000"/>
                <w:sz w:val="16"/>
                <w:szCs w:val="18"/>
              </w:rPr>
            </w:pPr>
            <w:r w:rsidRPr="00A8196B">
              <w:rPr>
                <w:color w:val="000000"/>
                <w:sz w:val="16"/>
                <w:szCs w:val="18"/>
              </w:rPr>
              <w:t>Jun-21</w:t>
            </w:r>
          </w:p>
        </w:tc>
        <w:tc>
          <w:tcPr>
            <w:tcW w:w="990" w:type="dxa"/>
            <w:gridSpan w:val="2"/>
            <w:shd w:val="clear" w:color="auto" w:fill="auto"/>
            <w:noWrap/>
            <w:hideMark/>
          </w:tcPr>
          <w:p w:rsidR="005C38FD" w:rsidRPr="00A8196B" w:rsidP="005C38FD" w14:paraId="443CB1E6" w14:textId="33F5E9F8">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54.68</w:t>
            </w:r>
          </w:p>
        </w:tc>
        <w:tc>
          <w:tcPr>
            <w:tcW w:w="810" w:type="dxa"/>
            <w:gridSpan w:val="2"/>
            <w:shd w:val="clear" w:color="auto" w:fill="auto"/>
            <w:noWrap/>
            <w:hideMark/>
          </w:tcPr>
          <w:p w:rsidR="005C38FD" w:rsidRPr="00A8196B" w:rsidP="005C38FD" w14:paraId="678195DA" w14:textId="7C1D8C3B">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24.83</w:t>
            </w:r>
          </w:p>
        </w:tc>
        <w:tc>
          <w:tcPr>
            <w:tcW w:w="1350" w:type="dxa"/>
            <w:gridSpan w:val="2"/>
            <w:shd w:val="clear" w:color="auto" w:fill="auto"/>
            <w:hideMark/>
          </w:tcPr>
          <w:p w:rsidR="005C38FD" w:rsidRPr="00A8196B" w:rsidP="005C38FD" w14:paraId="715EA91B" w14:textId="1499BC08">
            <w:pPr>
              <w:spacing w:after="0" w:line="240" w:lineRule="auto"/>
              <w:jc w:val="center"/>
              <w:rPr>
                <w:color w:val="000000"/>
                <w:sz w:val="16"/>
                <w:szCs w:val="18"/>
              </w:rPr>
            </w:pPr>
            <w:r w:rsidRPr="00A8196B">
              <w:rPr>
                <w:color w:val="000000"/>
                <w:sz w:val="16"/>
                <w:szCs w:val="18"/>
              </w:rPr>
              <w:t>$7</w:t>
            </w:r>
            <w:r w:rsidRPr="00A8196B" w:rsidR="00876F39">
              <w:rPr>
                <w:color w:val="000000"/>
                <w:sz w:val="16"/>
                <w:szCs w:val="18"/>
              </w:rPr>
              <w:t>9.51</w:t>
            </w:r>
            <w:r w:rsidRPr="00A8196B">
              <w:rPr>
                <w:color w:val="000000"/>
                <w:sz w:val="16"/>
                <w:szCs w:val="18"/>
              </w:rPr>
              <w:t xml:space="preserve"> </w:t>
            </w:r>
          </w:p>
        </w:tc>
        <w:tc>
          <w:tcPr>
            <w:tcW w:w="1440" w:type="dxa"/>
            <w:gridSpan w:val="2"/>
            <w:shd w:val="clear" w:color="auto" w:fill="auto"/>
            <w:hideMark/>
          </w:tcPr>
          <w:p w:rsidR="005C38FD" w:rsidRPr="00A8196B" w:rsidP="005C38FD" w14:paraId="578A53A3" w14:textId="77777777">
            <w:pPr>
              <w:spacing w:after="0" w:line="240" w:lineRule="auto"/>
              <w:jc w:val="center"/>
              <w:rPr>
                <w:color w:val="000000"/>
                <w:sz w:val="16"/>
                <w:szCs w:val="18"/>
              </w:rPr>
            </w:pPr>
            <w:r w:rsidRPr="00A8196B">
              <w:rPr>
                <w:color w:val="000000"/>
                <w:sz w:val="16"/>
                <w:szCs w:val="18"/>
              </w:rPr>
              <w:t>20%</w:t>
            </w:r>
          </w:p>
        </w:tc>
        <w:tc>
          <w:tcPr>
            <w:tcW w:w="1260" w:type="dxa"/>
            <w:gridSpan w:val="2"/>
            <w:shd w:val="clear" w:color="auto" w:fill="auto"/>
            <w:hideMark/>
          </w:tcPr>
          <w:p w:rsidR="005C38FD" w:rsidRPr="00A8196B" w:rsidP="005C38FD" w14:paraId="70B78488" w14:textId="559B7903">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15.90</w:t>
            </w:r>
            <w:r w:rsidRPr="00A8196B">
              <w:rPr>
                <w:color w:val="000000"/>
                <w:sz w:val="16"/>
                <w:szCs w:val="18"/>
              </w:rPr>
              <w:t>14.99</w:t>
            </w:r>
          </w:p>
        </w:tc>
        <w:tc>
          <w:tcPr>
            <w:tcW w:w="1070" w:type="dxa"/>
            <w:gridSpan w:val="2"/>
            <w:shd w:val="clear" w:color="auto" w:fill="auto"/>
            <w:hideMark/>
          </w:tcPr>
          <w:p w:rsidR="005C38FD" w:rsidRPr="00A8196B" w:rsidP="005C38FD" w14:paraId="4B6439F6" w14:textId="68CF377A">
            <w:pPr>
              <w:spacing w:after="0" w:line="240" w:lineRule="auto"/>
              <w:jc w:val="center"/>
              <w:rPr>
                <w:color w:val="000000"/>
                <w:sz w:val="16"/>
                <w:szCs w:val="18"/>
              </w:rPr>
            </w:pPr>
            <w:r w:rsidRPr="00A8196B">
              <w:rPr>
                <w:color w:val="000000"/>
                <w:sz w:val="16"/>
                <w:szCs w:val="18"/>
              </w:rPr>
              <w:t>$95</w:t>
            </w:r>
            <w:r w:rsidRPr="00A8196B" w:rsidR="0013061D">
              <w:rPr>
                <w:color w:val="000000"/>
                <w:sz w:val="16"/>
                <w:szCs w:val="18"/>
              </w:rPr>
              <w:t>.</w:t>
            </w:r>
            <w:r w:rsidRPr="00A8196B">
              <w:rPr>
                <w:color w:val="000000"/>
                <w:sz w:val="16"/>
                <w:szCs w:val="18"/>
              </w:rPr>
              <w:t>41</w:t>
            </w:r>
          </w:p>
        </w:tc>
      </w:tr>
      <w:tr w14:paraId="0979B736"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340" w:type="dxa"/>
            <w:gridSpan w:val="15"/>
            <w:shd w:val="clear" w:color="auto" w:fill="D9D9D9" w:themeFill="background1" w:themeFillShade="D9"/>
          </w:tcPr>
          <w:p w:rsidR="003F6301" w:rsidRPr="00A8196B" w:rsidP="003F6301" w14:paraId="125CB433" w14:textId="0F4F8B0E">
            <w:pPr>
              <w:spacing w:after="0" w:line="240" w:lineRule="auto"/>
              <w:rPr>
                <w:color w:val="000000"/>
                <w:sz w:val="16"/>
                <w:szCs w:val="18"/>
              </w:rPr>
            </w:pPr>
            <w:r w:rsidRPr="00A8196B">
              <w:rPr>
                <w:color w:val="000000"/>
                <w:sz w:val="16"/>
                <w:szCs w:val="18"/>
              </w:rPr>
              <w:t>Professional / Technical</w:t>
            </w:r>
          </w:p>
        </w:tc>
      </w:tr>
      <w:tr w14:paraId="4CBACB57"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1790" w:type="dxa"/>
            <w:shd w:val="clear" w:color="auto" w:fill="auto"/>
          </w:tcPr>
          <w:p w:rsidR="005C38FD" w:rsidRPr="00A8196B" w:rsidP="005C38FD" w14:paraId="2D26009C" w14:textId="77777777">
            <w:pPr>
              <w:spacing w:after="0" w:line="240" w:lineRule="auto"/>
              <w:rPr>
                <w:color w:val="000000"/>
                <w:sz w:val="16"/>
                <w:szCs w:val="18"/>
              </w:rPr>
            </w:pPr>
            <w:r w:rsidRPr="00A8196B">
              <w:rPr>
                <w:color w:val="000000"/>
                <w:sz w:val="16"/>
                <w:szCs w:val="18"/>
              </w:rPr>
              <w:t>BLS ECEC, Private Manufacturing industries, “Professional and related“</w:t>
            </w:r>
          </w:p>
        </w:tc>
        <w:tc>
          <w:tcPr>
            <w:tcW w:w="630" w:type="dxa"/>
            <w:gridSpan w:val="2"/>
            <w:shd w:val="clear" w:color="auto" w:fill="auto"/>
            <w:hideMark/>
          </w:tcPr>
          <w:p w:rsidR="005C38FD" w:rsidRPr="00A8196B" w:rsidP="005C38FD" w14:paraId="25F2284E" w14:textId="64879662">
            <w:pPr>
              <w:spacing w:after="0" w:line="240" w:lineRule="auto"/>
              <w:rPr>
                <w:color w:val="000000"/>
                <w:sz w:val="16"/>
                <w:szCs w:val="18"/>
              </w:rPr>
            </w:pPr>
            <w:r w:rsidRPr="00A8196B">
              <w:rPr>
                <w:color w:val="000000"/>
                <w:sz w:val="16"/>
                <w:szCs w:val="18"/>
              </w:rPr>
              <w:t>Jun-21</w:t>
            </w:r>
          </w:p>
        </w:tc>
        <w:tc>
          <w:tcPr>
            <w:tcW w:w="990" w:type="dxa"/>
            <w:gridSpan w:val="2"/>
            <w:shd w:val="clear" w:color="auto" w:fill="auto"/>
            <w:hideMark/>
          </w:tcPr>
          <w:p w:rsidR="005C38FD" w:rsidRPr="00A8196B" w:rsidP="005C38FD" w14:paraId="560104B0" w14:textId="40A11561">
            <w:pPr>
              <w:spacing w:after="0" w:line="240" w:lineRule="auto"/>
              <w:jc w:val="center"/>
              <w:rPr>
                <w:color w:val="000000"/>
                <w:sz w:val="16"/>
                <w:szCs w:val="18"/>
              </w:rPr>
            </w:pPr>
            <w:r w:rsidRPr="00A8196B">
              <w:rPr>
                <w:color w:val="000000"/>
                <w:sz w:val="16"/>
                <w:szCs w:val="18"/>
              </w:rPr>
              <w:t>$4</w:t>
            </w:r>
            <w:r w:rsidRPr="00A8196B" w:rsidR="00876F39">
              <w:rPr>
                <w:color w:val="000000"/>
                <w:sz w:val="16"/>
                <w:szCs w:val="18"/>
              </w:rPr>
              <w:t>5.59</w:t>
            </w:r>
            <w:r w:rsidRPr="00A8196B">
              <w:rPr>
                <w:color w:val="000000"/>
                <w:sz w:val="16"/>
                <w:szCs w:val="18"/>
              </w:rPr>
              <w:t xml:space="preserve"> </w:t>
            </w:r>
          </w:p>
        </w:tc>
        <w:tc>
          <w:tcPr>
            <w:tcW w:w="810" w:type="dxa"/>
            <w:gridSpan w:val="2"/>
            <w:shd w:val="clear" w:color="auto" w:fill="auto"/>
            <w:hideMark/>
          </w:tcPr>
          <w:p w:rsidR="005C38FD" w:rsidRPr="00A8196B" w:rsidP="005C38FD" w14:paraId="001DB14D" w14:textId="7EBDF3AA">
            <w:pPr>
              <w:spacing w:after="0" w:line="240" w:lineRule="auto"/>
              <w:jc w:val="center"/>
              <w:rPr>
                <w:color w:val="000000"/>
                <w:sz w:val="16"/>
                <w:szCs w:val="18"/>
              </w:rPr>
            </w:pPr>
            <w:r w:rsidRPr="00A8196B">
              <w:rPr>
                <w:color w:val="000000"/>
                <w:sz w:val="16"/>
                <w:szCs w:val="18"/>
              </w:rPr>
              <w:t>$2</w:t>
            </w:r>
            <w:r w:rsidRPr="00A8196B" w:rsidR="00876F39">
              <w:rPr>
                <w:color w:val="000000"/>
                <w:sz w:val="16"/>
                <w:szCs w:val="18"/>
              </w:rPr>
              <w:t>2.80</w:t>
            </w:r>
            <w:r w:rsidRPr="00A8196B">
              <w:rPr>
                <w:color w:val="000000"/>
                <w:sz w:val="16"/>
                <w:szCs w:val="18"/>
              </w:rPr>
              <w:t xml:space="preserve"> </w:t>
            </w:r>
          </w:p>
        </w:tc>
        <w:tc>
          <w:tcPr>
            <w:tcW w:w="1350" w:type="dxa"/>
            <w:gridSpan w:val="2"/>
            <w:shd w:val="clear" w:color="auto" w:fill="auto"/>
            <w:hideMark/>
          </w:tcPr>
          <w:p w:rsidR="005C38FD" w:rsidRPr="00A8196B" w:rsidP="005C38FD" w14:paraId="0E2796E4" w14:textId="5839C142">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68.38</w:t>
            </w:r>
            <w:r w:rsidRPr="00A8196B">
              <w:rPr>
                <w:color w:val="000000"/>
                <w:sz w:val="16"/>
                <w:szCs w:val="18"/>
              </w:rPr>
              <w:t xml:space="preserve"> </w:t>
            </w:r>
          </w:p>
        </w:tc>
        <w:tc>
          <w:tcPr>
            <w:tcW w:w="1440" w:type="dxa"/>
            <w:gridSpan w:val="2"/>
            <w:shd w:val="clear" w:color="auto" w:fill="auto"/>
            <w:hideMark/>
          </w:tcPr>
          <w:p w:rsidR="005C38FD" w:rsidRPr="00A8196B" w:rsidP="005C38FD" w14:paraId="1FD459FC" w14:textId="71FAD6BC">
            <w:pPr>
              <w:spacing w:after="0" w:line="240" w:lineRule="auto"/>
              <w:jc w:val="center"/>
              <w:rPr>
                <w:color w:val="000000"/>
                <w:sz w:val="16"/>
                <w:szCs w:val="18"/>
              </w:rPr>
            </w:pPr>
            <w:r w:rsidRPr="00A8196B">
              <w:rPr>
                <w:color w:val="000000"/>
                <w:sz w:val="16"/>
                <w:szCs w:val="18"/>
              </w:rPr>
              <w:t>20%</w:t>
            </w:r>
          </w:p>
        </w:tc>
        <w:tc>
          <w:tcPr>
            <w:tcW w:w="1260" w:type="dxa"/>
            <w:gridSpan w:val="2"/>
            <w:shd w:val="clear" w:color="auto" w:fill="auto"/>
            <w:hideMark/>
          </w:tcPr>
          <w:p w:rsidR="005C38FD" w:rsidRPr="00A8196B" w:rsidP="005C38FD" w14:paraId="308CE063" w14:textId="3AB7EE99">
            <w:pPr>
              <w:spacing w:after="0" w:line="240" w:lineRule="auto"/>
              <w:jc w:val="center"/>
              <w:rPr>
                <w:color w:val="000000"/>
                <w:sz w:val="16"/>
                <w:szCs w:val="18"/>
              </w:rPr>
            </w:pPr>
            <w:r w:rsidRPr="00A8196B">
              <w:rPr>
                <w:color w:val="000000"/>
                <w:sz w:val="16"/>
                <w:szCs w:val="18"/>
              </w:rPr>
              <w:t>$13.</w:t>
            </w:r>
            <w:r w:rsidRPr="00A8196B" w:rsidR="00876F39">
              <w:rPr>
                <w:color w:val="000000"/>
                <w:sz w:val="16"/>
                <w:szCs w:val="18"/>
              </w:rPr>
              <w:t>68</w:t>
            </w:r>
          </w:p>
        </w:tc>
        <w:tc>
          <w:tcPr>
            <w:tcW w:w="1070" w:type="dxa"/>
            <w:gridSpan w:val="2"/>
            <w:shd w:val="clear" w:color="auto" w:fill="auto"/>
            <w:hideMark/>
          </w:tcPr>
          <w:p w:rsidR="005C38FD" w:rsidRPr="00A8196B" w:rsidP="005C38FD" w14:paraId="2788F8BA" w14:textId="3D493375">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82.06</w:t>
            </w:r>
            <w:r w:rsidRPr="00A8196B">
              <w:rPr>
                <w:color w:val="000000"/>
                <w:sz w:val="16"/>
                <w:szCs w:val="18"/>
              </w:rPr>
              <w:t xml:space="preserve"> </w:t>
            </w:r>
          </w:p>
        </w:tc>
      </w:tr>
      <w:tr w14:paraId="21215912"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340" w:type="dxa"/>
            <w:gridSpan w:val="15"/>
            <w:shd w:val="clear" w:color="auto" w:fill="D9D9D9" w:themeFill="background1" w:themeFillShade="D9"/>
          </w:tcPr>
          <w:p w:rsidR="003F6301" w:rsidRPr="00A8196B" w:rsidP="003F6301" w14:paraId="25DCC293" w14:textId="78078B9D">
            <w:pPr>
              <w:spacing w:after="0" w:line="240" w:lineRule="auto"/>
              <w:rPr>
                <w:color w:val="000000"/>
                <w:sz w:val="16"/>
                <w:szCs w:val="18"/>
              </w:rPr>
            </w:pPr>
            <w:r w:rsidRPr="00A8196B">
              <w:rPr>
                <w:color w:val="000000"/>
                <w:sz w:val="16"/>
                <w:szCs w:val="18"/>
              </w:rPr>
              <w:t>Clerical</w:t>
            </w:r>
          </w:p>
        </w:tc>
      </w:tr>
      <w:tr w14:paraId="16691A4D"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1790" w:type="dxa"/>
            <w:tcBorders>
              <w:bottom w:val="single" w:sz="8" w:space="0" w:color="auto"/>
            </w:tcBorders>
            <w:shd w:val="clear" w:color="auto" w:fill="auto"/>
          </w:tcPr>
          <w:p w:rsidR="005C38FD" w:rsidRPr="00A8196B" w:rsidP="005C38FD" w14:paraId="672CFC2B" w14:textId="7F3DEC97">
            <w:pPr>
              <w:spacing w:after="0" w:line="240" w:lineRule="auto"/>
              <w:rPr>
                <w:color w:val="000000"/>
                <w:sz w:val="16"/>
                <w:szCs w:val="18"/>
              </w:rPr>
            </w:pPr>
            <w:r w:rsidRPr="00A8196B">
              <w:rPr>
                <w:color w:val="000000"/>
                <w:sz w:val="16"/>
                <w:szCs w:val="18"/>
              </w:rPr>
              <w:t xml:space="preserve">BLS </w:t>
            </w:r>
            <w:r w:rsidRPr="00A8196B" w:rsidR="00621AD6">
              <w:rPr>
                <w:color w:val="000000"/>
                <w:sz w:val="16"/>
                <w:szCs w:val="18"/>
              </w:rPr>
              <w:t>0</w:t>
            </w:r>
            <w:r w:rsidRPr="00A8196B">
              <w:rPr>
                <w:color w:val="000000"/>
                <w:sz w:val="16"/>
                <w:szCs w:val="18"/>
              </w:rPr>
              <w:t>ECEC, Private Manufacturing industries, “Office and Administrative Support”</w:t>
            </w:r>
          </w:p>
        </w:tc>
        <w:tc>
          <w:tcPr>
            <w:tcW w:w="630" w:type="dxa"/>
            <w:gridSpan w:val="2"/>
            <w:tcBorders>
              <w:bottom w:val="single" w:sz="8" w:space="0" w:color="auto"/>
            </w:tcBorders>
            <w:shd w:val="clear" w:color="auto" w:fill="auto"/>
            <w:hideMark/>
          </w:tcPr>
          <w:p w:rsidR="005C38FD" w:rsidRPr="00A8196B" w:rsidP="005C38FD" w14:paraId="43D2FA3A" w14:textId="2BAD7F37">
            <w:pPr>
              <w:spacing w:after="0" w:line="240" w:lineRule="auto"/>
              <w:rPr>
                <w:color w:val="000000"/>
                <w:sz w:val="16"/>
                <w:szCs w:val="18"/>
              </w:rPr>
            </w:pPr>
            <w:r w:rsidRPr="00A8196B">
              <w:rPr>
                <w:color w:val="000000"/>
                <w:sz w:val="16"/>
                <w:szCs w:val="18"/>
              </w:rPr>
              <w:t>Jun-21</w:t>
            </w:r>
          </w:p>
        </w:tc>
        <w:tc>
          <w:tcPr>
            <w:tcW w:w="990" w:type="dxa"/>
            <w:gridSpan w:val="2"/>
            <w:tcBorders>
              <w:bottom w:val="single" w:sz="8" w:space="0" w:color="auto"/>
            </w:tcBorders>
            <w:shd w:val="clear" w:color="auto" w:fill="auto"/>
            <w:hideMark/>
          </w:tcPr>
          <w:p w:rsidR="005C38FD" w:rsidRPr="00A8196B" w:rsidP="005C38FD" w14:paraId="0FD65F89" w14:textId="39F623BE">
            <w:pPr>
              <w:spacing w:after="0" w:line="240" w:lineRule="auto"/>
              <w:jc w:val="center"/>
              <w:rPr>
                <w:color w:val="000000"/>
                <w:sz w:val="16"/>
                <w:szCs w:val="18"/>
              </w:rPr>
            </w:pPr>
            <w:r w:rsidRPr="00A8196B">
              <w:rPr>
                <w:color w:val="000000"/>
                <w:sz w:val="16"/>
                <w:szCs w:val="18"/>
              </w:rPr>
              <w:t xml:space="preserve">$21.35 </w:t>
            </w:r>
          </w:p>
        </w:tc>
        <w:tc>
          <w:tcPr>
            <w:tcW w:w="810" w:type="dxa"/>
            <w:gridSpan w:val="2"/>
            <w:tcBorders>
              <w:bottom w:val="single" w:sz="8" w:space="0" w:color="auto"/>
            </w:tcBorders>
            <w:shd w:val="clear" w:color="auto" w:fill="auto"/>
            <w:hideMark/>
          </w:tcPr>
          <w:p w:rsidR="005C38FD" w:rsidRPr="00A8196B" w:rsidP="005C38FD" w14:paraId="2E1BC3CB" w14:textId="32C603CB">
            <w:pPr>
              <w:spacing w:after="0" w:line="240" w:lineRule="auto"/>
              <w:jc w:val="center"/>
              <w:rPr>
                <w:color w:val="000000"/>
                <w:sz w:val="16"/>
                <w:szCs w:val="18"/>
              </w:rPr>
            </w:pPr>
            <w:r w:rsidRPr="00A8196B">
              <w:rPr>
                <w:color w:val="000000"/>
                <w:sz w:val="16"/>
                <w:szCs w:val="18"/>
              </w:rPr>
              <w:t xml:space="preserve">$9.79 </w:t>
            </w:r>
          </w:p>
        </w:tc>
        <w:tc>
          <w:tcPr>
            <w:tcW w:w="1350" w:type="dxa"/>
            <w:gridSpan w:val="2"/>
            <w:tcBorders>
              <w:bottom w:val="single" w:sz="8" w:space="0" w:color="auto"/>
            </w:tcBorders>
            <w:shd w:val="clear" w:color="auto" w:fill="auto"/>
            <w:hideMark/>
          </w:tcPr>
          <w:p w:rsidR="005C38FD" w:rsidRPr="00A8196B" w:rsidP="005C38FD" w14:paraId="7A32FEFC" w14:textId="718C5F6E">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31.14</w:t>
            </w:r>
            <w:r w:rsidRPr="00A8196B">
              <w:rPr>
                <w:color w:val="000000"/>
                <w:sz w:val="16"/>
                <w:szCs w:val="18"/>
              </w:rPr>
              <w:t xml:space="preserve"> </w:t>
            </w:r>
          </w:p>
        </w:tc>
        <w:tc>
          <w:tcPr>
            <w:tcW w:w="1440" w:type="dxa"/>
            <w:gridSpan w:val="2"/>
            <w:tcBorders>
              <w:bottom w:val="single" w:sz="8" w:space="0" w:color="auto"/>
            </w:tcBorders>
            <w:shd w:val="clear" w:color="auto" w:fill="auto"/>
            <w:hideMark/>
          </w:tcPr>
          <w:p w:rsidR="005C38FD" w:rsidRPr="00A8196B" w:rsidP="005C38FD" w14:paraId="116D0B40" w14:textId="77777777">
            <w:pPr>
              <w:spacing w:after="0" w:line="240" w:lineRule="auto"/>
              <w:jc w:val="center"/>
              <w:rPr>
                <w:color w:val="000000"/>
                <w:sz w:val="16"/>
                <w:szCs w:val="18"/>
              </w:rPr>
            </w:pPr>
            <w:r w:rsidRPr="00A8196B">
              <w:rPr>
                <w:color w:val="000000"/>
                <w:sz w:val="16"/>
                <w:szCs w:val="18"/>
              </w:rPr>
              <w:t>20%</w:t>
            </w:r>
          </w:p>
        </w:tc>
        <w:tc>
          <w:tcPr>
            <w:tcW w:w="1260" w:type="dxa"/>
            <w:gridSpan w:val="2"/>
            <w:tcBorders>
              <w:bottom w:val="single" w:sz="8" w:space="0" w:color="auto"/>
            </w:tcBorders>
            <w:shd w:val="clear" w:color="auto" w:fill="auto"/>
            <w:hideMark/>
          </w:tcPr>
          <w:p w:rsidR="005C38FD" w:rsidRPr="00A8196B" w:rsidP="005C38FD" w14:paraId="1F5559EA" w14:textId="3135F340">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6.23</w:t>
            </w:r>
          </w:p>
        </w:tc>
        <w:tc>
          <w:tcPr>
            <w:tcW w:w="1070" w:type="dxa"/>
            <w:gridSpan w:val="2"/>
            <w:tcBorders>
              <w:bottom w:val="single" w:sz="8" w:space="0" w:color="auto"/>
            </w:tcBorders>
            <w:shd w:val="clear" w:color="auto" w:fill="auto"/>
            <w:hideMark/>
          </w:tcPr>
          <w:p w:rsidR="005C38FD" w:rsidRPr="00A8196B" w:rsidP="005C38FD" w14:paraId="28671A4F" w14:textId="7DC1B47D">
            <w:pPr>
              <w:spacing w:after="0" w:line="240" w:lineRule="auto"/>
              <w:jc w:val="center"/>
              <w:rPr>
                <w:color w:val="000000"/>
                <w:sz w:val="16"/>
                <w:szCs w:val="18"/>
              </w:rPr>
            </w:pPr>
            <w:r w:rsidRPr="00A8196B">
              <w:rPr>
                <w:color w:val="000000"/>
                <w:sz w:val="16"/>
                <w:szCs w:val="18"/>
              </w:rPr>
              <w:t>$</w:t>
            </w:r>
            <w:r w:rsidRPr="00A8196B" w:rsidR="00876F39">
              <w:rPr>
                <w:color w:val="000000"/>
                <w:sz w:val="16"/>
                <w:szCs w:val="18"/>
              </w:rPr>
              <w:t>37.33</w:t>
            </w:r>
            <w:r w:rsidRPr="00A8196B">
              <w:rPr>
                <w:color w:val="000000"/>
                <w:sz w:val="16"/>
                <w:szCs w:val="18"/>
              </w:rPr>
              <w:t xml:space="preserve"> </w:t>
            </w:r>
          </w:p>
        </w:tc>
      </w:tr>
      <w:tr w14:paraId="21950D41"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340" w:type="dxa"/>
            <w:gridSpan w:val="15"/>
            <w:tcBorders>
              <w:left w:val="nil"/>
              <w:bottom w:val="nil"/>
              <w:right w:val="nil"/>
            </w:tcBorders>
            <w:shd w:val="clear" w:color="auto" w:fill="auto"/>
            <w:hideMark/>
          </w:tcPr>
          <w:p w:rsidR="005C38FD" w:rsidRPr="00A8196B" w:rsidP="005C38FD" w14:paraId="5922A807" w14:textId="77777777">
            <w:pPr>
              <w:spacing w:after="0" w:line="240" w:lineRule="auto"/>
              <w:rPr>
                <w:b/>
                <w:color w:val="000000"/>
                <w:sz w:val="16"/>
                <w:szCs w:val="18"/>
              </w:rPr>
            </w:pPr>
            <w:r w:rsidRPr="00A8196B">
              <w:rPr>
                <w:b/>
                <w:color w:val="000000"/>
                <w:sz w:val="16"/>
                <w:szCs w:val="18"/>
              </w:rPr>
              <w:t>Footnotes</w:t>
            </w:r>
          </w:p>
        </w:tc>
      </w:tr>
      <w:tr w14:paraId="66327CC5"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340" w:type="dxa"/>
            <w:gridSpan w:val="15"/>
            <w:tcBorders>
              <w:top w:val="nil"/>
              <w:left w:val="nil"/>
              <w:bottom w:val="nil"/>
              <w:right w:val="nil"/>
            </w:tcBorders>
            <w:shd w:val="clear" w:color="auto" w:fill="auto"/>
            <w:hideMark/>
          </w:tcPr>
          <w:p w:rsidR="005C38FD" w:rsidRPr="00A8196B" w:rsidP="003F6301" w14:paraId="6E2A41FD" w14:textId="5373820F">
            <w:pPr>
              <w:spacing w:after="0" w:line="240" w:lineRule="auto"/>
              <w:ind w:left="101" w:hanging="101"/>
              <w:rPr>
                <w:color w:val="000000"/>
                <w:sz w:val="16"/>
                <w:szCs w:val="18"/>
              </w:rPr>
            </w:pPr>
            <w:r w:rsidRPr="00A8196B">
              <w:rPr>
                <w:color w:val="000000"/>
                <w:sz w:val="16"/>
                <w:szCs w:val="18"/>
                <w:vertAlign w:val="superscript"/>
              </w:rPr>
              <w:t>a</w:t>
            </w:r>
            <w:r w:rsidRPr="00A8196B">
              <w:rPr>
                <w:color w:val="000000"/>
                <w:sz w:val="16"/>
                <w:szCs w:val="18"/>
              </w:rPr>
              <w:t xml:space="preserve"> Source: </w:t>
            </w:r>
            <w:r w:rsidRPr="00A8196B">
              <w:rPr>
                <w:i/>
                <w:color w:val="000000"/>
                <w:sz w:val="16"/>
                <w:szCs w:val="18"/>
              </w:rPr>
              <w:t>Employer Costs for Employee Compensation Historical Supplementary Tables, National Compensation Survey: December 2006 –</w:t>
            </w:r>
            <w:r w:rsidRPr="00A8196B" w:rsidR="007366CE">
              <w:rPr>
                <w:i/>
                <w:color w:val="000000"/>
                <w:sz w:val="16"/>
                <w:szCs w:val="18"/>
              </w:rPr>
              <w:t>June</w:t>
            </w:r>
            <w:r w:rsidRPr="00A8196B">
              <w:rPr>
                <w:i/>
                <w:color w:val="000000"/>
                <w:sz w:val="16"/>
                <w:szCs w:val="18"/>
              </w:rPr>
              <w:t xml:space="preserve"> 202</w:t>
            </w:r>
            <w:r w:rsidRPr="00A8196B" w:rsidR="007366CE">
              <w:rPr>
                <w:i/>
                <w:color w:val="000000"/>
                <w:sz w:val="16"/>
                <w:szCs w:val="18"/>
              </w:rPr>
              <w:t>1</w:t>
            </w:r>
            <w:r w:rsidRPr="00A8196B">
              <w:rPr>
                <w:color w:val="000000"/>
                <w:sz w:val="16"/>
                <w:szCs w:val="18"/>
              </w:rPr>
              <w:t xml:space="preserve"> (U.S. Bureau of Labor Statistics, 202</w:t>
            </w:r>
            <w:r w:rsidRPr="00A8196B" w:rsidR="007366CE">
              <w:rPr>
                <w:color w:val="000000"/>
                <w:sz w:val="16"/>
                <w:szCs w:val="18"/>
              </w:rPr>
              <w:t>1</w:t>
            </w:r>
            <w:r w:rsidRPr="00A8196B">
              <w:rPr>
                <w:color w:val="000000"/>
                <w:sz w:val="16"/>
                <w:szCs w:val="18"/>
              </w:rPr>
              <w:t>a).</w:t>
            </w:r>
          </w:p>
        </w:tc>
      </w:tr>
      <w:tr w14:paraId="4EF1D69A"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340" w:type="dxa"/>
            <w:gridSpan w:val="15"/>
            <w:tcBorders>
              <w:top w:val="nil"/>
              <w:left w:val="nil"/>
              <w:bottom w:val="nil"/>
              <w:right w:val="nil"/>
            </w:tcBorders>
            <w:shd w:val="clear" w:color="auto" w:fill="auto"/>
            <w:hideMark/>
          </w:tcPr>
          <w:p w:rsidR="005C38FD" w:rsidRPr="00A8196B" w:rsidP="003F6301" w14:paraId="39E98721" w14:textId="77777777">
            <w:pPr>
              <w:spacing w:after="0" w:line="240" w:lineRule="auto"/>
              <w:ind w:left="101" w:hanging="101"/>
              <w:rPr>
                <w:color w:val="000000"/>
                <w:sz w:val="16"/>
                <w:szCs w:val="18"/>
              </w:rPr>
            </w:pPr>
            <w:r w:rsidRPr="00A8196B">
              <w:rPr>
                <w:color w:val="000000"/>
                <w:sz w:val="16"/>
                <w:szCs w:val="18"/>
                <w:vertAlign w:val="superscript"/>
              </w:rPr>
              <w:t>b</w:t>
            </w:r>
            <w:r w:rsidRPr="00A8196B">
              <w:rPr>
                <w:color w:val="000000"/>
                <w:sz w:val="16"/>
                <w:szCs w:val="18"/>
              </w:rPr>
              <w:t xml:space="preserve"> An overhead rate of 20% is used based on assumptions in </w:t>
            </w:r>
            <w:r w:rsidRPr="00A8196B">
              <w:rPr>
                <w:i/>
                <w:color w:val="000000"/>
                <w:sz w:val="16"/>
                <w:szCs w:val="18"/>
              </w:rPr>
              <w:t>Handbook on Valuing Changes in Time Use Induced by Regulatory Requirements and Other U.S. EPA Actions</w:t>
            </w:r>
            <w:r w:rsidRPr="00A8196B">
              <w:rPr>
                <w:color w:val="000000"/>
                <w:sz w:val="16"/>
                <w:szCs w:val="18"/>
              </w:rPr>
              <w:t xml:space="preserve"> (EPA 2020d)</w:t>
            </w:r>
          </w:p>
        </w:tc>
      </w:tr>
      <w:tr w14:paraId="7EA97FA7" w14:textId="77777777" w:rsidTr="003F630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340" w:type="dxa"/>
            <w:gridSpan w:val="15"/>
            <w:tcBorders>
              <w:top w:val="nil"/>
              <w:left w:val="nil"/>
              <w:bottom w:val="nil"/>
              <w:right w:val="nil"/>
            </w:tcBorders>
            <w:shd w:val="clear" w:color="auto" w:fill="auto"/>
            <w:hideMark/>
          </w:tcPr>
          <w:p w:rsidR="005C38FD" w:rsidRPr="00A8196B" w:rsidP="003F6301" w14:paraId="2EC2B514" w14:textId="77777777">
            <w:pPr>
              <w:spacing w:after="0" w:line="240" w:lineRule="auto"/>
              <w:ind w:left="101" w:hanging="101"/>
              <w:rPr>
                <w:color w:val="000000"/>
                <w:sz w:val="16"/>
                <w:szCs w:val="18"/>
              </w:rPr>
            </w:pPr>
            <w:r w:rsidRPr="00A8196B">
              <w:rPr>
                <w:color w:val="000000"/>
                <w:sz w:val="16"/>
                <w:szCs w:val="18"/>
                <w:vertAlign w:val="superscript"/>
              </w:rPr>
              <w:t>c</w:t>
            </w:r>
            <w:r w:rsidRPr="00A8196B">
              <w:rPr>
                <w:color w:val="000000"/>
                <w:sz w:val="16"/>
                <w:szCs w:val="18"/>
              </w:rPr>
              <w:t xml:space="preserve"> Wage data are rounded to the closest cent in this analysis.</w:t>
            </w:r>
          </w:p>
        </w:tc>
      </w:tr>
    </w:tbl>
    <w:p w:rsidR="00CA19A2" w:rsidRPr="00A8196B" w:rsidP="008C16F4" w14:paraId="22FE1D6E" w14:textId="3539CB10">
      <w:pPr>
        <w:pStyle w:val="Caption"/>
      </w:pPr>
      <w:r w:rsidRPr="00A8196B">
        <w:t xml:space="preserve">Table </w:t>
      </w:r>
      <w:r w:rsidRPr="00A8196B">
        <w:fldChar w:fldCharType="begin"/>
      </w:r>
      <w:r w:rsidRPr="00A8196B">
        <w:instrText>SEQ Table \* ARABIC</w:instrText>
      </w:r>
      <w:r w:rsidRPr="00A8196B">
        <w:fldChar w:fldCharType="separate"/>
      </w:r>
      <w:r w:rsidR="009B2ACE">
        <w:rPr>
          <w:noProof/>
        </w:rPr>
        <w:t>7</w:t>
      </w:r>
      <w:r w:rsidRPr="00A8196B">
        <w:fldChar w:fldCharType="end"/>
      </w:r>
      <w:r w:rsidRPr="00A8196B">
        <w:t>: CDX Registration, CDX Electronic Signature, and Pay.gov Account Setup Cost for First-Time Submitters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72"/>
        <w:gridCol w:w="1620"/>
        <w:gridCol w:w="1762"/>
        <w:gridCol w:w="1587"/>
        <w:gridCol w:w="1503"/>
      </w:tblGrid>
      <w:tr w14:paraId="6992414F" w14:textId="77777777" w:rsidTr="003F6301">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253"/>
        </w:trPr>
        <w:tc>
          <w:tcPr>
            <w:tcW w:w="1537" w:type="pct"/>
            <w:vMerge w:val="restart"/>
            <w:vAlign w:val="center"/>
          </w:tcPr>
          <w:p w:rsidR="00CA19A2" w:rsidRPr="00A8196B" w:rsidP="003F6301" w14:paraId="09BBCD1F" w14:textId="77777777">
            <w:pPr>
              <w:spacing w:after="0" w:line="240" w:lineRule="auto"/>
              <w:rPr>
                <w:b/>
                <w:bCs/>
                <w:color w:val="000000"/>
                <w:sz w:val="22"/>
              </w:rPr>
            </w:pPr>
            <w:r w:rsidRPr="00A8196B">
              <w:rPr>
                <w:b/>
                <w:bCs/>
                <w:color w:val="000000"/>
                <w:sz w:val="22"/>
              </w:rPr>
              <w:t>Activity</w:t>
            </w:r>
          </w:p>
        </w:tc>
        <w:tc>
          <w:tcPr>
            <w:tcW w:w="867" w:type="pct"/>
            <w:vMerge w:val="restart"/>
            <w:vAlign w:val="center"/>
          </w:tcPr>
          <w:p w:rsidR="00CA19A2" w:rsidRPr="00A8196B" w:rsidP="003F6301" w14:paraId="04B8CEAB" w14:textId="340697E4">
            <w:pPr>
              <w:spacing w:after="0" w:line="240" w:lineRule="auto"/>
              <w:jc w:val="center"/>
              <w:rPr>
                <w:b/>
                <w:bCs/>
                <w:color w:val="000000"/>
                <w:sz w:val="22"/>
              </w:rPr>
            </w:pPr>
            <w:r w:rsidRPr="00A8196B">
              <w:rPr>
                <w:b/>
                <w:sz w:val="22"/>
              </w:rPr>
              <w:t>Clerical Labor ($3</w:t>
            </w:r>
            <w:r w:rsidRPr="00A8196B" w:rsidR="00870926">
              <w:rPr>
                <w:b/>
                <w:sz w:val="22"/>
              </w:rPr>
              <w:t>7.33</w:t>
            </w:r>
            <w:r w:rsidRPr="00A8196B">
              <w:rPr>
                <w:b/>
                <w:sz w:val="22"/>
              </w:rPr>
              <w:t>/hour)</w:t>
            </w:r>
          </w:p>
        </w:tc>
        <w:tc>
          <w:tcPr>
            <w:tcW w:w="943" w:type="pct"/>
            <w:vMerge w:val="restart"/>
            <w:vAlign w:val="center"/>
          </w:tcPr>
          <w:p w:rsidR="00CA19A2" w:rsidRPr="00A8196B" w:rsidP="003F6301" w14:paraId="40DD36A2" w14:textId="7BFDD9BF">
            <w:pPr>
              <w:spacing w:after="0" w:line="240" w:lineRule="auto"/>
              <w:jc w:val="center"/>
              <w:rPr>
                <w:b/>
                <w:bCs/>
                <w:color w:val="000000"/>
                <w:sz w:val="22"/>
              </w:rPr>
            </w:pPr>
            <w:r w:rsidRPr="00A8196B">
              <w:rPr>
                <w:b/>
                <w:sz w:val="22"/>
              </w:rPr>
              <w:t>Technical Labor ($</w:t>
            </w:r>
            <w:r w:rsidRPr="00A8196B" w:rsidR="00870926">
              <w:rPr>
                <w:b/>
                <w:sz w:val="22"/>
              </w:rPr>
              <w:t>82.06</w:t>
            </w:r>
            <w:r w:rsidRPr="00A8196B">
              <w:rPr>
                <w:b/>
                <w:sz w:val="22"/>
              </w:rPr>
              <w:t>/hour)</w:t>
            </w:r>
          </w:p>
        </w:tc>
        <w:tc>
          <w:tcPr>
            <w:tcW w:w="849" w:type="pct"/>
            <w:vMerge w:val="restart"/>
            <w:vAlign w:val="center"/>
          </w:tcPr>
          <w:p w:rsidR="00CA19A2" w:rsidRPr="00A8196B" w:rsidP="003F6301" w14:paraId="0185CDC1" w14:textId="54975F02">
            <w:pPr>
              <w:spacing w:after="0" w:line="240" w:lineRule="auto"/>
              <w:jc w:val="center"/>
              <w:rPr>
                <w:b/>
                <w:bCs/>
                <w:color w:val="000000"/>
                <w:sz w:val="22"/>
              </w:rPr>
            </w:pPr>
            <w:r w:rsidRPr="00A8196B">
              <w:rPr>
                <w:b/>
                <w:sz w:val="22"/>
              </w:rPr>
              <w:t>Managerial Labor ($</w:t>
            </w:r>
            <w:r w:rsidRPr="00A8196B" w:rsidR="00870926">
              <w:rPr>
                <w:b/>
                <w:sz w:val="22"/>
              </w:rPr>
              <w:t>95.41</w:t>
            </w:r>
            <w:r w:rsidRPr="00A8196B">
              <w:rPr>
                <w:b/>
                <w:sz w:val="22"/>
              </w:rPr>
              <w:t>/hour)</w:t>
            </w:r>
          </w:p>
        </w:tc>
        <w:tc>
          <w:tcPr>
            <w:tcW w:w="804" w:type="pct"/>
            <w:vMerge w:val="restart"/>
            <w:vAlign w:val="center"/>
          </w:tcPr>
          <w:p w:rsidR="00A7023B" w:rsidRPr="00A8196B" w:rsidP="003F6301" w14:paraId="7ADA46E7" w14:textId="77777777">
            <w:pPr>
              <w:spacing w:after="0" w:line="240" w:lineRule="auto"/>
              <w:jc w:val="center"/>
              <w:rPr>
                <w:b/>
                <w:sz w:val="22"/>
              </w:rPr>
            </w:pPr>
            <w:r w:rsidRPr="00A8196B">
              <w:rPr>
                <w:b/>
                <w:sz w:val="22"/>
              </w:rPr>
              <w:t>Total Labor Cost</w:t>
            </w:r>
          </w:p>
          <w:p w:rsidR="00CA19A2" w:rsidRPr="00A8196B" w:rsidP="003F6301" w14:paraId="15F816E0" w14:textId="1017C481">
            <w:pPr>
              <w:spacing w:after="0" w:line="240" w:lineRule="auto"/>
              <w:jc w:val="center"/>
              <w:rPr>
                <w:b/>
                <w:bCs/>
                <w:color w:val="000000"/>
                <w:sz w:val="22"/>
              </w:rPr>
            </w:pPr>
            <w:r w:rsidRPr="00A8196B">
              <w:rPr>
                <w:b/>
                <w:sz w:val="22"/>
              </w:rPr>
              <w:t>(20</w:t>
            </w:r>
            <w:r w:rsidRPr="00A8196B" w:rsidR="00870926">
              <w:rPr>
                <w:b/>
                <w:sz w:val="22"/>
              </w:rPr>
              <w:t>21</w:t>
            </w:r>
            <w:r w:rsidRPr="00A8196B">
              <w:rPr>
                <w:b/>
                <w:sz w:val="22"/>
              </w:rPr>
              <w:t>$)</w:t>
            </w:r>
          </w:p>
        </w:tc>
      </w:tr>
      <w:tr w14:paraId="46490446" w14:textId="77777777" w:rsidTr="003F6301">
        <w:tblPrEx>
          <w:tblW w:w="5000" w:type="pct"/>
          <w:tblLook w:val="04A0"/>
        </w:tblPrEx>
        <w:trPr>
          <w:trHeight w:val="253"/>
        </w:trPr>
        <w:tc>
          <w:tcPr>
            <w:tcW w:w="1537" w:type="pct"/>
            <w:vMerge/>
            <w:vAlign w:val="center"/>
          </w:tcPr>
          <w:p w:rsidR="00CA19A2" w:rsidRPr="00A8196B" w:rsidP="003F6301" w14:paraId="2AE05B88" w14:textId="77777777">
            <w:pPr>
              <w:spacing w:after="0" w:line="240" w:lineRule="auto"/>
              <w:rPr>
                <w:b/>
                <w:bCs/>
                <w:color w:val="000000"/>
                <w:sz w:val="22"/>
              </w:rPr>
            </w:pPr>
          </w:p>
        </w:tc>
        <w:tc>
          <w:tcPr>
            <w:tcW w:w="867" w:type="pct"/>
            <w:vMerge/>
            <w:vAlign w:val="center"/>
          </w:tcPr>
          <w:p w:rsidR="00CA19A2" w:rsidRPr="00A8196B" w:rsidP="003F6301" w14:paraId="7C2448AB" w14:textId="77777777">
            <w:pPr>
              <w:spacing w:after="0" w:line="240" w:lineRule="auto"/>
              <w:rPr>
                <w:b/>
                <w:bCs/>
                <w:color w:val="000000"/>
                <w:sz w:val="22"/>
              </w:rPr>
            </w:pPr>
          </w:p>
        </w:tc>
        <w:tc>
          <w:tcPr>
            <w:tcW w:w="943" w:type="pct"/>
            <w:vMerge/>
            <w:vAlign w:val="center"/>
          </w:tcPr>
          <w:p w:rsidR="00CA19A2" w:rsidRPr="00A8196B" w:rsidP="003F6301" w14:paraId="1704C747" w14:textId="77777777">
            <w:pPr>
              <w:spacing w:after="0" w:line="240" w:lineRule="auto"/>
              <w:rPr>
                <w:b/>
                <w:bCs/>
                <w:color w:val="000000"/>
                <w:sz w:val="22"/>
              </w:rPr>
            </w:pPr>
          </w:p>
        </w:tc>
        <w:tc>
          <w:tcPr>
            <w:tcW w:w="849" w:type="pct"/>
            <w:vMerge/>
            <w:vAlign w:val="center"/>
          </w:tcPr>
          <w:p w:rsidR="00CA19A2" w:rsidRPr="00A8196B" w:rsidP="003F6301" w14:paraId="2D5DABB6" w14:textId="77777777">
            <w:pPr>
              <w:spacing w:after="0" w:line="240" w:lineRule="auto"/>
              <w:rPr>
                <w:b/>
                <w:bCs/>
                <w:color w:val="000000"/>
                <w:sz w:val="22"/>
              </w:rPr>
            </w:pPr>
          </w:p>
        </w:tc>
        <w:tc>
          <w:tcPr>
            <w:tcW w:w="804" w:type="pct"/>
            <w:vMerge/>
            <w:vAlign w:val="center"/>
          </w:tcPr>
          <w:p w:rsidR="00CA19A2" w:rsidRPr="00A8196B" w:rsidP="003F6301" w14:paraId="7D913271" w14:textId="77777777">
            <w:pPr>
              <w:spacing w:after="0" w:line="240" w:lineRule="auto"/>
              <w:rPr>
                <w:b/>
                <w:bCs/>
                <w:color w:val="000000"/>
                <w:sz w:val="22"/>
              </w:rPr>
            </w:pPr>
          </w:p>
        </w:tc>
      </w:tr>
      <w:tr w14:paraId="76D37D0C" w14:textId="77777777" w:rsidTr="003F6301">
        <w:tblPrEx>
          <w:tblW w:w="5000" w:type="pct"/>
          <w:tblLook w:val="04A0"/>
        </w:tblPrEx>
        <w:tc>
          <w:tcPr>
            <w:tcW w:w="1537" w:type="pct"/>
            <w:shd w:val="clear" w:color="auto" w:fill="auto"/>
            <w:vAlign w:val="bottom"/>
            <w:hideMark/>
          </w:tcPr>
          <w:p w:rsidR="00CA19A2" w:rsidRPr="00A8196B" w:rsidP="003F6301" w14:paraId="7A35C891" w14:textId="77777777">
            <w:pPr>
              <w:spacing w:after="0" w:line="240" w:lineRule="auto"/>
              <w:rPr>
                <w:color w:val="000000"/>
                <w:sz w:val="22"/>
              </w:rPr>
            </w:pPr>
            <w:r w:rsidRPr="00A8196B">
              <w:rPr>
                <w:sz w:val="22"/>
              </w:rPr>
              <w:t>CDX registration</w:t>
            </w:r>
          </w:p>
        </w:tc>
        <w:tc>
          <w:tcPr>
            <w:tcW w:w="867" w:type="pct"/>
            <w:shd w:val="clear" w:color="auto" w:fill="auto"/>
            <w:vAlign w:val="center"/>
            <w:hideMark/>
          </w:tcPr>
          <w:p w:rsidR="00CA19A2" w:rsidRPr="00A8196B" w:rsidP="003F6301" w14:paraId="7C5C6C64" w14:textId="61A721FB">
            <w:pPr>
              <w:spacing w:after="0" w:line="240" w:lineRule="auto"/>
              <w:ind w:right="435"/>
              <w:jc w:val="right"/>
              <w:rPr>
                <w:color w:val="000000"/>
                <w:sz w:val="22"/>
              </w:rPr>
            </w:pPr>
            <w:r w:rsidRPr="00A8196B">
              <w:rPr>
                <w:color w:val="000000"/>
                <w:sz w:val="22"/>
              </w:rPr>
              <w:t>$0.00</w:t>
            </w:r>
          </w:p>
        </w:tc>
        <w:tc>
          <w:tcPr>
            <w:tcW w:w="943" w:type="pct"/>
            <w:shd w:val="clear" w:color="auto" w:fill="auto"/>
            <w:vAlign w:val="center"/>
            <w:hideMark/>
          </w:tcPr>
          <w:p w:rsidR="00CA19A2" w:rsidRPr="00A8196B" w:rsidP="003F6301" w14:paraId="00B73324" w14:textId="63CF760B">
            <w:pPr>
              <w:spacing w:after="0" w:line="240" w:lineRule="auto"/>
              <w:ind w:right="435"/>
              <w:jc w:val="right"/>
              <w:rPr>
                <w:color w:val="000000"/>
                <w:sz w:val="22"/>
              </w:rPr>
            </w:pPr>
            <w:r w:rsidRPr="00A8196B">
              <w:rPr>
                <w:color w:val="000000"/>
                <w:sz w:val="22"/>
              </w:rPr>
              <w:t>$</w:t>
            </w:r>
            <w:r w:rsidRPr="00A8196B" w:rsidR="002B12E3">
              <w:rPr>
                <w:color w:val="000000"/>
                <w:sz w:val="22"/>
              </w:rPr>
              <w:t>59.90</w:t>
            </w:r>
          </w:p>
        </w:tc>
        <w:tc>
          <w:tcPr>
            <w:tcW w:w="849" w:type="pct"/>
            <w:shd w:val="clear" w:color="auto" w:fill="auto"/>
            <w:vAlign w:val="center"/>
            <w:hideMark/>
          </w:tcPr>
          <w:p w:rsidR="00CA19A2" w:rsidRPr="00A8196B" w:rsidP="003F6301" w14:paraId="0F319478" w14:textId="28F0785D">
            <w:pPr>
              <w:spacing w:after="0" w:line="240" w:lineRule="auto"/>
              <w:ind w:right="435"/>
              <w:jc w:val="right"/>
              <w:rPr>
                <w:color w:val="000000"/>
                <w:sz w:val="22"/>
              </w:rPr>
            </w:pPr>
            <w:r w:rsidRPr="00A8196B">
              <w:rPr>
                <w:color w:val="000000"/>
                <w:sz w:val="22"/>
              </w:rPr>
              <w:t>$</w:t>
            </w:r>
            <w:r w:rsidRPr="00A8196B" w:rsidR="002B12E3">
              <w:rPr>
                <w:color w:val="000000"/>
                <w:sz w:val="22"/>
              </w:rPr>
              <w:t>17.17</w:t>
            </w:r>
          </w:p>
        </w:tc>
        <w:tc>
          <w:tcPr>
            <w:tcW w:w="804" w:type="pct"/>
            <w:shd w:val="clear" w:color="auto" w:fill="auto"/>
            <w:vAlign w:val="center"/>
            <w:hideMark/>
          </w:tcPr>
          <w:p w:rsidR="00CA19A2" w:rsidRPr="00A8196B" w:rsidP="003F6301" w14:paraId="7C196F65" w14:textId="2C463EA2">
            <w:pPr>
              <w:spacing w:after="0" w:line="240" w:lineRule="auto"/>
              <w:ind w:right="435"/>
              <w:jc w:val="right"/>
              <w:rPr>
                <w:b/>
                <w:color w:val="000000"/>
                <w:sz w:val="22"/>
              </w:rPr>
            </w:pPr>
            <w:r w:rsidRPr="00A8196B">
              <w:rPr>
                <w:b/>
                <w:bCs/>
                <w:color w:val="000000"/>
                <w:sz w:val="22"/>
              </w:rPr>
              <w:t>$</w:t>
            </w:r>
            <w:r w:rsidRPr="00A8196B" w:rsidR="002B12E3">
              <w:rPr>
                <w:b/>
                <w:bCs/>
                <w:color w:val="000000"/>
                <w:sz w:val="22"/>
              </w:rPr>
              <w:t>77.08</w:t>
            </w:r>
          </w:p>
        </w:tc>
      </w:tr>
      <w:tr w14:paraId="2FB48617" w14:textId="77777777" w:rsidTr="003F6301">
        <w:tblPrEx>
          <w:tblW w:w="5000" w:type="pct"/>
          <w:tblLook w:val="04A0"/>
        </w:tblPrEx>
        <w:tc>
          <w:tcPr>
            <w:tcW w:w="1537" w:type="pct"/>
            <w:shd w:val="clear" w:color="auto" w:fill="auto"/>
            <w:vAlign w:val="bottom"/>
          </w:tcPr>
          <w:p w:rsidR="00CA19A2" w:rsidRPr="00A8196B" w:rsidP="003F6301" w14:paraId="2A7127A0" w14:textId="77777777">
            <w:pPr>
              <w:spacing w:after="0" w:line="240" w:lineRule="auto"/>
              <w:rPr>
                <w:sz w:val="22"/>
              </w:rPr>
            </w:pPr>
            <w:r w:rsidRPr="00A8196B">
              <w:rPr>
                <w:sz w:val="22"/>
              </w:rPr>
              <w:t>CDX electronic signature</w:t>
            </w:r>
          </w:p>
        </w:tc>
        <w:tc>
          <w:tcPr>
            <w:tcW w:w="867" w:type="pct"/>
            <w:shd w:val="clear" w:color="auto" w:fill="auto"/>
            <w:vAlign w:val="center"/>
          </w:tcPr>
          <w:p w:rsidR="00CA19A2" w:rsidRPr="00A8196B" w:rsidP="003F6301" w14:paraId="5209FF1D" w14:textId="1DDDA532">
            <w:pPr>
              <w:spacing w:after="0" w:line="240" w:lineRule="auto"/>
              <w:ind w:right="435"/>
              <w:jc w:val="right"/>
              <w:rPr>
                <w:color w:val="000000"/>
                <w:sz w:val="22"/>
              </w:rPr>
            </w:pPr>
            <w:r w:rsidRPr="00A8196B">
              <w:rPr>
                <w:color w:val="000000"/>
                <w:sz w:val="22"/>
              </w:rPr>
              <w:t>$0.00</w:t>
            </w:r>
          </w:p>
        </w:tc>
        <w:tc>
          <w:tcPr>
            <w:tcW w:w="943" w:type="pct"/>
            <w:shd w:val="clear" w:color="auto" w:fill="auto"/>
            <w:vAlign w:val="center"/>
          </w:tcPr>
          <w:p w:rsidR="00CA19A2" w:rsidRPr="00A8196B" w:rsidP="003F6301" w14:paraId="648CDB24" w14:textId="5B17288F">
            <w:pPr>
              <w:spacing w:after="0" w:line="240" w:lineRule="auto"/>
              <w:ind w:right="435"/>
              <w:jc w:val="right"/>
              <w:rPr>
                <w:color w:val="000000"/>
                <w:sz w:val="22"/>
              </w:rPr>
            </w:pPr>
            <w:r w:rsidRPr="00A8196B">
              <w:rPr>
                <w:color w:val="000000"/>
                <w:sz w:val="22"/>
              </w:rPr>
              <w:t>$</w:t>
            </w:r>
            <w:r w:rsidRPr="00A8196B" w:rsidR="002B12E3">
              <w:rPr>
                <w:color w:val="000000"/>
                <w:sz w:val="22"/>
              </w:rPr>
              <w:t>82.06</w:t>
            </w:r>
          </w:p>
        </w:tc>
        <w:tc>
          <w:tcPr>
            <w:tcW w:w="849" w:type="pct"/>
            <w:shd w:val="clear" w:color="auto" w:fill="auto"/>
            <w:vAlign w:val="center"/>
          </w:tcPr>
          <w:p w:rsidR="00CA19A2" w:rsidRPr="00A8196B" w:rsidP="003F6301" w14:paraId="0ABFEB98" w14:textId="227BD509">
            <w:pPr>
              <w:spacing w:after="0" w:line="240" w:lineRule="auto"/>
              <w:ind w:right="435"/>
              <w:jc w:val="right"/>
              <w:rPr>
                <w:color w:val="000000"/>
                <w:sz w:val="22"/>
              </w:rPr>
            </w:pPr>
            <w:r w:rsidRPr="00A8196B">
              <w:rPr>
                <w:color w:val="000000"/>
                <w:sz w:val="22"/>
              </w:rPr>
              <w:t>$</w:t>
            </w:r>
            <w:r w:rsidRPr="00A8196B" w:rsidR="002B12E3">
              <w:rPr>
                <w:color w:val="000000"/>
                <w:sz w:val="22"/>
              </w:rPr>
              <w:t>71.56</w:t>
            </w:r>
          </w:p>
        </w:tc>
        <w:tc>
          <w:tcPr>
            <w:tcW w:w="804" w:type="pct"/>
            <w:shd w:val="clear" w:color="auto" w:fill="auto"/>
            <w:vAlign w:val="center"/>
          </w:tcPr>
          <w:p w:rsidR="00CA19A2" w:rsidRPr="00A8196B" w:rsidP="003F6301" w14:paraId="7FBDCED4" w14:textId="03A88101">
            <w:pPr>
              <w:spacing w:after="0" w:line="240" w:lineRule="auto"/>
              <w:ind w:right="435"/>
              <w:jc w:val="right"/>
              <w:rPr>
                <w:b/>
                <w:color w:val="000000"/>
                <w:sz w:val="22"/>
              </w:rPr>
            </w:pPr>
            <w:r w:rsidRPr="00A8196B">
              <w:rPr>
                <w:b/>
                <w:bCs/>
                <w:color w:val="000000"/>
                <w:sz w:val="22"/>
              </w:rPr>
              <w:t>$</w:t>
            </w:r>
            <w:r w:rsidRPr="00A8196B" w:rsidR="002B12E3">
              <w:rPr>
                <w:b/>
                <w:bCs/>
                <w:color w:val="000000"/>
                <w:sz w:val="22"/>
              </w:rPr>
              <w:t>153.62</w:t>
            </w:r>
          </w:p>
        </w:tc>
      </w:tr>
      <w:tr w14:paraId="3659A190" w14:textId="77777777" w:rsidTr="003F6301">
        <w:tblPrEx>
          <w:tblW w:w="5000" w:type="pct"/>
          <w:tblLook w:val="04A0"/>
        </w:tblPrEx>
        <w:tc>
          <w:tcPr>
            <w:tcW w:w="1537" w:type="pct"/>
            <w:vAlign w:val="bottom"/>
          </w:tcPr>
          <w:p w:rsidR="00CA19A2" w:rsidRPr="00A8196B" w:rsidP="003F6301" w14:paraId="3B88E990" w14:textId="77777777">
            <w:pPr>
              <w:spacing w:after="0" w:line="240" w:lineRule="auto"/>
              <w:rPr>
                <w:sz w:val="22"/>
              </w:rPr>
            </w:pPr>
            <w:r w:rsidRPr="00A8196B">
              <w:rPr>
                <w:sz w:val="22"/>
              </w:rPr>
              <w:t>Mailing cost</w:t>
            </w:r>
          </w:p>
        </w:tc>
        <w:tc>
          <w:tcPr>
            <w:tcW w:w="2659" w:type="pct"/>
            <w:gridSpan w:val="3"/>
          </w:tcPr>
          <w:p w:rsidR="00CA19A2" w:rsidRPr="00A8196B" w:rsidP="003F6301" w14:paraId="0E74FE8D" w14:textId="77777777">
            <w:pPr>
              <w:spacing w:after="0" w:line="240" w:lineRule="auto"/>
              <w:ind w:right="435"/>
              <w:jc w:val="right"/>
              <w:rPr>
                <w:color w:val="000000"/>
                <w:sz w:val="22"/>
              </w:rPr>
            </w:pPr>
          </w:p>
        </w:tc>
        <w:tc>
          <w:tcPr>
            <w:tcW w:w="804" w:type="pct"/>
            <w:vAlign w:val="center"/>
          </w:tcPr>
          <w:p w:rsidR="00CA19A2" w:rsidRPr="00A8196B" w:rsidP="003F6301" w14:paraId="39561468" w14:textId="77777777">
            <w:pPr>
              <w:spacing w:after="0" w:line="240" w:lineRule="auto"/>
              <w:ind w:right="435"/>
              <w:jc w:val="right"/>
              <w:rPr>
                <w:b/>
                <w:color w:val="000000"/>
                <w:sz w:val="22"/>
              </w:rPr>
            </w:pPr>
            <w:r w:rsidRPr="00A8196B">
              <w:rPr>
                <w:b/>
                <w:color w:val="000000"/>
                <w:sz w:val="22"/>
              </w:rPr>
              <w:t>$2.79</w:t>
            </w:r>
          </w:p>
        </w:tc>
      </w:tr>
      <w:tr w14:paraId="0398DD8E" w14:textId="77777777" w:rsidTr="003F6301">
        <w:tblPrEx>
          <w:tblW w:w="5000" w:type="pct"/>
          <w:tblLook w:val="04A0"/>
        </w:tblPrEx>
        <w:tc>
          <w:tcPr>
            <w:tcW w:w="1537" w:type="pct"/>
            <w:vAlign w:val="bottom"/>
            <w:hideMark/>
          </w:tcPr>
          <w:p w:rsidR="00CA19A2" w:rsidRPr="00A8196B" w:rsidP="003F6301" w14:paraId="2797EB9A" w14:textId="77777777">
            <w:pPr>
              <w:spacing w:after="0" w:line="240" w:lineRule="auto"/>
              <w:rPr>
                <w:color w:val="000000"/>
                <w:sz w:val="22"/>
              </w:rPr>
            </w:pPr>
            <w:r w:rsidRPr="00A8196B">
              <w:rPr>
                <w:sz w:val="22"/>
              </w:rPr>
              <w:t>E-payment (Pay.gov ID)</w:t>
            </w:r>
          </w:p>
        </w:tc>
        <w:tc>
          <w:tcPr>
            <w:tcW w:w="867" w:type="pct"/>
            <w:vAlign w:val="center"/>
            <w:hideMark/>
          </w:tcPr>
          <w:p w:rsidR="00CA19A2" w:rsidRPr="00A8196B" w:rsidP="003F6301" w14:paraId="0A364811" w14:textId="7269C8D2">
            <w:pPr>
              <w:spacing w:after="0" w:line="240" w:lineRule="auto"/>
              <w:ind w:right="435"/>
              <w:jc w:val="right"/>
              <w:rPr>
                <w:color w:val="000000"/>
                <w:sz w:val="22"/>
              </w:rPr>
            </w:pPr>
            <w:r w:rsidRPr="00A8196B">
              <w:rPr>
                <w:color w:val="000000"/>
                <w:sz w:val="22"/>
              </w:rPr>
              <w:t>$0.00</w:t>
            </w:r>
          </w:p>
        </w:tc>
        <w:tc>
          <w:tcPr>
            <w:tcW w:w="943" w:type="pct"/>
            <w:vAlign w:val="center"/>
            <w:hideMark/>
          </w:tcPr>
          <w:p w:rsidR="00CA19A2" w:rsidRPr="00A8196B" w:rsidP="003F6301" w14:paraId="5F7774D6" w14:textId="5F4A08BD">
            <w:pPr>
              <w:spacing w:after="0" w:line="240" w:lineRule="auto"/>
              <w:ind w:right="435"/>
              <w:jc w:val="right"/>
              <w:rPr>
                <w:color w:val="000000"/>
                <w:sz w:val="22"/>
              </w:rPr>
            </w:pPr>
            <w:r w:rsidRPr="00A8196B">
              <w:rPr>
                <w:color w:val="000000"/>
                <w:sz w:val="22"/>
              </w:rPr>
              <w:t>$0.00</w:t>
            </w:r>
          </w:p>
        </w:tc>
        <w:tc>
          <w:tcPr>
            <w:tcW w:w="849" w:type="pct"/>
            <w:vAlign w:val="center"/>
            <w:hideMark/>
          </w:tcPr>
          <w:p w:rsidR="00CA19A2" w:rsidRPr="00A8196B" w:rsidP="003F6301" w14:paraId="04CA2C95" w14:textId="363E1C98">
            <w:pPr>
              <w:spacing w:after="0" w:line="240" w:lineRule="auto"/>
              <w:ind w:right="435"/>
              <w:jc w:val="right"/>
              <w:rPr>
                <w:color w:val="000000"/>
                <w:sz w:val="22"/>
              </w:rPr>
            </w:pPr>
            <w:r w:rsidRPr="00A8196B">
              <w:rPr>
                <w:color w:val="000000"/>
                <w:sz w:val="22"/>
              </w:rPr>
              <w:t>$10</w:t>
            </w:r>
            <w:r w:rsidRPr="00A8196B" w:rsidR="002B12E3">
              <w:rPr>
                <w:color w:val="000000"/>
                <w:sz w:val="22"/>
              </w:rPr>
              <w:t>.66</w:t>
            </w:r>
          </w:p>
        </w:tc>
        <w:tc>
          <w:tcPr>
            <w:tcW w:w="804" w:type="pct"/>
            <w:vAlign w:val="center"/>
            <w:hideMark/>
          </w:tcPr>
          <w:p w:rsidR="00CA19A2" w:rsidRPr="00A8196B" w:rsidP="003F6301" w14:paraId="5B1D06C0" w14:textId="07DBB635">
            <w:pPr>
              <w:spacing w:after="0" w:line="240" w:lineRule="auto"/>
              <w:ind w:right="435"/>
              <w:jc w:val="right"/>
              <w:rPr>
                <w:b/>
                <w:color w:val="000000"/>
                <w:sz w:val="22"/>
              </w:rPr>
            </w:pPr>
            <w:r w:rsidRPr="00A8196B">
              <w:rPr>
                <w:b/>
                <w:bCs/>
                <w:color w:val="000000"/>
                <w:sz w:val="22"/>
              </w:rPr>
              <w:t>$10.</w:t>
            </w:r>
            <w:r w:rsidRPr="00A8196B" w:rsidR="002B12E3">
              <w:rPr>
                <w:b/>
                <w:bCs/>
                <w:color w:val="000000"/>
                <w:sz w:val="22"/>
              </w:rPr>
              <w:t>66</w:t>
            </w:r>
          </w:p>
        </w:tc>
      </w:tr>
      <w:tr w14:paraId="3880ACE4" w14:textId="77777777" w:rsidTr="003F6301">
        <w:tblPrEx>
          <w:tblW w:w="5000" w:type="pct"/>
          <w:tblLook w:val="04A0"/>
        </w:tblPrEx>
        <w:tc>
          <w:tcPr>
            <w:tcW w:w="1537" w:type="pct"/>
            <w:vAlign w:val="center"/>
          </w:tcPr>
          <w:p w:rsidR="00CA19A2" w:rsidRPr="00A8196B" w:rsidP="003F6301" w14:paraId="1A782FFC" w14:textId="77777777">
            <w:pPr>
              <w:spacing w:after="0" w:line="240" w:lineRule="auto"/>
              <w:rPr>
                <w:color w:val="000000"/>
                <w:sz w:val="22"/>
              </w:rPr>
            </w:pPr>
            <w:r w:rsidRPr="00A8196B">
              <w:rPr>
                <w:b/>
                <w:bCs/>
                <w:sz w:val="22"/>
              </w:rPr>
              <w:t>Total</w:t>
            </w:r>
          </w:p>
        </w:tc>
        <w:tc>
          <w:tcPr>
            <w:tcW w:w="867" w:type="pct"/>
            <w:vAlign w:val="center"/>
          </w:tcPr>
          <w:p w:rsidR="00CA19A2" w:rsidRPr="00A8196B" w:rsidP="003F6301" w14:paraId="0FD58E26" w14:textId="12E9D192">
            <w:pPr>
              <w:spacing w:after="0" w:line="240" w:lineRule="auto"/>
              <w:ind w:right="435"/>
              <w:jc w:val="right"/>
              <w:rPr>
                <w:color w:val="000000"/>
                <w:sz w:val="22"/>
              </w:rPr>
            </w:pPr>
            <w:r w:rsidRPr="00A8196B">
              <w:rPr>
                <w:b/>
                <w:bCs/>
                <w:color w:val="000000"/>
                <w:sz w:val="22"/>
              </w:rPr>
              <w:t>$0.00</w:t>
            </w:r>
          </w:p>
        </w:tc>
        <w:tc>
          <w:tcPr>
            <w:tcW w:w="943" w:type="pct"/>
            <w:vAlign w:val="center"/>
          </w:tcPr>
          <w:p w:rsidR="00CA19A2" w:rsidRPr="00A8196B" w:rsidP="003F6301" w14:paraId="0EBAF2BE" w14:textId="2F197800">
            <w:pPr>
              <w:spacing w:after="0" w:line="240" w:lineRule="auto"/>
              <w:ind w:right="435"/>
              <w:jc w:val="right"/>
              <w:rPr>
                <w:color w:val="000000"/>
                <w:sz w:val="22"/>
              </w:rPr>
            </w:pPr>
            <w:r w:rsidRPr="00A8196B">
              <w:rPr>
                <w:b/>
                <w:bCs/>
                <w:color w:val="000000"/>
                <w:sz w:val="22"/>
              </w:rPr>
              <w:t>$</w:t>
            </w:r>
            <w:r w:rsidRPr="00A8196B" w:rsidR="00FF2A48">
              <w:rPr>
                <w:b/>
                <w:bCs/>
                <w:color w:val="000000"/>
                <w:sz w:val="22"/>
              </w:rPr>
              <w:t>1</w:t>
            </w:r>
            <w:r w:rsidRPr="00A8196B" w:rsidR="00D742A7">
              <w:rPr>
                <w:b/>
                <w:bCs/>
                <w:color w:val="000000"/>
                <w:sz w:val="22"/>
              </w:rPr>
              <w:t>41.96</w:t>
            </w:r>
          </w:p>
        </w:tc>
        <w:tc>
          <w:tcPr>
            <w:tcW w:w="849" w:type="pct"/>
            <w:vAlign w:val="center"/>
          </w:tcPr>
          <w:p w:rsidR="00CA19A2" w:rsidRPr="00A8196B" w:rsidP="003F6301" w14:paraId="34FF1992" w14:textId="7F1D670C">
            <w:pPr>
              <w:spacing w:after="0" w:line="240" w:lineRule="auto"/>
              <w:ind w:right="435"/>
              <w:jc w:val="right"/>
              <w:rPr>
                <w:color w:val="000000"/>
                <w:sz w:val="22"/>
              </w:rPr>
            </w:pPr>
            <w:r w:rsidRPr="00A8196B">
              <w:rPr>
                <w:b/>
                <w:bCs/>
                <w:color w:val="000000"/>
                <w:sz w:val="22"/>
              </w:rPr>
              <w:t>$</w:t>
            </w:r>
            <w:r w:rsidRPr="00A8196B" w:rsidR="00FD5295">
              <w:rPr>
                <w:b/>
                <w:bCs/>
                <w:color w:val="000000"/>
                <w:sz w:val="22"/>
              </w:rPr>
              <w:t>99.39</w:t>
            </w:r>
          </w:p>
        </w:tc>
        <w:tc>
          <w:tcPr>
            <w:tcW w:w="804" w:type="pct"/>
            <w:vAlign w:val="center"/>
          </w:tcPr>
          <w:p w:rsidR="00CA19A2" w:rsidRPr="00A8196B" w:rsidP="003F6301" w14:paraId="3984D8DF" w14:textId="26072967">
            <w:pPr>
              <w:spacing w:after="0" w:line="240" w:lineRule="auto"/>
              <w:ind w:right="435"/>
              <w:jc w:val="right"/>
              <w:rPr>
                <w:color w:val="000000"/>
                <w:sz w:val="22"/>
              </w:rPr>
            </w:pPr>
            <w:r w:rsidRPr="00A8196B">
              <w:rPr>
                <w:b/>
                <w:bCs/>
                <w:color w:val="000000"/>
                <w:sz w:val="22"/>
              </w:rPr>
              <w:t>$</w:t>
            </w:r>
            <w:r w:rsidRPr="00A8196B" w:rsidR="00FF2A48">
              <w:rPr>
                <w:b/>
                <w:bCs/>
                <w:color w:val="000000"/>
                <w:sz w:val="22"/>
              </w:rPr>
              <w:t>24</w:t>
            </w:r>
            <w:r w:rsidRPr="00A8196B" w:rsidR="00D742A7">
              <w:rPr>
                <w:b/>
                <w:bCs/>
                <w:color w:val="000000"/>
                <w:sz w:val="22"/>
              </w:rPr>
              <w:t>4</w:t>
            </w:r>
            <w:r w:rsidRPr="00A8196B" w:rsidR="00FF2A48">
              <w:rPr>
                <w:b/>
                <w:bCs/>
                <w:color w:val="000000"/>
                <w:sz w:val="22"/>
              </w:rPr>
              <w:t>.</w:t>
            </w:r>
            <w:r w:rsidRPr="00A8196B" w:rsidR="00D742A7">
              <w:rPr>
                <w:b/>
                <w:bCs/>
                <w:color w:val="000000"/>
                <w:sz w:val="22"/>
              </w:rPr>
              <w:t>15</w:t>
            </w:r>
          </w:p>
        </w:tc>
      </w:tr>
    </w:tbl>
    <w:p w:rsidR="00CA19A2" w:rsidRPr="00A8196B" w:rsidP="008C16F4" w14:paraId="36D4B8A3" w14:textId="1B8D3E04">
      <w:pPr>
        <w:pStyle w:val="Caption"/>
      </w:pPr>
      <w:r w:rsidRPr="00A8196B">
        <w:t>Table</w:t>
      </w:r>
      <w:r w:rsidRPr="00A8196B">
        <w:rPr>
          <w:bCs/>
        </w:rPr>
        <w:t xml:space="preserve"> </w:t>
      </w:r>
      <w:r w:rsidRPr="00A8196B">
        <w:rPr>
          <w:bCs/>
        </w:rPr>
        <w:fldChar w:fldCharType="begin"/>
      </w:r>
      <w:r w:rsidRPr="00A8196B">
        <w:rPr>
          <w:bCs/>
        </w:rPr>
        <w:instrText xml:space="preserve"> SEQ Table \* ARABIC </w:instrText>
      </w:r>
      <w:r w:rsidRPr="00A8196B">
        <w:rPr>
          <w:bCs/>
        </w:rPr>
        <w:fldChar w:fldCharType="separate"/>
      </w:r>
      <w:r w:rsidR="009B2ACE">
        <w:rPr>
          <w:bCs/>
          <w:noProof/>
        </w:rPr>
        <w:t>8</w:t>
      </w:r>
      <w:r w:rsidRPr="00A8196B">
        <w:rPr>
          <w:bCs/>
        </w:rPr>
        <w:fldChar w:fldCharType="end"/>
      </w:r>
      <w:r w:rsidRPr="00A8196B">
        <w:rPr>
          <w:bCs/>
        </w:rPr>
        <w:t xml:space="preserve">: </w:t>
      </w:r>
      <w:r w:rsidRPr="00A8196B">
        <w:rPr>
          <w:bCs/>
        </w:rPr>
        <w:t>Unit Reporting Cost Estimates, Associated with Filing a SNUN by Labor Category</w:t>
      </w:r>
      <w:r w:rsidRPr="00A8196B">
        <w:rPr>
          <w:b w:val="0"/>
          <w:bCs/>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73"/>
        <w:gridCol w:w="1620"/>
        <w:gridCol w:w="1712"/>
        <w:gridCol w:w="1620"/>
        <w:gridCol w:w="1519"/>
      </w:tblGrid>
      <w:tr w14:paraId="1D05C261" w14:textId="77777777" w:rsidTr="000C606B">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253"/>
          <w:tblHeader/>
        </w:trPr>
        <w:tc>
          <w:tcPr>
            <w:tcW w:w="1537" w:type="pct"/>
            <w:vMerge w:val="restart"/>
            <w:vAlign w:val="bottom"/>
          </w:tcPr>
          <w:p w:rsidR="00CA19A2" w:rsidRPr="00A8196B" w:rsidP="00F83C06" w14:paraId="19BC27AC" w14:textId="77777777">
            <w:pPr>
              <w:spacing w:after="0" w:line="240" w:lineRule="auto"/>
              <w:rPr>
                <w:b/>
                <w:bCs/>
                <w:color w:val="000000"/>
                <w:sz w:val="22"/>
              </w:rPr>
            </w:pPr>
            <w:r w:rsidRPr="00A8196B">
              <w:rPr>
                <w:b/>
                <w:bCs/>
                <w:color w:val="000000"/>
                <w:sz w:val="22"/>
              </w:rPr>
              <w:t>Activity</w:t>
            </w:r>
          </w:p>
        </w:tc>
        <w:tc>
          <w:tcPr>
            <w:tcW w:w="867" w:type="pct"/>
            <w:vMerge w:val="restart"/>
          </w:tcPr>
          <w:p w:rsidR="00CA19A2" w:rsidRPr="00A8196B" w:rsidP="00F83C06" w14:paraId="624ABEE2" w14:textId="372D9FEE">
            <w:pPr>
              <w:spacing w:after="0" w:line="240" w:lineRule="auto"/>
              <w:jc w:val="center"/>
              <w:rPr>
                <w:b/>
                <w:bCs/>
                <w:color w:val="000000"/>
                <w:sz w:val="22"/>
              </w:rPr>
            </w:pPr>
            <w:r w:rsidRPr="00A8196B">
              <w:rPr>
                <w:b/>
                <w:sz w:val="22"/>
              </w:rPr>
              <w:t>Clerical Labor ($3</w:t>
            </w:r>
            <w:r w:rsidRPr="00A8196B" w:rsidR="00342A6C">
              <w:rPr>
                <w:b/>
                <w:sz w:val="22"/>
              </w:rPr>
              <w:t>7.33</w:t>
            </w:r>
            <w:r w:rsidRPr="00A8196B">
              <w:rPr>
                <w:b/>
                <w:sz w:val="22"/>
              </w:rPr>
              <w:t>/hour)</w:t>
            </w:r>
          </w:p>
        </w:tc>
        <w:tc>
          <w:tcPr>
            <w:tcW w:w="916" w:type="pct"/>
            <w:vMerge w:val="restart"/>
          </w:tcPr>
          <w:p w:rsidR="00CA19A2" w:rsidRPr="00A8196B" w:rsidP="00F83C06" w14:paraId="6889D64A" w14:textId="6C5D2C53">
            <w:pPr>
              <w:spacing w:after="0" w:line="240" w:lineRule="auto"/>
              <w:jc w:val="center"/>
              <w:rPr>
                <w:b/>
                <w:bCs/>
                <w:color w:val="000000"/>
                <w:sz w:val="22"/>
              </w:rPr>
            </w:pPr>
            <w:r w:rsidRPr="00A8196B">
              <w:rPr>
                <w:b/>
                <w:sz w:val="22"/>
              </w:rPr>
              <w:t>Technical Labor ($</w:t>
            </w:r>
            <w:r w:rsidRPr="00A8196B" w:rsidR="000E6E0D">
              <w:rPr>
                <w:b/>
                <w:sz w:val="22"/>
              </w:rPr>
              <w:t>82.06</w:t>
            </w:r>
            <w:r w:rsidRPr="00A8196B">
              <w:rPr>
                <w:b/>
                <w:sz w:val="22"/>
              </w:rPr>
              <w:t>/hour)</w:t>
            </w:r>
          </w:p>
        </w:tc>
        <w:tc>
          <w:tcPr>
            <w:tcW w:w="867" w:type="pct"/>
            <w:vMerge w:val="restart"/>
          </w:tcPr>
          <w:p w:rsidR="00CA19A2" w:rsidRPr="00A8196B" w:rsidP="00F83C06" w14:paraId="0AEECE32" w14:textId="4D7A5534">
            <w:pPr>
              <w:spacing w:after="0" w:line="240" w:lineRule="auto"/>
              <w:jc w:val="center"/>
              <w:rPr>
                <w:b/>
                <w:bCs/>
                <w:color w:val="000000"/>
                <w:sz w:val="22"/>
              </w:rPr>
            </w:pPr>
            <w:r w:rsidRPr="00A8196B">
              <w:rPr>
                <w:b/>
                <w:sz w:val="22"/>
              </w:rPr>
              <w:t>Managerial Labor ($</w:t>
            </w:r>
            <w:r w:rsidRPr="00A8196B" w:rsidR="000E6E0D">
              <w:rPr>
                <w:b/>
                <w:sz w:val="22"/>
              </w:rPr>
              <w:t>95.41</w:t>
            </w:r>
            <w:r w:rsidRPr="00A8196B">
              <w:rPr>
                <w:b/>
                <w:sz w:val="22"/>
              </w:rPr>
              <w:t>/hour)</w:t>
            </w:r>
          </w:p>
        </w:tc>
        <w:tc>
          <w:tcPr>
            <w:tcW w:w="813" w:type="pct"/>
            <w:vMerge w:val="restart"/>
          </w:tcPr>
          <w:p w:rsidR="00A7023B" w:rsidRPr="00A8196B" w:rsidP="00F83C06" w14:paraId="2E039BA5" w14:textId="77777777">
            <w:pPr>
              <w:spacing w:after="0" w:line="240" w:lineRule="auto"/>
              <w:jc w:val="center"/>
              <w:rPr>
                <w:b/>
                <w:sz w:val="22"/>
              </w:rPr>
            </w:pPr>
            <w:r w:rsidRPr="00A8196B">
              <w:rPr>
                <w:b/>
                <w:sz w:val="22"/>
              </w:rPr>
              <w:t>Total Labor Cost</w:t>
            </w:r>
          </w:p>
          <w:p w:rsidR="00CA19A2" w:rsidRPr="00A8196B" w:rsidP="00F83C06" w14:paraId="06C70B36" w14:textId="5C546DC2">
            <w:pPr>
              <w:spacing w:after="0" w:line="240" w:lineRule="auto"/>
              <w:jc w:val="center"/>
              <w:rPr>
                <w:b/>
                <w:bCs/>
                <w:color w:val="000000"/>
                <w:sz w:val="22"/>
              </w:rPr>
            </w:pPr>
            <w:r w:rsidRPr="00A8196B">
              <w:rPr>
                <w:b/>
                <w:sz w:val="22"/>
              </w:rPr>
              <w:t>(20</w:t>
            </w:r>
            <w:r w:rsidRPr="00A8196B" w:rsidR="00FD5295">
              <w:rPr>
                <w:b/>
                <w:sz w:val="22"/>
              </w:rPr>
              <w:t>21</w:t>
            </w:r>
            <w:r w:rsidRPr="00A8196B">
              <w:rPr>
                <w:b/>
                <w:sz w:val="22"/>
              </w:rPr>
              <w:t>$)</w:t>
            </w:r>
          </w:p>
        </w:tc>
      </w:tr>
      <w:tr w14:paraId="36CB3DF4" w14:textId="77777777" w:rsidTr="00F83C06">
        <w:tblPrEx>
          <w:tblW w:w="5000" w:type="pct"/>
          <w:tblLook w:val="04A0"/>
        </w:tblPrEx>
        <w:trPr>
          <w:trHeight w:val="491"/>
        </w:trPr>
        <w:tc>
          <w:tcPr>
            <w:tcW w:w="1537" w:type="pct"/>
            <w:vMerge/>
          </w:tcPr>
          <w:p w:rsidR="00CA19A2" w:rsidRPr="00A8196B" w:rsidP="00F83C06" w14:paraId="00FEB9B7" w14:textId="77777777">
            <w:pPr>
              <w:spacing w:after="0" w:line="240" w:lineRule="auto"/>
              <w:rPr>
                <w:b/>
                <w:bCs/>
                <w:color w:val="000000"/>
                <w:sz w:val="22"/>
              </w:rPr>
            </w:pPr>
          </w:p>
        </w:tc>
        <w:tc>
          <w:tcPr>
            <w:tcW w:w="867" w:type="pct"/>
            <w:vMerge/>
          </w:tcPr>
          <w:p w:rsidR="00CA19A2" w:rsidRPr="00A8196B" w:rsidP="00F83C06" w14:paraId="472756FB" w14:textId="77777777">
            <w:pPr>
              <w:spacing w:after="0" w:line="240" w:lineRule="auto"/>
              <w:rPr>
                <w:b/>
                <w:bCs/>
                <w:color w:val="000000"/>
                <w:sz w:val="22"/>
              </w:rPr>
            </w:pPr>
          </w:p>
        </w:tc>
        <w:tc>
          <w:tcPr>
            <w:tcW w:w="916" w:type="pct"/>
            <w:vMerge/>
          </w:tcPr>
          <w:p w:rsidR="00CA19A2" w:rsidRPr="00A8196B" w:rsidP="00F83C06" w14:paraId="4B40A92F" w14:textId="77777777">
            <w:pPr>
              <w:spacing w:after="0" w:line="240" w:lineRule="auto"/>
              <w:rPr>
                <w:b/>
                <w:bCs/>
                <w:color w:val="000000"/>
                <w:sz w:val="22"/>
              </w:rPr>
            </w:pPr>
          </w:p>
        </w:tc>
        <w:tc>
          <w:tcPr>
            <w:tcW w:w="867" w:type="pct"/>
            <w:vMerge/>
          </w:tcPr>
          <w:p w:rsidR="00CA19A2" w:rsidRPr="00A8196B" w:rsidP="00F83C06" w14:paraId="0AA758C1" w14:textId="77777777">
            <w:pPr>
              <w:spacing w:after="0" w:line="240" w:lineRule="auto"/>
              <w:rPr>
                <w:b/>
                <w:bCs/>
                <w:color w:val="000000"/>
                <w:sz w:val="22"/>
              </w:rPr>
            </w:pPr>
          </w:p>
        </w:tc>
        <w:tc>
          <w:tcPr>
            <w:tcW w:w="813" w:type="pct"/>
            <w:vMerge/>
          </w:tcPr>
          <w:p w:rsidR="00CA19A2" w:rsidRPr="00A8196B" w:rsidP="00F83C06" w14:paraId="51048E13" w14:textId="77777777">
            <w:pPr>
              <w:spacing w:after="0" w:line="240" w:lineRule="auto"/>
              <w:rPr>
                <w:b/>
                <w:bCs/>
                <w:color w:val="000000"/>
                <w:sz w:val="22"/>
              </w:rPr>
            </w:pPr>
          </w:p>
        </w:tc>
      </w:tr>
      <w:tr w14:paraId="27D16C8F" w14:textId="77777777" w:rsidTr="00F83C06">
        <w:tblPrEx>
          <w:tblW w:w="5000" w:type="pct"/>
          <w:tblLook w:val="04A0"/>
        </w:tblPrEx>
        <w:tc>
          <w:tcPr>
            <w:tcW w:w="1537" w:type="pct"/>
            <w:shd w:val="clear" w:color="auto" w:fill="auto"/>
            <w:hideMark/>
          </w:tcPr>
          <w:p w:rsidR="00CA19A2" w:rsidRPr="00A8196B" w:rsidP="00F83C06" w14:paraId="2E148552" w14:textId="60939840">
            <w:pPr>
              <w:spacing w:after="0" w:line="240" w:lineRule="auto"/>
              <w:rPr>
                <w:color w:val="000000"/>
                <w:sz w:val="18"/>
                <w:szCs w:val="18"/>
              </w:rPr>
            </w:pPr>
            <w:r w:rsidRPr="00A8196B">
              <w:rPr>
                <w:sz w:val="18"/>
                <w:szCs w:val="18"/>
              </w:rPr>
              <w:t>SNUN preparation</w:t>
            </w:r>
            <w:r w:rsidRPr="00A8196B" w:rsidR="00776B0D">
              <w:rPr>
                <w:sz w:val="18"/>
                <w:szCs w:val="18"/>
              </w:rPr>
              <w:t>, submission, and recordkeeping</w:t>
            </w:r>
          </w:p>
        </w:tc>
        <w:tc>
          <w:tcPr>
            <w:tcW w:w="867" w:type="pct"/>
            <w:shd w:val="clear" w:color="auto" w:fill="auto"/>
            <w:hideMark/>
          </w:tcPr>
          <w:p w:rsidR="00CA19A2" w:rsidRPr="00A8196B" w:rsidP="00F83C06" w14:paraId="644B5FCC" w14:textId="7BCC1993">
            <w:pPr>
              <w:spacing w:after="0" w:line="240" w:lineRule="auto"/>
              <w:ind w:right="435"/>
              <w:jc w:val="right"/>
              <w:rPr>
                <w:color w:val="000000"/>
                <w:sz w:val="22"/>
              </w:rPr>
            </w:pPr>
            <w:r w:rsidRPr="00A8196B">
              <w:rPr>
                <w:color w:val="000000"/>
                <w:sz w:val="22"/>
              </w:rPr>
              <w:t>$0.00</w:t>
            </w:r>
          </w:p>
        </w:tc>
        <w:tc>
          <w:tcPr>
            <w:tcW w:w="916" w:type="pct"/>
            <w:shd w:val="clear" w:color="auto" w:fill="auto"/>
            <w:hideMark/>
          </w:tcPr>
          <w:p w:rsidR="00CA19A2" w:rsidRPr="00A8196B" w:rsidP="00F83C06" w14:paraId="3AA6FA1D" w14:textId="5FFE0F57">
            <w:pPr>
              <w:spacing w:after="0" w:line="240" w:lineRule="auto"/>
              <w:ind w:right="435"/>
              <w:jc w:val="right"/>
              <w:rPr>
                <w:color w:val="000000"/>
                <w:sz w:val="22"/>
              </w:rPr>
            </w:pPr>
            <w:r w:rsidRPr="00A8196B">
              <w:rPr>
                <w:color w:val="000000"/>
                <w:sz w:val="22"/>
              </w:rPr>
              <w:t>$</w:t>
            </w:r>
            <w:r w:rsidRPr="00A8196B" w:rsidR="000E6E0D">
              <w:rPr>
                <w:color w:val="000000"/>
                <w:sz w:val="22"/>
              </w:rPr>
              <w:t>6,047</w:t>
            </w:r>
          </w:p>
        </w:tc>
        <w:tc>
          <w:tcPr>
            <w:tcW w:w="867" w:type="pct"/>
            <w:shd w:val="clear" w:color="auto" w:fill="auto"/>
            <w:hideMark/>
          </w:tcPr>
          <w:p w:rsidR="00CA19A2" w:rsidRPr="00A8196B" w:rsidP="00F83C06" w14:paraId="32D5FEAE" w14:textId="309F6F06">
            <w:pPr>
              <w:spacing w:after="0" w:line="240" w:lineRule="auto"/>
              <w:ind w:right="435"/>
              <w:jc w:val="right"/>
              <w:rPr>
                <w:color w:val="000000"/>
                <w:sz w:val="22"/>
              </w:rPr>
            </w:pPr>
            <w:r w:rsidRPr="00A8196B">
              <w:rPr>
                <w:color w:val="000000"/>
                <w:sz w:val="22"/>
              </w:rPr>
              <w:t>$</w:t>
            </w:r>
            <w:r w:rsidRPr="00A8196B" w:rsidR="000E6E0D">
              <w:rPr>
                <w:color w:val="000000"/>
                <w:sz w:val="22"/>
              </w:rPr>
              <w:t>1,717</w:t>
            </w:r>
          </w:p>
        </w:tc>
        <w:tc>
          <w:tcPr>
            <w:tcW w:w="813" w:type="pct"/>
            <w:shd w:val="clear" w:color="auto" w:fill="auto"/>
            <w:hideMark/>
          </w:tcPr>
          <w:p w:rsidR="00CA19A2" w:rsidRPr="00A8196B" w:rsidP="00F83C06" w14:paraId="56983260" w14:textId="6F72FAAA">
            <w:pPr>
              <w:spacing w:after="0" w:line="240" w:lineRule="auto"/>
              <w:ind w:right="435"/>
              <w:jc w:val="right"/>
              <w:rPr>
                <w:b/>
                <w:color w:val="000000"/>
                <w:sz w:val="22"/>
              </w:rPr>
            </w:pPr>
            <w:r w:rsidRPr="00A8196B">
              <w:rPr>
                <w:b/>
                <w:bCs/>
                <w:color w:val="000000"/>
                <w:sz w:val="22"/>
              </w:rPr>
              <w:t>$</w:t>
            </w:r>
            <w:r w:rsidRPr="00A8196B" w:rsidR="000E6E0D">
              <w:rPr>
                <w:b/>
                <w:bCs/>
                <w:color w:val="000000"/>
                <w:sz w:val="22"/>
              </w:rPr>
              <w:t>7,764</w:t>
            </w:r>
          </w:p>
        </w:tc>
      </w:tr>
      <w:tr w14:paraId="41FE69E2" w14:textId="77777777" w:rsidTr="00F83C06">
        <w:tblPrEx>
          <w:tblW w:w="5000" w:type="pct"/>
          <w:tblLook w:val="04A0"/>
        </w:tblPrEx>
        <w:tc>
          <w:tcPr>
            <w:tcW w:w="1537" w:type="pct"/>
          </w:tcPr>
          <w:p w:rsidR="00CA19A2" w:rsidRPr="00A8196B" w:rsidP="00F83C06" w14:paraId="283E8211" w14:textId="77777777">
            <w:pPr>
              <w:spacing w:after="0" w:line="240" w:lineRule="auto"/>
              <w:rPr>
                <w:sz w:val="22"/>
              </w:rPr>
            </w:pPr>
            <w:r w:rsidRPr="00A8196B">
              <w:rPr>
                <w:sz w:val="22"/>
              </w:rPr>
              <w:t>User fee</w:t>
            </w:r>
          </w:p>
        </w:tc>
        <w:tc>
          <w:tcPr>
            <w:tcW w:w="2650" w:type="pct"/>
            <w:gridSpan w:val="3"/>
          </w:tcPr>
          <w:p w:rsidR="00CA19A2" w:rsidRPr="00A8196B" w:rsidP="00F83C06" w14:paraId="01109109" w14:textId="77777777">
            <w:pPr>
              <w:spacing w:after="0" w:line="240" w:lineRule="auto"/>
              <w:jc w:val="center"/>
              <w:rPr>
                <w:color w:val="000000"/>
                <w:sz w:val="22"/>
              </w:rPr>
            </w:pPr>
          </w:p>
        </w:tc>
        <w:tc>
          <w:tcPr>
            <w:tcW w:w="813" w:type="pct"/>
          </w:tcPr>
          <w:p w:rsidR="00CA19A2" w:rsidRPr="00A8196B" w:rsidP="00F83C06" w14:paraId="7398A4FD" w14:textId="77777777">
            <w:pPr>
              <w:spacing w:after="0" w:line="240" w:lineRule="auto"/>
              <w:ind w:right="435"/>
              <w:jc w:val="right"/>
              <w:rPr>
                <w:b/>
                <w:color w:val="000000"/>
                <w:sz w:val="22"/>
              </w:rPr>
            </w:pPr>
            <w:r w:rsidRPr="00A8196B">
              <w:rPr>
                <w:b/>
                <w:color w:val="000000"/>
                <w:sz w:val="22"/>
              </w:rPr>
              <w:t>$16,000</w:t>
            </w:r>
          </w:p>
        </w:tc>
      </w:tr>
      <w:tr w14:paraId="0B3DC1F3" w14:textId="77777777" w:rsidTr="00F83C06">
        <w:tblPrEx>
          <w:tblW w:w="5000" w:type="pct"/>
          <w:tblLook w:val="04A0"/>
        </w:tblPrEx>
        <w:tc>
          <w:tcPr>
            <w:tcW w:w="1537" w:type="pct"/>
          </w:tcPr>
          <w:p w:rsidR="00CA19A2" w:rsidRPr="00A8196B" w:rsidP="00F83C06" w14:paraId="5830DEBD" w14:textId="77777777">
            <w:pPr>
              <w:spacing w:after="0" w:line="240" w:lineRule="auto"/>
              <w:rPr>
                <w:b/>
                <w:color w:val="000000"/>
                <w:sz w:val="22"/>
              </w:rPr>
            </w:pPr>
            <w:r w:rsidRPr="00A8196B">
              <w:rPr>
                <w:b/>
                <w:bCs/>
                <w:sz w:val="22"/>
              </w:rPr>
              <w:t>Total</w:t>
            </w:r>
          </w:p>
        </w:tc>
        <w:tc>
          <w:tcPr>
            <w:tcW w:w="867" w:type="pct"/>
          </w:tcPr>
          <w:p w:rsidR="00CA19A2" w:rsidRPr="00A8196B" w:rsidP="00F83C06" w14:paraId="65DDD81E" w14:textId="29074285">
            <w:pPr>
              <w:spacing w:after="0" w:line="240" w:lineRule="auto"/>
              <w:ind w:right="435"/>
              <w:jc w:val="right"/>
              <w:rPr>
                <w:color w:val="000000"/>
                <w:sz w:val="22"/>
              </w:rPr>
            </w:pPr>
            <w:r w:rsidRPr="00A8196B">
              <w:rPr>
                <w:color w:val="000000"/>
                <w:sz w:val="22"/>
              </w:rPr>
              <w:t>$0.00</w:t>
            </w:r>
          </w:p>
        </w:tc>
        <w:tc>
          <w:tcPr>
            <w:tcW w:w="916" w:type="pct"/>
          </w:tcPr>
          <w:p w:rsidR="00CA19A2" w:rsidRPr="00A8196B" w:rsidP="00F83C06" w14:paraId="0AB8E07A" w14:textId="04D92339">
            <w:pPr>
              <w:spacing w:after="0" w:line="240" w:lineRule="auto"/>
              <w:ind w:right="435"/>
              <w:jc w:val="right"/>
              <w:rPr>
                <w:color w:val="000000"/>
                <w:sz w:val="22"/>
              </w:rPr>
            </w:pPr>
            <w:r w:rsidRPr="00A8196B">
              <w:rPr>
                <w:color w:val="000000"/>
                <w:sz w:val="22"/>
              </w:rPr>
              <w:t>$</w:t>
            </w:r>
            <w:r w:rsidRPr="00A8196B" w:rsidR="000E6E0D">
              <w:rPr>
                <w:color w:val="000000"/>
                <w:sz w:val="22"/>
              </w:rPr>
              <w:t>6,04</w:t>
            </w:r>
            <w:r w:rsidRPr="00A8196B" w:rsidR="00FD5295">
              <w:rPr>
                <w:color w:val="000000"/>
                <w:sz w:val="22"/>
              </w:rPr>
              <w:t>7</w:t>
            </w:r>
          </w:p>
        </w:tc>
        <w:tc>
          <w:tcPr>
            <w:tcW w:w="867" w:type="pct"/>
          </w:tcPr>
          <w:p w:rsidR="00CA19A2" w:rsidRPr="00A8196B" w:rsidP="00F83C06" w14:paraId="7188592C" w14:textId="1928ECF1">
            <w:pPr>
              <w:spacing w:after="0" w:line="240" w:lineRule="auto"/>
              <w:ind w:right="435"/>
              <w:jc w:val="right"/>
              <w:rPr>
                <w:color w:val="000000"/>
                <w:sz w:val="22"/>
              </w:rPr>
            </w:pPr>
            <w:r w:rsidRPr="00A8196B">
              <w:rPr>
                <w:color w:val="000000"/>
                <w:sz w:val="22"/>
              </w:rPr>
              <w:t>$</w:t>
            </w:r>
            <w:r w:rsidRPr="00A8196B" w:rsidR="000E6E0D">
              <w:rPr>
                <w:color w:val="000000"/>
                <w:sz w:val="22"/>
              </w:rPr>
              <w:t>1,717</w:t>
            </w:r>
          </w:p>
        </w:tc>
        <w:tc>
          <w:tcPr>
            <w:tcW w:w="813" w:type="pct"/>
          </w:tcPr>
          <w:p w:rsidR="00CA19A2" w:rsidRPr="00A8196B" w:rsidP="00F83C06" w14:paraId="16D1D74F" w14:textId="168FBE69">
            <w:pPr>
              <w:spacing w:after="0" w:line="240" w:lineRule="auto"/>
              <w:ind w:right="435"/>
              <w:jc w:val="right"/>
              <w:rPr>
                <w:b/>
                <w:color w:val="000000"/>
                <w:sz w:val="22"/>
              </w:rPr>
            </w:pPr>
            <w:r w:rsidRPr="00A8196B">
              <w:rPr>
                <w:b/>
                <w:bCs/>
                <w:color w:val="000000"/>
                <w:sz w:val="22"/>
              </w:rPr>
              <w:t>$23,</w:t>
            </w:r>
            <w:r w:rsidRPr="00A8196B" w:rsidR="000E6E0D">
              <w:rPr>
                <w:b/>
                <w:bCs/>
                <w:color w:val="000000"/>
                <w:sz w:val="22"/>
              </w:rPr>
              <w:t>76</w:t>
            </w:r>
            <w:r w:rsidRPr="00A8196B" w:rsidR="00FD5295">
              <w:rPr>
                <w:b/>
                <w:bCs/>
                <w:color w:val="000000"/>
                <w:sz w:val="22"/>
              </w:rPr>
              <w:t>7</w:t>
            </w:r>
          </w:p>
        </w:tc>
      </w:tr>
    </w:tbl>
    <w:p w:rsidR="00A7023B" w:rsidRPr="00A8196B" w:rsidP="000975A6" w14:paraId="3DB270F0" w14:textId="77777777">
      <w:pPr>
        <w:rPr>
          <w:sz w:val="18"/>
          <w:szCs w:val="18"/>
        </w:rPr>
      </w:pPr>
      <w:r w:rsidRPr="00A8196B">
        <w:rPr>
          <w:sz w:val="18"/>
          <w:szCs w:val="18"/>
        </w:rPr>
        <w:t>Some burden estimate totals may not calculate due to rounding of unit burden estimates</w:t>
      </w:r>
    </w:p>
    <w:p w:rsidR="00702291" w:rsidRPr="00A8196B" w:rsidP="009B2563" w14:paraId="71EC207E" w14:textId="00FE7A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8196B">
        <w:rPr>
          <w:u w:val="single"/>
        </w:rPr>
        <w:t>Alternative Responses</w:t>
      </w:r>
    </w:p>
    <w:p w:rsidR="00CA19A2" w:rsidRPr="00A8196B" w:rsidP="499B5F68" w14:paraId="00805122" w14:textId="32794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8196B">
        <w:t>F</w:t>
      </w:r>
      <w:r w:rsidRPr="00A8196B">
        <w:t>ive alternative responses to any particular SNUR could be chosen by firms planning to engage in significant new uses of subject chemicals. Although EPA has not projected or quantified how frequently these alternatives might be selected, the unit costs associated with each option are discussed briefly below.</w:t>
      </w:r>
    </w:p>
    <w:p w:rsidR="00702291" w:rsidRPr="00A8196B" w:rsidP="009B2563" w14:paraId="3AC367AC" w14:textId="71ADD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The estimated burden of requesting an equivalency determination (the second option) or review for modification/revocation (the fourth option) was judged to be similar to filing the SNUN; thus, total costs including the EPA user fee were estimated to be $23,</w:t>
      </w:r>
      <w:r w:rsidRPr="00A8196B" w:rsidR="00342A6C">
        <w:t>76</w:t>
      </w:r>
      <w:r w:rsidRPr="00A8196B" w:rsidR="00FD5295">
        <w:t>7</w:t>
      </w:r>
      <w:r w:rsidRPr="00A8196B">
        <w:t>. However, the firm may incur additional costs in developing the data necessary to justify the alternative. This option will be preferable to compliance with the SNUR if the total cost of obtaining EPA approval of a request is less than the costs of SNUR compliance.</w:t>
      </w:r>
    </w:p>
    <w:p w:rsidR="00A7023B" w:rsidRPr="00A8196B" w:rsidP="009B2563" w14:paraId="506177B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Firms choosing to comply with a SNUR (the third option), will incur costs to ensure all provisions of the SNUR were implemented at the subject facility and to implement recordkeeping. The costs of implementing provisions at a facility were not quantified for this ICR. Recordkeeping is expected to range from 0.01 hours to 0.76 hours for each significant new use. All recordkeeping activities are expected to be conducted by clerical staff; therefore, recordkeeping costs range from $0.3</w:t>
      </w:r>
      <w:r w:rsidRPr="00A8196B" w:rsidR="00342A6C">
        <w:t>7</w:t>
      </w:r>
      <w:r w:rsidRPr="00A8196B">
        <w:t xml:space="preserve"> to $2</w:t>
      </w:r>
      <w:r w:rsidRPr="00A8196B" w:rsidR="00342A6C">
        <w:t>8.37</w:t>
      </w:r>
      <w:r w:rsidRPr="00A8196B">
        <w:t xml:space="preserve"> per significant new use. The total recordkeeping burden per firm will depend on the significant new use(s) identified.</w:t>
      </w:r>
    </w:p>
    <w:p w:rsidR="00CA19A2" w:rsidRPr="00A8196B" w:rsidP="009B2563" w14:paraId="000F32C1" w14:textId="406DD3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rPr>
          <w:u w:val="single"/>
        </w:rPr>
        <w:t>Customer Notification</w:t>
      </w:r>
    </w:p>
    <w:p w:rsidR="00CA19A2" w:rsidRPr="00A8196B" w:rsidP="000975A6" w14:paraId="38EDF4F1" w14:textId="7CAAF106">
      <w:r w:rsidRPr="00A8196B">
        <w:t>EPA assumes that the customer notification requirement will be handled by technical labor. Section 5 of this analysis assumes a total burden of 13.67 hours of technical labor, supposing that there are two manufacturers (including importers) or processors per chemical</w:t>
      </w:r>
      <w:r>
        <w:rPr>
          <w:rStyle w:val="FootnoteReference"/>
        </w:rPr>
        <w:footnoteReference w:id="5"/>
      </w:r>
      <w:r w:rsidRPr="00A8196B">
        <w:t>. Given the loaded wage of technical laborers is $</w:t>
      </w:r>
      <w:r w:rsidRPr="00A8196B" w:rsidR="00342A6C">
        <w:t>82.06</w:t>
      </w:r>
      <w:r w:rsidRPr="00A8196B">
        <w:t>, the cost per SNUR is $</w:t>
      </w:r>
      <w:r w:rsidRPr="00A8196B" w:rsidR="00342A6C">
        <w:t>1,121</w:t>
      </w:r>
      <w:r w:rsidRPr="00A8196B">
        <w:t xml:space="preserve"> [($</w:t>
      </w:r>
      <w:r w:rsidRPr="00A8196B" w:rsidR="00342A6C">
        <w:t>82.06</w:t>
      </w:r>
      <w:r w:rsidRPr="00A8196B">
        <w:t xml:space="preserve"> per hour)*(13.67 hours per SNUR)].</w:t>
      </w:r>
    </w:p>
    <w:p w:rsidR="00CA19A2" w:rsidRPr="00A8196B" w:rsidP="009B2563" w14:paraId="2DA79012" w14:textId="512A7C0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8196B">
        <w:rPr>
          <w:u w:val="single"/>
        </w:rPr>
        <w:t>Summary</w:t>
      </w:r>
    </w:p>
    <w:p w:rsidR="00CA19A2" w:rsidRPr="00A8196B" w:rsidP="000975A6" w14:paraId="67A6883C" w14:textId="652E4D8A">
      <w:r w:rsidRPr="00A8196B">
        <w:fldChar w:fldCharType="begin"/>
      </w:r>
      <w:r w:rsidRPr="00A8196B">
        <w:instrText xml:space="preserve"> REF _Ref424061458 \h  \* MERGEFORMAT </w:instrText>
      </w:r>
      <w:r w:rsidRPr="00A8196B">
        <w:fldChar w:fldCharType="separate"/>
      </w:r>
      <w:r w:rsidRPr="00A8196B" w:rsidR="009B2ACE">
        <w:t xml:space="preserve">Table </w:t>
      </w:r>
      <w:r w:rsidRPr="009B2ACE" w:rsidR="009B2ACE">
        <w:rPr>
          <w:noProof/>
        </w:rPr>
        <w:t>9</w:t>
      </w:r>
      <w:r w:rsidRPr="00A8196B">
        <w:fldChar w:fldCharType="end"/>
      </w:r>
      <w:r w:rsidRPr="00A8196B">
        <w:t xml:space="preserve"> summarizes the unit costs estimated in this section. Reviewing a SNUR to verify that a chemical is included is estimated to cost $</w:t>
      </w:r>
      <w:r w:rsidRPr="00A8196B" w:rsidR="00342A6C">
        <w:t>93.55</w:t>
      </w:r>
      <w:r w:rsidRPr="00A8196B">
        <w:t xml:space="preserve"> per SNUR and notifying customers is $1</w:t>
      </w:r>
      <w:r w:rsidRPr="00A8196B" w:rsidR="00342A6C">
        <w:t>,121</w:t>
      </w:r>
      <w:r w:rsidRPr="00A8196B">
        <w:t xml:space="preserve"> per SNUR. The cost of completing and submitting a SNUN is approximately $23,</w:t>
      </w:r>
      <w:r w:rsidRPr="00A8196B" w:rsidR="00342A6C">
        <w:t>764</w:t>
      </w:r>
      <w:r w:rsidRPr="00A8196B">
        <w:t>. EPA estimates the costs associated with rule familiarization to be $</w:t>
      </w:r>
      <w:r w:rsidRPr="00A8196B" w:rsidR="00342A6C">
        <w:t>74.63</w:t>
      </w:r>
      <w:r w:rsidRPr="00A8196B">
        <w:t xml:space="preserve"> per company, and CDX registration activities to be $2</w:t>
      </w:r>
      <w:r w:rsidRPr="00A8196B" w:rsidR="00342A6C">
        <w:t>4</w:t>
      </w:r>
      <w:r w:rsidRPr="00A8196B" w:rsidR="00FD5295">
        <w:t>4.15</w:t>
      </w:r>
      <w:r w:rsidRPr="00A8196B">
        <w:t xml:space="preserve"> per company.</w:t>
      </w:r>
    </w:p>
    <w:p w:rsidR="00CA19A2" w:rsidRPr="00A8196B" w:rsidP="008C16F4" w14:paraId="7AC56339" w14:textId="4343EECD">
      <w:pPr>
        <w:pStyle w:val="Caption"/>
      </w:pPr>
      <w:bookmarkStart w:id="21" w:name="_Ref424061458"/>
      <w:r w:rsidRPr="00A8196B">
        <w:t xml:space="preserve">Table </w:t>
      </w:r>
      <w:r w:rsidRPr="00A8196B">
        <w:rPr>
          <w:szCs w:val="24"/>
        </w:rPr>
        <w:fldChar w:fldCharType="begin"/>
      </w:r>
      <w:r w:rsidRPr="00A8196B">
        <w:rPr>
          <w:szCs w:val="24"/>
        </w:rPr>
        <w:instrText xml:space="preserve"> SEQ Table \* ARABIC </w:instrText>
      </w:r>
      <w:r w:rsidRPr="00A8196B">
        <w:rPr>
          <w:szCs w:val="24"/>
        </w:rPr>
        <w:fldChar w:fldCharType="separate"/>
      </w:r>
      <w:r w:rsidR="009B2ACE">
        <w:rPr>
          <w:noProof/>
          <w:szCs w:val="24"/>
        </w:rPr>
        <w:t>9</w:t>
      </w:r>
      <w:r w:rsidRPr="00A8196B">
        <w:rPr>
          <w:szCs w:val="24"/>
        </w:rPr>
        <w:fldChar w:fldCharType="end"/>
      </w:r>
      <w:bookmarkEnd w:id="21"/>
      <w:r w:rsidRPr="00A8196B">
        <w:rPr>
          <w:szCs w:val="24"/>
        </w:rPr>
        <w:t>: Summary of Unit Costs</w:t>
      </w:r>
    </w:p>
    <w:tbl>
      <w:tblPr>
        <w:tblW w:w="5000" w:type="pct"/>
        <w:tblLook w:val="04A0"/>
      </w:tblPr>
      <w:tblGrid>
        <w:gridCol w:w="7469"/>
        <w:gridCol w:w="1871"/>
      </w:tblGrid>
      <w:tr w14:paraId="0BB381F9" w14:textId="77777777" w:rsidTr="003F6301">
        <w:tblPrEx>
          <w:tblW w:w="5000" w:type="pct"/>
          <w:tblLook w:val="04A0"/>
        </w:tblPrEx>
        <w:tc>
          <w:tcPr>
            <w:tcW w:w="0" w:type="auto"/>
            <w:tcBorders>
              <w:top w:val="single" w:sz="8" w:space="0" w:color="auto"/>
              <w:left w:val="single" w:sz="8" w:space="0" w:color="auto"/>
              <w:bottom w:val="single" w:sz="8" w:space="0" w:color="000000"/>
              <w:right w:val="single" w:sz="8" w:space="0" w:color="auto"/>
            </w:tcBorders>
            <w:vAlign w:val="bottom"/>
            <w:hideMark/>
          </w:tcPr>
          <w:p w:rsidR="00CA19A2" w:rsidRPr="00A8196B" w:rsidP="004E6EE2" w14:paraId="017C8476" w14:textId="77777777">
            <w:pPr>
              <w:keepNext/>
              <w:spacing w:after="0" w:line="240" w:lineRule="auto"/>
              <w:rPr>
                <w:b/>
                <w:bCs/>
                <w:color w:val="000000"/>
                <w:szCs w:val="24"/>
              </w:rPr>
            </w:pPr>
            <w:r w:rsidRPr="00A8196B">
              <w:rPr>
                <w:b/>
                <w:bCs/>
                <w:color w:val="000000"/>
                <w:szCs w:val="24"/>
              </w:rPr>
              <w:t>Collection Activity</w:t>
            </w:r>
          </w:p>
        </w:tc>
        <w:tc>
          <w:tcPr>
            <w:tcW w:w="0" w:type="auto"/>
            <w:tcBorders>
              <w:top w:val="single" w:sz="8" w:space="0" w:color="auto"/>
              <w:left w:val="single" w:sz="8" w:space="0" w:color="auto"/>
              <w:bottom w:val="single" w:sz="8" w:space="0" w:color="000000"/>
              <w:right w:val="single" w:sz="8" w:space="0" w:color="auto"/>
            </w:tcBorders>
            <w:hideMark/>
          </w:tcPr>
          <w:p w:rsidR="00CA19A2" w:rsidRPr="00A8196B" w:rsidP="004E6EE2" w14:paraId="20F254FF" w14:textId="77777777">
            <w:pPr>
              <w:keepNext/>
              <w:spacing w:after="0" w:line="240" w:lineRule="auto"/>
              <w:jc w:val="center"/>
              <w:rPr>
                <w:b/>
                <w:bCs/>
                <w:color w:val="000000"/>
                <w:szCs w:val="24"/>
              </w:rPr>
            </w:pPr>
            <w:r w:rsidRPr="00A8196B">
              <w:rPr>
                <w:b/>
                <w:bCs/>
                <w:color w:val="000000"/>
                <w:szCs w:val="24"/>
              </w:rPr>
              <w:t>Estimated Cost</w:t>
            </w:r>
          </w:p>
        </w:tc>
      </w:tr>
      <w:tr w14:paraId="65D38E1E" w14:textId="77777777" w:rsidTr="003F6301">
        <w:tblPrEx>
          <w:tblW w:w="5000" w:type="pct"/>
          <w:tblLook w:val="04A0"/>
        </w:tblPrEx>
        <w:tc>
          <w:tcPr>
            <w:tcW w:w="0" w:type="auto"/>
            <w:tcBorders>
              <w:top w:val="nil"/>
              <w:left w:val="single" w:sz="8" w:space="0" w:color="auto"/>
              <w:bottom w:val="single" w:sz="8" w:space="0" w:color="000000"/>
              <w:right w:val="single" w:sz="8" w:space="0" w:color="auto"/>
            </w:tcBorders>
            <w:shd w:val="clear" w:color="auto" w:fill="auto"/>
            <w:hideMark/>
          </w:tcPr>
          <w:p w:rsidR="00CA19A2" w:rsidRPr="00A8196B" w:rsidP="004E6EE2" w14:paraId="008DE971" w14:textId="77777777">
            <w:pPr>
              <w:keepNext/>
              <w:spacing w:after="0" w:line="240" w:lineRule="auto"/>
              <w:rPr>
                <w:szCs w:val="24"/>
              </w:rPr>
            </w:pPr>
            <w:r w:rsidRPr="00A8196B">
              <w:rPr>
                <w:szCs w:val="24"/>
              </w:rPr>
              <w:t>Chemical verification (per SNUR)</w:t>
            </w:r>
          </w:p>
        </w:tc>
        <w:tc>
          <w:tcPr>
            <w:tcW w:w="0" w:type="auto"/>
            <w:tcBorders>
              <w:top w:val="nil"/>
              <w:left w:val="single" w:sz="8" w:space="0" w:color="auto"/>
              <w:bottom w:val="single" w:sz="8" w:space="0" w:color="000000"/>
              <w:right w:val="single" w:sz="8" w:space="0" w:color="auto"/>
            </w:tcBorders>
            <w:shd w:val="clear" w:color="auto" w:fill="auto"/>
            <w:hideMark/>
          </w:tcPr>
          <w:p w:rsidR="00CA19A2" w:rsidRPr="00A8196B" w:rsidP="004E6EE2" w14:paraId="5F4143D1" w14:textId="3EA409E0">
            <w:pPr>
              <w:keepNext/>
              <w:spacing w:after="0" w:line="240" w:lineRule="auto"/>
              <w:ind w:right="423"/>
              <w:jc w:val="right"/>
              <w:rPr>
                <w:szCs w:val="24"/>
              </w:rPr>
            </w:pPr>
            <w:r w:rsidRPr="00A8196B">
              <w:rPr>
                <w:color w:val="000000"/>
                <w:szCs w:val="24"/>
              </w:rPr>
              <w:t>$</w:t>
            </w:r>
            <w:r w:rsidRPr="00A8196B" w:rsidR="00342A6C">
              <w:rPr>
                <w:color w:val="000000"/>
                <w:szCs w:val="24"/>
              </w:rPr>
              <w:t>93.55</w:t>
            </w:r>
          </w:p>
        </w:tc>
      </w:tr>
      <w:tr w14:paraId="57A6E2ED" w14:textId="77777777" w:rsidTr="003F6301">
        <w:tblPrEx>
          <w:tblW w:w="5000" w:type="pct"/>
          <w:tblLook w:val="04A0"/>
        </w:tblPrEx>
        <w:tc>
          <w:tcPr>
            <w:tcW w:w="0" w:type="auto"/>
            <w:tcBorders>
              <w:top w:val="nil"/>
              <w:left w:val="single" w:sz="8" w:space="0" w:color="auto"/>
              <w:bottom w:val="single" w:sz="8" w:space="0" w:color="000000"/>
              <w:right w:val="single" w:sz="8" w:space="0" w:color="auto"/>
            </w:tcBorders>
            <w:shd w:val="clear" w:color="auto" w:fill="auto"/>
          </w:tcPr>
          <w:p w:rsidR="00CA19A2" w:rsidRPr="00A8196B" w:rsidP="004E6EE2" w14:paraId="1C90783E" w14:textId="77777777">
            <w:pPr>
              <w:keepNext/>
              <w:spacing w:after="0" w:line="240" w:lineRule="auto"/>
              <w:rPr>
                <w:szCs w:val="24"/>
              </w:rPr>
            </w:pPr>
            <w:r w:rsidRPr="00A8196B">
              <w:rPr>
                <w:szCs w:val="24"/>
              </w:rPr>
              <w:t>Rule familiarization (per company)</w:t>
            </w:r>
          </w:p>
        </w:tc>
        <w:tc>
          <w:tcPr>
            <w:tcW w:w="0" w:type="auto"/>
            <w:tcBorders>
              <w:top w:val="nil"/>
              <w:left w:val="single" w:sz="8" w:space="0" w:color="auto"/>
              <w:bottom w:val="single" w:sz="8" w:space="0" w:color="000000"/>
              <w:right w:val="single" w:sz="8" w:space="0" w:color="auto"/>
            </w:tcBorders>
            <w:shd w:val="clear" w:color="000000" w:fill="FFFFFF"/>
            <w:noWrap/>
          </w:tcPr>
          <w:p w:rsidR="00CA19A2" w:rsidRPr="00A8196B" w:rsidP="004E6EE2" w14:paraId="6D61AFEC" w14:textId="73D8590A">
            <w:pPr>
              <w:keepNext/>
              <w:spacing w:after="0" w:line="240" w:lineRule="auto"/>
              <w:ind w:right="423"/>
              <w:jc w:val="right"/>
              <w:rPr>
                <w:szCs w:val="24"/>
              </w:rPr>
            </w:pPr>
            <w:r w:rsidRPr="00A8196B">
              <w:rPr>
                <w:color w:val="000000"/>
                <w:szCs w:val="24"/>
              </w:rPr>
              <w:t>$</w:t>
            </w:r>
            <w:r w:rsidRPr="00A8196B" w:rsidR="00342A6C">
              <w:rPr>
                <w:color w:val="000000"/>
                <w:szCs w:val="24"/>
              </w:rPr>
              <w:t>74.63</w:t>
            </w:r>
          </w:p>
        </w:tc>
      </w:tr>
      <w:tr w14:paraId="65BCDA5E" w14:textId="77777777" w:rsidTr="003F6301">
        <w:tblPrEx>
          <w:tblW w:w="5000" w:type="pct"/>
          <w:tblLook w:val="04A0"/>
        </w:tblPrEx>
        <w:tc>
          <w:tcPr>
            <w:tcW w:w="0" w:type="auto"/>
            <w:tcBorders>
              <w:top w:val="nil"/>
              <w:left w:val="single" w:sz="8" w:space="0" w:color="auto"/>
              <w:bottom w:val="single" w:sz="8" w:space="0" w:color="000000"/>
              <w:right w:val="single" w:sz="8" w:space="0" w:color="auto"/>
            </w:tcBorders>
            <w:shd w:val="clear" w:color="auto" w:fill="auto"/>
          </w:tcPr>
          <w:p w:rsidR="00CA19A2" w:rsidRPr="00A8196B" w:rsidP="004E6EE2" w14:paraId="385C710B" w14:textId="77777777">
            <w:pPr>
              <w:keepNext/>
              <w:spacing w:after="0" w:line="240" w:lineRule="auto"/>
              <w:rPr>
                <w:szCs w:val="24"/>
              </w:rPr>
            </w:pPr>
            <w:r w:rsidRPr="00A8196B">
              <w:rPr>
                <w:szCs w:val="24"/>
              </w:rPr>
              <w:t xml:space="preserve">CDX registration, electronic signature, and Pay.gov account set-up (per company) </w:t>
            </w:r>
          </w:p>
        </w:tc>
        <w:tc>
          <w:tcPr>
            <w:tcW w:w="0" w:type="auto"/>
            <w:tcBorders>
              <w:top w:val="nil"/>
              <w:left w:val="single" w:sz="8" w:space="0" w:color="auto"/>
              <w:bottom w:val="single" w:sz="8" w:space="0" w:color="000000"/>
              <w:right w:val="single" w:sz="8" w:space="0" w:color="auto"/>
            </w:tcBorders>
            <w:shd w:val="clear" w:color="000000" w:fill="FFFFFF"/>
            <w:noWrap/>
          </w:tcPr>
          <w:p w:rsidR="00CA19A2" w:rsidRPr="00A8196B" w:rsidP="004E6EE2" w14:paraId="4D698FC2" w14:textId="4DDCBEF5">
            <w:pPr>
              <w:keepNext/>
              <w:spacing w:after="0" w:line="240" w:lineRule="auto"/>
              <w:ind w:right="423"/>
              <w:jc w:val="right"/>
              <w:rPr>
                <w:szCs w:val="24"/>
              </w:rPr>
            </w:pPr>
            <w:r w:rsidRPr="00A8196B">
              <w:rPr>
                <w:color w:val="000000"/>
                <w:szCs w:val="24"/>
              </w:rPr>
              <w:t>$</w:t>
            </w:r>
            <w:r w:rsidRPr="00A8196B" w:rsidR="00342A6C">
              <w:rPr>
                <w:color w:val="000000"/>
                <w:szCs w:val="24"/>
              </w:rPr>
              <w:t>24</w:t>
            </w:r>
            <w:r w:rsidRPr="00A8196B" w:rsidR="00FD5295">
              <w:rPr>
                <w:color w:val="000000"/>
                <w:szCs w:val="24"/>
              </w:rPr>
              <w:t>4.15</w:t>
            </w:r>
          </w:p>
        </w:tc>
      </w:tr>
      <w:tr w14:paraId="636B32CC" w14:textId="77777777" w:rsidTr="003F6301">
        <w:tblPrEx>
          <w:tblW w:w="5000" w:type="pct"/>
          <w:tblLook w:val="04A0"/>
        </w:tblPrEx>
        <w:tc>
          <w:tcPr>
            <w:tcW w:w="0" w:type="auto"/>
            <w:tcBorders>
              <w:top w:val="nil"/>
              <w:left w:val="single" w:sz="8" w:space="0" w:color="auto"/>
              <w:bottom w:val="single" w:sz="4" w:space="0" w:color="auto"/>
              <w:right w:val="single" w:sz="8" w:space="0" w:color="auto"/>
            </w:tcBorders>
            <w:shd w:val="clear" w:color="auto" w:fill="auto"/>
            <w:hideMark/>
          </w:tcPr>
          <w:p w:rsidR="00CA19A2" w:rsidRPr="00A8196B" w:rsidP="004E6EE2" w14:paraId="191240A3" w14:textId="600272DF">
            <w:pPr>
              <w:keepNext/>
              <w:spacing w:after="0" w:line="240" w:lineRule="auto"/>
              <w:rPr>
                <w:szCs w:val="24"/>
              </w:rPr>
            </w:pPr>
            <w:r w:rsidRPr="00A8196B">
              <w:rPr>
                <w:szCs w:val="24"/>
              </w:rPr>
              <w:t>SNUN preparation</w:t>
            </w:r>
            <w:r w:rsidRPr="00A8196B" w:rsidR="00776B0D">
              <w:rPr>
                <w:szCs w:val="24"/>
              </w:rPr>
              <w:t>, submission, and recordkeeping</w:t>
            </w:r>
            <w:r w:rsidRPr="00A8196B">
              <w:rPr>
                <w:szCs w:val="24"/>
              </w:rPr>
              <w:t xml:space="preserve">* </w:t>
            </w:r>
          </w:p>
        </w:tc>
        <w:tc>
          <w:tcPr>
            <w:tcW w:w="0" w:type="auto"/>
            <w:tcBorders>
              <w:top w:val="nil"/>
              <w:left w:val="single" w:sz="8" w:space="0" w:color="auto"/>
              <w:bottom w:val="single" w:sz="4" w:space="0" w:color="auto"/>
              <w:right w:val="single" w:sz="8" w:space="0" w:color="auto"/>
            </w:tcBorders>
            <w:shd w:val="clear" w:color="000000" w:fill="FFFFFF"/>
            <w:noWrap/>
            <w:hideMark/>
          </w:tcPr>
          <w:p w:rsidR="00CA19A2" w:rsidRPr="00A8196B" w:rsidP="004E6EE2" w14:paraId="6C4663AF" w14:textId="361BA9EC">
            <w:pPr>
              <w:keepNext/>
              <w:spacing w:after="0" w:line="240" w:lineRule="auto"/>
              <w:ind w:right="423"/>
              <w:jc w:val="right"/>
              <w:rPr>
                <w:szCs w:val="24"/>
              </w:rPr>
            </w:pPr>
            <w:r w:rsidRPr="00A8196B">
              <w:rPr>
                <w:color w:val="000000"/>
                <w:szCs w:val="24"/>
              </w:rPr>
              <w:t>$23,</w:t>
            </w:r>
            <w:r w:rsidRPr="00A8196B" w:rsidR="00342A6C">
              <w:rPr>
                <w:color w:val="000000"/>
                <w:szCs w:val="24"/>
              </w:rPr>
              <w:t>76</w:t>
            </w:r>
            <w:r w:rsidRPr="00A8196B" w:rsidR="00FD5295">
              <w:rPr>
                <w:color w:val="000000"/>
                <w:szCs w:val="24"/>
              </w:rPr>
              <w:t>7</w:t>
            </w:r>
          </w:p>
        </w:tc>
      </w:tr>
      <w:tr w14:paraId="42FEF0BE" w14:textId="77777777" w:rsidTr="003F6301">
        <w:tblPrEx>
          <w:tblW w:w="5000" w:type="pct"/>
          <w:tblLook w:val="04A0"/>
        </w:tblPrEx>
        <w:trPr>
          <w:trHeight w:val="276"/>
        </w:trPr>
        <w:tc>
          <w:tcPr>
            <w:tcW w:w="0" w:type="auto"/>
            <w:vMerge w:val="restart"/>
            <w:tcBorders>
              <w:top w:val="single" w:sz="4" w:space="0" w:color="auto"/>
              <w:left w:val="single" w:sz="8" w:space="0" w:color="auto"/>
              <w:bottom w:val="single" w:sz="8" w:space="0" w:color="000000"/>
              <w:right w:val="single" w:sz="8" w:space="0" w:color="auto"/>
            </w:tcBorders>
            <w:shd w:val="clear" w:color="auto" w:fill="auto"/>
          </w:tcPr>
          <w:p w:rsidR="00CA19A2" w:rsidRPr="00A8196B" w:rsidP="004E6EE2" w14:paraId="2288B0A0" w14:textId="77777777">
            <w:pPr>
              <w:keepNext/>
              <w:spacing w:after="0" w:line="240" w:lineRule="auto"/>
              <w:rPr>
                <w:szCs w:val="24"/>
              </w:rPr>
            </w:pPr>
            <w:r w:rsidRPr="00A8196B">
              <w:rPr>
                <w:color w:val="000000"/>
                <w:szCs w:val="24"/>
              </w:rPr>
              <w:t>Notifying customers (per SNUR)</w:t>
            </w:r>
          </w:p>
        </w:tc>
        <w:tc>
          <w:tcPr>
            <w:tcW w:w="0" w:type="auto"/>
            <w:vMerge w:val="restart"/>
            <w:tcBorders>
              <w:top w:val="single" w:sz="4" w:space="0" w:color="auto"/>
              <w:left w:val="single" w:sz="8" w:space="0" w:color="auto"/>
              <w:bottom w:val="single" w:sz="8" w:space="0" w:color="000000"/>
              <w:right w:val="single" w:sz="8" w:space="0" w:color="auto"/>
            </w:tcBorders>
            <w:shd w:val="clear" w:color="000000" w:fill="FFFFFF"/>
            <w:noWrap/>
          </w:tcPr>
          <w:p w:rsidR="00CA19A2" w:rsidRPr="00A8196B" w:rsidP="004E6EE2" w14:paraId="70ECAEE8" w14:textId="5E528A84">
            <w:pPr>
              <w:keepNext/>
              <w:spacing w:after="0" w:line="240" w:lineRule="auto"/>
              <w:ind w:right="423"/>
              <w:jc w:val="right"/>
              <w:rPr>
                <w:szCs w:val="24"/>
              </w:rPr>
            </w:pPr>
            <w:r w:rsidRPr="00A8196B">
              <w:rPr>
                <w:color w:val="000000"/>
                <w:szCs w:val="24"/>
              </w:rPr>
              <w:t>$1,</w:t>
            </w:r>
            <w:r w:rsidRPr="00A8196B" w:rsidR="00342A6C">
              <w:rPr>
                <w:color w:val="000000"/>
                <w:szCs w:val="24"/>
              </w:rPr>
              <w:t>121</w:t>
            </w:r>
          </w:p>
        </w:tc>
      </w:tr>
      <w:tr w14:paraId="5E92AF8D" w14:textId="77777777" w:rsidTr="003F6301">
        <w:tblPrEx>
          <w:tblW w:w="5000" w:type="pct"/>
          <w:tblLook w:val="04A0"/>
        </w:tblPrEx>
        <w:trPr>
          <w:trHeight w:hRule="exact" w:val="100"/>
        </w:trPr>
        <w:tc>
          <w:tcPr>
            <w:tcW w:w="0" w:type="auto"/>
            <w:vMerge/>
            <w:tcBorders>
              <w:top w:val="nil"/>
              <w:left w:val="single" w:sz="8" w:space="0" w:color="auto"/>
              <w:bottom w:val="single" w:sz="8" w:space="0" w:color="000000"/>
              <w:right w:val="single" w:sz="8" w:space="0" w:color="auto"/>
            </w:tcBorders>
            <w:vAlign w:val="center"/>
            <w:hideMark/>
          </w:tcPr>
          <w:p w:rsidR="00CA19A2" w:rsidRPr="00A8196B" w:rsidP="00CA19A2" w14:paraId="4966899B" w14:textId="77777777">
            <w:pPr>
              <w:rPr>
                <w:szCs w:val="24"/>
              </w:rPr>
            </w:pPr>
          </w:p>
        </w:tc>
        <w:tc>
          <w:tcPr>
            <w:tcW w:w="0" w:type="auto"/>
            <w:vMerge/>
            <w:tcBorders>
              <w:top w:val="nil"/>
              <w:left w:val="single" w:sz="8" w:space="0" w:color="auto"/>
              <w:bottom w:val="single" w:sz="8" w:space="0" w:color="000000"/>
              <w:right w:val="single" w:sz="8" w:space="0" w:color="auto"/>
            </w:tcBorders>
            <w:vAlign w:val="center"/>
            <w:hideMark/>
          </w:tcPr>
          <w:p w:rsidR="00CA19A2" w:rsidRPr="00A8196B" w:rsidP="00CA19A2" w14:paraId="7DB9DE50" w14:textId="77777777">
            <w:pPr>
              <w:rPr>
                <w:szCs w:val="24"/>
              </w:rPr>
            </w:pPr>
          </w:p>
        </w:tc>
      </w:tr>
    </w:tbl>
    <w:p w:rsidR="00CA19A2" w:rsidRPr="00A8196B" w:rsidP="00CA19A2" w14:paraId="3C65A43E" w14:textId="11DF3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8196B">
        <w:rPr>
          <w:sz w:val="18"/>
          <w:szCs w:val="18"/>
        </w:rPr>
        <w:t>* Includes $16,000 user fee per SNUN.</w:t>
      </w:r>
    </w:p>
    <w:p w:rsidR="00A7023B" w:rsidRPr="00A8196B" w:rsidP="009B2563" w14:paraId="25AD93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pPr>
      <w:r w:rsidRPr="00A8196B">
        <w:rPr>
          <w:u w:val="single"/>
        </w:rPr>
        <w:t>Total Burden and Costs to Industry</w:t>
      </w:r>
    </w:p>
    <w:p w:rsidR="00CA19A2" w:rsidRPr="00A8196B" w:rsidP="009B2563" w14:paraId="3F5EBEFC" w14:textId="1D3C19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This section provides estimates of the total burden and costs imposed by the TSCA section 5(a) requirements. These estimates can be divided into five categories: chemical verification, rule familiarization, completing and submitting SNUNs, CDX registration activities, and notifying customers.</w:t>
      </w:r>
    </w:p>
    <w:p w:rsidR="00A7023B" w:rsidRPr="00A8196B" w:rsidP="009B2563" w14:paraId="50536CC4" w14:textId="28E058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 xml:space="preserve">The total cost and burden imposed on industry by TSCA section 5(a)(2) requirements can be calculated by multiplying the unit burden and cost estimates by the expected number of SNURs, SNUNs, and firms. As noted above, this analysis assumes that EPA will promulgate </w:t>
      </w:r>
      <w:r w:rsidRPr="00A8196B" w:rsidR="00AD3E73">
        <w:t>4</w:t>
      </w:r>
      <w:r w:rsidRPr="00A8196B">
        <w:t xml:space="preserve"> SNURs and receive 1 SNUN per year. </w:t>
      </w:r>
      <w:r w:rsidRPr="00A8196B">
        <w:fldChar w:fldCharType="begin"/>
      </w:r>
      <w:r w:rsidRPr="00A8196B">
        <w:instrText xml:space="preserve"> REF _Ref424061487 \h  \* MERGEFORMAT </w:instrText>
      </w:r>
      <w:r w:rsidRPr="00A8196B">
        <w:fldChar w:fldCharType="separate"/>
      </w:r>
      <w:r w:rsidRPr="00A8196B" w:rsidR="009B2ACE">
        <w:t xml:space="preserve">Table </w:t>
      </w:r>
      <w:r w:rsidR="009B2ACE">
        <w:rPr>
          <w:noProof/>
        </w:rPr>
        <w:t>10</w:t>
      </w:r>
      <w:r w:rsidRPr="00A8196B">
        <w:fldChar w:fldCharType="end"/>
      </w:r>
      <w:r w:rsidRPr="00A8196B">
        <w:t xml:space="preserve"> presents the annual burden and cost to industry. EPA estimates the total annual industry burden of existing chemical SNUR action is 1</w:t>
      </w:r>
      <w:r w:rsidRPr="00A8196B" w:rsidR="00AD3E73">
        <w:t>68</w:t>
      </w:r>
      <w:r w:rsidRPr="00A8196B">
        <w:t xml:space="preserve"> hours and $</w:t>
      </w:r>
      <w:r w:rsidRPr="00A8196B" w:rsidR="00AD3E73">
        <w:t>30,</w:t>
      </w:r>
      <w:r w:rsidRPr="00A8196B" w:rsidR="006465E8">
        <w:t>114</w:t>
      </w:r>
      <w:r w:rsidRPr="00A8196B">
        <w:t>.</w:t>
      </w:r>
    </w:p>
    <w:p w:rsidR="00CA19A2" w:rsidRPr="00A8196B" w:rsidP="008C16F4" w14:paraId="57314D27" w14:textId="1B492EFF">
      <w:pPr>
        <w:pStyle w:val="Caption"/>
      </w:pPr>
      <w:bookmarkStart w:id="22" w:name="_Ref424061487"/>
      <w:r w:rsidRPr="00A8196B">
        <w:t xml:space="preserve">Table </w:t>
      </w:r>
      <w:r w:rsidRPr="00A8196B">
        <w:fldChar w:fldCharType="begin"/>
      </w:r>
      <w:r w:rsidRPr="00A8196B">
        <w:instrText>SEQ Table \* ARABIC</w:instrText>
      </w:r>
      <w:r w:rsidRPr="00A8196B">
        <w:fldChar w:fldCharType="separate"/>
      </w:r>
      <w:r w:rsidR="009B2ACE">
        <w:rPr>
          <w:noProof/>
        </w:rPr>
        <w:t>10</w:t>
      </w:r>
      <w:r w:rsidRPr="00A8196B">
        <w:fldChar w:fldCharType="end"/>
      </w:r>
      <w:bookmarkEnd w:id="22"/>
      <w:r w:rsidRPr="00A8196B">
        <w:t xml:space="preserve">: Estimated </w:t>
      </w:r>
      <w:r w:rsidRPr="00A8196B" w:rsidR="00110D65">
        <w:t xml:space="preserve">Existing Chemicals </w:t>
      </w:r>
      <w:r w:rsidRPr="00A8196B">
        <w:t>Annual Respondent Burden and Cost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502"/>
        <w:gridCol w:w="1437"/>
        <w:gridCol w:w="1258"/>
        <w:gridCol w:w="1147"/>
        <w:gridCol w:w="987"/>
        <w:gridCol w:w="1013"/>
      </w:tblGrid>
      <w:tr w14:paraId="7546C32F" w14:textId="77777777" w:rsidTr="000C606B">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1874" w:type="pct"/>
            <w:hideMark/>
          </w:tcPr>
          <w:p w:rsidR="00CA19A2" w:rsidRPr="00A8196B" w:rsidP="000C606B" w14:paraId="1969AD55" w14:textId="77777777">
            <w:pPr>
              <w:keepNext/>
              <w:spacing w:after="0" w:line="240" w:lineRule="auto"/>
              <w:jc w:val="center"/>
              <w:rPr>
                <w:b/>
                <w:bCs/>
                <w:sz w:val="22"/>
              </w:rPr>
            </w:pPr>
            <w:r w:rsidRPr="00A8196B">
              <w:rPr>
                <w:b/>
                <w:bCs/>
                <w:sz w:val="22"/>
              </w:rPr>
              <w:t>Information Collection Activity</w:t>
            </w:r>
          </w:p>
        </w:tc>
        <w:tc>
          <w:tcPr>
            <w:tcW w:w="769" w:type="pct"/>
            <w:hideMark/>
          </w:tcPr>
          <w:p w:rsidR="00CA19A2" w:rsidRPr="00A8196B" w:rsidP="000C606B" w14:paraId="062B5965" w14:textId="77777777">
            <w:pPr>
              <w:keepNext/>
              <w:spacing w:after="0" w:line="240" w:lineRule="auto"/>
              <w:jc w:val="center"/>
              <w:rPr>
                <w:b/>
                <w:bCs/>
                <w:sz w:val="22"/>
              </w:rPr>
            </w:pPr>
            <w:r w:rsidRPr="00A8196B">
              <w:rPr>
                <w:b/>
                <w:bCs/>
                <w:sz w:val="22"/>
              </w:rPr>
              <w:t>Total Burden per Activity (hours)</w:t>
            </w:r>
          </w:p>
        </w:tc>
        <w:tc>
          <w:tcPr>
            <w:tcW w:w="673" w:type="pct"/>
            <w:hideMark/>
          </w:tcPr>
          <w:p w:rsidR="00CA19A2" w:rsidRPr="00A8196B" w:rsidP="000C606B" w14:paraId="53BAD8ED" w14:textId="331DE9F2">
            <w:pPr>
              <w:keepNext/>
              <w:spacing w:after="0" w:line="240" w:lineRule="auto"/>
              <w:jc w:val="center"/>
              <w:rPr>
                <w:b/>
                <w:bCs/>
                <w:sz w:val="22"/>
              </w:rPr>
            </w:pPr>
            <w:r w:rsidRPr="00A8196B">
              <w:rPr>
                <w:b/>
                <w:bCs/>
                <w:sz w:val="22"/>
              </w:rPr>
              <w:t>Total Cost per Activity</w:t>
            </w:r>
            <w:r w:rsidRPr="00A8196B" w:rsidR="00F05D40">
              <w:rPr>
                <w:b/>
                <w:bCs/>
                <w:sz w:val="22"/>
              </w:rPr>
              <w:t xml:space="preserve"> </w:t>
            </w:r>
            <w:r w:rsidRPr="00A8196B">
              <w:rPr>
                <w:b/>
                <w:bCs/>
                <w:sz w:val="22"/>
              </w:rPr>
              <w:t>(20</w:t>
            </w:r>
            <w:r w:rsidRPr="00A8196B" w:rsidR="00D847D2">
              <w:rPr>
                <w:b/>
                <w:bCs/>
                <w:sz w:val="22"/>
              </w:rPr>
              <w:t>21</w:t>
            </w:r>
            <w:r w:rsidRPr="00A8196B">
              <w:rPr>
                <w:b/>
                <w:bCs/>
                <w:sz w:val="22"/>
              </w:rPr>
              <w:t>$)</w:t>
            </w:r>
          </w:p>
        </w:tc>
        <w:tc>
          <w:tcPr>
            <w:tcW w:w="613" w:type="pct"/>
          </w:tcPr>
          <w:p w:rsidR="00CA19A2" w:rsidRPr="00A8196B" w:rsidP="000C606B" w14:paraId="4220CDC5" w14:textId="77777777">
            <w:pPr>
              <w:keepNext/>
              <w:spacing w:after="0" w:line="240" w:lineRule="auto"/>
              <w:jc w:val="center"/>
              <w:rPr>
                <w:b/>
                <w:bCs/>
                <w:sz w:val="22"/>
              </w:rPr>
            </w:pPr>
            <w:r w:rsidRPr="00A8196B">
              <w:rPr>
                <w:b/>
                <w:bCs/>
                <w:sz w:val="22"/>
              </w:rPr>
              <w:t>Total Number of Units Annually</w:t>
            </w:r>
          </w:p>
        </w:tc>
        <w:tc>
          <w:tcPr>
            <w:tcW w:w="528" w:type="pct"/>
            <w:hideMark/>
          </w:tcPr>
          <w:p w:rsidR="00CA19A2" w:rsidRPr="00A8196B" w:rsidP="000C606B" w14:paraId="7F82D7F4" w14:textId="77777777">
            <w:pPr>
              <w:keepNext/>
              <w:spacing w:after="0" w:line="240" w:lineRule="auto"/>
              <w:jc w:val="center"/>
              <w:rPr>
                <w:b/>
                <w:bCs/>
                <w:sz w:val="22"/>
              </w:rPr>
            </w:pPr>
            <w:r w:rsidRPr="00A8196B">
              <w:rPr>
                <w:b/>
                <w:bCs/>
                <w:sz w:val="22"/>
              </w:rPr>
              <w:t>Total Annual Burden (hours)</w:t>
            </w:r>
          </w:p>
        </w:tc>
        <w:tc>
          <w:tcPr>
            <w:tcW w:w="542" w:type="pct"/>
            <w:hideMark/>
          </w:tcPr>
          <w:p w:rsidR="00CA19A2" w:rsidRPr="00A8196B" w:rsidP="000C606B" w14:paraId="59A3A03A" w14:textId="68162A10">
            <w:pPr>
              <w:keepNext/>
              <w:spacing w:after="0" w:line="240" w:lineRule="auto"/>
              <w:jc w:val="center"/>
              <w:rPr>
                <w:b/>
                <w:bCs/>
                <w:sz w:val="22"/>
              </w:rPr>
            </w:pPr>
            <w:r w:rsidRPr="00A8196B">
              <w:rPr>
                <w:b/>
                <w:bCs/>
                <w:sz w:val="22"/>
              </w:rPr>
              <w:t>Total Annual Cost (2</w:t>
            </w:r>
            <w:r w:rsidRPr="00A8196B" w:rsidR="00D847D2">
              <w:rPr>
                <w:b/>
                <w:bCs/>
                <w:sz w:val="22"/>
              </w:rPr>
              <w:t>021</w:t>
            </w:r>
            <w:r w:rsidRPr="00A8196B">
              <w:rPr>
                <w:b/>
                <w:bCs/>
                <w:sz w:val="22"/>
              </w:rPr>
              <w:t>$)</w:t>
            </w:r>
          </w:p>
        </w:tc>
      </w:tr>
      <w:tr w14:paraId="00ADDF49" w14:textId="77777777" w:rsidTr="00F83C06">
        <w:tblPrEx>
          <w:tblW w:w="5000" w:type="pct"/>
          <w:tblLook w:val="04A0"/>
        </w:tblPrEx>
        <w:tc>
          <w:tcPr>
            <w:tcW w:w="1874" w:type="pct"/>
            <w:hideMark/>
          </w:tcPr>
          <w:p w:rsidR="00EA7172" w:rsidRPr="00A8196B" w:rsidP="000C606B" w14:paraId="21AEEB02" w14:textId="77777777">
            <w:pPr>
              <w:keepNext/>
              <w:spacing w:after="0" w:line="240" w:lineRule="auto"/>
              <w:rPr>
                <w:sz w:val="22"/>
              </w:rPr>
            </w:pPr>
            <w:r w:rsidRPr="00A8196B">
              <w:rPr>
                <w:color w:val="000000"/>
                <w:sz w:val="22"/>
              </w:rPr>
              <w:t>Chemical verification (per SNUR)</w:t>
            </w:r>
          </w:p>
        </w:tc>
        <w:tc>
          <w:tcPr>
            <w:tcW w:w="769" w:type="pct"/>
            <w:hideMark/>
          </w:tcPr>
          <w:p w:rsidR="00EA7172" w:rsidRPr="00A8196B" w:rsidP="000C606B" w14:paraId="4E7A6319" w14:textId="77777777">
            <w:pPr>
              <w:keepNext/>
              <w:spacing w:after="0" w:line="240" w:lineRule="auto"/>
              <w:ind w:right="337"/>
              <w:jc w:val="right"/>
              <w:rPr>
                <w:sz w:val="22"/>
              </w:rPr>
            </w:pPr>
            <w:r w:rsidRPr="00A8196B">
              <w:rPr>
                <w:color w:val="000000"/>
                <w:sz w:val="22"/>
              </w:rPr>
              <w:t>1.14</w:t>
            </w:r>
          </w:p>
        </w:tc>
        <w:tc>
          <w:tcPr>
            <w:tcW w:w="673" w:type="pct"/>
            <w:hideMark/>
          </w:tcPr>
          <w:p w:rsidR="00EA7172" w:rsidRPr="00A8196B" w:rsidP="000C606B" w14:paraId="483898D6" w14:textId="793EECDF">
            <w:pPr>
              <w:keepNext/>
              <w:spacing w:after="0" w:line="240" w:lineRule="auto"/>
              <w:ind w:right="66"/>
              <w:jc w:val="right"/>
              <w:rPr>
                <w:sz w:val="22"/>
              </w:rPr>
            </w:pPr>
            <w:r w:rsidRPr="00A8196B">
              <w:rPr>
                <w:color w:val="000000"/>
                <w:sz w:val="22"/>
              </w:rPr>
              <w:t>$93.55</w:t>
            </w:r>
          </w:p>
        </w:tc>
        <w:tc>
          <w:tcPr>
            <w:tcW w:w="613" w:type="pct"/>
          </w:tcPr>
          <w:p w:rsidR="00EA7172" w:rsidRPr="00A8196B" w:rsidP="000C606B" w14:paraId="3E4C3304" w14:textId="77777777">
            <w:pPr>
              <w:keepNext/>
              <w:spacing w:after="0" w:line="240" w:lineRule="auto"/>
              <w:jc w:val="center"/>
              <w:rPr>
                <w:sz w:val="22"/>
              </w:rPr>
            </w:pPr>
            <w:r w:rsidRPr="00A8196B">
              <w:rPr>
                <w:color w:val="000000"/>
                <w:sz w:val="22"/>
              </w:rPr>
              <w:t>4 SNURs</w:t>
            </w:r>
          </w:p>
        </w:tc>
        <w:tc>
          <w:tcPr>
            <w:tcW w:w="528" w:type="pct"/>
            <w:noWrap/>
            <w:hideMark/>
          </w:tcPr>
          <w:p w:rsidR="00EA7172" w:rsidRPr="00A8196B" w:rsidP="000C606B" w14:paraId="0C4E022A" w14:textId="77777777">
            <w:pPr>
              <w:keepNext/>
              <w:spacing w:after="0" w:line="240" w:lineRule="auto"/>
              <w:jc w:val="right"/>
              <w:rPr>
                <w:sz w:val="22"/>
              </w:rPr>
            </w:pPr>
            <w:r w:rsidRPr="00A8196B">
              <w:rPr>
                <w:color w:val="000000"/>
                <w:sz w:val="22"/>
              </w:rPr>
              <w:t>4.56</w:t>
            </w:r>
          </w:p>
        </w:tc>
        <w:tc>
          <w:tcPr>
            <w:tcW w:w="542" w:type="pct"/>
            <w:hideMark/>
          </w:tcPr>
          <w:p w:rsidR="00EA7172" w:rsidRPr="00A8196B" w:rsidP="000C606B" w14:paraId="27B5B357" w14:textId="443515E4">
            <w:pPr>
              <w:keepNext/>
              <w:spacing w:after="0" w:line="240" w:lineRule="auto"/>
              <w:jc w:val="center"/>
              <w:rPr>
                <w:b/>
                <w:sz w:val="22"/>
              </w:rPr>
            </w:pPr>
            <w:r w:rsidRPr="00A8196B">
              <w:rPr>
                <w:color w:val="000000"/>
                <w:sz w:val="22"/>
              </w:rPr>
              <w:t>$374.20</w:t>
            </w:r>
          </w:p>
        </w:tc>
      </w:tr>
      <w:tr w14:paraId="1D9D7A6B" w14:textId="77777777" w:rsidTr="00F83C06">
        <w:tblPrEx>
          <w:tblW w:w="5000" w:type="pct"/>
          <w:tblLook w:val="04A0"/>
        </w:tblPrEx>
        <w:tc>
          <w:tcPr>
            <w:tcW w:w="1874" w:type="pct"/>
            <w:hideMark/>
          </w:tcPr>
          <w:p w:rsidR="00CA19A2" w:rsidRPr="00A8196B" w:rsidP="000C606B" w14:paraId="36BAD46A" w14:textId="77777777">
            <w:pPr>
              <w:keepNext/>
              <w:spacing w:after="0" w:line="240" w:lineRule="auto"/>
              <w:rPr>
                <w:sz w:val="22"/>
              </w:rPr>
            </w:pPr>
            <w:r w:rsidRPr="00A8196B">
              <w:rPr>
                <w:sz w:val="22"/>
              </w:rPr>
              <w:t>Rule familiarization (per firm)</w:t>
            </w:r>
          </w:p>
        </w:tc>
        <w:tc>
          <w:tcPr>
            <w:tcW w:w="769" w:type="pct"/>
            <w:hideMark/>
          </w:tcPr>
          <w:p w:rsidR="00CA19A2" w:rsidRPr="00A8196B" w:rsidP="000C606B" w14:paraId="3873C78A" w14:textId="77777777">
            <w:pPr>
              <w:keepNext/>
              <w:spacing w:after="0" w:line="240" w:lineRule="auto"/>
              <w:ind w:right="337"/>
              <w:jc w:val="right"/>
              <w:rPr>
                <w:sz w:val="22"/>
              </w:rPr>
            </w:pPr>
            <w:r w:rsidRPr="00A8196B">
              <w:rPr>
                <w:color w:val="000000"/>
                <w:sz w:val="22"/>
              </w:rPr>
              <w:t>0.82</w:t>
            </w:r>
          </w:p>
        </w:tc>
        <w:tc>
          <w:tcPr>
            <w:tcW w:w="673" w:type="pct"/>
            <w:hideMark/>
          </w:tcPr>
          <w:p w:rsidR="00CA19A2" w:rsidRPr="00A8196B" w:rsidP="000C606B" w14:paraId="4CBADB97" w14:textId="7E12112F">
            <w:pPr>
              <w:keepNext/>
              <w:spacing w:after="0" w:line="240" w:lineRule="auto"/>
              <w:ind w:right="66"/>
              <w:jc w:val="right"/>
              <w:rPr>
                <w:sz w:val="22"/>
              </w:rPr>
            </w:pPr>
            <w:r w:rsidRPr="00A8196B">
              <w:rPr>
                <w:color w:val="000000"/>
                <w:sz w:val="22"/>
              </w:rPr>
              <w:t>$</w:t>
            </w:r>
            <w:r w:rsidRPr="00A8196B" w:rsidR="00342A6C">
              <w:rPr>
                <w:color w:val="000000"/>
                <w:sz w:val="22"/>
              </w:rPr>
              <w:t>74.63</w:t>
            </w:r>
          </w:p>
        </w:tc>
        <w:tc>
          <w:tcPr>
            <w:tcW w:w="613" w:type="pct"/>
          </w:tcPr>
          <w:p w:rsidR="00CA19A2" w:rsidRPr="00A8196B" w:rsidP="000C606B" w14:paraId="3786FD42" w14:textId="77777777">
            <w:pPr>
              <w:keepNext/>
              <w:spacing w:after="0" w:line="240" w:lineRule="auto"/>
              <w:jc w:val="center"/>
              <w:rPr>
                <w:sz w:val="22"/>
              </w:rPr>
            </w:pPr>
            <w:r w:rsidRPr="00A8196B">
              <w:rPr>
                <w:color w:val="000000"/>
                <w:sz w:val="22"/>
              </w:rPr>
              <w:t>4.67 Firms</w:t>
            </w:r>
          </w:p>
        </w:tc>
        <w:tc>
          <w:tcPr>
            <w:tcW w:w="528" w:type="pct"/>
            <w:noWrap/>
            <w:hideMark/>
          </w:tcPr>
          <w:p w:rsidR="00CA19A2" w:rsidRPr="00A8196B" w:rsidP="000C606B" w14:paraId="50AE98CE" w14:textId="77777777">
            <w:pPr>
              <w:keepNext/>
              <w:spacing w:after="0" w:line="240" w:lineRule="auto"/>
              <w:jc w:val="right"/>
              <w:rPr>
                <w:sz w:val="22"/>
              </w:rPr>
            </w:pPr>
            <w:r w:rsidRPr="00A8196B">
              <w:rPr>
                <w:color w:val="000000"/>
                <w:sz w:val="22"/>
              </w:rPr>
              <w:t>3.81</w:t>
            </w:r>
          </w:p>
        </w:tc>
        <w:tc>
          <w:tcPr>
            <w:tcW w:w="542" w:type="pct"/>
            <w:hideMark/>
          </w:tcPr>
          <w:p w:rsidR="00CA19A2" w:rsidRPr="00A8196B" w:rsidP="000C606B" w14:paraId="5528E9C8" w14:textId="43959FAC">
            <w:pPr>
              <w:keepNext/>
              <w:spacing w:after="0" w:line="240" w:lineRule="auto"/>
              <w:jc w:val="center"/>
              <w:rPr>
                <w:b/>
                <w:sz w:val="22"/>
              </w:rPr>
            </w:pPr>
            <w:r w:rsidRPr="00A8196B">
              <w:rPr>
                <w:color w:val="000000"/>
                <w:sz w:val="22"/>
              </w:rPr>
              <w:t>$</w:t>
            </w:r>
            <w:r w:rsidRPr="00A8196B" w:rsidR="00E26EF3">
              <w:rPr>
                <w:color w:val="000000"/>
                <w:sz w:val="22"/>
              </w:rPr>
              <w:t>349</w:t>
            </w:r>
          </w:p>
        </w:tc>
      </w:tr>
      <w:tr w14:paraId="3261F77F" w14:textId="77777777" w:rsidTr="00F83C06">
        <w:tblPrEx>
          <w:tblW w:w="5000" w:type="pct"/>
          <w:tblLook w:val="04A0"/>
        </w:tblPrEx>
        <w:tc>
          <w:tcPr>
            <w:tcW w:w="1874" w:type="pct"/>
          </w:tcPr>
          <w:p w:rsidR="00CA19A2" w:rsidRPr="00A8196B" w:rsidP="000C606B" w14:paraId="0D34156A" w14:textId="77777777">
            <w:pPr>
              <w:keepNext/>
              <w:spacing w:after="0" w:line="240" w:lineRule="auto"/>
              <w:rPr>
                <w:sz w:val="22"/>
              </w:rPr>
            </w:pPr>
            <w:r w:rsidRPr="00A8196B">
              <w:rPr>
                <w:sz w:val="22"/>
              </w:rPr>
              <w:t>CDX registration, electronic signature, Pay.gov set-up (per firm)</w:t>
            </w:r>
          </w:p>
        </w:tc>
        <w:tc>
          <w:tcPr>
            <w:tcW w:w="769" w:type="pct"/>
          </w:tcPr>
          <w:p w:rsidR="00CA19A2" w:rsidRPr="00A8196B" w:rsidP="000C606B" w14:paraId="22263C3B" w14:textId="77777777">
            <w:pPr>
              <w:keepNext/>
              <w:spacing w:after="0" w:line="240" w:lineRule="auto"/>
              <w:ind w:right="337"/>
              <w:jc w:val="right"/>
              <w:rPr>
                <w:color w:val="000000"/>
                <w:sz w:val="22"/>
              </w:rPr>
            </w:pPr>
            <w:r w:rsidRPr="00A8196B">
              <w:rPr>
                <w:color w:val="000000"/>
                <w:sz w:val="22"/>
              </w:rPr>
              <w:t>2.80</w:t>
            </w:r>
          </w:p>
        </w:tc>
        <w:tc>
          <w:tcPr>
            <w:tcW w:w="673" w:type="pct"/>
          </w:tcPr>
          <w:p w:rsidR="00CA19A2" w:rsidRPr="00A8196B" w:rsidP="000C606B" w14:paraId="2FE16A2B" w14:textId="162A20C0">
            <w:pPr>
              <w:keepNext/>
              <w:spacing w:after="0" w:line="240" w:lineRule="auto"/>
              <w:ind w:right="66"/>
              <w:jc w:val="right"/>
              <w:rPr>
                <w:color w:val="000000"/>
                <w:sz w:val="22"/>
              </w:rPr>
            </w:pPr>
            <w:r w:rsidRPr="00A8196B">
              <w:rPr>
                <w:color w:val="000000"/>
                <w:sz w:val="22"/>
              </w:rPr>
              <w:t>$</w:t>
            </w:r>
            <w:r w:rsidRPr="00A8196B" w:rsidR="00342A6C">
              <w:rPr>
                <w:color w:val="000000"/>
                <w:sz w:val="22"/>
              </w:rPr>
              <w:t>24</w:t>
            </w:r>
            <w:r w:rsidRPr="00A8196B" w:rsidR="00FD5295">
              <w:rPr>
                <w:color w:val="000000"/>
                <w:sz w:val="22"/>
              </w:rPr>
              <w:t>4</w:t>
            </w:r>
            <w:r w:rsidRPr="00A8196B" w:rsidR="00342A6C">
              <w:rPr>
                <w:color w:val="000000"/>
                <w:sz w:val="22"/>
              </w:rPr>
              <w:t>.</w:t>
            </w:r>
            <w:r w:rsidRPr="00A8196B" w:rsidR="00FD5295">
              <w:rPr>
                <w:color w:val="000000"/>
                <w:sz w:val="22"/>
              </w:rPr>
              <w:t>15</w:t>
            </w:r>
          </w:p>
        </w:tc>
        <w:tc>
          <w:tcPr>
            <w:tcW w:w="613" w:type="pct"/>
          </w:tcPr>
          <w:p w:rsidR="00CA19A2" w:rsidRPr="00A8196B" w:rsidP="000C606B" w14:paraId="75B2B914" w14:textId="77777777">
            <w:pPr>
              <w:keepNext/>
              <w:spacing w:after="0" w:line="240" w:lineRule="auto"/>
              <w:jc w:val="center"/>
              <w:rPr>
                <w:sz w:val="22"/>
              </w:rPr>
            </w:pPr>
            <w:r w:rsidRPr="00A8196B">
              <w:rPr>
                <w:color w:val="000000"/>
                <w:sz w:val="22"/>
              </w:rPr>
              <w:t>4.67 Firms</w:t>
            </w:r>
          </w:p>
        </w:tc>
        <w:tc>
          <w:tcPr>
            <w:tcW w:w="528" w:type="pct"/>
            <w:noWrap/>
          </w:tcPr>
          <w:p w:rsidR="00CA19A2" w:rsidRPr="00A8196B" w:rsidP="000C606B" w14:paraId="64731CB7" w14:textId="77777777">
            <w:pPr>
              <w:keepNext/>
              <w:spacing w:after="0" w:line="240" w:lineRule="auto"/>
              <w:jc w:val="right"/>
              <w:rPr>
                <w:sz w:val="22"/>
              </w:rPr>
            </w:pPr>
            <w:r w:rsidRPr="00A8196B">
              <w:rPr>
                <w:color w:val="000000"/>
                <w:sz w:val="22"/>
              </w:rPr>
              <w:t>13.08</w:t>
            </w:r>
          </w:p>
        </w:tc>
        <w:tc>
          <w:tcPr>
            <w:tcW w:w="542" w:type="pct"/>
          </w:tcPr>
          <w:p w:rsidR="00CA19A2" w:rsidRPr="00A8196B" w:rsidP="000C606B" w14:paraId="2F217A6A" w14:textId="5E1B6D23">
            <w:pPr>
              <w:keepNext/>
              <w:spacing w:after="0" w:line="240" w:lineRule="auto"/>
              <w:jc w:val="center"/>
              <w:rPr>
                <w:b/>
                <w:sz w:val="22"/>
              </w:rPr>
            </w:pPr>
            <w:r w:rsidRPr="00A8196B">
              <w:rPr>
                <w:color w:val="000000"/>
                <w:sz w:val="22"/>
              </w:rPr>
              <w:t>$1,</w:t>
            </w:r>
            <w:r w:rsidRPr="00A8196B" w:rsidR="00E26EF3">
              <w:rPr>
                <w:color w:val="000000"/>
                <w:sz w:val="22"/>
              </w:rPr>
              <w:t>1</w:t>
            </w:r>
            <w:r w:rsidRPr="00A8196B" w:rsidR="006465E8">
              <w:rPr>
                <w:color w:val="000000"/>
                <w:sz w:val="22"/>
              </w:rPr>
              <w:t>40</w:t>
            </w:r>
          </w:p>
        </w:tc>
      </w:tr>
      <w:tr w14:paraId="39F7AF6A" w14:textId="77777777" w:rsidTr="00F83C06">
        <w:tblPrEx>
          <w:tblW w:w="5000" w:type="pct"/>
          <w:tblLook w:val="04A0"/>
        </w:tblPrEx>
        <w:tc>
          <w:tcPr>
            <w:tcW w:w="1874" w:type="pct"/>
            <w:hideMark/>
          </w:tcPr>
          <w:p w:rsidR="003368F2" w:rsidRPr="00A8196B" w:rsidP="000C606B" w14:paraId="4B0A8290" w14:textId="77777777">
            <w:pPr>
              <w:keepNext/>
              <w:spacing w:after="0" w:line="240" w:lineRule="auto"/>
              <w:rPr>
                <w:sz w:val="22"/>
              </w:rPr>
            </w:pPr>
            <w:r w:rsidRPr="00A8196B">
              <w:rPr>
                <w:sz w:val="22"/>
              </w:rPr>
              <w:t>Preparation, submission, and recordkeeping for SNUN (per report)</w:t>
            </w:r>
          </w:p>
        </w:tc>
        <w:tc>
          <w:tcPr>
            <w:tcW w:w="769" w:type="pct"/>
            <w:hideMark/>
          </w:tcPr>
          <w:p w:rsidR="003368F2" w:rsidRPr="00A8196B" w:rsidP="000C606B" w14:paraId="6D3FAA79" w14:textId="77777777">
            <w:pPr>
              <w:keepNext/>
              <w:spacing w:after="0" w:line="240" w:lineRule="auto"/>
              <w:ind w:right="337"/>
              <w:jc w:val="right"/>
              <w:rPr>
                <w:sz w:val="22"/>
              </w:rPr>
            </w:pPr>
            <w:r w:rsidRPr="00A8196B">
              <w:rPr>
                <w:color w:val="000000"/>
                <w:sz w:val="22"/>
              </w:rPr>
              <w:t>91.68</w:t>
            </w:r>
          </w:p>
        </w:tc>
        <w:tc>
          <w:tcPr>
            <w:tcW w:w="673" w:type="pct"/>
            <w:hideMark/>
          </w:tcPr>
          <w:p w:rsidR="003368F2" w:rsidRPr="00A8196B" w:rsidP="000C606B" w14:paraId="3E7BCDD5" w14:textId="69373625">
            <w:pPr>
              <w:keepNext/>
              <w:spacing w:after="0" w:line="240" w:lineRule="auto"/>
              <w:ind w:right="66"/>
              <w:jc w:val="right"/>
              <w:rPr>
                <w:sz w:val="22"/>
              </w:rPr>
            </w:pPr>
            <w:r w:rsidRPr="00A8196B">
              <w:rPr>
                <w:color w:val="000000"/>
                <w:sz w:val="22"/>
              </w:rPr>
              <w:t>$23,76</w:t>
            </w:r>
            <w:r w:rsidRPr="00A8196B" w:rsidR="006465E8">
              <w:rPr>
                <w:color w:val="000000"/>
                <w:sz w:val="22"/>
              </w:rPr>
              <w:t>7</w:t>
            </w:r>
          </w:p>
        </w:tc>
        <w:tc>
          <w:tcPr>
            <w:tcW w:w="613" w:type="pct"/>
          </w:tcPr>
          <w:p w:rsidR="003368F2" w:rsidRPr="00A8196B" w:rsidP="000C606B" w14:paraId="2E94312F" w14:textId="77777777">
            <w:pPr>
              <w:keepNext/>
              <w:spacing w:after="0" w:line="240" w:lineRule="auto"/>
              <w:jc w:val="center"/>
              <w:rPr>
                <w:sz w:val="22"/>
              </w:rPr>
            </w:pPr>
            <w:r w:rsidRPr="00A8196B">
              <w:rPr>
                <w:color w:val="000000"/>
                <w:sz w:val="22"/>
              </w:rPr>
              <w:t>1 SNUN</w:t>
            </w:r>
          </w:p>
        </w:tc>
        <w:tc>
          <w:tcPr>
            <w:tcW w:w="528" w:type="pct"/>
            <w:noWrap/>
            <w:hideMark/>
          </w:tcPr>
          <w:p w:rsidR="003368F2" w:rsidRPr="00A8196B" w:rsidP="000C606B" w14:paraId="062F9286" w14:textId="77777777">
            <w:pPr>
              <w:keepNext/>
              <w:spacing w:after="0" w:line="240" w:lineRule="auto"/>
              <w:jc w:val="right"/>
              <w:rPr>
                <w:sz w:val="22"/>
              </w:rPr>
            </w:pPr>
            <w:r w:rsidRPr="00A8196B">
              <w:rPr>
                <w:color w:val="000000"/>
                <w:sz w:val="22"/>
              </w:rPr>
              <w:t>91.68</w:t>
            </w:r>
          </w:p>
        </w:tc>
        <w:tc>
          <w:tcPr>
            <w:tcW w:w="542" w:type="pct"/>
            <w:hideMark/>
          </w:tcPr>
          <w:p w:rsidR="003368F2" w:rsidRPr="00A8196B" w:rsidP="000C606B" w14:paraId="6A14C5DD" w14:textId="5D36C7E2">
            <w:pPr>
              <w:keepNext/>
              <w:spacing w:after="0" w:line="240" w:lineRule="auto"/>
              <w:jc w:val="center"/>
              <w:rPr>
                <w:b/>
                <w:sz w:val="22"/>
              </w:rPr>
            </w:pPr>
            <w:r w:rsidRPr="00A8196B">
              <w:rPr>
                <w:color w:val="000000"/>
                <w:sz w:val="22"/>
              </w:rPr>
              <w:t>$23,76</w:t>
            </w:r>
            <w:r w:rsidRPr="00A8196B" w:rsidR="00FD5295">
              <w:rPr>
                <w:color w:val="000000"/>
                <w:sz w:val="22"/>
              </w:rPr>
              <w:t>7</w:t>
            </w:r>
          </w:p>
        </w:tc>
      </w:tr>
      <w:tr w14:paraId="653FFC51" w14:textId="77777777" w:rsidTr="00F83C06">
        <w:tblPrEx>
          <w:tblW w:w="5000" w:type="pct"/>
          <w:tblLook w:val="04A0"/>
        </w:tblPrEx>
        <w:tc>
          <w:tcPr>
            <w:tcW w:w="1874" w:type="pct"/>
            <w:hideMark/>
          </w:tcPr>
          <w:p w:rsidR="00CA19A2" w:rsidRPr="00A8196B" w:rsidP="00F83C06" w14:paraId="1DACBA8B" w14:textId="77777777">
            <w:pPr>
              <w:spacing w:after="0" w:line="240" w:lineRule="auto"/>
              <w:rPr>
                <w:sz w:val="22"/>
              </w:rPr>
            </w:pPr>
            <w:r w:rsidRPr="00A8196B">
              <w:rPr>
                <w:color w:val="000000"/>
                <w:sz w:val="22"/>
              </w:rPr>
              <w:t>Notifying customers (per SNUR)</w:t>
            </w:r>
          </w:p>
        </w:tc>
        <w:tc>
          <w:tcPr>
            <w:tcW w:w="769" w:type="pct"/>
            <w:hideMark/>
          </w:tcPr>
          <w:p w:rsidR="00CA19A2" w:rsidRPr="00A8196B" w:rsidP="00F83C06" w14:paraId="067D1FBF" w14:textId="77777777">
            <w:pPr>
              <w:spacing w:after="0" w:line="240" w:lineRule="auto"/>
              <w:ind w:right="337"/>
              <w:jc w:val="right"/>
              <w:rPr>
                <w:sz w:val="22"/>
              </w:rPr>
            </w:pPr>
            <w:r w:rsidRPr="00A8196B">
              <w:rPr>
                <w:color w:val="000000"/>
                <w:sz w:val="22"/>
              </w:rPr>
              <w:t>13.67</w:t>
            </w:r>
          </w:p>
        </w:tc>
        <w:tc>
          <w:tcPr>
            <w:tcW w:w="673" w:type="pct"/>
            <w:hideMark/>
          </w:tcPr>
          <w:p w:rsidR="00CA19A2" w:rsidRPr="00A8196B" w:rsidP="00F83C06" w14:paraId="09378D2D" w14:textId="062525D4">
            <w:pPr>
              <w:spacing w:after="0" w:line="240" w:lineRule="auto"/>
              <w:ind w:right="66"/>
              <w:jc w:val="right"/>
              <w:rPr>
                <w:sz w:val="22"/>
              </w:rPr>
            </w:pPr>
            <w:r w:rsidRPr="00A8196B">
              <w:rPr>
                <w:color w:val="000000"/>
                <w:sz w:val="22"/>
              </w:rPr>
              <w:t>$1,</w:t>
            </w:r>
            <w:r w:rsidRPr="00A8196B" w:rsidR="00342A6C">
              <w:rPr>
                <w:color w:val="000000"/>
                <w:sz w:val="22"/>
              </w:rPr>
              <w:t>121</w:t>
            </w:r>
          </w:p>
        </w:tc>
        <w:tc>
          <w:tcPr>
            <w:tcW w:w="613" w:type="pct"/>
          </w:tcPr>
          <w:p w:rsidR="00CA19A2" w:rsidRPr="00A8196B" w:rsidP="00F83C06" w14:paraId="332F9FF6" w14:textId="15FFF13D">
            <w:pPr>
              <w:spacing w:after="0" w:line="240" w:lineRule="auto"/>
              <w:jc w:val="center"/>
              <w:rPr>
                <w:sz w:val="22"/>
              </w:rPr>
            </w:pPr>
            <w:r w:rsidRPr="00A8196B">
              <w:rPr>
                <w:color w:val="000000"/>
                <w:sz w:val="22"/>
              </w:rPr>
              <w:t>4</w:t>
            </w:r>
            <w:r w:rsidRPr="00A8196B">
              <w:rPr>
                <w:color w:val="000000"/>
                <w:sz w:val="22"/>
              </w:rPr>
              <w:t xml:space="preserve"> SNURs</w:t>
            </w:r>
          </w:p>
        </w:tc>
        <w:tc>
          <w:tcPr>
            <w:tcW w:w="528" w:type="pct"/>
            <w:noWrap/>
            <w:hideMark/>
          </w:tcPr>
          <w:p w:rsidR="00CA19A2" w:rsidRPr="00A8196B" w:rsidP="00F83C06" w14:paraId="45186514" w14:textId="16D680E3">
            <w:pPr>
              <w:spacing w:after="0" w:line="240" w:lineRule="auto"/>
              <w:jc w:val="right"/>
              <w:rPr>
                <w:sz w:val="22"/>
              </w:rPr>
            </w:pPr>
            <w:r w:rsidRPr="00A8196B">
              <w:rPr>
                <w:color w:val="000000"/>
                <w:sz w:val="22"/>
              </w:rPr>
              <w:t>54.68</w:t>
            </w:r>
          </w:p>
        </w:tc>
        <w:tc>
          <w:tcPr>
            <w:tcW w:w="542" w:type="pct"/>
            <w:hideMark/>
          </w:tcPr>
          <w:p w:rsidR="00CA19A2" w:rsidRPr="00A8196B" w:rsidP="00F83C06" w14:paraId="53EA7965" w14:textId="199EFFB9">
            <w:pPr>
              <w:spacing w:after="0" w:line="240" w:lineRule="auto"/>
              <w:jc w:val="center"/>
              <w:rPr>
                <w:b/>
                <w:sz w:val="22"/>
              </w:rPr>
            </w:pPr>
            <w:r w:rsidRPr="00A8196B">
              <w:rPr>
                <w:color w:val="000000"/>
                <w:sz w:val="22"/>
              </w:rPr>
              <w:t>$</w:t>
            </w:r>
            <w:r w:rsidRPr="00A8196B" w:rsidR="001D5221">
              <w:rPr>
                <w:color w:val="000000"/>
                <w:sz w:val="22"/>
              </w:rPr>
              <w:t>4,484</w:t>
            </w:r>
          </w:p>
        </w:tc>
      </w:tr>
      <w:tr w14:paraId="732F5BDD" w14:textId="77777777" w:rsidTr="00F83C06">
        <w:tblPrEx>
          <w:tblW w:w="5000" w:type="pct"/>
          <w:tblLook w:val="04A0"/>
        </w:tblPrEx>
        <w:tc>
          <w:tcPr>
            <w:tcW w:w="3930" w:type="pct"/>
            <w:gridSpan w:val="4"/>
          </w:tcPr>
          <w:p w:rsidR="00CA19A2" w:rsidRPr="00A8196B" w:rsidP="00F83C06" w14:paraId="62BFAD74" w14:textId="3B996356">
            <w:pPr>
              <w:spacing w:after="0" w:line="240" w:lineRule="auto"/>
              <w:rPr>
                <w:b/>
                <w:sz w:val="22"/>
              </w:rPr>
            </w:pPr>
            <w:r w:rsidRPr="00A8196B">
              <w:rPr>
                <w:b/>
                <w:sz w:val="22"/>
              </w:rPr>
              <w:t xml:space="preserve">Total </w:t>
            </w:r>
            <w:r w:rsidRPr="00A8196B" w:rsidR="00110D65">
              <w:rPr>
                <w:b/>
                <w:sz w:val="22"/>
              </w:rPr>
              <w:t xml:space="preserve">Existing Chemicals-Related </w:t>
            </w:r>
            <w:r w:rsidRPr="00A8196B">
              <w:rPr>
                <w:b/>
                <w:sz w:val="22"/>
              </w:rPr>
              <w:t xml:space="preserve">Industry Burden and Cost </w:t>
            </w:r>
          </w:p>
        </w:tc>
        <w:tc>
          <w:tcPr>
            <w:tcW w:w="528" w:type="pct"/>
            <w:hideMark/>
          </w:tcPr>
          <w:p w:rsidR="00CA19A2" w:rsidRPr="00A8196B" w:rsidP="00F83C06" w14:paraId="6E6E28E8" w14:textId="38B7A73A">
            <w:pPr>
              <w:spacing w:after="0" w:line="240" w:lineRule="auto"/>
              <w:jc w:val="center"/>
              <w:rPr>
                <w:b/>
                <w:bCs/>
                <w:color w:val="000000"/>
                <w:sz w:val="22"/>
              </w:rPr>
            </w:pPr>
            <w:r w:rsidRPr="00A8196B">
              <w:rPr>
                <w:b/>
                <w:bCs/>
                <w:color w:val="000000"/>
                <w:sz w:val="22"/>
              </w:rPr>
              <w:t>1</w:t>
            </w:r>
            <w:r w:rsidRPr="00A8196B" w:rsidR="00F1404F">
              <w:rPr>
                <w:b/>
                <w:bCs/>
                <w:color w:val="000000"/>
                <w:sz w:val="22"/>
              </w:rPr>
              <w:t>68</w:t>
            </w:r>
          </w:p>
        </w:tc>
        <w:tc>
          <w:tcPr>
            <w:tcW w:w="542" w:type="pct"/>
            <w:hideMark/>
          </w:tcPr>
          <w:p w:rsidR="00CA19A2" w:rsidRPr="00A8196B" w:rsidP="00F83C06" w14:paraId="13245075" w14:textId="5C215BA2">
            <w:pPr>
              <w:spacing w:after="0" w:line="240" w:lineRule="auto"/>
              <w:rPr>
                <w:b/>
                <w:sz w:val="22"/>
                <w:szCs w:val="20"/>
              </w:rPr>
            </w:pPr>
            <w:r w:rsidRPr="00A8196B">
              <w:rPr>
                <w:b/>
                <w:sz w:val="22"/>
                <w:szCs w:val="20"/>
              </w:rPr>
              <w:t>$</w:t>
            </w:r>
            <w:r w:rsidRPr="00A8196B" w:rsidR="00112875">
              <w:rPr>
                <w:b/>
                <w:sz w:val="22"/>
                <w:szCs w:val="20"/>
              </w:rPr>
              <w:t>30,</w:t>
            </w:r>
            <w:r w:rsidRPr="00A8196B" w:rsidR="006465E8">
              <w:rPr>
                <w:b/>
                <w:sz w:val="22"/>
                <w:szCs w:val="20"/>
              </w:rPr>
              <w:t>114</w:t>
            </w:r>
          </w:p>
        </w:tc>
      </w:tr>
    </w:tbl>
    <w:p w:rsidR="00A7023B" w:rsidRPr="00A8196B" w:rsidP="000975A6" w14:paraId="05507518" w14:textId="77777777">
      <w:pPr>
        <w:rPr>
          <w:sz w:val="18"/>
          <w:szCs w:val="18"/>
        </w:rPr>
      </w:pPr>
      <w:r w:rsidRPr="00A8196B">
        <w:rPr>
          <w:sz w:val="18"/>
          <w:szCs w:val="18"/>
        </w:rPr>
        <w:t>Some burden estimate totals may not calculate due to rounding of unit burden estimates</w:t>
      </w:r>
    </w:p>
    <w:p w:rsidR="00A7023B" w:rsidRPr="00A8196B" w:rsidP="000975A6" w14:paraId="0D403441" w14:textId="3AD59319">
      <w:r w:rsidRPr="00A8196B">
        <w:fldChar w:fldCharType="begin"/>
      </w:r>
      <w:r w:rsidRPr="00A8196B">
        <w:instrText xml:space="preserve"> REF _Ref424061505 \h  \* MERGEFORMAT </w:instrText>
      </w:r>
      <w:r w:rsidRPr="00A8196B">
        <w:fldChar w:fldCharType="separate"/>
      </w:r>
      <w:r w:rsidRPr="00A8196B" w:rsidR="009B2ACE">
        <w:t xml:space="preserve">Table </w:t>
      </w:r>
      <w:r w:rsidR="009B2ACE">
        <w:rPr>
          <w:noProof/>
        </w:rPr>
        <w:t>11</w:t>
      </w:r>
      <w:r w:rsidRPr="00A8196B">
        <w:fldChar w:fldCharType="end"/>
      </w:r>
      <w:r w:rsidRPr="00A8196B">
        <w:t xml:space="preserve"> presents the total burden and cost to industry over the three-year ICR period. EPA estimates the total annual industry burden of existing chemical SNUR action to be </w:t>
      </w:r>
      <w:r w:rsidRPr="00A8196B" w:rsidR="005B6EA8">
        <w:t>50</w:t>
      </w:r>
      <w:r w:rsidRPr="00A8196B" w:rsidR="007D2BC3">
        <w:t>4</w:t>
      </w:r>
      <w:r w:rsidRPr="00A8196B">
        <w:t xml:space="preserve"> hours and $</w:t>
      </w:r>
      <w:r w:rsidRPr="00A8196B" w:rsidR="005B6EA8">
        <w:t>90,</w:t>
      </w:r>
      <w:r w:rsidRPr="00A8196B" w:rsidR="007D2BC3">
        <w:t>341</w:t>
      </w:r>
      <w:r w:rsidRPr="00A8196B">
        <w:t>.</w:t>
      </w:r>
    </w:p>
    <w:p w:rsidR="00CA19A2" w:rsidRPr="00A8196B" w:rsidP="008C16F4" w14:paraId="051A12D7" w14:textId="4560EAF9">
      <w:pPr>
        <w:pStyle w:val="Caption"/>
      </w:pPr>
      <w:bookmarkStart w:id="23" w:name="_Ref424061505"/>
      <w:r w:rsidRPr="00A8196B">
        <w:t xml:space="preserve">Table </w:t>
      </w:r>
      <w:r w:rsidRPr="00A8196B">
        <w:fldChar w:fldCharType="begin"/>
      </w:r>
      <w:r w:rsidRPr="00A8196B">
        <w:instrText>SEQ Table \* ARABIC</w:instrText>
      </w:r>
      <w:r w:rsidRPr="00A8196B">
        <w:fldChar w:fldCharType="separate"/>
      </w:r>
      <w:r w:rsidR="009B2ACE">
        <w:rPr>
          <w:noProof/>
        </w:rPr>
        <w:t>11</w:t>
      </w:r>
      <w:r w:rsidRPr="00A8196B">
        <w:fldChar w:fldCharType="end"/>
      </w:r>
      <w:bookmarkEnd w:id="23"/>
      <w:r w:rsidRPr="00A8196B">
        <w:t>: Estimated Total Respondent Burden and Cost, Three Year Totals</w:t>
      </w:r>
    </w:p>
    <w:tbl>
      <w:tblPr>
        <w:tblW w:w="5000" w:type="pct"/>
        <w:tblLook w:val="04A0"/>
      </w:tblPr>
      <w:tblGrid>
        <w:gridCol w:w="2574"/>
        <w:gridCol w:w="1516"/>
        <w:gridCol w:w="1460"/>
        <w:gridCol w:w="1326"/>
        <w:gridCol w:w="1253"/>
        <w:gridCol w:w="1221"/>
      </w:tblGrid>
      <w:tr w14:paraId="35D10DAD"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CA19A2" w:rsidRPr="00A8196B" w:rsidP="00F83C06" w14:paraId="54518371" w14:textId="77777777">
            <w:pPr>
              <w:spacing w:after="0" w:line="240" w:lineRule="auto"/>
              <w:rPr>
                <w:b/>
                <w:bCs/>
                <w:sz w:val="22"/>
              </w:rPr>
            </w:pPr>
            <w:r w:rsidRPr="00A8196B">
              <w:rPr>
                <w:b/>
                <w:bCs/>
                <w:sz w:val="22"/>
              </w:rPr>
              <w:t>Information Collection Activity</w:t>
            </w:r>
          </w:p>
        </w:tc>
        <w:tc>
          <w:tcPr>
            <w:tcW w:w="0" w:type="auto"/>
            <w:tcBorders>
              <w:top w:val="single" w:sz="4" w:space="0" w:color="auto"/>
              <w:left w:val="single" w:sz="4" w:space="0" w:color="auto"/>
              <w:bottom w:val="single" w:sz="4" w:space="0" w:color="auto"/>
              <w:right w:val="single" w:sz="4" w:space="0" w:color="auto"/>
            </w:tcBorders>
            <w:vAlign w:val="bottom"/>
            <w:hideMark/>
          </w:tcPr>
          <w:p w:rsidR="00CA19A2" w:rsidRPr="00A8196B" w:rsidP="00F83C06" w14:paraId="562C6EE0" w14:textId="77777777">
            <w:pPr>
              <w:spacing w:after="0" w:line="240" w:lineRule="auto"/>
              <w:jc w:val="center"/>
              <w:rPr>
                <w:b/>
                <w:bCs/>
                <w:sz w:val="22"/>
              </w:rPr>
            </w:pPr>
            <w:r w:rsidRPr="00A8196B">
              <w:rPr>
                <w:b/>
                <w:bCs/>
                <w:sz w:val="22"/>
              </w:rPr>
              <w:t>Total Burden per Activity (hours)</w:t>
            </w:r>
          </w:p>
        </w:tc>
        <w:tc>
          <w:tcPr>
            <w:tcW w:w="0" w:type="auto"/>
            <w:tcBorders>
              <w:top w:val="single" w:sz="4" w:space="0" w:color="auto"/>
              <w:left w:val="single" w:sz="4" w:space="0" w:color="auto"/>
              <w:bottom w:val="single" w:sz="4" w:space="0" w:color="auto"/>
              <w:right w:val="single" w:sz="4" w:space="0" w:color="auto"/>
            </w:tcBorders>
            <w:vAlign w:val="bottom"/>
            <w:hideMark/>
          </w:tcPr>
          <w:p w:rsidR="00CA19A2" w:rsidRPr="00A8196B" w:rsidP="00F05D40" w14:paraId="6795E505" w14:textId="2B50C1E8">
            <w:pPr>
              <w:spacing w:after="0" w:line="240" w:lineRule="auto"/>
              <w:jc w:val="center"/>
              <w:rPr>
                <w:b/>
                <w:bCs/>
                <w:sz w:val="22"/>
              </w:rPr>
            </w:pPr>
            <w:r w:rsidRPr="00A8196B">
              <w:rPr>
                <w:b/>
                <w:bCs/>
                <w:sz w:val="22"/>
              </w:rPr>
              <w:t>Total Cost per Activity</w:t>
            </w:r>
            <w:r w:rsidRPr="00A8196B" w:rsidR="00F05D40">
              <w:rPr>
                <w:b/>
                <w:bCs/>
                <w:sz w:val="22"/>
              </w:rPr>
              <w:t xml:space="preserve"> </w:t>
            </w:r>
            <w:r w:rsidRPr="00A8196B">
              <w:rPr>
                <w:b/>
                <w:bCs/>
                <w:sz w:val="22"/>
              </w:rPr>
              <w:t>(20</w:t>
            </w:r>
            <w:r w:rsidRPr="00A8196B" w:rsidR="00E26EF3">
              <w:rPr>
                <w:b/>
                <w:bCs/>
                <w:sz w:val="22"/>
              </w:rPr>
              <w:t>21</w:t>
            </w:r>
            <w:r w:rsidRPr="00A8196B">
              <w:rPr>
                <w:b/>
                <w:bCs/>
                <w:sz w:val="22"/>
              </w:rPr>
              <w:t>$)</w:t>
            </w:r>
          </w:p>
        </w:tc>
        <w:tc>
          <w:tcPr>
            <w:tcW w:w="0" w:type="auto"/>
            <w:tcBorders>
              <w:top w:val="single" w:sz="4" w:space="0" w:color="auto"/>
              <w:left w:val="single" w:sz="4" w:space="0" w:color="auto"/>
              <w:bottom w:val="single" w:sz="4" w:space="0" w:color="auto"/>
              <w:right w:val="single" w:sz="4" w:space="0" w:color="auto"/>
            </w:tcBorders>
            <w:vAlign w:val="bottom"/>
          </w:tcPr>
          <w:p w:rsidR="00CA19A2" w:rsidRPr="00A8196B" w:rsidP="00F83C06" w14:paraId="7C7FE39B" w14:textId="635B6D24">
            <w:pPr>
              <w:spacing w:after="0" w:line="240" w:lineRule="auto"/>
              <w:jc w:val="center"/>
              <w:rPr>
                <w:b/>
                <w:bCs/>
                <w:sz w:val="22"/>
              </w:rPr>
            </w:pPr>
            <w:r w:rsidRPr="00A8196B">
              <w:rPr>
                <w:b/>
                <w:bCs/>
                <w:sz w:val="22"/>
              </w:rPr>
              <w:t>Total Number of Units</w:t>
            </w:r>
          </w:p>
        </w:tc>
        <w:tc>
          <w:tcPr>
            <w:tcW w:w="0" w:type="auto"/>
            <w:tcBorders>
              <w:top w:val="single" w:sz="4" w:space="0" w:color="auto"/>
              <w:left w:val="single" w:sz="4" w:space="0" w:color="auto"/>
              <w:bottom w:val="single" w:sz="4" w:space="0" w:color="auto"/>
              <w:right w:val="single" w:sz="4" w:space="0" w:color="auto"/>
            </w:tcBorders>
            <w:vAlign w:val="bottom"/>
            <w:hideMark/>
          </w:tcPr>
          <w:p w:rsidR="00CA19A2" w:rsidRPr="00A8196B" w:rsidP="00F83C06" w14:paraId="514BA11A" w14:textId="77777777">
            <w:pPr>
              <w:spacing w:after="0" w:line="240" w:lineRule="auto"/>
              <w:jc w:val="center"/>
              <w:rPr>
                <w:b/>
                <w:bCs/>
                <w:sz w:val="22"/>
              </w:rPr>
            </w:pPr>
            <w:r w:rsidRPr="00A8196B">
              <w:rPr>
                <w:b/>
                <w:bCs/>
                <w:sz w:val="22"/>
              </w:rPr>
              <w:t>Total Burden (hours)</w:t>
            </w:r>
          </w:p>
        </w:tc>
        <w:tc>
          <w:tcPr>
            <w:tcW w:w="0" w:type="auto"/>
            <w:tcBorders>
              <w:top w:val="single" w:sz="4" w:space="0" w:color="auto"/>
              <w:left w:val="single" w:sz="4" w:space="0" w:color="auto"/>
              <w:bottom w:val="single" w:sz="4" w:space="0" w:color="auto"/>
              <w:right w:val="single" w:sz="4" w:space="0" w:color="auto"/>
            </w:tcBorders>
            <w:vAlign w:val="bottom"/>
            <w:hideMark/>
          </w:tcPr>
          <w:p w:rsidR="00CA19A2" w:rsidRPr="00A8196B" w:rsidP="00F83C06" w14:paraId="5D703C95" w14:textId="34DA8F4E">
            <w:pPr>
              <w:spacing w:after="0" w:line="240" w:lineRule="auto"/>
              <w:jc w:val="center"/>
              <w:rPr>
                <w:b/>
                <w:bCs/>
                <w:sz w:val="22"/>
              </w:rPr>
            </w:pPr>
            <w:r w:rsidRPr="00A8196B">
              <w:rPr>
                <w:b/>
                <w:bCs/>
                <w:sz w:val="22"/>
              </w:rPr>
              <w:t>Total Cost (20</w:t>
            </w:r>
            <w:r w:rsidRPr="00A8196B" w:rsidR="00E26EF3">
              <w:rPr>
                <w:b/>
                <w:bCs/>
                <w:sz w:val="22"/>
              </w:rPr>
              <w:t>21</w:t>
            </w:r>
            <w:r w:rsidRPr="00A8196B">
              <w:rPr>
                <w:b/>
                <w:bCs/>
                <w:sz w:val="22"/>
              </w:rPr>
              <w:t>$)</w:t>
            </w:r>
          </w:p>
        </w:tc>
      </w:tr>
      <w:tr w14:paraId="06B63F72"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15E38" w:rsidRPr="00A8196B" w:rsidP="00F83C06" w14:paraId="52635160" w14:textId="77777777">
            <w:pPr>
              <w:spacing w:after="0" w:line="240" w:lineRule="auto"/>
              <w:rPr>
                <w:sz w:val="22"/>
              </w:rPr>
            </w:pPr>
            <w:r w:rsidRPr="00A8196B">
              <w:rPr>
                <w:color w:val="000000"/>
                <w:sz w:val="22"/>
              </w:rPr>
              <w:t>Chemical verification (per SNUR)</w:t>
            </w:r>
          </w:p>
        </w:tc>
        <w:tc>
          <w:tcPr>
            <w:tcW w:w="0" w:type="auto"/>
            <w:tcBorders>
              <w:top w:val="single" w:sz="4" w:space="0" w:color="auto"/>
              <w:left w:val="nil"/>
              <w:bottom w:val="single" w:sz="4" w:space="0" w:color="auto"/>
              <w:right w:val="single" w:sz="4" w:space="0" w:color="auto"/>
            </w:tcBorders>
            <w:hideMark/>
          </w:tcPr>
          <w:p w:rsidR="00C15E38" w:rsidRPr="00A8196B" w:rsidP="00F05D40" w14:paraId="4735BDB8" w14:textId="77777777">
            <w:pPr>
              <w:tabs>
                <w:tab w:val="decimal" w:pos="494"/>
              </w:tabs>
              <w:spacing w:after="0" w:line="240" w:lineRule="auto"/>
              <w:rPr>
                <w:sz w:val="22"/>
              </w:rPr>
            </w:pPr>
            <w:r w:rsidRPr="00A8196B">
              <w:rPr>
                <w:color w:val="000000"/>
                <w:sz w:val="22"/>
              </w:rPr>
              <w:t>1.14</w:t>
            </w:r>
          </w:p>
        </w:tc>
        <w:tc>
          <w:tcPr>
            <w:tcW w:w="0" w:type="auto"/>
            <w:tcBorders>
              <w:top w:val="single" w:sz="4" w:space="0" w:color="auto"/>
              <w:left w:val="nil"/>
              <w:bottom w:val="single" w:sz="4" w:space="0" w:color="auto"/>
              <w:right w:val="single" w:sz="4" w:space="0" w:color="auto"/>
            </w:tcBorders>
            <w:hideMark/>
          </w:tcPr>
          <w:p w:rsidR="00C15E38" w:rsidRPr="00A8196B" w:rsidP="00F05D40" w14:paraId="73BC209F" w14:textId="3F1E4F6C">
            <w:pPr>
              <w:tabs>
                <w:tab w:val="decimal" w:pos="748"/>
              </w:tabs>
              <w:spacing w:after="0" w:line="240" w:lineRule="auto"/>
              <w:rPr>
                <w:sz w:val="22"/>
              </w:rPr>
            </w:pPr>
            <w:r w:rsidRPr="00A8196B">
              <w:rPr>
                <w:sz w:val="22"/>
              </w:rPr>
              <w:t>$94</w:t>
            </w:r>
          </w:p>
        </w:tc>
        <w:tc>
          <w:tcPr>
            <w:tcW w:w="0" w:type="auto"/>
            <w:tcBorders>
              <w:top w:val="single" w:sz="4" w:space="0" w:color="auto"/>
              <w:left w:val="nil"/>
              <w:bottom w:val="single" w:sz="4" w:space="0" w:color="auto"/>
              <w:right w:val="single" w:sz="4" w:space="0" w:color="auto"/>
            </w:tcBorders>
          </w:tcPr>
          <w:p w:rsidR="00C15E38" w:rsidRPr="00A8196B" w:rsidP="00F83C06" w14:paraId="133C595E" w14:textId="77777777">
            <w:pPr>
              <w:spacing w:after="0" w:line="240" w:lineRule="auto"/>
              <w:jc w:val="center"/>
              <w:rPr>
                <w:sz w:val="22"/>
              </w:rPr>
            </w:pPr>
            <w:r w:rsidRPr="00A8196B">
              <w:rPr>
                <w:color w:val="000000"/>
                <w:sz w:val="22"/>
              </w:rPr>
              <w:t>12 SNURs</w:t>
            </w:r>
          </w:p>
        </w:tc>
        <w:tc>
          <w:tcPr>
            <w:tcW w:w="0" w:type="auto"/>
            <w:tcBorders>
              <w:top w:val="single" w:sz="4" w:space="0" w:color="auto"/>
              <w:left w:val="single" w:sz="4" w:space="0" w:color="auto"/>
              <w:bottom w:val="single" w:sz="4" w:space="0" w:color="auto"/>
              <w:right w:val="single" w:sz="4" w:space="0" w:color="auto"/>
            </w:tcBorders>
            <w:noWrap/>
            <w:hideMark/>
          </w:tcPr>
          <w:p w:rsidR="00C15E38" w:rsidRPr="00A8196B" w:rsidP="00F05D40" w14:paraId="0D3D2A51" w14:textId="77777777">
            <w:pPr>
              <w:tabs>
                <w:tab w:val="decimal" w:pos="421"/>
              </w:tabs>
              <w:spacing w:after="0" w:line="240" w:lineRule="auto"/>
              <w:rPr>
                <w:sz w:val="22"/>
              </w:rPr>
            </w:pPr>
            <w:r w:rsidRPr="00A8196B">
              <w:rPr>
                <w:sz w:val="22"/>
              </w:rPr>
              <w:t>13.68</w:t>
            </w:r>
          </w:p>
        </w:tc>
        <w:tc>
          <w:tcPr>
            <w:tcW w:w="0" w:type="auto"/>
            <w:tcBorders>
              <w:top w:val="single" w:sz="4" w:space="0" w:color="auto"/>
              <w:left w:val="single" w:sz="4" w:space="0" w:color="auto"/>
              <w:right w:val="single" w:sz="4" w:space="0" w:color="auto"/>
            </w:tcBorders>
            <w:hideMark/>
          </w:tcPr>
          <w:p w:rsidR="00C15E38" w:rsidRPr="00A8196B" w:rsidP="00F05D40" w14:paraId="7E8D1D9E" w14:textId="399DA304">
            <w:pPr>
              <w:tabs>
                <w:tab w:val="decimal" w:pos="772"/>
              </w:tabs>
              <w:spacing w:after="0" w:line="240" w:lineRule="auto"/>
              <w:rPr>
                <w:b/>
                <w:sz w:val="22"/>
              </w:rPr>
            </w:pPr>
            <w:r w:rsidRPr="00A8196B">
              <w:rPr>
                <w:color w:val="000000"/>
                <w:sz w:val="22"/>
              </w:rPr>
              <w:t>$1,123</w:t>
            </w:r>
          </w:p>
        </w:tc>
      </w:tr>
      <w:tr w14:paraId="50C3D9F5"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A19A2" w:rsidRPr="00A8196B" w:rsidP="00F83C06" w14:paraId="30066EC1" w14:textId="77777777">
            <w:pPr>
              <w:spacing w:after="0" w:line="240" w:lineRule="auto"/>
              <w:rPr>
                <w:sz w:val="22"/>
              </w:rPr>
            </w:pPr>
            <w:r w:rsidRPr="00A8196B">
              <w:rPr>
                <w:sz w:val="22"/>
              </w:rPr>
              <w:t>Rule familiarization (per firm)</w:t>
            </w:r>
          </w:p>
        </w:tc>
        <w:tc>
          <w:tcPr>
            <w:tcW w:w="0" w:type="auto"/>
            <w:tcBorders>
              <w:top w:val="single" w:sz="4" w:space="0" w:color="auto"/>
              <w:left w:val="nil"/>
              <w:bottom w:val="single" w:sz="4" w:space="0" w:color="auto"/>
              <w:right w:val="single" w:sz="4" w:space="0" w:color="auto"/>
            </w:tcBorders>
            <w:hideMark/>
          </w:tcPr>
          <w:p w:rsidR="00CA19A2" w:rsidRPr="00A8196B" w:rsidP="00F05D40" w14:paraId="01D3B1D7" w14:textId="77777777">
            <w:pPr>
              <w:tabs>
                <w:tab w:val="decimal" w:pos="494"/>
              </w:tabs>
              <w:spacing w:after="0" w:line="240" w:lineRule="auto"/>
              <w:rPr>
                <w:sz w:val="22"/>
              </w:rPr>
            </w:pPr>
            <w:r w:rsidRPr="00A8196B">
              <w:rPr>
                <w:color w:val="000000"/>
                <w:sz w:val="22"/>
              </w:rPr>
              <w:t>0.82</w:t>
            </w:r>
          </w:p>
        </w:tc>
        <w:tc>
          <w:tcPr>
            <w:tcW w:w="0" w:type="auto"/>
            <w:tcBorders>
              <w:top w:val="single" w:sz="4" w:space="0" w:color="auto"/>
              <w:left w:val="nil"/>
              <w:bottom w:val="single" w:sz="4" w:space="0" w:color="auto"/>
              <w:right w:val="single" w:sz="4" w:space="0" w:color="auto"/>
            </w:tcBorders>
            <w:hideMark/>
          </w:tcPr>
          <w:p w:rsidR="00CA19A2" w:rsidRPr="00A8196B" w:rsidP="00F05D40" w14:paraId="315A42C6" w14:textId="08D9AA8B">
            <w:pPr>
              <w:tabs>
                <w:tab w:val="decimal" w:pos="748"/>
              </w:tabs>
              <w:spacing w:after="0" w:line="240" w:lineRule="auto"/>
              <w:rPr>
                <w:sz w:val="22"/>
              </w:rPr>
            </w:pPr>
            <w:r w:rsidRPr="00A8196B">
              <w:rPr>
                <w:sz w:val="22"/>
              </w:rPr>
              <w:t>$</w:t>
            </w:r>
            <w:r w:rsidRPr="00A8196B" w:rsidR="00E26EF3">
              <w:rPr>
                <w:sz w:val="22"/>
              </w:rPr>
              <w:t>75</w:t>
            </w:r>
          </w:p>
        </w:tc>
        <w:tc>
          <w:tcPr>
            <w:tcW w:w="0" w:type="auto"/>
            <w:tcBorders>
              <w:top w:val="single" w:sz="4" w:space="0" w:color="auto"/>
              <w:left w:val="nil"/>
              <w:bottom w:val="single" w:sz="4" w:space="0" w:color="auto"/>
              <w:right w:val="single" w:sz="4" w:space="0" w:color="auto"/>
            </w:tcBorders>
          </w:tcPr>
          <w:p w:rsidR="00CA19A2" w:rsidRPr="00A8196B" w:rsidP="00F83C06" w14:paraId="6EC06C36" w14:textId="77777777">
            <w:pPr>
              <w:spacing w:after="0" w:line="240" w:lineRule="auto"/>
              <w:jc w:val="center"/>
              <w:rPr>
                <w:sz w:val="22"/>
              </w:rPr>
            </w:pPr>
            <w:r w:rsidRPr="00A8196B">
              <w:rPr>
                <w:color w:val="000000"/>
                <w:sz w:val="22"/>
              </w:rPr>
              <w:t>14.01 Firms</w:t>
            </w:r>
          </w:p>
        </w:tc>
        <w:tc>
          <w:tcPr>
            <w:tcW w:w="0" w:type="auto"/>
            <w:tcBorders>
              <w:top w:val="single" w:sz="4" w:space="0" w:color="auto"/>
              <w:left w:val="single" w:sz="4" w:space="0" w:color="auto"/>
              <w:bottom w:val="single" w:sz="4" w:space="0" w:color="auto"/>
              <w:right w:val="single" w:sz="4" w:space="0" w:color="auto"/>
            </w:tcBorders>
            <w:noWrap/>
            <w:hideMark/>
          </w:tcPr>
          <w:p w:rsidR="00CA19A2" w:rsidRPr="00A8196B" w:rsidP="00F05D40" w14:paraId="670452FE" w14:textId="77777777">
            <w:pPr>
              <w:tabs>
                <w:tab w:val="decimal" w:pos="421"/>
              </w:tabs>
              <w:spacing w:after="0" w:line="240" w:lineRule="auto"/>
              <w:rPr>
                <w:sz w:val="22"/>
              </w:rPr>
            </w:pPr>
            <w:r w:rsidRPr="00A8196B">
              <w:rPr>
                <w:sz w:val="22"/>
              </w:rPr>
              <w:t>11.44</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2BF0D263" w14:textId="6F839E3A">
            <w:pPr>
              <w:tabs>
                <w:tab w:val="decimal" w:pos="772"/>
              </w:tabs>
              <w:spacing w:after="0" w:line="240" w:lineRule="auto"/>
              <w:rPr>
                <w:b/>
                <w:sz w:val="22"/>
              </w:rPr>
            </w:pPr>
            <w:r w:rsidRPr="00A8196B">
              <w:rPr>
                <w:color w:val="000000"/>
                <w:sz w:val="22"/>
              </w:rPr>
              <w:t>$</w:t>
            </w:r>
            <w:r w:rsidRPr="00A8196B" w:rsidR="00E26EF3">
              <w:rPr>
                <w:color w:val="000000"/>
                <w:sz w:val="22"/>
              </w:rPr>
              <w:t>1,045</w:t>
            </w:r>
          </w:p>
        </w:tc>
      </w:tr>
      <w:tr w14:paraId="5B71C232"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tcPr>
          <w:p w:rsidR="00CA19A2" w:rsidRPr="00A8196B" w:rsidP="00F83C06" w14:paraId="6C752EE6" w14:textId="77777777">
            <w:pPr>
              <w:spacing w:after="0" w:line="240" w:lineRule="auto"/>
              <w:rPr>
                <w:sz w:val="22"/>
              </w:rPr>
            </w:pPr>
            <w:r w:rsidRPr="00A8196B">
              <w:rPr>
                <w:sz w:val="22"/>
              </w:rPr>
              <w:t>CDX registration, electronic signature, Pay.gov set-up (per firm)</w:t>
            </w:r>
          </w:p>
        </w:tc>
        <w:tc>
          <w:tcPr>
            <w:tcW w:w="0" w:type="auto"/>
            <w:tcBorders>
              <w:top w:val="single" w:sz="4" w:space="0" w:color="auto"/>
              <w:left w:val="nil"/>
              <w:bottom w:val="single" w:sz="4" w:space="0" w:color="auto"/>
              <w:right w:val="single" w:sz="4" w:space="0" w:color="auto"/>
            </w:tcBorders>
          </w:tcPr>
          <w:p w:rsidR="00CA19A2" w:rsidRPr="00A8196B" w:rsidP="00F05D40" w14:paraId="66952836" w14:textId="77777777">
            <w:pPr>
              <w:tabs>
                <w:tab w:val="decimal" w:pos="494"/>
              </w:tabs>
              <w:spacing w:after="0" w:line="240" w:lineRule="auto"/>
              <w:rPr>
                <w:color w:val="000000"/>
                <w:sz w:val="22"/>
              </w:rPr>
            </w:pPr>
            <w:r w:rsidRPr="00A8196B">
              <w:rPr>
                <w:color w:val="000000"/>
                <w:sz w:val="22"/>
              </w:rPr>
              <w:t>2.80</w:t>
            </w:r>
          </w:p>
        </w:tc>
        <w:tc>
          <w:tcPr>
            <w:tcW w:w="0" w:type="auto"/>
            <w:tcBorders>
              <w:top w:val="single" w:sz="4" w:space="0" w:color="auto"/>
              <w:left w:val="nil"/>
              <w:bottom w:val="single" w:sz="4" w:space="0" w:color="auto"/>
              <w:right w:val="single" w:sz="4" w:space="0" w:color="auto"/>
            </w:tcBorders>
          </w:tcPr>
          <w:p w:rsidR="00CA19A2" w:rsidRPr="00A8196B" w:rsidP="00F05D40" w14:paraId="033486CC" w14:textId="217054D7">
            <w:pPr>
              <w:tabs>
                <w:tab w:val="decimal" w:pos="748"/>
              </w:tabs>
              <w:spacing w:after="0" w:line="240" w:lineRule="auto"/>
              <w:rPr>
                <w:sz w:val="22"/>
              </w:rPr>
            </w:pPr>
            <w:r w:rsidRPr="00A8196B">
              <w:rPr>
                <w:sz w:val="22"/>
              </w:rPr>
              <w:t>$2</w:t>
            </w:r>
            <w:r w:rsidRPr="00A8196B" w:rsidR="00E26EF3">
              <w:rPr>
                <w:sz w:val="22"/>
              </w:rPr>
              <w:t>4</w:t>
            </w:r>
            <w:r w:rsidRPr="00A8196B" w:rsidR="006465E8">
              <w:rPr>
                <w:sz w:val="22"/>
              </w:rPr>
              <w:t>4</w:t>
            </w:r>
          </w:p>
        </w:tc>
        <w:tc>
          <w:tcPr>
            <w:tcW w:w="0" w:type="auto"/>
            <w:tcBorders>
              <w:top w:val="single" w:sz="4" w:space="0" w:color="auto"/>
              <w:left w:val="nil"/>
              <w:bottom w:val="single" w:sz="4" w:space="0" w:color="auto"/>
              <w:right w:val="single" w:sz="4" w:space="0" w:color="auto"/>
            </w:tcBorders>
          </w:tcPr>
          <w:p w:rsidR="00CA19A2" w:rsidRPr="00A8196B" w:rsidP="00F83C06" w14:paraId="1123F829" w14:textId="77777777">
            <w:pPr>
              <w:spacing w:after="0" w:line="240" w:lineRule="auto"/>
              <w:jc w:val="center"/>
              <w:rPr>
                <w:sz w:val="22"/>
              </w:rPr>
            </w:pPr>
            <w:r w:rsidRPr="00A8196B">
              <w:rPr>
                <w:color w:val="000000"/>
                <w:sz w:val="22"/>
              </w:rPr>
              <w:t>14.01 Firms</w:t>
            </w:r>
          </w:p>
        </w:tc>
        <w:tc>
          <w:tcPr>
            <w:tcW w:w="0" w:type="auto"/>
            <w:tcBorders>
              <w:top w:val="single" w:sz="4" w:space="0" w:color="auto"/>
              <w:left w:val="single" w:sz="4" w:space="0" w:color="auto"/>
              <w:bottom w:val="single" w:sz="4" w:space="0" w:color="auto"/>
              <w:right w:val="single" w:sz="4" w:space="0" w:color="auto"/>
            </w:tcBorders>
            <w:noWrap/>
          </w:tcPr>
          <w:p w:rsidR="00CA19A2" w:rsidRPr="00A8196B" w:rsidP="00F05D40" w14:paraId="2BF3EB47" w14:textId="77777777">
            <w:pPr>
              <w:tabs>
                <w:tab w:val="decimal" w:pos="421"/>
              </w:tabs>
              <w:spacing w:after="0" w:line="240" w:lineRule="auto"/>
              <w:rPr>
                <w:sz w:val="22"/>
              </w:rPr>
            </w:pPr>
            <w:r w:rsidRPr="00A8196B">
              <w:rPr>
                <w:sz w:val="22"/>
              </w:rPr>
              <w:t>39.23</w:t>
            </w:r>
          </w:p>
        </w:tc>
        <w:tc>
          <w:tcPr>
            <w:tcW w:w="0" w:type="auto"/>
            <w:tcBorders>
              <w:top w:val="single" w:sz="4" w:space="0" w:color="auto"/>
              <w:left w:val="single" w:sz="4" w:space="0" w:color="auto"/>
              <w:bottom w:val="single" w:sz="4" w:space="0" w:color="auto"/>
              <w:right w:val="single" w:sz="4" w:space="0" w:color="auto"/>
            </w:tcBorders>
          </w:tcPr>
          <w:p w:rsidR="00CA19A2" w:rsidRPr="00A8196B" w:rsidP="00F05D40" w14:paraId="4795DDFB" w14:textId="275A1135">
            <w:pPr>
              <w:tabs>
                <w:tab w:val="decimal" w:pos="772"/>
              </w:tabs>
              <w:spacing w:after="0" w:line="240" w:lineRule="auto"/>
              <w:rPr>
                <w:b/>
                <w:sz w:val="22"/>
              </w:rPr>
            </w:pPr>
            <w:r w:rsidRPr="00A8196B">
              <w:rPr>
                <w:color w:val="000000"/>
                <w:sz w:val="22"/>
              </w:rPr>
              <w:t>$</w:t>
            </w:r>
            <w:r w:rsidRPr="00A8196B" w:rsidR="00E26EF3">
              <w:rPr>
                <w:color w:val="000000"/>
                <w:sz w:val="22"/>
              </w:rPr>
              <w:t>3,</w:t>
            </w:r>
            <w:r w:rsidRPr="00A8196B" w:rsidR="007D2BC3">
              <w:rPr>
                <w:color w:val="000000"/>
                <w:sz w:val="22"/>
              </w:rPr>
              <w:t>421</w:t>
            </w:r>
          </w:p>
        </w:tc>
      </w:tr>
      <w:tr w14:paraId="6F8D07F9"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936193" w:rsidRPr="00A8196B" w:rsidP="00F83C06" w14:paraId="27534236" w14:textId="77777777">
            <w:pPr>
              <w:spacing w:after="0" w:line="240" w:lineRule="auto"/>
              <w:rPr>
                <w:sz w:val="22"/>
              </w:rPr>
            </w:pPr>
            <w:r w:rsidRPr="00A8196B">
              <w:rPr>
                <w:sz w:val="22"/>
              </w:rPr>
              <w:t>Preparation, submission, and recordkeeping for SNUN (per report)</w:t>
            </w:r>
          </w:p>
        </w:tc>
        <w:tc>
          <w:tcPr>
            <w:tcW w:w="0" w:type="auto"/>
            <w:tcBorders>
              <w:top w:val="single" w:sz="4" w:space="0" w:color="auto"/>
              <w:left w:val="nil"/>
              <w:bottom w:val="single" w:sz="4" w:space="0" w:color="auto"/>
              <w:right w:val="single" w:sz="4" w:space="0" w:color="auto"/>
            </w:tcBorders>
            <w:hideMark/>
          </w:tcPr>
          <w:p w:rsidR="00936193" w:rsidRPr="00A8196B" w:rsidP="00F05D40" w14:paraId="401FEAEF" w14:textId="77777777">
            <w:pPr>
              <w:tabs>
                <w:tab w:val="decimal" w:pos="494"/>
              </w:tabs>
              <w:spacing w:after="0" w:line="240" w:lineRule="auto"/>
              <w:rPr>
                <w:sz w:val="22"/>
              </w:rPr>
            </w:pPr>
            <w:r w:rsidRPr="00A8196B">
              <w:rPr>
                <w:color w:val="000000"/>
                <w:sz w:val="22"/>
              </w:rPr>
              <w:t>91.68</w:t>
            </w:r>
          </w:p>
        </w:tc>
        <w:tc>
          <w:tcPr>
            <w:tcW w:w="0" w:type="auto"/>
            <w:tcBorders>
              <w:top w:val="single" w:sz="4" w:space="0" w:color="auto"/>
              <w:left w:val="nil"/>
              <w:bottom w:val="single" w:sz="4" w:space="0" w:color="auto"/>
              <w:right w:val="single" w:sz="4" w:space="0" w:color="auto"/>
            </w:tcBorders>
            <w:hideMark/>
          </w:tcPr>
          <w:p w:rsidR="00936193" w:rsidRPr="00A8196B" w:rsidP="00F05D40" w14:paraId="23849A15" w14:textId="6D737460">
            <w:pPr>
              <w:tabs>
                <w:tab w:val="decimal" w:pos="748"/>
              </w:tabs>
              <w:spacing w:after="0" w:line="240" w:lineRule="auto"/>
              <w:rPr>
                <w:sz w:val="22"/>
              </w:rPr>
            </w:pPr>
            <w:r w:rsidRPr="00A8196B">
              <w:rPr>
                <w:sz w:val="22"/>
              </w:rPr>
              <w:t>$23,76</w:t>
            </w:r>
            <w:r w:rsidRPr="00A8196B" w:rsidR="006465E8">
              <w:rPr>
                <w:sz w:val="22"/>
              </w:rPr>
              <w:t>7</w:t>
            </w:r>
          </w:p>
        </w:tc>
        <w:tc>
          <w:tcPr>
            <w:tcW w:w="0" w:type="auto"/>
            <w:tcBorders>
              <w:top w:val="single" w:sz="4" w:space="0" w:color="auto"/>
              <w:left w:val="nil"/>
              <w:bottom w:val="single" w:sz="4" w:space="0" w:color="auto"/>
              <w:right w:val="single" w:sz="4" w:space="0" w:color="auto"/>
            </w:tcBorders>
          </w:tcPr>
          <w:p w:rsidR="00936193" w:rsidRPr="00A8196B" w:rsidP="00F83C06" w14:paraId="3117E781" w14:textId="77777777">
            <w:pPr>
              <w:spacing w:after="0" w:line="240" w:lineRule="auto"/>
              <w:jc w:val="center"/>
              <w:rPr>
                <w:sz w:val="22"/>
              </w:rPr>
            </w:pPr>
            <w:r w:rsidRPr="00A8196B">
              <w:rPr>
                <w:color w:val="000000"/>
                <w:sz w:val="22"/>
              </w:rPr>
              <w:t>3 SNUNs</w:t>
            </w:r>
          </w:p>
        </w:tc>
        <w:tc>
          <w:tcPr>
            <w:tcW w:w="0" w:type="auto"/>
            <w:tcBorders>
              <w:top w:val="single" w:sz="4" w:space="0" w:color="auto"/>
              <w:left w:val="single" w:sz="4" w:space="0" w:color="auto"/>
              <w:bottom w:val="single" w:sz="4" w:space="0" w:color="auto"/>
              <w:right w:val="single" w:sz="4" w:space="0" w:color="auto"/>
            </w:tcBorders>
            <w:noWrap/>
            <w:hideMark/>
          </w:tcPr>
          <w:p w:rsidR="00936193" w:rsidRPr="00A8196B" w:rsidP="00F05D40" w14:paraId="7D190B76" w14:textId="77777777">
            <w:pPr>
              <w:tabs>
                <w:tab w:val="decimal" w:pos="421"/>
              </w:tabs>
              <w:spacing w:after="0" w:line="240" w:lineRule="auto"/>
              <w:rPr>
                <w:sz w:val="22"/>
              </w:rPr>
            </w:pPr>
            <w:r w:rsidRPr="00A8196B">
              <w:rPr>
                <w:sz w:val="22"/>
              </w:rPr>
              <w:t>275.05</w:t>
            </w:r>
          </w:p>
        </w:tc>
        <w:tc>
          <w:tcPr>
            <w:tcW w:w="0" w:type="auto"/>
            <w:tcBorders>
              <w:top w:val="single" w:sz="4" w:space="0" w:color="auto"/>
              <w:left w:val="single" w:sz="4" w:space="0" w:color="auto"/>
              <w:bottom w:val="single" w:sz="4" w:space="0" w:color="auto"/>
              <w:right w:val="single" w:sz="4" w:space="0" w:color="auto"/>
            </w:tcBorders>
            <w:hideMark/>
          </w:tcPr>
          <w:p w:rsidR="00936193" w:rsidRPr="00A8196B" w:rsidP="00F05D40" w14:paraId="44D9B8A2" w14:textId="08205D6E">
            <w:pPr>
              <w:tabs>
                <w:tab w:val="decimal" w:pos="772"/>
              </w:tabs>
              <w:spacing w:after="0" w:line="240" w:lineRule="auto"/>
              <w:rPr>
                <w:b/>
                <w:sz w:val="22"/>
              </w:rPr>
            </w:pPr>
            <w:r w:rsidRPr="00A8196B">
              <w:rPr>
                <w:color w:val="000000"/>
                <w:sz w:val="22"/>
              </w:rPr>
              <w:t>$71,</w:t>
            </w:r>
            <w:r w:rsidRPr="00A8196B" w:rsidR="007D2BC3">
              <w:rPr>
                <w:color w:val="000000"/>
                <w:sz w:val="22"/>
              </w:rPr>
              <w:t>301</w:t>
            </w:r>
          </w:p>
        </w:tc>
      </w:tr>
      <w:tr w14:paraId="2246CE28"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A19A2" w:rsidRPr="00A8196B" w:rsidP="00F83C06" w14:paraId="2FD677DB" w14:textId="77777777">
            <w:pPr>
              <w:spacing w:after="0" w:line="240" w:lineRule="auto"/>
              <w:rPr>
                <w:sz w:val="22"/>
              </w:rPr>
            </w:pPr>
            <w:r w:rsidRPr="00A8196B">
              <w:rPr>
                <w:color w:val="000000"/>
                <w:sz w:val="22"/>
              </w:rPr>
              <w:t>Notifying customers (per SNUR)</w:t>
            </w:r>
          </w:p>
        </w:tc>
        <w:tc>
          <w:tcPr>
            <w:tcW w:w="0" w:type="auto"/>
            <w:tcBorders>
              <w:top w:val="single" w:sz="4" w:space="0" w:color="auto"/>
              <w:left w:val="nil"/>
              <w:bottom w:val="single" w:sz="4" w:space="0" w:color="auto"/>
              <w:right w:val="single" w:sz="4" w:space="0" w:color="auto"/>
            </w:tcBorders>
            <w:hideMark/>
          </w:tcPr>
          <w:p w:rsidR="00CA19A2" w:rsidRPr="00A8196B" w:rsidP="00F05D40" w14:paraId="51C0D41D" w14:textId="77777777">
            <w:pPr>
              <w:tabs>
                <w:tab w:val="decimal" w:pos="494"/>
              </w:tabs>
              <w:spacing w:after="0" w:line="240" w:lineRule="auto"/>
              <w:rPr>
                <w:sz w:val="22"/>
              </w:rPr>
            </w:pPr>
            <w:r w:rsidRPr="00A8196B">
              <w:rPr>
                <w:color w:val="000000"/>
                <w:sz w:val="22"/>
              </w:rPr>
              <w:t>13.67</w:t>
            </w:r>
          </w:p>
        </w:tc>
        <w:tc>
          <w:tcPr>
            <w:tcW w:w="0" w:type="auto"/>
            <w:tcBorders>
              <w:top w:val="single" w:sz="4" w:space="0" w:color="auto"/>
              <w:left w:val="nil"/>
              <w:bottom w:val="single" w:sz="4" w:space="0" w:color="auto"/>
              <w:right w:val="single" w:sz="4" w:space="0" w:color="auto"/>
            </w:tcBorders>
            <w:hideMark/>
          </w:tcPr>
          <w:p w:rsidR="00CA19A2" w:rsidRPr="00A8196B" w:rsidP="00F05D40" w14:paraId="6D964848" w14:textId="01447087">
            <w:pPr>
              <w:tabs>
                <w:tab w:val="decimal" w:pos="748"/>
              </w:tabs>
              <w:spacing w:after="0" w:line="240" w:lineRule="auto"/>
              <w:rPr>
                <w:sz w:val="22"/>
              </w:rPr>
            </w:pPr>
            <w:r w:rsidRPr="00A8196B">
              <w:rPr>
                <w:sz w:val="22"/>
              </w:rPr>
              <w:t>$1,</w:t>
            </w:r>
            <w:r w:rsidRPr="00A8196B" w:rsidR="00E26EF3">
              <w:rPr>
                <w:sz w:val="22"/>
              </w:rPr>
              <w:t>121</w:t>
            </w:r>
          </w:p>
        </w:tc>
        <w:tc>
          <w:tcPr>
            <w:tcW w:w="0" w:type="auto"/>
            <w:tcBorders>
              <w:top w:val="single" w:sz="4" w:space="0" w:color="auto"/>
              <w:left w:val="nil"/>
              <w:bottom w:val="single" w:sz="4" w:space="0" w:color="auto"/>
              <w:right w:val="single" w:sz="4" w:space="0" w:color="auto"/>
            </w:tcBorders>
          </w:tcPr>
          <w:p w:rsidR="00CA19A2" w:rsidRPr="00A8196B" w:rsidP="00F83C06" w14:paraId="395FD3A4" w14:textId="17195FDB">
            <w:pPr>
              <w:spacing w:after="0" w:line="240" w:lineRule="auto"/>
              <w:jc w:val="center"/>
              <w:rPr>
                <w:sz w:val="22"/>
              </w:rPr>
            </w:pPr>
            <w:r w:rsidRPr="00A8196B">
              <w:rPr>
                <w:color w:val="000000"/>
                <w:sz w:val="22"/>
              </w:rPr>
              <w:t>12</w:t>
            </w:r>
            <w:r w:rsidRPr="00A8196B">
              <w:rPr>
                <w:color w:val="000000"/>
                <w:sz w:val="22"/>
              </w:rPr>
              <w:t xml:space="preserve"> SNURs</w:t>
            </w:r>
          </w:p>
        </w:tc>
        <w:tc>
          <w:tcPr>
            <w:tcW w:w="0" w:type="auto"/>
            <w:tcBorders>
              <w:top w:val="single" w:sz="4" w:space="0" w:color="auto"/>
              <w:left w:val="single" w:sz="4" w:space="0" w:color="auto"/>
              <w:bottom w:val="single" w:sz="4" w:space="0" w:color="auto"/>
              <w:right w:val="single" w:sz="4" w:space="0" w:color="auto"/>
            </w:tcBorders>
            <w:noWrap/>
            <w:hideMark/>
          </w:tcPr>
          <w:p w:rsidR="00CA19A2" w:rsidRPr="00A8196B" w:rsidP="00F05D40" w14:paraId="2C46FA32" w14:textId="437F0064">
            <w:pPr>
              <w:tabs>
                <w:tab w:val="decimal" w:pos="421"/>
              </w:tabs>
              <w:spacing w:after="0" w:line="240" w:lineRule="auto"/>
              <w:rPr>
                <w:sz w:val="22"/>
              </w:rPr>
            </w:pPr>
            <w:r w:rsidRPr="00A8196B">
              <w:rPr>
                <w:sz w:val="22"/>
              </w:rPr>
              <w:t>1</w:t>
            </w:r>
            <w:r w:rsidRPr="00A8196B" w:rsidR="00F3723A">
              <w:rPr>
                <w:sz w:val="22"/>
              </w:rPr>
              <w:t>64.04</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39F90BCF" w14:textId="4552D4BA">
            <w:pPr>
              <w:tabs>
                <w:tab w:val="decimal" w:pos="772"/>
              </w:tabs>
              <w:spacing w:after="0" w:line="240" w:lineRule="auto"/>
              <w:rPr>
                <w:b/>
                <w:sz w:val="22"/>
              </w:rPr>
            </w:pPr>
            <w:r w:rsidRPr="00A8196B">
              <w:rPr>
                <w:color w:val="000000"/>
                <w:sz w:val="22"/>
              </w:rPr>
              <w:t>$</w:t>
            </w:r>
            <w:r w:rsidRPr="00A8196B" w:rsidR="004F731A">
              <w:rPr>
                <w:color w:val="000000"/>
                <w:sz w:val="22"/>
              </w:rPr>
              <w:t>13,452</w:t>
            </w:r>
          </w:p>
        </w:tc>
      </w:tr>
      <w:tr w14:paraId="589340A2" w14:textId="77777777" w:rsidTr="00F83C06">
        <w:tblPrEx>
          <w:tblW w:w="5000" w:type="pct"/>
          <w:tblLook w:val="04A0"/>
        </w:tblPrEx>
        <w:tc>
          <w:tcPr>
            <w:tcW w:w="0" w:type="auto"/>
            <w:gridSpan w:val="4"/>
            <w:tcBorders>
              <w:top w:val="single" w:sz="4" w:space="0" w:color="auto"/>
              <w:left w:val="single" w:sz="4" w:space="0" w:color="auto"/>
              <w:bottom w:val="single" w:sz="4" w:space="0" w:color="auto"/>
              <w:right w:val="single" w:sz="4" w:space="0" w:color="auto"/>
            </w:tcBorders>
          </w:tcPr>
          <w:p w:rsidR="00CA19A2" w:rsidRPr="00A8196B" w:rsidP="00F83C06" w14:paraId="115F92BA" w14:textId="77777777">
            <w:pPr>
              <w:spacing w:after="0" w:line="240" w:lineRule="auto"/>
              <w:rPr>
                <w:b/>
                <w:sz w:val="22"/>
              </w:rPr>
            </w:pPr>
            <w:r w:rsidRPr="00A8196B">
              <w:rPr>
                <w:b/>
                <w:sz w:val="22"/>
              </w:rPr>
              <w:t xml:space="preserve">Total Industry Burden and Cost </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1A8C93E8" w14:textId="59295017">
            <w:pPr>
              <w:tabs>
                <w:tab w:val="decimal" w:pos="421"/>
              </w:tabs>
              <w:spacing w:after="0" w:line="240" w:lineRule="auto"/>
              <w:rPr>
                <w:b/>
                <w:sz w:val="22"/>
              </w:rPr>
            </w:pPr>
            <w:r w:rsidRPr="00A8196B">
              <w:rPr>
                <w:b/>
                <w:bCs/>
                <w:color w:val="000000"/>
                <w:sz w:val="22"/>
              </w:rPr>
              <w:t>50</w:t>
            </w:r>
            <w:r w:rsidRPr="00A8196B" w:rsidR="007D2BC3">
              <w:rPr>
                <w:b/>
                <w:bCs/>
                <w:color w:val="000000"/>
                <w:sz w:val="22"/>
              </w:rPr>
              <w:t>4</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1E12F6D0" w14:textId="15B7BF6F">
            <w:pPr>
              <w:tabs>
                <w:tab w:val="decimal" w:pos="772"/>
              </w:tabs>
              <w:spacing w:after="0" w:line="240" w:lineRule="auto"/>
              <w:rPr>
                <w:b/>
                <w:sz w:val="22"/>
              </w:rPr>
            </w:pPr>
            <w:r w:rsidRPr="00A8196B">
              <w:rPr>
                <w:b/>
                <w:sz w:val="22"/>
              </w:rPr>
              <w:t>$</w:t>
            </w:r>
            <w:r w:rsidRPr="00A8196B" w:rsidR="0016450B">
              <w:rPr>
                <w:b/>
                <w:sz w:val="22"/>
              </w:rPr>
              <w:t>90,</w:t>
            </w:r>
            <w:r w:rsidRPr="00A8196B" w:rsidR="007D2BC3">
              <w:rPr>
                <w:b/>
                <w:sz w:val="22"/>
              </w:rPr>
              <w:t>341</w:t>
            </w:r>
          </w:p>
        </w:tc>
      </w:tr>
    </w:tbl>
    <w:p w:rsidR="00AC5A42" w:rsidRPr="00A8196B" w:rsidP="009B2563" w14:paraId="0873A82B" w14:textId="0FDB7F79">
      <w:r w:rsidRPr="00A8196B">
        <w:rPr>
          <w:sz w:val="18"/>
          <w:szCs w:val="18"/>
        </w:rPr>
        <w:t>Some burden estimate totals may not calculate due to rounding of unit burden estimates</w:t>
      </w:r>
    </w:p>
    <w:p w:rsidR="00CA19A2" w:rsidRPr="00A8196B" w:rsidP="009B2563" w14:paraId="7E4A4686" w14:textId="46B975C3">
      <w:r w:rsidRPr="00A8196B">
        <w:fldChar w:fldCharType="begin"/>
      </w:r>
      <w:r w:rsidRPr="00A8196B">
        <w:instrText xml:space="preserve"> REF _Ref424061522 \h  \* MERGEFORMAT </w:instrText>
      </w:r>
      <w:r w:rsidRPr="00A8196B">
        <w:fldChar w:fldCharType="separate"/>
      </w:r>
      <w:r w:rsidRPr="00A8196B" w:rsidR="009B2ACE">
        <w:t xml:space="preserve">Table </w:t>
      </w:r>
      <w:r w:rsidR="009B2ACE">
        <w:rPr>
          <w:noProof/>
        </w:rPr>
        <w:t>12</w:t>
      </w:r>
      <w:r w:rsidRPr="00A8196B">
        <w:fldChar w:fldCharType="end"/>
      </w:r>
      <w:r w:rsidRPr="00A8196B">
        <w:t xml:space="preserve"> presents the annual burden by collection activity. Chemical verification is expected to have a total burden of 2.28 hours annually. Notifying consumers is expected to have a total burden of 127.65 hours annually. Companies are expected to incur a total burden of 3.81 hours for rule </w:t>
      </w:r>
      <w:r w:rsidRPr="00A8196B">
        <w:t xml:space="preserve">familiarization, 13.08 hours for CDX registration activities and a total of 89.91 hours for SNUN </w:t>
      </w:r>
      <w:r w:rsidRPr="00A8196B" w:rsidR="00F26583">
        <w:t>preparation (including submission and recordkeeping)</w:t>
      </w:r>
      <w:r w:rsidRPr="00A8196B">
        <w:t>, each year.</w:t>
      </w:r>
    </w:p>
    <w:p w:rsidR="00CA19A2" w:rsidRPr="00A8196B" w:rsidP="008C16F4" w14:paraId="18775AD9" w14:textId="05BFA138">
      <w:pPr>
        <w:pStyle w:val="Caption"/>
      </w:pPr>
      <w:bookmarkStart w:id="24" w:name="_Ref424061522"/>
      <w:r w:rsidRPr="00A8196B">
        <w:t xml:space="preserve">Table </w:t>
      </w:r>
      <w:r w:rsidRPr="00A8196B">
        <w:fldChar w:fldCharType="begin"/>
      </w:r>
      <w:r w:rsidRPr="00A8196B">
        <w:instrText>SEQ Table \* ARABIC</w:instrText>
      </w:r>
      <w:r w:rsidRPr="00A8196B">
        <w:fldChar w:fldCharType="separate"/>
      </w:r>
      <w:r w:rsidR="009B2ACE">
        <w:rPr>
          <w:noProof/>
        </w:rPr>
        <w:t>12</w:t>
      </w:r>
      <w:r w:rsidRPr="00A8196B">
        <w:fldChar w:fldCharType="end"/>
      </w:r>
      <w:bookmarkEnd w:id="24"/>
      <w:r w:rsidRPr="00A8196B">
        <w:t xml:space="preserve">: </w:t>
      </w:r>
      <w:r w:rsidRPr="00A8196B">
        <w:t xml:space="preserve">Annual Information Collection Tally for ICR Reporting Period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1819"/>
        <w:gridCol w:w="1678"/>
        <w:gridCol w:w="1551"/>
        <w:gridCol w:w="1448"/>
        <w:gridCol w:w="1321"/>
        <w:gridCol w:w="1527"/>
      </w:tblGrid>
      <w:tr w14:paraId="2FEBB327" w14:textId="77777777" w:rsidTr="00F05D40">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Ex>
        <w:trPr>
          <w:cantSplit/>
          <w:tblHeader/>
        </w:trPr>
        <w:tc>
          <w:tcPr>
            <w:tcW w:w="973" w:type="pct"/>
            <w:vAlign w:val="bottom"/>
            <w:hideMark/>
          </w:tcPr>
          <w:p w:rsidR="00CA19A2" w:rsidRPr="00A8196B" w:rsidP="00F05D40" w14:paraId="35E50583" w14:textId="77777777">
            <w:pPr>
              <w:widowControl w:val="0"/>
              <w:spacing w:after="0" w:line="240" w:lineRule="auto"/>
              <w:jc w:val="center"/>
              <w:rPr>
                <w:b/>
                <w:sz w:val="22"/>
              </w:rPr>
            </w:pPr>
            <w:r w:rsidRPr="00A8196B">
              <w:rPr>
                <w:b/>
                <w:sz w:val="22"/>
              </w:rPr>
              <w:t>Information Collection</w:t>
            </w:r>
          </w:p>
        </w:tc>
        <w:tc>
          <w:tcPr>
            <w:tcW w:w="898" w:type="pct"/>
            <w:vAlign w:val="bottom"/>
            <w:hideMark/>
          </w:tcPr>
          <w:p w:rsidR="00CA19A2" w:rsidRPr="00A8196B" w:rsidP="00F05D40" w14:paraId="2E11326E" w14:textId="3C0A92B9">
            <w:pPr>
              <w:widowControl w:val="0"/>
              <w:spacing w:after="0" w:line="240" w:lineRule="auto"/>
              <w:jc w:val="center"/>
              <w:rPr>
                <w:b/>
                <w:sz w:val="22"/>
              </w:rPr>
            </w:pPr>
            <w:r w:rsidRPr="00A8196B">
              <w:rPr>
                <w:b/>
                <w:sz w:val="22"/>
              </w:rPr>
              <w:t>No. of</w:t>
            </w:r>
          </w:p>
          <w:p w:rsidR="00CA19A2" w:rsidRPr="00A8196B" w:rsidP="00F05D40" w14:paraId="64C87682" w14:textId="77777777">
            <w:pPr>
              <w:widowControl w:val="0"/>
              <w:spacing w:after="0" w:line="240" w:lineRule="auto"/>
              <w:jc w:val="center"/>
              <w:rPr>
                <w:b/>
                <w:sz w:val="22"/>
              </w:rPr>
            </w:pPr>
            <w:r w:rsidRPr="00A8196B">
              <w:rPr>
                <w:b/>
                <w:sz w:val="22"/>
              </w:rPr>
              <w:t>Respondents</w:t>
            </w:r>
          </w:p>
        </w:tc>
        <w:tc>
          <w:tcPr>
            <w:tcW w:w="830" w:type="pct"/>
            <w:vAlign w:val="bottom"/>
            <w:hideMark/>
          </w:tcPr>
          <w:p w:rsidR="00CA19A2" w:rsidRPr="00A8196B" w:rsidP="00F05D40" w14:paraId="79773D2D" w14:textId="77777777">
            <w:pPr>
              <w:widowControl w:val="0"/>
              <w:spacing w:after="0" w:line="240" w:lineRule="auto"/>
              <w:jc w:val="center"/>
              <w:rPr>
                <w:b/>
                <w:sz w:val="22"/>
              </w:rPr>
            </w:pPr>
            <w:r w:rsidRPr="00A8196B">
              <w:rPr>
                <w:b/>
                <w:sz w:val="22"/>
              </w:rPr>
              <w:t>No. of Responses / Respondent</w:t>
            </w:r>
          </w:p>
        </w:tc>
        <w:tc>
          <w:tcPr>
            <w:tcW w:w="775" w:type="pct"/>
            <w:vAlign w:val="bottom"/>
            <w:hideMark/>
          </w:tcPr>
          <w:p w:rsidR="00CA19A2" w:rsidRPr="00A8196B" w:rsidP="00F05D40" w14:paraId="6E72F363" w14:textId="77777777">
            <w:pPr>
              <w:widowControl w:val="0"/>
              <w:spacing w:after="0" w:line="240" w:lineRule="auto"/>
              <w:jc w:val="center"/>
              <w:rPr>
                <w:b/>
                <w:sz w:val="22"/>
              </w:rPr>
            </w:pPr>
            <w:r w:rsidRPr="00A8196B">
              <w:rPr>
                <w:b/>
                <w:sz w:val="22"/>
              </w:rPr>
              <w:t>Responses Subtotal</w:t>
            </w:r>
          </w:p>
        </w:tc>
        <w:tc>
          <w:tcPr>
            <w:tcW w:w="707" w:type="pct"/>
            <w:vAlign w:val="bottom"/>
            <w:hideMark/>
          </w:tcPr>
          <w:p w:rsidR="00CA19A2" w:rsidRPr="00A8196B" w:rsidP="00F05D40" w14:paraId="4AF00989" w14:textId="77777777">
            <w:pPr>
              <w:widowControl w:val="0"/>
              <w:spacing w:after="0" w:line="240" w:lineRule="auto"/>
              <w:jc w:val="center"/>
              <w:rPr>
                <w:b/>
                <w:sz w:val="22"/>
              </w:rPr>
            </w:pPr>
            <w:r w:rsidRPr="00A8196B">
              <w:rPr>
                <w:b/>
                <w:sz w:val="22"/>
              </w:rPr>
              <w:t>Annual Burden Hours per Response</w:t>
            </w:r>
          </w:p>
        </w:tc>
        <w:tc>
          <w:tcPr>
            <w:tcW w:w="817" w:type="pct"/>
            <w:vAlign w:val="bottom"/>
            <w:hideMark/>
          </w:tcPr>
          <w:p w:rsidR="00CA19A2" w:rsidRPr="00A8196B" w:rsidP="00F05D40" w14:paraId="75AAAE40" w14:textId="77777777">
            <w:pPr>
              <w:widowControl w:val="0"/>
              <w:spacing w:after="0" w:line="240" w:lineRule="auto"/>
              <w:jc w:val="center"/>
              <w:rPr>
                <w:b/>
                <w:sz w:val="22"/>
              </w:rPr>
            </w:pPr>
            <w:r w:rsidRPr="00A8196B">
              <w:rPr>
                <w:b/>
                <w:sz w:val="22"/>
              </w:rPr>
              <w:t>Annual Burden Hours per Activity</w:t>
            </w:r>
          </w:p>
        </w:tc>
      </w:tr>
      <w:tr w14:paraId="67A85154" w14:textId="77777777" w:rsidTr="00F05D40">
        <w:tblPrEx>
          <w:tblW w:w="5000" w:type="pct"/>
          <w:tblLook w:val="01E0"/>
        </w:tblPrEx>
        <w:trPr>
          <w:cantSplit/>
        </w:trPr>
        <w:tc>
          <w:tcPr>
            <w:tcW w:w="5000" w:type="pct"/>
            <w:gridSpan w:val="6"/>
            <w:shd w:val="clear" w:color="auto" w:fill="auto"/>
          </w:tcPr>
          <w:p w:rsidR="00CA19A2" w:rsidRPr="00A8196B" w:rsidP="004E6EE2" w14:paraId="0044BA36" w14:textId="77777777">
            <w:pPr>
              <w:keepNext/>
              <w:widowControl w:val="0"/>
              <w:spacing w:after="0" w:line="240" w:lineRule="auto"/>
              <w:jc w:val="center"/>
              <w:rPr>
                <w:b/>
                <w:i/>
                <w:sz w:val="22"/>
              </w:rPr>
            </w:pPr>
            <w:r w:rsidRPr="00A8196B">
              <w:rPr>
                <w:b/>
                <w:i/>
                <w:color w:val="000000"/>
                <w:sz w:val="22"/>
              </w:rPr>
              <w:t>Per Firm Activities</w:t>
            </w:r>
          </w:p>
        </w:tc>
      </w:tr>
      <w:tr w14:paraId="778F597B" w14:textId="77777777" w:rsidTr="00F05D40">
        <w:tblPrEx>
          <w:tblW w:w="5000" w:type="pct"/>
          <w:tblLook w:val="01E0"/>
        </w:tblPrEx>
        <w:trPr>
          <w:cantSplit/>
        </w:trPr>
        <w:tc>
          <w:tcPr>
            <w:tcW w:w="973" w:type="pct"/>
            <w:hideMark/>
          </w:tcPr>
          <w:p w:rsidR="00CA19A2" w:rsidRPr="00A8196B" w:rsidP="00F05D40" w14:paraId="3F44E7B2" w14:textId="77777777">
            <w:pPr>
              <w:widowControl w:val="0"/>
              <w:spacing w:after="0" w:line="240" w:lineRule="auto"/>
              <w:rPr>
                <w:sz w:val="22"/>
              </w:rPr>
            </w:pPr>
            <w:r w:rsidRPr="00A8196B">
              <w:rPr>
                <w:sz w:val="22"/>
              </w:rPr>
              <w:t>Rule familiarization</w:t>
            </w:r>
          </w:p>
        </w:tc>
        <w:tc>
          <w:tcPr>
            <w:tcW w:w="898" w:type="pct"/>
          </w:tcPr>
          <w:p w:rsidR="00CA19A2" w:rsidRPr="00A8196B" w:rsidP="00F05D40" w14:paraId="51797A45" w14:textId="77777777">
            <w:pPr>
              <w:widowControl w:val="0"/>
              <w:spacing w:after="0" w:line="240" w:lineRule="auto"/>
              <w:jc w:val="center"/>
              <w:rPr>
                <w:sz w:val="22"/>
              </w:rPr>
            </w:pPr>
            <w:r w:rsidRPr="00A8196B">
              <w:rPr>
                <w:color w:val="000000"/>
                <w:sz w:val="22"/>
              </w:rPr>
              <w:t>4.67</w:t>
            </w:r>
          </w:p>
        </w:tc>
        <w:tc>
          <w:tcPr>
            <w:tcW w:w="830" w:type="pct"/>
            <w:hideMark/>
          </w:tcPr>
          <w:p w:rsidR="00CA19A2" w:rsidRPr="00A8196B" w:rsidP="00F05D40" w14:paraId="3C548468" w14:textId="77777777">
            <w:pPr>
              <w:widowControl w:val="0"/>
              <w:spacing w:after="0" w:line="240" w:lineRule="auto"/>
              <w:jc w:val="center"/>
              <w:rPr>
                <w:sz w:val="22"/>
              </w:rPr>
            </w:pPr>
            <w:r w:rsidRPr="00A8196B">
              <w:rPr>
                <w:color w:val="000000"/>
                <w:sz w:val="22"/>
              </w:rPr>
              <w:t>1</w:t>
            </w:r>
          </w:p>
        </w:tc>
        <w:tc>
          <w:tcPr>
            <w:tcW w:w="775" w:type="pct"/>
          </w:tcPr>
          <w:p w:rsidR="00CA19A2" w:rsidRPr="00A8196B" w:rsidP="00F05D40" w14:paraId="11684D5F" w14:textId="77777777">
            <w:pPr>
              <w:widowControl w:val="0"/>
              <w:spacing w:after="0" w:line="240" w:lineRule="auto"/>
              <w:jc w:val="center"/>
              <w:rPr>
                <w:sz w:val="22"/>
              </w:rPr>
            </w:pPr>
            <w:r w:rsidRPr="00A8196B">
              <w:rPr>
                <w:color w:val="000000"/>
                <w:sz w:val="22"/>
              </w:rPr>
              <w:t>4.67</w:t>
            </w:r>
          </w:p>
        </w:tc>
        <w:tc>
          <w:tcPr>
            <w:tcW w:w="707" w:type="pct"/>
            <w:hideMark/>
          </w:tcPr>
          <w:p w:rsidR="00CA19A2" w:rsidRPr="00A8196B" w:rsidP="00F05D40" w14:paraId="696CE2D7" w14:textId="77777777">
            <w:pPr>
              <w:widowControl w:val="0"/>
              <w:spacing w:after="0" w:line="240" w:lineRule="auto"/>
              <w:jc w:val="center"/>
              <w:rPr>
                <w:sz w:val="22"/>
              </w:rPr>
            </w:pPr>
            <w:r w:rsidRPr="00A8196B">
              <w:rPr>
                <w:color w:val="000000"/>
                <w:sz w:val="22"/>
              </w:rPr>
              <w:t>0.82</w:t>
            </w:r>
          </w:p>
        </w:tc>
        <w:tc>
          <w:tcPr>
            <w:tcW w:w="817" w:type="pct"/>
            <w:hideMark/>
          </w:tcPr>
          <w:p w:rsidR="00CA19A2" w:rsidRPr="00A8196B" w:rsidP="00F05D40" w14:paraId="11474E31" w14:textId="77777777">
            <w:pPr>
              <w:widowControl w:val="0"/>
              <w:spacing w:after="0" w:line="240" w:lineRule="auto"/>
              <w:jc w:val="center"/>
              <w:rPr>
                <w:b/>
                <w:sz w:val="22"/>
              </w:rPr>
            </w:pPr>
            <w:r w:rsidRPr="00A8196B">
              <w:rPr>
                <w:b/>
                <w:bCs/>
                <w:color w:val="000000"/>
                <w:sz w:val="22"/>
              </w:rPr>
              <w:t>3.81</w:t>
            </w:r>
          </w:p>
        </w:tc>
      </w:tr>
      <w:tr w14:paraId="7CA65709" w14:textId="77777777" w:rsidTr="00F05D40">
        <w:tblPrEx>
          <w:tblW w:w="5000" w:type="pct"/>
          <w:tblLook w:val="01E0"/>
        </w:tblPrEx>
        <w:trPr>
          <w:cantSplit/>
        </w:trPr>
        <w:tc>
          <w:tcPr>
            <w:tcW w:w="973" w:type="pct"/>
            <w:hideMark/>
          </w:tcPr>
          <w:p w:rsidR="00CA19A2" w:rsidRPr="00A8196B" w:rsidP="00F05D40" w14:paraId="5168BFEA" w14:textId="77777777">
            <w:pPr>
              <w:widowControl w:val="0"/>
              <w:spacing w:after="0" w:line="240" w:lineRule="auto"/>
              <w:rPr>
                <w:sz w:val="22"/>
              </w:rPr>
            </w:pPr>
            <w:r w:rsidRPr="00A8196B">
              <w:rPr>
                <w:sz w:val="22"/>
              </w:rPr>
              <w:t>CDX registration activities</w:t>
            </w:r>
          </w:p>
        </w:tc>
        <w:tc>
          <w:tcPr>
            <w:tcW w:w="898" w:type="pct"/>
          </w:tcPr>
          <w:p w:rsidR="00CA19A2" w:rsidRPr="00A8196B" w:rsidP="00F05D40" w14:paraId="3A975424" w14:textId="77777777">
            <w:pPr>
              <w:widowControl w:val="0"/>
              <w:spacing w:after="0" w:line="240" w:lineRule="auto"/>
              <w:jc w:val="center"/>
              <w:rPr>
                <w:color w:val="000000"/>
                <w:sz w:val="22"/>
              </w:rPr>
            </w:pPr>
            <w:r w:rsidRPr="00A8196B">
              <w:rPr>
                <w:color w:val="000000"/>
                <w:sz w:val="22"/>
              </w:rPr>
              <w:t>4.67</w:t>
            </w:r>
          </w:p>
        </w:tc>
        <w:tc>
          <w:tcPr>
            <w:tcW w:w="830" w:type="pct"/>
            <w:hideMark/>
          </w:tcPr>
          <w:p w:rsidR="00CA19A2" w:rsidRPr="00A8196B" w:rsidP="00F05D40" w14:paraId="5A83C4A4" w14:textId="77777777">
            <w:pPr>
              <w:widowControl w:val="0"/>
              <w:spacing w:after="0" w:line="240" w:lineRule="auto"/>
              <w:jc w:val="center"/>
              <w:rPr>
                <w:color w:val="000000"/>
                <w:sz w:val="22"/>
              </w:rPr>
            </w:pPr>
            <w:r w:rsidRPr="00A8196B">
              <w:rPr>
                <w:color w:val="000000"/>
                <w:sz w:val="22"/>
              </w:rPr>
              <w:t>1</w:t>
            </w:r>
          </w:p>
        </w:tc>
        <w:tc>
          <w:tcPr>
            <w:tcW w:w="775" w:type="pct"/>
          </w:tcPr>
          <w:p w:rsidR="00CA19A2" w:rsidRPr="00A8196B" w:rsidP="00F05D40" w14:paraId="0C1BA012" w14:textId="77777777">
            <w:pPr>
              <w:widowControl w:val="0"/>
              <w:spacing w:after="0" w:line="240" w:lineRule="auto"/>
              <w:jc w:val="center"/>
              <w:rPr>
                <w:color w:val="000000"/>
                <w:sz w:val="22"/>
              </w:rPr>
            </w:pPr>
            <w:r w:rsidRPr="00A8196B">
              <w:rPr>
                <w:color w:val="000000"/>
                <w:sz w:val="22"/>
              </w:rPr>
              <w:t>4.67</w:t>
            </w:r>
          </w:p>
        </w:tc>
        <w:tc>
          <w:tcPr>
            <w:tcW w:w="707" w:type="pct"/>
            <w:hideMark/>
          </w:tcPr>
          <w:p w:rsidR="00CA19A2" w:rsidRPr="00A8196B" w:rsidP="00F05D40" w14:paraId="1AD899E0" w14:textId="77777777">
            <w:pPr>
              <w:widowControl w:val="0"/>
              <w:spacing w:after="0" w:line="240" w:lineRule="auto"/>
              <w:jc w:val="center"/>
              <w:rPr>
                <w:color w:val="000000"/>
                <w:sz w:val="22"/>
              </w:rPr>
            </w:pPr>
            <w:r w:rsidRPr="00A8196B">
              <w:rPr>
                <w:color w:val="000000"/>
                <w:sz w:val="22"/>
              </w:rPr>
              <w:t>2.80</w:t>
            </w:r>
          </w:p>
        </w:tc>
        <w:tc>
          <w:tcPr>
            <w:tcW w:w="817" w:type="pct"/>
            <w:hideMark/>
          </w:tcPr>
          <w:p w:rsidR="00CA19A2" w:rsidRPr="00A8196B" w:rsidP="00F05D40" w14:paraId="0293D6DC" w14:textId="77777777">
            <w:pPr>
              <w:widowControl w:val="0"/>
              <w:spacing w:after="0" w:line="240" w:lineRule="auto"/>
              <w:jc w:val="center"/>
              <w:rPr>
                <w:b/>
                <w:color w:val="000000"/>
                <w:sz w:val="22"/>
              </w:rPr>
            </w:pPr>
            <w:r w:rsidRPr="00A8196B">
              <w:rPr>
                <w:b/>
                <w:bCs/>
                <w:color w:val="000000"/>
                <w:sz w:val="22"/>
              </w:rPr>
              <w:t>13.08</w:t>
            </w:r>
          </w:p>
        </w:tc>
      </w:tr>
      <w:tr w14:paraId="73BF0AE3" w14:textId="77777777" w:rsidTr="00F05D40">
        <w:tblPrEx>
          <w:tblW w:w="5000" w:type="pct"/>
          <w:tblLook w:val="01E0"/>
        </w:tblPrEx>
        <w:trPr>
          <w:cantSplit/>
        </w:trPr>
        <w:tc>
          <w:tcPr>
            <w:tcW w:w="973" w:type="pct"/>
            <w:hideMark/>
          </w:tcPr>
          <w:p w:rsidR="00CA19A2" w:rsidRPr="00A8196B" w:rsidP="00F05D40" w14:paraId="1465FF6B" w14:textId="77777777">
            <w:pPr>
              <w:widowControl w:val="0"/>
              <w:numPr>
                <w:ilvl w:val="0"/>
                <w:numId w:val="9"/>
              </w:numPr>
              <w:tabs>
                <w:tab w:val="clear" w:pos="720"/>
              </w:tabs>
              <w:spacing w:after="0" w:line="240" w:lineRule="auto"/>
              <w:ind w:left="360" w:right="-108" w:hanging="180"/>
              <w:rPr>
                <w:i/>
                <w:sz w:val="22"/>
              </w:rPr>
            </w:pPr>
            <w:r w:rsidRPr="00A8196B">
              <w:rPr>
                <w:i/>
                <w:sz w:val="22"/>
              </w:rPr>
              <w:t>CDX registration</w:t>
            </w:r>
          </w:p>
        </w:tc>
        <w:tc>
          <w:tcPr>
            <w:tcW w:w="898" w:type="pct"/>
          </w:tcPr>
          <w:p w:rsidR="00CA19A2" w:rsidRPr="00A8196B" w:rsidP="00F05D40" w14:paraId="28045BC1" w14:textId="77777777">
            <w:pPr>
              <w:widowControl w:val="0"/>
              <w:spacing w:after="0" w:line="240" w:lineRule="auto"/>
              <w:jc w:val="center"/>
              <w:rPr>
                <w:i/>
                <w:sz w:val="22"/>
              </w:rPr>
            </w:pPr>
            <w:r w:rsidRPr="00A8196B">
              <w:rPr>
                <w:color w:val="000000"/>
                <w:sz w:val="22"/>
              </w:rPr>
              <w:t>4.67</w:t>
            </w:r>
          </w:p>
        </w:tc>
        <w:tc>
          <w:tcPr>
            <w:tcW w:w="830" w:type="pct"/>
            <w:hideMark/>
          </w:tcPr>
          <w:p w:rsidR="00CA19A2" w:rsidRPr="00A8196B" w:rsidP="00F05D40" w14:paraId="4A40B136" w14:textId="77777777">
            <w:pPr>
              <w:widowControl w:val="0"/>
              <w:spacing w:after="0" w:line="240" w:lineRule="auto"/>
              <w:jc w:val="center"/>
              <w:rPr>
                <w:i/>
                <w:sz w:val="22"/>
              </w:rPr>
            </w:pPr>
            <w:r w:rsidRPr="00A8196B">
              <w:rPr>
                <w:i/>
                <w:iCs/>
                <w:color w:val="000000"/>
                <w:sz w:val="22"/>
              </w:rPr>
              <w:t>1</w:t>
            </w:r>
          </w:p>
        </w:tc>
        <w:tc>
          <w:tcPr>
            <w:tcW w:w="775" w:type="pct"/>
          </w:tcPr>
          <w:p w:rsidR="00CA19A2" w:rsidRPr="00A8196B" w:rsidP="00F05D40" w14:paraId="2EDB4401" w14:textId="77777777">
            <w:pPr>
              <w:widowControl w:val="0"/>
              <w:spacing w:after="0" w:line="240" w:lineRule="auto"/>
              <w:jc w:val="center"/>
              <w:rPr>
                <w:i/>
                <w:sz w:val="22"/>
              </w:rPr>
            </w:pPr>
            <w:r w:rsidRPr="00A8196B">
              <w:rPr>
                <w:color w:val="000000"/>
                <w:sz w:val="22"/>
              </w:rPr>
              <w:t>4.67</w:t>
            </w:r>
          </w:p>
        </w:tc>
        <w:tc>
          <w:tcPr>
            <w:tcW w:w="707" w:type="pct"/>
            <w:hideMark/>
          </w:tcPr>
          <w:p w:rsidR="00CA19A2" w:rsidRPr="00A8196B" w:rsidP="00F05D40" w14:paraId="2CCC969B" w14:textId="77777777">
            <w:pPr>
              <w:widowControl w:val="0"/>
              <w:spacing w:after="0" w:line="240" w:lineRule="auto"/>
              <w:jc w:val="center"/>
              <w:rPr>
                <w:i/>
                <w:sz w:val="22"/>
              </w:rPr>
            </w:pPr>
            <w:r w:rsidRPr="00A8196B">
              <w:rPr>
                <w:i/>
                <w:iCs/>
                <w:color w:val="000000"/>
                <w:sz w:val="22"/>
              </w:rPr>
              <w:t>0.92</w:t>
            </w:r>
          </w:p>
        </w:tc>
        <w:tc>
          <w:tcPr>
            <w:tcW w:w="817" w:type="pct"/>
            <w:hideMark/>
          </w:tcPr>
          <w:p w:rsidR="00CA19A2" w:rsidRPr="00A8196B" w:rsidP="00F05D40" w14:paraId="3FBA93A6" w14:textId="77777777">
            <w:pPr>
              <w:widowControl w:val="0"/>
              <w:spacing w:after="0" w:line="240" w:lineRule="auto"/>
              <w:jc w:val="center"/>
              <w:rPr>
                <w:b/>
                <w:i/>
                <w:sz w:val="22"/>
              </w:rPr>
            </w:pPr>
            <w:r w:rsidRPr="00A8196B">
              <w:rPr>
                <w:b/>
                <w:bCs/>
                <w:color w:val="000000"/>
                <w:sz w:val="22"/>
              </w:rPr>
              <w:t>4.28</w:t>
            </w:r>
          </w:p>
        </w:tc>
      </w:tr>
      <w:tr w14:paraId="7B16034D" w14:textId="77777777" w:rsidTr="00F05D40">
        <w:tblPrEx>
          <w:tblW w:w="5000" w:type="pct"/>
          <w:tblLook w:val="01E0"/>
        </w:tblPrEx>
        <w:trPr>
          <w:cantSplit/>
        </w:trPr>
        <w:tc>
          <w:tcPr>
            <w:tcW w:w="973" w:type="pct"/>
            <w:hideMark/>
          </w:tcPr>
          <w:p w:rsidR="00CA19A2" w:rsidRPr="00A8196B" w:rsidP="00F05D40" w14:paraId="0311A087" w14:textId="77777777">
            <w:pPr>
              <w:widowControl w:val="0"/>
              <w:numPr>
                <w:ilvl w:val="0"/>
                <w:numId w:val="9"/>
              </w:numPr>
              <w:tabs>
                <w:tab w:val="clear" w:pos="720"/>
              </w:tabs>
              <w:spacing w:after="0" w:line="240" w:lineRule="auto"/>
              <w:ind w:left="360" w:right="-108" w:hanging="180"/>
              <w:rPr>
                <w:i/>
                <w:sz w:val="22"/>
              </w:rPr>
            </w:pPr>
            <w:r w:rsidRPr="00A8196B">
              <w:rPr>
                <w:i/>
                <w:sz w:val="22"/>
              </w:rPr>
              <w:t>ESA</w:t>
            </w:r>
          </w:p>
        </w:tc>
        <w:tc>
          <w:tcPr>
            <w:tcW w:w="898" w:type="pct"/>
          </w:tcPr>
          <w:p w:rsidR="00CA19A2" w:rsidRPr="00A8196B" w:rsidP="00F05D40" w14:paraId="56480A79" w14:textId="77777777">
            <w:pPr>
              <w:widowControl w:val="0"/>
              <w:spacing w:after="0" w:line="240" w:lineRule="auto"/>
              <w:jc w:val="center"/>
              <w:rPr>
                <w:i/>
                <w:sz w:val="22"/>
              </w:rPr>
            </w:pPr>
            <w:r w:rsidRPr="00A8196B">
              <w:rPr>
                <w:color w:val="000000"/>
                <w:sz w:val="22"/>
              </w:rPr>
              <w:t>4.67</w:t>
            </w:r>
          </w:p>
        </w:tc>
        <w:tc>
          <w:tcPr>
            <w:tcW w:w="830" w:type="pct"/>
            <w:hideMark/>
          </w:tcPr>
          <w:p w:rsidR="00CA19A2" w:rsidRPr="00A8196B" w:rsidP="00F05D40" w14:paraId="24C69CFA" w14:textId="77777777">
            <w:pPr>
              <w:widowControl w:val="0"/>
              <w:spacing w:after="0" w:line="240" w:lineRule="auto"/>
              <w:jc w:val="center"/>
              <w:rPr>
                <w:i/>
                <w:sz w:val="22"/>
              </w:rPr>
            </w:pPr>
            <w:r w:rsidRPr="00A8196B">
              <w:rPr>
                <w:i/>
                <w:iCs/>
                <w:color w:val="000000"/>
                <w:sz w:val="22"/>
              </w:rPr>
              <w:t>1</w:t>
            </w:r>
          </w:p>
        </w:tc>
        <w:tc>
          <w:tcPr>
            <w:tcW w:w="775" w:type="pct"/>
          </w:tcPr>
          <w:p w:rsidR="00CA19A2" w:rsidRPr="00A8196B" w:rsidP="00F05D40" w14:paraId="7280E534" w14:textId="77777777">
            <w:pPr>
              <w:widowControl w:val="0"/>
              <w:spacing w:after="0" w:line="240" w:lineRule="auto"/>
              <w:jc w:val="center"/>
              <w:rPr>
                <w:i/>
                <w:sz w:val="22"/>
              </w:rPr>
            </w:pPr>
            <w:r w:rsidRPr="00A8196B">
              <w:rPr>
                <w:color w:val="000000"/>
                <w:sz w:val="22"/>
              </w:rPr>
              <w:t>4.67</w:t>
            </w:r>
          </w:p>
        </w:tc>
        <w:tc>
          <w:tcPr>
            <w:tcW w:w="707" w:type="pct"/>
            <w:hideMark/>
          </w:tcPr>
          <w:p w:rsidR="00CA19A2" w:rsidRPr="00A8196B" w:rsidP="00F05D40" w14:paraId="55E5F98B" w14:textId="77777777">
            <w:pPr>
              <w:widowControl w:val="0"/>
              <w:spacing w:after="0" w:line="240" w:lineRule="auto"/>
              <w:jc w:val="center"/>
              <w:rPr>
                <w:i/>
                <w:sz w:val="22"/>
              </w:rPr>
            </w:pPr>
            <w:r w:rsidRPr="00A8196B">
              <w:rPr>
                <w:i/>
                <w:iCs/>
                <w:color w:val="000000"/>
                <w:sz w:val="22"/>
              </w:rPr>
              <w:t>1.75</w:t>
            </w:r>
          </w:p>
        </w:tc>
        <w:tc>
          <w:tcPr>
            <w:tcW w:w="817" w:type="pct"/>
            <w:hideMark/>
          </w:tcPr>
          <w:p w:rsidR="00CA19A2" w:rsidRPr="00A8196B" w:rsidP="00F05D40" w14:paraId="72A33ADC" w14:textId="77777777">
            <w:pPr>
              <w:widowControl w:val="0"/>
              <w:spacing w:after="0" w:line="240" w:lineRule="auto"/>
              <w:jc w:val="center"/>
              <w:rPr>
                <w:b/>
                <w:i/>
                <w:sz w:val="22"/>
              </w:rPr>
            </w:pPr>
            <w:r w:rsidRPr="00A8196B">
              <w:rPr>
                <w:b/>
                <w:bCs/>
                <w:color w:val="000000"/>
                <w:sz w:val="22"/>
              </w:rPr>
              <w:t>8.17</w:t>
            </w:r>
          </w:p>
        </w:tc>
      </w:tr>
      <w:tr w14:paraId="09B2ACF0" w14:textId="77777777" w:rsidTr="00F05D40">
        <w:tblPrEx>
          <w:tblW w:w="5000" w:type="pct"/>
          <w:tblLook w:val="01E0"/>
        </w:tblPrEx>
        <w:trPr>
          <w:cantSplit/>
        </w:trPr>
        <w:tc>
          <w:tcPr>
            <w:tcW w:w="973" w:type="pct"/>
          </w:tcPr>
          <w:p w:rsidR="00CA19A2" w:rsidRPr="00A8196B" w:rsidP="00F05D40" w14:paraId="1689AB11" w14:textId="77777777">
            <w:pPr>
              <w:widowControl w:val="0"/>
              <w:numPr>
                <w:ilvl w:val="0"/>
                <w:numId w:val="9"/>
              </w:numPr>
              <w:tabs>
                <w:tab w:val="clear" w:pos="720"/>
              </w:tabs>
              <w:spacing w:after="0" w:line="240" w:lineRule="auto"/>
              <w:ind w:left="360" w:right="-108" w:hanging="180"/>
              <w:rPr>
                <w:i/>
                <w:sz w:val="22"/>
              </w:rPr>
            </w:pPr>
            <w:r w:rsidRPr="00A8196B">
              <w:rPr>
                <w:i/>
                <w:sz w:val="22"/>
              </w:rPr>
              <w:t xml:space="preserve">Pay.gov account </w:t>
            </w:r>
          </w:p>
        </w:tc>
        <w:tc>
          <w:tcPr>
            <w:tcW w:w="898" w:type="pct"/>
          </w:tcPr>
          <w:p w:rsidR="00CA19A2" w:rsidRPr="00A8196B" w:rsidP="00F05D40" w14:paraId="3A747C06" w14:textId="77777777">
            <w:pPr>
              <w:widowControl w:val="0"/>
              <w:spacing w:after="0" w:line="240" w:lineRule="auto"/>
              <w:jc w:val="center"/>
              <w:rPr>
                <w:i/>
                <w:sz w:val="22"/>
              </w:rPr>
            </w:pPr>
            <w:r w:rsidRPr="00A8196B">
              <w:rPr>
                <w:color w:val="000000"/>
                <w:sz w:val="22"/>
              </w:rPr>
              <w:t>4.67</w:t>
            </w:r>
          </w:p>
        </w:tc>
        <w:tc>
          <w:tcPr>
            <w:tcW w:w="830" w:type="pct"/>
          </w:tcPr>
          <w:p w:rsidR="00CA19A2" w:rsidRPr="00A8196B" w:rsidP="00F05D40" w14:paraId="21C6CBA5" w14:textId="77777777">
            <w:pPr>
              <w:widowControl w:val="0"/>
              <w:spacing w:after="0" w:line="240" w:lineRule="auto"/>
              <w:jc w:val="center"/>
              <w:rPr>
                <w:i/>
                <w:iCs/>
                <w:sz w:val="22"/>
              </w:rPr>
            </w:pPr>
            <w:r w:rsidRPr="00A8196B">
              <w:rPr>
                <w:i/>
                <w:iCs/>
                <w:color w:val="000000"/>
                <w:sz w:val="22"/>
              </w:rPr>
              <w:t>1</w:t>
            </w:r>
          </w:p>
        </w:tc>
        <w:tc>
          <w:tcPr>
            <w:tcW w:w="775" w:type="pct"/>
          </w:tcPr>
          <w:p w:rsidR="00CA19A2" w:rsidRPr="00A8196B" w:rsidP="00F05D40" w14:paraId="627F4E22" w14:textId="77777777">
            <w:pPr>
              <w:widowControl w:val="0"/>
              <w:spacing w:after="0" w:line="240" w:lineRule="auto"/>
              <w:jc w:val="center"/>
              <w:rPr>
                <w:i/>
                <w:color w:val="000000"/>
                <w:sz w:val="22"/>
              </w:rPr>
            </w:pPr>
            <w:r w:rsidRPr="00A8196B">
              <w:rPr>
                <w:color w:val="000000"/>
                <w:sz w:val="22"/>
              </w:rPr>
              <w:t>4.67</w:t>
            </w:r>
          </w:p>
        </w:tc>
        <w:tc>
          <w:tcPr>
            <w:tcW w:w="707" w:type="pct"/>
          </w:tcPr>
          <w:p w:rsidR="00CA19A2" w:rsidRPr="00A8196B" w:rsidP="00F05D40" w14:paraId="48E55C59" w14:textId="77777777">
            <w:pPr>
              <w:widowControl w:val="0"/>
              <w:spacing w:after="0" w:line="240" w:lineRule="auto"/>
              <w:jc w:val="center"/>
              <w:rPr>
                <w:i/>
                <w:sz w:val="22"/>
              </w:rPr>
            </w:pPr>
            <w:r w:rsidRPr="00A8196B">
              <w:rPr>
                <w:i/>
                <w:iCs/>
                <w:color w:val="000000"/>
                <w:sz w:val="22"/>
              </w:rPr>
              <w:t>0.13</w:t>
            </w:r>
          </w:p>
        </w:tc>
        <w:tc>
          <w:tcPr>
            <w:tcW w:w="817" w:type="pct"/>
          </w:tcPr>
          <w:p w:rsidR="00CA19A2" w:rsidRPr="00A8196B" w:rsidP="00F05D40" w14:paraId="22148EB0" w14:textId="77777777">
            <w:pPr>
              <w:widowControl w:val="0"/>
              <w:spacing w:after="0" w:line="240" w:lineRule="auto"/>
              <w:jc w:val="center"/>
              <w:rPr>
                <w:b/>
                <w:i/>
                <w:sz w:val="22"/>
              </w:rPr>
            </w:pPr>
            <w:r w:rsidRPr="00A8196B">
              <w:rPr>
                <w:b/>
                <w:bCs/>
                <w:color w:val="000000"/>
                <w:sz w:val="22"/>
              </w:rPr>
              <w:t>0.62</w:t>
            </w:r>
          </w:p>
        </w:tc>
      </w:tr>
      <w:tr w14:paraId="3EC3685C" w14:textId="77777777" w:rsidTr="00AC4930">
        <w:tblPrEx>
          <w:tblW w:w="5000" w:type="pct"/>
          <w:tblLook w:val="01E0"/>
        </w:tblPrEx>
        <w:trPr>
          <w:cantSplit/>
          <w:trHeight w:val="894"/>
        </w:trPr>
        <w:tc>
          <w:tcPr>
            <w:tcW w:w="973" w:type="pct"/>
            <w:hideMark/>
          </w:tcPr>
          <w:p w:rsidR="00CA19A2" w:rsidRPr="00A8196B" w:rsidP="00F05D40" w14:paraId="26A1331A" w14:textId="77777777">
            <w:pPr>
              <w:widowControl w:val="0"/>
              <w:spacing w:after="0" w:line="240" w:lineRule="auto"/>
              <w:ind w:right="-108"/>
              <w:rPr>
                <w:sz w:val="22"/>
              </w:rPr>
            </w:pPr>
            <w:r w:rsidRPr="00A8196B">
              <w:rPr>
                <w:sz w:val="22"/>
              </w:rPr>
              <w:t>Preparation, submission, and recordkeeping for SNUN</w:t>
            </w:r>
          </w:p>
        </w:tc>
        <w:tc>
          <w:tcPr>
            <w:tcW w:w="898" w:type="pct"/>
          </w:tcPr>
          <w:p w:rsidR="00CA19A2" w:rsidRPr="00A8196B" w:rsidP="00F05D40" w14:paraId="113243F7" w14:textId="77777777">
            <w:pPr>
              <w:widowControl w:val="0"/>
              <w:spacing w:after="0" w:line="240" w:lineRule="auto"/>
              <w:jc w:val="center"/>
              <w:rPr>
                <w:sz w:val="22"/>
              </w:rPr>
            </w:pPr>
            <w:r w:rsidRPr="00A8196B">
              <w:rPr>
                <w:color w:val="000000"/>
                <w:sz w:val="22"/>
              </w:rPr>
              <w:t>4.67</w:t>
            </w:r>
          </w:p>
        </w:tc>
        <w:tc>
          <w:tcPr>
            <w:tcW w:w="830" w:type="pct"/>
            <w:hideMark/>
          </w:tcPr>
          <w:p w:rsidR="00CA19A2" w:rsidRPr="00A8196B" w:rsidP="00F05D40" w14:paraId="50661433" w14:textId="77777777">
            <w:pPr>
              <w:widowControl w:val="0"/>
              <w:spacing w:after="0" w:line="240" w:lineRule="auto"/>
              <w:jc w:val="center"/>
              <w:rPr>
                <w:sz w:val="22"/>
              </w:rPr>
            </w:pPr>
            <w:r w:rsidRPr="00A8196B">
              <w:rPr>
                <w:color w:val="000000"/>
                <w:sz w:val="22"/>
              </w:rPr>
              <w:t>0.21</w:t>
            </w:r>
          </w:p>
        </w:tc>
        <w:tc>
          <w:tcPr>
            <w:tcW w:w="775" w:type="pct"/>
          </w:tcPr>
          <w:p w:rsidR="00CA19A2" w:rsidRPr="00A8196B" w:rsidP="00F05D40" w14:paraId="7721CE94" w14:textId="77777777">
            <w:pPr>
              <w:widowControl w:val="0"/>
              <w:spacing w:after="0" w:line="240" w:lineRule="auto"/>
              <w:jc w:val="center"/>
              <w:rPr>
                <w:sz w:val="22"/>
              </w:rPr>
            </w:pPr>
            <w:r w:rsidRPr="00A8196B">
              <w:rPr>
                <w:color w:val="000000"/>
                <w:sz w:val="22"/>
              </w:rPr>
              <w:t>0.98</w:t>
            </w:r>
          </w:p>
        </w:tc>
        <w:tc>
          <w:tcPr>
            <w:tcW w:w="707" w:type="pct"/>
            <w:hideMark/>
          </w:tcPr>
          <w:p w:rsidR="00CA19A2" w:rsidRPr="00A8196B" w:rsidP="00F05D40" w14:paraId="66FEECBD" w14:textId="77777777">
            <w:pPr>
              <w:widowControl w:val="0"/>
              <w:spacing w:after="0" w:line="240" w:lineRule="auto"/>
              <w:jc w:val="center"/>
              <w:rPr>
                <w:sz w:val="22"/>
              </w:rPr>
            </w:pPr>
            <w:r w:rsidRPr="00A8196B">
              <w:rPr>
                <w:color w:val="000000"/>
                <w:sz w:val="22"/>
              </w:rPr>
              <w:t>91.68</w:t>
            </w:r>
          </w:p>
        </w:tc>
        <w:tc>
          <w:tcPr>
            <w:tcW w:w="817" w:type="pct"/>
            <w:hideMark/>
          </w:tcPr>
          <w:p w:rsidR="00CA19A2" w:rsidRPr="00A8196B" w:rsidP="00F05D40" w14:paraId="5CCCFAEE" w14:textId="77777777">
            <w:pPr>
              <w:widowControl w:val="0"/>
              <w:spacing w:after="0" w:line="240" w:lineRule="auto"/>
              <w:jc w:val="center"/>
              <w:rPr>
                <w:b/>
                <w:sz w:val="22"/>
              </w:rPr>
            </w:pPr>
            <w:r w:rsidRPr="00A8196B">
              <w:rPr>
                <w:b/>
                <w:bCs/>
                <w:color w:val="000000"/>
                <w:sz w:val="22"/>
              </w:rPr>
              <w:t>89.91</w:t>
            </w:r>
          </w:p>
        </w:tc>
      </w:tr>
      <w:tr w14:paraId="5576E508" w14:textId="77777777" w:rsidTr="00DC6B65">
        <w:tblPrEx>
          <w:tblW w:w="5000" w:type="pct"/>
          <w:tblLook w:val="01E0"/>
        </w:tblPrEx>
        <w:trPr>
          <w:cantSplit/>
        </w:trPr>
        <w:tc>
          <w:tcPr>
            <w:tcW w:w="4183" w:type="pct"/>
            <w:gridSpan w:val="5"/>
          </w:tcPr>
          <w:p w:rsidR="00DC6B65" w:rsidRPr="00A8196B" w:rsidP="00F05D40" w14:paraId="5000DCAE" w14:textId="1D266D4A">
            <w:pPr>
              <w:widowControl w:val="0"/>
              <w:spacing w:after="0" w:line="240" w:lineRule="auto"/>
              <w:jc w:val="center"/>
              <w:rPr>
                <w:b/>
                <w:bCs/>
                <w:i/>
                <w:iCs/>
                <w:color w:val="000000"/>
                <w:sz w:val="22"/>
              </w:rPr>
            </w:pPr>
            <w:r w:rsidRPr="00A8196B">
              <w:rPr>
                <w:b/>
                <w:bCs/>
                <w:i/>
                <w:iCs/>
                <w:color w:val="000000"/>
                <w:sz w:val="22"/>
              </w:rPr>
              <w:t>Su</w:t>
            </w:r>
            <w:r w:rsidRPr="00A8196B" w:rsidR="000B3E3A">
              <w:rPr>
                <w:b/>
                <w:bCs/>
                <w:i/>
                <w:iCs/>
                <w:color w:val="000000"/>
                <w:sz w:val="22"/>
              </w:rPr>
              <w:t>btotal</w:t>
            </w:r>
          </w:p>
        </w:tc>
        <w:tc>
          <w:tcPr>
            <w:tcW w:w="817" w:type="pct"/>
          </w:tcPr>
          <w:p w:rsidR="00DC6B65" w:rsidRPr="00A8196B" w:rsidP="00F05D40" w14:paraId="4C1ED24E" w14:textId="14402886">
            <w:pPr>
              <w:widowControl w:val="0"/>
              <w:spacing w:after="0" w:line="240" w:lineRule="auto"/>
              <w:jc w:val="center"/>
              <w:rPr>
                <w:b/>
                <w:bCs/>
                <w:color w:val="000000"/>
                <w:sz w:val="22"/>
              </w:rPr>
            </w:pPr>
            <w:r w:rsidRPr="00A8196B">
              <w:rPr>
                <w:b/>
                <w:bCs/>
                <w:color w:val="000000"/>
                <w:sz w:val="22"/>
              </w:rPr>
              <w:t>119.87</w:t>
            </w:r>
          </w:p>
        </w:tc>
      </w:tr>
      <w:tr w14:paraId="08A6D7FC" w14:textId="77777777" w:rsidTr="00F05D40">
        <w:tblPrEx>
          <w:tblW w:w="5000" w:type="pct"/>
          <w:tblLook w:val="01E0"/>
        </w:tblPrEx>
        <w:trPr>
          <w:cantSplit/>
        </w:trPr>
        <w:tc>
          <w:tcPr>
            <w:tcW w:w="5000" w:type="pct"/>
            <w:gridSpan w:val="6"/>
            <w:shd w:val="clear" w:color="auto" w:fill="auto"/>
          </w:tcPr>
          <w:p w:rsidR="00CA19A2" w:rsidRPr="00A8196B" w:rsidP="004E6EE2" w14:paraId="69875A7A" w14:textId="77777777">
            <w:pPr>
              <w:keepNext/>
              <w:widowControl w:val="0"/>
              <w:spacing w:after="0" w:line="240" w:lineRule="auto"/>
              <w:jc w:val="center"/>
              <w:rPr>
                <w:b/>
                <w:sz w:val="22"/>
              </w:rPr>
            </w:pPr>
            <w:r w:rsidRPr="00A8196B">
              <w:rPr>
                <w:b/>
                <w:i/>
                <w:color w:val="000000"/>
                <w:sz w:val="22"/>
              </w:rPr>
              <w:t>Per SNUR Activities</w:t>
            </w:r>
          </w:p>
        </w:tc>
      </w:tr>
      <w:tr w14:paraId="24B7AED9" w14:textId="77777777" w:rsidTr="00F05D40">
        <w:tblPrEx>
          <w:tblW w:w="5000" w:type="pct"/>
          <w:tblLook w:val="01E0"/>
        </w:tblPrEx>
        <w:trPr>
          <w:cantSplit/>
        </w:trPr>
        <w:tc>
          <w:tcPr>
            <w:tcW w:w="973" w:type="pct"/>
          </w:tcPr>
          <w:p w:rsidR="00CA19A2" w:rsidRPr="00A8196B" w:rsidP="00F05D40" w14:paraId="03B893FA" w14:textId="77777777">
            <w:pPr>
              <w:widowControl w:val="0"/>
              <w:spacing w:after="0" w:line="240" w:lineRule="auto"/>
              <w:ind w:right="-108"/>
              <w:rPr>
                <w:color w:val="000000"/>
                <w:sz w:val="22"/>
              </w:rPr>
            </w:pPr>
            <w:r w:rsidRPr="00A8196B">
              <w:rPr>
                <w:color w:val="000000"/>
                <w:sz w:val="22"/>
              </w:rPr>
              <w:t>Chemical verification</w:t>
            </w:r>
          </w:p>
        </w:tc>
        <w:tc>
          <w:tcPr>
            <w:tcW w:w="898" w:type="pct"/>
          </w:tcPr>
          <w:p w:rsidR="00CA19A2" w:rsidRPr="00A8196B" w:rsidP="00F05D40" w14:paraId="5B117E7D" w14:textId="77777777">
            <w:pPr>
              <w:widowControl w:val="0"/>
              <w:spacing w:after="0" w:line="240" w:lineRule="auto"/>
              <w:jc w:val="center"/>
              <w:rPr>
                <w:color w:val="000000"/>
                <w:sz w:val="22"/>
              </w:rPr>
            </w:pPr>
            <w:r w:rsidRPr="00A8196B">
              <w:rPr>
                <w:color w:val="000000"/>
                <w:sz w:val="22"/>
              </w:rPr>
              <w:t>2</w:t>
            </w:r>
          </w:p>
        </w:tc>
        <w:tc>
          <w:tcPr>
            <w:tcW w:w="830" w:type="pct"/>
          </w:tcPr>
          <w:p w:rsidR="00CA19A2" w:rsidRPr="00A8196B" w:rsidP="00F05D40" w14:paraId="492E62BE" w14:textId="77777777">
            <w:pPr>
              <w:widowControl w:val="0"/>
              <w:spacing w:after="0" w:line="240" w:lineRule="auto"/>
              <w:jc w:val="center"/>
              <w:rPr>
                <w:color w:val="000000"/>
                <w:sz w:val="22"/>
              </w:rPr>
            </w:pPr>
            <w:r w:rsidRPr="00A8196B">
              <w:rPr>
                <w:color w:val="000000"/>
                <w:sz w:val="22"/>
              </w:rPr>
              <w:t>1</w:t>
            </w:r>
          </w:p>
        </w:tc>
        <w:tc>
          <w:tcPr>
            <w:tcW w:w="775" w:type="pct"/>
          </w:tcPr>
          <w:p w:rsidR="00CA19A2" w:rsidRPr="00A8196B" w:rsidP="00F05D40" w14:paraId="138EEAFE" w14:textId="77777777">
            <w:pPr>
              <w:widowControl w:val="0"/>
              <w:spacing w:after="0" w:line="240" w:lineRule="auto"/>
              <w:jc w:val="center"/>
              <w:rPr>
                <w:color w:val="000000"/>
                <w:sz w:val="22"/>
              </w:rPr>
            </w:pPr>
            <w:r w:rsidRPr="00A8196B">
              <w:rPr>
                <w:color w:val="000000"/>
                <w:sz w:val="22"/>
              </w:rPr>
              <w:t>2</w:t>
            </w:r>
          </w:p>
        </w:tc>
        <w:tc>
          <w:tcPr>
            <w:tcW w:w="707" w:type="pct"/>
          </w:tcPr>
          <w:p w:rsidR="00CA19A2" w:rsidRPr="00A8196B" w:rsidP="00F05D40" w14:paraId="6CD9CF30" w14:textId="77777777">
            <w:pPr>
              <w:widowControl w:val="0"/>
              <w:spacing w:after="0" w:line="240" w:lineRule="auto"/>
              <w:jc w:val="center"/>
              <w:rPr>
                <w:color w:val="000000"/>
                <w:sz w:val="22"/>
              </w:rPr>
            </w:pPr>
            <w:r w:rsidRPr="00A8196B">
              <w:rPr>
                <w:color w:val="000000"/>
                <w:sz w:val="22"/>
              </w:rPr>
              <w:t>1.14</w:t>
            </w:r>
          </w:p>
        </w:tc>
        <w:tc>
          <w:tcPr>
            <w:tcW w:w="817" w:type="pct"/>
          </w:tcPr>
          <w:p w:rsidR="00CA19A2" w:rsidRPr="00A8196B" w:rsidP="00F05D40" w14:paraId="7AEE5820" w14:textId="77777777">
            <w:pPr>
              <w:widowControl w:val="0"/>
              <w:spacing w:after="0" w:line="240" w:lineRule="auto"/>
              <w:jc w:val="center"/>
              <w:rPr>
                <w:b/>
                <w:color w:val="000000"/>
                <w:sz w:val="22"/>
              </w:rPr>
            </w:pPr>
            <w:r w:rsidRPr="00A8196B">
              <w:rPr>
                <w:b/>
                <w:bCs/>
                <w:color w:val="000000"/>
                <w:sz w:val="22"/>
              </w:rPr>
              <w:t>2.28</w:t>
            </w:r>
          </w:p>
        </w:tc>
      </w:tr>
      <w:tr w14:paraId="55AD97AF" w14:textId="77777777" w:rsidTr="00F05D40">
        <w:tblPrEx>
          <w:tblW w:w="5000" w:type="pct"/>
          <w:tblLook w:val="01E0"/>
        </w:tblPrEx>
        <w:trPr>
          <w:cantSplit/>
        </w:trPr>
        <w:tc>
          <w:tcPr>
            <w:tcW w:w="973" w:type="pct"/>
          </w:tcPr>
          <w:p w:rsidR="00CA19A2" w:rsidRPr="00A8196B" w:rsidP="00F05D40" w14:paraId="35BB91F9" w14:textId="77777777">
            <w:pPr>
              <w:widowControl w:val="0"/>
              <w:spacing w:after="0" w:line="240" w:lineRule="auto"/>
              <w:ind w:right="-108"/>
              <w:rPr>
                <w:sz w:val="22"/>
              </w:rPr>
            </w:pPr>
            <w:r w:rsidRPr="00A8196B">
              <w:rPr>
                <w:color w:val="000000"/>
                <w:sz w:val="22"/>
              </w:rPr>
              <w:t>Notifying customers (per SNUR)</w:t>
            </w:r>
          </w:p>
        </w:tc>
        <w:tc>
          <w:tcPr>
            <w:tcW w:w="898" w:type="pct"/>
          </w:tcPr>
          <w:p w:rsidR="00CA19A2" w:rsidRPr="00A8196B" w:rsidP="00F05D40" w14:paraId="77DBE0CF" w14:textId="77777777">
            <w:pPr>
              <w:widowControl w:val="0"/>
              <w:spacing w:after="0" w:line="240" w:lineRule="auto"/>
              <w:jc w:val="center"/>
              <w:rPr>
                <w:color w:val="000000"/>
                <w:sz w:val="22"/>
              </w:rPr>
            </w:pPr>
            <w:r w:rsidRPr="00A8196B">
              <w:rPr>
                <w:color w:val="000000"/>
                <w:sz w:val="22"/>
              </w:rPr>
              <w:t>4.67</w:t>
            </w:r>
          </w:p>
        </w:tc>
        <w:tc>
          <w:tcPr>
            <w:tcW w:w="830" w:type="pct"/>
          </w:tcPr>
          <w:p w:rsidR="00CA19A2" w:rsidRPr="00A8196B" w:rsidP="00F05D40" w14:paraId="494C5FDB" w14:textId="77777777">
            <w:pPr>
              <w:widowControl w:val="0"/>
              <w:spacing w:after="0" w:line="240" w:lineRule="auto"/>
              <w:jc w:val="center"/>
              <w:rPr>
                <w:color w:val="000000"/>
                <w:sz w:val="22"/>
              </w:rPr>
            </w:pPr>
            <w:r w:rsidRPr="00A8196B">
              <w:rPr>
                <w:color w:val="000000"/>
                <w:sz w:val="22"/>
              </w:rPr>
              <w:t>2</w:t>
            </w:r>
          </w:p>
        </w:tc>
        <w:tc>
          <w:tcPr>
            <w:tcW w:w="775" w:type="pct"/>
          </w:tcPr>
          <w:p w:rsidR="00CA19A2" w:rsidRPr="00A8196B" w:rsidP="00F05D40" w14:paraId="12063BBD" w14:textId="77777777">
            <w:pPr>
              <w:widowControl w:val="0"/>
              <w:spacing w:after="0" w:line="240" w:lineRule="auto"/>
              <w:jc w:val="center"/>
              <w:rPr>
                <w:color w:val="000000"/>
                <w:sz w:val="22"/>
              </w:rPr>
            </w:pPr>
            <w:r w:rsidRPr="00A8196B">
              <w:rPr>
                <w:color w:val="000000"/>
                <w:sz w:val="22"/>
              </w:rPr>
              <w:t>9.34</w:t>
            </w:r>
          </w:p>
        </w:tc>
        <w:tc>
          <w:tcPr>
            <w:tcW w:w="707" w:type="pct"/>
          </w:tcPr>
          <w:p w:rsidR="00CA19A2" w:rsidRPr="00A8196B" w:rsidP="00F05D40" w14:paraId="142E79B6" w14:textId="77777777">
            <w:pPr>
              <w:widowControl w:val="0"/>
              <w:spacing w:after="0" w:line="240" w:lineRule="auto"/>
              <w:jc w:val="center"/>
              <w:rPr>
                <w:color w:val="000000"/>
                <w:sz w:val="22"/>
              </w:rPr>
            </w:pPr>
            <w:r w:rsidRPr="00A8196B">
              <w:rPr>
                <w:color w:val="000000"/>
                <w:sz w:val="22"/>
              </w:rPr>
              <w:t>13.67</w:t>
            </w:r>
          </w:p>
        </w:tc>
        <w:tc>
          <w:tcPr>
            <w:tcW w:w="817" w:type="pct"/>
          </w:tcPr>
          <w:p w:rsidR="00CA19A2" w:rsidRPr="00A8196B" w:rsidP="00F05D40" w14:paraId="55FFE97F" w14:textId="77777777">
            <w:pPr>
              <w:widowControl w:val="0"/>
              <w:spacing w:after="0" w:line="240" w:lineRule="auto"/>
              <w:jc w:val="center"/>
              <w:rPr>
                <w:b/>
                <w:color w:val="000000"/>
                <w:sz w:val="22"/>
              </w:rPr>
            </w:pPr>
            <w:r w:rsidRPr="00A8196B">
              <w:rPr>
                <w:b/>
                <w:bCs/>
                <w:color w:val="000000"/>
                <w:sz w:val="22"/>
              </w:rPr>
              <w:t>127.65</w:t>
            </w:r>
          </w:p>
        </w:tc>
      </w:tr>
      <w:tr w14:paraId="547358D0" w14:textId="77777777" w:rsidTr="00A42129">
        <w:tblPrEx>
          <w:tblW w:w="5000" w:type="pct"/>
          <w:tblLook w:val="01E0"/>
        </w:tblPrEx>
        <w:trPr>
          <w:cantSplit/>
        </w:trPr>
        <w:tc>
          <w:tcPr>
            <w:tcW w:w="4183" w:type="pct"/>
            <w:gridSpan w:val="5"/>
          </w:tcPr>
          <w:p w:rsidR="00A42129" w:rsidRPr="00A8196B" w:rsidP="00E127A1" w14:paraId="3AEF66D9" w14:textId="51A78EAA">
            <w:pPr>
              <w:widowControl w:val="0"/>
              <w:spacing w:after="0" w:line="240" w:lineRule="auto"/>
              <w:jc w:val="center"/>
              <w:rPr>
                <w:b/>
                <w:bCs/>
                <w:i/>
                <w:iCs/>
                <w:color w:val="000000"/>
                <w:sz w:val="22"/>
              </w:rPr>
            </w:pPr>
            <w:r w:rsidRPr="00A8196B">
              <w:rPr>
                <w:b/>
                <w:bCs/>
                <w:i/>
                <w:iCs/>
                <w:color w:val="000000"/>
                <w:sz w:val="22"/>
              </w:rPr>
              <w:t>Subtotal</w:t>
            </w:r>
          </w:p>
        </w:tc>
        <w:tc>
          <w:tcPr>
            <w:tcW w:w="817" w:type="pct"/>
          </w:tcPr>
          <w:p w:rsidR="00A42129" w:rsidRPr="00A8196B" w:rsidP="00E127A1" w14:paraId="0D4969FA" w14:textId="7058EFCF">
            <w:pPr>
              <w:widowControl w:val="0"/>
              <w:spacing w:after="0" w:line="240" w:lineRule="auto"/>
              <w:jc w:val="center"/>
              <w:rPr>
                <w:b/>
                <w:bCs/>
                <w:color w:val="000000"/>
                <w:sz w:val="22"/>
              </w:rPr>
            </w:pPr>
            <w:r w:rsidRPr="00A8196B">
              <w:rPr>
                <w:b/>
                <w:bCs/>
                <w:color w:val="000000"/>
                <w:sz w:val="22"/>
              </w:rPr>
              <w:t>129.93</w:t>
            </w:r>
          </w:p>
        </w:tc>
      </w:tr>
      <w:tr w14:paraId="6B8C0BB3" w14:textId="77777777" w:rsidTr="00F05D40">
        <w:tblPrEx>
          <w:tblW w:w="5000" w:type="pct"/>
          <w:tblLook w:val="01E0"/>
        </w:tblPrEx>
        <w:trPr>
          <w:cantSplit/>
        </w:trPr>
        <w:tc>
          <w:tcPr>
            <w:tcW w:w="4183" w:type="pct"/>
            <w:gridSpan w:val="5"/>
          </w:tcPr>
          <w:p w:rsidR="00CA19A2" w:rsidRPr="00A8196B" w:rsidP="00F05D40" w14:paraId="7FA0F9A6" w14:textId="77777777">
            <w:pPr>
              <w:widowControl w:val="0"/>
              <w:spacing w:after="0" w:line="240" w:lineRule="auto"/>
              <w:jc w:val="center"/>
              <w:rPr>
                <w:color w:val="000000"/>
                <w:sz w:val="22"/>
              </w:rPr>
            </w:pPr>
            <w:r w:rsidRPr="00A8196B">
              <w:rPr>
                <w:b/>
                <w:i/>
                <w:color w:val="000000"/>
                <w:sz w:val="22"/>
              </w:rPr>
              <w:t>Total</w:t>
            </w:r>
          </w:p>
        </w:tc>
        <w:tc>
          <w:tcPr>
            <w:tcW w:w="817" w:type="pct"/>
          </w:tcPr>
          <w:p w:rsidR="00CA19A2" w:rsidRPr="00A8196B" w:rsidP="00F05D40" w14:paraId="5D9656C7" w14:textId="77777777">
            <w:pPr>
              <w:widowControl w:val="0"/>
              <w:spacing w:after="0" w:line="240" w:lineRule="auto"/>
              <w:jc w:val="center"/>
              <w:rPr>
                <w:b/>
                <w:color w:val="000000"/>
                <w:sz w:val="22"/>
              </w:rPr>
            </w:pPr>
            <w:r w:rsidRPr="00A8196B">
              <w:rPr>
                <w:b/>
                <w:bCs/>
                <w:color w:val="000000"/>
                <w:sz w:val="22"/>
              </w:rPr>
              <w:t>249.80</w:t>
            </w:r>
          </w:p>
        </w:tc>
      </w:tr>
    </w:tbl>
    <w:p w:rsidR="00CA19A2" w:rsidRPr="00A8196B" w:rsidP="00F05D40" w14:paraId="76A9B215" w14:textId="7CAB933A">
      <w:pPr>
        <w:rPr>
          <w:sz w:val="18"/>
          <w:szCs w:val="18"/>
        </w:rPr>
      </w:pPr>
      <w:r w:rsidRPr="00A8196B">
        <w:rPr>
          <w:sz w:val="18"/>
          <w:szCs w:val="18"/>
        </w:rPr>
        <w:t>Some burden estimate totals may not calculate due to rounding of unit burden estimates</w:t>
      </w:r>
    </w:p>
    <w:p w:rsidR="00CA19A2" w:rsidRPr="00A8196B" w:rsidP="00F05D40" w14:paraId="166B78EC" w14:textId="05823DCC">
      <w:r w:rsidRPr="00A8196B">
        <w:fldChar w:fldCharType="begin"/>
      </w:r>
      <w:r w:rsidRPr="00A8196B">
        <w:instrText xml:space="preserve"> REF _Ref424061539 \h  \* MERGEFORMAT </w:instrText>
      </w:r>
      <w:r w:rsidRPr="00A8196B">
        <w:fldChar w:fldCharType="separate"/>
      </w:r>
      <w:r w:rsidRPr="00A8196B" w:rsidR="009B2ACE">
        <w:t xml:space="preserve">Table </w:t>
      </w:r>
      <w:r w:rsidR="009B2ACE">
        <w:rPr>
          <w:noProof/>
        </w:rPr>
        <w:t>13</w:t>
      </w:r>
      <w:r w:rsidRPr="00A8196B">
        <w:fldChar w:fldCharType="end"/>
      </w:r>
      <w:r w:rsidRPr="00A8196B">
        <w:t xml:space="preserve"> presents the total burden hours for the ICR period, organized by information collection. Chemical verification is expected to result in a total burden of 6.83 hours over the three-year ICR period. Notifying consumers is expected to result in a total burden of 382.94 hours over the three-year ICR period. Companies are expected to incur at total of 11.44 hours in burden for rule familiarization, 39.23 hours for CDX registration activities and a total of 269.74 hours for SNUN </w:t>
      </w:r>
      <w:r w:rsidRPr="00A8196B" w:rsidR="00F26583">
        <w:t>preparation</w:t>
      </w:r>
      <w:r w:rsidRPr="00A8196B">
        <w:t>, submission and recordkeeping over the three-year ICR period.</w:t>
      </w:r>
    </w:p>
    <w:p w:rsidR="00CA19A2" w:rsidRPr="00A8196B" w:rsidP="008C16F4" w14:paraId="1AC4CEDE" w14:textId="7404C5D4">
      <w:pPr>
        <w:pStyle w:val="Caption"/>
      </w:pPr>
      <w:bookmarkStart w:id="25" w:name="_Ref424061539"/>
      <w:r w:rsidRPr="00A8196B">
        <w:t xml:space="preserve">Table </w:t>
      </w:r>
      <w:r w:rsidRPr="00A8196B">
        <w:fldChar w:fldCharType="begin"/>
      </w:r>
      <w:r w:rsidRPr="00A8196B">
        <w:instrText>SEQ Table \* ARABIC</w:instrText>
      </w:r>
      <w:r w:rsidRPr="00A8196B">
        <w:fldChar w:fldCharType="separate"/>
      </w:r>
      <w:r w:rsidR="009B2ACE">
        <w:rPr>
          <w:noProof/>
        </w:rPr>
        <w:t>13</w:t>
      </w:r>
      <w:r w:rsidRPr="00A8196B">
        <w:fldChar w:fldCharType="end"/>
      </w:r>
      <w:bookmarkEnd w:id="25"/>
      <w:r w:rsidRPr="00A8196B">
        <w:t xml:space="preserve">: </w:t>
      </w:r>
      <w:r w:rsidRPr="00A8196B">
        <w:t>Total Information Collection Tally for ICR Reporting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5"/>
        <w:gridCol w:w="1679"/>
        <w:gridCol w:w="1552"/>
        <w:gridCol w:w="36"/>
        <w:gridCol w:w="1414"/>
        <w:gridCol w:w="52"/>
        <w:gridCol w:w="1270"/>
        <w:gridCol w:w="21"/>
        <w:gridCol w:w="1591"/>
      </w:tblGrid>
      <w:tr w14:paraId="29401B92" w14:textId="77777777" w:rsidTr="00AC493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928" w:type="pct"/>
            <w:tcBorders>
              <w:top w:val="single" w:sz="4" w:space="0" w:color="auto"/>
              <w:left w:val="single" w:sz="4" w:space="0" w:color="auto"/>
              <w:bottom w:val="single" w:sz="4" w:space="0" w:color="auto"/>
              <w:right w:val="single" w:sz="4" w:space="0" w:color="auto"/>
            </w:tcBorders>
            <w:vAlign w:val="bottom"/>
            <w:hideMark/>
          </w:tcPr>
          <w:p w:rsidR="00CA19A2" w:rsidRPr="00A8196B" w:rsidP="000C606B" w14:paraId="0B40C9B5" w14:textId="77777777">
            <w:pPr>
              <w:keepNext/>
              <w:widowControl w:val="0"/>
              <w:spacing w:after="0" w:line="240" w:lineRule="auto"/>
              <w:jc w:val="center"/>
              <w:rPr>
                <w:b/>
                <w:sz w:val="20"/>
                <w:szCs w:val="20"/>
              </w:rPr>
            </w:pPr>
            <w:r w:rsidRPr="00A8196B">
              <w:rPr>
                <w:b/>
                <w:sz w:val="20"/>
                <w:szCs w:val="20"/>
              </w:rPr>
              <w:t>Information Collection</w:t>
            </w:r>
          </w:p>
        </w:tc>
        <w:tc>
          <w:tcPr>
            <w:tcW w:w="898" w:type="pct"/>
            <w:tcBorders>
              <w:top w:val="single" w:sz="4" w:space="0" w:color="auto"/>
              <w:left w:val="single" w:sz="4" w:space="0" w:color="auto"/>
              <w:bottom w:val="single" w:sz="4" w:space="0" w:color="auto"/>
              <w:right w:val="single" w:sz="4" w:space="0" w:color="auto"/>
            </w:tcBorders>
            <w:vAlign w:val="bottom"/>
            <w:hideMark/>
          </w:tcPr>
          <w:p w:rsidR="00CA19A2" w:rsidRPr="00A8196B" w:rsidP="000C606B" w14:paraId="03899C74" w14:textId="68CA8921">
            <w:pPr>
              <w:keepNext/>
              <w:widowControl w:val="0"/>
              <w:spacing w:after="0" w:line="240" w:lineRule="auto"/>
              <w:jc w:val="center"/>
              <w:rPr>
                <w:b/>
                <w:sz w:val="20"/>
                <w:szCs w:val="20"/>
              </w:rPr>
            </w:pPr>
            <w:r w:rsidRPr="00A8196B">
              <w:rPr>
                <w:b/>
                <w:sz w:val="20"/>
                <w:szCs w:val="20"/>
              </w:rPr>
              <w:t>No. of Respondents</w:t>
            </w:r>
          </w:p>
        </w:tc>
        <w:tc>
          <w:tcPr>
            <w:tcW w:w="830" w:type="pct"/>
            <w:tcBorders>
              <w:top w:val="single" w:sz="4" w:space="0" w:color="auto"/>
              <w:left w:val="single" w:sz="4" w:space="0" w:color="auto"/>
              <w:bottom w:val="single" w:sz="4" w:space="0" w:color="auto"/>
              <w:right w:val="single" w:sz="4" w:space="0" w:color="auto"/>
            </w:tcBorders>
            <w:vAlign w:val="bottom"/>
            <w:hideMark/>
          </w:tcPr>
          <w:p w:rsidR="00CA19A2" w:rsidRPr="00A8196B" w:rsidP="000C606B" w14:paraId="5143C643" w14:textId="77777777">
            <w:pPr>
              <w:keepNext/>
              <w:widowControl w:val="0"/>
              <w:spacing w:after="0" w:line="240" w:lineRule="auto"/>
              <w:jc w:val="center"/>
              <w:rPr>
                <w:b/>
                <w:sz w:val="20"/>
                <w:szCs w:val="20"/>
              </w:rPr>
            </w:pPr>
            <w:r w:rsidRPr="00A8196B">
              <w:rPr>
                <w:b/>
                <w:sz w:val="20"/>
                <w:szCs w:val="20"/>
              </w:rPr>
              <w:t>No. of Responses / Respondent</w:t>
            </w:r>
          </w:p>
        </w:tc>
        <w:tc>
          <w:tcPr>
            <w:tcW w:w="775" w:type="pct"/>
            <w:gridSpan w:val="2"/>
            <w:tcBorders>
              <w:top w:val="single" w:sz="4" w:space="0" w:color="auto"/>
              <w:left w:val="single" w:sz="4" w:space="0" w:color="auto"/>
              <w:bottom w:val="single" w:sz="4" w:space="0" w:color="auto"/>
              <w:right w:val="single" w:sz="4" w:space="0" w:color="auto"/>
            </w:tcBorders>
            <w:vAlign w:val="bottom"/>
            <w:hideMark/>
          </w:tcPr>
          <w:p w:rsidR="00CA19A2" w:rsidRPr="00A8196B" w:rsidP="000C606B" w14:paraId="3019D40E" w14:textId="77777777">
            <w:pPr>
              <w:keepNext/>
              <w:widowControl w:val="0"/>
              <w:spacing w:after="0" w:line="240" w:lineRule="auto"/>
              <w:jc w:val="center"/>
              <w:rPr>
                <w:b/>
                <w:sz w:val="20"/>
                <w:szCs w:val="20"/>
              </w:rPr>
            </w:pPr>
            <w:r w:rsidRPr="00A8196B">
              <w:rPr>
                <w:b/>
                <w:sz w:val="20"/>
                <w:szCs w:val="20"/>
              </w:rPr>
              <w:t>Responses Subtotal</w:t>
            </w:r>
          </w:p>
        </w:tc>
        <w:tc>
          <w:tcPr>
            <w:tcW w:w="707" w:type="pct"/>
            <w:gridSpan w:val="2"/>
            <w:tcBorders>
              <w:top w:val="single" w:sz="4" w:space="0" w:color="auto"/>
              <w:left w:val="single" w:sz="4" w:space="0" w:color="auto"/>
              <w:bottom w:val="single" w:sz="4" w:space="0" w:color="auto"/>
              <w:right w:val="single" w:sz="4" w:space="0" w:color="auto"/>
            </w:tcBorders>
            <w:vAlign w:val="bottom"/>
            <w:hideMark/>
          </w:tcPr>
          <w:p w:rsidR="00CA19A2" w:rsidRPr="00A8196B" w:rsidP="000C606B" w14:paraId="69E8DD26" w14:textId="77777777">
            <w:pPr>
              <w:keepNext/>
              <w:widowControl w:val="0"/>
              <w:spacing w:after="0" w:line="240" w:lineRule="auto"/>
              <w:jc w:val="center"/>
              <w:rPr>
                <w:b/>
                <w:sz w:val="20"/>
                <w:szCs w:val="20"/>
              </w:rPr>
            </w:pPr>
            <w:r w:rsidRPr="00A8196B">
              <w:rPr>
                <w:b/>
                <w:sz w:val="20"/>
                <w:szCs w:val="20"/>
              </w:rPr>
              <w:t>Total Burden Hours per Response</w:t>
            </w:r>
          </w:p>
        </w:tc>
        <w:tc>
          <w:tcPr>
            <w:tcW w:w="862" w:type="pct"/>
            <w:gridSpan w:val="2"/>
            <w:tcBorders>
              <w:top w:val="single" w:sz="4" w:space="0" w:color="auto"/>
              <w:left w:val="single" w:sz="4" w:space="0" w:color="auto"/>
              <w:bottom w:val="single" w:sz="4" w:space="0" w:color="auto"/>
              <w:right w:val="single" w:sz="4" w:space="0" w:color="auto"/>
            </w:tcBorders>
            <w:vAlign w:val="bottom"/>
            <w:hideMark/>
          </w:tcPr>
          <w:p w:rsidR="00CA19A2" w:rsidRPr="00A8196B" w:rsidP="000C606B" w14:paraId="2578E042" w14:textId="77777777">
            <w:pPr>
              <w:keepNext/>
              <w:widowControl w:val="0"/>
              <w:spacing w:after="0" w:line="240" w:lineRule="auto"/>
              <w:jc w:val="center"/>
              <w:rPr>
                <w:b/>
                <w:sz w:val="20"/>
                <w:szCs w:val="20"/>
              </w:rPr>
            </w:pPr>
            <w:r w:rsidRPr="00A8196B">
              <w:rPr>
                <w:b/>
                <w:sz w:val="20"/>
                <w:szCs w:val="20"/>
              </w:rPr>
              <w:t>Total Burden Hours Subtotal</w:t>
            </w:r>
          </w:p>
        </w:tc>
      </w:tr>
      <w:tr w14:paraId="76DDDA40" w14:textId="77777777" w:rsidTr="00F05D40">
        <w:tblPrEx>
          <w:tblW w:w="5000" w:type="pct"/>
          <w:tblLook w:val="01E0"/>
        </w:tblPrEx>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CA19A2" w:rsidRPr="00A8196B" w:rsidP="000C606B" w14:paraId="1B6E707B" w14:textId="77777777">
            <w:pPr>
              <w:keepNext/>
              <w:widowControl w:val="0"/>
              <w:spacing w:after="0" w:line="240" w:lineRule="auto"/>
              <w:jc w:val="center"/>
              <w:rPr>
                <w:b/>
                <w:i/>
                <w:sz w:val="20"/>
                <w:szCs w:val="20"/>
              </w:rPr>
            </w:pPr>
            <w:r w:rsidRPr="00A8196B">
              <w:rPr>
                <w:b/>
                <w:i/>
                <w:color w:val="000000"/>
                <w:sz w:val="20"/>
                <w:szCs w:val="20"/>
              </w:rPr>
              <w:t>Per Firm Activities</w:t>
            </w:r>
          </w:p>
        </w:tc>
      </w:tr>
      <w:tr w14:paraId="5D2CF52B" w14:textId="77777777" w:rsidTr="0049163D">
        <w:tblPrEx>
          <w:tblW w:w="5000" w:type="pct"/>
          <w:tblLook w:val="01E0"/>
        </w:tblPrEx>
        <w:trPr>
          <w:cantSplit/>
        </w:trPr>
        <w:tc>
          <w:tcPr>
            <w:tcW w:w="928" w:type="pct"/>
            <w:tcBorders>
              <w:top w:val="single" w:sz="4" w:space="0" w:color="auto"/>
              <w:left w:val="single" w:sz="4" w:space="0" w:color="auto"/>
              <w:bottom w:val="single" w:sz="4" w:space="0" w:color="auto"/>
              <w:right w:val="single" w:sz="4" w:space="0" w:color="auto"/>
            </w:tcBorders>
            <w:hideMark/>
          </w:tcPr>
          <w:p w:rsidR="00CA19A2" w:rsidRPr="00A8196B" w:rsidP="000C606B" w14:paraId="380AB29A" w14:textId="77777777">
            <w:pPr>
              <w:keepNext/>
              <w:widowControl w:val="0"/>
              <w:spacing w:after="0" w:line="240" w:lineRule="auto"/>
              <w:rPr>
                <w:sz w:val="20"/>
                <w:szCs w:val="20"/>
              </w:rPr>
            </w:pPr>
            <w:r w:rsidRPr="00A8196B">
              <w:rPr>
                <w:sz w:val="20"/>
                <w:szCs w:val="20"/>
              </w:rPr>
              <w:t>Rule familiarization</w:t>
            </w:r>
          </w:p>
        </w:tc>
        <w:tc>
          <w:tcPr>
            <w:tcW w:w="898" w:type="pct"/>
            <w:tcBorders>
              <w:top w:val="single" w:sz="4" w:space="0" w:color="auto"/>
              <w:left w:val="single" w:sz="4" w:space="0" w:color="auto"/>
              <w:bottom w:val="single" w:sz="4" w:space="0" w:color="auto"/>
              <w:right w:val="single" w:sz="4" w:space="0" w:color="auto"/>
            </w:tcBorders>
          </w:tcPr>
          <w:p w:rsidR="00CA19A2" w:rsidRPr="00A8196B" w:rsidP="000C606B" w14:paraId="0D728069" w14:textId="77777777">
            <w:pPr>
              <w:keepNext/>
              <w:widowControl w:val="0"/>
              <w:spacing w:after="0" w:line="240" w:lineRule="auto"/>
              <w:jc w:val="center"/>
              <w:rPr>
                <w:sz w:val="20"/>
                <w:szCs w:val="20"/>
              </w:rPr>
            </w:pPr>
            <w:r w:rsidRPr="00A8196B">
              <w:rPr>
                <w:color w:val="000000"/>
                <w:sz w:val="20"/>
                <w:szCs w:val="20"/>
              </w:rPr>
              <w:t>14.01</w:t>
            </w:r>
          </w:p>
        </w:tc>
        <w:tc>
          <w:tcPr>
            <w:tcW w:w="849" w:type="pct"/>
            <w:gridSpan w:val="2"/>
            <w:tcBorders>
              <w:top w:val="single" w:sz="4" w:space="0" w:color="auto"/>
              <w:left w:val="single" w:sz="4" w:space="0" w:color="auto"/>
              <w:bottom w:val="single" w:sz="4" w:space="0" w:color="auto"/>
              <w:right w:val="single" w:sz="4" w:space="0" w:color="auto"/>
            </w:tcBorders>
            <w:hideMark/>
          </w:tcPr>
          <w:p w:rsidR="00CA19A2" w:rsidRPr="00A8196B" w:rsidP="000C606B" w14:paraId="7CB4F40A" w14:textId="77777777">
            <w:pPr>
              <w:keepNext/>
              <w:widowControl w:val="0"/>
              <w:spacing w:after="0" w:line="240" w:lineRule="auto"/>
              <w:jc w:val="center"/>
              <w:rPr>
                <w:sz w:val="20"/>
                <w:szCs w:val="20"/>
              </w:rPr>
            </w:pPr>
            <w:r w:rsidRPr="00A8196B">
              <w:rPr>
                <w:color w:val="000000"/>
                <w:sz w:val="20"/>
                <w:szCs w:val="20"/>
              </w:rPr>
              <w:t>1</w:t>
            </w:r>
          </w:p>
        </w:tc>
        <w:tc>
          <w:tcPr>
            <w:tcW w:w="784" w:type="pct"/>
            <w:gridSpan w:val="2"/>
            <w:tcBorders>
              <w:top w:val="single" w:sz="4" w:space="0" w:color="auto"/>
              <w:left w:val="single" w:sz="4" w:space="0" w:color="auto"/>
              <w:bottom w:val="single" w:sz="4" w:space="0" w:color="auto"/>
              <w:right w:val="single" w:sz="4" w:space="0" w:color="auto"/>
            </w:tcBorders>
          </w:tcPr>
          <w:p w:rsidR="00CA19A2" w:rsidRPr="00A8196B" w:rsidP="000C606B" w14:paraId="450310CE" w14:textId="77777777">
            <w:pPr>
              <w:keepNext/>
              <w:widowControl w:val="0"/>
              <w:spacing w:after="0" w:line="240" w:lineRule="auto"/>
              <w:jc w:val="center"/>
              <w:rPr>
                <w:sz w:val="20"/>
                <w:szCs w:val="20"/>
              </w:rPr>
            </w:pPr>
            <w:r w:rsidRPr="00A8196B">
              <w:rPr>
                <w:color w:val="000000"/>
                <w:sz w:val="20"/>
                <w:szCs w:val="20"/>
              </w:rPr>
              <w:t>14.01</w:t>
            </w:r>
          </w:p>
        </w:tc>
        <w:tc>
          <w:tcPr>
            <w:tcW w:w="690" w:type="pct"/>
            <w:gridSpan w:val="2"/>
            <w:tcBorders>
              <w:top w:val="single" w:sz="4" w:space="0" w:color="auto"/>
              <w:left w:val="single" w:sz="4" w:space="0" w:color="auto"/>
              <w:bottom w:val="single" w:sz="4" w:space="0" w:color="auto"/>
              <w:right w:val="single" w:sz="4" w:space="0" w:color="auto"/>
            </w:tcBorders>
            <w:hideMark/>
          </w:tcPr>
          <w:p w:rsidR="00CA19A2" w:rsidRPr="00A8196B" w:rsidP="000C606B" w14:paraId="21A87B57" w14:textId="77777777">
            <w:pPr>
              <w:keepNext/>
              <w:widowControl w:val="0"/>
              <w:spacing w:after="0" w:line="240" w:lineRule="auto"/>
              <w:jc w:val="center"/>
              <w:rPr>
                <w:sz w:val="20"/>
                <w:szCs w:val="20"/>
              </w:rPr>
            </w:pPr>
            <w:r w:rsidRPr="00A8196B">
              <w:rPr>
                <w:color w:val="000000"/>
                <w:sz w:val="20"/>
                <w:szCs w:val="20"/>
              </w:rPr>
              <w:t>0.82</w:t>
            </w:r>
          </w:p>
        </w:tc>
        <w:tc>
          <w:tcPr>
            <w:tcW w:w="851" w:type="pct"/>
            <w:tcBorders>
              <w:top w:val="single" w:sz="4" w:space="0" w:color="auto"/>
              <w:left w:val="single" w:sz="4" w:space="0" w:color="auto"/>
              <w:bottom w:val="single" w:sz="4" w:space="0" w:color="auto"/>
              <w:right w:val="single" w:sz="4" w:space="0" w:color="auto"/>
            </w:tcBorders>
            <w:hideMark/>
          </w:tcPr>
          <w:p w:rsidR="00CA19A2" w:rsidRPr="00A8196B" w:rsidP="000C606B" w14:paraId="57907D8A" w14:textId="77777777">
            <w:pPr>
              <w:keepNext/>
              <w:widowControl w:val="0"/>
              <w:spacing w:after="0" w:line="240" w:lineRule="auto"/>
              <w:jc w:val="center"/>
              <w:rPr>
                <w:b/>
                <w:sz w:val="20"/>
                <w:szCs w:val="20"/>
              </w:rPr>
            </w:pPr>
            <w:r w:rsidRPr="00A8196B">
              <w:rPr>
                <w:b/>
                <w:color w:val="000000"/>
                <w:sz w:val="20"/>
                <w:szCs w:val="20"/>
              </w:rPr>
              <w:t>11.44</w:t>
            </w:r>
          </w:p>
        </w:tc>
      </w:tr>
      <w:tr w14:paraId="25EA9C9A" w14:textId="77777777" w:rsidTr="0049163D">
        <w:tblPrEx>
          <w:tblW w:w="5000" w:type="pct"/>
          <w:tblLook w:val="01E0"/>
        </w:tblPrEx>
        <w:trPr>
          <w:cantSplit/>
        </w:trPr>
        <w:tc>
          <w:tcPr>
            <w:tcW w:w="928" w:type="pct"/>
            <w:tcBorders>
              <w:top w:val="single" w:sz="4" w:space="0" w:color="auto"/>
              <w:left w:val="single" w:sz="4" w:space="0" w:color="auto"/>
              <w:bottom w:val="dotted" w:sz="4" w:space="0" w:color="auto"/>
              <w:right w:val="single" w:sz="4" w:space="0" w:color="auto"/>
            </w:tcBorders>
            <w:hideMark/>
          </w:tcPr>
          <w:p w:rsidR="00CA19A2" w:rsidRPr="00A8196B" w:rsidP="000C606B" w14:paraId="20C64AE4" w14:textId="77777777">
            <w:pPr>
              <w:keepNext/>
              <w:widowControl w:val="0"/>
              <w:spacing w:after="0" w:line="240" w:lineRule="auto"/>
              <w:rPr>
                <w:sz w:val="20"/>
                <w:szCs w:val="20"/>
              </w:rPr>
            </w:pPr>
            <w:r w:rsidRPr="00A8196B">
              <w:rPr>
                <w:sz w:val="20"/>
                <w:szCs w:val="20"/>
              </w:rPr>
              <w:t>CDX registration activities</w:t>
            </w:r>
          </w:p>
        </w:tc>
        <w:tc>
          <w:tcPr>
            <w:tcW w:w="898" w:type="pct"/>
            <w:tcBorders>
              <w:top w:val="single" w:sz="4" w:space="0" w:color="auto"/>
              <w:left w:val="single" w:sz="4" w:space="0" w:color="auto"/>
              <w:bottom w:val="dotted" w:sz="4" w:space="0" w:color="auto"/>
              <w:right w:val="single" w:sz="4" w:space="0" w:color="auto"/>
            </w:tcBorders>
          </w:tcPr>
          <w:p w:rsidR="00CA19A2" w:rsidRPr="00A8196B" w:rsidP="000C606B" w14:paraId="7233BF41" w14:textId="77777777">
            <w:pPr>
              <w:keepNext/>
              <w:widowControl w:val="0"/>
              <w:spacing w:after="0" w:line="240" w:lineRule="auto"/>
              <w:jc w:val="center"/>
              <w:rPr>
                <w:color w:val="000000"/>
                <w:sz w:val="20"/>
                <w:szCs w:val="20"/>
              </w:rPr>
            </w:pPr>
            <w:r w:rsidRPr="00A8196B">
              <w:rPr>
                <w:color w:val="000000"/>
                <w:sz w:val="20"/>
                <w:szCs w:val="20"/>
              </w:rPr>
              <w:t>14.01</w:t>
            </w:r>
          </w:p>
        </w:tc>
        <w:tc>
          <w:tcPr>
            <w:tcW w:w="849" w:type="pct"/>
            <w:gridSpan w:val="2"/>
            <w:tcBorders>
              <w:top w:val="single" w:sz="4" w:space="0" w:color="auto"/>
              <w:left w:val="single" w:sz="4" w:space="0" w:color="auto"/>
              <w:bottom w:val="dotted" w:sz="4" w:space="0" w:color="auto"/>
              <w:right w:val="single" w:sz="4" w:space="0" w:color="auto"/>
            </w:tcBorders>
            <w:hideMark/>
          </w:tcPr>
          <w:p w:rsidR="00CA19A2" w:rsidRPr="00A8196B" w:rsidP="000C606B" w14:paraId="463D03D1" w14:textId="77777777">
            <w:pPr>
              <w:keepNext/>
              <w:widowControl w:val="0"/>
              <w:spacing w:after="0" w:line="240" w:lineRule="auto"/>
              <w:jc w:val="center"/>
              <w:rPr>
                <w:color w:val="000000"/>
                <w:sz w:val="20"/>
                <w:szCs w:val="20"/>
              </w:rPr>
            </w:pPr>
            <w:r w:rsidRPr="00A8196B">
              <w:rPr>
                <w:color w:val="000000"/>
                <w:sz w:val="20"/>
                <w:szCs w:val="20"/>
              </w:rPr>
              <w:t>1</w:t>
            </w:r>
          </w:p>
        </w:tc>
        <w:tc>
          <w:tcPr>
            <w:tcW w:w="784" w:type="pct"/>
            <w:gridSpan w:val="2"/>
            <w:tcBorders>
              <w:top w:val="single" w:sz="4" w:space="0" w:color="auto"/>
              <w:left w:val="single" w:sz="4" w:space="0" w:color="auto"/>
              <w:bottom w:val="dotted" w:sz="4" w:space="0" w:color="auto"/>
              <w:right w:val="single" w:sz="4" w:space="0" w:color="auto"/>
            </w:tcBorders>
          </w:tcPr>
          <w:p w:rsidR="00CA19A2" w:rsidRPr="00A8196B" w:rsidP="000C606B" w14:paraId="2DC855A6" w14:textId="77777777">
            <w:pPr>
              <w:keepNext/>
              <w:widowControl w:val="0"/>
              <w:spacing w:after="0" w:line="240" w:lineRule="auto"/>
              <w:jc w:val="center"/>
              <w:rPr>
                <w:color w:val="000000"/>
                <w:sz w:val="20"/>
                <w:szCs w:val="20"/>
              </w:rPr>
            </w:pPr>
            <w:r w:rsidRPr="00A8196B">
              <w:rPr>
                <w:color w:val="000000"/>
                <w:sz w:val="20"/>
                <w:szCs w:val="20"/>
              </w:rPr>
              <w:t>14.01</w:t>
            </w:r>
          </w:p>
        </w:tc>
        <w:tc>
          <w:tcPr>
            <w:tcW w:w="690" w:type="pct"/>
            <w:gridSpan w:val="2"/>
            <w:tcBorders>
              <w:top w:val="single" w:sz="4" w:space="0" w:color="auto"/>
              <w:left w:val="single" w:sz="4" w:space="0" w:color="auto"/>
              <w:bottom w:val="dotted" w:sz="4" w:space="0" w:color="auto"/>
              <w:right w:val="single" w:sz="4" w:space="0" w:color="auto"/>
            </w:tcBorders>
            <w:hideMark/>
          </w:tcPr>
          <w:p w:rsidR="00CA19A2" w:rsidRPr="00A8196B" w:rsidP="000C606B" w14:paraId="798A8A48" w14:textId="77777777">
            <w:pPr>
              <w:keepNext/>
              <w:widowControl w:val="0"/>
              <w:spacing w:after="0" w:line="240" w:lineRule="auto"/>
              <w:jc w:val="center"/>
              <w:rPr>
                <w:color w:val="000000"/>
                <w:sz w:val="20"/>
                <w:szCs w:val="20"/>
              </w:rPr>
            </w:pPr>
            <w:r w:rsidRPr="00A8196B">
              <w:rPr>
                <w:color w:val="000000"/>
                <w:sz w:val="20"/>
                <w:szCs w:val="20"/>
              </w:rPr>
              <w:t>2.80</w:t>
            </w:r>
          </w:p>
        </w:tc>
        <w:tc>
          <w:tcPr>
            <w:tcW w:w="851" w:type="pct"/>
            <w:tcBorders>
              <w:top w:val="single" w:sz="4" w:space="0" w:color="auto"/>
              <w:left w:val="single" w:sz="4" w:space="0" w:color="auto"/>
              <w:bottom w:val="dotted" w:sz="4" w:space="0" w:color="auto"/>
              <w:right w:val="single" w:sz="4" w:space="0" w:color="auto"/>
            </w:tcBorders>
            <w:hideMark/>
          </w:tcPr>
          <w:p w:rsidR="00CA19A2" w:rsidRPr="00A8196B" w:rsidP="000C606B" w14:paraId="52E7E936" w14:textId="77777777">
            <w:pPr>
              <w:keepNext/>
              <w:widowControl w:val="0"/>
              <w:spacing w:after="0" w:line="240" w:lineRule="auto"/>
              <w:jc w:val="center"/>
              <w:rPr>
                <w:b/>
                <w:color w:val="000000"/>
                <w:sz w:val="20"/>
                <w:szCs w:val="20"/>
              </w:rPr>
            </w:pPr>
            <w:r w:rsidRPr="00A8196B">
              <w:rPr>
                <w:b/>
                <w:color w:val="000000"/>
                <w:sz w:val="20"/>
                <w:szCs w:val="20"/>
              </w:rPr>
              <w:t>39.23</w:t>
            </w:r>
          </w:p>
        </w:tc>
      </w:tr>
      <w:tr w14:paraId="5D2203B2" w14:textId="77777777" w:rsidTr="0049163D">
        <w:tblPrEx>
          <w:tblW w:w="5000" w:type="pct"/>
          <w:tblLook w:val="01E0"/>
        </w:tblPrEx>
        <w:trPr>
          <w:cantSplit/>
        </w:trPr>
        <w:tc>
          <w:tcPr>
            <w:tcW w:w="928" w:type="pct"/>
            <w:tcBorders>
              <w:top w:val="dotted" w:sz="4" w:space="0" w:color="auto"/>
              <w:left w:val="single" w:sz="4" w:space="0" w:color="auto"/>
              <w:bottom w:val="dotted" w:sz="4" w:space="0" w:color="auto"/>
              <w:right w:val="single" w:sz="4" w:space="0" w:color="auto"/>
            </w:tcBorders>
            <w:hideMark/>
          </w:tcPr>
          <w:p w:rsidR="00CA19A2" w:rsidRPr="00A8196B" w:rsidP="000C606B" w14:paraId="34868D92" w14:textId="77777777">
            <w:pPr>
              <w:keepNext/>
              <w:widowControl w:val="0"/>
              <w:numPr>
                <w:ilvl w:val="0"/>
                <w:numId w:val="9"/>
              </w:numPr>
              <w:tabs>
                <w:tab w:val="clear" w:pos="720"/>
              </w:tabs>
              <w:spacing w:after="0" w:line="240" w:lineRule="auto"/>
              <w:ind w:left="360" w:right="-108" w:hanging="180"/>
              <w:rPr>
                <w:i/>
                <w:sz w:val="20"/>
                <w:szCs w:val="20"/>
              </w:rPr>
            </w:pPr>
            <w:r w:rsidRPr="00A8196B">
              <w:rPr>
                <w:i/>
                <w:sz w:val="20"/>
                <w:szCs w:val="20"/>
              </w:rPr>
              <w:t>CDX registration</w:t>
            </w:r>
          </w:p>
        </w:tc>
        <w:tc>
          <w:tcPr>
            <w:tcW w:w="898" w:type="pct"/>
            <w:tcBorders>
              <w:top w:val="dotted" w:sz="4" w:space="0" w:color="auto"/>
              <w:left w:val="single" w:sz="4" w:space="0" w:color="auto"/>
              <w:bottom w:val="dotted" w:sz="4" w:space="0" w:color="auto"/>
              <w:right w:val="single" w:sz="4" w:space="0" w:color="auto"/>
            </w:tcBorders>
          </w:tcPr>
          <w:p w:rsidR="00CA19A2" w:rsidRPr="00A8196B" w:rsidP="000C606B" w14:paraId="28F1FAC6" w14:textId="77777777">
            <w:pPr>
              <w:keepNext/>
              <w:widowControl w:val="0"/>
              <w:spacing w:after="0" w:line="240" w:lineRule="auto"/>
              <w:jc w:val="center"/>
              <w:rPr>
                <w:i/>
                <w:sz w:val="20"/>
                <w:szCs w:val="20"/>
              </w:rPr>
            </w:pPr>
            <w:r w:rsidRPr="00A8196B">
              <w:rPr>
                <w:color w:val="000000"/>
                <w:sz w:val="20"/>
                <w:szCs w:val="20"/>
              </w:rPr>
              <w:t>14.01</w:t>
            </w:r>
          </w:p>
        </w:tc>
        <w:tc>
          <w:tcPr>
            <w:tcW w:w="849" w:type="pct"/>
            <w:gridSpan w:val="2"/>
            <w:tcBorders>
              <w:top w:val="dotted" w:sz="4" w:space="0" w:color="auto"/>
              <w:left w:val="single" w:sz="4" w:space="0" w:color="auto"/>
              <w:bottom w:val="dotted" w:sz="4" w:space="0" w:color="auto"/>
              <w:right w:val="single" w:sz="4" w:space="0" w:color="auto"/>
            </w:tcBorders>
            <w:hideMark/>
          </w:tcPr>
          <w:p w:rsidR="00CA19A2" w:rsidRPr="00A8196B" w:rsidP="000C606B" w14:paraId="662E4483" w14:textId="77777777">
            <w:pPr>
              <w:keepNext/>
              <w:widowControl w:val="0"/>
              <w:spacing w:after="0" w:line="240" w:lineRule="auto"/>
              <w:jc w:val="center"/>
              <w:rPr>
                <w:i/>
                <w:sz w:val="20"/>
                <w:szCs w:val="20"/>
              </w:rPr>
            </w:pPr>
            <w:r w:rsidRPr="00A8196B">
              <w:rPr>
                <w:i/>
                <w:color w:val="000000"/>
                <w:sz w:val="20"/>
                <w:szCs w:val="20"/>
              </w:rPr>
              <w:t>1</w:t>
            </w:r>
          </w:p>
        </w:tc>
        <w:tc>
          <w:tcPr>
            <w:tcW w:w="784" w:type="pct"/>
            <w:gridSpan w:val="2"/>
            <w:tcBorders>
              <w:top w:val="dotted" w:sz="4" w:space="0" w:color="auto"/>
              <w:left w:val="single" w:sz="4" w:space="0" w:color="auto"/>
              <w:bottom w:val="dotted" w:sz="4" w:space="0" w:color="auto"/>
              <w:right w:val="single" w:sz="4" w:space="0" w:color="auto"/>
            </w:tcBorders>
          </w:tcPr>
          <w:p w:rsidR="00CA19A2" w:rsidRPr="00A8196B" w:rsidP="000C606B" w14:paraId="1807337A" w14:textId="77777777">
            <w:pPr>
              <w:keepNext/>
              <w:widowControl w:val="0"/>
              <w:spacing w:after="0" w:line="240" w:lineRule="auto"/>
              <w:jc w:val="center"/>
              <w:rPr>
                <w:i/>
                <w:sz w:val="20"/>
                <w:szCs w:val="20"/>
              </w:rPr>
            </w:pPr>
            <w:r w:rsidRPr="00A8196B">
              <w:rPr>
                <w:color w:val="000000"/>
                <w:sz w:val="20"/>
                <w:szCs w:val="20"/>
              </w:rPr>
              <w:t>14.01</w:t>
            </w:r>
          </w:p>
        </w:tc>
        <w:tc>
          <w:tcPr>
            <w:tcW w:w="690" w:type="pct"/>
            <w:gridSpan w:val="2"/>
            <w:tcBorders>
              <w:top w:val="dotted" w:sz="4" w:space="0" w:color="auto"/>
              <w:left w:val="single" w:sz="4" w:space="0" w:color="auto"/>
              <w:bottom w:val="dotted" w:sz="4" w:space="0" w:color="auto"/>
              <w:right w:val="single" w:sz="4" w:space="0" w:color="auto"/>
            </w:tcBorders>
            <w:hideMark/>
          </w:tcPr>
          <w:p w:rsidR="00CA19A2" w:rsidRPr="00A8196B" w:rsidP="000C606B" w14:paraId="674E99A6" w14:textId="77777777">
            <w:pPr>
              <w:keepNext/>
              <w:widowControl w:val="0"/>
              <w:spacing w:after="0" w:line="240" w:lineRule="auto"/>
              <w:jc w:val="center"/>
              <w:rPr>
                <w:i/>
                <w:sz w:val="20"/>
                <w:szCs w:val="20"/>
              </w:rPr>
            </w:pPr>
            <w:r w:rsidRPr="00A8196B">
              <w:rPr>
                <w:color w:val="000000"/>
                <w:sz w:val="20"/>
                <w:szCs w:val="20"/>
              </w:rPr>
              <w:t>0.92</w:t>
            </w:r>
          </w:p>
        </w:tc>
        <w:tc>
          <w:tcPr>
            <w:tcW w:w="851" w:type="pct"/>
            <w:tcBorders>
              <w:top w:val="dotted" w:sz="4" w:space="0" w:color="auto"/>
              <w:left w:val="single" w:sz="4" w:space="0" w:color="auto"/>
              <w:bottom w:val="dotted" w:sz="4" w:space="0" w:color="auto"/>
              <w:right w:val="single" w:sz="4" w:space="0" w:color="auto"/>
            </w:tcBorders>
            <w:hideMark/>
          </w:tcPr>
          <w:p w:rsidR="00CA19A2" w:rsidRPr="00A8196B" w:rsidP="000C606B" w14:paraId="4D695656" w14:textId="77777777">
            <w:pPr>
              <w:keepNext/>
              <w:widowControl w:val="0"/>
              <w:spacing w:after="0" w:line="240" w:lineRule="auto"/>
              <w:jc w:val="center"/>
              <w:rPr>
                <w:b/>
                <w:i/>
                <w:sz w:val="20"/>
                <w:szCs w:val="20"/>
              </w:rPr>
            </w:pPr>
            <w:r w:rsidRPr="00A8196B">
              <w:rPr>
                <w:b/>
                <w:color w:val="000000"/>
                <w:sz w:val="20"/>
                <w:szCs w:val="20"/>
              </w:rPr>
              <w:t>12.84</w:t>
            </w:r>
          </w:p>
        </w:tc>
      </w:tr>
      <w:tr w14:paraId="19BFEF4A" w14:textId="77777777" w:rsidTr="0049163D">
        <w:tblPrEx>
          <w:tblW w:w="5000" w:type="pct"/>
          <w:tblLook w:val="01E0"/>
        </w:tblPrEx>
        <w:trPr>
          <w:cantSplit/>
        </w:trPr>
        <w:tc>
          <w:tcPr>
            <w:tcW w:w="928" w:type="pct"/>
            <w:tcBorders>
              <w:top w:val="dotted" w:sz="4" w:space="0" w:color="auto"/>
              <w:left w:val="single" w:sz="4" w:space="0" w:color="auto"/>
              <w:bottom w:val="dotted" w:sz="4" w:space="0" w:color="auto"/>
              <w:right w:val="single" w:sz="4" w:space="0" w:color="auto"/>
            </w:tcBorders>
            <w:hideMark/>
          </w:tcPr>
          <w:p w:rsidR="00CA19A2" w:rsidRPr="00A8196B" w:rsidP="000C606B" w14:paraId="7CF4B76D" w14:textId="77777777">
            <w:pPr>
              <w:keepNext/>
              <w:widowControl w:val="0"/>
              <w:numPr>
                <w:ilvl w:val="0"/>
                <w:numId w:val="9"/>
              </w:numPr>
              <w:tabs>
                <w:tab w:val="clear" w:pos="720"/>
              </w:tabs>
              <w:spacing w:after="0" w:line="240" w:lineRule="auto"/>
              <w:ind w:left="360" w:right="-108" w:hanging="180"/>
              <w:rPr>
                <w:i/>
                <w:sz w:val="20"/>
                <w:szCs w:val="20"/>
              </w:rPr>
            </w:pPr>
            <w:r w:rsidRPr="00A8196B">
              <w:rPr>
                <w:i/>
                <w:sz w:val="20"/>
                <w:szCs w:val="20"/>
              </w:rPr>
              <w:t>ESA</w:t>
            </w:r>
          </w:p>
        </w:tc>
        <w:tc>
          <w:tcPr>
            <w:tcW w:w="898" w:type="pct"/>
            <w:tcBorders>
              <w:top w:val="dotted" w:sz="4" w:space="0" w:color="auto"/>
              <w:left w:val="single" w:sz="4" w:space="0" w:color="auto"/>
              <w:bottom w:val="dotted" w:sz="4" w:space="0" w:color="auto"/>
              <w:right w:val="single" w:sz="4" w:space="0" w:color="auto"/>
            </w:tcBorders>
          </w:tcPr>
          <w:p w:rsidR="00CA19A2" w:rsidRPr="00A8196B" w:rsidP="000C606B" w14:paraId="532DC2CA" w14:textId="77777777">
            <w:pPr>
              <w:keepNext/>
              <w:widowControl w:val="0"/>
              <w:spacing w:after="0" w:line="240" w:lineRule="auto"/>
              <w:jc w:val="center"/>
              <w:rPr>
                <w:i/>
                <w:sz w:val="20"/>
                <w:szCs w:val="20"/>
              </w:rPr>
            </w:pPr>
            <w:r w:rsidRPr="00A8196B">
              <w:rPr>
                <w:color w:val="000000"/>
                <w:sz w:val="20"/>
                <w:szCs w:val="20"/>
              </w:rPr>
              <w:t>14.01</w:t>
            </w:r>
          </w:p>
        </w:tc>
        <w:tc>
          <w:tcPr>
            <w:tcW w:w="849" w:type="pct"/>
            <w:gridSpan w:val="2"/>
            <w:tcBorders>
              <w:top w:val="dotted" w:sz="4" w:space="0" w:color="auto"/>
              <w:left w:val="single" w:sz="4" w:space="0" w:color="auto"/>
              <w:bottom w:val="dotted" w:sz="4" w:space="0" w:color="auto"/>
              <w:right w:val="single" w:sz="4" w:space="0" w:color="auto"/>
            </w:tcBorders>
            <w:hideMark/>
          </w:tcPr>
          <w:p w:rsidR="00CA19A2" w:rsidRPr="00A8196B" w:rsidP="000C606B" w14:paraId="1D969255" w14:textId="77777777">
            <w:pPr>
              <w:keepNext/>
              <w:widowControl w:val="0"/>
              <w:spacing w:after="0" w:line="240" w:lineRule="auto"/>
              <w:jc w:val="center"/>
              <w:rPr>
                <w:i/>
                <w:sz w:val="20"/>
                <w:szCs w:val="20"/>
              </w:rPr>
            </w:pPr>
            <w:r w:rsidRPr="00A8196B">
              <w:rPr>
                <w:i/>
                <w:color w:val="000000"/>
                <w:sz w:val="20"/>
                <w:szCs w:val="20"/>
              </w:rPr>
              <w:t>1</w:t>
            </w:r>
          </w:p>
        </w:tc>
        <w:tc>
          <w:tcPr>
            <w:tcW w:w="784" w:type="pct"/>
            <w:gridSpan w:val="2"/>
            <w:tcBorders>
              <w:top w:val="dotted" w:sz="4" w:space="0" w:color="auto"/>
              <w:left w:val="single" w:sz="4" w:space="0" w:color="auto"/>
              <w:bottom w:val="dotted" w:sz="4" w:space="0" w:color="auto"/>
              <w:right w:val="single" w:sz="4" w:space="0" w:color="auto"/>
            </w:tcBorders>
          </w:tcPr>
          <w:p w:rsidR="00CA19A2" w:rsidRPr="00A8196B" w:rsidP="000C606B" w14:paraId="34787D47" w14:textId="77777777">
            <w:pPr>
              <w:keepNext/>
              <w:widowControl w:val="0"/>
              <w:spacing w:after="0" w:line="240" w:lineRule="auto"/>
              <w:jc w:val="center"/>
              <w:rPr>
                <w:i/>
                <w:sz w:val="20"/>
                <w:szCs w:val="20"/>
              </w:rPr>
            </w:pPr>
            <w:r w:rsidRPr="00A8196B">
              <w:rPr>
                <w:color w:val="000000"/>
                <w:sz w:val="20"/>
                <w:szCs w:val="20"/>
              </w:rPr>
              <w:t>14.01</w:t>
            </w:r>
          </w:p>
        </w:tc>
        <w:tc>
          <w:tcPr>
            <w:tcW w:w="690" w:type="pct"/>
            <w:gridSpan w:val="2"/>
            <w:tcBorders>
              <w:top w:val="dotted" w:sz="4" w:space="0" w:color="auto"/>
              <w:left w:val="single" w:sz="4" w:space="0" w:color="auto"/>
              <w:bottom w:val="dotted" w:sz="4" w:space="0" w:color="auto"/>
              <w:right w:val="single" w:sz="4" w:space="0" w:color="auto"/>
            </w:tcBorders>
            <w:hideMark/>
          </w:tcPr>
          <w:p w:rsidR="00CA19A2" w:rsidRPr="00A8196B" w:rsidP="000C606B" w14:paraId="0D6AE1B1" w14:textId="77777777">
            <w:pPr>
              <w:keepNext/>
              <w:widowControl w:val="0"/>
              <w:spacing w:after="0" w:line="240" w:lineRule="auto"/>
              <w:jc w:val="center"/>
              <w:rPr>
                <w:i/>
                <w:sz w:val="20"/>
                <w:szCs w:val="20"/>
              </w:rPr>
            </w:pPr>
            <w:r w:rsidRPr="00A8196B">
              <w:rPr>
                <w:color w:val="000000"/>
                <w:sz w:val="20"/>
                <w:szCs w:val="20"/>
              </w:rPr>
              <w:t>1.75</w:t>
            </w:r>
          </w:p>
        </w:tc>
        <w:tc>
          <w:tcPr>
            <w:tcW w:w="851" w:type="pct"/>
            <w:tcBorders>
              <w:top w:val="dotted" w:sz="4" w:space="0" w:color="auto"/>
              <w:left w:val="single" w:sz="4" w:space="0" w:color="auto"/>
              <w:bottom w:val="dotted" w:sz="4" w:space="0" w:color="auto"/>
              <w:right w:val="single" w:sz="4" w:space="0" w:color="auto"/>
            </w:tcBorders>
            <w:hideMark/>
          </w:tcPr>
          <w:p w:rsidR="00CA19A2" w:rsidRPr="00A8196B" w:rsidP="000C606B" w14:paraId="5860EF0F" w14:textId="77777777">
            <w:pPr>
              <w:keepNext/>
              <w:widowControl w:val="0"/>
              <w:spacing w:after="0" w:line="240" w:lineRule="auto"/>
              <w:jc w:val="center"/>
              <w:rPr>
                <w:b/>
                <w:i/>
                <w:sz w:val="20"/>
                <w:szCs w:val="20"/>
              </w:rPr>
            </w:pPr>
            <w:r w:rsidRPr="00A8196B">
              <w:rPr>
                <w:b/>
                <w:color w:val="000000"/>
                <w:sz w:val="20"/>
                <w:szCs w:val="20"/>
              </w:rPr>
              <w:t>24.52</w:t>
            </w:r>
          </w:p>
        </w:tc>
      </w:tr>
      <w:tr w14:paraId="70AD41C4" w14:textId="77777777" w:rsidTr="0049163D">
        <w:tblPrEx>
          <w:tblW w:w="5000" w:type="pct"/>
          <w:tblLook w:val="01E0"/>
        </w:tblPrEx>
        <w:trPr>
          <w:cantSplit/>
        </w:trPr>
        <w:tc>
          <w:tcPr>
            <w:tcW w:w="928" w:type="pct"/>
            <w:tcBorders>
              <w:top w:val="dotted" w:sz="4" w:space="0" w:color="auto"/>
              <w:left w:val="single" w:sz="4" w:space="0" w:color="auto"/>
              <w:bottom w:val="single" w:sz="4" w:space="0" w:color="auto"/>
              <w:right w:val="single" w:sz="4" w:space="0" w:color="auto"/>
            </w:tcBorders>
          </w:tcPr>
          <w:p w:rsidR="00CA19A2" w:rsidRPr="00A8196B" w:rsidP="00F05D40" w14:paraId="734B9F61" w14:textId="77777777">
            <w:pPr>
              <w:widowControl w:val="0"/>
              <w:numPr>
                <w:ilvl w:val="0"/>
                <w:numId w:val="9"/>
              </w:numPr>
              <w:tabs>
                <w:tab w:val="clear" w:pos="720"/>
              </w:tabs>
              <w:spacing w:after="0" w:line="240" w:lineRule="auto"/>
              <w:ind w:left="360" w:right="-108" w:hanging="180"/>
              <w:rPr>
                <w:i/>
                <w:sz w:val="20"/>
                <w:szCs w:val="20"/>
              </w:rPr>
            </w:pPr>
            <w:r w:rsidRPr="00A8196B">
              <w:rPr>
                <w:i/>
                <w:sz w:val="20"/>
                <w:szCs w:val="20"/>
              </w:rPr>
              <w:t xml:space="preserve">Pay.gov account </w:t>
            </w:r>
          </w:p>
        </w:tc>
        <w:tc>
          <w:tcPr>
            <w:tcW w:w="898" w:type="pct"/>
            <w:tcBorders>
              <w:top w:val="dotted" w:sz="4" w:space="0" w:color="auto"/>
              <w:left w:val="single" w:sz="4" w:space="0" w:color="auto"/>
              <w:bottom w:val="single" w:sz="4" w:space="0" w:color="auto"/>
              <w:right w:val="single" w:sz="4" w:space="0" w:color="auto"/>
            </w:tcBorders>
          </w:tcPr>
          <w:p w:rsidR="00CA19A2" w:rsidRPr="00A8196B" w:rsidP="00F05D40" w14:paraId="372E409A" w14:textId="77777777">
            <w:pPr>
              <w:widowControl w:val="0"/>
              <w:spacing w:after="0" w:line="240" w:lineRule="auto"/>
              <w:jc w:val="center"/>
              <w:rPr>
                <w:i/>
                <w:sz w:val="20"/>
                <w:szCs w:val="20"/>
              </w:rPr>
            </w:pPr>
            <w:r w:rsidRPr="00A8196B">
              <w:rPr>
                <w:color w:val="000000"/>
                <w:sz w:val="20"/>
                <w:szCs w:val="20"/>
              </w:rPr>
              <w:t>14.01</w:t>
            </w:r>
          </w:p>
        </w:tc>
        <w:tc>
          <w:tcPr>
            <w:tcW w:w="849" w:type="pct"/>
            <w:gridSpan w:val="2"/>
            <w:tcBorders>
              <w:top w:val="dotted" w:sz="4" w:space="0" w:color="auto"/>
              <w:left w:val="single" w:sz="4" w:space="0" w:color="auto"/>
              <w:bottom w:val="single" w:sz="4" w:space="0" w:color="auto"/>
              <w:right w:val="single" w:sz="4" w:space="0" w:color="auto"/>
            </w:tcBorders>
          </w:tcPr>
          <w:p w:rsidR="00CA19A2" w:rsidRPr="00A8196B" w:rsidP="00F05D40" w14:paraId="0471313C" w14:textId="77777777">
            <w:pPr>
              <w:widowControl w:val="0"/>
              <w:spacing w:after="0" w:line="240" w:lineRule="auto"/>
              <w:jc w:val="center"/>
              <w:rPr>
                <w:i/>
                <w:sz w:val="20"/>
                <w:szCs w:val="20"/>
              </w:rPr>
            </w:pPr>
            <w:r w:rsidRPr="00A8196B">
              <w:rPr>
                <w:i/>
                <w:color w:val="000000"/>
                <w:sz w:val="20"/>
                <w:szCs w:val="20"/>
              </w:rPr>
              <w:t>1</w:t>
            </w:r>
          </w:p>
        </w:tc>
        <w:tc>
          <w:tcPr>
            <w:tcW w:w="784" w:type="pct"/>
            <w:gridSpan w:val="2"/>
            <w:tcBorders>
              <w:top w:val="dotted" w:sz="4" w:space="0" w:color="auto"/>
              <w:left w:val="single" w:sz="4" w:space="0" w:color="auto"/>
              <w:bottom w:val="single" w:sz="4" w:space="0" w:color="auto"/>
              <w:right w:val="single" w:sz="4" w:space="0" w:color="auto"/>
            </w:tcBorders>
          </w:tcPr>
          <w:p w:rsidR="00CA19A2" w:rsidRPr="00A8196B" w:rsidP="00F05D40" w14:paraId="057A83BF" w14:textId="77777777">
            <w:pPr>
              <w:widowControl w:val="0"/>
              <w:spacing w:after="0" w:line="240" w:lineRule="auto"/>
              <w:jc w:val="center"/>
              <w:rPr>
                <w:color w:val="000000"/>
                <w:sz w:val="20"/>
                <w:szCs w:val="20"/>
              </w:rPr>
            </w:pPr>
            <w:r w:rsidRPr="00A8196B">
              <w:rPr>
                <w:color w:val="000000"/>
                <w:sz w:val="20"/>
                <w:szCs w:val="20"/>
              </w:rPr>
              <w:t>14.01</w:t>
            </w:r>
          </w:p>
        </w:tc>
        <w:tc>
          <w:tcPr>
            <w:tcW w:w="690" w:type="pct"/>
            <w:gridSpan w:val="2"/>
            <w:tcBorders>
              <w:top w:val="dotted" w:sz="4" w:space="0" w:color="auto"/>
              <w:left w:val="single" w:sz="4" w:space="0" w:color="auto"/>
              <w:bottom w:val="single" w:sz="4" w:space="0" w:color="auto"/>
              <w:right w:val="single" w:sz="4" w:space="0" w:color="auto"/>
            </w:tcBorders>
          </w:tcPr>
          <w:p w:rsidR="00CA19A2" w:rsidRPr="00A8196B" w:rsidP="00F05D40" w14:paraId="481CEBA9" w14:textId="77777777">
            <w:pPr>
              <w:widowControl w:val="0"/>
              <w:spacing w:after="0" w:line="240" w:lineRule="auto"/>
              <w:jc w:val="center"/>
              <w:rPr>
                <w:i/>
                <w:sz w:val="20"/>
                <w:szCs w:val="20"/>
              </w:rPr>
            </w:pPr>
            <w:r w:rsidRPr="00A8196B">
              <w:rPr>
                <w:color w:val="000000"/>
                <w:sz w:val="20"/>
                <w:szCs w:val="20"/>
              </w:rPr>
              <w:t>0.13</w:t>
            </w:r>
          </w:p>
        </w:tc>
        <w:tc>
          <w:tcPr>
            <w:tcW w:w="851" w:type="pct"/>
            <w:tcBorders>
              <w:top w:val="dotted" w:sz="4" w:space="0" w:color="auto"/>
              <w:left w:val="single" w:sz="4" w:space="0" w:color="auto"/>
              <w:bottom w:val="single" w:sz="4" w:space="0" w:color="auto"/>
              <w:right w:val="single" w:sz="4" w:space="0" w:color="auto"/>
            </w:tcBorders>
          </w:tcPr>
          <w:p w:rsidR="00CA19A2" w:rsidRPr="00A8196B" w:rsidP="00F05D40" w14:paraId="188991DB" w14:textId="77777777">
            <w:pPr>
              <w:widowControl w:val="0"/>
              <w:spacing w:after="0" w:line="240" w:lineRule="auto"/>
              <w:jc w:val="center"/>
              <w:rPr>
                <w:b/>
                <w:i/>
                <w:sz w:val="20"/>
                <w:szCs w:val="20"/>
              </w:rPr>
            </w:pPr>
            <w:r w:rsidRPr="00A8196B">
              <w:rPr>
                <w:b/>
                <w:color w:val="000000"/>
                <w:sz w:val="20"/>
                <w:szCs w:val="20"/>
              </w:rPr>
              <w:t>1.87</w:t>
            </w:r>
          </w:p>
        </w:tc>
      </w:tr>
      <w:tr w14:paraId="12F1E900" w14:textId="77777777" w:rsidTr="0049163D">
        <w:tblPrEx>
          <w:tblW w:w="5000" w:type="pct"/>
          <w:tblLook w:val="01E0"/>
        </w:tblPrEx>
        <w:trPr>
          <w:cantSplit/>
        </w:trPr>
        <w:tc>
          <w:tcPr>
            <w:tcW w:w="928" w:type="pct"/>
            <w:tcBorders>
              <w:top w:val="single" w:sz="4" w:space="0" w:color="auto"/>
              <w:left w:val="single" w:sz="4" w:space="0" w:color="auto"/>
              <w:bottom w:val="single" w:sz="4" w:space="0" w:color="auto"/>
              <w:right w:val="single" w:sz="4" w:space="0" w:color="auto"/>
            </w:tcBorders>
            <w:hideMark/>
          </w:tcPr>
          <w:p w:rsidR="00CA19A2" w:rsidRPr="00A8196B" w:rsidP="00F05D40" w14:paraId="41C0F9C8" w14:textId="77777777">
            <w:pPr>
              <w:widowControl w:val="0"/>
              <w:spacing w:after="0" w:line="240" w:lineRule="auto"/>
              <w:ind w:right="-108"/>
              <w:rPr>
                <w:sz w:val="20"/>
                <w:szCs w:val="20"/>
              </w:rPr>
            </w:pPr>
            <w:r w:rsidRPr="00A8196B">
              <w:rPr>
                <w:sz w:val="20"/>
                <w:szCs w:val="20"/>
              </w:rPr>
              <w:t>Preparation, submission, and recordkeeping for SNUN</w:t>
            </w:r>
          </w:p>
        </w:tc>
        <w:tc>
          <w:tcPr>
            <w:tcW w:w="898" w:type="pct"/>
            <w:tcBorders>
              <w:top w:val="single" w:sz="4" w:space="0" w:color="auto"/>
              <w:left w:val="single" w:sz="4" w:space="0" w:color="auto"/>
              <w:bottom w:val="single" w:sz="4" w:space="0" w:color="auto"/>
              <w:right w:val="single" w:sz="4" w:space="0" w:color="auto"/>
            </w:tcBorders>
          </w:tcPr>
          <w:p w:rsidR="00CA19A2" w:rsidRPr="00A8196B" w:rsidP="00F05D40" w14:paraId="233B57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sz w:val="20"/>
                <w:szCs w:val="20"/>
              </w:rPr>
            </w:pPr>
            <w:r w:rsidRPr="00A8196B">
              <w:rPr>
                <w:color w:val="000000"/>
                <w:sz w:val="20"/>
                <w:szCs w:val="20"/>
              </w:rPr>
              <w:t>14.01</w:t>
            </w:r>
          </w:p>
        </w:tc>
        <w:tc>
          <w:tcPr>
            <w:tcW w:w="849" w:type="pct"/>
            <w:gridSpan w:val="2"/>
            <w:tcBorders>
              <w:top w:val="single" w:sz="4" w:space="0" w:color="auto"/>
              <w:left w:val="single" w:sz="4" w:space="0" w:color="auto"/>
              <w:bottom w:val="single" w:sz="4" w:space="0" w:color="auto"/>
              <w:right w:val="single" w:sz="4" w:space="0" w:color="auto"/>
            </w:tcBorders>
            <w:hideMark/>
          </w:tcPr>
          <w:p w:rsidR="00CA19A2" w:rsidRPr="00A8196B" w:rsidP="00F05D40" w14:paraId="36AB08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sz w:val="20"/>
                <w:szCs w:val="20"/>
              </w:rPr>
            </w:pPr>
            <w:r w:rsidRPr="00A8196B">
              <w:rPr>
                <w:color w:val="000000"/>
                <w:sz w:val="20"/>
                <w:szCs w:val="20"/>
              </w:rPr>
              <w:t>0.21</w:t>
            </w:r>
          </w:p>
        </w:tc>
        <w:tc>
          <w:tcPr>
            <w:tcW w:w="784" w:type="pct"/>
            <w:gridSpan w:val="2"/>
            <w:tcBorders>
              <w:top w:val="single" w:sz="4" w:space="0" w:color="auto"/>
              <w:left w:val="single" w:sz="4" w:space="0" w:color="auto"/>
              <w:bottom w:val="single" w:sz="4" w:space="0" w:color="auto"/>
              <w:right w:val="single" w:sz="4" w:space="0" w:color="auto"/>
            </w:tcBorders>
          </w:tcPr>
          <w:p w:rsidR="00CA19A2" w:rsidRPr="00A8196B" w:rsidP="00F05D40" w14:paraId="5A6C72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sz w:val="20"/>
                <w:szCs w:val="20"/>
              </w:rPr>
            </w:pPr>
            <w:r w:rsidRPr="00A8196B">
              <w:rPr>
                <w:color w:val="000000"/>
                <w:sz w:val="20"/>
                <w:szCs w:val="20"/>
              </w:rPr>
              <w:t>2.94</w:t>
            </w:r>
          </w:p>
        </w:tc>
        <w:tc>
          <w:tcPr>
            <w:tcW w:w="690" w:type="pct"/>
            <w:gridSpan w:val="2"/>
            <w:tcBorders>
              <w:top w:val="single" w:sz="4" w:space="0" w:color="auto"/>
              <w:left w:val="single" w:sz="4" w:space="0" w:color="auto"/>
              <w:bottom w:val="single" w:sz="4" w:space="0" w:color="auto"/>
              <w:right w:val="single" w:sz="4" w:space="0" w:color="auto"/>
            </w:tcBorders>
            <w:hideMark/>
          </w:tcPr>
          <w:p w:rsidR="00CA19A2" w:rsidRPr="00A8196B" w:rsidP="00F05D40" w14:paraId="0D72C5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sz w:val="20"/>
                <w:szCs w:val="20"/>
              </w:rPr>
            </w:pPr>
            <w:r w:rsidRPr="00A8196B">
              <w:rPr>
                <w:color w:val="000000"/>
                <w:sz w:val="20"/>
                <w:szCs w:val="20"/>
              </w:rPr>
              <w:t>91.68</w:t>
            </w:r>
          </w:p>
        </w:tc>
        <w:tc>
          <w:tcPr>
            <w:tcW w:w="851" w:type="pct"/>
            <w:tcBorders>
              <w:top w:val="single" w:sz="4" w:space="0" w:color="auto"/>
              <w:left w:val="single" w:sz="4" w:space="0" w:color="auto"/>
              <w:bottom w:val="single" w:sz="4" w:space="0" w:color="auto"/>
              <w:right w:val="single" w:sz="4" w:space="0" w:color="auto"/>
            </w:tcBorders>
            <w:hideMark/>
          </w:tcPr>
          <w:p w:rsidR="00CA19A2" w:rsidRPr="00A8196B" w:rsidP="00F05D40" w14:paraId="0716DB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b/>
                <w:sz w:val="20"/>
                <w:szCs w:val="20"/>
              </w:rPr>
            </w:pPr>
            <w:r w:rsidRPr="00A8196B">
              <w:rPr>
                <w:b/>
                <w:color w:val="000000"/>
                <w:sz w:val="20"/>
                <w:szCs w:val="20"/>
              </w:rPr>
              <w:t>269.74</w:t>
            </w:r>
          </w:p>
        </w:tc>
      </w:tr>
      <w:tr w14:paraId="0A34A4D2" w14:textId="77777777" w:rsidTr="003C2282">
        <w:tblPrEx>
          <w:tblW w:w="5000" w:type="pct"/>
          <w:tblLook w:val="01E0"/>
        </w:tblPrEx>
        <w:trPr>
          <w:cantSplit/>
        </w:trPr>
        <w:tc>
          <w:tcPr>
            <w:tcW w:w="4149" w:type="pct"/>
            <w:gridSpan w:val="8"/>
            <w:tcBorders>
              <w:top w:val="single" w:sz="4" w:space="0" w:color="auto"/>
              <w:left w:val="single" w:sz="4" w:space="0" w:color="auto"/>
              <w:bottom w:val="single" w:sz="4" w:space="0" w:color="auto"/>
              <w:right w:val="single" w:sz="4" w:space="0" w:color="auto"/>
            </w:tcBorders>
          </w:tcPr>
          <w:p w:rsidR="003C2282" w:rsidRPr="00A8196B" w:rsidP="00F05D40" w14:paraId="255A2F64" w14:textId="2F1EA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b/>
                <w:bCs/>
                <w:i/>
                <w:iCs/>
                <w:color w:val="000000"/>
                <w:sz w:val="20"/>
                <w:szCs w:val="20"/>
              </w:rPr>
            </w:pPr>
            <w:r w:rsidRPr="00A8196B">
              <w:rPr>
                <w:b/>
                <w:bCs/>
                <w:i/>
                <w:iCs/>
                <w:color w:val="000000"/>
                <w:sz w:val="20"/>
                <w:szCs w:val="20"/>
              </w:rPr>
              <w:t>Subtotal</w:t>
            </w:r>
          </w:p>
        </w:tc>
        <w:tc>
          <w:tcPr>
            <w:tcW w:w="851" w:type="pct"/>
            <w:tcBorders>
              <w:top w:val="single" w:sz="4" w:space="0" w:color="auto"/>
              <w:left w:val="single" w:sz="4" w:space="0" w:color="auto"/>
              <w:bottom w:val="single" w:sz="4" w:space="0" w:color="auto"/>
              <w:right w:val="single" w:sz="4" w:space="0" w:color="auto"/>
            </w:tcBorders>
          </w:tcPr>
          <w:p w:rsidR="003C2282" w:rsidRPr="00A8196B" w:rsidP="00F05D40" w14:paraId="0FD8C61B" w14:textId="0D06BD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b/>
                <w:color w:val="000000"/>
                <w:sz w:val="20"/>
                <w:szCs w:val="20"/>
              </w:rPr>
            </w:pPr>
            <w:r w:rsidRPr="00A8196B">
              <w:rPr>
                <w:b/>
                <w:color w:val="000000"/>
                <w:sz w:val="20"/>
                <w:szCs w:val="20"/>
              </w:rPr>
              <w:t>359.64</w:t>
            </w:r>
          </w:p>
        </w:tc>
      </w:tr>
      <w:tr w14:paraId="20D5D6E9" w14:textId="77777777" w:rsidTr="00F05D40">
        <w:tblPrEx>
          <w:tblW w:w="5000" w:type="pct"/>
          <w:tblLook w:val="01E0"/>
        </w:tblPrEx>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CA19A2" w:rsidRPr="00A8196B" w:rsidP="00F05D40" w14:paraId="658455A0" w14:textId="251B6369">
            <w:pPr>
              <w:widowControl w:val="0"/>
              <w:spacing w:after="0" w:line="240" w:lineRule="auto"/>
              <w:jc w:val="center"/>
              <w:rPr>
                <w:b/>
                <w:sz w:val="20"/>
                <w:szCs w:val="20"/>
              </w:rPr>
            </w:pPr>
            <w:r w:rsidRPr="00A8196B">
              <w:rPr>
                <w:b/>
                <w:i/>
                <w:color w:val="000000"/>
                <w:sz w:val="20"/>
                <w:szCs w:val="20"/>
              </w:rPr>
              <w:t>Per SNUR Activities</w:t>
            </w:r>
          </w:p>
        </w:tc>
      </w:tr>
      <w:tr w14:paraId="5D45090C" w14:textId="77777777" w:rsidTr="0049163D">
        <w:tblPrEx>
          <w:tblW w:w="5000" w:type="pct"/>
          <w:tblLook w:val="01E0"/>
        </w:tblPrEx>
        <w:trPr>
          <w:cantSplit/>
        </w:trPr>
        <w:tc>
          <w:tcPr>
            <w:tcW w:w="928" w:type="pct"/>
            <w:tcBorders>
              <w:top w:val="single" w:sz="4" w:space="0" w:color="auto"/>
              <w:left w:val="single" w:sz="4" w:space="0" w:color="auto"/>
              <w:bottom w:val="single" w:sz="4" w:space="0" w:color="auto"/>
              <w:right w:val="single" w:sz="4" w:space="0" w:color="auto"/>
            </w:tcBorders>
          </w:tcPr>
          <w:p w:rsidR="00CA19A2" w:rsidRPr="00A8196B" w:rsidP="00F05D40" w14:paraId="46A25ED1" w14:textId="77777777">
            <w:pPr>
              <w:widowControl w:val="0"/>
              <w:spacing w:after="0" w:line="240" w:lineRule="auto"/>
              <w:ind w:right="-108"/>
              <w:rPr>
                <w:color w:val="000000"/>
                <w:sz w:val="20"/>
                <w:szCs w:val="20"/>
              </w:rPr>
            </w:pPr>
            <w:r w:rsidRPr="00A8196B">
              <w:rPr>
                <w:color w:val="000000"/>
                <w:sz w:val="20"/>
                <w:szCs w:val="20"/>
              </w:rPr>
              <w:t>Chemical verification</w:t>
            </w:r>
          </w:p>
        </w:tc>
        <w:tc>
          <w:tcPr>
            <w:tcW w:w="898" w:type="pct"/>
            <w:tcBorders>
              <w:top w:val="single" w:sz="4" w:space="0" w:color="auto"/>
              <w:left w:val="single" w:sz="4" w:space="0" w:color="auto"/>
              <w:bottom w:val="single" w:sz="4" w:space="0" w:color="auto"/>
              <w:right w:val="single" w:sz="4" w:space="0" w:color="auto"/>
            </w:tcBorders>
          </w:tcPr>
          <w:p w:rsidR="00CA19A2" w:rsidRPr="00A8196B" w:rsidP="00F05D40" w14:paraId="5E1C5E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6</w:t>
            </w:r>
          </w:p>
        </w:tc>
        <w:tc>
          <w:tcPr>
            <w:tcW w:w="849" w:type="pct"/>
            <w:gridSpan w:val="2"/>
            <w:tcBorders>
              <w:top w:val="single" w:sz="4" w:space="0" w:color="auto"/>
              <w:left w:val="single" w:sz="4" w:space="0" w:color="auto"/>
              <w:bottom w:val="single" w:sz="4" w:space="0" w:color="auto"/>
              <w:right w:val="single" w:sz="4" w:space="0" w:color="auto"/>
            </w:tcBorders>
          </w:tcPr>
          <w:p w:rsidR="00CA19A2" w:rsidRPr="00A8196B" w:rsidP="00F05D40" w14:paraId="0159A84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1</w:t>
            </w:r>
          </w:p>
        </w:tc>
        <w:tc>
          <w:tcPr>
            <w:tcW w:w="784" w:type="pct"/>
            <w:gridSpan w:val="2"/>
            <w:tcBorders>
              <w:top w:val="single" w:sz="4" w:space="0" w:color="auto"/>
              <w:left w:val="single" w:sz="4" w:space="0" w:color="auto"/>
              <w:bottom w:val="single" w:sz="4" w:space="0" w:color="auto"/>
              <w:right w:val="single" w:sz="4" w:space="0" w:color="auto"/>
            </w:tcBorders>
          </w:tcPr>
          <w:p w:rsidR="00CA19A2" w:rsidRPr="00A8196B" w:rsidP="00F05D40" w14:paraId="679987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6</w:t>
            </w:r>
          </w:p>
        </w:tc>
        <w:tc>
          <w:tcPr>
            <w:tcW w:w="690" w:type="pct"/>
            <w:gridSpan w:val="2"/>
            <w:tcBorders>
              <w:top w:val="single" w:sz="4" w:space="0" w:color="auto"/>
              <w:left w:val="single" w:sz="4" w:space="0" w:color="auto"/>
              <w:bottom w:val="single" w:sz="4" w:space="0" w:color="auto"/>
              <w:right w:val="single" w:sz="4" w:space="0" w:color="auto"/>
            </w:tcBorders>
          </w:tcPr>
          <w:p w:rsidR="00CA19A2" w:rsidRPr="00A8196B" w:rsidP="00F05D40" w14:paraId="07F046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1.14</w:t>
            </w:r>
          </w:p>
        </w:tc>
        <w:tc>
          <w:tcPr>
            <w:tcW w:w="851" w:type="pct"/>
            <w:tcBorders>
              <w:top w:val="single" w:sz="4" w:space="0" w:color="auto"/>
              <w:left w:val="single" w:sz="4" w:space="0" w:color="auto"/>
              <w:bottom w:val="single" w:sz="4" w:space="0" w:color="auto"/>
              <w:right w:val="single" w:sz="4" w:space="0" w:color="auto"/>
            </w:tcBorders>
          </w:tcPr>
          <w:p w:rsidR="00CA19A2" w:rsidRPr="00A8196B" w:rsidP="00F05D40" w14:paraId="27C575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b/>
                <w:color w:val="000000"/>
                <w:sz w:val="20"/>
                <w:szCs w:val="20"/>
              </w:rPr>
            </w:pPr>
            <w:r w:rsidRPr="00A8196B">
              <w:rPr>
                <w:b/>
                <w:color w:val="000000"/>
                <w:sz w:val="20"/>
                <w:szCs w:val="20"/>
              </w:rPr>
              <w:t>6.83</w:t>
            </w:r>
          </w:p>
        </w:tc>
      </w:tr>
      <w:tr w14:paraId="1E2CE881" w14:textId="77777777" w:rsidTr="0049163D">
        <w:tblPrEx>
          <w:tblW w:w="5000" w:type="pct"/>
          <w:tblLook w:val="01E0"/>
        </w:tblPrEx>
        <w:trPr>
          <w:cantSplit/>
        </w:trPr>
        <w:tc>
          <w:tcPr>
            <w:tcW w:w="928" w:type="pct"/>
            <w:tcBorders>
              <w:top w:val="single" w:sz="4" w:space="0" w:color="auto"/>
              <w:left w:val="single" w:sz="4" w:space="0" w:color="auto"/>
              <w:bottom w:val="single" w:sz="4" w:space="0" w:color="auto"/>
              <w:right w:val="single" w:sz="4" w:space="0" w:color="auto"/>
            </w:tcBorders>
          </w:tcPr>
          <w:p w:rsidR="00CA19A2" w:rsidRPr="00A8196B" w:rsidP="00F05D40" w14:paraId="3C78E774" w14:textId="77777777">
            <w:pPr>
              <w:widowControl w:val="0"/>
              <w:spacing w:after="0" w:line="240" w:lineRule="auto"/>
              <w:ind w:right="-108"/>
              <w:rPr>
                <w:sz w:val="20"/>
                <w:szCs w:val="20"/>
              </w:rPr>
            </w:pPr>
            <w:r w:rsidRPr="00A8196B">
              <w:rPr>
                <w:color w:val="000000"/>
                <w:sz w:val="20"/>
                <w:szCs w:val="20"/>
              </w:rPr>
              <w:t>Notifying customers (per SNUR)</w:t>
            </w:r>
          </w:p>
        </w:tc>
        <w:tc>
          <w:tcPr>
            <w:tcW w:w="898" w:type="pct"/>
            <w:tcBorders>
              <w:top w:val="single" w:sz="4" w:space="0" w:color="auto"/>
              <w:left w:val="single" w:sz="4" w:space="0" w:color="auto"/>
              <w:bottom w:val="single" w:sz="4" w:space="0" w:color="auto"/>
              <w:right w:val="single" w:sz="4" w:space="0" w:color="auto"/>
            </w:tcBorders>
          </w:tcPr>
          <w:p w:rsidR="00CA19A2" w:rsidRPr="00A8196B" w:rsidP="00F05D40" w14:paraId="05541B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14.01</w:t>
            </w:r>
          </w:p>
        </w:tc>
        <w:tc>
          <w:tcPr>
            <w:tcW w:w="849" w:type="pct"/>
            <w:gridSpan w:val="2"/>
            <w:tcBorders>
              <w:top w:val="single" w:sz="4" w:space="0" w:color="auto"/>
              <w:left w:val="single" w:sz="4" w:space="0" w:color="auto"/>
              <w:bottom w:val="single" w:sz="4" w:space="0" w:color="auto"/>
              <w:right w:val="single" w:sz="4" w:space="0" w:color="auto"/>
            </w:tcBorders>
          </w:tcPr>
          <w:p w:rsidR="00CA19A2" w:rsidRPr="00A8196B" w:rsidP="00F05D40" w14:paraId="06B630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2</w:t>
            </w:r>
          </w:p>
        </w:tc>
        <w:tc>
          <w:tcPr>
            <w:tcW w:w="784" w:type="pct"/>
            <w:gridSpan w:val="2"/>
            <w:tcBorders>
              <w:top w:val="single" w:sz="4" w:space="0" w:color="auto"/>
              <w:left w:val="single" w:sz="4" w:space="0" w:color="auto"/>
              <w:bottom w:val="single" w:sz="4" w:space="0" w:color="auto"/>
              <w:right w:val="single" w:sz="4" w:space="0" w:color="auto"/>
            </w:tcBorders>
          </w:tcPr>
          <w:p w:rsidR="00CA19A2" w:rsidRPr="00A8196B" w:rsidP="00F05D40" w14:paraId="166B01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28.02</w:t>
            </w:r>
          </w:p>
        </w:tc>
        <w:tc>
          <w:tcPr>
            <w:tcW w:w="690" w:type="pct"/>
            <w:gridSpan w:val="2"/>
            <w:tcBorders>
              <w:top w:val="single" w:sz="4" w:space="0" w:color="auto"/>
              <w:left w:val="single" w:sz="4" w:space="0" w:color="auto"/>
              <w:bottom w:val="single" w:sz="4" w:space="0" w:color="auto"/>
              <w:right w:val="single" w:sz="4" w:space="0" w:color="auto"/>
            </w:tcBorders>
          </w:tcPr>
          <w:p w:rsidR="00CA19A2" w:rsidRPr="00A8196B" w:rsidP="00F05D40" w14:paraId="2223C7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color w:val="000000"/>
                <w:sz w:val="20"/>
                <w:szCs w:val="20"/>
              </w:rPr>
            </w:pPr>
            <w:r w:rsidRPr="00A8196B">
              <w:rPr>
                <w:color w:val="000000"/>
                <w:sz w:val="20"/>
                <w:szCs w:val="20"/>
              </w:rPr>
              <w:t>13.67</w:t>
            </w:r>
          </w:p>
        </w:tc>
        <w:tc>
          <w:tcPr>
            <w:tcW w:w="851" w:type="pct"/>
            <w:tcBorders>
              <w:top w:val="single" w:sz="4" w:space="0" w:color="auto"/>
              <w:left w:val="single" w:sz="4" w:space="0" w:color="auto"/>
              <w:bottom w:val="single" w:sz="4" w:space="0" w:color="auto"/>
              <w:right w:val="single" w:sz="4" w:space="0" w:color="auto"/>
            </w:tcBorders>
          </w:tcPr>
          <w:p w:rsidR="00CA19A2" w:rsidRPr="00A8196B" w:rsidP="00F05D40" w14:paraId="51B815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b/>
                <w:color w:val="000000"/>
                <w:sz w:val="20"/>
                <w:szCs w:val="20"/>
              </w:rPr>
            </w:pPr>
            <w:r w:rsidRPr="00A8196B">
              <w:rPr>
                <w:b/>
                <w:color w:val="000000"/>
                <w:sz w:val="20"/>
                <w:szCs w:val="20"/>
              </w:rPr>
              <w:t>382.94</w:t>
            </w:r>
          </w:p>
        </w:tc>
      </w:tr>
      <w:tr w14:paraId="29FB0986" w14:textId="77777777" w:rsidTr="003C2282">
        <w:tblPrEx>
          <w:tblW w:w="5000" w:type="pct"/>
          <w:tblLook w:val="01E0"/>
        </w:tblPrEx>
        <w:trPr>
          <w:cantSplit/>
        </w:trPr>
        <w:tc>
          <w:tcPr>
            <w:tcW w:w="4149" w:type="pct"/>
            <w:gridSpan w:val="8"/>
            <w:tcBorders>
              <w:top w:val="single" w:sz="4" w:space="0" w:color="auto"/>
              <w:left w:val="single" w:sz="4" w:space="0" w:color="auto"/>
              <w:bottom w:val="single" w:sz="4" w:space="0" w:color="auto"/>
              <w:right w:val="single" w:sz="4" w:space="0" w:color="auto"/>
            </w:tcBorders>
          </w:tcPr>
          <w:p w:rsidR="003C2282" w:rsidRPr="00A8196B" w:rsidP="00F05D40" w14:paraId="61A0A1B0" w14:textId="682ADC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b/>
                <w:bCs/>
                <w:i/>
                <w:iCs/>
                <w:color w:val="000000"/>
                <w:sz w:val="20"/>
                <w:szCs w:val="20"/>
              </w:rPr>
            </w:pPr>
            <w:r w:rsidRPr="00A8196B">
              <w:rPr>
                <w:b/>
                <w:bCs/>
                <w:i/>
                <w:iCs/>
                <w:color w:val="000000"/>
                <w:sz w:val="20"/>
                <w:szCs w:val="20"/>
              </w:rPr>
              <w:t>Subtotal</w:t>
            </w:r>
          </w:p>
        </w:tc>
        <w:tc>
          <w:tcPr>
            <w:tcW w:w="851" w:type="pct"/>
            <w:tcBorders>
              <w:top w:val="single" w:sz="4" w:space="0" w:color="auto"/>
              <w:left w:val="single" w:sz="4" w:space="0" w:color="auto"/>
              <w:bottom w:val="single" w:sz="4" w:space="0" w:color="auto"/>
              <w:right w:val="single" w:sz="4" w:space="0" w:color="auto"/>
            </w:tcBorders>
          </w:tcPr>
          <w:p w:rsidR="003C2282" w:rsidRPr="00A8196B" w:rsidP="00F05D40" w14:paraId="6A67C4F0" w14:textId="42EC56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b/>
                <w:color w:val="000000"/>
                <w:sz w:val="20"/>
                <w:szCs w:val="20"/>
              </w:rPr>
            </w:pPr>
            <w:r w:rsidRPr="00A8196B">
              <w:rPr>
                <w:b/>
                <w:color w:val="000000"/>
                <w:sz w:val="20"/>
                <w:szCs w:val="20"/>
              </w:rPr>
              <w:t>389.77</w:t>
            </w:r>
          </w:p>
        </w:tc>
      </w:tr>
      <w:tr w14:paraId="5C5284CE" w14:textId="77777777" w:rsidTr="00F05D40">
        <w:tblPrEx>
          <w:tblW w:w="5000" w:type="pct"/>
          <w:tblLook w:val="01E0"/>
        </w:tblPrEx>
        <w:trPr>
          <w:cantSplit/>
        </w:trPr>
        <w:tc>
          <w:tcPr>
            <w:tcW w:w="4149" w:type="pct"/>
            <w:gridSpan w:val="8"/>
            <w:tcBorders>
              <w:top w:val="single" w:sz="4" w:space="0" w:color="auto"/>
              <w:left w:val="single" w:sz="4" w:space="0" w:color="auto"/>
              <w:bottom w:val="single" w:sz="4" w:space="0" w:color="auto"/>
              <w:right w:val="single" w:sz="4" w:space="0" w:color="auto"/>
            </w:tcBorders>
          </w:tcPr>
          <w:p w:rsidR="00CA19A2" w:rsidRPr="00A8196B" w:rsidP="00F05D40" w14:paraId="3BE06F6F" w14:textId="77777777">
            <w:pPr>
              <w:widowControl w:val="0"/>
              <w:spacing w:after="0" w:line="240" w:lineRule="auto"/>
              <w:jc w:val="center"/>
              <w:rPr>
                <w:b/>
                <w:i/>
                <w:color w:val="000000"/>
                <w:sz w:val="20"/>
                <w:szCs w:val="20"/>
              </w:rPr>
            </w:pPr>
            <w:r w:rsidRPr="00A8196B">
              <w:rPr>
                <w:b/>
                <w:i/>
                <w:color w:val="000000"/>
                <w:sz w:val="20"/>
                <w:szCs w:val="20"/>
              </w:rPr>
              <w:t>Total</w:t>
            </w:r>
          </w:p>
        </w:tc>
        <w:tc>
          <w:tcPr>
            <w:tcW w:w="851" w:type="pct"/>
            <w:tcBorders>
              <w:top w:val="single" w:sz="4" w:space="0" w:color="auto"/>
              <w:left w:val="single" w:sz="4" w:space="0" w:color="auto"/>
              <w:bottom w:val="single" w:sz="4" w:space="0" w:color="auto"/>
              <w:right w:val="single" w:sz="4" w:space="0" w:color="auto"/>
            </w:tcBorders>
          </w:tcPr>
          <w:p w:rsidR="00CA19A2" w:rsidRPr="00A8196B" w:rsidP="00F05D40" w14:paraId="2C1FD59C" w14:textId="77777777">
            <w:pPr>
              <w:widowControl w:val="0"/>
              <w:spacing w:after="0" w:line="240" w:lineRule="auto"/>
              <w:jc w:val="center"/>
              <w:rPr>
                <w:b/>
                <w:color w:val="000000"/>
                <w:sz w:val="20"/>
                <w:szCs w:val="20"/>
              </w:rPr>
            </w:pPr>
            <w:r w:rsidRPr="00A8196B">
              <w:rPr>
                <w:b/>
                <w:color w:val="000000"/>
                <w:sz w:val="20"/>
                <w:szCs w:val="20"/>
              </w:rPr>
              <w:t>749.41</w:t>
            </w:r>
          </w:p>
        </w:tc>
      </w:tr>
    </w:tbl>
    <w:p w:rsidR="00FB2F60" w:rsidRPr="00A8196B" w:rsidP="009B2563" w14:paraId="6C5A0F96" w14:textId="260DB625">
      <w:pPr>
        <w:pStyle w:val="BodyTextFirstIndent"/>
        <w:spacing w:after="200" w:line="276" w:lineRule="auto"/>
      </w:pPr>
      <w:r w:rsidRPr="00A8196B">
        <w:rPr>
          <w:sz w:val="18"/>
          <w:szCs w:val="18"/>
        </w:rPr>
        <w:t>Some burden estimate totals may not calculate due to rounding of unit burden estimates</w:t>
      </w:r>
    </w:p>
    <w:p w:rsidR="003C2C15" w:rsidRPr="00A8196B" w:rsidP="009B2563" w14:paraId="3AE27C23" w14:textId="56F21FCA">
      <w:pPr>
        <w:pStyle w:val="BodyTextFirstIndent"/>
        <w:spacing w:after="200" w:line="276" w:lineRule="auto"/>
      </w:pPr>
      <w:r w:rsidRPr="00A8196B">
        <w:t xml:space="preserve">This analysis covers submissions of </w:t>
      </w:r>
      <w:r w:rsidRPr="00A8196B">
        <w:rPr>
          <w:bCs/>
        </w:rPr>
        <w:t>PMNs</w:t>
      </w:r>
      <w:r w:rsidRPr="00A8196B">
        <w:t xml:space="preserve">, </w:t>
      </w:r>
      <w:r w:rsidRPr="00A8196B">
        <w:rPr>
          <w:bCs/>
        </w:rPr>
        <w:t>SNUNs</w:t>
      </w:r>
      <w:r w:rsidRPr="00A8196B">
        <w:t xml:space="preserve">, </w:t>
      </w:r>
      <w:r w:rsidRPr="00A8196B">
        <w:rPr>
          <w:bCs/>
        </w:rPr>
        <w:t>MCANs</w:t>
      </w:r>
      <w:r w:rsidRPr="00A8196B">
        <w:t xml:space="preserve">, and associated exemption applications: </w:t>
      </w:r>
      <w:r w:rsidRPr="00A8196B">
        <w:rPr>
          <w:bCs/>
        </w:rPr>
        <w:t>TME</w:t>
      </w:r>
      <w:r w:rsidRPr="00A8196B">
        <w:t xml:space="preserve">, R&amp;D, </w:t>
      </w:r>
      <w:r w:rsidRPr="00A8196B">
        <w:rPr>
          <w:bCs/>
        </w:rPr>
        <w:t>LVE</w:t>
      </w:r>
      <w:r w:rsidRPr="00A8196B">
        <w:t>/</w:t>
      </w:r>
      <w:r w:rsidRPr="00A8196B">
        <w:rPr>
          <w:bCs/>
        </w:rPr>
        <w:t>LoREX</w:t>
      </w:r>
      <w:r w:rsidRPr="00A8196B">
        <w:t xml:space="preserve">, instant photographic film articles, </w:t>
      </w:r>
      <w:r w:rsidRPr="00A8196B">
        <w:rPr>
          <w:bCs/>
        </w:rPr>
        <w:t>TERAs</w:t>
      </w:r>
      <w:r w:rsidRPr="00A8196B">
        <w:t xml:space="preserve">, and </w:t>
      </w:r>
      <w:r w:rsidRPr="00A8196B">
        <w:rPr>
          <w:bCs/>
        </w:rPr>
        <w:t>Tier I</w:t>
      </w:r>
      <w:r w:rsidRPr="00A8196B">
        <w:rPr>
          <w:b/>
          <w:bCs/>
        </w:rPr>
        <w:t xml:space="preserve"> </w:t>
      </w:r>
      <w:r w:rsidRPr="00A8196B">
        <w:rPr>
          <w:bCs/>
        </w:rPr>
        <w:t>and</w:t>
      </w:r>
      <w:r w:rsidRPr="00A8196B">
        <w:rPr>
          <w:b/>
          <w:bCs/>
        </w:rPr>
        <w:t xml:space="preserve"> </w:t>
      </w:r>
      <w:r w:rsidRPr="00A8196B">
        <w:rPr>
          <w:bCs/>
        </w:rPr>
        <w:t>II</w:t>
      </w:r>
      <w:r w:rsidRPr="00A8196B">
        <w:t xml:space="preserve"> exemption applications. It also covers submission of NOCs and </w:t>
      </w:r>
      <w:r w:rsidRPr="00A8196B">
        <w:rPr>
          <w:bCs/>
        </w:rPr>
        <w:t>Bona Fide</w:t>
      </w:r>
      <w:r w:rsidRPr="00A8196B">
        <w:t xml:space="preserve"> notifications, and the burden associated with implementation of </w:t>
      </w:r>
      <w:r w:rsidRPr="00A8196B">
        <w:rPr>
          <w:bCs/>
        </w:rPr>
        <w:t>TSCA section 5(e)</w:t>
      </w:r>
      <w:r w:rsidRPr="00A8196B">
        <w:t xml:space="preserve"> and 5(f) </w:t>
      </w:r>
      <w:r w:rsidRPr="00A8196B">
        <w:rPr>
          <w:bCs/>
        </w:rPr>
        <w:t>consent order restrictions</w:t>
      </w:r>
      <w:r w:rsidRPr="00A8196B">
        <w:t>. Since the last renewal of this ICR, the Frank R. Lautenberg Chemical Safety for the 21</w:t>
      </w:r>
      <w:r w:rsidRPr="00A8196B">
        <w:rPr>
          <w:vertAlign w:val="superscript"/>
        </w:rPr>
        <w:t>st</w:t>
      </w:r>
      <w:r w:rsidRPr="00A8196B">
        <w:t xml:space="preserve"> Century Act, amending TSCA, was signed into law. Manufacturers (including importers) must complete the activities outlined in </w:t>
      </w:r>
      <w:r w:rsidRPr="00A8196B" w:rsidR="00495623">
        <w:t>Table 14</w:t>
      </w:r>
      <w:r w:rsidRPr="00A8196B">
        <w:t xml:space="preserve">. Burden and cost calculations are based on the assumption that EPA will receive approximately </w:t>
      </w:r>
      <w:r w:rsidRPr="00A8196B" w:rsidR="00971648">
        <w:rPr>
          <w:bCs/>
        </w:rPr>
        <w:t>1,343</w:t>
      </w:r>
      <w:r w:rsidRPr="00A8196B">
        <w:t xml:space="preserve"> TSCA section 5 notices each year, based on the average annual number of notices submitted to EPA between Fiscal Year FY 2015 and FY 2017 (except for polymers, which are based on FY 2016 and FY 2017 data) and adjusted for a decrease in the number of PMNs, SNUNs, and MCANs expected to be submitted by Industry as a result of higher fees (83 FR 52694, October 17, 2018; see </w:t>
      </w:r>
      <w:r w:rsidRPr="00A8196B" w:rsidR="00495623">
        <w:t>Table 14</w:t>
      </w:r>
      <w:r w:rsidRPr="00A8196B">
        <w:t xml:space="preserve"> for average number of annual responses). The fees for LVE, LoREX, TME, TERA, Tier II, and photographic film articles similarly increased, but EPA does not anticipate a decrease in these submissions (due to an anticipated shift away from PMNs toward these exemptions).</w:t>
      </w:r>
    </w:p>
    <w:p w:rsidR="003C2C15" w:rsidRPr="00A8196B" w:rsidP="00EF50B4" w14:paraId="1DC1241B" w14:textId="5614CFB9">
      <w:pPr>
        <w:pStyle w:val="Heading2"/>
        <w:ind w:left="0" w:firstLine="0"/>
      </w:pPr>
      <w:r w:rsidRPr="00A8196B">
        <w:tab/>
      </w:r>
      <w:r w:rsidRPr="00A8196B">
        <w:t>Estimating Respondent Burden</w:t>
      </w:r>
    </w:p>
    <w:p w:rsidR="003C2C15" w:rsidRPr="00A8196B" w:rsidP="009B2563" w14:paraId="1592EE09" w14:textId="77777777">
      <w:pPr>
        <w:pStyle w:val="BodyTextFirstIndent"/>
        <w:spacing w:after="200" w:line="276" w:lineRule="auto"/>
      </w:pPr>
      <w:r w:rsidRPr="00A8196B">
        <w:t>The burden to respondents includes: (1) reporting burden for submission of PMNs, SNUNs, MCANs, exemption notices, and implementation of TSCA section 5(e) and 5(f) consent order restrictions such as the use of exposure controls and/or performing toxicity testing; (2) marking any information as confidential and substantiating any claims of confidentiality in a separate statement; (3) recordkeeping burden associated with notice submissions, consent orders, exposure controls and toxicity testing; and (4) burden associated with CDX registration activities.</w:t>
      </w:r>
    </w:p>
    <w:p w:rsidR="003C2C15" w:rsidRPr="00A8196B" w:rsidP="00FB2F60" w14:paraId="40C29B06" w14:textId="638B033C">
      <w:pPr>
        <w:pStyle w:val="Heading3"/>
        <w:numPr>
          <w:ilvl w:val="0"/>
          <w:numId w:val="0"/>
        </w:numPr>
        <w:spacing w:line="276" w:lineRule="auto"/>
        <w:ind w:firstLine="1080"/>
      </w:pPr>
      <w:bookmarkStart w:id="26" w:name="_Ref503336983"/>
      <w:r w:rsidRPr="00A8196B">
        <w:t>Burden Associated with Reporting</w:t>
      </w:r>
      <w:bookmarkEnd w:id="26"/>
    </w:p>
    <w:p w:rsidR="003C2C15" w:rsidRPr="00A8196B" w:rsidP="009B2563" w14:paraId="04C20129" w14:textId="7139678D">
      <w:pPr>
        <w:pStyle w:val="BodyTextFirstIndent"/>
        <w:spacing w:after="200" w:line="276" w:lineRule="auto"/>
      </w:pPr>
      <w:r w:rsidRPr="00A8196B">
        <w:t xml:space="preserve">The total respondent reporting and third-party notification burden associated with this information collection is estimated to total </w:t>
      </w:r>
      <w:r w:rsidRPr="00A8196B" w:rsidR="00971648">
        <w:rPr>
          <w:b/>
        </w:rPr>
        <w:t>13</w:t>
      </w:r>
      <w:r w:rsidR="00B24426">
        <w:rPr>
          <w:b/>
        </w:rPr>
        <w:t>1,2</w:t>
      </w:r>
      <w:r w:rsidR="00A73400">
        <w:rPr>
          <w:b/>
        </w:rPr>
        <w:t>92</w:t>
      </w:r>
      <w:r w:rsidRPr="00A8196B">
        <w:t xml:space="preserve"> hours. This burden estimate is calculated by multiplying the number of each type of notice that EPA expects to receive by the corresponding hours of reporting burden and summing across the notice ty</w:t>
      </w:r>
      <w:r w:rsidRPr="00A8196B" w:rsidR="000D2C3A">
        <w:t>pes</w:t>
      </w:r>
      <w:r w:rsidRPr="00A8196B">
        <w:t>.</w:t>
      </w:r>
    </w:p>
    <w:p w:rsidR="003C2C15" w:rsidRPr="00A8196B" w:rsidP="009B2563" w14:paraId="74218306" w14:textId="36A0A79C">
      <w:pPr>
        <w:pStyle w:val="BodyTextFirstIndent"/>
        <w:spacing w:after="200" w:line="276" w:lineRule="auto"/>
        <w:rPr>
          <w:bCs/>
          <w:iCs/>
        </w:rPr>
      </w:pPr>
      <w:bookmarkStart w:id="27" w:name="_Hlk529996057"/>
      <w:r w:rsidRPr="00A8196B">
        <w:rPr>
          <w:u w:val="single"/>
        </w:rPr>
        <w:t>Number of Notices</w:t>
      </w:r>
      <w:r w:rsidRPr="00A8196B">
        <w:rPr>
          <w:b/>
          <w:bCs/>
          <w:i/>
          <w:iCs/>
        </w:rPr>
        <w:t xml:space="preserve">. </w:t>
      </w:r>
      <w:r w:rsidRPr="00A8196B">
        <w:t>The number of notices expected to be submitted annually for each of the submission types is found in</w:t>
      </w:r>
      <w:r w:rsidRPr="00A8196B" w:rsidR="00495623">
        <w:t xml:space="preserve"> Table 14</w:t>
      </w:r>
      <w:r w:rsidRPr="00A8196B">
        <w:t>. Expected numbers are mostly based on the average number of submissions EPA received between FY 20</w:t>
      </w:r>
      <w:r w:rsidRPr="00A8196B" w:rsidR="002A5BE1">
        <w:t>19</w:t>
      </w:r>
      <w:r w:rsidRPr="00A8196B">
        <w:t xml:space="preserve"> and FY 20</w:t>
      </w:r>
      <w:r w:rsidRPr="00A8196B" w:rsidR="002A5BE1">
        <w:t>21</w:t>
      </w:r>
      <w:r w:rsidRPr="00A8196B">
        <w:t xml:space="preserve"> rounded up to the nearest whole number. The number of post manufacture reports claiming the polymer exemptions are expected to be submitted for approximately 119 chemicals each year, based on FY 20</w:t>
      </w:r>
      <w:r w:rsidRPr="00A8196B" w:rsidR="002A5BE1">
        <w:t>19</w:t>
      </w:r>
      <w:r w:rsidRPr="00A8196B">
        <w:t>-F</w:t>
      </w:r>
      <w:r w:rsidRPr="00A8196B" w:rsidR="00751FE3">
        <w:t>0</w:t>
      </w:r>
      <w:r w:rsidRPr="00A8196B">
        <w:t>Y 20</w:t>
      </w:r>
      <w:r w:rsidRPr="00A8196B" w:rsidR="002A5BE1">
        <w:t>21</w:t>
      </w:r>
      <w:r w:rsidRPr="00A8196B">
        <w:t xml:space="preserve"> data. For R&amp;D exemptions, firms are not required to submit any data to EPA to meet the exemption requirements; however, they must meet certain procedural requirements. EPA maintains the estimate from the previous ICR and assumes that approximately 200 chemicals will meet the requirements for the R&amp;D exemption each year. Additionally, EPA has not received any Instant Photographic Film Articles notifications in many years, but maintains a count of 1 notification per year for analytical purposes.</w:t>
      </w:r>
      <w:r w:rsidRPr="00A8196B">
        <w:t xml:space="preserve"> </w:t>
      </w:r>
      <w:bookmarkEnd w:id="27"/>
      <w:r w:rsidRPr="00A8196B">
        <w:rPr>
          <w:bCs/>
          <w:iCs/>
        </w:rPr>
        <w:t xml:space="preserve">The number of and basis for each type of notice is presented in </w:t>
      </w:r>
      <w:r w:rsidRPr="00A8196B" w:rsidR="00D03962">
        <w:rPr>
          <w:bCs/>
          <w:iCs/>
        </w:rPr>
        <w:t xml:space="preserve">Table 14. </w:t>
      </w:r>
    </w:p>
    <w:p w:rsidR="008308F1" w:rsidRPr="00A8196B" w:rsidP="008C16F4" w14:paraId="0CE21564" w14:textId="52CC18B3">
      <w:pPr>
        <w:pStyle w:val="Caption"/>
      </w:pPr>
      <w:r w:rsidRPr="00A8196B">
        <w:t xml:space="preserve">Table 14: </w:t>
      </w:r>
      <w:r w:rsidRPr="00A8196B">
        <w:t xml:space="preserve">Types of Notices and </w:t>
      </w:r>
      <w:r w:rsidR="002C4970">
        <w:t xml:space="preserve">Baseline </w:t>
      </w:r>
      <w:r w:rsidRPr="00A8196B">
        <w:t>Average Responses</w:t>
      </w:r>
    </w:p>
    <w:tbl>
      <w:tblPr>
        <w:tblW w:w="5000" w:type="pct"/>
        <w:tblLayout w:type="fixed"/>
        <w:tblCellMar>
          <w:left w:w="58" w:type="dxa"/>
          <w:right w:w="58" w:type="dxa"/>
        </w:tblCellMar>
        <w:tblLook w:val="04A0"/>
      </w:tblPr>
      <w:tblGrid>
        <w:gridCol w:w="3866"/>
        <w:gridCol w:w="1871"/>
        <w:gridCol w:w="3595"/>
      </w:tblGrid>
      <w:tr w14:paraId="0C978AF8" w14:textId="77777777" w:rsidTr="000C606B">
        <w:tblPrEx>
          <w:tblW w:w="5000" w:type="pct"/>
          <w:tblLayout w:type="fixed"/>
          <w:tblCellMar>
            <w:left w:w="58" w:type="dxa"/>
            <w:right w:w="58" w:type="dxa"/>
          </w:tblCellMar>
          <w:tblLook w:val="04A0"/>
        </w:tblPrEx>
        <w:trPr>
          <w:tblHeader/>
        </w:trPr>
        <w:tc>
          <w:tcPr>
            <w:tcW w:w="3866" w:type="dxa"/>
            <w:tcBorders>
              <w:top w:val="double" w:sz="6" w:space="0" w:color="auto"/>
              <w:left w:val="double" w:sz="6" w:space="0" w:color="auto"/>
              <w:bottom w:val="single" w:sz="4" w:space="0" w:color="auto"/>
              <w:right w:val="single" w:sz="4" w:space="0" w:color="auto"/>
            </w:tcBorders>
            <w:shd w:val="clear" w:color="auto" w:fill="auto"/>
            <w:vAlign w:val="bottom"/>
            <w:hideMark/>
          </w:tcPr>
          <w:p w:rsidR="002A5BE1" w:rsidRPr="00A8196B" w:rsidP="00F05D40" w14:paraId="708E0ECF" w14:textId="77777777">
            <w:pPr>
              <w:spacing w:after="0" w:line="240" w:lineRule="auto"/>
              <w:rPr>
                <w:b/>
                <w:bCs/>
                <w:color w:val="000000"/>
                <w:sz w:val="20"/>
                <w:szCs w:val="20"/>
              </w:rPr>
            </w:pPr>
            <w:r w:rsidRPr="00A8196B">
              <w:rPr>
                <w:b/>
                <w:bCs/>
                <w:color w:val="000000"/>
                <w:sz w:val="20"/>
                <w:szCs w:val="20"/>
              </w:rPr>
              <w:t>Type of Notice</w:t>
            </w:r>
          </w:p>
        </w:tc>
        <w:tc>
          <w:tcPr>
            <w:tcW w:w="1871" w:type="dxa"/>
            <w:tcBorders>
              <w:top w:val="double" w:sz="6" w:space="0" w:color="auto"/>
              <w:left w:val="nil"/>
              <w:bottom w:val="single" w:sz="4" w:space="0" w:color="auto"/>
              <w:right w:val="single" w:sz="4" w:space="0" w:color="auto"/>
            </w:tcBorders>
            <w:shd w:val="clear" w:color="auto" w:fill="auto"/>
            <w:vAlign w:val="bottom"/>
            <w:hideMark/>
          </w:tcPr>
          <w:p w:rsidR="002A5BE1" w:rsidRPr="00A8196B" w:rsidP="00F05D40" w14:paraId="14DB1D0E" w14:textId="77777777">
            <w:pPr>
              <w:spacing w:after="0" w:line="240" w:lineRule="auto"/>
              <w:jc w:val="center"/>
              <w:rPr>
                <w:b/>
                <w:bCs/>
                <w:color w:val="000000"/>
                <w:sz w:val="20"/>
                <w:szCs w:val="20"/>
              </w:rPr>
            </w:pPr>
            <w:r w:rsidRPr="00A8196B">
              <w:rPr>
                <w:b/>
                <w:bCs/>
                <w:color w:val="000000"/>
                <w:sz w:val="20"/>
                <w:szCs w:val="20"/>
              </w:rPr>
              <w:t>Average Annual Responses</w:t>
            </w:r>
          </w:p>
        </w:tc>
        <w:tc>
          <w:tcPr>
            <w:tcW w:w="3595" w:type="dxa"/>
            <w:tcBorders>
              <w:top w:val="double" w:sz="6" w:space="0" w:color="auto"/>
              <w:left w:val="nil"/>
              <w:bottom w:val="single" w:sz="4" w:space="0" w:color="auto"/>
              <w:right w:val="single" w:sz="4" w:space="0" w:color="auto"/>
            </w:tcBorders>
            <w:shd w:val="clear" w:color="auto" w:fill="auto"/>
            <w:vAlign w:val="bottom"/>
            <w:hideMark/>
          </w:tcPr>
          <w:p w:rsidR="002A5BE1" w:rsidRPr="00A8196B" w:rsidP="00F05D40" w14:paraId="34F64D52" w14:textId="77777777">
            <w:pPr>
              <w:spacing w:after="0" w:line="240" w:lineRule="auto"/>
              <w:jc w:val="center"/>
              <w:rPr>
                <w:b/>
                <w:bCs/>
                <w:color w:val="000000"/>
                <w:sz w:val="20"/>
                <w:szCs w:val="20"/>
              </w:rPr>
            </w:pPr>
            <w:r w:rsidRPr="00A8196B">
              <w:rPr>
                <w:b/>
                <w:bCs/>
                <w:color w:val="000000"/>
                <w:sz w:val="20"/>
                <w:szCs w:val="20"/>
              </w:rPr>
              <w:t>Basis</w:t>
            </w:r>
            <w:r w:rsidRPr="00A8196B">
              <w:rPr>
                <w:b/>
                <w:bCs/>
                <w:color w:val="000000"/>
                <w:sz w:val="20"/>
                <w:szCs w:val="20"/>
                <w:vertAlign w:val="superscript"/>
              </w:rPr>
              <w:t>1</w:t>
            </w:r>
          </w:p>
        </w:tc>
      </w:tr>
      <w:tr w14:paraId="4DD054AD"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2CBAF11C" w14:textId="77777777">
            <w:pPr>
              <w:spacing w:after="0" w:line="240" w:lineRule="auto"/>
              <w:rPr>
                <w:color w:val="000000"/>
                <w:sz w:val="20"/>
                <w:szCs w:val="20"/>
              </w:rPr>
            </w:pPr>
            <w:r w:rsidRPr="00A8196B">
              <w:rPr>
                <w:color w:val="000000"/>
                <w:sz w:val="20"/>
                <w:szCs w:val="20"/>
              </w:rPr>
              <w:t>PMN</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1AC08EAC" w14:textId="6957E364">
            <w:pPr>
              <w:spacing w:after="0" w:line="240" w:lineRule="auto"/>
              <w:jc w:val="center"/>
              <w:rPr>
                <w:color w:val="000000"/>
                <w:sz w:val="20"/>
                <w:szCs w:val="20"/>
              </w:rPr>
            </w:pPr>
            <w:r w:rsidRPr="00A8196B">
              <w:rPr>
                <w:color w:val="000000"/>
                <w:sz w:val="20"/>
                <w:szCs w:val="20"/>
              </w:rPr>
              <w:t>289</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82E2B9B" w14:textId="6BBB50D6">
            <w:pPr>
              <w:spacing w:after="0" w:line="240" w:lineRule="auto"/>
              <w:jc w:val="center"/>
              <w:rPr>
                <w:color w:val="000000"/>
                <w:sz w:val="20"/>
                <w:szCs w:val="20"/>
              </w:rPr>
            </w:pPr>
            <w:r w:rsidRPr="00A8196B">
              <w:rPr>
                <w:color w:val="000000"/>
                <w:sz w:val="20"/>
                <w:szCs w:val="20"/>
              </w:rPr>
              <w:t>FY 2019-FY2021</w:t>
            </w:r>
          </w:p>
        </w:tc>
      </w:tr>
      <w:tr w14:paraId="2F3CA736"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4C4D563A" w14:textId="77777777">
            <w:pPr>
              <w:spacing w:after="0" w:line="240" w:lineRule="auto"/>
              <w:rPr>
                <w:color w:val="000000"/>
                <w:sz w:val="20"/>
                <w:szCs w:val="20"/>
              </w:rPr>
            </w:pPr>
            <w:r w:rsidRPr="00A8196B">
              <w:rPr>
                <w:color w:val="000000"/>
                <w:sz w:val="20"/>
                <w:szCs w:val="20"/>
              </w:rPr>
              <w:t>SNUN</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DF1BFB1" w14:textId="0C1915F6">
            <w:pPr>
              <w:spacing w:after="0" w:line="240" w:lineRule="auto"/>
              <w:jc w:val="center"/>
              <w:rPr>
                <w:color w:val="000000"/>
                <w:sz w:val="20"/>
                <w:szCs w:val="20"/>
              </w:rPr>
            </w:pPr>
            <w:r w:rsidRPr="00A8196B">
              <w:rPr>
                <w:color w:val="000000"/>
                <w:sz w:val="20"/>
                <w:szCs w:val="20"/>
              </w:rPr>
              <w:t>13</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E53D439" w14:textId="396C275B">
            <w:pPr>
              <w:spacing w:after="0" w:line="240" w:lineRule="auto"/>
              <w:jc w:val="center"/>
              <w:rPr>
                <w:color w:val="000000"/>
                <w:sz w:val="20"/>
                <w:szCs w:val="20"/>
              </w:rPr>
            </w:pPr>
            <w:r w:rsidRPr="00A8196B">
              <w:rPr>
                <w:color w:val="000000"/>
                <w:sz w:val="20"/>
                <w:szCs w:val="20"/>
              </w:rPr>
              <w:t>FY 2019-FY2021</w:t>
            </w:r>
          </w:p>
        </w:tc>
      </w:tr>
      <w:tr w14:paraId="416299E6"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44E79989" w14:textId="77777777">
            <w:pPr>
              <w:spacing w:after="0" w:line="240" w:lineRule="auto"/>
              <w:rPr>
                <w:color w:val="000000"/>
                <w:sz w:val="20"/>
                <w:szCs w:val="20"/>
              </w:rPr>
            </w:pPr>
            <w:r w:rsidRPr="00A8196B">
              <w:rPr>
                <w:color w:val="000000"/>
                <w:sz w:val="20"/>
                <w:szCs w:val="20"/>
              </w:rPr>
              <w:t>MCAN</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3F9F6BA" w14:textId="052E8F40">
            <w:pPr>
              <w:spacing w:after="0" w:line="240" w:lineRule="auto"/>
              <w:jc w:val="center"/>
              <w:rPr>
                <w:color w:val="000000"/>
                <w:sz w:val="20"/>
                <w:szCs w:val="20"/>
              </w:rPr>
            </w:pPr>
            <w:r w:rsidRPr="00A8196B">
              <w:rPr>
                <w:color w:val="000000"/>
                <w:sz w:val="20"/>
                <w:szCs w:val="20"/>
              </w:rPr>
              <w:t>14</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277AE030" w14:textId="663A3EC6">
            <w:pPr>
              <w:spacing w:after="0" w:line="240" w:lineRule="auto"/>
              <w:jc w:val="center"/>
              <w:rPr>
                <w:color w:val="000000"/>
                <w:sz w:val="20"/>
                <w:szCs w:val="20"/>
              </w:rPr>
            </w:pPr>
            <w:r w:rsidRPr="00A8196B">
              <w:rPr>
                <w:color w:val="000000"/>
                <w:sz w:val="20"/>
                <w:szCs w:val="20"/>
              </w:rPr>
              <w:t>FY 2019-FY2021</w:t>
            </w:r>
          </w:p>
        </w:tc>
      </w:tr>
      <w:tr w14:paraId="4487EBFE" w14:textId="77777777" w:rsidTr="001B4C90">
        <w:tblPrEx>
          <w:tblW w:w="5000" w:type="pct"/>
          <w:tblLayout w:type="fixed"/>
          <w:tblCellMar>
            <w:left w:w="58" w:type="dxa"/>
            <w:right w:w="58" w:type="dxa"/>
          </w:tblCellMar>
          <w:tblLook w:val="04A0"/>
        </w:tblPrEx>
        <w:tc>
          <w:tcPr>
            <w:tcW w:w="9332" w:type="dxa"/>
            <w:gridSpan w:val="3"/>
            <w:tcBorders>
              <w:top w:val="single" w:sz="4" w:space="0" w:color="auto"/>
              <w:left w:val="double" w:sz="6" w:space="0" w:color="auto"/>
              <w:bottom w:val="single" w:sz="4" w:space="0" w:color="auto"/>
              <w:right w:val="single" w:sz="4" w:space="0" w:color="auto"/>
            </w:tcBorders>
            <w:shd w:val="clear" w:color="auto" w:fill="auto"/>
          </w:tcPr>
          <w:p w:rsidR="00AC5A42" w:rsidRPr="00A8196B" w:rsidP="00F05D40" w14:paraId="5AA34481" w14:textId="50DB4CCD">
            <w:pPr>
              <w:spacing w:after="0" w:line="240" w:lineRule="auto"/>
              <w:rPr>
                <w:color w:val="000000"/>
                <w:sz w:val="20"/>
                <w:szCs w:val="20"/>
              </w:rPr>
            </w:pPr>
            <w:r w:rsidRPr="00A8196B">
              <w:rPr>
                <w:i/>
                <w:color w:val="000000"/>
                <w:sz w:val="20"/>
                <w:szCs w:val="20"/>
              </w:rPr>
              <w:t xml:space="preserve">Exemptions </w:t>
            </w:r>
          </w:p>
        </w:tc>
      </w:tr>
      <w:tr w14:paraId="2A68F317"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3791F50" w14:textId="5493940D">
            <w:pPr>
              <w:spacing w:after="0" w:line="240" w:lineRule="auto"/>
              <w:ind w:left="480" w:leftChars="200"/>
              <w:rPr>
                <w:color w:val="000000"/>
                <w:sz w:val="20"/>
                <w:szCs w:val="20"/>
              </w:rPr>
            </w:pPr>
            <w:r w:rsidRPr="00A8196B">
              <w:rPr>
                <w:color w:val="000000"/>
                <w:sz w:val="20"/>
                <w:szCs w:val="20"/>
              </w:rPr>
              <w:t>TME</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8B32F69" w14:textId="715D81FE">
            <w:pPr>
              <w:spacing w:after="0" w:line="240" w:lineRule="auto"/>
              <w:jc w:val="center"/>
              <w:rPr>
                <w:color w:val="000000"/>
                <w:sz w:val="20"/>
                <w:szCs w:val="20"/>
              </w:rPr>
            </w:pPr>
            <w:r w:rsidRPr="00A8196B">
              <w:rPr>
                <w:color w:val="000000"/>
                <w:sz w:val="20"/>
                <w:szCs w:val="20"/>
              </w:rPr>
              <w:t>0</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D2E7F9F" w14:textId="50C12062">
            <w:pPr>
              <w:spacing w:after="0" w:line="240" w:lineRule="auto"/>
              <w:jc w:val="center"/>
              <w:rPr>
                <w:color w:val="000000"/>
                <w:sz w:val="20"/>
                <w:szCs w:val="20"/>
              </w:rPr>
            </w:pPr>
            <w:r w:rsidRPr="00A8196B">
              <w:rPr>
                <w:color w:val="000000"/>
                <w:sz w:val="20"/>
                <w:szCs w:val="20"/>
              </w:rPr>
              <w:t>FY 2019-FY2021</w:t>
            </w:r>
          </w:p>
        </w:tc>
      </w:tr>
      <w:tr w14:paraId="6522B044"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17427899" w14:textId="77777777">
            <w:pPr>
              <w:spacing w:after="0" w:line="240" w:lineRule="auto"/>
              <w:ind w:left="480" w:leftChars="200"/>
              <w:rPr>
                <w:color w:val="000000"/>
                <w:sz w:val="20"/>
                <w:szCs w:val="20"/>
              </w:rPr>
            </w:pPr>
            <w:r w:rsidRPr="00A8196B">
              <w:rPr>
                <w:color w:val="000000"/>
                <w:sz w:val="20"/>
                <w:szCs w:val="20"/>
              </w:rPr>
              <w:t>LVE/LoREX</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C1944BF" w14:textId="1C042313">
            <w:pPr>
              <w:spacing w:after="0" w:line="240" w:lineRule="auto"/>
              <w:jc w:val="center"/>
              <w:rPr>
                <w:color w:val="000000"/>
                <w:sz w:val="20"/>
                <w:szCs w:val="20"/>
              </w:rPr>
            </w:pPr>
            <w:r w:rsidRPr="00A8196B">
              <w:rPr>
                <w:color w:val="000000"/>
                <w:sz w:val="20"/>
                <w:szCs w:val="20"/>
              </w:rPr>
              <w:t>305</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206F31F3" w14:textId="65C250B7">
            <w:pPr>
              <w:spacing w:after="0" w:line="240" w:lineRule="auto"/>
              <w:jc w:val="center"/>
              <w:rPr>
                <w:color w:val="000000"/>
                <w:sz w:val="20"/>
                <w:szCs w:val="20"/>
              </w:rPr>
            </w:pPr>
            <w:r w:rsidRPr="00A8196B">
              <w:rPr>
                <w:color w:val="000000"/>
                <w:sz w:val="20"/>
                <w:szCs w:val="20"/>
              </w:rPr>
              <w:t>FY 2019-FY2021</w:t>
            </w:r>
          </w:p>
        </w:tc>
      </w:tr>
      <w:tr w14:paraId="2808D7A1"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ED0FE49" w14:textId="77777777">
            <w:pPr>
              <w:spacing w:after="0" w:line="240" w:lineRule="auto"/>
              <w:ind w:left="480" w:leftChars="200"/>
              <w:rPr>
                <w:color w:val="000000"/>
                <w:sz w:val="20"/>
                <w:szCs w:val="20"/>
              </w:rPr>
            </w:pPr>
            <w:r w:rsidRPr="00A8196B">
              <w:rPr>
                <w:color w:val="000000"/>
                <w:sz w:val="20"/>
                <w:szCs w:val="20"/>
              </w:rPr>
              <w:t>TERA</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32B831B4" w14:textId="77777777">
            <w:pPr>
              <w:spacing w:after="0" w:line="240" w:lineRule="auto"/>
              <w:jc w:val="center"/>
              <w:rPr>
                <w:color w:val="000000"/>
                <w:sz w:val="20"/>
                <w:szCs w:val="20"/>
              </w:rPr>
            </w:pPr>
            <w:r w:rsidRPr="00A8196B">
              <w:rPr>
                <w:color w:val="000000"/>
                <w:sz w:val="20"/>
                <w:szCs w:val="20"/>
              </w:rPr>
              <w:t>2</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F57918B" w14:textId="6A9F5AE3">
            <w:pPr>
              <w:spacing w:after="0" w:line="240" w:lineRule="auto"/>
              <w:jc w:val="center"/>
              <w:rPr>
                <w:color w:val="000000"/>
                <w:sz w:val="20"/>
                <w:szCs w:val="20"/>
              </w:rPr>
            </w:pPr>
            <w:r w:rsidRPr="00A8196B">
              <w:rPr>
                <w:color w:val="000000"/>
                <w:sz w:val="20"/>
                <w:szCs w:val="20"/>
              </w:rPr>
              <w:t>FY 2019-FY2021</w:t>
            </w:r>
          </w:p>
        </w:tc>
      </w:tr>
      <w:tr w14:paraId="3D588C5C"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6450D02" w14:textId="77777777">
            <w:pPr>
              <w:spacing w:after="0" w:line="240" w:lineRule="auto"/>
              <w:ind w:left="480" w:leftChars="200"/>
              <w:rPr>
                <w:color w:val="000000"/>
                <w:sz w:val="20"/>
                <w:szCs w:val="20"/>
              </w:rPr>
            </w:pPr>
            <w:r w:rsidRPr="00A8196B">
              <w:rPr>
                <w:color w:val="000000"/>
                <w:sz w:val="20"/>
                <w:szCs w:val="20"/>
              </w:rPr>
              <w:t>Tier I</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210F78B" w14:textId="7E6EB192">
            <w:pPr>
              <w:spacing w:after="0" w:line="240" w:lineRule="auto"/>
              <w:jc w:val="center"/>
              <w:rPr>
                <w:color w:val="000000"/>
                <w:sz w:val="20"/>
                <w:szCs w:val="20"/>
              </w:rPr>
            </w:pPr>
            <w:r w:rsidRPr="00A8196B">
              <w:rPr>
                <w:color w:val="000000"/>
                <w:sz w:val="20"/>
                <w:szCs w:val="20"/>
              </w:rPr>
              <w:t>4</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FF56609" w14:textId="779F1896">
            <w:pPr>
              <w:spacing w:after="0" w:line="240" w:lineRule="auto"/>
              <w:jc w:val="center"/>
              <w:rPr>
                <w:color w:val="000000"/>
                <w:sz w:val="20"/>
                <w:szCs w:val="20"/>
              </w:rPr>
            </w:pPr>
            <w:r w:rsidRPr="00A8196B">
              <w:rPr>
                <w:color w:val="000000"/>
                <w:sz w:val="20"/>
                <w:szCs w:val="20"/>
              </w:rPr>
              <w:t>FY 2019-FY2021</w:t>
            </w:r>
          </w:p>
        </w:tc>
      </w:tr>
      <w:tr w14:paraId="5FAE28A8"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090D711A" w14:textId="77777777">
            <w:pPr>
              <w:spacing w:after="0" w:line="240" w:lineRule="auto"/>
              <w:ind w:left="480" w:leftChars="200"/>
              <w:rPr>
                <w:color w:val="000000"/>
                <w:sz w:val="20"/>
                <w:szCs w:val="20"/>
              </w:rPr>
            </w:pPr>
            <w:r w:rsidRPr="00A8196B">
              <w:rPr>
                <w:color w:val="000000"/>
                <w:sz w:val="20"/>
                <w:szCs w:val="20"/>
              </w:rPr>
              <w:t>Tier II</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3B8B774" w14:textId="2D7F17B9">
            <w:pPr>
              <w:spacing w:after="0" w:line="240" w:lineRule="auto"/>
              <w:jc w:val="center"/>
              <w:rPr>
                <w:color w:val="000000"/>
                <w:sz w:val="20"/>
                <w:szCs w:val="20"/>
              </w:rPr>
            </w:pPr>
            <w:r w:rsidRPr="00A8196B">
              <w:rPr>
                <w:color w:val="000000"/>
                <w:sz w:val="20"/>
                <w:szCs w:val="20"/>
              </w:rPr>
              <w:t>1</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062C225" w14:textId="7FBDD6F7">
            <w:pPr>
              <w:spacing w:after="0" w:line="240" w:lineRule="auto"/>
              <w:jc w:val="center"/>
              <w:rPr>
                <w:color w:val="000000"/>
                <w:sz w:val="20"/>
                <w:szCs w:val="20"/>
              </w:rPr>
            </w:pPr>
            <w:r w:rsidRPr="00A8196B">
              <w:rPr>
                <w:color w:val="000000"/>
                <w:sz w:val="20"/>
                <w:szCs w:val="20"/>
              </w:rPr>
              <w:t>FY 2019-FY2021</w:t>
            </w:r>
          </w:p>
        </w:tc>
      </w:tr>
      <w:tr w14:paraId="79204A89"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375A94B7" w14:textId="77777777">
            <w:pPr>
              <w:spacing w:after="0" w:line="240" w:lineRule="auto"/>
              <w:ind w:left="480" w:leftChars="200"/>
              <w:rPr>
                <w:color w:val="000000"/>
                <w:sz w:val="20"/>
                <w:szCs w:val="20"/>
              </w:rPr>
            </w:pPr>
            <w:r w:rsidRPr="00A8196B">
              <w:rPr>
                <w:color w:val="000000"/>
                <w:sz w:val="20"/>
                <w:szCs w:val="20"/>
              </w:rPr>
              <w:t>Polymer</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29080899" w14:textId="30ECBBDD">
            <w:pPr>
              <w:spacing w:after="0" w:line="240" w:lineRule="auto"/>
              <w:jc w:val="center"/>
              <w:rPr>
                <w:color w:val="000000"/>
                <w:sz w:val="20"/>
                <w:szCs w:val="20"/>
              </w:rPr>
            </w:pPr>
            <w:r w:rsidRPr="00A8196B">
              <w:rPr>
                <w:color w:val="000000"/>
                <w:sz w:val="20"/>
                <w:szCs w:val="20"/>
              </w:rPr>
              <w:t>109</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343EA070" w14:textId="04EFEA20">
            <w:pPr>
              <w:spacing w:after="0" w:line="240" w:lineRule="auto"/>
              <w:jc w:val="center"/>
              <w:rPr>
                <w:color w:val="000000"/>
                <w:sz w:val="20"/>
                <w:szCs w:val="20"/>
              </w:rPr>
            </w:pPr>
            <w:r w:rsidRPr="00A8196B">
              <w:rPr>
                <w:color w:val="000000"/>
                <w:sz w:val="20"/>
                <w:szCs w:val="20"/>
              </w:rPr>
              <w:t>FY 2019-FY2021</w:t>
            </w:r>
          </w:p>
        </w:tc>
      </w:tr>
      <w:tr w14:paraId="58F7CCA5"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66D86027" w14:textId="77777777">
            <w:pPr>
              <w:spacing w:after="0" w:line="240" w:lineRule="auto"/>
              <w:ind w:left="480" w:leftChars="200"/>
              <w:rPr>
                <w:color w:val="000000"/>
                <w:sz w:val="20"/>
                <w:szCs w:val="20"/>
              </w:rPr>
            </w:pPr>
            <w:r w:rsidRPr="00A8196B">
              <w:rPr>
                <w:color w:val="000000"/>
                <w:sz w:val="20"/>
                <w:szCs w:val="20"/>
              </w:rPr>
              <w:t>Research &amp; Development</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15EDB813" w14:textId="77777777">
            <w:pPr>
              <w:spacing w:after="0" w:line="240" w:lineRule="auto"/>
              <w:jc w:val="center"/>
              <w:rPr>
                <w:color w:val="000000"/>
                <w:sz w:val="20"/>
                <w:szCs w:val="20"/>
              </w:rPr>
            </w:pPr>
            <w:r w:rsidRPr="00A8196B">
              <w:rPr>
                <w:color w:val="000000"/>
                <w:sz w:val="20"/>
                <w:szCs w:val="20"/>
              </w:rPr>
              <w:t>200</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BBB66B3" w14:textId="77777777">
            <w:pPr>
              <w:spacing w:after="0" w:line="240" w:lineRule="auto"/>
              <w:jc w:val="center"/>
              <w:rPr>
                <w:color w:val="000000"/>
                <w:sz w:val="20"/>
                <w:szCs w:val="20"/>
              </w:rPr>
            </w:pPr>
            <w:r w:rsidRPr="00A8196B">
              <w:rPr>
                <w:color w:val="000000"/>
                <w:sz w:val="20"/>
                <w:szCs w:val="20"/>
              </w:rPr>
              <w:t>EPA’s best professional judgement</w:t>
            </w:r>
          </w:p>
        </w:tc>
      </w:tr>
      <w:tr w14:paraId="04AF48FC"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3572AFC8" w14:textId="77777777">
            <w:pPr>
              <w:spacing w:after="0" w:line="240" w:lineRule="auto"/>
              <w:ind w:left="480" w:leftChars="200"/>
              <w:rPr>
                <w:color w:val="000000"/>
                <w:sz w:val="20"/>
                <w:szCs w:val="20"/>
              </w:rPr>
            </w:pPr>
            <w:r w:rsidRPr="00A8196B">
              <w:rPr>
                <w:color w:val="000000"/>
                <w:sz w:val="20"/>
                <w:szCs w:val="20"/>
              </w:rPr>
              <w:t>Instant Photographic Film Articles</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BCE5D55" w14:textId="77777777">
            <w:pPr>
              <w:spacing w:after="0" w:line="240" w:lineRule="auto"/>
              <w:jc w:val="center"/>
              <w:rPr>
                <w:color w:val="000000"/>
                <w:sz w:val="20"/>
                <w:szCs w:val="20"/>
              </w:rPr>
            </w:pPr>
            <w:r w:rsidRPr="00A8196B">
              <w:rPr>
                <w:color w:val="000000"/>
                <w:sz w:val="20"/>
                <w:szCs w:val="20"/>
              </w:rPr>
              <w:t>1</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6DF38E9" w14:textId="77777777">
            <w:pPr>
              <w:spacing w:after="0" w:line="240" w:lineRule="auto"/>
              <w:jc w:val="center"/>
              <w:rPr>
                <w:color w:val="000000"/>
                <w:sz w:val="20"/>
                <w:szCs w:val="20"/>
              </w:rPr>
            </w:pPr>
            <w:r w:rsidRPr="00A8196B">
              <w:rPr>
                <w:color w:val="000000"/>
                <w:sz w:val="20"/>
                <w:szCs w:val="20"/>
              </w:rPr>
              <w:t>EPA’s best professional judgement</w:t>
            </w:r>
          </w:p>
        </w:tc>
      </w:tr>
      <w:tr w14:paraId="4B14E955"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538F9129" w14:textId="77777777">
            <w:pPr>
              <w:spacing w:after="0" w:line="240" w:lineRule="auto"/>
              <w:rPr>
                <w:color w:val="000000"/>
                <w:sz w:val="20"/>
                <w:szCs w:val="20"/>
              </w:rPr>
            </w:pPr>
            <w:r w:rsidRPr="00A8196B">
              <w:rPr>
                <w:color w:val="000000"/>
                <w:sz w:val="20"/>
                <w:szCs w:val="20"/>
              </w:rPr>
              <w:t>Bona Fide</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5C0B2C7" w14:textId="02F58321">
            <w:pPr>
              <w:spacing w:after="0" w:line="240" w:lineRule="auto"/>
              <w:jc w:val="center"/>
              <w:rPr>
                <w:color w:val="000000"/>
                <w:sz w:val="20"/>
                <w:szCs w:val="20"/>
              </w:rPr>
            </w:pPr>
            <w:r w:rsidRPr="00A8196B">
              <w:rPr>
                <w:color w:val="000000"/>
                <w:sz w:val="20"/>
                <w:szCs w:val="20"/>
              </w:rPr>
              <w:t>183</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C9750D1" w14:textId="1FB430A1">
            <w:pPr>
              <w:spacing w:after="0" w:line="240" w:lineRule="auto"/>
              <w:jc w:val="center"/>
              <w:rPr>
                <w:color w:val="000000"/>
                <w:sz w:val="20"/>
                <w:szCs w:val="20"/>
              </w:rPr>
            </w:pPr>
            <w:r w:rsidRPr="00A8196B">
              <w:rPr>
                <w:color w:val="000000"/>
                <w:sz w:val="20"/>
                <w:szCs w:val="20"/>
              </w:rPr>
              <w:t>FY 2019-FY2021</w:t>
            </w:r>
          </w:p>
        </w:tc>
      </w:tr>
      <w:tr w14:paraId="4798A686"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C483BDD" w14:textId="77777777">
            <w:pPr>
              <w:spacing w:after="0" w:line="240" w:lineRule="auto"/>
              <w:rPr>
                <w:color w:val="000000"/>
                <w:sz w:val="20"/>
                <w:szCs w:val="20"/>
              </w:rPr>
            </w:pPr>
            <w:r w:rsidRPr="00A8196B">
              <w:rPr>
                <w:color w:val="000000"/>
                <w:sz w:val="20"/>
                <w:szCs w:val="20"/>
              </w:rPr>
              <w:t>Section 5(e)/5(f) Order Test</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7A2D9341" w14:textId="5EBA4756">
            <w:pPr>
              <w:spacing w:after="0" w:line="240" w:lineRule="auto"/>
              <w:jc w:val="center"/>
              <w:rPr>
                <w:color w:val="000000"/>
                <w:sz w:val="20"/>
                <w:szCs w:val="20"/>
              </w:rPr>
            </w:pPr>
            <w:r w:rsidRPr="00A8196B">
              <w:rPr>
                <w:color w:val="000000"/>
                <w:sz w:val="20"/>
                <w:szCs w:val="20"/>
              </w:rPr>
              <w:t>20</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1771C20" w14:textId="2B4F9D96">
            <w:pPr>
              <w:spacing w:after="0" w:line="240" w:lineRule="auto"/>
              <w:jc w:val="center"/>
              <w:rPr>
                <w:color w:val="000000"/>
                <w:sz w:val="20"/>
                <w:szCs w:val="20"/>
              </w:rPr>
            </w:pPr>
            <w:r w:rsidRPr="00A8196B">
              <w:rPr>
                <w:color w:val="000000"/>
                <w:sz w:val="20"/>
                <w:szCs w:val="20"/>
              </w:rPr>
              <w:t>FY 2019-FY2021</w:t>
            </w:r>
          </w:p>
        </w:tc>
      </w:tr>
      <w:tr w14:paraId="568D16A0"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46394E0D" w14:textId="77777777">
            <w:pPr>
              <w:spacing w:after="0" w:line="240" w:lineRule="auto"/>
              <w:rPr>
                <w:color w:val="000000"/>
                <w:sz w:val="20"/>
                <w:szCs w:val="20"/>
              </w:rPr>
            </w:pPr>
            <w:r w:rsidRPr="00A8196B">
              <w:rPr>
                <w:color w:val="000000"/>
                <w:sz w:val="20"/>
                <w:szCs w:val="20"/>
              </w:rPr>
              <w:t>Non-Testing Section 5(e)/5(f) Order</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1F742DBA" w14:textId="285D5A30">
            <w:pPr>
              <w:spacing w:after="0" w:line="240" w:lineRule="auto"/>
              <w:jc w:val="center"/>
              <w:rPr>
                <w:color w:val="000000"/>
                <w:sz w:val="20"/>
                <w:szCs w:val="20"/>
              </w:rPr>
            </w:pPr>
            <w:r w:rsidRPr="00A8196B">
              <w:rPr>
                <w:color w:val="000000"/>
                <w:sz w:val="20"/>
                <w:szCs w:val="20"/>
              </w:rPr>
              <w:t>33</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70B0CB7" w14:textId="20599CFC">
            <w:pPr>
              <w:spacing w:after="0" w:line="240" w:lineRule="auto"/>
              <w:jc w:val="center"/>
              <w:rPr>
                <w:color w:val="000000"/>
                <w:sz w:val="20"/>
                <w:szCs w:val="20"/>
              </w:rPr>
            </w:pPr>
            <w:r w:rsidRPr="00A8196B">
              <w:rPr>
                <w:color w:val="000000"/>
                <w:sz w:val="20"/>
                <w:szCs w:val="20"/>
              </w:rPr>
              <w:t>FY 2019-FY2021</w:t>
            </w:r>
          </w:p>
        </w:tc>
      </w:tr>
      <w:tr w14:paraId="43A90AB3"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DA9D03D" w14:textId="77777777">
            <w:pPr>
              <w:spacing w:after="0" w:line="240" w:lineRule="auto"/>
              <w:rPr>
                <w:color w:val="000000"/>
                <w:sz w:val="20"/>
                <w:szCs w:val="20"/>
              </w:rPr>
            </w:pPr>
            <w:r w:rsidRPr="00A8196B">
              <w:rPr>
                <w:color w:val="000000"/>
                <w:sz w:val="20"/>
                <w:szCs w:val="20"/>
              </w:rPr>
              <w:t>NOC</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76A6A560" w14:textId="28E83635">
            <w:pPr>
              <w:spacing w:after="0" w:line="240" w:lineRule="auto"/>
              <w:jc w:val="center"/>
              <w:rPr>
                <w:color w:val="000000"/>
                <w:sz w:val="20"/>
                <w:szCs w:val="20"/>
              </w:rPr>
            </w:pPr>
            <w:r w:rsidRPr="00A8196B">
              <w:rPr>
                <w:color w:val="000000"/>
                <w:sz w:val="20"/>
                <w:szCs w:val="20"/>
              </w:rPr>
              <w:t>169</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72233F65" w14:textId="6F744DBE">
            <w:pPr>
              <w:spacing w:after="0" w:line="240" w:lineRule="auto"/>
              <w:jc w:val="center"/>
              <w:rPr>
                <w:color w:val="000000"/>
                <w:sz w:val="20"/>
                <w:szCs w:val="20"/>
              </w:rPr>
            </w:pPr>
            <w:r w:rsidRPr="00A8196B">
              <w:rPr>
                <w:color w:val="000000"/>
                <w:sz w:val="20"/>
                <w:szCs w:val="20"/>
              </w:rPr>
              <w:t>FY 2019-FY2021</w:t>
            </w:r>
          </w:p>
        </w:tc>
      </w:tr>
      <w:tr w14:paraId="325CD355"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double" w:sz="6" w:space="0" w:color="auto"/>
              <w:right w:val="single" w:sz="4" w:space="0" w:color="auto"/>
            </w:tcBorders>
            <w:shd w:val="clear" w:color="auto" w:fill="auto"/>
            <w:hideMark/>
          </w:tcPr>
          <w:p w:rsidR="002A5BE1" w:rsidRPr="00A8196B" w:rsidP="00F05D40" w14:paraId="470C51CA" w14:textId="77777777">
            <w:pPr>
              <w:spacing w:after="0" w:line="240" w:lineRule="auto"/>
              <w:rPr>
                <w:b/>
                <w:bCs/>
                <w:color w:val="000000"/>
                <w:sz w:val="20"/>
                <w:szCs w:val="20"/>
              </w:rPr>
            </w:pPr>
            <w:r w:rsidRPr="00A8196B">
              <w:rPr>
                <w:b/>
                <w:bCs/>
                <w:color w:val="000000"/>
                <w:sz w:val="20"/>
                <w:szCs w:val="20"/>
              </w:rPr>
              <w:t xml:space="preserve">Total </w:t>
            </w:r>
          </w:p>
        </w:tc>
        <w:tc>
          <w:tcPr>
            <w:tcW w:w="1871" w:type="dxa"/>
            <w:tcBorders>
              <w:top w:val="single" w:sz="4" w:space="0" w:color="auto"/>
              <w:left w:val="nil"/>
              <w:bottom w:val="double" w:sz="6" w:space="0" w:color="auto"/>
              <w:right w:val="single" w:sz="4" w:space="0" w:color="auto"/>
            </w:tcBorders>
            <w:shd w:val="clear" w:color="auto" w:fill="auto"/>
            <w:hideMark/>
          </w:tcPr>
          <w:p w:rsidR="002A5BE1" w:rsidRPr="00A8196B" w:rsidP="00F05D40" w14:paraId="3EAA8747" w14:textId="5BD75E98">
            <w:pPr>
              <w:spacing w:after="0" w:line="240" w:lineRule="auto"/>
              <w:jc w:val="center"/>
              <w:rPr>
                <w:b/>
                <w:bCs/>
                <w:color w:val="000000"/>
                <w:sz w:val="20"/>
                <w:szCs w:val="20"/>
              </w:rPr>
            </w:pPr>
            <w:r w:rsidRPr="00A8196B">
              <w:rPr>
                <w:b/>
                <w:bCs/>
                <w:color w:val="000000"/>
                <w:sz w:val="20"/>
                <w:szCs w:val="20"/>
              </w:rPr>
              <w:t>1,</w:t>
            </w:r>
            <w:r w:rsidRPr="00A8196B" w:rsidR="003079DD">
              <w:rPr>
                <w:b/>
                <w:bCs/>
                <w:color w:val="000000"/>
                <w:sz w:val="20"/>
                <w:szCs w:val="20"/>
              </w:rPr>
              <w:t>343</w:t>
            </w:r>
          </w:p>
        </w:tc>
        <w:tc>
          <w:tcPr>
            <w:tcW w:w="3595" w:type="dxa"/>
            <w:tcBorders>
              <w:top w:val="single" w:sz="4" w:space="0" w:color="auto"/>
              <w:left w:val="nil"/>
              <w:bottom w:val="double" w:sz="6" w:space="0" w:color="auto"/>
              <w:right w:val="single" w:sz="4" w:space="0" w:color="auto"/>
            </w:tcBorders>
            <w:shd w:val="clear" w:color="auto" w:fill="auto"/>
            <w:hideMark/>
          </w:tcPr>
          <w:p w:rsidR="002A5BE1" w:rsidRPr="00A8196B" w:rsidP="00F05D40" w14:paraId="2F1480EA" w14:textId="205C805C">
            <w:pPr>
              <w:spacing w:after="0" w:line="240" w:lineRule="auto"/>
              <w:jc w:val="center"/>
              <w:rPr>
                <w:b/>
                <w:bCs/>
                <w:color w:val="000000"/>
                <w:sz w:val="20"/>
                <w:szCs w:val="20"/>
              </w:rPr>
            </w:pPr>
            <w:r w:rsidRPr="00A8196B">
              <w:rPr>
                <w:b/>
                <w:bCs/>
                <w:color w:val="000000"/>
                <w:sz w:val="20"/>
                <w:szCs w:val="20"/>
              </w:rPr>
              <w:t xml:space="preserve"> </w:t>
            </w:r>
          </w:p>
        </w:tc>
      </w:tr>
    </w:tbl>
    <w:p w:rsidR="00A7023B" w:rsidRPr="00A8196B" w:rsidP="00F05D40" w14:paraId="78A9A78E" w14:textId="4D026387">
      <w:pPr>
        <w:pStyle w:val="BodyTextFirstIndent"/>
        <w:spacing w:before="240" w:after="200" w:line="276" w:lineRule="auto"/>
        <w:rPr>
          <w:b/>
          <w:bCs/>
        </w:rPr>
      </w:pPr>
      <w:r w:rsidRPr="00A8196B">
        <w:rPr>
          <w:b/>
          <w:bCs/>
        </w:rPr>
        <w:tab/>
      </w:r>
      <w:r w:rsidRPr="00A8196B" w:rsidR="003C2C15">
        <w:rPr>
          <w:b/>
          <w:bCs/>
        </w:rPr>
        <w:t>Burden hours</w:t>
      </w:r>
    </w:p>
    <w:p w:rsidR="00A7023B" w:rsidRPr="00A8196B" w:rsidP="009B2563" w14:paraId="29371156" w14:textId="77777777">
      <w:pPr>
        <w:pStyle w:val="BodyTextFirstIndent"/>
        <w:spacing w:after="200" w:line="276" w:lineRule="auto"/>
      </w:pPr>
      <w:r w:rsidRPr="00A8196B">
        <w:t>Burden hours for each type of notice were estimated in previous analyses, beginning with EPA's 1994 Regulatory Impact Analysis of Amendments to Regulations for TSCA section 5 Premanufacture Notifications and 2009 Economic Analysis of the e-PMN final rule.</w:t>
      </w:r>
    </w:p>
    <w:p w:rsidR="00A7023B" w:rsidRPr="00A8196B" w:rsidP="009B2563" w14:paraId="629FF932" w14:textId="77777777">
      <w:pPr>
        <w:pStyle w:val="BodyTextFirstIndent"/>
        <w:spacing w:after="200" w:line="276" w:lineRule="auto"/>
      </w:pPr>
      <w:r w:rsidRPr="00A8196B">
        <w:t>Based on the number of substantive questions and data elements applicable to post-market submissions, and in keeping with the burden estimates developed in EPA’s 2018 Information Collection Request for Chemical Data Reporting, EPA estimates that CBI substantiation will be associated with an additional 16.245 burden hours for each notice.</w:t>
      </w:r>
    </w:p>
    <w:p w:rsidR="003C2C15" w:rsidRPr="00A8196B" w:rsidP="009B2563" w14:paraId="1E879AB2" w14:textId="3CDF6E87">
      <w:pPr>
        <w:pStyle w:val="BodyTextFirstIndent"/>
        <w:spacing w:after="200" w:line="276" w:lineRule="auto"/>
      </w:pPr>
      <w:r w:rsidRPr="00A8196B">
        <w:t>EPA also issued an information document entitled “</w:t>
      </w:r>
      <w:r w:rsidRPr="00A8196B">
        <w:rPr>
          <w:i/>
        </w:rPr>
        <w:t>Points to Consider When Preparing TSCA New Chemical Notifications</w:t>
      </w:r>
      <w:r w:rsidRPr="00A8196B">
        <w:t xml:space="preserve">” </w:t>
      </w:r>
      <w:r w:rsidRPr="00A8196B" w:rsidR="008308F1">
        <w:t xml:space="preserve">(Attachment </w:t>
      </w:r>
      <w:r w:rsidRPr="00A8196B" w:rsidR="000F68A9">
        <w:t xml:space="preserve">5) </w:t>
      </w:r>
      <w:r w:rsidRPr="00A8196B">
        <w:t>to inform and assist submitters planning to prepare PMNs, SNUNs, and exemption applications for Agency review. EPA estimates that it will take submitters 1.4 hours of managerial and technical burden per notice to read through and familiarize themselves with the document. This burden applies to PMN, SNUN, MCAN,</w:t>
      </w:r>
      <w:r w:rsidRPr="00A8196B" w:rsidR="000464AF">
        <w:t xml:space="preserve"> </w:t>
      </w:r>
      <w:r w:rsidRPr="00A8196B" w:rsidR="00AC5A42">
        <w:t>TME,</w:t>
      </w:r>
      <w:r w:rsidRPr="00A8196B">
        <w:t xml:space="preserve"> LVE/LoREX, TERA, and Tier I/Tier II notices. EPA also estimates an additional burden of 10 managerial and technical hours per notice for submitters planning to prepare PMNs.</w:t>
      </w:r>
    </w:p>
    <w:p w:rsidR="003C2C15" w:rsidRPr="00A8196B" w:rsidP="009B2563" w14:paraId="5346530A" w14:textId="127BCB37">
      <w:pPr>
        <w:pStyle w:val="BodyTextFirstIndent"/>
        <w:spacing w:after="200" w:line="276" w:lineRule="auto"/>
      </w:pPr>
      <w:r w:rsidRPr="00A8196B">
        <w:t>This ICR also considers the time and resources expended by submitters of PMNs to undertake pre-notification consultations as well as post-notification communications with EPA. EPA estimates an additional burden of 5 managerial hours and 10 technical hours per PMN for pre-notification consultation. The 10 technical hours is used for review of prenotice submissions across all relevant branches in OPPT and then in consultation with the PMN submitter. The 5 managerial hours consists of facilitating and assigning appropriate professionals to address issues raised in the prenotice materials.  This additional burden is only incurred by some submitters, so this ICR estimates that this burden applies only to 20 percent of PMNs submitted. Similarly, for PMNs in particular, EPA estimates that submitters expend time in engaging in post-notification communications with EPA, consisting of an estimated 97.5 managerial and technical hours.</w:t>
      </w:r>
    </w:p>
    <w:p w:rsidR="003C2C15" w:rsidRPr="00A8196B" w:rsidP="001B4C90" w14:paraId="4BEC7F33" w14:textId="77777777">
      <w:r w:rsidRPr="00A8196B">
        <w:t>These changes and the reporting burden estimates associated with them have been incorporated into this ICR supporting statement.</w:t>
      </w:r>
    </w:p>
    <w:p w:rsidR="003C2C15" w:rsidRPr="00A8196B" w:rsidP="001B4C90" w14:paraId="4AD895D4" w14:textId="70ED47EC">
      <w:r w:rsidRPr="00A8196B">
        <w:t>The burden hours for each type of notice are described below</w:t>
      </w:r>
      <w:r w:rsidRPr="00A8196B" w:rsidR="000D2C3A">
        <w:t>:</w:t>
      </w:r>
    </w:p>
    <w:p w:rsidR="003C2C15" w:rsidRPr="00A8196B" w:rsidP="001B4C90" w14:paraId="71F8B8BC" w14:textId="41978E3A">
      <w:pPr>
        <w:rPr>
          <w:rFonts w:cs="Arial"/>
        </w:rPr>
      </w:pPr>
      <w:r w:rsidRPr="00A8196B">
        <w:rPr>
          <w:i/>
          <w:u w:val="single"/>
        </w:rPr>
        <w:t>PMNs</w:t>
      </w:r>
      <w:r w:rsidRPr="00A8196B">
        <w:t>: The base hours for respondent reporting burden for a full electronic PMN</w:t>
      </w:r>
      <w:r w:rsidRPr="00A8196B" w:rsidR="001B4C90">
        <w:rPr>
          <w:bCs/>
        </w:rPr>
        <w:t xml:space="preserve"> </w:t>
      </w:r>
      <w:r w:rsidRPr="00A8196B">
        <w:t>submission are</w:t>
      </w:r>
      <w:r w:rsidRPr="00A8196B" w:rsidR="000D2C3A">
        <w:t xml:space="preserve"> </w:t>
      </w:r>
      <w:r w:rsidRPr="00A8196B">
        <w:t>expected to average 109.33 respondent burden hours. Additionally,</w:t>
      </w:r>
      <w:r w:rsidRPr="00A8196B" w:rsidR="001B4C90">
        <w:t xml:space="preserve"> </w:t>
      </w:r>
      <w:r w:rsidRPr="00A8196B">
        <w:t>EPA estimates an average of</w:t>
      </w:r>
      <w:r w:rsidRPr="00A8196B" w:rsidR="000D2C3A">
        <w:t xml:space="preserve"> </w:t>
      </w:r>
      <w:r w:rsidRPr="00A8196B">
        <w:t>141.17 additional hours per PMN submission, as</w:t>
      </w:r>
      <w:r w:rsidRPr="00A8196B" w:rsidR="001B4C90">
        <w:t xml:space="preserve"> </w:t>
      </w:r>
      <w:r w:rsidRPr="00A8196B">
        <w:t xml:space="preserve">discussed further in </w:t>
      </w:r>
      <w:r w:rsidRPr="00A8196B" w:rsidR="00495623">
        <w:t>Table 15</w:t>
      </w:r>
      <w:r w:rsidRPr="00A8196B">
        <w:t xml:space="preserve"> below.</w:t>
      </w:r>
      <w:r w:rsidRPr="00A8196B" w:rsidR="00F86157">
        <w:t xml:space="preserve"> </w:t>
      </w:r>
      <w:r w:rsidRPr="00A8196B">
        <w:t>This yields a total of 250.498 hours per</w:t>
      </w:r>
      <w:r w:rsidRPr="00A8196B" w:rsidR="001B4C90">
        <w:t xml:space="preserve"> </w:t>
      </w:r>
      <w:r w:rsidRPr="00A8196B">
        <w:t>PMN.</w:t>
      </w:r>
    </w:p>
    <w:p w:rsidR="003C2C15" w:rsidRPr="00A8196B" w:rsidP="001B4C90" w14:paraId="6DD3F284" w14:textId="13948C7D">
      <w:pPr>
        <w:rPr>
          <w:rFonts w:cs="Arial"/>
        </w:rPr>
      </w:pPr>
      <w:r w:rsidRPr="00A8196B">
        <w:rPr>
          <w:i/>
          <w:u w:val="single"/>
        </w:rPr>
        <w:t>SNUNs, LVEs and LoREXs</w:t>
      </w:r>
      <w:r w:rsidRPr="00A8196B">
        <w:rPr>
          <w:i/>
        </w:rPr>
        <w:t>:</w:t>
      </w:r>
      <w:r w:rsidRPr="00A8196B">
        <w:t xml:space="preserve"> The hours for respondent reporting burden for SNUNs,</w:t>
      </w:r>
      <w:r w:rsidRPr="00A8196B" w:rsidR="001B4C90">
        <w:t xml:space="preserve"> </w:t>
      </w:r>
      <w:r w:rsidRPr="00A8196B">
        <w:t>LVEs, and</w:t>
      </w:r>
      <w:r w:rsidRPr="00A8196B" w:rsidR="00F86157">
        <w:t xml:space="preserve"> </w:t>
      </w:r>
      <w:r w:rsidRPr="00A8196B">
        <w:t>LoREX are expected t</w:t>
      </w:r>
      <w:r w:rsidRPr="001E0714">
        <w:t>o average 109.33 respondent burden hours per notice.</w:t>
      </w:r>
      <w:r w:rsidRPr="00A8196B" w:rsidR="001B4C90">
        <w:t xml:space="preserve"> </w:t>
      </w:r>
      <w:r w:rsidRPr="00A8196B">
        <w:t>The derivation of</w:t>
      </w:r>
      <w:r w:rsidRPr="00A8196B" w:rsidR="00F86157">
        <w:t xml:space="preserve"> </w:t>
      </w:r>
      <w:r w:rsidRPr="00A8196B">
        <w:t>the burden hours for these types of notices (exclusive of the burden</w:t>
      </w:r>
      <w:r w:rsidRPr="00A8196B" w:rsidR="001B4C90">
        <w:t xml:space="preserve"> </w:t>
      </w:r>
      <w:r w:rsidRPr="00A8196B">
        <w:t>hours for CBI substantiation).</w:t>
      </w:r>
    </w:p>
    <w:p w:rsidR="003C2C15" w:rsidRPr="00A8196B" w:rsidP="001B4C90" w14:paraId="770B9348" w14:textId="24C6822B">
      <w:pPr>
        <w:rPr>
          <w:rFonts w:cs="Arial"/>
        </w:rPr>
      </w:pPr>
      <w:r w:rsidRPr="00A8196B">
        <w:rPr>
          <w:i/>
          <w:u w:val="single"/>
        </w:rPr>
        <w:t>MCANs</w:t>
      </w:r>
      <w:r w:rsidRPr="00A8196B">
        <w:rPr>
          <w:rFonts w:cs="Arial"/>
          <w:i/>
        </w:rPr>
        <w:t>:</w:t>
      </w:r>
      <w:r w:rsidRPr="00A8196B">
        <w:rPr>
          <w:rFonts w:cs="Arial"/>
        </w:rPr>
        <w:t xml:space="preserve"> The respondent burden for an </w:t>
      </w:r>
      <w:r w:rsidRPr="00A8196B">
        <w:rPr>
          <w:rFonts w:cs="Arial"/>
          <w:bCs/>
        </w:rPr>
        <w:t>MCAN</w:t>
      </w:r>
      <w:r w:rsidRPr="00A8196B">
        <w:rPr>
          <w:rFonts w:cs="Arial"/>
        </w:rPr>
        <w:t xml:space="preserve"> is estimated to average of 305.85 hours.</w:t>
      </w:r>
    </w:p>
    <w:p w:rsidR="003C2C15" w:rsidRPr="00A8196B" w:rsidP="001B4C90" w14:paraId="2B136B46" w14:textId="49601468">
      <w:pPr>
        <w:rPr>
          <w:rFonts w:cs="Arial"/>
        </w:rPr>
      </w:pPr>
      <w:r w:rsidRPr="00A8196B">
        <w:rPr>
          <w:i/>
          <w:u w:val="single"/>
        </w:rPr>
        <w:t>TERA</w:t>
      </w:r>
      <w:r w:rsidRPr="00A8196B">
        <w:rPr>
          <w:rFonts w:cs="Arial"/>
          <w:i/>
          <w:u w:val="single"/>
        </w:rPr>
        <w:t>s</w:t>
      </w:r>
      <w:r w:rsidRPr="00A8196B">
        <w:rPr>
          <w:rFonts w:cs="Arial"/>
          <w:i/>
        </w:rPr>
        <w:t>:</w:t>
      </w:r>
      <w:r w:rsidRPr="00A8196B">
        <w:rPr>
          <w:rFonts w:cs="Arial"/>
        </w:rPr>
        <w:t xml:space="preserve"> The respondent burden for a </w:t>
      </w:r>
      <w:r w:rsidRPr="00A8196B">
        <w:rPr>
          <w:rFonts w:cs="Arial"/>
          <w:bCs/>
        </w:rPr>
        <w:t>TERA</w:t>
      </w:r>
      <w:r w:rsidRPr="00A8196B">
        <w:rPr>
          <w:rFonts w:cs="Arial"/>
        </w:rPr>
        <w:t xml:space="preserve"> is estimated to average 524.85 hours.</w:t>
      </w:r>
    </w:p>
    <w:p w:rsidR="003C2C15" w:rsidRPr="00A8196B" w:rsidP="001B4C90" w14:paraId="23072C9B" w14:textId="7E226E03">
      <w:pPr>
        <w:rPr>
          <w:rFonts w:cs="Arial"/>
        </w:rPr>
      </w:pPr>
      <w:r w:rsidRPr="00A8196B">
        <w:rPr>
          <w:i/>
          <w:u w:val="single"/>
        </w:rPr>
        <w:t>Tier I or Tier IIs</w:t>
      </w:r>
      <w:r w:rsidRPr="00A8196B">
        <w:t>: The respondent burden for a Tier I or Tier II exemption is estimated to</w:t>
      </w:r>
      <w:r w:rsidRPr="00A8196B" w:rsidR="001B4C90">
        <w:t xml:space="preserve"> </w:t>
      </w:r>
      <w:r w:rsidRPr="00A8196B">
        <w:t>average 127.85 hours.</w:t>
      </w:r>
    </w:p>
    <w:p w:rsidR="003C2C15" w:rsidRPr="00A8196B" w:rsidP="001B4C90" w14:paraId="6546F76B" w14:textId="3166EF31">
      <w:pPr>
        <w:rPr>
          <w:rFonts w:cs="Arial"/>
        </w:rPr>
      </w:pPr>
      <w:r w:rsidRPr="00A8196B">
        <w:rPr>
          <w:i/>
          <w:u w:val="single"/>
        </w:rPr>
        <w:t>Polym</w:t>
      </w:r>
      <w:r w:rsidRPr="00A8196B" w:rsidR="008308F1">
        <w:rPr>
          <w:rFonts w:cs="Arial"/>
          <w:i/>
          <w:u w:val="single"/>
        </w:rPr>
        <w:t>e</w:t>
      </w:r>
      <w:r w:rsidRPr="00A8196B">
        <w:rPr>
          <w:rFonts w:cs="Arial"/>
          <w:i/>
          <w:u w:val="single"/>
        </w:rPr>
        <w:t>r Exemptions</w:t>
      </w:r>
      <w:r w:rsidRPr="00A8196B">
        <w:rPr>
          <w:rFonts w:cs="Arial"/>
          <w:i/>
        </w:rPr>
        <w:t>:</w:t>
      </w:r>
      <w:r w:rsidRPr="00A8196B">
        <w:rPr>
          <w:rFonts w:cs="Arial"/>
        </w:rPr>
        <w:t xml:space="preserve"> The respondent burden for submission of a polymer exemption post-manufacture annual report is estimated to average 18.50 hours.</w:t>
      </w:r>
    </w:p>
    <w:p w:rsidR="003C2C15" w:rsidRPr="00A8196B" w:rsidP="001B4C90" w14:paraId="6E8EBE27" w14:textId="2469E8C1">
      <w:pPr>
        <w:rPr>
          <w:rFonts w:cs="Arial"/>
        </w:rPr>
      </w:pPr>
      <w:r w:rsidRPr="00A8196B">
        <w:rPr>
          <w:i/>
          <w:u w:val="single"/>
        </w:rPr>
        <w:t>R&amp;D Exemptions</w:t>
      </w:r>
      <w:r w:rsidRPr="00A8196B">
        <w:rPr>
          <w:rFonts w:cs="Arial"/>
          <w:i/>
        </w:rPr>
        <w:t>:</w:t>
      </w:r>
      <w:r w:rsidRPr="00A8196B">
        <w:rPr>
          <w:rFonts w:cs="Arial"/>
        </w:rPr>
        <w:t xml:space="preserve"> The respondent burden to meet the procedural requirements for an R&amp;D exemption is estimated to average 18.75 hours.</w:t>
      </w:r>
    </w:p>
    <w:p w:rsidR="003C2C15" w:rsidRPr="00A8196B" w:rsidP="001B4C90" w14:paraId="7521C8CA" w14:textId="078D4F0C">
      <w:pPr>
        <w:rPr>
          <w:rFonts w:cs="Arial"/>
        </w:rPr>
      </w:pPr>
      <w:r w:rsidRPr="00A8196B">
        <w:rPr>
          <w:i/>
          <w:u w:val="single"/>
        </w:rPr>
        <w:t>Instant Photographic Film Article</w:t>
      </w:r>
      <w:r w:rsidRPr="00A8196B">
        <w:rPr>
          <w:rFonts w:cs="Arial"/>
          <w:i/>
        </w:rPr>
        <w:t>:</w:t>
      </w:r>
      <w:r w:rsidRPr="00A8196B">
        <w:rPr>
          <w:rFonts w:cs="Arial"/>
        </w:rPr>
        <w:t xml:space="preserve"> The minimum amount of information that is required to be contained in an exemption notification for instant photographic film articles is the identity of the manufacturer and the new chemical substance. The burden associated with preparing and submitting this type of exemption notification is 16.75 hours.</w:t>
      </w:r>
    </w:p>
    <w:p w:rsidR="001B4C90" w:rsidRPr="00A8196B" w:rsidP="001B4C90" w14:paraId="74AA0FA6" w14:textId="77777777">
      <w:r w:rsidRPr="00A8196B">
        <w:rPr>
          <w:i/>
          <w:u w:val="single"/>
        </w:rPr>
        <w:t>Bona Fides</w:t>
      </w:r>
      <w:r w:rsidRPr="00A8196B">
        <w:rPr>
          <w:i/>
        </w:rPr>
        <w:t xml:space="preserve">: </w:t>
      </w:r>
      <w:r w:rsidRPr="00A8196B">
        <w:t>The respondent burden for submission of a bona fide notice is estimated to</w:t>
      </w:r>
      <w:r w:rsidRPr="00A8196B" w:rsidR="000F68A9">
        <w:t xml:space="preserve"> </w:t>
      </w:r>
      <w:r w:rsidRPr="00A8196B" w:rsidR="00F86157">
        <w:t>a</w:t>
      </w:r>
      <w:r w:rsidRPr="00A8196B">
        <w:t>verage</w:t>
      </w:r>
      <w:r w:rsidRPr="00A8196B" w:rsidR="00F86157">
        <w:t xml:space="preserve"> </w:t>
      </w:r>
      <w:r w:rsidRPr="00A8196B">
        <w:t>32.75 hours.</w:t>
      </w:r>
    </w:p>
    <w:p w:rsidR="003C2C15" w:rsidRPr="00A8196B" w:rsidP="001B4C90" w14:paraId="034507E7" w14:textId="3B273E27">
      <w:pPr>
        <w:rPr>
          <w:rFonts w:cs="Arial"/>
        </w:rPr>
      </w:pPr>
      <w:r w:rsidRPr="00A8196B">
        <w:rPr>
          <w:i/>
          <w:u w:val="single"/>
        </w:rPr>
        <w:t>TSCA section 5(e) and 5(f) Consent Orders</w:t>
      </w:r>
      <w:r w:rsidRPr="00A8196B">
        <w:rPr>
          <w:rFonts w:cs="Arial"/>
          <w:i/>
        </w:rPr>
        <w:t>:</w:t>
      </w:r>
      <w:r w:rsidRPr="00A8196B">
        <w:rPr>
          <w:rFonts w:cs="Arial"/>
        </w:rPr>
        <w:t xml:space="preserve">  The respondent burden for consent orders</w:t>
      </w:r>
      <w:r w:rsidRPr="00A8196B" w:rsidR="008308F1">
        <w:rPr>
          <w:rFonts w:cs="Arial"/>
        </w:rPr>
        <w:t xml:space="preserve"> </w:t>
      </w:r>
      <w:r w:rsidRPr="00A8196B" w:rsidR="00F86157">
        <w:rPr>
          <w:rFonts w:cs="Arial"/>
        </w:rPr>
        <w:t>r</w:t>
      </w:r>
      <w:r w:rsidRPr="00A8196B">
        <w:rPr>
          <w:rFonts w:cs="Arial"/>
        </w:rPr>
        <w:t>anges</w:t>
      </w:r>
      <w:r w:rsidRPr="00A8196B" w:rsidR="00F86157">
        <w:rPr>
          <w:rFonts w:cs="Arial"/>
        </w:rPr>
        <w:t xml:space="preserve"> </w:t>
      </w:r>
      <w:r w:rsidRPr="00A8196B">
        <w:rPr>
          <w:rFonts w:cs="Arial"/>
        </w:rPr>
        <w:t>from 41.25 to 167.75 hours per submission, depending on whether or not</w:t>
      </w:r>
      <w:r w:rsidRPr="00A8196B" w:rsidR="000F68A9">
        <w:rPr>
          <w:rFonts w:cs="Arial"/>
        </w:rPr>
        <w:t xml:space="preserve"> </w:t>
      </w:r>
      <w:r w:rsidRPr="00A8196B">
        <w:rPr>
          <w:rFonts w:cs="Arial"/>
        </w:rPr>
        <w:t>testing data are</w:t>
      </w:r>
      <w:r w:rsidRPr="00A8196B" w:rsidR="00F86157">
        <w:rPr>
          <w:rFonts w:cs="Arial"/>
        </w:rPr>
        <w:t xml:space="preserve"> </w:t>
      </w:r>
      <w:r w:rsidRPr="00A8196B">
        <w:rPr>
          <w:rFonts w:cs="Arial"/>
        </w:rPr>
        <w:t>submitted. For TSCA section 5(e) consent orders where testing data</w:t>
      </w:r>
      <w:r w:rsidRPr="00A8196B" w:rsidR="000F68A9">
        <w:rPr>
          <w:rFonts w:cs="Arial"/>
        </w:rPr>
        <w:t xml:space="preserve"> </w:t>
      </w:r>
      <w:r w:rsidRPr="00A8196B">
        <w:rPr>
          <w:rFonts w:cs="Arial"/>
        </w:rPr>
        <w:t>are submitted,</w:t>
      </w:r>
      <w:r w:rsidRPr="00A8196B" w:rsidR="00F86157">
        <w:rPr>
          <w:rFonts w:cs="Arial"/>
        </w:rPr>
        <w:t xml:space="preserve"> </w:t>
      </w:r>
      <w:r w:rsidRPr="00A8196B">
        <w:rPr>
          <w:rFonts w:cs="Arial"/>
        </w:rPr>
        <w:t>EPA assumes</w:t>
      </w:r>
      <w:r w:rsidRPr="00A8196B" w:rsidR="00F86157">
        <w:rPr>
          <w:rFonts w:cs="Arial"/>
        </w:rPr>
        <w:t xml:space="preserve"> </w:t>
      </w:r>
      <w:r w:rsidRPr="00A8196B">
        <w:rPr>
          <w:rFonts w:cs="Arial"/>
        </w:rPr>
        <w:t>testing is contracted out to a laboratory and burden</w:t>
      </w:r>
      <w:r w:rsidRPr="00A8196B" w:rsidR="000F68A9">
        <w:rPr>
          <w:rFonts w:cs="Arial"/>
        </w:rPr>
        <w:t xml:space="preserve"> </w:t>
      </w:r>
      <w:r w:rsidRPr="00A8196B">
        <w:rPr>
          <w:rFonts w:cs="Arial"/>
        </w:rPr>
        <w:t>associated with testing requirements</w:t>
      </w:r>
      <w:r w:rsidRPr="00A8196B" w:rsidR="00F86157">
        <w:rPr>
          <w:rFonts w:cs="Arial"/>
        </w:rPr>
        <w:t xml:space="preserve"> </w:t>
      </w:r>
      <w:r w:rsidRPr="00A8196B">
        <w:rPr>
          <w:rFonts w:cs="Arial"/>
        </w:rPr>
        <w:t>represents the time that personnel from the</w:t>
      </w:r>
      <w:r w:rsidRPr="00A8196B" w:rsidR="000F68A9">
        <w:rPr>
          <w:rFonts w:cs="Arial"/>
        </w:rPr>
        <w:t xml:space="preserve"> </w:t>
      </w:r>
      <w:r w:rsidRPr="00A8196B">
        <w:rPr>
          <w:rFonts w:cs="Arial"/>
        </w:rPr>
        <w:t>submitting firm would spend overseeing the testing.</w:t>
      </w:r>
    </w:p>
    <w:p w:rsidR="003C2C15" w:rsidRPr="00A8196B" w:rsidP="001B4C90" w14:paraId="0A4CDAD3" w14:textId="60FFF859">
      <w:pPr>
        <w:rPr>
          <w:rFonts w:cs="Arial"/>
        </w:rPr>
      </w:pPr>
      <w:r w:rsidRPr="00A8196B">
        <w:rPr>
          <w:i/>
          <w:u w:val="single"/>
        </w:rPr>
        <w:t>NOCs</w:t>
      </w:r>
      <w:r w:rsidRPr="00A8196B">
        <w:rPr>
          <w:rFonts w:cs="Arial"/>
          <w:i/>
        </w:rPr>
        <w:t>:</w:t>
      </w:r>
      <w:r w:rsidRPr="00A8196B">
        <w:rPr>
          <w:rFonts w:cs="Arial"/>
        </w:rPr>
        <w:t xml:space="preserve"> The respondent burden for submission of a NOC is estimated to be 16.85 hours.</w:t>
      </w:r>
    </w:p>
    <w:p w:rsidR="000C606B" w:rsidRPr="00A8196B" w:rsidP="008C16F4" w14:paraId="602D98A4" w14:textId="407CFD3A">
      <w:pPr>
        <w:pStyle w:val="Caption"/>
      </w:pPr>
      <w:r w:rsidRPr="00A8196B">
        <w:t>Table 15</w:t>
      </w:r>
      <w:r w:rsidRPr="00A8196B" w:rsidR="008C16F4">
        <w:t>:</w:t>
      </w:r>
      <w:r w:rsidRPr="00A8196B">
        <w:t xml:space="preserve"> </w:t>
      </w:r>
      <w:r w:rsidR="002C4970">
        <w:t xml:space="preserve">Baseline </w:t>
      </w:r>
      <w:r w:rsidRPr="00A8196B">
        <w:t>Reporting Burden</w:t>
      </w:r>
    </w:p>
    <w:tbl>
      <w:tblPr>
        <w:tblW w:w="5000" w:type="pct"/>
        <w:tblLayout w:type="fixed"/>
        <w:tblCellMar>
          <w:left w:w="115" w:type="dxa"/>
          <w:right w:w="115" w:type="dxa"/>
        </w:tblCellMar>
        <w:tblLook w:val="04A0"/>
      </w:tblPr>
      <w:tblGrid>
        <w:gridCol w:w="299"/>
        <w:gridCol w:w="4446"/>
        <w:gridCol w:w="1344"/>
        <w:gridCol w:w="1881"/>
        <w:gridCol w:w="1344"/>
      </w:tblGrid>
      <w:tr w14:paraId="28916075" w14:textId="77777777" w:rsidTr="001B4C90">
        <w:tblPrEx>
          <w:tblW w:w="5000" w:type="pct"/>
          <w:tblLayout w:type="fixed"/>
          <w:tblCellMar>
            <w:left w:w="115" w:type="dxa"/>
            <w:right w:w="115" w:type="dxa"/>
          </w:tblCellMar>
          <w:tblLook w:val="04A0"/>
        </w:tblPrEx>
        <w:tc>
          <w:tcPr>
            <w:tcW w:w="4770" w:type="dxa"/>
            <w:gridSpan w:val="2"/>
            <w:tcBorders>
              <w:top w:val="double" w:sz="6" w:space="0" w:color="auto"/>
              <w:left w:val="double" w:sz="6" w:space="0" w:color="auto"/>
              <w:bottom w:val="single" w:sz="4" w:space="0" w:color="auto"/>
              <w:right w:val="single" w:sz="4" w:space="0" w:color="auto"/>
            </w:tcBorders>
            <w:shd w:val="clear" w:color="auto" w:fill="auto"/>
            <w:vAlign w:val="bottom"/>
            <w:hideMark/>
          </w:tcPr>
          <w:p w:rsidR="003C2C15" w:rsidRPr="00A8196B" w:rsidP="000C606B" w14:paraId="374AF99A" w14:textId="77777777">
            <w:pPr>
              <w:keepNext/>
              <w:spacing w:after="0" w:line="240" w:lineRule="auto"/>
              <w:rPr>
                <w:b/>
                <w:bCs/>
                <w:color w:val="000000"/>
                <w:sz w:val="20"/>
                <w:szCs w:val="20"/>
              </w:rPr>
            </w:pPr>
            <w:bookmarkStart w:id="28" w:name="_Hlk529996157"/>
            <w:r w:rsidRPr="00A8196B">
              <w:rPr>
                <w:b/>
                <w:bCs/>
                <w:color w:val="000000"/>
                <w:sz w:val="20"/>
                <w:szCs w:val="20"/>
              </w:rPr>
              <w:t>Type of Notice</w:t>
            </w:r>
          </w:p>
        </w:tc>
        <w:tc>
          <w:tcPr>
            <w:tcW w:w="1350" w:type="dxa"/>
            <w:tcBorders>
              <w:top w:val="double" w:sz="6" w:space="0" w:color="auto"/>
              <w:left w:val="nil"/>
              <w:bottom w:val="single" w:sz="4" w:space="0" w:color="auto"/>
              <w:right w:val="single" w:sz="4" w:space="0" w:color="auto"/>
            </w:tcBorders>
            <w:shd w:val="clear" w:color="auto" w:fill="auto"/>
            <w:vAlign w:val="bottom"/>
            <w:hideMark/>
          </w:tcPr>
          <w:p w:rsidR="003C2C15" w:rsidRPr="00A8196B" w:rsidP="000C606B" w14:paraId="525650A7" w14:textId="77777777">
            <w:pPr>
              <w:keepNext/>
              <w:spacing w:after="0" w:line="240" w:lineRule="auto"/>
              <w:jc w:val="center"/>
              <w:rPr>
                <w:b/>
                <w:bCs/>
                <w:color w:val="000000"/>
                <w:sz w:val="20"/>
                <w:szCs w:val="20"/>
              </w:rPr>
            </w:pPr>
            <w:r w:rsidRPr="00A8196B">
              <w:rPr>
                <w:b/>
                <w:bCs/>
                <w:color w:val="000000"/>
                <w:sz w:val="20"/>
                <w:szCs w:val="20"/>
              </w:rPr>
              <w:t>Average Annual Responses</w:t>
            </w:r>
          </w:p>
        </w:tc>
        <w:tc>
          <w:tcPr>
            <w:tcW w:w="1890" w:type="dxa"/>
            <w:tcBorders>
              <w:top w:val="double" w:sz="6" w:space="0" w:color="auto"/>
              <w:left w:val="nil"/>
              <w:bottom w:val="single" w:sz="4" w:space="0" w:color="auto"/>
              <w:right w:val="single" w:sz="4" w:space="0" w:color="auto"/>
            </w:tcBorders>
            <w:shd w:val="clear" w:color="auto" w:fill="auto"/>
            <w:vAlign w:val="bottom"/>
            <w:hideMark/>
          </w:tcPr>
          <w:p w:rsidR="003C2C15" w:rsidRPr="00A8196B" w:rsidP="000C606B" w14:paraId="5460E9FD" w14:textId="77777777">
            <w:pPr>
              <w:keepNext/>
              <w:spacing w:after="0" w:line="240" w:lineRule="auto"/>
              <w:jc w:val="center"/>
              <w:rPr>
                <w:b/>
                <w:bCs/>
                <w:color w:val="000000"/>
                <w:sz w:val="20"/>
                <w:szCs w:val="20"/>
              </w:rPr>
            </w:pPr>
            <w:r w:rsidRPr="00A8196B">
              <w:rPr>
                <w:b/>
                <w:bCs/>
                <w:color w:val="000000"/>
                <w:sz w:val="20"/>
                <w:szCs w:val="20"/>
              </w:rPr>
              <w:t>Average Reporting Hours per Response</w:t>
            </w:r>
          </w:p>
        </w:tc>
        <w:tc>
          <w:tcPr>
            <w:tcW w:w="1350" w:type="dxa"/>
            <w:tcBorders>
              <w:top w:val="double" w:sz="6" w:space="0" w:color="auto"/>
              <w:left w:val="nil"/>
              <w:bottom w:val="single" w:sz="4" w:space="0" w:color="auto"/>
              <w:right w:val="double" w:sz="6" w:space="0" w:color="auto"/>
            </w:tcBorders>
            <w:shd w:val="clear" w:color="auto" w:fill="auto"/>
            <w:vAlign w:val="bottom"/>
            <w:hideMark/>
          </w:tcPr>
          <w:p w:rsidR="003C2C15" w:rsidRPr="00A8196B" w:rsidP="000C606B" w14:paraId="24FD6827" w14:textId="77777777">
            <w:pPr>
              <w:keepNext/>
              <w:spacing w:after="0" w:line="240" w:lineRule="auto"/>
              <w:jc w:val="center"/>
              <w:rPr>
                <w:b/>
                <w:bCs/>
                <w:color w:val="000000"/>
                <w:sz w:val="20"/>
                <w:szCs w:val="20"/>
              </w:rPr>
            </w:pPr>
            <w:r w:rsidRPr="00A8196B">
              <w:rPr>
                <w:b/>
                <w:bCs/>
                <w:color w:val="000000"/>
                <w:sz w:val="20"/>
                <w:szCs w:val="20"/>
              </w:rPr>
              <w:t>Average Annual Burden</w:t>
            </w:r>
          </w:p>
        </w:tc>
      </w:tr>
      <w:tr w14:paraId="40C841C3"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6C2E3C7F" w14:textId="77777777">
            <w:pPr>
              <w:keepNext/>
              <w:spacing w:after="0" w:line="240" w:lineRule="auto"/>
              <w:rPr>
                <w:color w:val="000000"/>
                <w:sz w:val="20"/>
                <w:szCs w:val="20"/>
              </w:rPr>
            </w:pPr>
            <w:r w:rsidRPr="00A8196B">
              <w:rPr>
                <w:color w:val="000000"/>
                <w:sz w:val="20"/>
                <w:szCs w:val="20"/>
              </w:rPr>
              <w:t>PMN</w:t>
            </w:r>
            <w:r w:rsidRPr="00A8196B">
              <w:rPr>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44D3C5BA" w14:textId="6F81C614">
            <w:pPr>
              <w:keepNext/>
              <w:spacing w:after="0" w:line="240" w:lineRule="auto"/>
              <w:ind w:right="301"/>
              <w:jc w:val="right"/>
              <w:rPr>
                <w:color w:val="000000"/>
                <w:sz w:val="20"/>
                <w:szCs w:val="20"/>
              </w:rPr>
            </w:pPr>
            <w:r w:rsidRPr="00A8196B">
              <w:rPr>
                <w:color w:val="000000"/>
                <w:sz w:val="20"/>
                <w:szCs w:val="20"/>
              </w:rPr>
              <w:t>289</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0B555880" w14:textId="77777777">
            <w:pPr>
              <w:keepNext/>
              <w:tabs>
                <w:tab w:val="decimal" w:pos="787"/>
              </w:tabs>
              <w:spacing w:after="0" w:line="240" w:lineRule="auto"/>
              <w:rPr>
                <w:color w:val="000000"/>
                <w:sz w:val="20"/>
                <w:szCs w:val="20"/>
              </w:rPr>
            </w:pPr>
            <w:r w:rsidRPr="00A8196B">
              <w:rPr>
                <w:color w:val="000000"/>
                <w:sz w:val="20"/>
                <w:szCs w:val="20"/>
              </w:rPr>
              <w:t>250.498</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6430D780" w14:textId="6098EBE5">
            <w:pPr>
              <w:keepNext/>
              <w:spacing w:after="0" w:line="240" w:lineRule="auto"/>
              <w:ind w:right="302"/>
              <w:jc w:val="right"/>
              <w:rPr>
                <w:color w:val="000000"/>
                <w:sz w:val="20"/>
                <w:szCs w:val="20"/>
              </w:rPr>
            </w:pPr>
            <w:r w:rsidRPr="00A8196B">
              <w:rPr>
                <w:color w:val="000000"/>
                <w:sz w:val="20"/>
                <w:szCs w:val="20"/>
              </w:rPr>
              <w:t>72,394</w:t>
            </w:r>
          </w:p>
        </w:tc>
      </w:tr>
      <w:tr w14:paraId="3EE8AC90"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5D8F9DC5" w14:textId="77777777">
            <w:pPr>
              <w:keepNext/>
              <w:spacing w:after="0" w:line="240" w:lineRule="auto"/>
              <w:rPr>
                <w:color w:val="000000"/>
                <w:sz w:val="20"/>
                <w:szCs w:val="20"/>
              </w:rPr>
            </w:pPr>
            <w:r w:rsidRPr="00A8196B">
              <w:rPr>
                <w:color w:val="000000"/>
                <w:sz w:val="20"/>
                <w:szCs w:val="20"/>
              </w:rPr>
              <w:t>SNUN</w:t>
            </w:r>
            <w:r w:rsidRPr="00A8196B">
              <w:rPr>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69A476CA" w14:textId="659E8921">
            <w:pPr>
              <w:keepNext/>
              <w:spacing w:after="0" w:line="240" w:lineRule="auto"/>
              <w:ind w:right="301"/>
              <w:jc w:val="right"/>
              <w:rPr>
                <w:color w:val="000000"/>
                <w:sz w:val="20"/>
                <w:szCs w:val="20"/>
              </w:rPr>
            </w:pPr>
            <w:r w:rsidRPr="00A8196B">
              <w:rPr>
                <w:color w:val="000000"/>
                <w:sz w:val="20"/>
                <w:szCs w:val="20"/>
              </w:rPr>
              <w:t>13</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656E169F" w14:textId="77777777">
            <w:pPr>
              <w:keepNext/>
              <w:tabs>
                <w:tab w:val="decimal" w:pos="787"/>
              </w:tabs>
              <w:spacing w:after="0" w:line="240" w:lineRule="auto"/>
              <w:rPr>
                <w:color w:val="000000"/>
                <w:sz w:val="20"/>
                <w:szCs w:val="20"/>
              </w:rPr>
            </w:pPr>
            <w:r w:rsidRPr="00A8196B">
              <w:rPr>
                <w:color w:val="000000"/>
                <w:sz w:val="20"/>
                <w:szCs w:val="20"/>
              </w:rPr>
              <w:t>109.328</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4B66B989" w14:textId="0DFFA822">
            <w:pPr>
              <w:keepNext/>
              <w:spacing w:after="0" w:line="240" w:lineRule="auto"/>
              <w:ind w:right="302"/>
              <w:jc w:val="right"/>
              <w:rPr>
                <w:color w:val="000000"/>
                <w:sz w:val="20"/>
                <w:szCs w:val="20"/>
              </w:rPr>
            </w:pPr>
            <w:r w:rsidRPr="00A8196B">
              <w:rPr>
                <w:color w:val="000000"/>
                <w:sz w:val="20"/>
                <w:szCs w:val="20"/>
              </w:rPr>
              <w:t>1,421</w:t>
            </w:r>
          </w:p>
        </w:tc>
      </w:tr>
      <w:tr w14:paraId="1CE95AF3"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7F30EA73" w14:textId="77777777">
            <w:pPr>
              <w:keepNext/>
              <w:spacing w:after="0" w:line="240" w:lineRule="auto"/>
              <w:rPr>
                <w:color w:val="000000"/>
                <w:sz w:val="20"/>
                <w:szCs w:val="20"/>
              </w:rPr>
            </w:pPr>
            <w:r w:rsidRPr="00A8196B">
              <w:rPr>
                <w:color w:val="000000"/>
                <w:sz w:val="20"/>
                <w:szCs w:val="20"/>
              </w:rPr>
              <w:t>MCAN</w:t>
            </w:r>
            <w:r w:rsidRPr="00A8196B">
              <w:rPr>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129F2B53" w14:textId="23E1DE78">
            <w:pPr>
              <w:keepNext/>
              <w:spacing w:after="0" w:line="240" w:lineRule="auto"/>
              <w:ind w:right="301"/>
              <w:jc w:val="right"/>
              <w:rPr>
                <w:color w:val="000000"/>
                <w:sz w:val="20"/>
                <w:szCs w:val="20"/>
              </w:rPr>
            </w:pPr>
            <w:r w:rsidRPr="00A8196B">
              <w:rPr>
                <w:color w:val="000000"/>
                <w:sz w:val="20"/>
                <w:szCs w:val="20"/>
              </w:rPr>
              <w:t>14</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7F4DD834" w14:textId="77777777">
            <w:pPr>
              <w:keepNext/>
              <w:tabs>
                <w:tab w:val="decimal" w:pos="787"/>
              </w:tabs>
              <w:spacing w:after="0" w:line="240" w:lineRule="auto"/>
              <w:rPr>
                <w:color w:val="000000"/>
                <w:sz w:val="20"/>
                <w:szCs w:val="20"/>
              </w:rPr>
            </w:pPr>
            <w:r w:rsidRPr="00A8196B">
              <w:rPr>
                <w:color w:val="000000"/>
                <w:sz w:val="20"/>
                <w:szCs w:val="20"/>
              </w:rPr>
              <w:t>305.845</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686C46EA" w14:textId="2B206B53">
            <w:pPr>
              <w:keepNext/>
              <w:spacing w:after="0" w:line="240" w:lineRule="auto"/>
              <w:ind w:right="302"/>
              <w:jc w:val="right"/>
              <w:rPr>
                <w:color w:val="000000"/>
                <w:sz w:val="20"/>
                <w:szCs w:val="20"/>
              </w:rPr>
            </w:pPr>
            <w:r w:rsidRPr="00A8196B">
              <w:rPr>
                <w:color w:val="000000"/>
                <w:sz w:val="20"/>
                <w:szCs w:val="20"/>
              </w:rPr>
              <w:t>4,282</w:t>
            </w:r>
          </w:p>
        </w:tc>
      </w:tr>
      <w:tr w14:paraId="663E1930" w14:textId="77777777" w:rsidTr="001B4C90">
        <w:tblPrEx>
          <w:tblW w:w="5000" w:type="pct"/>
          <w:tblLayout w:type="fixed"/>
          <w:tblCellMar>
            <w:left w:w="115" w:type="dxa"/>
            <w:right w:w="115" w:type="dxa"/>
          </w:tblCellMar>
          <w:tblLook w:val="04A0"/>
        </w:tblPrEx>
        <w:tc>
          <w:tcPr>
            <w:tcW w:w="9360" w:type="dxa"/>
            <w:gridSpan w:val="5"/>
            <w:tcBorders>
              <w:top w:val="single" w:sz="4" w:space="0" w:color="auto"/>
              <w:left w:val="double" w:sz="6" w:space="0" w:color="auto"/>
              <w:bottom w:val="single" w:sz="4" w:space="0" w:color="auto"/>
              <w:right w:val="double" w:sz="6" w:space="0" w:color="000000" w:themeColor="text1"/>
            </w:tcBorders>
            <w:shd w:val="clear" w:color="auto" w:fill="auto"/>
            <w:hideMark/>
          </w:tcPr>
          <w:p w:rsidR="003C2C15" w:rsidRPr="00A8196B" w:rsidP="000C606B" w14:paraId="3F52CAE2" w14:textId="77777777">
            <w:pPr>
              <w:keepNext/>
              <w:tabs>
                <w:tab w:val="decimal" w:pos="787"/>
              </w:tabs>
              <w:spacing w:after="0" w:line="240" w:lineRule="auto"/>
              <w:ind w:right="302"/>
              <w:rPr>
                <w:i/>
                <w:iCs/>
                <w:color w:val="000000"/>
                <w:sz w:val="20"/>
                <w:szCs w:val="20"/>
              </w:rPr>
            </w:pPr>
            <w:r w:rsidRPr="00A8196B">
              <w:rPr>
                <w:i/>
                <w:iCs/>
                <w:color w:val="000000"/>
                <w:sz w:val="20"/>
                <w:szCs w:val="20"/>
              </w:rPr>
              <w:t>Exemptions:</w:t>
            </w:r>
          </w:p>
        </w:tc>
      </w:tr>
      <w:tr w14:paraId="2FE1E48C"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57A92F70" w14:textId="77777777">
            <w:pPr>
              <w:keepNext/>
              <w:spacing w:after="0" w:line="240" w:lineRule="auto"/>
              <w:ind w:firstLine="400" w:firstLineChars="200"/>
              <w:rPr>
                <w:color w:val="000000"/>
                <w:sz w:val="20"/>
                <w:szCs w:val="20"/>
              </w:rPr>
            </w:pPr>
            <w:bookmarkStart w:id="29" w:name="_Hlk97808515"/>
            <w:r w:rsidRPr="00A8196B">
              <w:rPr>
                <w:color w:val="000000"/>
                <w:sz w:val="20"/>
                <w:szCs w:val="20"/>
              </w:rPr>
              <w:t>LVE/LoREX</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108DC351" w14:textId="3C45EB1F">
            <w:pPr>
              <w:keepNext/>
              <w:spacing w:after="0" w:line="240" w:lineRule="auto"/>
              <w:ind w:right="301"/>
              <w:jc w:val="right"/>
              <w:rPr>
                <w:color w:val="000000"/>
                <w:sz w:val="20"/>
                <w:szCs w:val="20"/>
              </w:rPr>
            </w:pPr>
            <w:r w:rsidRPr="00A8196B">
              <w:rPr>
                <w:color w:val="000000"/>
                <w:sz w:val="20"/>
                <w:szCs w:val="20"/>
              </w:rPr>
              <w:t>305</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298AB5EC" w14:textId="77777777">
            <w:pPr>
              <w:keepNext/>
              <w:tabs>
                <w:tab w:val="decimal" w:pos="787"/>
              </w:tabs>
              <w:spacing w:after="0" w:line="240" w:lineRule="auto"/>
              <w:rPr>
                <w:color w:val="000000"/>
                <w:sz w:val="20"/>
                <w:szCs w:val="20"/>
              </w:rPr>
            </w:pPr>
            <w:r w:rsidRPr="00A8196B">
              <w:rPr>
                <w:color w:val="000000"/>
                <w:sz w:val="20"/>
                <w:szCs w:val="20"/>
              </w:rPr>
              <w:t>109.328</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4971DAC0" w14:textId="6159E418">
            <w:pPr>
              <w:keepNext/>
              <w:spacing w:after="0" w:line="240" w:lineRule="auto"/>
              <w:ind w:right="302"/>
              <w:jc w:val="right"/>
              <w:rPr>
                <w:color w:val="000000"/>
                <w:sz w:val="20"/>
                <w:szCs w:val="20"/>
              </w:rPr>
            </w:pPr>
            <w:r w:rsidRPr="00A8196B">
              <w:rPr>
                <w:color w:val="000000"/>
                <w:sz w:val="20"/>
                <w:szCs w:val="20"/>
              </w:rPr>
              <w:t>33,345</w:t>
            </w:r>
          </w:p>
        </w:tc>
      </w:tr>
      <w:tr w14:paraId="600AE0FF"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08099ED0" w14:textId="77777777">
            <w:pPr>
              <w:keepNext/>
              <w:spacing w:after="0" w:line="240" w:lineRule="auto"/>
              <w:ind w:firstLine="400" w:firstLineChars="200"/>
              <w:rPr>
                <w:color w:val="000000"/>
                <w:sz w:val="20"/>
                <w:szCs w:val="20"/>
              </w:rPr>
            </w:pPr>
            <w:r w:rsidRPr="00A8196B">
              <w:rPr>
                <w:color w:val="000000"/>
                <w:sz w:val="20"/>
                <w:szCs w:val="20"/>
              </w:rPr>
              <w:t>TERA</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741E3DC4" w14:textId="77777777">
            <w:pPr>
              <w:keepNext/>
              <w:spacing w:after="0" w:line="240" w:lineRule="auto"/>
              <w:ind w:right="301"/>
              <w:jc w:val="right"/>
              <w:rPr>
                <w:color w:val="000000"/>
                <w:sz w:val="20"/>
                <w:szCs w:val="20"/>
              </w:rPr>
            </w:pPr>
            <w:r w:rsidRPr="00A8196B">
              <w:rPr>
                <w:color w:val="000000"/>
                <w:sz w:val="20"/>
                <w:szCs w:val="20"/>
              </w:rPr>
              <w:t>2</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47348ED9" w14:textId="77777777">
            <w:pPr>
              <w:keepNext/>
              <w:tabs>
                <w:tab w:val="decimal" w:pos="787"/>
              </w:tabs>
              <w:spacing w:after="0" w:line="240" w:lineRule="auto"/>
              <w:rPr>
                <w:color w:val="000000"/>
                <w:sz w:val="20"/>
                <w:szCs w:val="20"/>
              </w:rPr>
            </w:pPr>
            <w:r w:rsidRPr="00A8196B">
              <w:rPr>
                <w:color w:val="000000"/>
                <w:sz w:val="20"/>
                <w:szCs w:val="20"/>
              </w:rPr>
              <w:t>524.845</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46590468" w14:textId="77777777">
            <w:pPr>
              <w:keepNext/>
              <w:spacing w:after="0" w:line="240" w:lineRule="auto"/>
              <w:ind w:right="302"/>
              <w:jc w:val="right"/>
              <w:rPr>
                <w:color w:val="000000"/>
                <w:sz w:val="20"/>
                <w:szCs w:val="20"/>
              </w:rPr>
            </w:pPr>
            <w:r w:rsidRPr="00A8196B">
              <w:rPr>
                <w:color w:val="000000"/>
                <w:sz w:val="20"/>
                <w:szCs w:val="20"/>
              </w:rPr>
              <w:t>1,050</w:t>
            </w:r>
          </w:p>
        </w:tc>
      </w:tr>
      <w:tr w14:paraId="75B04D7A"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1C6680F6" w14:textId="77777777">
            <w:pPr>
              <w:keepNext/>
              <w:spacing w:after="0" w:line="240" w:lineRule="auto"/>
              <w:ind w:firstLine="400" w:firstLineChars="200"/>
              <w:rPr>
                <w:color w:val="000000"/>
                <w:sz w:val="20"/>
                <w:szCs w:val="20"/>
              </w:rPr>
            </w:pPr>
            <w:r w:rsidRPr="00A8196B">
              <w:rPr>
                <w:color w:val="000000"/>
                <w:sz w:val="20"/>
                <w:szCs w:val="20"/>
              </w:rPr>
              <w:t>Tier I</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236E2D8B" w14:textId="509052C5">
            <w:pPr>
              <w:keepNext/>
              <w:spacing w:after="0" w:line="240" w:lineRule="auto"/>
              <w:ind w:right="301"/>
              <w:jc w:val="right"/>
              <w:rPr>
                <w:color w:val="000000"/>
                <w:sz w:val="20"/>
                <w:szCs w:val="20"/>
              </w:rPr>
            </w:pPr>
            <w:r w:rsidRPr="00A8196B">
              <w:rPr>
                <w:color w:val="000000"/>
                <w:sz w:val="20"/>
                <w:szCs w:val="20"/>
              </w:rPr>
              <w:t>4</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54D5EE9C" w14:textId="77777777">
            <w:pPr>
              <w:keepNext/>
              <w:tabs>
                <w:tab w:val="decimal" w:pos="787"/>
              </w:tabs>
              <w:spacing w:after="0" w:line="240" w:lineRule="auto"/>
              <w:rPr>
                <w:color w:val="000000"/>
                <w:sz w:val="20"/>
                <w:szCs w:val="20"/>
              </w:rPr>
            </w:pPr>
            <w:r w:rsidRPr="00A8196B">
              <w:rPr>
                <w:color w:val="000000"/>
                <w:sz w:val="20"/>
                <w:szCs w:val="20"/>
              </w:rPr>
              <w:t>127.845</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2E2FAA98" w14:textId="4BC4388A">
            <w:pPr>
              <w:keepNext/>
              <w:spacing w:after="0" w:line="240" w:lineRule="auto"/>
              <w:ind w:right="302"/>
              <w:jc w:val="right"/>
              <w:rPr>
                <w:color w:val="000000"/>
                <w:sz w:val="20"/>
                <w:szCs w:val="20"/>
              </w:rPr>
            </w:pPr>
            <w:r w:rsidRPr="00A8196B">
              <w:rPr>
                <w:color w:val="000000"/>
                <w:sz w:val="20"/>
                <w:szCs w:val="20"/>
              </w:rPr>
              <w:t>511</w:t>
            </w:r>
          </w:p>
        </w:tc>
      </w:tr>
      <w:tr w14:paraId="1126093F"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tcPr>
          <w:p w:rsidR="003C2C15" w:rsidRPr="00A8196B" w:rsidP="000C606B" w14:paraId="07992D5F" w14:textId="77777777">
            <w:pPr>
              <w:keepNext/>
              <w:spacing w:after="0" w:line="240" w:lineRule="auto"/>
              <w:ind w:firstLine="400" w:firstLineChars="200"/>
              <w:rPr>
                <w:color w:val="000000"/>
                <w:sz w:val="20"/>
                <w:szCs w:val="20"/>
              </w:rPr>
            </w:pPr>
            <w:r w:rsidRPr="00A8196B">
              <w:rPr>
                <w:color w:val="000000"/>
                <w:sz w:val="20"/>
                <w:szCs w:val="20"/>
              </w:rPr>
              <w:t>Tier II</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tcPr>
          <w:p w:rsidR="003C2C15" w:rsidRPr="00A8196B" w:rsidP="000C606B" w14:paraId="1A6E464B" w14:textId="41B9F254">
            <w:pPr>
              <w:keepNext/>
              <w:spacing w:after="0" w:line="240" w:lineRule="auto"/>
              <w:ind w:right="301"/>
              <w:jc w:val="right"/>
              <w:rPr>
                <w:color w:val="000000"/>
                <w:sz w:val="20"/>
                <w:szCs w:val="20"/>
              </w:rPr>
            </w:pPr>
            <w:r w:rsidRPr="00A8196B">
              <w:rPr>
                <w:color w:val="000000"/>
                <w:sz w:val="20"/>
                <w:szCs w:val="20"/>
              </w:rPr>
              <w:t>1</w:t>
            </w:r>
          </w:p>
        </w:tc>
        <w:tc>
          <w:tcPr>
            <w:tcW w:w="1890" w:type="dxa"/>
            <w:tcBorders>
              <w:top w:val="nil"/>
              <w:left w:val="nil"/>
              <w:bottom w:val="single" w:sz="4" w:space="0" w:color="auto"/>
              <w:right w:val="single" w:sz="4" w:space="0" w:color="auto"/>
            </w:tcBorders>
            <w:shd w:val="clear" w:color="auto" w:fill="auto"/>
          </w:tcPr>
          <w:p w:rsidR="003C2C15" w:rsidRPr="00A8196B" w:rsidP="000C606B" w14:paraId="138B683E" w14:textId="77777777">
            <w:pPr>
              <w:keepNext/>
              <w:tabs>
                <w:tab w:val="decimal" w:pos="787"/>
              </w:tabs>
              <w:spacing w:after="0" w:line="240" w:lineRule="auto"/>
              <w:rPr>
                <w:color w:val="000000"/>
                <w:sz w:val="20"/>
                <w:szCs w:val="20"/>
              </w:rPr>
            </w:pPr>
            <w:r w:rsidRPr="00A8196B">
              <w:rPr>
                <w:color w:val="000000"/>
                <w:sz w:val="20"/>
                <w:szCs w:val="20"/>
              </w:rPr>
              <w:t>127.845</w:t>
            </w:r>
          </w:p>
        </w:tc>
        <w:tc>
          <w:tcPr>
            <w:tcW w:w="1350" w:type="dxa"/>
            <w:tcBorders>
              <w:top w:val="nil"/>
              <w:left w:val="nil"/>
              <w:bottom w:val="single" w:sz="4" w:space="0" w:color="auto"/>
              <w:right w:val="double" w:sz="6" w:space="0" w:color="auto"/>
            </w:tcBorders>
            <w:shd w:val="clear" w:color="auto" w:fill="auto"/>
          </w:tcPr>
          <w:p w:rsidR="003C2C15" w:rsidRPr="00A8196B" w:rsidP="000C606B" w14:paraId="662AC074" w14:textId="15926572">
            <w:pPr>
              <w:keepNext/>
              <w:spacing w:after="0" w:line="240" w:lineRule="auto"/>
              <w:ind w:right="302"/>
              <w:jc w:val="right"/>
              <w:rPr>
                <w:color w:val="000000"/>
                <w:sz w:val="20"/>
                <w:szCs w:val="20"/>
              </w:rPr>
            </w:pPr>
            <w:r w:rsidRPr="00A8196B">
              <w:rPr>
                <w:color w:val="000000"/>
                <w:sz w:val="20"/>
                <w:szCs w:val="20"/>
              </w:rPr>
              <w:t>128</w:t>
            </w:r>
          </w:p>
        </w:tc>
      </w:tr>
      <w:tr w14:paraId="0D708679"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7B3D66F6" w14:textId="77777777">
            <w:pPr>
              <w:keepNext/>
              <w:spacing w:after="0" w:line="240" w:lineRule="auto"/>
              <w:ind w:firstLine="400" w:firstLineChars="200"/>
              <w:rPr>
                <w:color w:val="000000"/>
                <w:sz w:val="20"/>
                <w:szCs w:val="20"/>
              </w:rPr>
            </w:pPr>
            <w:r w:rsidRPr="00A8196B">
              <w:rPr>
                <w:color w:val="000000"/>
                <w:sz w:val="20"/>
                <w:szCs w:val="20"/>
              </w:rPr>
              <w:t>Polymer</w:t>
            </w:r>
            <w:r w:rsidRPr="00A8196B">
              <w:rPr>
                <w:color w:val="000000"/>
                <w:sz w:val="20"/>
                <w:szCs w:val="20"/>
                <w:vertAlign w:val="superscript"/>
              </w:rPr>
              <w:t>3</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7DA3EA98" w14:textId="2C4A9397">
            <w:pPr>
              <w:keepNext/>
              <w:spacing w:after="0" w:line="240" w:lineRule="auto"/>
              <w:ind w:right="301"/>
              <w:jc w:val="right"/>
              <w:rPr>
                <w:color w:val="000000"/>
                <w:sz w:val="20"/>
                <w:szCs w:val="20"/>
              </w:rPr>
            </w:pPr>
            <w:r w:rsidRPr="00A8196B">
              <w:rPr>
                <w:color w:val="000000"/>
                <w:sz w:val="20"/>
                <w:szCs w:val="20"/>
              </w:rPr>
              <w:t>1</w:t>
            </w:r>
            <w:r w:rsidRPr="00A8196B" w:rsidR="006435F5">
              <w:rPr>
                <w:color w:val="000000"/>
                <w:sz w:val="20"/>
                <w:szCs w:val="20"/>
              </w:rPr>
              <w:t>0</w:t>
            </w:r>
            <w:r w:rsidRPr="00A8196B">
              <w:rPr>
                <w:color w:val="000000"/>
                <w:sz w:val="20"/>
                <w:szCs w:val="20"/>
              </w:rPr>
              <w:t>9</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146BB38C" w14:textId="77777777">
            <w:pPr>
              <w:keepNext/>
              <w:tabs>
                <w:tab w:val="decimal" w:pos="787"/>
              </w:tabs>
              <w:spacing w:after="0" w:line="240" w:lineRule="auto"/>
              <w:rPr>
                <w:color w:val="000000"/>
                <w:sz w:val="20"/>
                <w:szCs w:val="20"/>
              </w:rPr>
            </w:pPr>
            <w:r w:rsidRPr="00A8196B">
              <w:rPr>
                <w:color w:val="000000"/>
                <w:sz w:val="20"/>
                <w:szCs w:val="20"/>
              </w:rPr>
              <w:t>18.495</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02D3ABC0" w14:textId="440CE524">
            <w:pPr>
              <w:keepNext/>
              <w:spacing w:after="0" w:line="240" w:lineRule="auto"/>
              <w:ind w:right="302"/>
              <w:jc w:val="right"/>
              <w:rPr>
                <w:color w:val="000000"/>
                <w:sz w:val="20"/>
                <w:szCs w:val="20"/>
              </w:rPr>
            </w:pPr>
            <w:r w:rsidRPr="00A8196B">
              <w:rPr>
                <w:color w:val="000000"/>
                <w:sz w:val="20"/>
                <w:szCs w:val="20"/>
              </w:rPr>
              <w:t>2,</w:t>
            </w:r>
            <w:r w:rsidRPr="00A8196B" w:rsidR="006435F5">
              <w:rPr>
                <w:color w:val="000000"/>
                <w:sz w:val="20"/>
                <w:szCs w:val="20"/>
              </w:rPr>
              <w:t>016</w:t>
            </w:r>
          </w:p>
        </w:tc>
      </w:tr>
      <w:tr w14:paraId="1DA7B820"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C606B" w14:paraId="30E37965" w14:textId="77777777">
            <w:pPr>
              <w:keepNext/>
              <w:spacing w:after="0" w:line="240" w:lineRule="auto"/>
              <w:ind w:firstLine="400" w:firstLineChars="200"/>
              <w:rPr>
                <w:color w:val="000000"/>
                <w:sz w:val="20"/>
                <w:szCs w:val="20"/>
              </w:rPr>
            </w:pPr>
            <w:r w:rsidRPr="00A8196B">
              <w:rPr>
                <w:color w:val="000000"/>
                <w:sz w:val="20"/>
                <w:szCs w:val="20"/>
              </w:rPr>
              <w:t>Research &amp; Development</w:t>
            </w:r>
            <w:r w:rsidRPr="00A8196B">
              <w:rPr>
                <w:color w:val="000000"/>
                <w:sz w:val="20"/>
                <w:szCs w:val="20"/>
                <w:vertAlign w:val="superscript"/>
              </w:rPr>
              <w:t>4</w:t>
            </w:r>
          </w:p>
        </w:tc>
        <w:tc>
          <w:tcPr>
            <w:tcW w:w="1350" w:type="dxa"/>
            <w:tcBorders>
              <w:top w:val="nil"/>
              <w:left w:val="nil"/>
              <w:bottom w:val="single" w:sz="4" w:space="0" w:color="auto"/>
              <w:right w:val="single" w:sz="4" w:space="0" w:color="auto"/>
            </w:tcBorders>
            <w:shd w:val="clear" w:color="auto" w:fill="auto"/>
            <w:hideMark/>
          </w:tcPr>
          <w:p w:rsidR="003C2C15" w:rsidRPr="00A8196B" w:rsidP="000C606B" w14:paraId="21B4F355" w14:textId="77777777">
            <w:pPr>
              <w:keepNext/>
              <w:spacing w:after="0" w:line="240" w:lineRule="auto"/>
              <w:ind w:right="301"/>
              <w:jc w:val="right"/>
              <w:rPr>
                <w:color w:val="000000"/>
                <w:sz w:val="20"/>
                <w:szCs w:val="20"/>
              </w:rPr>
            </w:pPr>
            <w:r w:rsidRPr="00A8196B">
              <w:rPr>
                <w:color w:val="000000"/>
                <w:sz w:val="20"/>
                <w:szCs w:val="20"/>
              </w:rPr>
              <w:t>200</w:t>
            </w:r>
          </w:p>
        </w:tc>
        <w:tc>
          <w:tcPr>
            <w:tcW w:w="1890" w:type="dxa"/>
            <w:tcBorders>
              <w:top w:val="nil"/>
              <w:left w:val="nil"/>
              <w:bottom w:val="single" w:sz="4" w:space="0" w:color="auto"/>
              <w:right w:val="single" w:sz="4" w:space="0" w:color="auto"/>
            </w:tcBorders>
            <w:shd w:val="clear" w:color="auto" w:fill="auto"/>
            <w:hideMark/>
          </w:tcPr>
          <w:p w:rsidR="003C2C15" w:rsidRPr="00A8196B" w:rsidP="000C606B" w14:paraId="35E7BCFA" w14:textId="77777777">
            <w:pPr>
              <w:keepNext/>
              <w:tabs>
                <w:tab w:val="decimal" w:pos="787"/>
              </w:tabs>
              <w:spacing w:after="0" w:line="240" w:lineRule="auto"/>
              <w:rPr>
                <w:color w:val="000000"/>
                <w:sz w:val="20"/>
                <w:szCs w:val="20"/>
              </w:rPr>
            </w:pPr>
            <w:r w:rsidRPr="00A8196B">
              <w:rPr>
                <w:color w:val="000000"/>
                <w:sz w:val="20"/>
                <w:szCs w:val="20"/>
              </w:rPr>
              <w:t>18.745</w:t>
            </w:r>
          </w:p>
        </w:tc>
        <w:tc>
          <w:tcPr>
            <w:tcW w:w="1350" w:type="dxa"/>
            <w:tcBorders>
              <w:top w:val="nil"/>
              <w:left w:val="nil"/>
              <w:bottom w:val="single" w:sz="4" w:space="0" w:color="auto"/>
              <w:right w:val="double" w:sz="6" w:space="0" w:color="auto"/>
            </w:tcBorders>
            <w:shd w:val="clear" w:color="auto" w:fill="auto"/>
            <w:hideMark/>
          </w:tcPr>
          <w:p w:rsidR="003C2C15" w:rsidRPr="00A8196B" w:rsidP="000C606B" w14:paraId="16498609" w14:textId="77777777">
            <w:pPr>
              <w:keepNext/>
              <w:spacing w:after="0" w:line="240" w:lineRule="auto"/>
              <w:ind w:right="302"/>
              <w:jc w:val="right"/>
              <w:rPr>
                <w:color w:val="000000"/>
                <w:sz w:val="20"/>
                <w:szCs w:val="20"/>
              </w:rPr>
            </w:pPr>
            <w:r w:rsidRPr="00A8196B">
              <w:rPr>
                <w:color w:val="000000"/>
                <w:sz w:val="20"/>
                <w:szCs w:val="20"/>
              </w:rPr>
              <w:t>3,749</w:t>
            </w:r>
          </w:p>
        </w:tc>
      </w:tr>
      <w:tr w14:paraId="05A1D5FA"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975A6" w14:paraId="464F6796" w14:textId="77777777">
            <w:pPr>
              <w:spacing w:after="0" w:line="240" w:lineRule="auto"/>
              <w:ind w:firstLine="400" w:firstLineChars="200"/>
              <w:rPr>
                <w:color w:val="000000"/>
                <w:sz w:val="20"/>
                <w:szCs w:val="20"/>
              </w:rPr>
            </w:pPr>
            <w:r w:rsidRPr="00A8196B">
              <w:rPr>
                <w:color w:val="000000"/>
                <w:sz w:val="20"/>
                <w:szCs w:val="20"/>
              </w:rPr>
              <w:t>Instant Photographic Film Articles</w:t>
            </w:r>
            <w:r w:rsidRPr="00A8196B">
              <w:rPr>
                <w:color w:val="000000"/>
                <w:sz w:val="20"/>
                <w:szCs w:val="20"/>
                <w:vertAlign w:val="superscript"/>
              </w:rPr>
              <w:t>4</w:t>
            </w:r>
          </w:p>
        </w:tc>
        <w:tc>
          <w:tcPr>
            <w:tcW w:w="1350" w:type="dxa"/>
            <w:tcBorders>
              <w:top w:val="nil"/>
              <w:left w:val="nil"/>
              <w:bottom w:val="single" w:sz="4" w:space="0" w:color="auto"/>
              <w:right w:val="single" w:sz="4" w:space="0" w:color="auto"/>
            </w:tcBorders>
            <w:shd w:val="clear" w:color="auto" w:fill="auto"/>
            <w:hideMark/>
          </w:tcPr>
          <w:p w:rsidR="003C2C15" w:rsidRPr="00A8196B" w:rsidP="001B4C90" w14:paraId="6F45B5AA" w14:textId="77777777">
            <w:pPr>
              <w:spacing w:after="0" w:line="240" w:lineRule="auto"/>
              <w:ind w:right="301"/>
              <w:jc w:val="right"/>
              <w:rPr>
                <w:color w:val="000000"/>
                <w:sz w:val="20"/>
                <w:szCs w:val="20"/>
              </w:rPr>
            </w:pPr>
            <w:r w:rsidRPr="00A8196B">
              <w:rPr>
                <w:color w:val="000000"/>
                <w:sz w:val="20"/>
                <w:szCs w:val="20"/>
              </w:rPr>
              <w:t>1</w:t>
            </w:r>
          </w:p>
        </w:tc>
        <w:tc>
          <w:tcPr>
            <w:tcW w:w="1890" w:type="dxa"/>
            <w:tcBorders>
              <w:top w:val="nil"/>
              <w:left w:val="nil"/>
              <w:bottom w:val="single" w:sz="4" w:space="0" w:color="auto"/>
              <w:right w:val="single" w:sz="4" w:space="0" w:color="auto"/>
            </w:tcBorders>
            <w:shd w:val="clear" w:color="auto" w:fill="auto"/>
            <w:hideMark/>
          </w:tcPr>
          <w:p w:rsidR="003C2C15" w:rsidRPr="00A8196B" w:rsidP="001B4C90" w14:paraId="6057223B" w14:textId="77777777">
            <w:pPr>
              <w:tabs>
                <w:tab w:val="decimal" w:pos="787"/>
              </w:tabs>
              <w:spacing w:after="0" w:line="240" w:lineRule="auto"/>
              <w:rPr>
                <w:color w:val="000000"/>
                <w:sz w:val="20"/>
                <w:szCs w:val="20"/>
              </w:rPr>
            </w:pPr>
            <w:r w:rsidRPr="00A8196B">
              <w:rPr>
                <w:color w:val="000000"/>
                <w:sz w:val="20"/>
                <w:szCs w:val="20"/>
              </w:rPr>
              <w:t>16.745</w:t>
            </w:r>
          </w:p>
        </w:tc>
        <w:tc>
          <w:tcPr>
            <w:tcW w:w="1350" w:type="dxa"/>
            <w:tcBorders>
              <w:top w:val="nil"/>
              <w:left w:val="nil"/>
              <w:bottom w:val="single" w:sz="4" w:space="0" w:color="auto"/>
              <w:right w:val="double" w:sz="6" w:space="0" w:color="auto"/>
            </w:tcBorders>
            <w:shd w:val="clear" w:color="auto" w:fill="auto"/>
            <w:hideMark/>
          </w:tcPr>
          <w:p w:rsidR="003C2C15" w:rsidRPr="00A8196B" w:rsidP="001B4C90" w14:paraId="09C92BCC" w14:textId="3DBF7563">
            <w:pPr>
              <w:spacing w:after="0" w:line="240" w:lineRule="auto"/>
              <w:ind w:right="302"/>
              <w:jc w:val="right"/>
              <w:rPr>
                <w:color w:val="000000"/>
                <w:sz w:val="20"/>
                <w:szCs w:val="20"/>
              </w:rPr>
            </w:pPr>
            <w:r w:rsidRPr="00A8196B">
              <w:rPr>
                <w:color w:val="000000"/>
                <w:sz w:val="20"/>
                <w:szCs w:val="20"/>
              </w:rPr>
              <w:t>17</w:t>
            </w:r>
          </w:p>
        </w:tc>
      </w:tr>
      <w:tr w14:paraId="4629C51E"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975A6" w14:paraId="2C9A9962" w14:textId="77777777">
            <w:pPr>
              <w:spacing w:after="0" w:line="240" w:lineRule="auto"/>
              <w:rPr>
                <w:color w:val="000000"/>
                <w:sz w:val="20"/>
                <w:szCs w:val="20"/>
              </w:rPr>
            </w:pPr>
            <w:bookmarkStart w:id="30" w:name="_Hlk97802010"/>
            <w:r w:rsidRPr="00A8196B">
              <w:rPr>
                <w:color w:val="000000"/>
                <w:sz w:val="20"/>
                <w:szCs w:val="20"/>
              </w:rPr>
              <w:t>Bona Fide</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1B4C90" w14:paraId="41FB1BF8" w14:textId="75073299">
            <w:pPr>
              <w:spacing w:after="0" w:line="240" w:lineRule="auto"/>
              <w:ind w:right="301"/>
              <w:jc w:val="right"/>
              <w:rPr>
                <w:color w:val="000000"/>
                <w:sz w:val="20"/>
                <w:szCs w:val="20"/>
              </w:rPr>
            </w:pPr>
            <w:r w:rsidRPr="00A8196B">
              <w:rPr>
                <w:color w:val="000000"/>
                <w:sz w:val="20"/>
                <w:szCs w:val="20"/>
              </w:rPr>
              <w:t>18</w:t>
            </w:r>
            <w:r w:rsidRPr="00A8196B" w:rsidR="006435F5">
              <w:rPr>
                <w:color w:val="000000"/>
                <w:sz w:val="20"/>
                <w:szCs w:val="20"/>
              </w:rPr>
              <w:t>3</w:t>
            </w:r>
          </w:p>
        </w:tc>
        <w:tc>
          <w:tcPr>
            <w:tcW w:w="1890" w:type="dxa"/>
            <w:tcBorders>
              <w:top w:val="nil"/>
              <w:left w:val="nil"/>
              <w:bottom w:val="single" w:sz="4" w:space="0" w:color="auto"/>
              <w:right w:val="single" w:sz="4" w:space="0" w:color="auto"/>
            </w:tcBorders>
            <w:shd w:val="clear" w:color="auto" w:fill="auto"/>
            <w:hideMark/>
          </w:tcPr>
          <w:p w:rsidR="003C2C15" w:rsidRPr="00A8196B" w:rsidP="001B4C90" w14:paraId="596CCAFD" w14:textId="77777777">
            <w:pPr>
              <w:tabs>
                <w:tab w:val="decimal" w:pos="787"/>
              </w:tabs>
              <w:spacing w:after="0" w:line="240" w:lineRule="auto"/>
              <w:rPr>
                <w:color w:val="000000"/>
                <w:sz w:val="20"/>
                <w:szCs w:val="20"/>
              </w:rPr>
            </w:pPr>
            <w:r w:rsidRPr="00A8196B">
              <w:rPr>
                <w:color w:val="000000"/>
                <w:sz w:val="20"/>
                <w:szCs w:val="20"/>
              </w:rPr>
              <w:t>32.745</w:t>
            </w:r>
          </w:p>
        </w:tc>
        <w:tc>
          <w:tcPr>
            <w:tcW w:w="1350" w:type="dxa"/>
            <w:tcBorders>
              <w:top w:val="nil"/>
              <w:left w:val="nil"/>
              <w:bottom w:val="single" w:sz="4" w:space="0" w:color="auto"/>
              <w:right w:val="double" w:sz="6" w:space="0" w:color="auto"/>
            </w:tcBorders>
            <w:shd w:val="clear" w:color="auto" w:fill="auto"/>
            <w:hideMark/>
          </w:tcPr>
          <w:p w:rsidR="003C2C15" w:rsidRPr="00A8196B" w:rsidP="001B4C90" w14:paraId="3DB43A34" w14:textId="302D1D68">
            <w:pPr>
              <w:spacing w:after="0" w:line="240" w:lineRule="auto"/>
              <w:ind w:right="302"/>
              <w:jc w:val="right"/>
              <w:rPr>
                <w:color w:val="000000"/>
                <w:sz w:val="20"/>
                <w:szCs w:val="20"/>
              </w:rPr>
            </w:pPr>
            <w:r w:rsidRPr="00A8196B">
              <w:rPr>
                <w:color w:val="000000"/>
                <w:sz w:val="20"/>
                <w:szCs w:val="20"/>
              </w:rPr>
              <w:t>5,</w:t>
            </w:r>
            <w:r w:rsidRPr="00A8196B" w:rsidR="006435F5">
              <w:rPr>
                <w:color w:val="000000"/>
                <w:sz w:val="20"/>
                <w:szCs w:val="20"/>
              </w:rPr>
              <w:t>992</w:t>
            </w:r>
          </w:p>
        </w:tc>
      </w:tr>
      <w:tr w14:paraId="6EF7A229"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975A6" w14:paraId="4B7BDCC6" w14:textId="77777777">
            <w:pPr>
              <w:spacing w:after="0" w:line="240" w:lineRule="auto"/>
              <w:rPr>
                <w:color w:val="000000"/>
                <w:sz w:val="20"/>
                <w:szCs w:val="20"/>
              </w:rPr>
            </w:pPr>
            <w:r w:rsidRPr="00A8196B">
              <w:rPr>
                <w:color w:val="000000"/>
                <w:sz w:val="20"/>
                <w:szCs w:val="20"/>
              </w:rPr>
              <w:t>Section 5(e) Orders with Triggered Testing</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1B4C90" w14:paraId="69D17FB4" w14:textId="4DCDE224">
            <w:pPr>
              <w:spacing w:after="0" w:line="240" w:lineRule="auto"/>
              <w:ind w:right="301"/>
              <w:jc w:val="right"/>
              <w:rPr>
                <w:color w:val="000000"/>
                <w:sz w:val="20"/>
                <w:szCs w:val="20"/>
              </w:rPr>
            </w:pPr>
            <w:r w:rsidRPr="00A8196B">
              <w:rPr>
                <w:color w:val="000000"/>
                <w:sz w:val="20"/>
                <w:szCs w:val="20"/>
              </w:rPr>
              <w:t>20</w:t>
            </w:r>
          </w:p>
        </w:tc>
        <w:tc>
          <w:tcPr>
            <w:tcW w:w="1890" w:type="dxa"/>
            <w:tcBorders>
              <w:top w:val="nil"/>
              <w:left w:val="nil"/>
              <w:bottom w:val="single" w:sz="4" w:space="0" w:color="auto"/>
              <w:right w:val="single" w:sz="4" w:space="0" w:color="auto"/>
            </w:tcBorders>
            <w:shd w:val="clear" w:color="auto" w:fill="auto"/>
            <w:hideMark/>
          </w:tcPr>
          <w:p w:rsidR="003C2C15" w:rsidRPr="00A8196B" w:rsidP="001B4C90" w14:paraId="251D0C30" w14:textId="77777777">
            <w:pPr>
              <w:tabs>
                <w:tab w:val="decimal" w:pos="787"/>
              </w:tabs>
              <w:spacing w:after="0" w:line="240" w:lineRule="auto"/>
              <w:rPr>
                <w:color w:val="000000"/>
                <w:sz w:val="20"/>
                <w:szCs w:val="20"/>
              </w:rPr>
            </w:pPr>
            <w:r w:rsidRPr="00A8196B">
              <w:rPr>
                <w:color w:val="000000"/>
                <w:sz w:val="20"/>
                <w:szCs w:val="20"/>
              </w:rPr>
              <w:t>167.745</w:t>
            </w:r>
          </w:p>
        </w:tc>
        <w:tc>
          <w:tcPr>
            <w:tcW w:w="1350" w:type="dxa"/>
            <w:tcBorders>
              <w:top w:val="nil"/>
              <w:left w:val="nil"/>
              <w:bottom w:val="single" w:sz="4" w:space="0" w:color="auto"/>
              <w:right w:val="double" w:sz="6" w:space="0" w:color="auto"/>
            </w:tcBorders>
            <w:shd w:val="clear" w:color="auto" w:fill="auto"/>
            <w:hideMark/>
          </w:tcPr>
          <w:p w:rsidR="003C2C15" w:rsidRPr="00A8196B" w:rsidP="001B4C90" w14:paraId="66694136" w14:textId="6E69643B">
            <w:pPr>
              <w:spacing w:after="0" w:line="240" w:lineRule="auto"/>
              <w:ind w:right="302"/>
              <w:jc w:val="right"/>
              <w:rPr>
                <w:color w:val="000000"/>
                <w:sz w:val="20"/>
                <w:szCs w:val="20"/>
              </w:rPr>
            </w:pPr>
            <w:r w:rsidRPr="00A8196B">
              <w:rPr>
                <w:color w:val="000000"/>
                <w:sz w:val="20"/>
                <w:szCs w:val="20"/>
              </w:rPr>
              <w:t>3,355</w:t>
            </w:r>
          </w:p>
        </w:tc>
      </w:tr>
      <w:tr w14:paraId="5209CFEB"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975A6" w14:paraId="2D14EE2A" w14:textId="26B8EE04">
            <w:pPr>
              <w:spacing w:after="0" w:line="240" w:lineRule="auto"/>
              <w:rPr>
                <w:color w:val="000000"/>
                <w:sz w:val="20"/>
                <w:szCs w:val="20"/>
              </w:rPr>
            </w:pPr>
            <w:r w:rsidRPr="00A8196B">
              <w:rPr>
                <w:color w:val="000000"/>
                <w:sz w:val="20"/>
                <w:szCs w:val="20"/>
              </w:rPr>
              <w:t>Section 5(e) Orders with Pended Testing/ 5(f) Orders with No Testing</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1B4C90" w14:paraId="1701910F" w14:textId="5C370D83">
            <w:pPr>
              <w:spacing w:after="0" w:line="240" w:lineRule="auto"/>
              <w:ind w:right="301"/>
              <w:jc w:val="right"/>
              <w:rPr>
                <w:color w:val="000000"/>
                <w:sz w:val="20"/>
                <w:szCs w:val="20"/>
              </w:rPr>
            </w:pPr>
            <w:r w:rsidRPr="00A8196B">
              <w:rPr>
                <w:color w:val="000000"/>
                <w:sz w:val="20"/>
                <w:szCs w:val="20"/>
              </w:rPr>
              <w:t>33</w:t>
            </w:r>
          </w:p>
        </w:tc>
        <w:tc>
          <w:tcPr>
            <w:tcW w:w="1890" w:type="dxa"/>
            <w:tcBorders>
              <w:top w:val="nil"/>
              <w:left w:val="nil"/>
              <w:bottom w:val="single" w:sz="4" w:space="0" w:color="auto"/>
              <w:right w:val="single" w:sz="4" w:space="0" w:color="auto"/>
            </w:tcBorders>
            <w:shd w:val="clear" w:color="auto" w:fill="auto"/>
            <w:hideMark/>
          </w:tcPr>
          <w:p w:rsidR="003C2C15" w:rsidRPr="00A8196B" w:rsidP="001B4C90" w14:paraId="3226B116" w14:textId="77777777">
            <w:pPr>
              <w:tabs>
                <w:tab w:val="decimal" w:pos="787"/>
              </w:tabs>
              <w:spacing w:after="0" w:line="240" w:lineRule="auto"/>
              <w:rPr>
                <w:color w:val="000000"/>
                <w:sz w:val="20"/>
                <w:szCs w:val="20"/>
              </w:rPr>
            </w:pPr>
            <w:r w:rsidRPr="00A8196B">
              <w:rPr>
                <w:color w:val="000000"/>
                <w:sz w:val="20"/>
                <w:szCs w:val="20"/>
              </w:rPr>
              <w:t>41.245</w:t>
            </w:r>
          </w:p>
        </w:tc>
        <w:tc>
          <w:tcPr>
            <w:tcW w:w="1350" w:type="dxa"/>
            <w:tcBorders>
              <w:top w:val="nil"/>
              <w:left w:val="nil"/>
              <w:bottom w:val="single" w:sz="4" w:space="0" w:color="auto"/>
              <w:right w:val="double" w:sz="6" w:space="0" w:color="auto"/>
            </w:tcBorders>
            <w:shd w:val="clear" w:color="auto" w:fill="auto"/>
            <w:hideMark/>
          </w:tcPr>
          <w:p w:rsidR="003C2C15" w:rsidRPr="00A8196B" w:rsidP="001B4C90" w14:paraId="11645B28" w14:textId="470E51F3">
            <w:pPr>
              <w:spacing w:after="0" w:line="240" w:lineRule="auto"/>
              <w:ind w:right="302"/>
              <w:jc w:val="right"/>
              <w:rPr>
                <w:color w:val="000000"/>
                <w:sz w:val="20"/>
                <w:szCs w:val="20"/>
              </w:rPr>
            </w:pPr>
            <w:r w:rsidRPr="00A8196B">
              <w:rPr>
                <w:color w:val="000000"/>
                <w:sz w:val="20"/>
                <w:szCs w:val="20"/>
              </w:rPr>
              <w:t>1,</w:t>
            </w:r>
            <w:r w:rsidRPr="00A8196B" w:rsidR="006435F5">
              <w:rPr>
                <w:color w:val="000000"/>
                <w:sz w:val="20"/>
                <w:szCs w:val="20"/>
              </w:rPr>
              <w:t>361</w:t>
            </w:r>
          </w:p>
        </w:tc>
      </w:tr>
      <w:tr w14:paraId="72FB1E3C"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0975A6" w14:paraId="5D7A41A9" w14:textId="77777777">
            <w:pPr>
              <w:spacing w:after="0" w:line="240" w:lineRule="auto"/>
              <w:rPr>
                <w:color w:val="000000"/>
                <w:sz w:val="20"/>
                <w:szCs w:val="20"/>
              </w:rPr>
            </w:pPr>
            <w:r w:rsidRPr="00A8196B">
              <w:rPr>
                <w:color w:val="000000"/>
                <w:sz w:val="20"/>
                <w:szCs w:val="20"/>
              </w:rPr>
              <w:t>NOC</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1B4C90" w14:paraId="3635E1B0" w14:textId="0B6ABEAF">
            <w:pPr>
              <w:spacing w:after="0" w:line="240" w:lineRule="auto"/>
              <w:ind w:right="301"/>
              <w:jc w:val="right"/>
              <w:rPr>
                <w:color w:val="000000"/>
                <w:sz w:val="20"/>
                <w:szCs w:val="20"/>
              </w:rPr>
            </w:pPr>
            <w:r w:rsidRPr="00A8196B">
              <w:rPr>
                <w:color w:val="000000"/>
                <w:sz w:val="20"/>
                <w:szCs w:val="20"/>
              </w:rPr>
              <w:t>1</w:t>
            </w:r>
            <w:r w:rsidRPr="00A8196B" w:rsidR="006435F5">
              <w:rPr>
                <w:color w:val="000000"/>
                <w:sz w:val="20"/>
                <w:szCs w:val="20"/>
              </w:rPr>
              <w:t>69</w:t>
            </w:r>
          </w:p>
        </w:tc>
        <w:tc>
          <w:tcPr>
            <w:tcW w:w="1890" w:type="dxa"/>
            <w:tcBorders>
              <w:top w:val="nil"/>
              <w:left w:val="nil"/>
              <w:bottom w:val="single" w:sz="4" w:space="0" w:color="auto"/>
              <w:right w:val="single" w:sz="4" w:space="0" w:color="auto"/>
            </w:tcBorders>
            <w:shd w:val="clear" w:color="auto" w:fill="auto"/>
            <w:hideMark/>
          </w:tcPr>
          <w:p w:rsidR="003C2C15" w:rsidRPr="00A8196B" w:rsidP="001B4C90" w14:paraId="4C1FE8FD" w14:textId="77777777">
            <w:pPr>
              <w:tabs>
                <w:tab w:val="decimal" w:pos="787"/>
              </w:tabs>
              <w:spacing w:after="0" w:line="240" w:lineRule="auto"/>
              <w:rPr>
                <w:color w:val="000000"/>
                <w:sz w:val="20"/>
                <w:szCs w:val="20"/>
              </w:rPr>
            </w:pPr>
            <w:r w:rsidRPr="00A8196B">
              <w:rPr>
                <w:color w:val="000000"/>
                <w:sz w:val="20"/>
                <w:szCs w:val="20"/>
              </w:rPr>
              <w:t>16.845</w:t>
            </w:r>
          </w:p>
        </w:tc>
        <w:tc>
          <w:tcPr>
            <w:tcW w:w="1350" w:type="dxa"/>
            <w:tcBorders>
              <w:top w:val="nil"/>
              <w:left w:val="nil"/>
              <w:bottom w:val="single" w:sz="4" w:space="0" w:color="auto"/>
              <w:right w:val="double" w:sz="6" w:space="0" w:color="auto"/>
            </w:tcBorders>
            <w:shd w:val="clear" w:color="auto" w:fill="auto"/>
            <w:hideMark/>
          </w:tcPr>
          <w:p w:rsidR="003C2C15" w:rsidRPr="00A8196B" w:rsidP="001B4C90" w14:paraId="7F3A19C2" w14:textId="1921E62A">
            <w:pPr>
              <w:spacing w:after="0" w:line="240" w:lineRule="auto"/>
              <w:ind w:right="302"/>
              <w:jc w:val="right"/>
              <w:rPr>
                <w:color w:val="000000"/>
                <w:sz w:val="20"/>
                <w:szCs w:val="20"/>
              </w:rPr>
            </w:pPr>
            <w:r w:rsidRPr="00A8196B">
              <w:rPr>
                <w:color w:val="000000"/>
                <w:sz w:val="20"/>
                <w:szCs w:val="20"/>
              </w:rPr>
              <w:t>2,847</w:t>
            </w:r>
          </w:p>
        </w:tc>
      </w:tr>
      <w:bookmarkEnd w:id="29"/>
      <w:bookmarkEnd w:id="30"/>
      <w:tr w14:paraId="4EDFB286" w14:textId="77777777" w:rsidTr="001B4C90">
        <w:tblPrEx>
          <w:tblW w:w="5000" w:type="pct"/>
          <w:tblLayout w:type="fixed"/>
          <w:tblCellMar>
            <w:left w:w="115" w:type="dxa"/>
            <w:right w:w="115" w:type="dxa"/>
          </w:tblCellMar>
          <w:tblLook w:val="04A0"/>
        </w:tblPrEx>
        <w:tc>
          <w:tcPr>
            <w:tcW w:w="4770" w:type="dxa"/>
            <w:gridSpan w:val="2"/>
            <w:tcBorders>
              <w:top w:val="nil"/>
              <w:left w:val="double" w:sz="6" w:space="0" w:color="auto"/>
              <w:bottom w:val="double" w:sz="6" w:space="0" w:color="auto"/>
              <w:right w:val="single" w:sz="4" w:space="0" w:color="auto"/>
            </w:tcBorders>
            <w:shd w:val="clear" w:color="auto" w:fill="auto"/>
            <w:hideMark/>
          </w:tcPr>
          <w:p w:rsidR="003C2C15" w:rsidRPr="00A8196B" w:rsidP="000975A6" w14:paraId="26C3E041" w14:textId="77777777">
            <w:pPr>
              <w:spacing w:after="0" w:line="240" w:lineRule="auto"/>
              <w:rPr>
                <w:b/>
                <w:bCs/>
                <w:color w:val="000000"/>
                <w:sz w:val="20"/>
                <w:szCs w:val="20"/>
              </w:rPr>
            </w:pPr>
            <w:r w:rsidRPr="00A8196B">
              <w:rPr>
                <w:b/>
                <w:bCs/>
                <w:color w:val="000000"/>
                <w:sz w:val="20"/>
                <w:szCs w:val="20"/>
              </w:rPr>
              <w:t>Total</w:t>
            </w:r>
          </w:p>
        </w:tc>
        <w:tc>
          <w:tcPr>
            <w:tcW w:w="1350" w:type="dxa"/>
            <w:tcBorders>
              <w:top w:val="nil"/>
              <w:left w:val="nil"/>
              <w:bottom w:val="double" w:sz="6" w:space="0" w:color="auto"/>
              <w:right w:val="single" w:sz="4" w:space="0" w:color="auto"/>
            </w:tcBorders>
            <w:shd w:val="clear" w:color="auto" w:fill="auto"/>
            <w:hideMark/>
          </w:tcPr>
          <w:p w:rsidR="003C2C15" w:rsidRPr="00A8196B" w:rsidP="001B4C90" w14:paraId="437EEC37" w14:textId="4487A1A3">
            <w:pPr>
              <w:spacing w:after="0" w:line="240" w:lineRule="auto"/>
              <w:ind w:right="301"/>
              <w:jc w:val="right"/>
              <w:rPr>
                <w:b/>
                <w:bCs/>
                <w:color w:val="000000"/>
                <w:sz w:val="20"/>
                <w:szCs w:val="20"/>
              </w:rPr>
            </w:pPr>
            <w:r w:rsidRPr="00A8196B">
              <w:rPr>
                <w:b/>
                <w:color w:val="000000" w:themeColor="text1"/>
                <w:sz w:val="20"/>
                <w:szCs w:val="20"/>
              </w:rPr>
              <w:t>1,</w:t>
            </w:r>
            <w:r w:rsidRPr="00A8196B" w:rsidR="006435F5">
              <w:rPr>
                <w:b/>
                <w:color w:val="000000" w:themeColor="text1"/>
                <w:sz w:val="20"/>
                <w:szCs w:val="20"/>
              </w:rPr>
              <w:t>343</w:t>
            </w:r>
          </w:p>
        </w:tc>
        <w:tc>
          <w:tcPr>
            <w:tcW w:w="1890" w:type="dxa"/>
            <w:tcBorders>
              <w:top w:val="nil"/>
              <w:left w:val="nil"/>
              <w:bottom w:val="double" w:sz="6" w:space="0" w:color="auto"/>
              <w:right w:val="single" w:sz="4" w:space="0" w:color="auto"/>
            </w:tcBorders>
            <w:shd w:val="clear" w:color="auto" w:fill="auto"/>
            <w:hideMark/>
          </w:tcPr>
          <w:p w:rsidR="003C2C15" w:rsidRPr="00A8196B" w:rsidP="001B4C90" w14:paraId="7738C235" w14:textId="16622934">
            <w:pPr>
              <w:tabs>
                <w:tab w:val="decimal" w:pos="787"/>
              </w:tabs>
              <w:spacing w:after="0" w:line="240" w:lineRule="auto"/>
              <w:rPr>
                <w:b/>
                <w:bCs/>
                <w:color w:val="000000"/>
                <w:sz w:val="20"/>
                <w:szCs w:val="20"/>
              </w:rPr>
            </w:pPr>
            <w:r w:rsidRPr="00A8196B">
              <w:rPr>
                <w:b/>
                <w:bCs/>
                <w:color w:val="000000"/>
                <w:sz w:val="20"/>
                <w:szCs w:val="20"/>
              </w:rPr>
              <w:t xml:space="preserve"> </w:t>
            </w:r>
          </w:p>
        </w:tc>
        <w:tc>
          <w:tcPr>
            <w:tcW w:w="1350" w:type="dxa"/>
            <w:tcBorders>
              <w:top w:val="nil"/>
              <w:left w:val="nil"/>
              <w:bottom w:val="double" w:sz="6" w:space="0" w:color="auto"/>
              <w:right w:val="double" w:sz="6" w:space="0" w:color="auto"/>
            </w:tcBorders>
            <w:shd w:val="clear" w:color="auto" w:fill="auto"/>
            <w:hideMark/>
          </w:tcPr>
          <w:p w:rsidR="003C2C15" w:rsidRPr="00A8196B" w:rsidP="001B4C90" w14:paraId="577F6F5A" w14:textId="2250D5E4">
            <w:pPr>
              <w:spacing w:after="0" w:line="240" w:lineRule="auto"/>
              <w:ind w:right="302"/>
              <w:jc w:val="right"/>
              <w:rPr>
                <w:b/>
                <w:bCs/>
                <w:color w:val="000000"/>
                <w:sz w:val="20"/>
                <w:szCs w:val="20"/>
              </w:rPr>
            </w:pPr>
            <w:r w:rsidRPr="00A8196B">
              <w:rPr>
                <w:b/>
                <w:bCs/>
                <w:color w:val="000000"/>
                <w:sz w:val="20"/>
                <w:szCs w:val="20"/>
              </w:rPr>
              <w:t>132,468</w:t>
            </w:r>
          </w:p>
        </w:tc>
      </w:tr>
      <w:tr w14:paraId="07A2A44E" w14:textId="77777777" w:rsidTr="001B4C90">
        <w:tblPrEx>
          <w:tblW w:w="5000" w:type="pct"/>
          <w:tblLayout w:type="fixed"/>
          <w:tblCellMar>
            <w:left w:w="115" w:type="dxa"/>
            <w:right w:w="115" w:type="dxa"/>
          </w:tblCellMar>
          <w:tblLook w:val="04A0"/>
        </w:tblPrEx>
        <w:tc>
          <w:tcPr>
            <w:tcW w:w="9360" w:type="dxa"/>
            <w:gridSpan w:val="5"/>
            <w:tcBorders>
              <w:top w:val="nil"/>
              <w:left w:val="nil"/>
              <w:bottom w:val="nil"/>
              <w:right w:val="nil"/>
            </w:tcBorders>
            <w:shd w:val="clear" w:color="auto" w:fill="auto"/>
          </w:tcPr>
          <w:p w:rsidR="00AC5A42" w:rsidRPr="00A8196B" w:rsidP="003C2C15" w14:paraId="0F353799" w14:textId="03806B62">
            <w:pPr>
              <w:pStyle w:val="TableFootnote"/>
              <w:rPr>
                <w:rFonts w:ascii="Arial" w:hAnsi="Arial" w:cs="Arial"/>
                <w:b/>
              </w:rPr>
            </w:pPr>
            <w:r w:rsidRPr="00A8196B">
              <w:rPr>
                <w:rFonts w:ascii="Arial" w:hAnsi="Arial" w:cs="Arial"/>
                <w:b/>
              </w:rPr>
              <w:t>Footnotes</w:t>
            </w:r>
          </w:p>
        </w:tc>
      </w:tr>
      <w:tr w14:paraId="50AF2BAF" w14:textId="77777777" w:rsidTr="001B4C90">
        <w:tblPrEx>
          <w:tblW w:w="5000" w:type="pct"/>
          <w:tblLayout w:type="fixed"/>
          <w:tblCellMar>
            <w:left w:w="115" w:type="dxa"/>
            <w:right w:w="115" w:type="dxa"/>
          </w:tblCellMar>
          <w:tblLook w:val="04A0"/>
        </w:tblPrEx>
        <w:tc>
          <w:tcPr>
            <w:tcW w:w="299" w:type="dxa"/>
            <w:tcBorders>
              <w:top w:val="nil"/>
              <w:left w:val="nil"/>
              <w:bottom w:val="nil"/>
              <w:right w:val="nil"/>
            </w:tcBorders>
            <w:shd w:val="clear" w:color="auto" w:fill="auto"/>
            <w:hideMark/>
          </w:tcPr>
          <w:p w:rsidR="003C2C15" w:rsidRPr="00A8196B" w:rsidP="000975A6" w14:paraId="76D0AEEB" w14:textId="77777777">
            <w:pPr>
              <w:spacing w:after="0" w:line="240" w:lineRule="auto"/>
              <w:jc w:val="right"/>
              <w:rPr>
                <w:rFonts w:cs="Arial"/>
                <w:color w:val="000000"/>
                <w:sz w:val="16"/>
                <w:szCs w:val="16"/>
              </w:rPr>
            </w:pPr>
            <w:r w:rsidRPr="00A8196B">
              <w:rPr>
                <w:rFonts w:cs="Arial"/>
                <w:color w:val="000000"/>
                <w:sz w:val="16"/>
                <w:szCs w:val="16"/>
                <w:vertAlign w:val="superscript"/>
              </w:rPr>
              <w:t>1</w:t>
            </w:r>
          </w:p>
        </w:tc>
        <w:tc>
          <w:tcPr>
            <w:tcW w:w="9061" w:type="dxa"/>
            <w:gridSpan w:val="4"/>
            <w:tcBorders>
              <w:top w:val="double" w:sz="6" w:space="0" w:color="auto"/>
              <w:left w:val="nil"/>
              <w:right w:val="nil"/>
            </w:tcBorders>
            <w:shd w:val="clear" w:color="auto" w:fill="auto"/>
            <w:hideMark/>
          </w:tcPr>
          <w:p w:rsidR="003C2C15" w:rsidRPr="00A8196B" w:rsidP="000975A6" w14:paraId="3ED37152" w14:textId="77777777">
            <w:pPr>
              <w:pStyle w:val="TableFootnote"/>
              <w:ind w:left="0" w:firstLine="0"/>
              <w:rPr>
                <w:rFonts w:ascii="Arial" w:hAnsi="Arial" w:cs="Arial"/>
                <w:sz w:val="16"/>
                <w:szCs w:val="16"/>
              </w:rPr>
            </w:pPr>
            <w:r w:rsidRPr="00A8196B">
              <w:rPr>
                <w:rFonts w:ascii="Arial" w:hAnsi="Arial" w:cs="Arial"/>
                <w:sz w:val="16"/>
                <w:szCs w:val="16"/>
              </w:rPr>
              <w:t xml:space="preserve">Based on the average number of submissions EPA received between FY 2015 and FY 2017, rounded to the nearest whole number. </w:t>
            </w:r>
          </w:p>
        </w:tc>
      </w:tr>
      <w:tr w14:paraId="0E9D4971" w14:textId="77777777" w:rsidTr="001B4C90">
        <w:tblPrEx>
          <w:tblW w:w="5000" w:type="pct"/>
          <w:tblLayout w:type="fixed"/>
          <w:tblCellMar>
            <w:left w:w="115" w:type="dxa"/>
            <w:right w:w="115" w:type="dxa"/>
          </w:tblCellMar>
          <w:tblLook w:val="04A0"/>
        </w:tblPrEx>
        <w:tc>
          <w:tcPr>
            <w:tcW w:w="299" w:type="dxa"/>
            <w:tcBorders>
              <w:top w:val="nil"/>
              <w:left w:val="nil"/>
              <w:bottom w:val="nil"/>
              <w:right w:val="nil"/>
            </w:tcBorders>
            <w:shd w:val="clear" w:color="auto" w:fill="auto"/>
          </w:tcPr>
          <w:p w:rsidR="003C2C15" w:rsidRPr="00A8196B" w:rsidP="000975A6" w14:paraId="6B2BAAB1" w14:textId="77777777">
            <w:pPr>
              <w:spacing w:after="0" w:line="240" w:lineRule="auto"/>
              <w:jc w:val="right"/>
              <w:rPr>
                <w:rFonts w:cs="Arial"/>
                <w:color w:val="000000"/>
                <w:sz w:val="16"/>
                <w:szCs w:val="16"/>
                <w:vertAlign w:val="superscript"/>
              </w:rPr>
            </w:pPr>
            <w:r w:rsidRPr="00A8196B">
              <w:rPr>
                <w:rFonts w:cs="Arial"/>
                <w:color w:val="000000"/>
                <w:sz w:val="16"/>
                <w:szCs w:val="16"/>
                <w:vertAlign w:val="superscript"/>
              </w:rPr>
              <w:t>2</w:t>
            </w:r>
          </w:p>
        </w:tc>
        <w:tc>
          <w:tcPr>
            <w:tcW w:w="9061" w:type="dxa"/>
            <w:gridSpan w:val="4"/>
            <w:tcBorders>
              <w:left w:val="nil"/>
              <w:bottom w:val="nil"/>
              <w:right w:val="nil"/>
            </w:tcBorders>
            <w:shd w:val="clear" w:color="auto" w:fill="auto"/>
          </w:tcPr>
          <w:p w:rsidR="003C2C15" w:rsidRPr="00A8196B" w:rsidP="000975A6" w14:paraId="05404B81" w14:textId="377A93F9">
            <w:pPr>
              <w:pStyle w:val="TableFootnote"/>
              <w:ind w:left="0" w:firstLine="0"/>
              <w:rPr>
                <w:rFonts w:ascii="Arial" w:hAnsi="Arial" w:cs="Arial"/>
                <w:sz w:val="16"/>
                <w:szCs w:val="16"/>
              </w:rPr>
            </w:pPr>
            <w:r w:rsidRPr="00A8196B">
              <w:rPr>
                <w:rFonts w:ascii="Arial" w:hAnsi="Arial" w:cs="Arial"/>
                <w:sz w:val="16"/>
                <w:szCs w:val="16"/>
              </w:rPr>
              <w:t xml:space="preserve">The estimated average number of PMNs, SNUNs, and MCANs are expected to decrease as indicated in in the final rule Fees for the Administration of the Toxic Substances Control Act (2018) (83 </w:t>
            </w:r>
            <w:r w:rsidRPr="00A8196B" w:rsidR="00D46DA6">
              <w:rPr>
                <w:rFonts w:ascii="Arial" w:hAnsi="Arial" w:cs="Arial"/>
                <w:sz w:val="16"/>
                <w:szCs w:val="16"/>
              </w:rPr>
              <w:t>FR</w:t>
            </w:r>
            <w:r w:rsidRPr="00A8196B">
              <w:rPr>
                <w:rFonts w:ascii="Arial" w:hAnsi="Arial" w:cs="Arial"/>
                <w:sz w:val="16"/>
                <w:szCs w:val="16"/>
              </w:rPr>
              <w:t xml:space="preserve"> 52694).</w:t>
            </w:r>
          </w:p>
        </w:tc>
      </w:tr>
      <w:tr w14:paraId="3C095DFA" w14:textId="77777777" w:rsidTr="001B4C90">
        <w:tblPrEx>
          <w:tblW w:w="5000" w:type="pct"/>
          <w:tblLayout w:type="fixed"/>
          <w:tblCellMar>
            <w:left w:w="115" w:type="dxa"/>
            <w:right w:w="115" w:type="dxa"/>
          </w:tblCellMar>
          <w:tblLook w:val="04A0"/>
        </w:tblPrEx>
        <w:tc>
          <w:tcPr>
            <w:tcW w:w="299" w:type="dxa"/>
            <w:tcBorders>
              <w:top w:val="nil"/>
              <w:left w:val="nil"/>
              <w:bottom w:val="nil"/>
              <w:right w:val="nil"/>
            </w:tcBorders>
            <w:shd w:val="clear" w:color="auto" w:fill="auto"/>
            <w:hideMark/>
          </w:tcPr>
          <w:p w:rsidR="003C2C15" w:rsidRPr="00A8196B" w:rsidP="000975A6" w14:paraId="431722A8" w14:textId="77777777">
            <w:pPr>
              <w:spacing w:after="0" w:line="240" w:lineRule="auto"/>
              <w:jc w:val="right"/>
              <w:rPr>
                <w:rFonts w:cs="Arial"/>
                <w:color w:val="000000"/>
                <w:sz w:val="16"/>
                <w:szCs w:val="16"/>
              </w:rPr>
            </w:pPr>
            <w:r w:rsidRPr="00A8196B">
              <w:rPr>
                <w:rFonts w:cs="Arial"/>
                <w:color w:val="000000"/>
                <w:sz w:val="16"/>
                <w:szCs w:val="16"/>
                <w:vertAlign w:val="superscript"/>
              </w:rPr>
              <w:t>3</w:t>
            </w:r>
          </w:p>
        </w:tc>
        <w:tc>
          <w:tcPr>
            <w:tcW w:w="9061" w:type="dxa"/>
            <w:gridSpan w:val="4"/>
            <w:tcBorders>
              <w:top w:val="nil"/>
              <w:left w:val="nil"/>
              <w:bottom w:val="nil"/>
              <w:right w:val="nil"/>
            </w:tcBorders>
            <w:shd w:val="clear" w:color="auto" w:fill="auto"/>
            <w:hideMark/>
          </w:tcPr>
          <w:p w:rsidR="003C2C15" w:rsidRPr="00A8196B" w:rsidP="000975A6" w14:paraId="6999601E" w14:textId="77777777">
            <w:pPr>
              <w:pStyle w:val="TableFootnote"/>
              <w:ind w:left="0" w:firstLine="0"/>
              <w:rPr>
                <w:rFonts w:ascii="Arial" w:hAnsi="Arial" w:cs="Arial"/>
                <w:sz w:val="16"/>
                <w:szCs w:val="16"/>
              </w:rPr>
            </w:pPr>
            <w:r w:rsidRPr="00A8196B">
              <w:rPr>
                <w:rFonts w:ascii="Arial" w:hAnsi="Arial" w:cs="Arial"/>
                <w:sz w:val="16"/>
                <w:szCs w:val="16"/>
              </w:rPr>
              <w:t>Based on the average number of submissions EPA received between FY 2016 and FY 2017, rounded up to the nearest whole number.</w:t>
            </w:r>
          </w:p>
        </w:tc>
      </w:tr>
      <w:tr w14:paraId="3D9DB411" w14:textId="77777777" w:rsidTr="001B4C90">
        <w:tblPrEx>
          <w:tblW w:w="5000" w:type="pct"/>
          <w:tblLayout w:type="fixed"/>
          <w:tblCellMar>
            <w:left w:w="115" w:type="dxa"/>
            <w:right w:w="115" w:type="dxa"/>
          </w:tblCellMar>
          <w:tblLook w:val="04A0"/>
        </w:tblPrEx>
        <w:tc>
          <w:tcPr>
            <w:tcW w:w="299" w:type="dxa"/>
            <w:tcBorders>
              <w:top w:val="nil"/>
              <w:left w:val="nil"/>
              <w:bottom w:val="nil"/>
              <w:right w:val="nil"/>
            </w:tcBorders>
            <w:shd w:val="clear" w:color="auto" w:fill="auto"/>
            <w:hideMark/>
          </w:tcPr>
          <w:p w:rsidR="003C2C15" w:rsidRPr="00A8196B" w:rsidP="000975A6" w14:paraId="4E671C0E" w14:textId="77777777">
            <w:pPr>
              <w:spacing w:after="0" w:line="240" w:lineRule="auto"/>
              <w:jc w:val="right"/>
              <w:rPr>
                <w:rFonts w:cs="Arial"/>
                <w:color w:val="000000"/>
                <w:sz w:val="16"/>
                <w:szCs w:val="16"/>
              </w:rPr>
            </w:pPr>
            <w:r w:rsidRPr="00A8196B">
              <w:rPr>
                <w:rFonts w:cs="Arial"/>
                <w:color w:val="000000"/>
                <w:sz w:val="16"/>
                <w:szCs w:val="16"/>
                <w:vertAlign w:val="superscript"/>
              </w:rPr>
              <w:t>4</w:t>
            </w:r>
          </w:p>
        </w:tc>
        <w:tc>
          <w:tcPr>
            <w:tcW w:w="9061" w:type="dxa"/>
            <w:gridSpan w:val="4"/>
            <w:tcBorders>
              <w:top w:val="nil"/>
              <w:left w:val="nil"/>
              <w:bottom w:val="nil"/>
              <w:right w:val="nil"/>
            </w:tcBorders>
            <w:shd w:val="clear" w:color="auto" w:fill="auto"/>
            <w:hideMark/>
          </w:tcPr>
          <w:p w:rsidR="003C2C15" w:rsidRPr="00A8196B" w:rsidP="000975A6" w14:paraId="64AC35ED" w14:textId="77777777">
            <w:pPr>
              <w:pStyle w:val="TableFootnote"/>
              <w:ind w:left="0" w:firstLine="0"/>
              <w:rPr>
                <w:rFonts w:ascii="Arial" w:hAnsi="Arial" w:cs="Arial"/>
                <w:sz w:val="16"/>
                <w:szCs w:val="16"/>
              </w:rPr>
            </w:pPr>
            <w:r w:rsidRPr="00A8196B">
              <w:rPr>
                <w:rFonts w:ascii="Arial" w:hAnsi="Arial" w:cs="Arial"/>
                <w:sz w:val="16"/>
                <w:szCs w:val="16"/>
              </w:rPr>
              <w:t>Based on EPA professional judgment and industry data.</w:t>
            </w:r>
          </w:p>
        </w:tc>
      </w:tr>
    </w:tbl>
    <w:p w:rsidR="003C2C15" w:rsidRPr="00A8196B" w:rsidP="008C16F4" w14:paraId="6611CA63" w14:textId="10B9D5B3">
      <w:pPr>
        <w:pStyle w:val="Heading3"/>
        <w:numPr>
          <w:ilvl w:val="0"/>
          <w:numId w:val="0"/>
        </w:numPr>
        <w:spacing w:before="240" w:line="276" w:lineRule="auto"/>
        <w:ind w:firstLine="1080"/>
        <w:rPr>
          <w:rFonts w:cs="Arial"/>
          <w:i/>
          <w:iCs/>
        </w:rPr>
      </w:pPr>
      <w:bookmarkStart w:id="31" w:name="_Ref503335805"/>
      <w:bookmarkEnd w:id="28"/>
      <w:r w:rsidRPr="00A8196B">
        <w:t>Development of Burden Estimate Associated with PMNs</w:t>
      </w:r>
      <w:bookmarkEnd w:id="31"/>
    </w:p>
    <w:p w:rsidR="003C2C15" w:rsidRPr="00A8196B" w:rsidP="000F68A9" w14:paraId="538E2C7A" w14:textId="77777777">
      <w:pPr>
        <w:pStyle w:val="BodyTextFirstIndent"/>
        <w:spacing w:after="200" w:line="276" w:lineRule="auto"/>
        <w:rPr>
          <w:rFonts w:cs="Arial"/>
        </w:rPr>
      </w:pPr>
      <w:r w:rsidRPr="00A8196B">
        <w:rPr>
          <w:rFonts w:cs="Arial"/>
        </w:rPr>
        <w:t>The unit submission costs for TSCA section 5 PMNs has been developed over the course of several rulemakings, discussed here in some detail. The PMN burden is also used as the basis for estimating the burden for other notices (PMN, SNUN, TME, and LVE/LoREX), because each of these notices requires the submission of a complete PMN form.</w:t>
      </w:r>
    </w:p>
    <w:p w:rsidR="00A7023B" w:rsidRPr="00A8196B" w:rsidP="000F68A9" w14:paraId="6A57941F" w14:textId="77777777">
      <w:pPr>
        <w:pStyle w:val="BodyTextFirstIndent"/>
        <w:spacing w:after="200" w:line="276" w:lineRule="auto"/>
        <w:rPr>
          <w:rFonts w:cs="Arial"/>
        </w:rPr>
      </w:pPr>
      <w:r w:rsidRPr="00A8196B">
        <w:rPr>
          <w:rFonts w:cs="Arial"/>
        </w:rPr>
        <w:t>The burden estimate began with EPA’s (1994) Regulatory Impact Analysis of Amendments to Regulations for TSCA section 5 Premanufacture Notifications</w:t>
      </w:r>
      <w:r w:rsidRPr="00A8196B">
        <w:rPr>
          <w:rFonts w:cs="Arial"/>
        </w:rPr>
        <w:t xml:space="preserve"> </w:t>
      </w:r>
      <w:r w:rsidRPr="00A8196B">
        <w:rPr>
          <w:rFonts w:cs="Arial"/>
        </w:rPr>
        <w:t>and EPA’s (2009) Economic Analysis of the Premanufacture Notification Electronic Reporting (e-PMN) final rule.</w:t>
      </w:r>
    </w:p>
    <w:p w:rsidR="003C2C15" w:rsidRPr="00A8196B" w:rsidP="000F68A9" w14:paraId="7C22DEB0" w14:textId="51BA1229">
      <w:pPr>
        <w:pStyle w:val="BodyTextFirstIndent"/>
        <w:spacing w:after="200" w:line="276" w:lineRule="auto"/>
        <w:rPr>
          <w:rFonts w:cs="Arial"/>
        </w:rPr>
      </w:pPr>
      <w:r w:rsidRPr="00A8196B">
        <w:rPr>
          <w:rFonts w:cs="Arial"/>
        </w:rPr>
        <w:t>The PMN submission time estimates are derived from two documents, which we refer to using the following terms:</w:t>
      </w:r>
    </w:p>
    <w:p w:rsidR="00A7023B" w:rsidRPr="00A8196B" w:rsidP="000F68A9" w14:paraId="2ECE7445" w14:textId="77777777">
      <w:pPr>
        <w:pStyle w:val="ListNumber"/>
        <w:numPr>
          <w:ilvl w:val="0"/>
          <w:numId w:val="15"/>
        </w:numPr>
        <w:spacing w:after="200" w:line="276" w:lineRule="auto"/>
        <w:ind w:left="1080"/>
        <w:rPr>
          <w:rFonts w:ascii="Arial" w:hAnsi="Arial" w:cs="Arial"/>
        </w:rPr>
      </w:pPr>
      <w:r w:rsidRPr="00A8196B">
        <w:rPr>
          <w:rFonts w:ascii="Arial" w:hAnsi="Arial" w:cs="Arial"/>
        </w:rPr>
        <w:t>“</w:t>
      </w:r>
      <w:r w:rsidRPr="00A8196B">
        <w:rPr>
          <w:rFonts w:ascii="Arial" w:hAnsi="Arial" w:cs="Arial"/>
          <w:b/>
        </w:rPr>
        <w:t>The 1994 RIA</w:t>
      </w:r>
      <w:r w:rsidRPr="00A8196B">
        <w:rPr>
          <w:rFonts w:ascii="Arial" w:hAnsi="Arial" w:cs="Arial"/>
        </w:rPr>
        <w:t>”: Regulatory Impact Analysis of Amendments to Regulations for TSCA Section 5 Premanufacture Notifications.</w:t>
      </w:r>
    </w:p>
    <w:p w:rsidR="003C2C15" w:rsidRPr="00A8196B" w:rsidP="000F68A9" w14:paraId="28E6393E" w14:textId="44F96618">
      <w:pPr>
        <w:pStyle w:val="ListNumber"/>
        <w:spacing w:after="200" w:line="276" w:lineRule="auto"/>
        <w:rPr>
          <w:rFonts w:ascii="Arial" w:hAnsi="Arial" w:cs="Arial"/>
        </w:rPr>
      </w:pPr>
      <w:r w:rsidRPr="00A8196B">
        <w:rPr>
          <w:rFonts w:ascii="Arial" w:hAnsi="Arial" w:cs="Arial"/>
        </w:rPr>
        <w:t>“</w:t>
      </w:r>
      <w:r w:rsidRPr="00A8196B">
        <w:rPr>
          <w:rFonts w:ascii="Arial" w:hAnsi="Arial" w:cs="Arial"/>
          <w:b/>
        </w:rPr>
        <w:t>The 2009 EA</w:t>
      </w:r>
      <w:r w:rsidRPr="00A8196B">
        <w:rPr>
          <w:rFonts w:ascii="Arial" w:hAnsi="Arial" w:cs="Arial"/>
        </w:rPr>
        <w:t>”: The Economic Analysis of the e-PMN final rule.</w:t>
      </w:r>
    </w:p>
    <w:p w:rsidR="003C2C15" w:rsidRPr="00A8196B" w:rsidP="000F68A9" w14:paraId="540B5C59" w14:textId="473B72E2">
      <w:pPr>
        <w:pStyle w:val="BodyTextFirstIndent"/>
        <w:spacing w:after="200" w:line="276" w:lineRule="auto"/>
        <w:rPr>
          <w:rFonts w:cs="Arial"/>
        </w:rPr>
      </w:pPr>
      <w:r w:rsidRPr="00A8196B">
        <w:rPr>
          <w:rFonts w:cs="Arial"/>
        </w:rPr>
        <w:t xml:space="preserve">The 1994 RIA was the first to estimate the PMN submission time, and gives a range of </w:t>
      </w:r>
      <w:r w:rsidRPr="00A8196B">
        <w:rPr>
          <w:rFonts w:cs="Arial"/>
        </w:rPr>
        <w:t>low/high estimates for each element of the PMN form.</w:t>
      </w:r>
      <w:r>
        <w:rPr>
          <w:rStyle w:val="FootnoteReference"/>
          <w:rFonts w:eastAsiaTheme="majorEastAsia" w:cs="Arial"/>
        </w:rPr>
        <w:footnoteReference w:id="6"/>
      </w:r>
      <w:r w:rsidRPr="00A8196B">
        <w:rPr>
          <w:rFonts w:cs="Arial"/>
        </w:rPr>
        <w:t xml:space="preserve"> When these estimates are summed for the entire PMN form, they result in a range of 12 to 14 Clerical hours, 67 to 80 technical hours, and 16 to 20 managerial hours, for a total of 95 to114 total hours per PMN (</w:t>
      </w:r>
      <w:bookmarkStart w:id="32" w:name="_Hlk412138293"/>
      <w:r w:rsidRPr="00A8196B">
        <w:rPr>
          <w:rFonts w:cs="Arial"/>
        </w:rPr>
        <w:t xml:space="preserve">see </w:t>
      </w:r>
      <w:r w:rsidRPr="00A8196B" w:rsidR="00F86157">
        <w:rPr>
          <w:rFonts w:cs="Arial"/>
        </w:rPr>
        <w:t>Table 16</w:t>
      </w:r>
      <w:r w:rsidRPr="00A8196B">
        <w:rPr>
          <w:rFonts w:cs="Arial"/>
        </w:rPr>
        <w:t>).</w:t>
      </w:r>
      <w:bookmarkEnd w:id="32"/>
    </w:p>
    <w:p w:rsidR="003C2C15" w:rsidRPr="00A8196B" w:rsidP="000F68A9" w14:paraId="52E2ADEE" w14:textId="71517504">
      <w:pPr>
        <w:pStyle w:val="BodyTextFirstIndent"/>
        <w:spacing w:after="200" w:line="276" w:lineRule="auto"/>
        <w:rPr>
          <w:rFonts w:cs="Arial"/>
        </w:rPr>
      </w:pPr>
      <w:r w:rsidRPr="00A8196B">
        <w:rPr>
          <w:rFonts w:cs="Arial"/>
        </w:rPr>
        <w:t>The 2009 e-PMN rule EA used the PMN submission time estimates given in the 1994 RIA, with three key modifications. First, it used the average of the ranges presented in the 1994 RIA instead of ranges. Second, it eliminated the average of 13 clerical hours due to the PMN form being submitted electronically rather than in paper form. Third, the e-PMN final rule added two data fields, and the 2009 e-PMN EA adds burden to reflect these new items. These include 10 minutes of additional technical time for the User Fee Payment Identification Number field and 1 minute of additional technical time for the email address field, for a total of 11 new minutes. Taken together, these three changes result in a total of 0 Clerical hours, 73.683 technical hours, and 18 managerial hours, for a total of 91.683 hours per PMN.</w:t>
      </w:r>
    </w:p>
    <w:p w:rsidR="003C2C15" w:rsidRPr="00A8196B" w:rsidP="000F68A9" w14:paraId="5D375701" w14:textId="0F681EF0">
      <w:pPr>
        <w:pStyle w:val="BodyTextFirstIndent"/>
        <w:spacing w:after="200" w:line="276" w:lineRule="auto"/>
        <w:rPr>
          <w:rFonts w:cs="Arial"/>
        </w:rPr>
      </w:pPr>
      <w:r w:rsidRPr="00A8196B">
        <w:rPr>
          <w:rFonts w:cs="Arial"/>
        </w:rPr>
        <w:t>As noted in above, the 2016 TSCA amendments also added burden for CBI substantiation. Based on the number of substantive questions and data elements applicable to post-market submissions, and in keeping with the burden estimates developed in EPA’s 2017 Information Collection Request for Chemical Data Reporting, EPA estimates that CBI substantiation will be associated with a total of 16.245 additional burden hours. For Chem ID-based substantiation, this includes 9.625 hours and 4.750 managerial hours. For Non-Chem ID-based substantiation, this includes 1.550 technical hours and 0.320 managerial Hours.</w:t>
      </w:r>
    </w:p>
    <w:p w:rsidR="003C2C15" w:rsidRPr="00A8196B" w:rsidP="000F68A9" w14:paraId="2F11AF82" w14:textId="2D5A8EDB">
      <w:pPr>
        <w:pStyle w:val="BodyTextFirstIndent"/>
        <w:spacing w:after="200" w:line="276" w:lineRule="auto"/>
        <w:rPr>
          <w:rFonts w:cs="Arial"/>
        </w:rPr>
      </w:pPr>
      <w:r w:rsidRPr="00A8196B">
        <w:rPr>
          <w:rFonts w:cs="Arial"/>
        </w:rPr>
        <w:t>Based on consideration of comments received from the TSCA NCC relevant to burden costs, this ICR now estimates an additional notice preparation burden of 25.67 technical hours and five managerial hours per PMN, for a total of 30.67 hours per PMN.</w:t>
      </w:r>
    </w:p>
    <w:p w:rsidR="003C2C15" w:rsidRPr="00A8196B" w:rsidP="000F68A9" w14:paraId="5486E884" w14:textId="69778892">
      <w:pPr>
        <w:pStyle w:val="BodyTextFirstIndent"/>
        <w:spacing w:after="200" w:line="276" w:lineRule="auto"/>
        <w:rPr>
          <w:rFonts w:cs="Arial"/>
        </w:rPr>
      </w:pPr>
      <w:r w:rsidRPr="00A8196B">
        <w:rPr>
          <w:rFonts w:cs="Arial"/>
        </w:rPr>
        <w:t xml:space="preserve">EPA’s document entitled “Points to Consider When Preparing TSCA New Chemical Notifications” </w:t>
      </w:r>
      <w:r w:rsidRPr="00A8196B" w:rsidR="0098141A">
        <w:rPr>
          <w:rFonts w:cs="Arial"/>
        </w:rPr>
        <w:t xml:space="preserve">(Attachment 5) </w:t>
      </w:r>
      <w:r w:rsidRPr="00A8196B">
        <w:rPr>
          <w:rFonts w:cs="Arial"/>
        </w:rPr>
        <w:t>was released as part of an emergency amendment to ICR 0574.17 and OMB control number 2070-0012 (83 FR 27768, June 14, 2018) to inform and assist submitters planning to prepare PMNs, SNUNs, and exemption applications for Agency review. EPA estimates that it will take submitters 1.4 hours of managerial and technical burden per notice to read through and familiarize themselves with the document. One-third of this total burden is allocated to technical labor and two-thirds to managerial labor. For PMNs in particular, EPA also estimates that familiarization with the “Points to Consider” document will require an additional 9 hours of technical burden and 1 hour of managerial burden per notice, for a total of 11.4 hours per PMN.</w:t>
      </w:r>
    </w:p>
    <w:p w:rsidR="003C2C15" w:rsidRPr="00A8196B" w:rsidP="000F68A9" w14:paraId="5692E512" w14:textId="7B1812C3">
      <w:pPr>
        <w:pStyle w:val="BodyTextFirstIndent"/>
        <w:spacing w:after="200" w:line="276" w:lineRule="auto"/>
        <w:rPr>
          <w:rFonts w:cs="Arial"/>
        </w:rPr>
      </w:pPr>
      <w:r w:rsidRPr="00A8196B">
        <w:rPr>
          <w:rFonts w:cs="Arial"/>
        </w:rPr>
        <w:t xml:space="preserve">EPA also estimates that 20 percent of PMNs will require time for pre-notification consultation, consisting of 10 hours of technical time and 5 hours of managerial time, or </w:t>
      </w:r>
      <w:r w:rsidRPr="00A8196B">
        <w:rPr>
          <w:rFonts w:cs="Arial"/>
        </w:rPr>
        <w:t xml:space="preserve">15 hours total. Converting this number to an overall average applicable to </w:t>
      </w:r>
      <w:r w:rsidRPr="00A8196B">
        <w:rPr>
          <w:rFonts w:cs="Arial"/>
          <w:i/>
        </w:rPr>
        <w:t>all</w:t>
      </w:r>
      <w:r w:rsidRPr="00A8196B">
        <w:rPr>
          <w:rFonts w:cs="Arial"/>
        </w:rPr>
        <w:t xml:space="preserve"> PMNs, the expected burden for the average PMN is 2 hours of technical time, 1 hours of managerial time, and 3 hours total.</w:t>
      </w:r>
    </w:p>
    <w:p w:rsidR="00FB2F60" w:rsidRPr="00A8196B" w:rsidP="00FB2F60" w14:paraId="4E8E02E3" w14:textId="77777777">
      <w:pPr>
        <w:pStyle w:val="BodyTextFirstIndent"/>
        <w:spacing w:after="200" w:line="276" w:lineRule="auto"/>
      </w:pPr>
      <w:r w:rsidRPr="00A8196B">
        <w:rPr>
          <w:rFonts w:cs="Arial"/>
        </w:rPr>
        <w:t>Finally, EPA estimates that PMN submitters will spend time engaging in post-notification communications with EPA, consisting of 90 hours of technical time and 7.5 hours of managerial time, for a total of 97.5 hours</w:t>
      </w:r>
      <w:r w:rsidRPr="00A8196B" w:rsidR="00907300">
        <w:t xml:space="preserve"> (see Appendix)</w:t>
      </w:r>
      <w:bookmarkStart w:id="33" w:name="_Ref503260556"/>
    </w:p>
    <w:p w:rsidR="003C2C15" w:rsidRPr="00A8196B" w:rsidP="00FB2F60" w14:paraId="1DCE4A9D" w14:textId="39119023">
      <w:pPr>
        <w:pStyle w:val="BodyTextFirstIndent"/>
        <w:spacing w:after="200" w:line="276" w:lineRule="auto"/>
        <w:rPr>
          <w:b/>
          <w:bCs/>
        </w:rPr>
      </w:pPr>
      <w:r w:rsidRPr="00A8196B">
        <w:rPr>
          <w:b/>
          <w:bCs/>
        </w:rPr>
        <w:tab/>
      </w:r>
      <w:r w:rsidRPr="00A8196B">
        <w:rPr>
          <w:b/>
          <w:bCs/>
        </w:rPr>
        <w:t>Burden Associated with Recordkeeping</w:t>
      </w:r>
      <w:bookmarkEnd w:id="33"/>
    </w:p>
    <w:p w:rsidR="003C2C15" w:rsidRPr="00A8196B" w:rsidP="009B2563" w14:paraId="0E112821" w14:textId="18671F06">
      <w:pPr>
        <w:pStyle w:val="BodyTextFirstIndent"/>
        <w:spacing w:after="200" w:line="276" w:lineRule="auto"/>
        <w:rPr>
          <w:rStyle w:val="FootnoteReference"/>
          <w:rFonts w:eastAsiaTheme="majorEastAsia"/>
          <w:b/>
          <w:bCs/>
          <w:szCs w:val="24"/>
        </w:rPr>
      </w:pPr>
      <w:r w:rsidRPr="00A8196B">
        <w:t xml:space="preserve">The total respondent recordkeeping burden associated with this information collection is an estimated </w:t>
      </w:r>
      <w:r w:rsidRPr="00A8196B" w:rsidR="002355AC">
        <w:t>1,882</w:t>
      </w:r>
      <w:r w:rsidRPr="00A8196B">
        <w:rPr>
          <w:b/>
        </w:rPr>
        <w:t xml:space="preserve"> </w:t>
      </w:r>
      <w:r w:rsidRPr="00A8196B">
        <w:rPr>
          <w:bCs/>
        </w:rPr>
        <w:t xml:space="preserve">hours </w:t>
      </w:r>
      <w:r w:rsidRPr="00A8196B">
        <w:t>(</w:t>
      </w:r>
      <w:r w:rsidRPr="00A8196B" w:rsidR="00F86157">
        <w:t>17</w:t>
      </w:r>
      <w:r w:rsidRPr="00A8196B">
        <w:t xml:space="preserve">). This burden estimate is calculated by multiplying the estimated recordkeeping burden associated with each type of submission, by the estimated number of submissions for each notice and summing across notice types. All recordkeeping burden estimates are taken from the </w:t>
      </w:r>
      <w:r w:rsidRPr="00A8196B">
        <w:rPr>
          <w:i/>
        </w:rPr>
        <w:t>Economic Analysis of the Premanufacture Notification Electronic Reporting Final Rule</w:t>
      </w:r>
      <w:r w:rsidRPr="00A8196B">
        <w:t xml:space="preserve"> (EPA, 2009). It should be noted that there is no recordkeeping burden associated with submitting a full electronic </w:t>
      </w:r>
      <w:r w:rsidRPr="00A8196B">
        <w:rPr>
          <w:bCs/>
        </w:rPr>
        <w:t>PMN</w:t>
      </w:r>
      <w:r w:rsidRPr="00A8196B">
        <w:t xml:space="preserve"> </w:t>
      </w:r>
      <w:r w:rsidRPr="00A8196B">
        <w:rPr>
          <w:bCs/>
        </w:rPr>
        <w:t>SNUN, LVE, or LoREX</w:t>
      </w:r>
      <w:r w:rsidRPr="00A8196B">
        <w:t xml:space="preserve"> submission because the burden estimate of 91.683 hours per form already includes the burden associated with recordkeeping.</w:t>
      </w:r>
      <w:r>
        <w:rPr>
          <w:rStyle w:val="FootnoteReference"/>
          <w:rFonts w:eastAsiaTheme="majorEastAsia"/>
        </w:rPr>
        <w:footnoteReference w:id="7"/>
      </w:r>
    </w:p>
    <w:p w:rsidR="003C2C15" w:rsidRPr="00A8196B" w:rsidP="009B2563" w14:paraId="433D2B37" w14:textId="77777777">
      <w:pPr>
        <w:pStyle w:val="BodyTextFirstIndent"/>
        <w:spacing w:after="200" w:line="276" w:lineRule="auto"/>
      </w:pPr>
      <w:r w:rsidRPr="00A8196B">
        <w:t>Once a respondent presents information in an initial TSCA section 5 submission, the burden for maintaining or updating these records is minimal. The recordkeeping burden for several TSCA section 5 submissions have decreased due to the implementation of the e-PMN rule, which was finalized in 2010. EPA assumes an aggregate annualized recordkeeping burden of one hour for each PMN, SNUN, MCAN, exemption submission, or biotech submission under this new rule. This estimate is based on the recordkeeping burden associated with essential technical requirements, such as records that demonstrate that the first commercial batch of a chemical manufactured for commercial purposes under the exemption met certain eligibility criteria. The recordkeeping burden estimate for section 5(e) testing is17.5 hours. For section 5(e) and 5(f) non-testing the burden estimate is 25 hours.</w:t>
      </w:r>
    </w:p>
    <w:p w:rsidR="00D03962" w:rsidRPr="00A8196B" w:rsidP="009B2563" w14:paraId="1CAFC3C9" w14:textId="744C7E30">
      <w:pPr>
        <w:pStyle w:val="BodyTextFirstIndent"/>
        <w:spacing w:after="200" w:line="276" w:lineRule="auto"/>
      </w:pPr>
      <w:r w:rsidRPr="00A8196B">
        <w:t xml:space="preserve">The overall respondent recordkeeping burden is displayed below in </w:t>
      </w:r>
      <w:r w:rsidRPr="00A8196B" w:rsidR="00F86157">
        <w:t>Table1</w:t>
      </w:r>
      <w:r w:rsidRPr="00A8196B" w:rsidR="000F68A9">
        <w:t>6</w:t>
      </w:r>
      <w:r w:rsidRPr="00A8196B">
        <w:t>.</w:t>
      </w:r>
    </w:p>
    <w:p w:rsidR="0063643F" w:rsidRPr="00A8196B" w:rsidP="009B2563" w14:paraId="35F70B78" w14:textId="77777777">
      <w:pPr>
        <w:pStyle w:val="BodyTextFirstIndent"/>
        <w:spacing w:after="200" w:line="276" w:lineRule="auto"/>
      </w:pPr>
    </w:p>
    <w:p w:rsidR="000C606B" w:rsidRPr="00A8196B" w:rsidP="0063643F" w14:paraId="487D8947" w14:textId="4F02A035">
      <w:pPr>
        <w:pStyle w:val="Caption"/>
      </w:pPr>
      <w:bookmarkStart w:id="34" w:name="_Ref501611353"/>
      <w:r w:rsidRPr="00A8196B">
        <w:t>Table 16</w:t>
      </w:r>
      <w:r w:rsidRPr="00A8196B" w:rsidR="008C16F4">
        <w:t>:</w:t>
      </w:r>
      <w:r w:rsidRPr="00A8196B">
        <w:t xml:space="preserve"> </w:t>
      </w:r>
      <w:r w:rsidR="002C4970">
        <w:t xml:space="preserve">Baseline </w:t>
      </w:r>
      <w:r w:rsidRPr="00A8196B">
        <w:t>Respondent Recordkeeping Burden</w:t>
      </w:r>
    </w:p>
    <w:tbl>
      <w:tblPr>
        <w:tblW w:w="5000" w:type="pct"/>
        <w:tblLayout w:type="fixed"/>
        <w:tblCellMar>
          <w:left w:w="115" w:type="dxa"/>
          <w:right w:w="115" w:type="dxa"/>
        </w:tblCellMar>
        <w:tblLook w:val="04A0"/>
      </w:tblPr>
      <w:tblGrid>
        <w:gridCol w:w="306"/>
        <w:gridCol w:w="3685"/>
        <w:gridCol w:w="1754"/>
        <w:gridCol w:w="1829"/>
        <w:gridCol w:w="1740"/>
      </w:tblGrid>
      <w:tr w14:paraId="57134B3E" w14:textId="77777777" w:rsidTr="000975A6">
        <w:tblPrEx>
          <w:tblW w:w="5000" w:type="pct"/>
          <w:tblLayout w:type="fixed"/>
          <w:tblCellMar>
            <w:left w:w="115" w:type="dxa"/>
            <w:right w:w="115" w:type="dxa"/>
          </w:tblCellMar>
          <w:tblLook w:val="04A0"/>
        </w:tblPrEx>
        <w:tc>
          <w:tcPr>
            <w:tcW w:w="351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bookmarkEnd w:id="34"/>
          <w:p w:rsidR="003C2C15" w:rsidRPr="00A8196B" w:rsidP="000C606B" w14:paraId="7821A43B" w14:textId="77777777">
            <w:pPr>
              <w:keepNext/>
              <w:spacing w:after="0" w:line="240" w:lineRule="auto"/>
              <w:rPr>
                <w:b/>
                <w:bCs/>
                <w:color w:val="000000"/>
                <w:sz w:val="20"/>
                <w:szCs w:val="20"/>
              </w:rPr>
            </w:pPr>
            <w:r w:rsidRPr="00A8196B">
              <w:rPr>
                <w:b/>
                <w:bCs/>
                <w:color w:val="000000"/>
                <w:sz w:val="20"/>
                <w:szCs w:val="20"/>
              </w:rPr>
              <w:t>Type of Notice</w:t>
            </w:r>
          </w:p>
        </w:tc>
        <w:tc>
          <w:tcPr>
            <w:tcW w:w="1542" w:type="dxa"/>
            <w:tcBorders>
              <w:top w:val="double" w:sz="6" w:space="0" w:color="auto"/>
              <w:left w:val="nil"/>
              <w:bottom w:val="single" w:sz="4" w:space="0" w:color="auto"/>
              <w:right w:val="single" w:sz="4" w:space="0" w:color="auto"/>
            </w:tcBorders>
            <w:shd w:val="clear" w:color="auto" w:fill="auto"/>
            <w:vAlign w:val="center"/>
            <w:hideMark/>
          </w:tcPr>
          <w:p w:rsidR="003C2C15" w:rsidRPr="00A8196B" w:rsidP="000C606B" w14:paraId="3DA65D7A" w14:textId="77777777">
            <w:pPr>
              <w:keepNext/>
              <w:spacing w:after="0" w:line="240" w:lineRule="auto"/>
              <w:jc w:val="center"/>
              <w:rPr>
                <w:b/>
                <w:bCs/>
                <w:color w:val="000000"/>
                <w:sz w:val="20"/>
                <w:szCs w:val="20"/>
              </w:rPr>
            </w:pPr>
            <w:r w:rsidRPr="00A8196B">
              <w:rPr>
                <w:b/>
                <w:bCs/>
                <w:color w:val="000000"/>
                <w:sz w:val="20"/>
                <w:szCs w:val="20"/>
              </w:rPr>
              <w:t>Average Annual Responses</w:t>
            </w:r>
          </w:p>
        </w:tc>
        <w:tc>
          <w:tcPr>
            <w:tcW w:w="1608" w:type="dxa"/>
            <w:tcBorders>
              <w:top w:val="double" w:sz="6" w:space="0" w:color="auto"/>
              <w:left w:val="nil"/>
              <w:bottom w:val="single" w:sz="4" w:space="0" w:color="auto"/>
              <w:right w:val="single" w:sz="4" w:space="0" w:color="auto"/>
            </w:tcBorders>
            <w:shd w:val="clear" w:color="auto" w:fill="auto"/>
            <w:vAlign w:val="center"/>
            <w:hideMark/>
          </w:tcPr>
          <w:p w:rsidR="003C2C15" w:rsidRPr="00A8196B" w:rsidP="000C606B" w14:paraId="325CD67B" w14:textId="77777777">
            <w:pPr>
              <w:keepNext/>
              <w:spacing w:after="0" w:line="240" w:lineRule="auto"/>
              <w:jc w:val="center"/>
              <w:rPr>
                <w:b/>
                <w:bCs/>
                <w:color w:val="000000"/>
                <w:sz w:val="20"/>
                <w:szCs w:val="20"/>
              </w:rPr>
            </w:pPr>
            <w:r w:rsidRPr="00A8196B">
              <w:rPr>
                <w:b/>
                <w:bCs/>
                <w:color w:val="000000"/>
                <w:sz w:val="20"/>
                <w:szCs w:val="20"/>
              </w:rPr>
              <w:t>Hours for Recordkeeping</w:t>
            </w:r>
            <w:r w:rsidRPr="00A8196B">
              <w:rPr>
                <w:b/>
                <w:bCs/>
                <w:color w:val="000000"/>
                <w:sz w:val="20"/>
                <w:szCs w:val="20"/>
                <w:vertAlign w:val="superscript"/>
              </w:rPr>
              <w:t>1</w:t>
            </w:r>
          </w:p>
        </w:tc>
        <w:tc>
          <w:tcPr>
            <w:tcW w:w="1530" w:type="dxa"/>
            <w:tcBorders>
              <w:top w:val="double" w:sz="6" w:space="0" w:color="auto"/>
              <w:left w:val="nil"/>
              <w:bottom w:val="single" w:sz="4" w:space="0" w:color="auto"/>
              <w:right w:val="double" w:sz="6" w:space="0" w:color="auto"/>
            </w:tcBorders>
            <w:shd w:val="clear" w:color="auto" w:fill="auto"/>
            <w:vAlign w:val="center"/>
            <w:hideMark/>
          </w:tcPr>
          <w:p w:rsidR="003C2C15" w:rsidRPr="00A8196B" w:rsidP="000C606B" w14:paraId="2E9CF943" w14:textId="77777777">
            <w:pPr>
              <w:keepNext/>
              <w:spacing w:after="0" w:line="240" w:lineRule="auto"/>
              <w:jc w:val="center"/>
              <w:rPr>
                <w:b/>
                <w:bCs/>
                <w:color w:val="000000"/>
                <w:sz w:val="20"/>
                <w:szCs w:val="20"/>
              </w:rPr>
            </w:pPr>
            <w:r w:rsidRPr="00A8196B">
              <w:rPr>
                <w:b/>
                <w:bCs/>
                <w:color w:val="000000"/>
                <w:sz w:val="20"/>
                <w:szCs w:val="20"/>
              </w:rPr>
              <w:t>Average Annual Burden</w:t>
            </w:r>
          </w:p>
        </w:tc>
      </w:tr>
      <w:tr w14:paraId="60BAAFFE"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C606B" w14:paraId="1A3A6371" w14:textId="77777777">
            <w:pPr>
              <w:keepNext/>
              <w:spacing w:after="0" w:line="240" w:lineRule="auto"/>
              <w:rPr>
                <w:color w:val="000000"/>
                <w:sz w:val="20"/>
                <w:szCs w:val="20"/>
              </w:rPr>
            </w:pPr>
            <w:r w:rsidRPr="00A8196B">
              <w:rPr>
                <w:color w:val="000000"/>
                <w:sz w:val="20"/>
                <w:szCs w:val="20"/>
              </w:rPr>
              <w:t>PMN</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C606B" w14:paraId="4D059854" w14:textId="7A26C353">
            <w:pPr>
              <w:keepNext/>
              <w:spacing w:after="0" w:line="240" w:lineRule="auto"/>
              <w:jc w:val="center"/>
              <w:rPr>
                <w:color w:val="000000"/>
                <w:sz w:val="20"/>
                <w:szCs w:val="20"/>
              </w:rPr>
            </w:pPr>
            <w:r w:rsidRPr="00A8196B">
              <w:rPr>
                <w:color w:val="000000"/>
                <w:sz w:val="20"/>
                <w:szCs w:val="20"/>
              </w:rPr>
              <w:t>289</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C606B" w14:paraId="6AB1A3C8" w14:textId="77777777">
            <w:pPr>
              <w:keepNext/>
              <w:spacing w:after="0" w:line="240" w:lineRule="auto"/>
              <w:jc w:val="center"/>
              <w:rPr>
                <w:color w:val="000000"/>
                <w:sz w:val="20"/>
                <w:szCs w:val="20"/>
              </w:rPr>
            </w:pPr>
            <w:r w:rsidRPr="00A8196B">
              <w:rPr>
                <w:color w:val="000000"/>
                <w:sz w:val="20"/>
                <w:szCs w:val="20"/>
              </w:rPr>
              <w:t>0</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C606B" w14:paraId="3BE5249F" w14:textId="77777777">
            <w:pPr>
              <w:keepNext/>
              <w:spacing w:after="0" w:line="240" w:lineRule="auto"/>
              <w:jc w:val="center"/>
              <w:rPr>
                <w:color w:val="000000"/>
                <w:sz w:val="20"/>
                <w:szCs w:val="20"/>
              </w:rPr>
            </w:pPr>
            <w:r w:rsidRPr="00A8196B">
              <w:rPr>
                <w:color w:val="000000"/>
                <w:sz w:val="20"/>
                <w:szCs w:val="20"/>
              </w:rPr>
              <w:t>0</w:t>
            </w:r>
          </w:p>
        </w:tc>
      </w:tr>
      <w:tr w14:paraId="27C7B158"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C606B" w14:paraId="74FE8101" w14:textId="77777777">
            <w:pPr>
              <w:keepNext/>
              <w:spacing w:after="0" w:line="240" w:lineRule="auto"/>
              <w:rPr>
                <w:color w:val="000000"/>
                <w:sz w:val="20"/>
                <w:szCs w:val="20"/>
              </w:rPr>
            </w:pPr>
            <w:r w:rsidRPr="00A8196B">
              <w:rPr>
                <w:color w:val="000000"/>
                <w:sz w:val="20"/>
                <w:szCs w:val="20"/>
              </w:rPr>
              <w:t>SNUN</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C606B" w14:paraId="62A80C7B" w14:textId="3C2039DE">
            <w:pPr>
              <w:keepNext/>
              <w:spacing w:after="0" w:line="240" w:lineRule="auto"/>
              <w:jc w:val="center"/>
              <w:rPr>
                <w:color w:val="000000"/>
                <w:sz w:val="20"/>
                <w:szCs w:val="20"/>
              </w:rPr>
            </w:pPr>
            <w:r w:rsidRPr="00A8196B">
              <w:rPr>
                <w:color w:val="000000"/>
                <w:sz w:val="20"/>
                <w:szCs w:val="20"/>
              </w:rPr>
              <w:t>13</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C606B" w14:paraId="63F3B41B" w14:textId="77777777">
            <w:pPr>
              <w:keepNext/>
              <w:spacing w:after="0" w:line="240" w:lineRule="auto"/>
              <w:jc w:val="center"/>
              <w:rPr>
                <w:color w:val="000000"/>
                <w:sz w:val="20"/>
                <w:szCs w:val="20"/>
              </w:rPr>
            </w:pPr>
            <w:r w:rsidRPr="00A8196B">
              <w:rPr>
                <w:color w:val="000000"/>
                <w:sz w:val="20"/>
                <w:szCs w:val="20"/>
              </w:rPr>
              <w:t>0</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C606B" w14:paraId="17515F74" w14:textId="77777777">
            <w:pPr>
              <w:keepNext/>
              <w:spacing w:after="0" w:line="240" w:lineRule="auto"/>
              <w:jc w:val="center"/>
              <w:rPr>
                <w:color w:val="000000"/>
                <w:sz w:val="20"/>
                <w:szCs w:val="20"/>
              </w:rPr>
            </w:pPr>
            <w:r w:rsidRPr="00A8196B">
              <w:rPr>
                <w:color w:val="000000"/>
                <w:sz w:val="20"/>
                <w:szCs w:val="20"/>
              </w:rPr>
              <w:t>0</w:t>
            </w:r>
          </w:p>
        </w:tc>
      </w:tr>
      <w:tr w14:paraId="726E867A"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C606B" w14:paraId="32EB4C65" w14:textId="77777777">
            <w:pPr>
              <w:keepNext/>
              <w:spacing w:after="0" w:line="240" w:lineRule="auto"/>
              <w:rPr>
                <w:color w:val="000000"/>
                <w:sz w:val="20"/>
                <w:szCs w:val="20"/>
              </w:rPr>
            </w:pPr>
            <w:r w:rsidRPr="00A8196B">
              <w:rPr>
                <w:color w:val="000000"/>
                <w:sz w:val="20"/>
                <w:szCs w:val="20"/>
              </w:rPr>
              <w:t>MCAN</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C606B" w14:paraId="07DE86DA" w14:textId="3B58D716">
            <w:pPr>
              <w:keepNext/>
              <w:spacing w:after="0" w:line="240" w:lineRule="auto"/>
              <w:jc w:val="center"/>
              <w:rPr>
                <w:color w:val="000000"/>
                <w:sz w:val="20"/>
                <w:szCs w:val="20"/>
              </w:rPr>
            </w:pPr>
            <w:r w:rsidRPr="00A8196B">
              <w:rPr>
                <w:color w:val="000000"/>
                <w:sz w:val="20"/>
                <w:szCs w:val="20"/>
              </w:rPr>
              <w:t>1</w:t>
            </w:r>
            <w:r w:rsidRPr="00A8196B">
              <w:rPr>
                <w:color w:val="000000"/>
                <w:sz w:val="20"/>
                <w:szCs w:val="20"/>
              </w:rPr>
              <w:t>4</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C606B" w14:paraId="7EE80998" w14:textId="77777777">
            <w:pPr>
              <w:keepNext/>
              <w:spacing w:after="0" w:line="240" w:lineRule="auto"/>
              <w:jc w:val="center"/>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C606B" w14:paraId="26C51976" w14:textId="5A402DE0">
            <w:pPr>
              <w:keepNext/>
              <w:spacing w:after="0" w:line="240" w:lineRule="auto"/>
              <w:jc w:val="center"/>
              <w:rPr>
                <w:color w:val="000000"/>
                <w:sz w:val="20"/>
                <w:szCs w:val="20"/>
              </w:rPr>
            </w:pPr>
            <w:r w:rsidRPr="00A8196B">
              <w:rPr>
                <w:color w:val="000000"/>
                <w:sz w:val="20"/>
                <w:szCs w:val="20"/>
              </w:rPr>
              <w:t>14</w:t>
            </w:r>
          </w:p>
        </w:tc>
      </w:tr>
      <w:tr w14:paraId="02E3C6E3" w14:textId="77777777" w:rsidTr="000975A6">
        <w:tblPrEx>
          <w:tblW w:w="5000" w:type="pct"/>
          <w:tblLayout w:type="fixed"/>
          <w:tblCellMar>
            <w:left w:w="115" w:type="dxa"/>
            <w:right w:w="115" w:type="dxa"/>
          </w:tblCellMar>
          <w:tblLook w:val="04A0"/>
        </w:tblPrEx>
        <w:tc>
          <w:tcPr>
            <w:tcW w:w="8190" w:type="dxa"/>
            <w:gridSpan w:val="5"/>
            <w:tcBorders>
              <w:top w:val="single" w:sz="4" w:space="0" w:color="auto"/>
              <w:left w:val="double" w:sz="6" w:space="0" w:color="auto"/>
              <w:bottom w:val="single" w:sz="4" w:space="0" w:color="auto"/>
              <w:right w:val="double" w:sz="6" w:space="0" w:color="000000"/>
            </w:tcBorders>
            <w:shd w:val="clear" w:color="auto" w:fill="auto"/>
            <w:vAlign w:val="center"/>
            <w:hideMark/>
          </w:tcPr>
          <w:p w:rsidR="003C2C15" w:rsidRPr="00A8196B" w:rsidP="000975A6" w14:paraId="1529E285" w14:textId="77777777">
            <w:pPr>
              <w:spacing w:after="0" w:line="240" w:lineRule="auto"/>
              <w:rPr>
                <w:i/>
                <w:iCs/>
                <w:color w:val="000000"/>
                <w:sz w:val="20"/>
                <w:szCs w:val="20"/>
              </w:rPr>
            </w:pPr>
            <w:r w:rsidRPr="00A8196B">
              <w:rPr>
                <w:i/>
                <w:iCs/>
                <w:color w:val="000000"/>
                <w:sz w:val="20"/>
                <w:szCs w:val="20"/>
              </w:rPr>
              <w:t>Exemptions:</w:t>
            </w:r>
          </w:p>
        </w:tc>
      </w:tr>
      <w:tr w14:paraId="7097404A"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6D9F942D" w14:textId="77777777">
            <w:pPr>
              <w:spacing w:after="0" w:line="240" w:lineRule="auto"/>
              <w:ind w:firstLine="400"/>
              <w:rPr>
                <w:sz w:val="20"/>
                <w:szCs w:val="20"/>
              </w:rPr>
            </w:pPr>
            <w:bookmarkStart w:id="35" w:name="_Hlk97801957"/>
            <w:r w:rsidRPr="00A8196B">
              <w:rPr>
                <w:sz w:val="20"/>
                <w:szCs w:val="20"/>
              </w:rPr>
              <w:t>LVE/LoREX</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1E0478F6" w14:textId="701DE460">
            <w:pPr>
              <w:spacing w:after="0" w:line="240" w:lineRule="auto"/>
              <w:jc w:val="center"/>
              <w:rPr>
                <w:color w:val="000000"/>
                <w:sz w:val="20"/>
                <w:szCs w:val="20"/>
              </w:rPr>
            </w:pPr>
            <w:r w:rsidRPr="00A8196B">
              <w:rPr>
                <w:color w:val="000000"/>
                <w:sz w:val="20"/>
                <w:szCs w:val="20"/>
              </w:rPr>
              <w:t>305</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2CA13D86" w14:textId="77777777">
            <w:pPr>
              <w:spacing w:after="0" w:line="240" w:lineRule="auto"/>
              <w:jc w:val="center"/>
              <w:rPr>
                <w:color w:val="000000"/>
                <w:sz w:val="20"/>
                <w:szCs w:val="20"/>
              </w:rPr>
            </w:pPr>
            <w:r w:rsidRPr="00A8196B">
              <w:rPr>
                <w:color w:val="000000"/>
                <w:sz w:val="20"/>
                <w:szCs w:val="20"/>
              </w:rPr>
              <w:t>0</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40C21472" w14:textId="77777777">
            <w:pPr>
              <w:spacing w:after="0" w:line="240" w:lineRule="auto"/>
              <w:jc w:val="center"/>
              <w:rPr>
                <w:color w:val="000000"/>
                <w:sz w:val="20"/>
                <w:szCs w:val="20"/>
              </w:rPr>
            </w:pPr>
            <w:r w:rsidRPr="00A8196B">
              <w:rPr>
                <w:color w:val="000000"/>
                <w:sz w:val="20"/>
                <w:szCs w:val="20"/>
              </w:rPr>
              <w:t>0</w:t>
            </w:r>
          </w:p>
        </w:tc>
      </w:tr>
      <w:tr w14:paraId="1DF007CB"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758A3FC8" w14:textId="77777777">
            <w:pPr>
              <w:spacing w:after="0" w:line="240" w:lineRule="auto"/>
              <w:ind w:firstLine="400"/>
              <w:rPr>
                <w:sz w:val="20"/>
                <w:szCs w:val="20"/>
              </w:rPr>
            </w:pPr>
            <w:r w:rsidRPr="00A8196B">
              <w:rPr>
                <w:sz w:val="20"/>
                <w:szCs w:val="20"/>
              </w:rPr>
              <w:t>TERA</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53BDC0E2" w14:textId="77777777">
            <w:pPr>
              <w:spacing w:after="0" w:line="240" w:lineRule="auto"/>
              <w:jc w:val="center"/>
              <w:rPr>
                <w:color w:val="000000"/>
                <w:sz w:val="20"/>
                <w:szCs w:val="20"/>
              </w:rPr>
            </w:pPr>
            <w:r w:rsidRPr="00A8196B">
              <w:rPr>
                <w:color w:val="000000"/>
                <w:sz w:val="20"/>
                <w:szCs w:val="20"/>
              </w:rPr>
              <w:t>2</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319D873A" w14:textId="77777777">
            <w:pPr>
              <w:spacing w:after="0" w:line="240" w:lineRule="auto"/>
              <w:jc w:val="center"/>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03598FD8" w14:textId="77777777">
            <w:pPr>
              <w:spacing w:after="0" w:line="240" w:lineRule="auto"/>
              <w:jc w:val="center"/>
              <w:rPr>
                <w:color w:val="000000"/>
                <w:sz w:val="20"/>
                <w:szCs w:val="20"/>
              </w:rPr>
            </w:pPr>
            <w:r w:rsidRPr="00A8196B">
              <w:rPr>
                <w:color w:val="000000"/>
                <w:sz w:val="20"/>
                <w:szCs w:val="20"/>
              </w:rPr>
              <w:t>2</w:t>
            </w:r>
          </w:p>
        </w:tc>
      </w:tr>
      <w:tr w14:paraId="65DC2F7D"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1C67C4AD" w14:textId="77777777">
            <w:pPr>
              <w:spacing w:after="0" w:line="240" w:lineRule="auto"/>
              <w:ind w:firstLine="400"/>
              <w:rPr>
                <w:sz w:val="20"/>
                <w:szCs w:val="20"/>
              </w:rPr>
            </w:pPr>
            <w:r w:rsidRPr="00A8196B">
              <w:rPr>
                <w:color w:val="000000"/>
                <w:sz w:val="20"/>
                <w:szCs w:val="20"/>
              </w:rPr>
              <w:t>Tier I</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53F0D0BA" w14:textId="45CF343B">
            <w:pPr>
              <w:spacing w:after="0" w:line="240" w:lineRule="auto"/>
              <w:jc w:val="center"/>
              <w:rPr>
                <w:color w:val="000000"/>
                <w:sz w:val="20"/>
                <w:szCs w:val="20"/>
              </w:rPr>
            </w:pPr>
            <w:r w:rsidRPr="00A8196B">
              <w:rPr>
                <w:color w:val="000000"/>
                <w:sz w:val="20"/>
                <w:szCs w:val="20"/>
              </w:rPr>
              <w:t>4</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58844C08" w14:textId="77777777">
            <w:pPr>
              <w:spacing w:after="0" w:line="240" w:lineRule="auto"/>
              <w:jc w:val="center"/>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6665AE4A" w14:textId="391390ED">
            <w:pPr>
              <w:spacing w:after="0" w:line="240" w:lineRule="auto"/>
              <w:jc w:val="center"/>
              <w:rPr>
                <w:color w:val="000000"/>
                <w:sz w:val="20"/>
                <w:szCs w:val="20"/>
              </w:rPr>
            </w:pPr>
            <w:r w:rsidRPr="00A8196B">
              <w:rPr>
                <w:color w:val="000000"/>
                <w:sz w:val="20"/>
                <w:szCs w:val="20"/>
              </w:rPr>
              <w:t>4</w:t>
            </w:r>
          </w:p>
        </w:tc>
      </w:tr>
      <w:tr w14:paraId="38163E54"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tcPr>
          <w:p w:rsidR="003C2C15" w:rsidRPr="00A8196B" w:rsidP="000975A6" w14:paraId="4B16A9BF" w14:textId="77777777">
            <w:pPr>
              <w:spacing w:after="0" w:line="240" w:lineRule="auto"/>
              <w:ind w:firstLine="400"/>
              <w:rPr>
                <w:sz w:val="20"/>
                <w:szCs w:val="20"/>
              </w:rPr>
            </w:pPr>
            <w:r w:rsidRPr="00A8196B">
              <w:rPr>
                <w:color w:val="000000"/>
                <w:sz w:val="20"/>
                <w:szCs w:val="20"/>
              </w:rPr>
              <w:t>Tier II</w:t>
            </w:r>
          </w:p>
        </w:tc>
        <w:tc>
          <w:tcPr>
            <w:tcW w:w="1542" w:type="dxa"/>
            <w:tcBorders>
              <w:top w:val="nil"/>
              <w:left w:val="nil"/>
              <w:bottom w:val="single" w:sz="4" w:space="0" w:color="auto"/>
              <w:right w:val="single" w:sz="4" w:space="0" w:color="auto"/>
            </w:tcBorders>
            <w:shd w:val="clear" w:color="auto" w:fill="auto"/>
            <w:vAlign w:val="center"/>
          </w:tcPr>
          <w:p w:rsidR="003C2C15" w:rsidRPr="00A8196B" w:rsidP="000975A6" w14:paraId="3F7AEE56" w14:textId="3EABB79A">
            <w:pPr>
              <w:spacing w:after="0" w:line="240" w:lineRule="auto"/>
              <w:jc w:val="center"/>
              <w:rPr>
                <w:color w:val="000000"/>
                <w:sz w:val="20"/>
                <w:szCs w:val="20"/>
              </w:rPr>
            </w:pPr>
            <w:r w:rsidRPr="00A8196B">
              <w:rPr>
                <w:color w:val="000000"/>
                <w:sz w:val="20"/>
                <w:szCs w:val="20"/>
              </w:rPr>
              <w:t>1</w:t>
            </w:r>
          </w:p>
        </w:tc>
        <w:tc>
          <w:tcPr>
            <w:tcW w:w="1608" w:type="dxa"/>
            <w:tcBorders>
              <w:top w:val="nil"/>
              <w:left w:val="nil"/>
              <w:bottom w:val="single" w:sz="4" w:space="0" w:color="auto"/>
              <w:right w:val="single" w:sz="4" w:space="0" w:color="auto"/>
            </w:tcBorders>
            <w:shd w:val="clear" w:color="auto" w:fill="auto"/>
            <w:vAlign w:val="center"/>
          </w:tcPr>
          <w:p w:rsidR="003C2C15" w:rsidRPr="00A8196B" w:rsidP="000975A6" w14:paraId="6A162CEF" w14:textId="77777777">
            <w:pPr>
              <w:spacing w:after="0" w:line="240" w:lineRule="auto"/>
              <w:jc w:val="center"/>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tcPr>
          <w:p w:rsidR="003C2C15" w:rsidRPr="00A8196B" w:rsidP="000975A6" w14:paraId="6FC6C8E7" w14:textId="5CAF712D">
            <w:pPr>
              <w:spacing w:after="0" w:line="240" w:lineRule="auto"/>
              <w:jc w:val="center"/>
              <w:rPr>
                <w:color w:val="000000"/>
                <w:sz w:val="20"/>
                <w:szCs w:val="20"/>
              </w:rPr>
            </w:pPr>
            <w:r w:rsidRPr="00A8196B">
              <w:rPr>
                <w:color w:val="000000"/>
                <w:sz w:val="20"/>
                <w:szCs w:val="20"/>
              </w:rPr>
              <w:t>1</w:t>
            </w:r>
          </w:p>
        </w:tc>
      </w:tr>
      <w:tr w14:paraId="4AA42CAC"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4861F275" w14:textId="77777777">
            <w:pPr>
              <w:spacing w:after="0" w:line="240" w:lineRule="auto"/>
              <w:ind w:firstLine="400"/>
              <w:rPr>
                <w:sz w:val="20"/>
                <w:szCs w:val="20"/>
              </w:rPr>
            </w:pPr>
            <w:r w:rsidRPr="00A8196B">
              <w:rPr>
                <w:sz w:val="20"/>
                <w:szCs w:val="20"/>
              </w:rPr>
              <w:t>Polymer</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709F5974" w14:textId="5195AA35">
            <w:pPr>
              <w:spacing w:after="0" w:line="240" w:lineRule="auto"/>
              <w:jc w:val="center"/>
              <w:rPr>
                <w:color w:val="000000"/>
                <w:sz w:val="20"/>
                <w:szCs w:val="20"/>
              </w:rPr>
            </w:pPr>
            <w:r w:rsidRPr="00A8196B">
              <w:rPr>
                <w:color w:val="000000"/>
                <w:sz w:val="20"/>
                <w:szCs w:val="20"/>
              </w:rPr>
              <w:t>1</w:t>
            </w:r>
            <w:r w:rsidRPr="00A8196B" w:rsidR="00750C81">
              <w:rPr>
                <w:color w:val="000000"/>
                <w:sz w:val="20"/>
                <w:szCs w:val="20"/>
              </w:rPr>
              <w:t>0</w:t>
            </w:r>
            <w:r w:rsidRPr="00A8196B">
              <w:rPr>
                <w:color w:val="000000"/>
                <w:sz w:val="20"/>
                <w:szCs w:val="20"/>
              </w:rPr>
              <w:t>9</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2C37A703" w14:textId="77777777">
            <w:pPr>
              <w:spacing w:after="0" w:line="240" w:lineRule="auto"/>
              <w:jc w:val="center"/>
              <w:rPr>
                <w:color w:val="000000"/>
                <w:sz w:val="20"/>
                <w:szCs w:val="20"/>
              </w:rPr>
            </w:pPr>
            <w:r w:rsidRPr="00A8196B">
              <w:rPr>
                <w:color w:val="000000"/>
                <w:sz w:val="20"/>
                <w:szCs w:val="20"/>
              </w:rPr>
              <w:t>3.5</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6E0ED8E8" w14:textId="75AF8B71">
            <w:pPr>
              <w:spacing w:after="0" w:line="240" w:lineRule="auto"/>
              <w:jc w:val="center"/>
              <w:rPr>
                <w:color w:val="000000"/>
                <w:sz w:val="20"/>
                <w:szCs w:val="20"/>
              </w:rPr>
            </w:pPr>
            <w:r w:rsidRPr="00A8196B">
              <w:rPr>
                <w:color w:val="000000"/>
                <w:sz w:val="20"/>
                <w:szCs w:val="20"/>
              </w:rPr>
              <w:t>381.5</w:t>
            </w:r>
          </w:p>
        </w:tc>
      </w:tr>
      <w:tr w14:paraId="7FD1DE8A"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1752AE02" w14:textId="77777777">
            <w:pPr>
              <w:spacing w:after="0" w:line="240" w:lineRule="auto"/>
              <w:ind w:firstLine="400"/>
              <w:rPr>
                <w:sz w:val="20"/>
                <w:szCs w:val="20"/>
              </w:rPr>
            </w:pPr>
            <w:r w:rsidRPr="00A8196B">
              <w:rPr>
                <w:sz w:val="20"/>
                <w:szCs w:val="20"/>
              </w:rPr>
              <w:t>Research &amp; Development</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59EA4F4D" w14:textId="77777777">
            <w:pPr>
              <w:spacing w:after="0" w:line="240" w:lineRule="auto"/>
              <w:jc w:val="center"/>
              <w:rPr>
                <w:color w:val="000000"/>
                <w:sz w:val="20"/>
                <w:szCs w:val="20"/>
              </w:rPr>
            </w:pPr>
            <w:r w:rsidRPr="00A8196B">
              <w:rPr>
                <w:color w:val="000000"/>
                <w:sz w:val="20"/>
                <w:szCs w:val="20"/>
              </w:rPr>
              <w:t>200</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0CF12F3E" w14:textId="77777777">
            <w:pPr>
              <w:spacing w:after="0" w:line="240" w:lineRule="auto"/>
              <w:jc w:val="center"/>
              <w:rPr>
                <w:color w:val="000000"/>
                <w:sz w:val="20"/>
                <w:szCs w:val="20"/>
              </w:rPr>
            </w:pPr>
            <w:r w:rsidRPr="00A8196B">
              <w:rPr>
                <w:color w:val="000000"/>
                <w:sz w:val="20"/>
                <w:szCs w:val="20"/>
              </w:rPr>
              <w:t>0.5</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1BAE1114" w14:textId="77777777">
            <w:pPr>
              <w:spacing w:after="0" w:line="240" w:lineRule="auto"/>
              <w:jc w:val="center"/>
              <w:rPr>
                <w:color w:val="000000"/>
                <w:sz w:val="20"/>
                <w:szCs w:val="20"/>
              </w:rPr>
            </w:pPr>
            <w:r w:rsidRPr="00A8196B">
              <w:rPr>
                <w:color w:val="000000"/>
                <w:sz w:val="20"/>
                <w:szCs w:val="20"/>
              </w:rPr>
              <w:t>100</w:t>
            </w:r>
          </w:p>
        </w:tc>
      </w:tr>
      <w:tr w14:paraId="245011CF"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31534FC4" w14:textId="77777777">
            <w:pPr>
              <w:spacing w:after="0" w:line="240" w:lineRule="auto"/>
              <w:ind w:firstLine="400"/>
              <w:rPr>
                <w:sz w:val="20"/>
                <w:szCs w:val="20"/>
              </w:rPr>
            </w:pPr>
            <w:r w:rsidRPr="00A8196B">
              <w:rPr>
                <w:sz w:val="20"/>
                <w:szCs w:val="20"/>
              </w:rPr>
              <w:t>Instant Photographic Film Articles</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6427E0F3" w14:textId="77777777">
            <w:pPr>
              <w:spacing w:after="0" w:line="240" w:lineRule="auto"/>
              <w:jc w:val="center"/>
              <w:rPr>
                <w:color w:val="000000"/>
                <w:sz w:val="20"/>
                <w:szCs w:val="20"/>
              </w:rPr>
            </w:pPr>
            <w:r w:rsidRPr="00A8196B">
              <w:rPr>
                <w:color w:val="000000"/>
                <w:sz w:val="20"/>
                <w:szCs w:val="20"/>
              </w:rPr>
              <w:t>1</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68EDC6CE" w14:textId="77777777">
            <w:pPr>
              <w:spacing w:after="0" w:line="240" w:lineRule="auto"/>
              <w:jc w:val="center"/>
              <w:rPr>
                <w:color w:val="000000"/>
                <w:sz w:val="20"/>
                <w:szCs w:val="20"/>
              </w:rPr>
            </w:pPr>
            <w:r w:rsidRPr="00A8196B">
              <w:rPr>
                <w:color w:val="000000"/>
                <w:sz w:val="20"/>
                <w:szCs w:val="20"/>
              </w:rPr>
              <w:t>0.25</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04F0C8B2" w14:textId="77777777">
            <w:pPr>
              <w:spacing w:after="0" w:line="240" w:lineRule="auto"/>
              <w:jc w:val="center"/>
              <w:rPr>
                <w:color w:val="000000"/>
                <w:sz w:val="20"/>
                <w:szCs w:val="20"/>
              </w:rPr>
            </w:pPr>
            <w:r w:rsidRPr="00A8196B">
              <w:rPr>
                <w:color w:val="000000"/>
                <w:sz w:val="20"/>
                <w:szCs w:val="20"/>
              </w:rPr>
              <w:t>0.25</w:t>
            </w:r>
          </w:p>
        </w:tc>
      </w:tr>
      <w:bookmarkEnd w:id="35"/>
      <w:tr w14:paraId="696DA543"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2EC7EE11" w14:textId="77777777">
            <w:pPr>
              <w:spacing w:after="0" w:line="240" w:lineRule="auto"/>
              <w:rPr>
                <w:color w:val="000000"/>
                <w:sz w:val="20"/>
                <w:szCs w:val="20"/>
              </w:rPr>
            </w:pPr>
            <w:r w:rsidRPr="00A8196B">
              <w:rPr>
                <w:color w:val="000000"/>
                <w:sz w:val="20"/>
                <w:szCs w:val="20"/>
              </w:rPr>
              <w:t>Bona Fide</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4704E109" w14:textId="6A85663C">
            <w:pPr>
              <w:spacing w:after="0" w:line="240" w:lineRule="auto"/>
              <w:jc w:val="center"/>
              <w:rPr>
                <w:color w:val="000000"/>
                <w:sz w:val="20"/>
                <w:szCs w:val="20"/>
              </w:rPr>
            </w:pPr>
            <w:r w:rsidRPr="00A8196B">
              <w:rPr>
                <w:color w:val="000000"/>
                <w:sz w:val="20"/>
                <w:szCs w:val="20"/>
              </w:rPr>
              <w:t>18</w:t>
            </w:r>
            <w:r w:rsidRPr="00A8196B" w:rsidR="00750C81">
              <w:rPr>
                <w:color w:val="000000"/>
                <w:sz w:val="20"/>
                <w:szCs w:val="20"/>
              </w:rPr>
              <w:t>3</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2139EE76" w14:textId="77777777">
            <w:pPr>
              <w:spacing w:after="0" w:line="240" w:lineRule="auto"/>
              <w:jc w:val="center"/>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467DF6B0" w14:textId="1AAFF320">
            <w:pPr>
              <w:spacing w:after="0" w:line="240" w:lineRule="auto"/>
              <w:jc w:val="center"/>
              <w:rPr>
                <w:color w:val="000000"/>
                <w:sz w:val="20"/>
                <w:szCs w:val="20"/>
              </w:rPr>
            </w:pPr>
            <w:r w:rsidRPr="00A8196B">
              <w:rPr>
                <w:color w:val="000000"/>
                <w:sz w:val="20"/>
                <w:szCs w:val="20"/>
              </w:rPr>
              <w:t>18</w:t>
            </w:r>
            <w:r w:rsidRPr="00A8196B" w:rsidR="00750C81">
              <w:rPr>
                <w:color w:val="000000"/>
                <w:sz w:val="20"/>
                <w:szCs w:val="20"/>
              </w:rPr>
              <w:t>3</w:t>
            </w:r>
          </w:p>
        </w:tc>
      </w:tr>
      <w:tr w14:paraId="0B70A766"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2E69E7B0" w14:textId="77777777">
            <w:pPr>
              <w:spacing w:after="0" w:line="240" w:lineRule="auto"/>
              <w:rPr>
                <w:color w:val="000000"/>
                <w:sz w:val="20"/>
                <w:szCs w:val="20"/>
              </w:rPr>
            </w:pPr>
            <w:r w:rsidRPr="00A8196B">
              <w:rPr>
                <w:color w:val="000000"/>
                <w:sz w:val="20"/>
                <w:szCs w:val="20"/>
              </w:rPr>
              <w:t>Section 5(e) Orders with Triggered Testing</w:t>
            </w:r>
            <w:r w:rsidRPr="00A8196B">
              <w:rPr>
                <w:b/>
                <w:bCs/>
                <w:color w:val="000000"/>
                <w:sz w:val="20"/>
                <w:szCs w:val="20"/>
                <w:vertAlign w:val="superscript"/>
              </w:rPr>
              <w:t>1</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2FEA1771" w14:textId="6B0ED89B">
            <w:pPr>
              <w:spacing w:after="0" w:line="240" w:lineRule="auto"/>
              <w:jc w:val="center"/>
              <w:rPr>
                <w:color w:val="000000"/>
                <w:sz w:val="20"/>
                <w:szCs w:val="20"/>
              </w:rPr>
            </w:pPr>
            <w:r w:rsidRPr="00A8196B">
              <w:rPr>
                <w:color w:val="000000"/>
                <w:sz w:val="20"/>
                <w:szCs w:val="20"/>
              </w:rPr>
              <w:t>20</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42920EFC" w14:textId="77777777">
            <w:pPr>
              <w:spacing w:after="0" w:line="240" w:lineRule="auto"/>
              <w:jc w:val="center"/>
              <w:rPr>
                <w:color w:val="000000"/>
                <w:sz w:val="20"/>
                <w:szCs w:val="20"/>
              </w:rPr>
            </w:pPr>
            <w:r w:rsidRPr="00A8196B">
              <w:rPr>
                <w:color w:val="000000"/>
                <w:sz w:val="20"/>
                <w:szCs w:val="20"/>
              </w:rPr>
              <w:t>17.5</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7855B794" w14:textId="3398A52D">
            <w:pPr>
              <w:spacing w:after="0" w:line="240" w:lineRule="auto"/>
              <w:jc w:val="center"/>
              <w:rPr>
                <w:color w:val="000000"/>
                <w:sz w:val="20"/>
                <w:szCs w:val="20"/>
              </w:rPr>
            </w:pPr>
            <w:r w:rsidRPr="00A8196B">
              <w:rPr>
                <w:color w:val="000000"/>
                <w:sz w:val="20"/>
                <w:szCs w:val="20"/>
              </w:rPr>
              <w:t>350</w:t>
            </w:r>
          </w:p>
        </w:tc>
      </w:tr>
      <w:tr w14:paraId="7AB98814"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7BD2A6A1" w14:textId="77777777">
            <w:pPr>
              <w:spacing w:after="0" w:line="240" w:lineRule="auto"/>
              <w:rPr>
                <w:color w:val="000000"/>
                <w:sz w:val="20"/>
                <w:szCs w:val="20"/>
              </w:rPr>
            </w:pPr>
            <w:r w:rsidRPr="00A8196B">
              <w:rPr>
                <w:color w:val="000000"/>
                <w:sz w:val="20"/>
                <w:szCs w:val="20"/>
              </w:rPr>
              <w:t>Section 5(e) Orders with Pended Testing/ 5(f) Orders with No Testing</w:t>
            </w:r>
            <w:r w:rsidRPr="00A8196B">
              <w:rPr>
                <w:b/>
                <w:bCs/>
                <w:color w:val="000000"/>
                <w:sz w:val="20"/>
                <w:szCs w:val="20"/>
                <w:vertAlign w:val="superscript"/>
              </w:rPr>
              <w:t xml:space="preserve">1  </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5B4F5FA1" w14:textId="0205745C">
            <w:pPr>
              <w:spacing w:after="0" w:line="240" w:lineRule="auto"/>
              <w:jc w:val="center"/>
              <w:rPr>
                <w:color w:val="000000"/>
                <w:sz w:val="20"/>
                <w:szCs w:val="20"/>
              </w:rPr>
            </w:pPr>
            <w:r w:rsidRPr="00A8196B">
              <w:rPr>
                <w:color w:val="000000"/>
                <w:sz w:val="20"/>
                <w:szCs w:val="20"/>
              </w:rPr>
              <w:t>33</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0F14881F" w14:textId="77777777">
            <w:pPr>
              <w:spacing w:after="0" w:line="240" w:lineRule="auto"/>
              <w:jc w:val="center"/>
              <w:rPr>
                <w:color w:val="000000"/>
                <w:sz w:val="20"/>
                <w:szCs w:val="20"/>
              </w:rPr>
            </w:pPr>
            <w:r w:rsidRPr="00A8196B">
              <w:rPr>
                <w:color w:val="000000"/>
                <w:sz w:val="20"/>
                <w:szCs w:val="20"/>
              </w:rPr>
              <w:t>25</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21B6BE91" w14:textId="264DAC10">
            <w:pPr>
              <w:spacing w:after="0" w:line="240" w:lineRule="auto"/>
              <w:jc w:val="center"/>
              <w:rPr>
                <w:color w:val="000000"/>
                <w:sz w:val="20"/>
                <w:szCs w:val="20"/>
              </w:rPr>
            </w:pPr>
            <w:r w:rsidRPr="00A8196B">
              <w:rPr>
                <w:color w:val="000000"/>
                <w:sz w:val="20"/>
                <w:szCs w:val="20"/>
              </w:rPr>
              <w:t>825</w:t>
            </w:r>
          </w:p>
        </w:tc>
      </w:tr>
      <w:tr w14:paraId="401CA639"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single" w:sz="4" w:space="0" w:color="auto"/>
              <w:right w:val="single" w:sz="4" w:space="0" w:color="auto"/>
            </w:tcBorders>
            <w:shd w:val="clear" w:color="auto" w:fill="auto"/>
            <w:vAlign w:val="center"/>
            <w:hideMark/>
          </w:tcPr>
          <w:p w:rsidR="003C2C15" w:rsidRPr="00A8196B" w:rsidP="000975A6" w14:paraId="3AA66B71" w14:textId="77777777">
            <w:pPr>
              <w:spacing w:after="0" w:line="240" w:lineRule="auto"/>
              <w:rPr>
                <w:color w:val="000000"/>
                <w:sz w:val="20"/>
                <w:szCs w:val="20"/>
              </w:rPr>
            </w:pPr>
            <w:r w:rsidRPr="00A8196B">
              <w:rPr>
                <w:color w:val="000000"/>
                <w:sz w:val="20"/>
                <w:szCs w:val="20"/>
              </w:rPr>
              <w:t>NOC</w:t>
            </w:r>
          </w:p>
        </w:tc>
        <w:tc>
          <w:tcPr>
            <w:tcW w:w="1542" w:type="dxa"/>
            <w:tcBorders>
              <w:top w:val="nil"/>
              <w:left w:val="nil"/>
              <w:bottom w:val="single" w:sz="4" w:space="0" w:color="auto"/>
              <w:right w:val="single" w:sz="4" w:space="0" w:color="auto"/>
            </w:tcBorders>
            <w:shd w:val="clear" w:color="auto" w:fill="auto"/>
            <w:vAlign w:val="center"/>
            <w:hideMark/>
          </w:tcPr>
          <w:p w:rsidR="003C2C15" w:rsidRPr="00A8196B" w:rsidP="000975A6" w14:paraId="1D74916A" w14:textId="0CCEB5F6">
            <w:pPr>
              <w:spacing w:after="0" w:line="240" w:lineRule="auto"/>
              <w:jc w:val="center"/>
              <w:rPr>
                <w:color w:val="000000"/>
                <w:sz w:val="20"/>
                <w:szCs w:val="20"/>
              </w:rPr>
            </w:pPr>
            <w:r w:rsidRPr="00A8196B">
              <w:rPr>
                <w:color w:val="000000"/>
                <w:sz w:val="20"/>
                <w:szCs w:val="20"/>
              </w:rPr>
              <w:t>1</w:t>
            </w:r>
            <w:r w:rsidRPr="00A8196B" w:rsidR="00750C81">
              <w:rPr>
                <w:color w:val="000000"/>
                <w:sz w:val="20"/>
                <w:szCs w:val="20"/>
              </w:rPr>
              <w:t>69</w:t>
            </w:r>
          </w:p>
        </w:tc>
        <w:tc>
          <w:tcPr>
            <w:tcW w:w="1608" w:type="dxa"/>
            <w:tcBorders>
              <w:top w:val="nil"/>
              <w:left w:val="nil"/>
              <w:bottom w:val="single" w:sz="4" w:space="0" w:color="auto"/>
              <w:right w:val="single" w:sz="4" w:space="0" w:color="auto"/>
            </w:tcBorders>
            <w:shd w:val="clear" w:color="auto" w:fill="auto"/>
            <w:vAlign w:val="center"/>
            <w:hideMark/>
          </w:tcPr>
          <w:p w:rsidR="003C2C15" w:rsidRPr="00A8196B" w:rsidP="000975A6" w14:paraId="1BFB4E4D" w14:textId="77777777">
            <w:pPr>
              <w:spacing w:after="0" w:line="240" w:lineRule="auto"/>
              <w:jc w:val="center"/>
              <w:rPr>
                <w:color w:val="000000"/>
                <w:sz w:val="20"/>
                <w:szCs w:val="20"/>
              </w:rPr>
            </w:pPr>
            <w:r w:rsidRPr="00A8196B">
              <w:rPr>
                <w:color w:val="000000"/>
                <w:sz w:val="20"/>
                <w:szCs w:val="20"/>
              </w:rPr>
              <w:t>0.125</w:t>
            </w:r>
          </w:p>
        </w:tc>
        <w:tc>
          <w:tcPr>
            <w:tcW w:w="1530" w:type="dxa"/>
            <w:tcBorders>
              <w:top w:val="nil"/>
              <w:left w:val="nil"/>
              <w:bottom w:val="single" w:sz="4" w:space="0" w:color="auto"/>
              <w:right w:val="double" w:sz="6" w:space="0" w:color="auto"/>
            </w:tcBorders>
            <w:shd w:val="clear" w:color="auto" w:fill="auto"/>
            <w:vAlign w:val="center"/>
            <w:hideMark/>
          </w:tcPr>
          <w:p w:rsidR="003C2C15" w:rsidRPr="00A8196B" w:rsidP="000975A6" w14:paraId="12F79BB2" w14:textId="7127682B">
            <w:pPr>
              <w:spacing w:after="0" w:line="240" w:lineRule="auto"/>
              <w:jc w:val="center"/>
              <w:rPr>
                <w:color w:val="000000"/>
                <w:sz w:val="20"/>
                <w:szCs w:val="20"/>
              </w:rPr>
            </w:pPr>
            <w:r w:rsidRPr="00A8196B">
              <w:rPr>
                <w:color w:val="000000"/>
                <w:sz w:val="20"/>
                <w:szCs w:val="20"/>
              </w:rPr>
              <w:t>2</w:t>
            </w:r>
            <w:r w:rsidRPr="00A8196B" w:rsidR="00750C81">
              <w:rPr>
                <w:color w:val="000000"/>
                <w:sz w:val="20"/>
                <w:szCs w:val="20"/>
              </w:rPr>
              <w:t>1.125</w:t>
            </w:r>
          </w:p>
        </w:tc>
      </w:tr>
      <w:tr w14:paraId="4F7A4F57" w14:textId="77777777" w:rsidTr="000975A6">
        <w:tblPrEx>
          <w:tblW w:w="5000" w:type="pct"/>
          <w:tblLayout w:type="fixed"/>
          <w:tblCellMar>
            <w:left w:w="115" w:type="dxa"/>
            <w:right w:w="115" w:type="dxa"/>
          </w:tblCellMar>
          <w:tblLook w:val="04A0"/>
        </w:tblPrEx>
        <w:tc>
          <w:tcPr>
            <w:tcW w:w="3510" w:type="dxa"/>
            <w:gridSpan w:val="2"/>
            <w:tcBorders>
              <w:top w:val="nil"/>
              <w:left w:val="double" w:sz="6" w:space="0" w:color="auto"/>
              <w:bottom w:val="double" w:sz="6" w:space="0" w:color="auto"/>
              <w:right w:val="single" w:sz="4" w:space="0" w:color="auto"/>
            </w:tcBorders>
            <w:shd w:val="clear" w:color="auto" w:fill="auto"/>
            <w:vAlign w:val="center"/>
            <w:hideMark/>
          </w:tcPr>
          <w:p w:rsidR="003C2C15" w:rsidRPr="00A8196B" w:rsidP="000975A6" w14:paraId="2621B924" w14:textId="77777777">
            <w:pPr>
              <w:spacing w:after="0" w:line="240" w:lineRule="auto"/>
              <w:rPr>
                <w:b/>
                <w:bCs/>
                <w:color w:val="000000"/>
                <w:sz w:val="20"/>
                <w:szCs w:val="20"/>
              </w:rPr>
            </w:pPr>
            <w:r w:rsidRPr="00A8196B">
              <w:rPr>
                <w:b/>
                <w:bCs/>
                <w:color w:val="000000"/>
                <w:sz w:val="20"/>
                <w:szCs w:val="20"/>
              </w:rPr>
              <w:t xml:space="preserve">Total </w:t>
            </w:r>
          </w:p>
        </w:tc>
        <w:tc>
          <w:tcPr>
            <w:tcW w:w="1542" w:type="dxa"/>
            <w:tcBorders>
              <w:top w:val="nil"/>
              <w:left w:val="nil"/>
              <w:bottom w:val="double" w:sz="6" w:space="0" w:color="auto"/>
              <w:right w:val="single" w:sz="4" w:space="0" w:color="auto"/>
            </w:tcBorders>
            <w:shd w:val="clear" w:color="auto" w:fill="auto"/>
            <w:vAlign w:val="center"/>
            <w:hideMark/>
          </w:tcPr>
          <w:p w:rsidR="003C2C15" w:rsidRPr="00A8196B" w:rsidP="000975A6" w14:paraId="76C86B26" w14:textId="0FD4369B">
            <w:pPr>
              <w:spacing w:after="0" w:line="240" w:lineRule="auto"/>
              <w:jc w:val="center"/>
              <w:rPr>
                <w:b/>
                <w:bCs/>
                <w:color w:val="000000"/>
                <w:sz w:val="20"/>
                <w:szCs w:val="20"/>
              </w:rPr>
            </w:pPr>
            <w:r w:rsidRPr="00A8196B">
              <w:rPr>
                <w:b/>
                <w:bCs/>
                <w:color w:val="000000"/>
                <w:sz w:val="20"/>
                <w:szCs w:val="20"/>
              </w:rPr>
              <w:t>1</w:t>
            </w:r>
            <w:r w:rsidRPr="00A8196B" w:rsidR="00750C81">
              <w:rPr>
                <w:b/>
                <w:bCs/>
                <w:color w:val="000000"/>
                <w:sz w:val="20"/>
                <w:szCs w:val="20"/>
              </w:rPr>
              <w:t>,343</w:t>
            </w:r>
          </w:p>
        </w:tc>
        <w:tc>
          <w:tcPr>
            <w:tcW w:w="1608" w:type="dxa"/>
            <w:tcBorders>
              <w:top w:val="nil"/>
              <w:left w:val="nil"/>
              <w:bottom w:val="double" w:sz="6" w:space="0" w:color="auto"/>
              <w:right w:val="single" w:sz="4" w:space="0" w:color="auto"/>
            </w:tcBorders>
            <w:shd w:val="clear" w:color="auto" w:fill="auto"/>
            <w:vAlign w:val="center"/>
            <w:hideMark/>
          </w:tcPr>
          <w:p w:rsidR="003C2C15" w:rsidRPr="00A8196B" w:rsidP="000975A6" w14:paraId="01C37F2E" w14:textId="1E94FEF4">
            <w:pPr>
              <w:spacing w:after="0" w:line="240" w:lineRule="auto"/>
              <w:jc w:val="center"/>
              <w:rPr>
                <w:b/>
                <w:bCs/>
                <w:color w:val="000000"/>
                <w:sz w:val="20"/>
                <w:szCs w:val="20"/>
              </w:rPr>
            </w:pPr>
            <w:r w:rsidRPr="00A8196B">
              <w:rPr>
                <w:b/>
                <w:bCs/>
                <w:color w:val="000000"/>
                <w:sz w:val="20"/>
                <w:szCs w:val="20"/>
              </w:rPr>
              <w:t xml:space="preserve"> </w:t>
            </w:r>
          </w:p>
        </w:tc>
        <w:tc>
          <w:tcPr>
            <w:tcW w:w="1530" w:type="dxa"/>
            <w:tcBorders>
              <w:top w:val="nil"/>
              <w:left w:val="nil"/>
              <w:bottom w:val="double" w:sz="6" w:space="0" w:color="auto"/>
              <w:right w:val="double" w:sz="6" w:space="0" w:color="auto"/>
            </w:tcBorders>
            <w:shd w:val="clear" w:color="auto" w:fill="auto"/>
            <w:vAlign w:val="center"/>
            <w:hideMark/>
          </w:tcPr>
          <w:p w:rsidR="003C2C15" w:rsidRPr="00A8196B" w:rsidP="000975A6" w14:paraId="43F2AA41" w14:textId="2FBFF13F">
            <w:pPr>
              <w:spacing w:after="0" w:line="240" w:lineRule="auto"/>
              <w:jc w:val="center"/>
              <w:rPr>
                <w:b/>
                <w:bCs/>
                <w:color w:val="000000"/>
                <w:sz w:val="20"/>
                <w:szCs w:val="20"/>
              </w:rPr>
            </w:pPr>
            <w:r w:rsidRPr="00A8196B">
              <w:rPr>
                <w:b/>
                <w:bCs/>
                <w:color w:val="000000"/>
                <w:sz w:val="20"/>
                <w:szCs w:val="20"/>
              </w:rPr>
              <w:t>1,882</w:t>
            </w:r>
          </w:p>
        </w:tc>
      </w:tr>
      <w:tr w14:paraId="7DA51CFB" w14:textId="77777777" w:rsidTr="000975A6">
        <w:tblPrEx>
          <w:tblW w:w="5000" w:type="pct"/>
          <w:tblLayout w:type="fixed"/>
          <w:tblCellMar>
            <w:left w:w="115" w:type="dxa"/>
            <w:right w:w="115" w:type="dxa"/>
          </w:tblCellMar>
          <w:tblLook w:val="04A0"/>
        </w:tblPrEx>
        <w:tc>
          <w:tcPr>
            <w:tcW w:w="8190" w:type="dxa"/>
            <w:gridSpan w:val="5"/>
            <w:tcBorders>
              <w:top w:val="nil"/>
              <w:left w:val="nil"/>
              <w:bottom w:val="nil"/>
              <w:right w:val="nil"/>
            </w:tcBorders>
            <w:shd w:val="clear" w:color="auto" w:fill="auto"/>
            <w:vAlign w:val="center"/>
          </w:tcPr>
          <w:p w:rsidR="00AC5A42" w:rsidRPr="00A8196B" w:rsidP="000975A6" w14:paraId="0B23F61B" w14:textId="52FC6535">
            <w:pPr>
              <w:pStyle w:val="TableFootnote"/>
              <w:rPr>
                <w:rFonts w:ascii="Arial" w:hAnsi="Arial" w:cs="Arial"/>
                <w:b/>
              </w:rPr>
            </w:pPr>
            <w:r w:rsidRPr="00A8196B">
              <w:rPr>
                <w:rFonts w:ascii="Arial" w:hAnsi="Arial" w:cs="Arial"/>
                <w:b/>
              </w:rPr>
              <w:t>Footnote</w:t>
            </w:r>
          </w:p>
        </w:tc>
      </w:tr>
      <w:tr w14:paraId="25424BEE" w14:textId="77777777" w:rsidTr="000975A6">
        <w:tblPrEx>
          <w:tblW w:w="5000" w:type="pct"/>
          <w:tblLayout w:type="fixed"/>
          <w:tblCellMar>
            <w:left w:w="115" w:type="dxa"/>
            <w:right w:w="115" w:type="dxa"/>
          </w:tblCellMar>
          <w:tblLook w:val="04A0"/>
        </w:tblPrEx>
        <w:tc>
          <w:tcPr>
            <w:tcW w:w="270" w:type="dxa"/>
            <w:tcBorders>
              <w:top w:val="nil"/>
              <w:left w:val="nil"/>
              <w:bottom w:val="nil"/>
              <w:right w:val="nil"/>
            </w:tcBorders>
            <w:shd w:val="clear" w:color="auto" w:fill="auto"/>
            <w:vAlign w:val="center"/>
            <w:hideMark/>
          </w:tcPr>
          <w:p w:rsidR="003C2C15" w:rsidRPr="00A8196B" w:rsidP="000975A6" w14:paraId="22429147" w14:textId="77777777">
            <w:pPr>
              <w:spacing w:after="0" w:line="240" w:lineRule="auto"/>
              <w:jc w:val="right"/>
              <w:rPr>
                <w:rFonts w:cs="Arial"/>
                <w:color w:val="000000"/>
                <w:sz w:val="18"/>
                <w:szCs w:val="18"/>
              </w:rPr>
            </w:pPr>
            <w:r w:rsidRPr="00A8196B">
              <w:rPr>
                <w:rFonts w:cs="Arial"/>
                <w:color w:val="000000"/>
                <w:sz w:val="18"/>
                <w:szCs w:val="18"/>
                <w:vertAlign w:val="superscript"/>
              </w:rPr>
              <w:t>1</w:t>
            </w:r>
          </w:p>
        </w:tc>
        <w:tc>
          <w:tcPr>
            <w:tcW w:w="7920" w:type="dxa"/>
            <w:gridSpan w:val="4"/>
            <w:tcBorders>
              <w:top w:val="double" w:sz="6" w:space="0" w:color="auto"/>
              <w:left w:val="nil"/>
              <w:bottom w:val="nil"/>
              <w:right w:val="nil"/>
            </w:tcBorders>
            <w:shd w:val="clear" w:color="auto" w:fill="auto"/>
            <w:vAlign w:val="center"/>
            <w:hideMark/>
          </w:tcPr>
          <w:p w:rsidR="003C2C15" w:rsidRPr="00A8196B" w:rsidP="000975A6" w14:paraId="6ECC0E02" w14:textId="77777777">
            <w:pPr>
              <w:pStyle w:val="TableFootnote"/>
              <w:rPr>
                <w:rFonts w:ascii="Arial" w:hAnsi="Arial" w:cs="Arial"/>
              </w:rPr>
            </w:pPr>
            <w:r w:rsidRPr="00A8196B">
              <w:rPr>
                <w:rFonts w:ascii="Arial" w:hAnsi="Arial" w:cs="Arial"/>
              </w:rPr>
              <w:t>Average recordkeeping hours per response</w:t>
            </w:r>
          </w:p>
        </w:tc>
      </w:tr>
    </w:tbl>
    <w:p w:rsidR="003C2C15" w:rsidRPr="00A8196B" w:rsidP="000975A6" w14:paraId="7B679DD5" w14:textId="7A3D5527">
      <w:pPr>
        <w:pStyle w:val="Heading3"/>
        <w:numPr>
          <w:ilvl w:val="0"/>
          <w:numId w:val="0"/>
        </w:numPr>
        <w:spacing w:before="240" w:line="276" w:lineRule="auto"/>
        <w:ind w:firstLine="634"/>
      </w:pPr>
      <w:r w:rsidRPr="00A8196B">
        <w:t>Burden Associated with CDX Registration</w:t>
      </w:r>
    </w:p>
    <w:p w:rsidR="003C2C15" w:rsidRPr="00A8196B" w:rsidP="009B2563" w14:paraId="511EF34F" w14:textId="73535634">
      <w:pPr>
        <w:pStyle w:val="BodyTextFirstIndent"/>
        <w:spacing w:after="200" w:line="276" w:lineRule="auto"/>
      </w:pPr>
      <w:bookmarkStart w:id="36" w:name="_Hlk86828686"/>
      <w:r w:rsidRPr="00A8196B">
        <w:t>As part of EPA’s electronic reporting requirements, submitters of TSCA section 5 notices are required to register and submit information electronically with EPA’s Central Data Exchange (CDX) system. EPA estimates that companies submitting TSCA section 5 notices for the first time would incur a one-time burden to complete CDX registration activities, obtain a CDX electronic signature, and set up a Pay.gov ID account. The total burden associated with CDX registration is approximately 2.80 hours per company. EPA assumes each company will register five employees, resulting in a per-employee burden of 0.66 hours. This per-employee burden includes 0.18 hours for CDX registration, 0.35 hours for submitting and then verifying electronic signature agreements, and 0.13 hours for setting up a Pay.gov account. In FY 20</w:t>
      </w:r>
      <w:r w:rsidRPr="00A8196B" w:rsidR="008667A4">
        <w:t>19</w:t>
      </w:r>
      <w:r w:rsidRPr="00A8196B">
        <w:t xml:space="preserve"> through FY 20</w:t>
      </w:r>
      <w:r w:rsidRPr="00A8196B" w:rsidR="008667A4">
        <w:t>21</w:t>
      </w:r>
      <w:r w:rsidRPr="00A8196B">
        <w:t xml:space="preserve">, there were an average of </w:t>
      </w:r>
      <w:r w:rsidRPr="00A8196B" w:rsidR="0011481A">
        <w:t>2,942</w:t>
      </w:r>
      <w:r w:rsidRPr="00A8196B">
        <w:t xml:space="preserve"> new registrants, of which an average of 2,</w:t>
      </w:r>
      <w:r w:rsidRPr="00A8196B" w:rsidR="0011481A">
        <w:t>284</w:t>
      </w:r>
      <w:r w:rsidRPr="00A8196B">
        <w:t xml:space="preserve"> TSCA-Authorized Officials (AO) and </w:t>
      </w:r>
      <w:r w:rsidRPr="00A8196B" w:rsidR="0011481A">
        <w:t>658</w:t>
      </w:r>
      <w:r w:rsidRPr="00A8196B">
        <w:t xml:space="preserve"> TSCA-Support Registrants (SR) were approved via CDX for all TSCA section 5 activities. Multiplying the annual burden by the average number of new registrants results in a total annual burden of </w:t>
      </w:r>
      <w:r w:rsidRPr="00A8196B" w:rsidR="0011481A">
        <w:rPr>
          <w:bCs/>
        </w:rPr>
        <w:t>1,942</w:t>
      </w:r>
      <w:r w:rsidRPr="00A8196B">
        <w:t xml:space="preserve"> hours (</w:t>
      </w:r>
      <w:r w:rsidRPr="00A8196B" w:rsidR="00F86157">
        <w:t>Table 1</w:t>
      </w:r>
      <w:r w:rsidRPr="00A8196B" w:rsidR="000F68A9">
        <w:t>7</w:t>
      </w:r>
      <w:r w:rsidRPr="00A8196B">
        <w:t>).</w:t>
      </w:r>
    </w:p>
    <w:p w:rsidR="001B4C90" w:rsidRPr="00A8196B" w:rsidP="008C16F4" w14:paraId="2892C214" w14:textId="7302F606">
      <w:pPr>
        <w:pStyle w:val="Caption"/>
        <w:rPr>
          <w:bCs/>
          <w:color w:val="000000"/>
          <w:szCs w:val="22"/>
        </w:rPr>
      </w:pPr>
      <w:bookmarkStart w:id="37" w:name="_Ref501611362"/>
      <w:bookmarkEnd w:id="36"/>
      <w:r w:rsidRPr="00A8196B">
        <w:t xml:space="preserve">Table </w:t>
      </w:r>
      <w:r w:rsidRPr="00A8196B">
        <w:rPr>
          <w:noProof/>
        </w:rPr>
        <w:t>17</w:t>
      </w:r>
      <w:r w:rsidRPr="00A8196B" w:rsidR="008C16F4">
        <w:rPr>
          <w:noProof/>
        </w:rPr>
        <w:t>:</w:t>
      </w:r>
      <w:r w:rsidRPr="00A8196B">
        <w:t xml:space="preserve"> Burden Associated New CDX Registration Activities</w:t>
      </w:r>
    </w:p>
    <w:tbl>
      <w:tblPr>
        <w:tblW w:w="5000" w:type="pct"/>
        <w:tblLook w:val="04A0"/>
      </w:tblPr>
      <w:tblGrid>
        <w:gridCol w:w="1603"/>
        <w:gridCol w:w="1382"/>
        <w:gridCol w:w="1297"/>
        <w:gridCol w:w="1718"/>
        <w:gridCol w:w="1619"/>
        <w:gridCol w:w="1695"/>
      </w:tblGrid>
      <w:tr w14:paraId="6222B3D9" w14:textId="77777777" w:rsidTr="001B4C90">
        <w:tblPrEx>
          <w:tblW w:w="5000" w:type="pct"/>
          <w:tblLook w:val="04A0"/>
        </w:tblPrEx>
        <w:tc>
          <w:tcPr>
            <w:tcW w:w="0" w:type="auto"/>
            <w:tcBorders>
              <w:top w:val="double" w:sz="6" w:space="0" w:color="auto"/>
              <w:left w:val="double" w:sz="6" w:space="0" w:color="auto"/>
              <w:bottom w:val="single" w:sz="4" w:space="0" w:color="auto"/>
              <w:right w:val="single" w:sz="4" w:space="0" w:color="auto"/>
            </w:tcBorders>
            <w:shd w:val="clear" w:color="auto" w:fill="auto"/>
            <w:hideMark/>
          </w:tcPr>
          <w:bookmarkEnd w:id="37"/>
          <w:p w:rsidR="003C2C15" w:rsidRPr="00A8196B" w:rsidP="001B4C90" w14:paraId="5226EAD8" w14:textId="77777777">
            <w:pPr>
              <w:keepNext/>
              <w:spacing w:after="0" w:line="240" w:lineRule="auto"/>
              <w:jc w:val="center"/>
              <w:rPr>
                <w:b/>
                <w:bCs/>
                <w:color w:val="000000"/>
                <w:sz w:val="20"/>
                <w:szCs w:val="20"/>
              </w:rPr>
            </w:pPr>
            <w:r w:rsidRPr="00A8196B">
              <w:rPr>
                <w:b/>
                <w:bCs/>
                <w:color w:val="000000"/>
                <w:sz w:val="20"/>
                <w:szCs w:val="20"/>
              </w:rPr>
              <w:t>CDX Registration Burden (Hours)</w:t>
            </w:r>
          </w:p>
        </w:tc>
        <w:tc>
          <w:tcPr>
            <w:tcW w:w="0" w:type="auto"/>
            <w:tcBorders>
              <w:top w:val="double" w:sz="6" w:space="0" w:color="auto"/>
              <w:left w:val="nil"/>
              <w:bottom w:val="single" w:sz="4" w:space="0" w:color="auto"/>
              <w:right w:val="single" w:sz="4" w:space="0" w:color="auto"/>
            </w:tcBorders>
            <w:shd w:val="clear" w:color="auto" w:fill="auto"/>
            <w:hideMark/>
          </w:tcPr>
          <w:p w:rsidR="003C2C15" w:rsidRPr="00A8196B" w:rsidP="001B4C90" w14:paraId="3A0C428D" w14:textId="77777777">
            <w:pPr>
              <w:keepNext/>
              <w:spacing w:after="0" w:line="240" w:lineRule="auto"/>
              <w:jc w:val="center"/>
              <w:rPr>
                <w:b/>
                <w:bCs/>
                <w:color w:val="000000"/>
                <w:sz w:val="20"/>
                <w:szCs w:val="20"/>
              </w:rPr>
            </w:pPr>
            <w:r w:rsidRPr="00A8196B">
              <w:rPr>
                <w:b/>
                <w:bCs/>
                <w:color w:val="000000"/>
                <w:sz w:val="20"/>
                <w:szCs w:val="20"/>
              </w:rPr>
              <w:t>CDX E-Signature Burden (Hours)</w:t>
            </w:r>
          </w:p>
        </w:tc>
        <w:tc>
          <w:tcPr>
            <w:tcW w:w="0" w:type="auto"/>
            <w:tcBorders>
              <w:top w:val="double" w:sz="6" w:space="0" w:color="auto"/>
              <w:left w:val="nil"/>
              <w:bottom w:val="single" w:sz="4" w:space="0" w:color="auto"/>
              <w:right w:val="single" w:sz="4" w:space="0" w:color="auto"/>
            </w:tcBorders>
            <w:shd w:val="clear" w:color="auto" w:fill="auto"/>
            <w:hideMark/>
          </w:tcPr>
          <w:p w:rsidR="003C2C15" w:rsidRPr="00A8196B" w:rsidP="001B4C90" w14:paraId="0361EC26" w14:textId="77777777">
            <w:pPr>
              <w:keepNext/>
              <w:spacing w:after="0" w:line="240" w:lineRule="auto"/>
              <w:jc w:val="center"/>
              <w:rPr>
                <w:b/>
                <w:bCs/>
                <w:color w:val="000000"/>
                <w:sz w:val="20"/>
                <w:szCs w:val="20"/>
              </w:rPr>
            </w:pPr>
            <w:r w:rsidRPr="00A8196B">
              <w:rPr>
                <w:b/>
                <w:bCs/>
                <w:color w:val="000000"/>
                <w:sz w:val="20"/>
                <w:szCs w:val="20"/>
              </w:rPr>
              <w:t>E-Payment (Pay.gov ID account)</w:t>
            </w:r>
            <w:r w:rsidRPr="00A8196B">
              <w:rPr>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auto"/>
            <w:hideMark/>
          </w:tcPr>
          <w:p w:rsidR="003C2C15" w:rsidRPr="00A8196B" w:rsidP="001B4C90" w14:paraId="5EAD27DF" w14:textId="77777777">
            <w:pPr>
              <w:keepNext/>
              <w:spacing w:after="0" w:line="240" w:lineRule="auto"/>
              <w:jc w:val="center"/>
              <w:rPr>
                <w:b/>
                <w:bCs/>
                <w:color w:val="000000"/>
                <w:sz w:val="20"/>
                <w:szCs w:val="20"/>
              </w:rPr>
            </w:pPr>
            <w:r w:rsidRPr="00A8196B">
              <w:rPr>
                <w:b/>
                <w:bCs/>
                <w:color w:val="000000"/>
                <w:sz w:val="20"/>
                <w:szCs w:val="20"/>
              </w:rPr>
              <w:t>Total Burden for CDX Registration Activities</w:t>
            </w:r>
            <w:r w:rsidRPr="00A8196B">
              <w:rPr>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auto"/>
            <w:hideMark/>
          </w:tcPr>
          <w:p w:rsidR="003C2C15" w:rsidRPr="00A8196B" w:rsidP="001B4C90" w14:paraId="33DF8D73" w14:textId="77777777">
            <w:pPr>
              <w:keepNext/>
              <w:spacing w:after="0" w:line="240" w:lineRule="auto"/>
              <w:jc w:val="center"/>
              <w:rPr>
                <w:b/>
                <w:bCs/>
                <w:color w:val="000000"/>
                <w:sz w:val="20"/>
                <w:szCs w:val="20"/>
              </w:rPr>
            </w:pPr>
            <w:r w:rsidRPr="00A8196B">
              <w:rPr>
                <w:b/>
                <w:bCs/>
                <w:color w:val="000000"/>
                <w:sz w:val="20"/>
                <w:szCs w:val="20"/>
              </w:rPr>
              <w:t>Annual Number of New CDX Registrants</w:t>
            </w:r>
          </w:p>
        </w:tc>
        <w:tc>
          <w:tcPr>
            <w:tcW w:w="0" w:type="auto"/>
            <w:tcBorders>
              <w:top w:val="double" w:sz="6" w:space="0" w:color="auto"/>
              <w:left w:val="nil"/>
              <w:bottom w:val="single" w:sz="4" w:space="0" w:color="auto"/>
              <w:right w:val="double" w:sz="6" w:space="0" w:color="auto"/>
            </w:tcBorders>
            <w:shd w:val="clear" w:color="auto" w:fill="auto"/>
            <w:hideMark/>
          </w:tcPr>
          <w:p w:rsidR="003C2C15" w:rsidRPr="00A8196B" w:rsidP="001B4C90" w14:paraId="22423CC9" w14:textId="77777777">
            <w:pPr>
              <w:keepNext/>
              <w:spacing w:after="0" w:line="240" w:lineRule="auto"/>
              <w:jc w:val="center"/>
              <w:rPr>
                <w:b/>
                <w:bCs/>
                <w:color w:val="000000"/>
                <w:sz w:val="20"/>
                <w:szCs w:val="20"/>
              </w:rPr>
            </w:pPr>
            <w:r w:rsidRPr="00A8196B">
              <w:rPr>
                <w:b/>
                <w:bCs/>
                <w:color w:val="000000"/>
                <w:sz w:val="20"/>
                <w:szCs w:val="20"/>
              </w:rPr>
              <w:t>Total Annual Burden for CDX Registration</w:t>
            </w:r>
            <w:r w:rsidRPr="00A8196B">
              <w:rPr>
                <w:b/>
                <w:bCs/>
                <w:color w:val="000000"/>
                <w:sz w:val="20"/>
                <w:szCs w:val="20"/>
              </w:rPr>
              <w:br/>
              <w:t>(Hours)</w:t>
            </w:r>
          </w:p>
        </w:tc>
      </w:tr>
      <w:tr w14:paraId="3FF0321D" w14:textId="77777777" w:rsidTr="001B4C90">
        <w:tblPrEx>
          <w:tblW w:w="5000" w:type="pct"/>
          <w:tblLook w:val="04A0"/>
        </w:tblPrEx>
        <w:tc>
          <w:tcPr>
            <w:tcW w:w="0" w:type="auto"/>
            <w:tcBorders>
              <w:top w:val="single" w:sz="4" w:space="0" w:color="auto"/>
              <w:left w:val="double" w:sz="6" w:space="0" w:color="auto"/>
              <w:bottom w:val="double" w:sz="6" w:space="0" w:color="auto"/>
              <w:right w:val="single" w:sz="4" w:space="0" w:color="auto"/>
            </w:tcBorders>
            <w:shd w:val="clear" w:color="auto" w:fill="auto"/>
            <w:hideMark/>
          </w:tcPr>
          <w:p w:rsidR="003C2C15" w:rsidRPr="00A8196B" w:rsidP="007357FC" w14:paraId="685A7AF3" w14:textId="77777777">
            <w:pPr>
              <w:spacing w:after="0" w:line="240" w:lineRule="auto"/>
              <w:jc w:val="center"/>
              <w:rPr>
                <w:color w:val="000000"/>
                <w:sz w:val="20"/>
                <w:szCs w:val="20"/>
              </w:rPr>
            </w:pPr>
            <w:r w:rsidRPr="00A8196B">
              <w:rPr>
                <w:color w:val="000000"/>
                <w:sz w:val="20"/>
                <w:szCs w:val="20"/>
              </w:rPr>
              <w:t>0.18</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722BA46D" w14:textId="77777777">
            <w:pPr>
              <w:spacing w:after="0" w:line="240" w:lineRule="auto"/>
              <w:jc w:val="center"/>
              <w:rPr>
                <w:color w:val="000000"/>
                <w:sz w:val="20"/>
                <w:szCs w:val="20"/>
              </w:rPr>
            </w:pPr>
            <w:r w:rsidRPr="00A8196B">
              <w:rPr>
                <w:color w:val="000000"/>
                <w:sz w:val="20"/>
                <w:szCs w:val="20"/>
              </w:rPr>
              <w:t>0.35</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0F4FD5DF" w14:textId="77777777">
            <w:pPr>
              <w:spacing w:after="0" w:line="240" w:lineRule="auto"/>
              <w:jc w:val="center"/>
              <w:rPr>
                <w:color w:val="000000"/>
                <w:sz w:val="20"/>
                <w:szCs w:val="20"/>
              </w:rPr>
            </w:pPr>
            <w:r w:rsidRPr="00A8196B">
              <w:rPr>
                <w:color w:val="000000"/>
                <w:sz w:val="20"/>
                <w:szCs w:val="20"/>
              </w:rPr>
              <w:t>0.13</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04CC91A0" w14:textId="77777777">
            <w:pPr>
              <w:spacing w:after="0" w:line="240" w:lineRule="auto"/>
              <w:jc w:val="center"/>
              <w:rPr>
                <w:color w:val="000000"/>
                <w:sz w:val="20"/>
                <w:szCs w:val="20"/>
              </w:rPr>
            </w:pPr>
            <w:r w:rsidRPr="00A8196B">
              <w:rPr>
                <w:color w:val="000000"/>
                <w:sz w:val="20"/>
                <w:szCs w:val="20"/>
              </w:rPr>
              <w:t>0.66</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36FB50C9" w14:textId="1E29FDA6">
            <w:pPr>
              <w:spacing w:after="0" w:line="240" w:lineRule="auto"/>
              <w:jc w:val="center"/>
              <w:rPr>
                <w:color w:val="000000"/>
                <w:sz w:val="20"/>
                <w:szCs w:val="20"/>
              </w:rPr>
            </w:pPr>
            <w:r w:rsidRPr="00A8196B">
              <w:rPr>
                <w:color w:val="000000"/>
                <w:sz w:val="20"/>
                <w:szCs w:val="20"/>
              </w:rPr>
              <w:t>2,942</w:t>
            </w:r>
          </w:p>
        </w:tc>
        <w:tc>
          <w:tcPr>
            <w:tcW w:w="0" w:type="auto"/>
            <w:tcBorders>
              <w:top w:val="single" w:sz="4" w:space="0" w:color="auto"/>
              <w:left w:val="nil"/>
              <w:bottom w:val="double" w:sz="6" w:space="0" w:color="auto"/>
              <w:right w:val="double" w:sz="6" w:space="0" w:color="auto"/>
            </w:tcBorders>
            <w:shd w:val="clear" w:color="auto" w:fill="auto"/>
            <w:hideMark/>
          </w:tcPr>
          <w:p w:rsidR="003C2C15" w:rsidRPr="00A8196B" w:rsidP="007357FC" w14:paraId="6257088F" w14:textId="4BF4821A">
            <w:pPr>
              <w:spacing w:after="0" w:line="240" w:lineRule="auto"/>
              <w:jc w:val="center"/>
              <w:rPr>
                <w:b/>
                <w:bCs/>
                <w:color w:val="000000"/>
                <w:sz w:val="20"/>
                <w:szCs w:val="20"/>
              </w:rPr>
            </w:pPr>
            <w:r w:rsidRPr="00A8196B">
              <w:rPr>
                <w:b/>
                <w:bCs/>
                <w:color w:val="000000"/>
                <w:sz w:val="20"/>
                <w:szCs w:val="20"/>
              </w:rPr>
              <w:t>1,942</w:t>
            </w:r>
          </w:p>
        </w:tc>
      </w:tr>
    </w:tbl>
    <w:p w:rsidR="003C2C15" w:rsidRPr="00A8196B" w:rsidP="000975A6" w14:paraId="50EF0716" w14:textId="538091B3">
      <w:pPr>
        <w:pStyle w:val="Heading2"/>
        <w:spacing w:before="240"/>
        <w:ind w:left="720" w:firstLine="0"/>
      </w:pPr>
      <w:r w:rsidRPr="00A8196B">
        <w:t>Estimating Total Burden</w:t>
      </w:r>
    </w:p>
    <w:p w:rsidR="00F86157" w:rsidRPr="00A8196B" w:rsidP="009B2563" w14:paraId="7CEFB0D4" w14:textId="677B2188">
      <w:pPr>
        <w:pStyle w:val="BodyTextFirstIndent"/>
        <w:spacing w:after="200" w:line="276" w:lineRule="auto"/>
      </w:pPr>
      <w:r w:rsidRPr="00A8196B">
        <w:t>Table 1</w:t>
      </w:r>
      <w:r w:rsidRPr="00A8196B" w:rsidR="000F68A9">
        <w:t>8</w:t>
      </w:r>
      <w:r w:rsidRPr="00A8196B">
        <w:t xml:space="preserve">. </w:t>
      </w:r>
      <w:r w:rsidRPr="00A8196B" w:rsidR="003C2C15">
        <w:t xml:space="preserve">below contains the total annual respondent burden for all submissions and activities covered under this ICR. The total annual burden is estimated to be approximately </w:t>
      </w:r>
      <w:r w:rsidRPr="00A8196B" w:rsidR="008667A4">
        <w:rPr>
          <w:bCs/>
        </w:rPr>
        <w:t>136,</w:t>
      </w:r>
      <w:r w:rsidRPr="00A8196B" w:rsidR="0011481A">
        <w:rPr>
          <w:bCs/>
        </w:rPr>
        <w:t>292</w:t>
      </w:r>
      <w:r w:rsidRPr="00A8196B" w:rsidR="003C2C15">
        <w:rPr>
          <w:bCs/>
        </w:rPr>
        <w:t xml:space="preserve"> hours</w:t>
      </w:r>
      <w:r w:rsidRPr="00A8196B" w:rsidR="003C2C15">
        <w:t xml:space="preserve"> (</w:t>
      </w:r>
      <w:r w:rsidRPr="00A8196B" w:rsidR="000F4CCF">
        <w:t>132,468</w:t>
      </w:r>
      <w:r w:rsidRPr="00A8196B" w:rsidR="003C2C15">
        <w:t xml:space="preserve"> reporting hours + </w:t>
      </w:r>
      <w:r w:rsidRPr="00A8196B" w:rsidR="000F4CCF">
        <w:t>1,882</w:t>
      </w:r>
      <w:r w:rsidRPr="00A8196B" w:rsidR="003C2C15">
        <w:t xml:space="preserve"> recordkeeping hours + </w:t>
      </w:r>
      <w:r w:rsidRPr="00A8196B" w:rsidR="0011481A">
        <w:t>1,942</w:t>
      </w:r>
      <w:r w:rsidRPr="00A8196B" w:rsidR="003C2C15">
        <w:t xml:space="preserve"> CDX registration hours). For this ICR, EPA estimated the total number of potential respondents at 234. This estimate is based on the </w:t>
      </w:r>
      <w:r w:rsidRPr="00A8196B" w:rsidR="00AF5B0E">
        <w:t xml:space="preserve">average </w:t>
      </w:r>
      <w:r w:rsidRPr="00A8196B" w:rsidR="003C2C15">
        <w:t xml:space="preserve">number of unique entities that submitted a response of any kind during </w:t>
      </w:r>
      <w:r w:rsidRPr="00A8196B" w:rsidR="00AF5B0E">
        <w:t>FY</w:t>
      </w:r>
      <w:r w:rsidRPr="00A8196B" w:rsidR="009D7C11">
        <w:t xml:space="preserve"> 2019- FY 2021.</w:t>
      </w:r>
      <w:r w:rsidRPr="00A8196B" w:rsidR="00182C0B">
        <w:t xml:space="preserve"> </w:t>
      </w:r>
      <w:r w:rsidRPr="00A8196B" w:rsidR="003C2C15">
        <w:t xml:space="preserve">EPA estimates the average number of responses per respondent as the total number of annual responses (minus any CDX registration activity) divided by the total number of respondents, which yields approximately </w:t>
      </w:r>
      <w:r w:rsidRPr="00A8196B" w:rsidR="0097247F">
        <w:t>5.74</w:t>
      </w:r>
      <w:r w:rsidRPr="00A8196B" w:rsidR="003C2C15">
        <w:t xml:space="preserve"> responses per respondent (1,</w:t>
      </w:r>
      <w:r w:rsidRPr="00A8196B" w:rsidR="000F4CCF">
        <w:t>343</w:t>
      </w:r>
      <w:r w:rsidRPr="00A8196B" w:rsidR="003C2C15">
        <w:t xml:space="preserve"> annual responses ÷ 234 annual respondents).</w:t>
      </w:r>
    </w:p>
    <w:p w:rsidR="001B4C90" w:rsidRPr="00A8196B" w:rsidP="008C16F4" w14:paraId="4F393DA6" w14:textId="7CCEB893">
      <w:pPr>
        <w:pStyle w:val="Caption"/>
      </w:pPr>
      <w:bookmarkStart w:id="38" w:name="_Ref501611373"/>
      <w:bookmarkStart w:id="39" w:name="_Hlk511725257"/>
      <w:r w:rsidRPr="00A8196B">
        <w:t>Table</w:t>
      </w:r>
      <w:r w:rsidRPr="00A8196B" w:rsidR="00E91372">
        <w:t xml:space="preserve"> </w:t>
      </w:r>
      <w:r w:rsidRPr="00A8196B">
        <w:t>18</w:t>
      </w:r>
      <w:r w:rsidRPr="00A8196B" w:rsidR="008C16F4">
        <w:t>:</w:t>
      </w:r>
      <w:r w:rsidRPr="00A8196B">
        <w:t xml:space="preserve"> </w:t>
      </w:r>
      <w:r w:rsidR="002C4970">
        <w:t>Baseline</w:t>
      </w:r>
      <w:r w:rsidRPr="00A8196B">
        <w:t>Total Annual Respondent Burden Calculation</w:t>
      </w:r>
    </w:p>
    <w:tbl>
      <w:tblPr>
        <w:tblW w:w="5000" w:type="pct"/>
        <w:tblLayout w:type="fixed"/>
        <w:tblCellMar>
          <w:left w:w="115" w:type="dxa"/>
          <w:right w:w="115" w:type="dxa"/>
        </w:tblCellMar>
        <w:tblLook w:val="04A0"/>
      </w:tblPr>
      <w:tblGrid>
        <w:gridCol w:w="270"/>
        <w:gridCol w:w="2227"/>
        <w:gridCol w:w="1263"/>
        <w:gridCol w:w="1254"/>
        <w:gridCol w:w="1097"/>
        <w:gridCol w:w="1104"/>
        <w:gridCol w:w="1042"/>
        <w:gridCol w:w="1057"/>
      </w:tblGrid>
      <w:tr w14:paraId="08284D1C" w14:textId="77777777" w:rsidTr="00A7023B">
        <w:tblPrEx>
          <w:tblW w:w="5000" w:type="pct"/>
          <w:tblLayout w:type="fixed"/>
          <w:tblCellMar>
            <w:left w:w="115" w:type="dxa"/>
            <w:right w:w="115" w:type="dxa"/>
          </w:tblCellMar>
          <w:tblLook w:val="04A0"/>
        </w:tblPrEx>
        <w:tc>
          <w:tcPr>
            <w:tcW w:w="2497" w:type="dxa"/>
            <w:gridSpan w:val="2"/>
            <w:tcBorders>
              <w:top w:val="double" w:sz="6" w:space="0" w:color="auto"/>
              <w:left w:val="double" w:sz="6" w:space="0" w:color="auto"/>
              <w:bottom w:val="single" w:sz="4" w:space="0" w:color="auto"/>
              <w:right w:val="single" w:sz="4" w:space="0" w:color="auto"/>
            </w:tcBorders>
            <w:shd w:val="clear" w:color="auto" w:fill="auto"/>
            <w:vAlign w:val="bottom"/>
            <w:hideMark/>
          </w:tcPr>
          <w:bookmarkEnd w:id="38"/>
          <w:p w:rsidR="003C2C15" w:rsidRPr="00A8196B" w:rsidP="00A7023B" w14:paraId="4496D780" w14:textId="77777777">
            <w:pPr>
              <w:widowControl w:val="0"/>
              <w:spacing w:after="0" w:line="240" w:lineRule="auto"/>
              <w:rPr>
                <w:b/>
                <w:bCs/>
                <w:color w:val="000000"/>
                <w:sz w:val="20"/>
                <w:szCs w:val="20"/>
              </w:rPr>
            </w:pPr>
            <w:r w:rsidRPr="00A8196B">
              <w:rPr>
                <w:b/>
                <w:bCs/>
                <w:color w:val="000000"/>
                <w:sz w:val="20"/>
                <w:szCs w:val="20"/>
              </w:rPr>
              <w:t>Type of Notice</w:t>
            </w:r>
          </w:p>
        </w:tc>
        <w:tc>
          <w:tcPr>
            <w:tcW w:w="1263" w:type="dxa"/>
            <w:tcBorders>
              <w:top w:val="double" w:sz="6" w:space="0" w:color="auto"/>
              <w:left w:val="nil"/>
              <w:bottom w:val="single" w:sz="4" w:space="0" w:color="auto"/>
              <w:right w:val="single" w:sz="4" w:space="0" w:color="auto"/>
            </w:tcBorders>
            <w:shd w:val="clear" w:color="auto" w:fill="auto"/>
            <w:vAlign w:val="bottom"/>
            <w:hideMark/>
          </w:tcPr>
          <w:p w:rsidR="003C2C15" w:rsidRPr="00A8196B" w:rsidP="00A7023B" w14:paraId="69D63385" w14:textId="77777777">
            <w:pPr>
              <w:widowControl w:val="0"/>
              <w:spacing w:after="0" w:line="240" w:lineRule="auto"/>
              <w:jc w:val="center"/>
              <w:rPr>
                <w:b/>
                <w:color w:val="000000"/>
                <w:sz w:val="18"/>
                <w:szCs w:val="18"/>
              </w:rPr>
            </w:pPr>
            <w:r w:rsidRPr="00A8196B">
              <w:rPr>
                <w:b/>
                <w:color w:val="000000"/>
                <w:sz w:val="18"/>
                <w:szCs w:val="18"/>
              </w:rPr>
              <w:t>Average Annual Responses</w:t>
            </w:r>
          </w:p>
        </w:tc>
        <w:tc>
          <w:tcPr>
            <w:tcW w:w="1254" w:type="dxa"/>
            <w:tcBorders>
              <w:top w:val="double" w:sz="6" w:space="0" w:color="auto"/>
              <w:left w:val="nil"/>
              <w:bottom w:val="single" w:sz="4" w:space="0" w:color="auto"/>
              <w:right w:val="single" w:sz="4" w:space="0" w:color="auto"/>
            </w:tcBorders>
            <w:shd w:val="clear" w:color="auto" w:fill="auto"/>
            <w:vAlign w:val="bottom"/>
            <w:hideMark/>
          </w:tcPr>
          <w:p w:rsidR="003C2C15" w:rsidRPr="00A8196B" w:rsidP="00A7023B" w14:paraId="59837657" w14:textId="77777777">
            <w:pPr>
              <w:widowControl w:val="0"/>
              <w:spacing w:after="0" w:line="240" w:lineRule="auto"/>
              <w:jc w:val="center"/>
              <w:rPr>
                <w:b/>
                <w:color w:val="000000"/>
                <w:sz w:val="18"/>
                <w:szCs w:val="18"/>
              </w:rPr>
            </w:pPr>
            <w:r w:rsidRPr="00A8196B">
              <w:rPr>
                <w:b/>
                <w:color w:val="000000"/>
                <w:sz w:val="18"/>
                <w:szCs w:val="18"/>
              </w:rPr>
              <w:t>Managerial Hours</w:t>
            </w:r>
          </w:p>
        </w:tc>
        <w:tc>
          <w:tcPr>
            <w:tcW w:w="1097" w:type="dxa"/>
            <w:tcBorders>
              <w:top w:val="double" w:sz="6" w:space="0" w:color="auto"/>
              <w:left w:val="nil"/>
              <w:bottom w:val="single" w:sz="4" w:space="0" w:color="auto"/>
              <w:right w:val="single" w:sz="4" w:space="0" w:color="auto"/>
            </w:tcBorders>
            <w:shd w:val="clear" w:color="auto" w:fill="auto"/>
            <w:vAlign w:val="bottom"/>
            <w:hideMark/>
          </w:tcPr>
          <w:p w:rsidR="003C2C15" w:rsidRPr="00A8196B" w:rsidP="00A7023B" w14:paraId="235FDF91" w14:textId="77777777">
            <w:pPr>
              <w:widowControl w:val="0"/>
              <w:spacing w:after="0" w:line="240" w:lineRule="auto"/>
              <w:jc w:val="center"/>
              <w:rPr>
                <w:b/>
                <w:color w:val="000000"/>
                <w:sz w:val="18"/>
                <w:szCs w:val="18"/>
              </w:rPr>
            </w:pPr>
            <w:r w:rsidRPr="00A8196B">
              <w:rPr>
                <w:b/>
                <w:color w:val="000000"/>
                <w:sz w:val="18"/>
                <w:szCs w:val="18"/>
              </w:rPr>
              <w:t>Technical Hours</w:t>
            </w:r>
          </w:p>
        </w:tc>
        <w:tc>
          <w:tcPr>
            <w:tcW w:w="1104" w:type="dxa"/>
            <w:tcBorders>
              <w:top w:val="double" w:sz="6" w:space="0" w:color="auto"/>
              <w:left w:val="nil"/>
              <w:bottom w:val="single" w:sz="4" w:space="0" w:color="auto"/>
              <w:right w:val="single" w:sz="4" w:space="0" w:color="auto"/>
            </w:tcBorders>
            <w:shd w:val="clear" w:color="auto" w:fill="auto"/>
            <w:vAlign w:val="bottom"/>
            <w:hideMark/>
          </w:tcPr>
          <w:p w:rsidR="003C2C15" w:rsidRPr="00A8196B" w:rsidP="00A7023B" w14:paraId="30109019" w14:textId="77777777">
            <w:pPr>
              <w:widowControl w:val="0"/>
              <w:spacing w:after="0" w:line="240" w:lineRule="auto"/>
              <w:jc w:val="center"/>
              <w:rPr>
                <w:b/>
                <w:color w:val="000000"/>
                <w:sz w:val="18"/>
                <w:szCs w:val="18"/>
              </w:rPr>
            </w:pPr>
            <w:r w:rsidRPr="00A8196B">
              <w:rPr>
                <w:b/>
                <w:color w:val="000000"/>
                <w:sz w:val="18"/>
                <w:szCs w:val="18"/>
              </w:rPr>
              <w:t>Clerical Hours</w:t>
            </w:r>
          </w:p>
        </w:tc>
        <w:tc>
          <w:tcPr>
            <w:tcW w:w="1042" w:type="dxa"/>
            <w:tcBorders>
              <w:top w:val="double" w:sz="6" w:space="0" w:color="auto"/>
              <w:left w:val="nil"/>
              <w:bottom w:val="single" w:sz="4" w:space="0" w:color="auto"/>
              <w:right w:val="single" w:sz="4" w:space="0" w:color="auto"/>
            </w:tcBorders>
            <w:shd w:val="clear" w:color="auto" w:fill="auto"/>
            <w:vAlign w:val="bottom"/>
            <w:hideMark/>
          </w:tcPr>
          <w:p w:rsidR="003C2C15" w:rsidRPr="00A8196B" w:rsidP="00A7023B" w14:paraId="0674E16F" w14:textId="77777777">
            <w:pPr>
              <w:widowControl w:val="0"/>
              <w:spacing w:after="0" w:line="240" w:lineRule="auto"/>
              <w:jc w:val="center"/>
              <w:rPr>
                <w:b/>
                <w:color w:val="000000"/>
                <w:sz w:val="18"/>
                <w:szCs w:val="18"/>
              </w:rPr>
            </w:pPr>
            <w:r w:rsidRPr="00A8196B">
              <w:rPr>
                <w:b/>
                <w:color w:val="000000"/>
                <w:sz w:val="18"/>
                <w:szCs w:val="18"/>
              </w:rPr>
              <w:t>Total Labor Hours</w:t>
            </w:r>
          </w:p>
        </w:tc>
        <w:tc>
          <w:tcPr>
            <w:tcW w:w="1057" w:type="dxa"/>
            <w:tcBorders>
              <w:top w:val="double" w:sz="6" w:space="0" w:color="auto"/>
              <w:left w:val="nil"/>
              <w:bottom w:val="single" w:sz="4" w:space="0" w:color="auto"/>
              <w:right w:val="double" w:sz="6" w:space="0" w:color="auto"/>
            </w:tcBorders>
            <w:shd w:val="clear" w:color="auto" w:fill="auto"/>
            <w:vAlign w:val="bottom"/>
            <w:hideMark/>
          </w:tcPr>
          <w:p w:rsidR="003C2C15" w:rsidRPr="00A8196B" w:rsidP="00A7023B" w14:paraId="4CF90457" w14:textId="77777777">
            <w:pPr>
              <w:widowControl w:val="0"/>
              <w:spacing w:after="0" w:line="240" w:lineRule="auto"/>
              <w:jc w:val="center"/>
              <w:rPr>
                <w:b/>
                <w:color w:val="000000"/>
                <w:sz w:val="18"/>
                <w:szCs w:val="18"/>
              </w:rPr>
            </w:pPr>
            <w:r w:rsidRPr="00A8196B">
              <w:rPr>
                <w:b/>
                <w:color w:val="000000"/>
                <w:sz w:val="18"/>
                <w:szCs w:val="18"/>
              </w:rPr>
              <w:t>Total Burden</w:t>
            </w:r>
          </w:p>
        </w:tc>
      </w:tr>
      <w:tr w14:paraId="2BC01305"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0D22D3F0" w14:textId="77777777">
            <w:pPr>
              <w:widowControl w:val="0"/>
              <w:spacing w:after="0" w:line="240" w:lineRule="auto"/>
              <w:rPr>
                <w:color w:val="000000"/>
                <w:sz w:val="20"/>
                <w:szCs w:val="20"/>
              </w:rPr>
            </w:pPr>
            <w:r w:rsidRPr="00A8196B">
              <w:rPr>
                <w:color w:val="000000"/>
                <w:sz w:val="20"/>
                <w:szCs w:val="20"/>
              </w:rPr>
              <w:t>PMN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0C294A79" w14:textId="09011A5B">
            <w:pPr>
              <w:widowControl w:val="0"/>
              <w:tabs>
                <w:tab w:val="decimal" w:pos="595"/>
              </w:tabs>
              <w:spacing w:after="0" w:line="240" w:lineRule="auto"/>
              <w:rPr>
                <w:color w:val="000000"/>
                <w:sz w:val="20"/>
                <w:szCs w:val="20"/>
              </w:rPr>
            </w:pPr>
            <w:r w:rsidRPr="00A8196B">
              <w:rPr>
                <w:color w:val="000000"/>
                <w:sz w:val="20"/>
                <w:szCs w:val="20"/>
              </w:rPr>
              <w:t>289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71AC4D9" w14:textId="77777777">
            <w:pPr>
              <w:widowControl w:val="0"/>
              <w:tabs>
                <w:tab w:val="decimal" w:pos="595"/>
              </w:tabs>
              <w:spacing w:after="0" w:line="240" w:lineRule="auto"/>
              <w:rPr>
                <w:color w:val="000000"/>
                <w:sz w:val="20"/>
                <w:szCs w:val="20"/>
              </w:rPr>
            </w:pPr>
            <w:r w:rsidRPr="00A8196B">
              <w:rPr>
                <w:color w:val="000000"/>
                <w:sz w:val="20"/>
                <w:szCs w:val="20"/>
              </w:rPr>
              <w:t>38.5</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48FE77D9" w14:textId="77777777">
            <w:pPr>
              <w:widowControl w:val="0"/>
              <w:tabs>
                <w:tab w:val="decimal" w:pos="386"/>
              </w:tabs>
              <w:spacing w:after="0" w:line="240" w:lineRule="auto"/>
              <w:rPr>
                <w:color w:val="000000"/>
                <w:sz w:val="20"/>
                <w:szCs w:val="20"/>
              </w:rPr>
            </w:pPr>
            <w:r w:rsidRPr="00A8196B">
              <w:rPr>
                <w:color w:val="000000"/>
                <w:sz w:val="20"/>
                <w:szCs w:val="20"/>
              </w:rPr>
              <w:t>211.998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65489074"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BDA9D11" w14:textId="77777777">
            <w:pPr>
              <w:widowControl w:val="0"/>
              <w:tabs>
                <w:tab w:val="decimal" w:pos="386"/>
              </w:tabs>
              <w:spacing w:after="0" w:line="240" w:lineRule="auto"/>
              <w:rPr>
                <w:color w:val="000000"/>
                <w:sz w:val="20"/>
                <w:szCs w:val="20"/>
              </w:rPr>
            </w:pPr>
            <w:r w:rsidRPr="00A8196B">
              <w:rPr>
                <w:color w:val="000000"/>
                <w:sz w:val="20"/>
                <w:szCs w:val="20"/>
              </w:rPr>
              <w:t>250.498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7CC8505E" w14:textId="0A5CBB0E">
            <w:pPr>
              <w:widowControl w:val="0"/>
              <w:spacing w:after="0" w:line="240" w:lineRule="auto"/>
              <w:jc w:val="right"/>
              <w:rPr>
                <w:b/>
                <w:bCs/>
                <w:color w:val="000000"/>
                <w:sz w:val="20"/>
                <w:szCs w:val="20"/>
              </w:rPr>
            </w:pPr>
            <w:r w:rsidRPr="00A8196B">
              <w:rPr>
                <w:b/>
                <w:bCs/>
                <w:color w:val="000000"/>
                <w:sz w:val="20"/>
                <w:szCs w:val="20"/>
              </w:rPr>
              <w:t>72,394</w:t>
            </w:r>
          </w:p>
        </w:tc>
      </w:tr>
      <w:tr w14:paraId="7DDE0E4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02A67DD0" w14:textId="77777777">
            <w:pPr>
              <w:widowControl w:val="0"/>
              <w:spacing w:after="0" w:line="240" w:lineRule="auto"/>
              <w:rPr>
                <w:color w:val="000000"/>
                <w:sz w:val="20"/>
                <w:szCs w:val="20"/>
              </w:rPr>
            </w:pPr>
            <w:r w:rsidRPr="00A8196B">
              <w:rPr>
                <w:color w:val="000000"/>
                <w:sz w:val="20"/>
                <w:szCs w:val="20"/>
              </w:rPr>
              <w:t>SNUN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4835439E" w14:textId="2280AFB7">
            <w:pPr>
              <w:widowControl w:val="0"/>
              <w:tabs>
                <w:tab w:val="decimal" w:pos="595"/>
              </w:tabs>
              <w:spacing w:after="0" w:line="240" w:lineRule="auto"/>
              <w:rPr>
                <w:color w:val="000000"/>
                <w:sz w:val="20"/>
                <w:szCs w:val="20"/>
              </w:rPr>
            </w:pPr>
            <w:r w:rsidRPr="00A8196B">
              <w:rPr>
                <w:color w:val="000000"/>
                <w:sz w:val="20"/>
                <w:szCs w:val="20"/>
              </w:rPr>
              <w:t>13</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E6FE0F0" w14:textId="77777777">
            <w:pPr>
              <w:widowControl w:val="0"/>
              <w:tabs>
                <w:tab w:val="decimal" w:pos="595"/>
              </w:tabs>
              <w:spacing w:after="0" w:line="240" w:lineRule="auto"/>
              <w:rPr>
                <w:color w:val="000000"/>
                <w:sz w:val="20"/>
                <w:szCs w:val="20"/>
              </w:rPr>
            </w:pPr>
            <w:r w:rsidRPr="00A8196B">
              <w:rPr>
                <w:color w:val="000000"/>
                <w:sz w:val="20"/>
                <w:szCs w:val="20"/>
              </w:rPr>
              <w:t>24</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65152E2D" w14:textId="77777777">
            <w:pPr>
              <w:widowControl w:val="0"/>
              <w:tabs>
                <w:tab w:val="decimal" w:pos="386"/>
              </w:tabs>
              <w:spacing w:after="0" w:line="240" w:lineRule="auto"/>
              <w:rPr>
                <w:color w:val="000000"/>
                <w:sz w:val="20"/>
                <w:szCs w:val="20"/>
              </w:rPr>
            </w:pPr>
            <w:r w:rsidRPr="00A8196B">
              <w:rPr>
                <w:color w:val="000000"/>
                <w:sz w:val="20"/>
                <w:szCs w:val="20"/>
              </w:rPr>
              <w:t>85.328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78997020"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16F7E87" w14:textId="77777777">
            <w:pPr>
              <w:widowControl w:val="0"/>
              <w:tabs>
                <w:tab w:val="decimal" w:pos="386"/>
              </w:tabs>
              <w:spacing w:after="0" w:line="240" w:lineRule="auto"/>
              <w:rPr>
                <w:color w:val="000000"/>
                <w:sz w:val="20"/>
                <w:szCs w:val="20"/>
              </w:rPr>
            </w:pPr>
            <w:r w:rsidRPr="00A8196B">
              <w:rPr>
                <w:color w:val="000000"/>
                <w:sz w:val="20"/>
                <w:szCs w:val="20"/>
              </w:rPr>
              <w:t>109.328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1D55C11C" w14:textId="3DE1CD6F">
            <w:pPr>
              <w:widowControl w:val="0"/>
              <w:spacing w:after="0" w:line="240" w:lineRule="auto"/>
              <w:jc w:val="right"/>
              <w:rPr>
                <w:b/>
                <w:bCs/>
                <w:color w:val="000000"/>
                <w:sz w:val="20"/>
                <w:szCs w:val="20"/>
              </w:rPr>
            </w:pPr>
            <w:r w:rsidRPr="00A8196B">
              <w:rPr>
                <w:b/>
                <w:bCs/>
                <w:color w:val="000000"/>
                <w:sz w:val="20"/>
                <w:szCs w:val="20"/>
              </w:rPr>
              <w:t>1,421</w:t>
            </w:r>
          </w:p>
        </w:tc>
      </w:tr>
      <w:tr w14:paraId="29F061A4"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4AD5F7EE" w14:textId="77777777">
            <w:pPr>
              <w:widowControl w:val="0"/>
              <w:spacing w:after="0" w:line="240" w:lineRule="auto"/>
              <w:rPr>
                <w:color w:val="000000"/>
                <w:sz w:val="20"/>
                <w:szCs w:val="20"/>
              </w:rPr>
            </w:pPr>
            <w:r w:rsidRPr="00A8196B">
              <w:rPr>
                <w:color w:val="000000"/>
                <w:sz w:val="20"/>
                <w:szCs w:val="20"/>
              </w:rPr>
              <w:t>MCAN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0D954C57" w14:textId="1A92F8FD">
            <w:pPr>
              <w:widowControl w:val="0"/>
              <w:tabs>
                <w:tab w:val="decimal" w:pos="595"/>
              </w:tabs>
              <w:spacing w:after="0" w:line="240" w:lineRule="auto"/>
              <w:rPr>
                <w:color w:val="000000"/>
                <w:sz w:val="20"/>
                <w:szCs w:val="20"/>
              </w:rPr>
            </w:pPr>
            <w:r w:rsidRPr="00A8196B">
              <w:rPr>
                <w:color w:val="000000"/>
                <w:sz w:val="20"/>
                <w:szCs w:val="20"/>
              </w:rPr>
              <w:t>14</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39E6825" w14:textId="77777777">
            <w:pPr>
              <w:widowControl w:val="0"/>
              <w:tabs>
                <w:tab w:val="decimal" w:pos="595"/>
              </w:tabs>
              <w:spacing w:after="0" w:line="240" w:lineRule="auto"/>
              <w:rPr>
                <w:color w:val="000000"/>
                <w:sz w:val="20"/>
                <w:szCs w:val="20"/>
              </w:rPr>
            </w:pPr>
            <w:r w:rsidRPr="00A8196B">
              <w:rPr>
                <w:color w:val="000000"/>
                <w:sz w:val="20"/>
                <w:szCs w:val="20"/>
              </w:rPr>
              <w:t>71</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5F0E124E" w14:textId="77777777">
            <w:pPr>
              <w:widowControl w:val="0"/>
              <w:tabs>
                <w:tab w:val="decimal" w:pos="386"/>
              </w:tabs>
              <w:spacing w:after="0" w:line="240" w:lineRule="auto"/>
              <w:rPr>
                <w:color w:val="000000"/>
                <w:sz w:val="20"/>
                <w:szCs w:val="20"/>
              </w:rPr>
            </w:pPr>
            <w:r w:rsidRPr="00A8196B">
              <w:rPr>
                <w:color w:val="000000"/>
                <w:sz w:val="20"/>
                <w:szCs w:val="20"/>
              </w:rPr>
              <w:t>235.345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9E12363"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0D1759C5" w14:textId="77777777">
            <w:pPr>
              <w:widowControl w:val="0"/>
              <w:tabs>
                <w:tab w:val="decimal" w:pos="386"/>
              </w:tabs>
              <w:spacing w:after="0" w:line="240" w:lineRule="auto"/>
              <w:rPr>
                <w:color w:val="000000"/>
                <w:sz w:val="20"/>
                <w:szCs w:val="20"/>
              </w:rPr>
            </w:pPr>
            <w:r w:rsidRPr="00A8196B">
              <w:rPr>
                <w:color w:val="000000"/>
                <w:sz w:val="20"/>
                <w:szCs w:val="20"/>
              </w:rPr>
              <w:t>306.845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53DB9502" w14:textId="1366B756">
            <w:pPr>
              <w:widowControl w:val="0"/>
              <w:spacing w:after="0" w:line="240" w:lineRule="auto"/>
              <w:jc w:val="right"/>
              <w:rPr>
                <w:b/>
                <w:bCs/>
                <w:color w:val="000000"/>
                <w:sz w:val="20"/>
                <w:szCs w:val="20"/>
              </w:rPr>
            </w:pPr>
            <w:r w:rsidRPr="00A8196B">
              <w:rPr>
                <w:b/>
                <w:bCs/>
                <w:color w:val="000000"/>
                <w:sz w:val="20"/>
                <w:szCs w:val="20"/>
              </w:rPr>
              <w:t>4,296</w:t>
            </w:r>
          </w:p>
        </w:tc>
      </w:tr>
      <w:tr w14:paraId="4A39BCAC" w14:textId="77777777" w:rsidTr="00A7023B">
        <w:tblPrEx>
          <w:tblW w:w="5000" w:type="pct"/>
          <w:tblLayout w:type="fixed"/>
          <w:tblCellMar>
            <w:left w:w="115" w:type="dxa"/>
            <w:right w:w="115" w:type="dxa"/>
          </w:tblCellMar>
          <w:tblLook w:val="04A0"/>
        </w:tblPrEx>
        <w:tc>
          <w:tcPr>
            <w:tcW w:w="9314" w:type="dxa"/>
            <w:gridSpan w:val="8"/>
            <w:tcBorders>
              <w:top w:val="single" w:sz="4" w:space="0" w:color="auto"/>
              <w:left w:val="double" w:sz="6" w:space="0" w:color="auto"/>
              <w:bottom w:val="single" w:sz="4" w:space="0" w:color="auto"/>
              <w:right w:val="double" w:sz="6" w:space="0" w:color="auto"/>
            </w:tcBorders>
            <w:shd w:val="clear" w:color="auto" w:fill="auto"/>
            <w:hideMark/>
          </w:tcPr>
          <w:p w:rsidR="003C2C15" w:rsidRPr="00A8196B" w:rsidP="001B4C90" w14:paraId="05DEAA59" w14:textId="77777777">
            <w:pPr>
              <w:widowControl w:val="0"/>
              <w:spacing w:after="0" w:line="240" w:lineRule="auto"/>
              <w:rPr>
                <w:i/>
                <w:iCs/>
                <w:color w:val="000000"/>
                <w:sz w:val="20"/>
                <w:szCs w:val="20"/>
              </w:rPr>
            </w:pPr>
            <w:r w:rsidRPr="00A8196B">
              <w:rPr>
                <w:i/>
                <w:iCs/>
                <w:color w:val="000000"/>
                <w:sz w:val="20"/>
                <w:szCs w:val="20"/>
              </w:rPr>
              <w:t>Exemptions:</w:t>
            </w:r>
          </w:p>
        </w:tc>
      </w:tr>
      <w:tr w14:paraId="40B40873"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1455D29C" w14:textId="77777777">
            <w:pPr>
              <w:widowControl w:val="0"/>
              <w:spacing w:after="0" w:line="240" w:lineRule="auto"/>
              <w:ind w:firstLine="400"/>
              <w:rPr>
                <w:sz w:val="20"/>
                <w:szCs w:val="20"/>
              </w:rPr>
            </w:pPr>
            <w:r w:rsidRPr="00A8196B">
              <w:rPr>
                <w:sz w:val="20"/>
                <w:szCs w:val="20"/>
              </w:rPr>
              <w:t>LVE/LoREX</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B7D74B4" w14:textId="126509D3">
            <w:pPr>
              <w:widowControl w:val="0"/>
              <w:tabs>
                <w:tab w:val="decimal" w:pos="595"/>
              </w:tabs>
              <w:spacing w:after="0" w:line="240" w:lineRule="auto"/>
              <w:rPr>
                <w:color w:val="000000"/>
                <w:sz w:val="20"/>
                <w:szCs w:val="20"/>
              </w:rPr>
            </w:pPr>
            <w:r w:rsidRPr="00A8196B">
              <w:rPr>
                <w:color w:val="000000"/>
                <w:sz w:val="20"/>
                <w:szCs w:val="20"/>
              </w:rPr>
              <w:t>305</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6F2E28C" w14:textId="77777777">
            <w:pPr>
              <w:widowControl w:val="0"/>
              <w:tabs>
                <w:tab w:val="decimal" w:pos="595"/>
              </w:tabs>
              <w:spacing w:after="0" w:line="240" w:lineRule="auto"/>
              <w:rPr>
                <w:color w:val="000000"/>
                <w:sz w:val="20"/>
                <w:szCs w:val="20"/>
              </w:rPr>
            </w:pPr>
            <w:r w:rsidRPr="00A8196B">
              <w:rPr>
                <w:color w:val="000000"/>
                <w:sz w:val="20"/>
                <w:szCs w:val="20"/>
              </w:rPr>
              <w:t>24</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3EEA07CD" w14:textId="77777777">
            <w:pPr>
              <w:widowControl w:val="0"/>
              <w:tabs>
                <w:tab w:val="decimal" w:pos="386"/>
              </w:tabs>
              <w:spacing w:after="0" w:line="240" w:lineRule="auto"/>
              <w:rPr>
                <w:color w:val="000000"/>
                <w:sz w:val="20"/>
                <w:szCs w:val="20"/>
              </w:rPr>
            </w:pPr>
            <w:r w:rsidRPr="00A8196B">
              <w:rPr>
                <w:color w:val="000000"/>
                <w:sz w:val="20"/>
                <w:szCs w:val="20"/>
              </w:rPr>
              <w:t>85.328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33A0F60"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56CAFCA" w14:textId="77777777">
            <w:pPr>
              <w:widowControl w:val="0"/>
              <w:tabs>
                <w:tab w:val="decimal" w:pos="386"/>
              </w:tabs>
              <w:spacing w:after="0" w:line="240" w:lineRule="auto"/>
              <w:rPr>
                <w:color w:val="000000"/>
                <w:sz w:val="20"/>
                <w:szCs w:val="20"/>
              </w:rPr>
            </w:pPr>
            <w:r w:rsidRPr="00A8196B">
              <w:rPr>
                <w:color w:val="000000"/>
                <w:sz w:val="20"/>
                <w:szCs w:val="20"/>
              </w:rPr>
              <w:t>109.328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45A0B106" w14:textId="4936A79D">
            <w:pPr>
              <w:widowControl w:val="0"/>
              <w:spacing w:after="0" w:line="240" w:lineRule="auto"/>
              <w:jc w:val="right"/>
              <w:rPr>
                <w:b/>
                <w:bCs/>
                <w:color w:val="000000"/>
                <w:sz w:val="20"/>
                <w:szCs w:val="20"/>
              </w:rPr>
            </w:pPr>
            <w:r w:rsidRPr="00A8196B">
              <w:rPr>
                <w:b/>
                <w:bCs/>
                <w:color w:val="000000"/>
                <w:sz w:val="20"/>
                <w:szCs w:val="20"/>
              </w:rPr>
              <w:t>33,345</w:t>
            </w:r>
          </w:p>
        </w:tc>
      </w:tr>
      <w:tr w14:paraId="52BC753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55B4F260" w14:textId="77777777">
            <w:pPr>
              <w:widowControl w:val="0"/>
              <w:spacing w:after="0" w:line="240" w:lineRule="auto"/>
              <w:ind w:firstLine="400"/>
              <w:rPr>
                <w:sz w:val="20"/>
                <w:szCs w:val="20"/>
              </w:rPr>
            </w:pPr>
            <w:r w:rsidRPr="00A8196B">
              <w:rPr>
                <w:sz w:val="20"/>
                <w:szCs w:val="20"/>
              </w:rPr>
              <w:t>TERA</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19C33B79" w14:textId="77777777">
            <w:pPr>
              <w:widowControl w:val="0"/>
              <w:tabs>
                <w:tab w:val="decimal" w:pos="595"/>
              </w:tabs>
              <w:spacing w:after="0" w:line="240" w:lineRule="auto"/>
              <w:rPr>
                <w:color w:val="000000"/>
                <w:sz w:val="20"/>
                <w:szCs w:val="20"/>
              </w:rPr>
            </w:pPr>
            <w:r w:rsidRPr="00A8196B">
              <w:rPr>
                <w:color w:val="000000"/>
                <w:sz w:val="20"/>
                <w:szCs w:val="20"/>
              </w:rPr>
              <w:t>2</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71CD4854" w14:textId="77777777">
            <w:pPr>
              <w:widowControl w:val="0"/>
              <w:tabs>
                <w:tab w:val="decimal" w:pos="595"/>
              </w:tabs>
              <w:spacing w:after="0" w:line="240" w:lineRule="auto"/>
              <w:rPr>
                <w:color w:val="000000"/>
                <w:sz w:val="20"/>
                <w:szCs w:val="20"/>
              </w:rPr>
            </w:pPr>
            <w:r w:rsidRPr="00A8196B">
              <w:rPr>
                <w:color w:val="000000"/>
                <w:sz w:val="20"/>
                <w:szCs w:val="20"/>
              </w:rPr>
              <w:t>135</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6B5CA145" w14:textId="77777777">
            <w:pPr>
              <w:widowControl w:val="0"/>
              <w:tabs>
                <w:tab w:val="decimal" w:pos="386"/>
              </w:tabs>
              <w:spacing w:after="0" w:line="240" w:lineRule="auto"/>
              <w:rPr>
                <w:color w:val="000000"/>
                <w:sz w:val="20"/>
                <w:szCs w:val="20"/>
              </w:rPr>
            </w:pPr>
            <w:r w:rsidRPr="00A8196B">
              <w:rPr>
                <w:color w:val="000000"/>
                <w:sz w:val="20"/>
                <w:szCs w:val="20"/>
              </w:rPr>
              <w:t>390.345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BA3BD7D"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3A95421" w14:textId="77777777">
            <w:pPr>
              <w:widowControl w:val="0"/>
              <w:tabs>
                <w:tab w:val="decimal" w:pos="386"/>
              </w:tabs>
              <w:spacing w:after="0" w:line="240" w:lineRule="auto"/>
              <w:rPr>
                <w:color w:val="000000"/>
                <w:sz w:val="20"/>
                <w:szCs w:val="20"/>
              </w:rPr>
            </w:pPr>
            <w:r w:rsidRPr="00A8196B">
              <w:rPr>
                <w:color w:val="000000"/>
                <w:sz w:val="20"/>
                <w:szCs w:val="20"/>
              </w:rPr>
              <w:t>525.845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020D492A" w14:textId="77777777">
            <w:pPr>
              <w:widowControl w:val="0"/>
              <w:spacing w:after="0" w:line="240" w:lineRule="auto"/>
              <w:jc w:val="right"/>
              <w:rPr>
                <w:b/>
                <w:bCs/>
                <w:color w:val="000000"/>
                <w:sz w:val="20"/>
                <w:szCs w:val="20"/>
              </w:rPr>
            </w:pPr>
            <w:r w:rsidRPr="00A8196B">
              <w:rPr>
                <w:b/>
                <w:bCs/>
                <w:color w:val="000000"/>
                <w:sz w:val="20"/>
                <w:szCs w:val="20"/>
              </w:rPr>
              <w:t>1,052</w:t>
            </w:r>
          </w:p>
        </w:tc>
      </w:tr>
      <w:tr w14:paraId="3998884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22E8EE10" w14:textId="77777777">
            <w:pPr>
              <w:widowControl w:val="0"/>
              <w:spacing w:after="0" w:line="240" w:lineRule="auto"/>
              <w:ind w:firstLine="400"/>
              <w:rPr>
                <w:sz w:val="20"/>
                <w:szCs w:val="20"/>
              </w:rPr>
            </w:pPr>
            <w:r w:rsidRPr="00A8196B">
              <w:rPr>
                <w:color w:val="000000"/>
                <w:sz w:val="20"/>
                <w:szCs w:val="20"/>
              </w:rPr>
              <w:t>Tier I</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D019FB2" w14:textId="50C90235">
            <w:pPr>
              <w:widowControl w:val="0"/>
              <w:tabs>
                <w:tab w:val="decimal" w:pos="595"/>
              </w:tabs>
              <w:spacing w:after="0" w:line="240" w:lineRule="auto"/>
              <w:rPr>
                <w:color w:val="000000"/>
                <w:sz w:val="20"/>
                <w:szCs w:val="20"/>
              </w:rPr>
            </w:pPr>
            <w:r w:rsidRPr="00A8196B">
              <w:rPr>
                <w:color w:val="000000"/>
                <w:sz w:val="20"/>
                <w:szCs w:val="20"/>
              </w:rPr>
              <w:t>4</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2585F3C" w14:textId="77777777">
            <w:pPr>
              <w:widowControl w:val="0"/>
              <w:tabs>
                <w:tab w:val="decimal" w:pos="595"/>
              </w:tabs>
              <w:spacing w:after="0" w:line="240" w:lineRule="auto"/>
              <w:rPr>
                <w:color w:val="000000"/>
                <w:sz w:val="20"/>
                <w:szCs w:val="20"/>
              </w:rPr>
            </w:pPr>
            <w:r w:rsidRPr="00A8196B">
              <w:rPr>
                <w:color w:val="000000"/>
                <w:sz w:val="20"/>
                <w:szCs w:val="20"/>
              </w:rPr>
              <w:t>29</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334A4608" w14:textId="77777777">
            <w:pPr>
              <w:widowControl w:val="0"/>
              <w:tabs>
                <w:tab w:val="decimal" w:pos="386"/>
              </w:tabs>
              <w:spacing w:after="0" w:line="240" w:lineRule="auto"/>
              <w:rPr>
                <w:color w:val="000000"/>
                <w:sz w:val="20"/>
                <w:szCs w:val="20"/>
              </w:rPr>
            </w:pPr>
            <w:r w:rsidRPr="00A8196B">
              <w:rPr>
                <w:color w:val="000000"/>
                <w:sz w:val="20"/>
                <w:szCs w:val="20"/>
              </w:rPr>
              <w:t>99.345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436D7474"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9194DEC" w14:textId="77777777">
            <w:pPr>
              <w:widowControl w:val="0"/>
              <w:tabs>
                <w:tab w:val="decimal" w:pos="386"/>
              </w:tabs>
              <w:spacing w:after="0" w:line="240" w:lineRule="auto"/>
              <w:rPr>
                <w:color w:val="000000"/>
                <w:sz w:val="20"/>
                <w:szCs w:val="20"/>
              </w:rPr>
            </w:pPr>
            <w:r w:rsidRPr="00A8196B">
              <w:rPr>
                <w:color w:val="000000"/>
                <w:sz w:val="20"/>
                <w:szCs w:val="20"/>
              </w:rPr>
              <w:t>128.845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3ACF3106" w14:textId="4A6692BB">
            <w:pPr>
              <w:widowControl w:val="0"/>
              <w:spacing w:after="0" w:line="240" w:lineRule="auto"/>
              <w:jc w:val="right"/>
              <w:rPr>
                <w:b/>
                <w:bCs/>
                <w:color w:val="000000"/>
                <w:sz w:val="20"/>
                <w:szCs w:val="20"/>
              </w:rPr>
            </w:pPr>
            <w:r w:rsidRPr="00A8196B">
              <w:rPr>
                <w:b/>
                <w:bCs/>
                <w:color w:val="000000"/>
                <w:sz w:val="20"/>
                <w:szCs w:val="20"/>
              </w:rPr>
              <w:t>515</w:t>
            </w:r>
          </w:p>
        </w:tc>
      </w:tr>
      <w:tr w14:paraId="02FF7C80"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tcPr>
          <w:p w:rsidR="003C2C15" w:rsidRPr="00A8196B" w:rsidP="001B4C90" w14:paraId="2BB1B2A3" w14:textId="77777777">
            <w:pPr>
              <w:widowControl w:val="0"/>
              <w:spacing w:after="0" w:line="240" w:lineRule="auto"/>
              <w:ind w:firstLine="400"/>
              <w:rPr>
                <w:sz w:val="20"/>
                <w:szCs w:val="20"/>
              </w:rPr>
            </w:pPr>
            <w:r w:rsidRPr="00A8196B">
              <w:rPr>
                <w:color w:val="000000"/>
                <w:sz w:val="20"/>
                <w:szCs w:val="20"/>
              </w:rPr>
              <w:t>Tier II</w:t>
            </w:r>
          </w:p>
        </w:tc>
        <w:tc>
          <w:tcPr>
            <w:tcW w:w="1263" w:type="dxa"/>
            <w:tcBorders>
              <w:top w:val="single" w:sz="4" w:space="0" w:color="auto"/>
              <w:left w:val="nil"/>
              <w:bottom w:val="single" w:sz="4" w:space="0" w:color="auto"/>
              <w:right w:val="single" w:sz="4" w:space="0" w:color="auto"/>
            </w:tcBorders>
            <w:shd w:val="clear" w:color="auto" w:fill="auto"/>
          </w:tcPr>
          <w:p w:rsidR="003C2C15" w:rsidRPr="00A8196B" w:rsidP="00A7023B" w14:paraId="5B1EE7B0" w14:textId="5C17E3DA">
            <w:pPr>
              <w:widowControl w:val="0"/>
              <w:tabs>
                <w:tab w:val="decimal" w:pos="595"/>
              </w:tabs>
              <w:spacing w:after="0" w:line="240" w:lineRule="auto"/>
              <w:rPr>
                <w:color w:val="000000"/>
                <w:sz w:val="20"/>
                <w:szCs w:val="20"/>
              </w:rPr>
            </w:pPr>
            <w:r w:rsidRPr="00A8196B">
              <w:rPr>
                <w:color w:val="000000"/>
                <w:sz w:val="20"/>
                <w:szCs w:val="20"/>
              </w:rPr>
              <w:t>1</w:t>
            </w:r>
          </w:p>
        </w:tc>
        <w:tc>
          <w:tcPr>
            <w:tcW w:w="1254" w:type="dxa"/>
            <w:tcBorders>
              <w:top w:val="single" w:sz="4" w:space="0" w:color="auto"/>
              <w:left w:val="nil"/>
              <w:bottom w:val="single" w:sz="4" w:space="0" w:color="auto"/>
              <w:right w:val="single" w:sz="4" w:space="0" w:color="auto"/>
            </w:tcBorders>
            <w:shd w:val="clear" w:color="auto" w:fill="auto"/>
          </w:tcPr>
          <w:p w:rsidR="003C2C15" w:rsidRPr="00A8196B" w:rsidP="00A7023B" w14:paraId="4BAB27EC" w14:textId="77777777">
            <w:pPr>
              <w:widowControl w:val="0"/>
              <w:tabs>
                <w:tab w:val="decimal" w:pos="595"/>
              </w:tabs>
              <w:spacing w:after="0" w:line="240" w:lineRule="auto"/>
              <w:rPr>
                <w:color w:val="000000"/>
                <w:sz w:val="20"/>
                <w:szCs w:val="20"/>
              </w:rPr>
            </w:pPr>
            <w:r w:rsidRPr="00A8196B">
              <w:rPr>
                <w:color w:val="000000"/>
                <w:sz w:val="20"/>
                <w:szCs w:val="20"/>
              </w:rPr>
              <w:t>29</w:t>
            </w:r>
          </w:p>
        </w:tc>
        <w:tc>
          <w:tcPr>
            <w:tcW w:w="1097" w:type="dxa"/>
            <w:tcBorders>
              <w:top w:val="single" w:sz="4" w:space="0" w:color="auto"/>
              <w:left w:val="nil"/>
              <w:bottom w:val="single" w:sz="4" w:space="0" w:color="auto"/>
              <w:right w:val="single" w:sz="4" w:space="0" w:color="auto"/>
            </w:tcBorders>
            <w:shd w:val="clear" w:color="auto" w:fill="auto"/>
          </w:tcPr>
          <w:p w:rsidR="003C2C15" w:rsidRPr="00A8196B" w:rsidP="001B4C90" w14:paraId="0027728A" w14:textId="77777777">
            <w:pPr>
              <w:widowControl w:val="0"/>
              <w:tabs>
                <w:tab w:val="decimal" w:pos="386"/>
              </w:tabs>
              <w:spacing w:after="0" w:line="240" w:lineRule="auto"/>
              <w:rPr>
                <w:color w:val="000000"/>
                <w:sz w:val="20"/>
                <w:szCs w:val="20"/>
              </w:rPr>
            </w:pPr>
            <w:r w:rsidRPr="00A8196B">
              <w:rPr>
                <w:color w:val="000000"/>
                <w:sz w:val="20"/>
                <w:szCs w:val="20"/>
              </w:rPr>
              <w:t>99.345</w:t>
            </w:r>
          </w:p>
        </w:tc>
        <w:tc>
          <w:tcPr>
            <w:tcW w:w="1104" w:type="dxa"/>
            <w:tcBorders>
              <w:top w:val="single" w:sz="4" w:space="0" w:color="auto"/>
              <w:left w:val="nil"/>
              <w:bottom w:val="single" w:sz="4" w:space="0" w:color="auto"/>
              <w:right w:val="single" w:sz="4" w:space="0" w:color="auto"/>
            </w:tcBorders>
            <w:shd w:val="clear" w:color="auto" w:fill="auto"/>
          </w:tcPr>
          <w:p w:rsidR="003C2C15" w:rsidRPr="00A8196B" w:rsidP="00A7023B" w14:paraId="0461B788"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tcPr>
          <w:p w:rsidR="003C2C15" w:rsidRPr="00A8196B" w:rsidP="00A7023B" w14:paraId="33CA9401" w14:textId="77777777">
            <w:pPr>
              <w:widowControl w:val="0"/>
              <w:tabs>
                <w:tab w:val="decimal" w:pos="386"/>
              </w:tabs>
              <w:spacing w:after="0" w:line="240" w:lineRule="auto"/>
              <w:rPr>
                <w:color w:val="000000"/>
                <w:sz w:val="20"/>
                <w:szCs w:val="20"/>
              </w:rPr>
            </w:pPr>
            <w:r w:rsidRPr="00A8196B">
              <w:rPr>
                <w:color w:val="000000"/>
                <w:sz w:val="20"/>
                <w:szCs w:val="20"/>
              </w:rPr>
              <w:t>128.845</w:t>
            </w:r>
          </w:p>
        </w:tc>
        <w:tc>
          <w:tcPr>
            <w:tcW w:w="1057" w:type="dxa"/>
            <w:tcBorders>
              <w:top w:val="single" w:sz="4" w:space="0" w:color="auto"/>
              <w:left w:val="nil"/>
              <w:bottom w:val="single" w:sz="4" w:space="0" w:color="auto"/>
              <w:right w:val="double" w:sz="6" w:space="0" w:color="auto"/>
            </w:tcBorders>
            <w:shd w:val="clear" w:color="auto" w:fill="auto"/>
          </w:tcPr>
          <w:p w:rsidR="003C2C15" w:rsidRPr="00A8196B" w:rsidP="001B4C90" w14:paraId="7D9CCA07" w14:textId="1B8D0CD2">
            <w:pPr>
              <w:widowControl w:val="0"/>
              <w:spacing w:after="0" w:line="240" w:lineRule="auto"/>
              <w:jc w:val="right"/>
              <w:rPr>
                <w:b/>
                <w:bCs/>
                <w:color w:val="000000"/>
                <w:sz w:val="20"/>
                <w:szCs w:val="20"/>
              </w:rPr>
            </w:pPr>
            <w:r w:rsidRPr="00A8196B">
              <w:rPr>
                <w:b/>
                <w:bCs/>
                <w:color w:val="000000"/>
                <w:sz w:val="20"/>
                <w:szCs w:val="20"/>
              </w:rPr>
              <w:t>129</w:t>
            </w:r>
          </w:p>
        </w:tc>
      </w:tr>
      <w:tr w14:paraId="765D967F"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1E57DF71" w14:textId="77777777">
            <w:pPr>
              <w:widowControl w:val="0"/>
              <w:spacing w:after="0" w:line="240" w:lineRule="auto"/>
              <w:ind w:firstLine="400"/>
              <w:rPr>
                <w:sz w:val="20"/>
                <w:szCs w:val="20"/>
              </w:rPr>
            </w:pPr>
            <w:r w:rsidRPr="00A8196B">
              <w:rPr>
                <w:sz w:val="20"/>
                <w:szCs w:val="20"/>
              </w:rPr>
              <w:t>Polymer</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C23BA96" w14:textId="0F065D33">
            <w:pPr>
              <w:widowControl w:val="0"/>
              <w:tabs>
                <w:tab w:val="decimal" w:pos="595"/>
              </w:tabs>
              <w:spacing w:after="0" w:line="240" w:lineRule="auto"/>
              <w:rPr>
                <w:color w:val="000000"/>
                <w:sz w:val="20"/>
                <w:szCs w:val="20"/>
              </w:rPr>
            </w:pPr>
            <w:r w:rsidRPr="00A8196B">
              <w:rPr>
                <w:color w:val="000000"/>
                <w:sz w:val="20"/>
                <w:szCs w:val="20"/>
              </w:rPr>
              <w:t>109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71B9D060" w14:textId="77777777">
            <w:pPr>
              <w:widowControl w:val="0"/>
              <w:tabs>
                <w:tab w:val="decimal" w:pos="595"/>
              </w:tabs>
              <w:spacing w:after="0" w:line="240" w:lineRule="auto"/>
              <w:rPr>
                <w:color w:val="000000"/>
                <w:sz w:val="20"/>
                <w:szCs w:val="20"/>
              </w:rPr>
            </w:pPr>
            <w:r w:rsidRPr="00A8196B">
              <w:rPr>
                <w:color w:val="000000"/>
                <w:sz w:val="20"/>
                <w:szCs w:val="20"/>
              </w:rPr>
              <w:t>6.32</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007BE273" w14:textId="77777777">
            <w:pPr>
              <w:widowControl w:val="0"/>
              <w:tabs>
                <w:tab w:val="decimal" w:pos="386"/>
              </w:tabs>
              <w:spacing w:after="0" w:line="240" w:lineRule="auto"/>
              <w:rPr>
                <w:color w:val="000000"/>
                <w:sz w:val="20"/>
                <w:szCs w:val="20"/>
              </w:rPr>
            </w:pPr>
            <w:r w:rsidRPr="00A8196B">
              <w:rPr>
                <w:color w:val="000000"/>
                <w:sz w:val="20"/>
                <w:szCs w:val="20"/>
              </w:rPr>
              <w:t>13.425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BAAF4B9" w14:textId="77777777">
            <w:pPr>
              <w:widowControl w:val="0"/>
              <w:tabs>
                <w:tab w:val="decimal" w:pos="386"/>
              </w:tabs>
              <w:spacing w:after="0" w:line="240" w:lineRule="auto"/>
              <w:rPr>
                <w:color w:val="000000"/>
                <w:sz w:val="20"/>
                <w:szCs w:val="20"/>
              </w:rPr>
            </w:pPr>
            <w:r w:rsidRPr="00A8196B">
              <w:rPr>
                <w:color w:val="000000"/>
                <w:sz w:val="20"/>
                <w:szCs w:val="20"/>
              </w:rPr>
              <w:t>2.25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87B37B8" w14:textId="77777777">
            <w:pPr>
              <w:widowControl w:val="0"/>
              <w:tabs>
                <w:tab w:val="decimal" w:pos="386"/>
              </w:tabs>
              <w:spacing w:after="0" w:line="240" w:lineRule="auto"/>
              <w:rPr>
                <w:color w:val="000000"/>
                <w:sz w:val="20"/>
                <w:szCs w:val="20"/>
              </w:rPr>
            </w:pPr>
            <w:r w:rsidRPr="00A8196B">
              <w:rPr>
                <w:color w:val="000000"/>
                <w:sz w:val="20"/>
                <w:szCs w:val="20"/>
              </w:rPr>
              <w:t>21.995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0A15835F" w14:textId="023223B4">
            <w:pPr>
              <w:widowControl w:val="0"/>
              <w:spacing w:after="0" w:line="240" w:lineRule="auto"/>
              <w:jc w:val="right"/>
              <w:rPr>
                <w:b/>
                <w:bCs/>
                <w:color w:val="000000"/>
                <w:sz w:val="20"/>
                <w:szCs w:val="20"/>
              </w:rPr>
            </w:pPr>
            <w:r w:rsidRPr="00A8196B">
              <w:rPr>
                <w:b/>
                <w:bCs/>
                <w:color w:val="000000"/>
                <w:sz w:val="20"/>
                <w:szCs w:val="20"/>
              </w:rPr>
              <w:t>2,</w:t>
            </w:r>
            <w:r w:rsidRPr="00A8196B" w:rsidR="00BE629C">
              <w:rPr>
                <w:b/>
                <w:bCs/>
                <w:color w:val="000000"/>
                <w:sz w:val="20"/>
                <w:szCs w:val="20"/>
              </w:rPr>
              <w:t>397</w:t>
            </w:r>
          </w:p>
        </w:tc>
      </w:tr>
      <w:tr w14:paraId="38653E05"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7F636ECF" w14:textId="77777777">
            <w:pPr>
              <w:widowControl w:val="0"/>
              <w:spacing w:after="0" w:line="240" w:lineRule="auto"/>
              <w:ind w:firstLine="400"/>
              <w:rPr>
                <w:sz w:val="20"/>
                <w:szCs w:val="20"/>
              </w:rPr>
            </w:pPr>
            <w:r w:rsidRPr="00A8196B">
              <w:rPr>
                <w:sz w:val="20"/>
                <w:szCs w:val="20"/>
              </w:rPr>
              <w:t>R&amp;D</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49EF1F6" w14:textId="77777777">
            <w:pPr>
              <w:widowControl w:val="0"/>
              <w:tabs>
                <w:tab w:val="decimal" w:pos="595"/>
              </w:tabs>
              <w:spacing w:after="0" w:line="240" w:lineRule="auto"/>
              <w:rPr>
                <w:color w:val="000000"/>
                <w:sz w:val="20"/>
                <w:szCs w:val="20"/>
              </w:rPr>
            </w:pPr>
            <w:r w:rsidRPr="00A8196B">
              <w:rPr>
                <w:color w:val="000000"/>
                <w:sz w:val="20"/>
                <w:szCs w:val="20"/>
              </w:rPr>
              <w:t>200</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00B54077" w14:textId="77777777">
            <w:pPr>
              <w:widowControl w:val="0"/>
              <w:tabs>
                <w:tab w:val="decimal" w:pos="595"/>
              </w:tabs>
              <w:spacing w:after="0" w:line="240" w:lineRule="auto"/>
              <w:rPr>
                <w:color w:val="000000"/>
                <w:sz w:val="20"/>
                <w:szCs w:val="20"/>
              </w:rPr>
            </w:pPr>
            <w:r w:rsidRPr="00A8196B">
              <w:rPr>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4476BD64" w14:textId="77777777">
            <w:pPr>
              <w:widowControl w:val="0"/>
              <w:tabs>
                <w:tab w:val="decimal" w:pos="386"/>
              </w:tabs>
              <w:spacing w:after="0" w:line="240" w:lineRule="auto"/>
              <w:rPr>
                <w:color w:val="000000"/>
                <w:sz w:val="20"/>
                <w:szCs w:val="20"/>
              </w:rPr>
            </w:pPr>
            <w:r w:rsidRPr="00A8196B">
              <w:rPr>
                <w:color w:val="000000"/>
                <w:sz w:val="20"/>
                <w:szCs w:val="20"/>
              </w:rPr>
              <w:t>13.925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1A4C8CF5" w14:textId="77777777">
            <w:pPr>
              <w:widowControl w:val="0"/>
              <w:tabs>
                <w:tab w:val="decimal" w:pos="386"/>
              </w:tabs>
              <w:spacing w:after="0" w:line="240" w:lineRule="auto"/>
              <w:rPr>
                <w:color w:val="000000"/>
                <w:sz w:val="20"/>
                <w:szCs w:val="20"/>
              </w:rPr>
            </w:pPr>
            <w:r w:rsidRPr="00A8196B">
              <w:rPr>
                <w:color w:val="000000"/>
                <w:sz w:val="20"/>
                <w:szCs w:val="20"/>
              </w:rPr>
              <w:t>0.25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05C859F7" w14:textId="77777777">
            <w:pPr>
              <w:widowControl w:val="0"/>
              <w:tabs>
                <w:tab w:val="decimal" w:pos="386"/>
              </w:tabs>
              <w:spacing w:after="0" w:line="240" w:lineRule="auto"/>
              <w:rPr>
                <w:color w:val="000000"/>
                <w:sz w:val="20"/>
                <w:szCs w:val="20"/>
              </w:rPr>
            </w:pPr>
            <w:r w:rsidRPr="00A8196B">
              <w:rPr>
                <w:color w:val="000000"/>
                <w:sz w:val="20"/>
                <w:szCs w:val="20"/>
              </w:rPr>
              <w:t>19.245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72300CBA" w14:textId="77777777">
            <w:pPr>
              <w:widowControl w:val="0"/>
              <w:spacing w:after="0" w:line="240" w:lineRule="auto"/>
              <w:jc w:val="right"/>
              <w:rPr>
                <w:b/>
                <w:bCs/>
                <w:color w:val="000000"/>
                <w:sz w:val="20"/>
                <w:szCs w:val="20"/>
              </w:rPr>
            </w:pPr>
            <w:r w:rsidRPr="00A8196B">
              <w:rPr>
                <w:b/>
                <w:bCs/>
                <w:color w:val="000000"/>
                <w:sz w:val="20"/>
                <w:szCs w:val="20"/>
              </w:rPr>
              <w:t>3,849</w:t>
            </w:r>
          </w:p>
        </w:tc>
      </w:tr>
      <w:tr w14:paraId="37ED06E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1F0928CD" w14:textId="77777777">
            <w:pPr>
              <w:widowControl w:val="0"/>
              <w:spacing w:after="0" w:line="240" w:lineRule="auto"/>
              <w:ind w:firstLine="400"/>
              <w:rPr>
                <w:sz w:val="20"/>
                <w:szCs w:val="20"/>
              </w:rPr>
            </w:pPr>
            <w:r w:rsidRPr="00A8196B">
              <w:rPr>
                <w:sz w:val="20"/>
                <w:szCs w:val="20"/>
              </w:rPr>
              <w:t>Film Articles</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D6EF1ED" w14:textId="77777777">
            <w:pPr>
              <w:widowControl w:val="0"/>
              <w:tabs>
                <w:tab w:val="decimal" w:pos="595"/>
              </w:tabs>
              <w:spacing w:after="0" w:line="240" w:lineRule="auto"/>
              <w:rPr>
                <w:color w:val="000000"/>
                <w:sz w:val="20"/>
                <w:szCs w:val="20"/>
              </w:rPr>
            </w:pPr>
            <w:r w:rsidRPr="00A8196B">
              <w:rPr>
                <w:color w:val="000000"/>
                <w:sz w:val="20"/>
                <w:szCs w:val="20"/>
              </w:rPr>
              <w:t>1</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6443E670" w14:textId="77777777">
            <w:pPr>
              <w:widowControl w:val="0"/>
              <w:tabs>
                <w:tab w:val="decimal" w:pos="595"/>
              </w:tabs>
              <w:spacing w:after="0" w:line="240" w:lineRule="auto"/>
              <w:rPr>
                <w:color w:val="000000"/>
                <w:sz w:val="20"/>
                <w:szCs w:val="20"/>
              </w:rPr>
            </w:pPr>
            <w:r w:rsidRPr="00A8196B">
              <w:rPr>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1BEC529F" w14:textId="77777777">
            <w:pPr>
              <w:widowControl w:val="0"/>
              <w:tabs>
                <w:tab w:val="decimal" w:pos="386"/>
              </w:tabs>
              <w:spacing w:after="0" w:line="240" w:lineRule="auto"/>
              <w:rPr>
                <w:color w:val="000000"/>
                <w:sz w:val="20"/>
                <w:szCs w:val="20"/>
              </w:rPr>
            </w:pPr>
            <w:r w:rsidRPr="00A8196B">
              <w:rPr>
                <w:color w:val="000000"/>
                <w:sz w:val="20"/>
                <w:szCs w:val="20"/>
              </w:rPr>
              <w:t>11.925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42A61DF"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78F9861E" w14:textId="77777777">
            <w:pPr>
              <w:widowControl w:val="0"/>
              <w:tabs>
                <w:tab w:val="decimal" w:pos="386"/>
              </w:tabs>
              <w:spacing w:after="0" w:line="240" w:lineRule="auto"/>
              <w:rPr>
                <w:color w:val="000000"/>
                <w:sz w:val="20"/>
                <w:szCs w:val="20"/>
              </w:rPr>
            </w:pPr>
            <w:r w:rsidRPr="00A8196B">
              <w:rPr>
                <w:color w:val="000000"/>
                <w:sz w:val="20"/>
                <w:szCs w:val="20"/>
              </w:rPr>
              <w:t>16.995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179B3280" w14:textId="1C39E9D0">
            <w:pPr>
              <w:widowControl w:val="0"/>
              <w:spacing w:after="0" w:line="240" w:lineRule="auto"/>
              <w:jc w:val="right"/>
              <w:rPr>
                <w:b/>
                <w:bCs/>
                <w:color w:val="000000"/>
                <w:sz w:val="20"/>
                <w:szCs w:val="20"/>
              </w:rPr>
            </w:pPr>
            <w:r w:rsidRPr="00A8196B">
              <w:rPr>
                <w:b/>
                <w:bCs/>
                <w:color w:val="000000"/>
                <w:sz w:val="20"/>
                <w:szCs w:val="20"/>
              </w:rPr>
              <w:t>17</w:t>
            </w:r>
            <w:r w:rsidRPr="00A8196B" w:rsidR="0049163D">
              <w:rPr>
                <w:b/>
                <w:color w:val="000000" w:themeColor="text1"/>
                <w:sz w:val="20"/>
                <w:szCs w:val="20"/>
              </w:rPr>
              <w:t xml:space="preserve"> </w:t>
            </w:r>
          </w:p>
        </w:tc>
      </w:tr>
      <w:tr w14:paraId="13773267"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1B2DD04A" w14:textId="77777777">
            <w:pPr>
              <w:widowControl w:val="0"/>
              <w:spacing w:after="0" w:line="240" w:lineRule="auto"/>
              <w:rPr>
                <w:color w:val="000000"/>
                <w:sz w:val="20"/>
                <w:szCs w:val="20"/>
              </w:rPr>
            </w:pPr>
            <w:r w:rsidRPr="00A8196B">
              <w:rPr>
                <w:color w:val="000000"/>
                <w:sz w:val="20"/>
                <w:szCs w:val="20"/>
              </w:rPr>
              <w:t>Bona Fide</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479C6599" w14:textId="58907061">
            <w:pPr>
              <w:widowControl w:val="0"/>
              <w:tabs>
                <w:tab w:val="decimal" w:pos="595"/>
              </w:tabs>
              <w:spacing w:after="0" w:line="240" w:lineRule="auto"/>
              <w:rPr>
                <w:color w:val="000000"/>
                <w:sz w:val="20"/>
                <w:szCs w:val="20"/>
              </w:rPr>
            </w:pPr>
            <w:r w:rsidRPr="00A8196B">
              <w:rPr>
                <w:color w:val="000000"/>
                <w:sz w:val="20"/>
                <w:szCs w:val="20"/>
              </w:rPr>
              <w:t>18</w:t>
            </w:r>
            <w:r w:rsidRPr="00A8196B" w:rsidR="00902374">
              <w:rPr>
                <w:color w:val="000000"/>
                <w:sz w:val="20"/>
                <w:szCs w:val="20"/>
              </w:rPr>
              <w:t>3</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5F279B2" w14:textId="77777777">
            <w:pPr>
              <w:widowControl w:val="0"/>
              <w:tabs>
                <w:tab w:val="decimal" w:pos="595"/>
              </w:tabs>
              <w:spacing w:after="0" w:line="240" w:lineRule="auto"/>
              <w:rPr>
                <w:color w:val="000000"/>
                <w:sz w:val="20"/>
                <w:szCs w:val="20"/>
              </w:rPr>
            </w:pPr>
            <w:r w:rsidRPr="00A8196B">
              <w:rPr>
                <w:color w:val="000000"/>
                <w:sz w:val="20"/>
                <w:szCs w:val="20"/>
              </w:rPr>
              <w:t>11.07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523376B5" w14:textId="77777777">
            <w:pPr>
              <w:widowControl w:val="0"/>
              <w:tabs>
                <w:tab w:val="decimal" w:pos="386"/>
              </w:tabs>
              <w:spacing w:after="0" w:line="240" w:lineRule="auto"/>
              <w:rPr>
                <w:color w:val="000000"/>
                <w:sz w:val="20"/>
                <w:szCs w:val="20"/>
              </w:rPr>
            </w:pPr>
            <w:r w:rsidRPr="00A8196B">
              <w:rPr>
                <w:color w:val="000000"/>
                <w:sz w:val="20"/>
                <w:szCs w:val="20"/>
              </w:rPr>
              <w:t>22.675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1B5DDDD1"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7B134927" w14:textId="77777777">
            <w:pPr>
              <w:widowControl w:val="0"/>
              <w:tabs>
                <w:tab w:val="decimal" w:pos="386"/>
              </w:tabs>
              <w:spacing w:after="0" w:line="240" w:lineRule="auto"/>
              <w:rPr>
                <w:color w:val="000000"/>
                <w:sz w:val="20"/>
                <w:szCs w:val="20"/>
              </w:rPr>
            </w:pPr>
            <w:r w:rsidRPr="00A8196B">
              <w:rPr>
                <w:color w:val="000000"/>
                <w:sz w:val="20"/>
                <w:szCs w:val="20"/>
              </w:rPr>
              <w:t>33.745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2DEA6025" w14:textId="383417BA">
            <w:pPr>
              <w:widowControl w:val="0"/>
              <w:spacing w:after="0" w:line="240" w:lineRule="auto"/>
              <w:jc w:val="right"/>
              <w:rPr>
                <w:b/>
                <w:bCs/>
                <w:color w:val="000000"/>
                <w:sz w:val="20"/>
                <w:szCs w:val="20"/>
              </w:rPr>
            </w:pPr>
            <w:r w:rsidRPr="00A8196B">
              <w:rPr>
                <w:b/>
                <w:bCs/>
                <w:color w:val="000000"/>
                <w:sz w:val="20"/>
                <w:szCs w:val="20"/>
              </w:rPr>
              <w:t>6,1</w:t>
            </w:r>
            <w:r w:rsidRPr="00A8196B" w:rsidR="00BE629C">
              <w:rPr>
                <w:b/>
                <w:bCs/>
                <w:color w:val="000000"/>
                <w:sz w:val="20"/>
                <w:szCs w:val="20"/>
              </w:rPr>
              <w:t>75</w:t>
            </w:r>
          </w:p>
        </w:tc>
      </w:tr>
      <w:tr w14:paraId="2117E1A8"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5ED54D6B" w14:textId="77777777">
            <w:pPr>
              <w:widowControl w:val="0"/>
              <w:spacing w:after="0" w:line="240" w:lineRule="auto"/>
              <w:rPr>
                <w:color w:val="000000"/>
                <w:sz w:val="20"/>
                <w:szCs w:val="20"/>
              </w:rPr>
            </w:pPr>
            <w:r w:rsidRPr="00A8196B">
              <w:rPr>
                <w:color w:val="000000"/>
                <w:sz w:val="20"/>
                <w:szCs w:val="20"/>
              </w:rPr>
              <w:t>Section 5(e) Orders with Triggered Testing</w:t>
            </w:r>
            <w:r w:rsidRPr="00A8196B">
              <w:rPr>
                <w:b/>
                <w:bCs/>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807DDF5" w14:textId="417F06EC">
            <w:pPr>
              <w:widowControl w:val="0"/>
              <w:tabs>
                <w:tab w:val="decimal" w:pos="595"/>
              </w:tabs>
              <w:spacing w:after="0" w:line="240" w:lineRule="auto"/>
              <w:rPr>
                <w:color w:val="000000"/>
                <w:sz w:val="20"/>
                <w:szCs w:val="20"/>
              </w:rPr>
            </w:pPr>
            <w:r w:rsidRPr="00A8196B">
              <w:rPr>
                <w:color w:val="000000"/>
                <w:sz w:val="20"/>
                <w:szCs w:val="20"/>
              </w:rPr>
              <w:t>20</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0DAE2E9" w14:textId="77777777">
            <w:pPr>
              <w:widowControl w:val="0"/>
              <w:tabs>
                <w:tab w:val="decimal" w:pos="595"/>
              </w:tabs>
              <w:spacing w:after="0" w:line="240" w:lineRule="auto"/>
              <w:rPr>
                <w:color w:val="000000"/>
                <w:sz w:val="20"/>
                <w:szCs w:val="20"/>
              </w:rPr>
            </w:pPr>
            <w:r w:rsidRPr="00A8196B">
              <w:rPr>
                <w:color w:val="000000"/>
                <w:sz w:val="20"/>
                <w:szCs w:val="20"/>
              </w:rPr>
              <w:t>43.87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083FD57F" w14:textId="77777777">
            <w:pPr>
              <w:widowControl w:val="0"/>
              <w:tabs>
                <w:tab w:val="decimal" w:pos="386"/>
              </w:tabs>
              <w:spacing w:after="0" w:line="240" w:lineRule="auto"/>
              <w:rPr>
                <w:color w:val="000000"/>
                <w:sz w:val="20"/>
                <w:szCs w:val="20"/>
              </w:rPr>
            </w:pPr>
            <w:r w:rsidRPr="00A8196B">
              <w:rPr>
                <w:color w:val="000000"/>
                <w:sz w:val="20"/>
                <w:szCs w:val="20"/>
              </w:rPr>
              <w:t>132.625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13EE1C3E" w14:textId="77777777">
            <w:pPr>
              <w:widowControl w:val="0"/>
              <w:tabs>
                <w:tab w:val="decimal" w:pos="386"/>
              </w:tabs>
              <w:spacing w:after="0" w:line="240" w:lineRule="auto"/>
              <w:rPr>
                <w:color w:val="000000"/>
                <w:sz w:val="20"/>
                <w:szCs w:val="20"/>
              </w:rPr>
            </w:pPr>
            <w:r w:rsidRPr="00A8196B">
              <w:rPr>
                <w:color w:val="000000"/>
                <w:sz w:val="20"/>
                <w:szCs w:val="20"/>
              </w:rPr>
              <w:t>8.75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0BE255B" w14:textId="77777777">
            <w:pPr>
              <w:widowControl w:val="0"/>
              <w:tabs>
                <w:tab w:val="decimal" w:pos="386"/>
              </w:tabs>
              <w:spacing w:after="0" w:line="240" w:lineRule="auto"/>
              <w:rPr>
                <w:color w:val="000000"/>
                <w:sz w:val="20"/>
                <w:szCs w:val="20"/>
              </w:rPr>
            </w:pPr>
            <w:r w:rsidRPr="00A8196B">
              <w:rPr>
                <w:color w:val="000000"/>
                <w:sz w:val="20"/>
                <w:szCs w:val="20"/>
              </w:rPr>
              <w:t>185.245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09ABDBB2" w14:textId="41396918">
            <w:pPr>
              <w:widowControl w:val="0"/>
              <w:spacing w:after="0" w:line="240" w:lineRule="auto"/>
              <w:jc w:val="right"/>
              <w:rPr>
                <w:b/>
                <w:bCs/>
                <w:color w:val="000000"/>
                <w:sz w:val="20"/>
                <w:szCs w:val="20"/>
              </w:rPr>
            </w:pPr>
            <w:r w:rsidRPr="00A8196B">
              <w:rPr>
                <w:b/>
                <w:bCs/>
                <w:color w:val="000000"/>
                <w:sz w:val="20"/>
                <w:szCs w:val="20"/>
              </w:rPr>
              <w:t>3,705</w:t>
            </w:r>
          </w:p>
        </w:tc>
      </w:tr>
      <w:tr w14:paraId="2A9DCA3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2C38A108" w14:textId="79E543EF">
            <w:pPr>
              <w:widowControl w:val="0"/>
              <w:spacing w:after="0" w:line="240" w:lineRule="auto"/>
              <w:rPr>
                <w:color w:val="000000"/>
                <w:sz w:val="20"/>
                <w:szCs w:val="20"/>
              </w:rPr>
            </w:pPr>
            <w:r w:rsidRPr="00A8196B">
              <w:rPr>
                <w:color w:val="000000"/>
                <w:sz w:val="20"/>
                <w:szCs w:val="20"/>
              </w:rPr>
              <w:t>Section 5(e) Orders with Pended Testing/ 5(f) Orders with No Testing</w:t>
            </w:r>
            <w:r w:rsidRPr="00A8196B">
              <w:rPr>
                <w:b/>
                <w:bCs/>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13866FD3" w14:textId="5281A3FF">
            <w:pPr>
              <w:widowControl w:val="0"/>
              <w:tabs>
                <w:tab w:val="decimal" w:pos="595"/>
              </w:tabs>
              <w:spacing w:after="0" w:line="240" w:lineRule="auto"/>
              <w:rPr>
                <w:color w:val="000000"/>
                <w:sz w:val="20"/>
                <w:szCs w:val="20"/>
              </w:rPr>
            </w:pPr>
            <w:r w:rsidRPr="00A8196B">
              <w:rPr>
                <w:color w:val="000000"/>
                <w:sz w:val="20"/>
                <w:szCs w:val="20"/>
              </w:rPr>
              <w:t>33</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277CA2CF" w14:textId="77777777">
            <w:pPr>
              <w:widowControl w:val="0"/>
              <w:tabs>
                <w:tab w:val="decimal" w:pos="595"/>
              </w:tabs>
              <w:spacing w:after="0" w:line="240" w:lineRule="auto"/>
              <w:rPr>
                <w:color w:val="000000"/>
                <w:sz w:val="20"/>
                <w:szCs w:val="20"/>
              </w:rPr>
            </w:pPr>
            <w:r w:rsidRPr="00A8196B">
              <w:rPr>
                <w:color w:val="000000"/>
                <w:sz w:val="20"/>
                <w:szCs w:val="20"/>
              </w:rPr>
              <w:t>24.57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737E98AB" w14:textId="77777777">
            <w:pPr>
              <w:widowControl w:val="0"/>
              <w:tabs>
                <w:tab w:val="decimal" w:pos="386"/>
              </w:tabs>
              <w:spacing w:after="0" w:line="240" w:lineRule="auto"/>
              <w:rPr>
                <w:color w:val="000000"/>
                <w:sz w:val="20"/>
                <w:szCs w:val="20"/>
              </w:rPr>
            </w:pPr>
            <w:r w:rsidRPr="00A8196B">
              <w:rPr>
                <w:color w:val="000000"/>
                <w:sz w:val="20"/>
                <w:szCs w:val="20"/>
              </w:rPr>
              <w:t>29.175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AB3BE2C" w14:textId="77777777">
            <w:pPr>
              <w:widowControl w:val="0"/>
              <w:tabs>
                <w:tab w:val="decimal" w:pos="386"/>
              </w:tabs>
              <w:spacing w:after="0" w:line="240" w:lineRule="auto"/>
              <w:rPr>
                <w:color w:val="000000"/>
                <w:sz w:val="20"/>
                <w:szCs w:val="20"/>
              </w:rPr>
            </w:pPr>
            <w:r w:rsidRPr="00A8196B">
              <w:rPr>
                <w:color w:val="000000"/>
                <w:sz w:val="20"/>
                <w:szCs w:val="20"/>
              </w:rPr>
              <w:t>12.5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3C93871C" w14:textId="77777777">
            <w:pPr>
              <w:widowControl w:val="0"/>
              <w:tabs>
                <w:tab w:val="decimal" w:pos="386"/>
              </w:tabs>
              <w:spacing w:after="0" w:line="240" w:lineRule="auto"/>
              <w:rPr>
                <w:color w:val="000000"/>
                <w:sz w:val="20"/>
                <w:szCs w:val="20"/>
              </w:rPr>
            </w:pPr>
            <w:r w:rsidRPr="00A8196B">
              <w:rPr>
                <w:color w:val="000000"/>
                <w:sz w:val="20"/>
                <w:szCs w:val="20"/>
              </w:rPr>
              <w:t>66.245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02B310F2" w14:textId="527D4527">
            <w:pPr>
              <w:widowControl w:val="0"/>
              <w:spacing w:after="0" w:line="240" w:lineRule="auto"/>
              <w:jc w:val="right"/>
              <w:rPr>
                <w:b/>
                <w:bCs/>
                <w:color w:val="000000"/>
                <w:sz w:val="20"/>
                <w:szCs w:val="20"/>
              </w:rPr>
            </w:pPr>
            <w:r w:rsidRPr="00A8196B">
              <w:rPr>
                <w:b/>
                <w:bCs/>
                <w:color w:val="000000"/>
                <w:sz w:val="20"/>
                <w:szCs w:val="20"/>
              </w:rPr>
              <w:t>2,</w:t>
            </w:r>
            <w:r w:rsidRPr="00A8196B" w:rsidR="00BE629C">
              <w:rPr>
                <w:b/>
                <w:bCs/>
                <w:color w:val="000000"/>
                <w:sz w:val="20"/>
                <w:szCs w:val="20"/>
              </w:rPr>
              <w:t>186</w:t>
            </w:r>
          </w:p>
        </w:tc>
      </w:tr>
      <w:tr w14:paraId="7720AC88"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02645418" w14:textId="77777777">
            <w:pPr>
              <w:widowControl w:val="0"/>
              <w:spacing w:after="0" w:line="240" w:lineRule="auto"/>
              <w:rPr>
                <w:color w:val="000000"/>
                <w:sz w:val="20"/>
                <w:szCs w:val="20"/>
              </w:rPr>
            </w:pPr>
            <w:r w:rsidRPr="00A8196B">
              <w:rPr>
                <w:color w:val="000000"/>
                <w:sz w:val="20"/>
                <w:szCs w:val="20"/>
              </w:rPr>
              <w:t>NOC</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DFABD3C" w14:textId="2AD2C901">
            <w:pPr>
              <w:widowControl w:val="0"/>
              <w:tabs>
                <w:tab w:val="decimal" w:pos="595"/>
              </w:tabs>
              <w:spacing w:after="0" w:line="240" w:lineRule="auto"/>
              <w:rPr>
                <w:color w:val="000000"/>
                <w:sz w:val="20"/>
                <w:szCs w:val="20"/>
              </w:rPr>
            </w:pPr>
            <w:r w:rsidRPr="00A8196B">
              <w:rPr>
                <w:color w:val="000000"/>
                <w:sz w:val="20"/>
                <w:szCs w:val="20"/>
              </w:rPr>
              <w:t>1</w:t>
            </w:r>
            <w:r w:rsidRPr="00A8196B" w:rsidR="00902374">
              <w:rPr>
                <w:color w:val="000000"/>
                <w:sz w:val="20"/>
                <w:szCs w:val="20"/>
              </w:rPr>
              <w:t>69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773AA08E" w14:textId="77777777">
            <w:pPr>
              <w:widowControl w:val="0"/>
              <w:tabs>
                <w:tab w:val="decimal" w:pos="595"/>
              </w:tabs>
              <w:spacing w:after="0" w:line="240" w:lineRule="auto"/>
              <w:rPr>
                <w:color w:val="000000"/>
                <w:sz w:val="20"/>
                <w:szCs w:val="20"/>
              </w:rPr>
            </w:pPr>
            <w:r w:rsidRPr="00A8196B">
              <w:rPr>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1F2E5ECD" w14:textId="77777777">
            <w:pPr>
              <w:widowControl w:val="0"/>
              <w:tabs>
                <w:tab w:val="decimal" w:pos="386"/>
              </w:tabs>
              <w:spacing w:after="0" w:line="240" w:lineRule="auto"/>
              <w:rPr>
                <w:color w:val="000000"/>
                <w:sz w:val="20"/>
                <w:szCs w:val="20"/>
              </w:rPr>
            </w:pPr>
            <w:r w:rsidRPr="00A8196B">
              <w:rPr>
                <w:color w:val="000000"/>
                <w:sz w:val="20"/>
                <w:szCs w:val="20"/>
              </w:rPr>
              <w:t>11.8375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50F791A6" w14:textId="77777777">
            <w:pPr>
              <w:widowControl w:val="0"/>
              <w:tabs>
                <w:tab w:val="decimal" w:pos="386"/>
              </w:tabs>
              <w:spacing w:after="0" w:line="240" w:lineRule="auto"/>
              <w:rPr>
                <w:color w:val="000000"/>
                <w:sz w:val="20"/>
                <w:szCs w:val="20"/>
              </w:rPr>
            </w:pPr>
            <w:r w:rsidRPr="00A8196B">
              <w:rPr>
                <w:color w:val="000000"/>
                <w:sz w:val="20"/>
                <w:szCs w:val="20"/>
              </w:rPr>
              <w:t>0.0625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449B6977" w14:textId="6B6C2660">
            <w:pPr>
              <w:widowControl w:val="0"/>
              <w:tabs>
                <w:tab w:val="decimal" w:pos="386"/>
              </w:tabs>
              <w:spacing w:after="0" w:line="240" w:lineRule="auto"/>
              <w:rPr>
                <w:color w:val="000000"/>
                <w:sz w:val="20"/>
                <w:szCs w:val="20"/>
              </w:rPr>
            </w:pPr>
            <w:r w:rsidRPr="00A8196B">
              <w:rPr>
                <w:color w:val="000000"/>
                <w:sz w:val="20"/>
                <w:szCs w:val="20"/>
              </w:rPr>
              <w:t>16.97</w:t>
            </w:r>
            <w:r w:rsidRPr="00A8196B" w:rsidR="001B4C90">
              <w:rPr>
                <w:color w:val="000000"/>
                <w:sz w:val="20"/>
                <w:szCs w:val="20"/>
              </w:rPr>
              <w:t>0</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1929E41B" w14:textId="7375EB0D">
            <w:pPr>
              <w:widowControl w:val="0"/>
              <w:spacing w:after="0" w:line="240" w:lineRule="auto"/>
              <w:jc w:val="right"/>
              <w:rPr>
                <w:b/>
                <w:bCs/>
                <w:color w:val="000000"/>
                <w:sz w:val="20"/>
                <w:szCs w:val="20"/>
              </w:rPr>
            </w:pPr>
            <w:r w:rsidRPr="00A8196B">
              <w:rPr>
                <w:b/>
                <w:bCs/>
                <w:color w:val="000000"/>
                <w:sz w:val="20"/>
                <w:szCs w:val="20"/>
              </w:rPr>
              <w:t>2,868</w:t>
            </w:r>
          </w:p>
        </w:tc>
      </w:tr>
      <w:tr w14:paraId="6E8D3F5B"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1B4C90" w14:paraId="3B87DD9C" w14:textId="77777777">
            <w:pPr>
              <w:widowControl w:val="0"/>
              <w:spacing w:after="0" w:line="240" w:lineRule="auto"/>
              <w:rPr>
                <w:color w:val="000000"/>
                <w:sz w:val="20"/>
                <w:szCs w:val="20"/>
              </w:rPr>
            </w:pPr>
            <w:r w:rsidRPr="00A8196B">
              <w:rPr>
                <w:color w:val="000000"/>
                <w:sz w:val="20"/>
                <w:szCs w:val="20"/>
              </w:rPr>
              <w:t>New CDX Registration</w:t>
            </w:r>
            <w:r w:rsidRPr="00A8196B">
              <w:rPr>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664D7B6B" w14:textId="0DC73AB3">
            <w:pPr>
              <w:widowControl w:val="0"/>
              <w:tabs>
                <w:tab w:val="decimal" w:pos="595"/>
              </w:tabs>
              <w:spacing w:after="0" w:line="240" w:lineRule="auto"/>
              <w:rPr>
                <w:color w:val="000000"/>
                <w:sz w:val="20"/>
                <w:szCs w:val="20"/>
              </w:rPr>
            </w:pPr>
            <w:r w:rsidRPr="00A8196B">
              <w:rPr>
                <w:color w:val="000000"/>
                <w:sz w:val="20"/>
                <w:szCs w:val="20"/>
              </w:rPr>
              <w:t>2,</w:t>
            </w:r>
            <w:r w:rsidRPr="00A8196B" w:rsidR="0011481A">
              <w:rPr>
                <w:color w:val="000000"/>
                <w:sz w:val="20"/>
                <w:szCs w:val="20"/>
              </w:rPr>
              <w:t>942</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4584983B" w14:textId="77777777">
            <w:pPr>
              <w:widowControl w:val="0"/>
              <w:tabs>
                <w:tab w:val="decimal" w:pos="595"/>
              </w:tabs>
              <w:spacing w:after="0" w:line="240" w:lineRule="auto"/>
              <w:rPr>
                <w:color w:val="000000"/>
                <w:sz w:val="20"/>
                <w:szCs w:val="20"/>
              </w:rPr>
            </w:pPr>
            <w:r w:rsidRPr="00A8196B">
              <w:rPr>
                <w:color w:val="000000"/>
                <w:sz w:val="20"/>
                <w:szCs w:val="20"/>
              </w:rPr>
              <w:t>0.132</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1B4C90" w14:paraId="0AD0D98B" w14:textId="77777777">
            <w:pPr>
              <w:widowControl w:val="0"/>
              <w:tabs>
                <w:tab w:val="decimal" w:pos="386"/>
              </w:tabs>
              <w:spacing w:after="0" w:line="240" w:lineRule="auto"/>
              <w:rPr>
                <w:color w:val="000000"/>
                <w:sz w:val="20"/>
                <w:szCs w:val="20"/>
              </w:rPr>
            </w:pPr>
            <w:r w:rsidRPr="00A8196B">
              <w:rPr>
                <w:color w:val="000000"/>
                <w:sz w:val="20"/>
                <w:szCs w:val="20"/>
              </w:rPr>
              <w:t>0.528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09364F43"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A7023B" w14:paraId="038B85CD" w14:textId="2F092923">
            <w:pPr>
              <w:widowControl w:val="0"/>
              <w:tabs>
                <w:tab w:val="decimal" w:pos="386"/>
              </w:tabs>
              <w:spacing w:after="0" w:line="240" w:lineRule="auto"/>
              <w:rPr>
                <w:color w:val="000000"/>
                <w:sz w:val="20"/>
                <w:szCs w:val="20"/>
              </w:rPr>
            </w:pPr>
            <w:r w:rsidRPr="00A8196B">
              <w:rPr>
                <w:color w:val="000000"/>
                <w:sz w:val="20"/>
                <w:szCs w:val="20"/>
              </w:rPr>
              <w:t>0.66</w:t>
            </w:r>
            <w:r w:rsidRPr="00A8196B" w:rsidR="001B4C90">
              <w:rPr>
                <w:color w:val="000000"/>
                <w:sz w:val="20"/>
                <w:szCs w:val="20"/>
              </w:rPr>
              <w:t>0</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1B4C90" w14:paraId="1A98AF64" w14:textId="2F23AAF0">
            <w:pPr>
              <w:widowControl w:val="0"/>
              <w:spacing w:after="0" w:line="240" w:lineRule="auto"/>
              <w:jc w:val="right"/>
              <w:rPr>
                <w:b/>
                <w:bCs/>
                <w:color w:val="000000"/>
                <w:sz w:val="20"/>
                <w:szCs w:val="20"/>
              </w:rPr>
            </w:pPr>
            <w:r w:rsidRPr="00A8196B">
              <w:rPr>
                <w:b/>
                <w:bCs/>
                <w:color w:val="000000"/>
                <w:sz w:val="20"/>
                <w:szCs w:val="20"/>
              </w:rPr>
              <w:t>1,</w:t>
            </w:r>
            <w:r w:rsidRPr="00A8196B" w:rsidR="0011481A">
              <w:rPr>
                <w:b/>
                <w:bCs/>
                <w:color w:val="000000"/>
                <w:sz w:val="20"/>
                <w:szCs w:val="20"/>
              </w:rPr>
              <w:t>942</w:t>
            </w:r>
          </w:p>
        </w:tc>
      </w:tr>
      <w:tr w14:paraId="7B34104B" w14:textId="77777777" w:rsidTr="00A7023B">
        <w:tblPrEx>
          <w:tblW w:w="5000" w:type="pct"/>
          <w:tblLayout w:type="fixed"/>
          <w:tblCellMar>
            <w:left w:w="115" w:type="dxa"/>
            <w:right w:w="115" w:type="dxa"/>
          </w:tblCellMar>
          <w:tblLook w:val="04A0"/>
        </w:tblPrEx>
        <w:tc>
          <w:tcPr>
            <w:tcW w:w="8257" w:type="dxa"/>
            <w:gridSpan w:val="7"/>
            <w:tcBorders>
              <w:top w:val="single" w:sz="4" w:space="0" w:color="auto"/>
              <w:left w:val="double" w:sz="6" w:space="0" w:color="auto"/>
              <w:bottom w:val="double" w:sz="6" w:space="0" w:color="auto"/>
              <w:right w:val="single" w:sz="4" w:space="0" w:color="auto"/>
            </w:tcBorders>
            <w:shd w:val="clear" w:color="auto" w:fill="auto"/>
            <w:hideMark/>
          </w:tcPr>
          <w:p w:rsidR="003C2C15" w:rsidRPr="00A8196B" w:rsidP="001B4C90" w14:paraId="3BC47075" w14:textId="77777777">
            <w:pPr>
              <w:widowControl w:val="0"/>
              <w:spacing w:after="0" w:line="240" w:lineRule="auto"/>
              <w:rPr>
                <w:b/>
                <w:bCs/>
                <w:color w:val="000000"/>
                <w:sz w:val="20"/>
                <w:szCs w:val="20"/>
              </w:rPr>
            </w:pPr>
            <w:r w:rsidRPr="00A8196B">
              <w:rPr>
                <w:b/>
                <w:bCs/>
                <w:color w:val="000000"/>
                <w:sz w:val="20"/>
                <w:szCs w:val="20"/>
              </w:rPr>
              <w:t>Total</w:t>
            </w:r>
          </w:p>
        </w:tc>
        <w:tc>
          <w:tcPr>
            <w:tcW w:w="1057" w:type="dxa"/>
            <w:tcBorders>
              <w:top w:val="single" w:sz="4" w:space="0" w:color="auto"/>
              <w:left w:val="nil"/>
              <w:bottom w:val="double" w:sz="6" w:space="0" w:color="auto"/>
              <w:right w:val="double" w:sz="6" w:space="0" w:color="auto"/>
            </w:tcBorders>
            <w:shd w:val="clear" w:color="auto" w:fill="auto"/>
            <w:hideMark/>
          </w:tcPr>
          <w:p w:rsidR="003C2C15" w:rsidRPr="00A8196B" w:rsidP="001B4C90" w14:paraId="7A1B0FA4" w14:textId="2801C4FE">
            <w:pPr>
              <w:widowControl w:val="0"/>
              <w:spacing w:after="0" w:line="240" w:lineRule="auto"/>
              <w:jc w:val="right"/>
              <w:rPr>
                <w:b/>
                <w:bCs/>
                <w:color w:val="000000"/>
                <w:sz w:val="20"/>
                <w:szCs w:val="20"/>
              </w:rPr>
            </w:pPr>
            <w:bookmarkStart w:id="40" w:name="_Hlk89323701"/>
            <w:r w:rsidRPr="00A8196B">
              <w:rPr>
                <w:b/>
                <w:bCs/>
                <w:color w:val="000000"/>
                <w:sz w:val="20"/>
                <w:szCs w:val="20"/>
              </w:rPr>
              <w:t>1</w:t>
            </w:r>
            <w:r w:rsidRPr="00A8196B" w:rsidR="0011481A">
              <w:rPr>
                <w:b/>
                <w:bCs/>
                <w:color w:val="000000"/>
                <w:sz w:val="20"/>
                <w:szCs w:val="20"/>
              </w:rPr>
              <w:t>36,292</w:t>
            </w:r>
            <w:bookmarkEnd w:id="40"/>
          </w:p>
        </w:tc>
      </w:tr>
      <w:tr w14:paraId="13B89F89" w14:textId="77777777" w:rsidTr="00A7023B">
        <w:tblPrEx>
          <w:tblW w:w="5000" w:type="pct"/>
          <w:tblLayout w:type="fixed"/>
          <w:tblCellMar>
            <w:left w:w="115" w:type="dxa"/>
            <w:right w:w="115" w:type="dxa"/>
          </w:tblCellMar>
          <w:tblLook w:val="04A0"/>
        </w:tblPrEx>
        <w:tc>
          <w:tcPr>
            <w:tcW w:w="9314" w:type="dxa"/>
            <w:gridSpan w:val="8"/>
            <w:tcBorders>
              <w:top w:val="nil"/>
              <w:left w:val="nil"/>
              <w:bottom w:val="nil"/>
              <w:right w:val="nil"/>
            </w:tcBorders>
            <w:shd w:val="clear" w:color="auto" w:fill="auto"/>
          </w:tcPr>
          <w:p w:rsidR="00AC5A42" w:rsidRPr="00A8196B" w:rsidP="001B4C90" w14:paraId="09CCDFF6" w14:textId="5499607E">
            <w:pPr>
              <w:pStyle w:val="TableFootnote"/>
              <w:widowControl w:val="0"/>
              <w:rPr>
                <w:rFonts w:ascii="Arial" w:hAnsi="Arial" w:cs="Arial"/>
                <w:b/>
              </w:rPr>
            </w:pPr>
            <w:r w:rsidRPr="00A8196B">
              <w:rPr>
                <w:rFonts w:ascii="Arial" w:hAnsi="Arial" w:cs="Arial"/>
                <w:b/>
              </w:rPr>
              <w:t>Footnote</w:t>
            </w:r>
          </w:p>
        </w:tc>
      </w:tr>
      <w:tr w14:paraId="59C11AE9" w14:textId="77777777" w:rsidTr="00A7023B">
        <w:tblPrEx>
          <w:tblW w:w="5000" w:type="pct"/>
          <w:tblLayout w:type="fixed"/>
          <w:tblCellMar>
            <w:left w:w="115" w:type="dxa"/>
            <w:right w:w="115" w:type="dxa"/>
          </w:tblCellMar>
          <w:tblLook w:val="04A0"/>
        </w:tblPrEx>
        <w:tc>
          <w:tcPr>
            <w:tcW w:w="270" w:type="dxa"/>
            <w:tcBorders>
              <w:top w:val="nil"/>
              <w:left w:val="nil"/>
              <w:bottom w:val="nil"/>
              <w:right w:val="nil"/>
            </w:tcBorders>
            <w:shd w:val="clear" w:color="auto" w:fill="auto"/>
            <w:hideMark/>
          </w:tcPr>
          <w:p w:rsidR="003C2C15" w:rsidRPr="00A8196B" w:rsidP="001B4C90" w14:paraId="1762080E" w14:textId="77777777">
            <w:pPr>
              <w:widowControl w:val="0"/>
              <w:spacing w:after="0" w:line="240" w:lineRule="auto"/>
              <w:jc w:val="right"/>
              <w:rPr>
                <w:rFonts w:cs="Arial"/>
                <w:color w:val="000000"/>
                <w:sz w:val="16"/>
                <w:szCs w:val="16"/>
              </w:rPr>
            </w:pPr>
            <w:r w:rsidRPr="00A8196B">
              <w:rPr>
                <w:rFonts w:cs="Arial"/>
                <w:color w:val="000000"/>
                <w:sz w:val="16"/>
                <w:szCs w:val="16"/>
                <w:vertAlign w:val="superscript"/>
              </w:rPr>
              <w:t>1</w:t>
            </w:r>
          </w:p>
        </w:tc>
        <w:tc>
          <w:tcPr>
            <w:tcW w:w="9044" w:type="dxa"/>
            <w:gridSpan w:val="7"/>
            <w:tcBorders>
              <w:top w:val="double" w:sz="6" w:space="0" w:color="auto"/>
              <w:left w:val="nil"/>
              <w:bottom w:val="nil"/>
              <w:right w:val="nil"/>
            </w:tcBorders>
            <w:shd w:val="clear" w:color="auto" w:fill="auto"/>
            <w:hideMark/>
          </w:tcPr>
          <w:p w:rsidR="003C2C15" w:rsidRPr="00A8196B" w:rsidP="001B4C90" w14:paraId="26DBCFD6" w14:textId="22DA437F">
            <w:pPr>
              <w:pStyle w:val="TableFootnote"/>
              <w:widowControl w:val="0"/>
              <w:ind w:left="0" w:firstLine="0"/>
              <w:rPr>
                <w:rFonts w:ascii="Arial" w:hAnsi="Arial" w:cs="Arial"/>
                <w:sz w:val="16"/>
                <w:szCs w:val="16"/>
              </w:rPr>
            </w:pPr>
            <w:r w:rsidRPr="00A8196B">
              <w:rPr>
                <w:rFonts w:ascii="Arial" w:hAnsi="Arial" w:cs="Arial"/>
                <w:sz w:val="16"/>
                <w:szCs w:val="16"/>
              </w:rPr>
              <w:t xml:space="preserve">Based on the 2009 Economic Analysis of the Premanufacture Notification Electronic Reporting Final Rule, EPA assumes that 20 percent of CDX registrants will be managerial employees and 80 percent will be technical employees. Therefore, the per employee registrations burden is split between managerial and technical hours using a 20/80 ratio. </w:t>
            </w:r>
          </w:p>
        </w:tc>
      </w:tr>
      <w:bookmarkEnd w:id="39"/>
    </w:tbl>
    <w:p w:rsidR="00495623" w:rsidRPr="00A8196B" w14:paraId="69D74E8D" w14:textId="77777777">
      <w:pPr>
        <w:spacing w:after="160" w:line="259" w:lineRule="auto"/>
        <w:rPr>
          <w:rFonts w:eastAsiaTheme="majorEastAsia" w:cstheme="majorBidi"/>
          <w:b/>
          <w:bCs/>
          <w:szCs w:val="26"/>
          <w:lang w:bidi="en-US"/>
        </w:rPr>
      </w:pPr>
      <w:r w:rsidRPr="00A8196B">
        <w:br w:type="page"/>
      </w:r>
    </w:p>
    <w:p w:rsidR="003C2C15" w:rsidRPr="00A8196B" w:rsidP="00A7023B" w14:paraId="60323223" w14:textId="3E5116F1">
      <w:pPr>
        <w:pStyle w:val="Heading2"/>
        <w:spacing w:before="240"/>
        <w:ind w:left="720" w:firstLine="0"/>
      </w:pPr>
      <w:r w:rsidRPr="00A8196B">
        <w:t>Estimating Respondent Cost</w:t>
      </w:r>
    </w:p>
    <w:p w:rsidR="003C2C15" w:rsidRPr="00A8196B" w:rsidP="00A7023B" w14:paraId="00BA4C39" w14:textId="2D8759CF">
      <w:pPr>
        <w:pStyle w:val="BodyTextFirstIndent"/>
        <w:keepNext/>
        <w:keepLines/>
        <w:spacing w:after="200" w:line="276" w:lineRule="auto"/>
      </w:pPr>
      <w:r w:rsidRPr="00A8196B">
        <w:t xml:space="preserve">Respondents to TSCA section 5 reporting requirements experience costs associated with (1) reporting, (2) recordkeeping, and (3) compliance with exposure controls and testing requirements included in TSCA section 5(e) and 5(f) orders, when EPA takes regulatory action. The </w:t>
      </w:r>
      <w:r w:rsidRPr="00A8196B">
        <w:rPr>
          <w:szCs w:val="22"/>
        </w:rPr>
        <w:t xml:space="preserve">respondent costs associated with this information collection are estimated to total </w:t>
      </w:r>
      <w:r w:rsidRPr="00A8196B">
        <w:rPr>
          <w:bCs/>
          <w:szCs w:val="22"/>
        </w:rPr>
        <w:t>$</w:t>
      </w:r>
      <w:r w:rsidRPr="00A8196B" w:rsidR="00C82191">
        <w:rPr>
          <w:bCs/>
          <w:szCs w:val="22"/>
        </w:rPr>
        <w:t>37,324,700</w:t>
      </w:r>
      <w:r w:rsidRPr="00A8196B">
        <w:rPr>
          <w:b/>
          <w:szCs w:val="22"/>
        </w:rPr>
        <w:t xml:space="preserve"> </w:t>
      </w:r>
      <w:r w:rsidRPr="00A8196B">
        <w:t>(</w:t>
      </w:r>
      <w:r w:rsidRPr="00A8196B" w:rsidR="00F86157">
        <w:t xml:space="preserve">Table </w:t>
      </w:r>
      <w:r w:rsidRPr="00A8196B" w:rsidR="000F68A9">
        <w:t>19</w:t>
      </w:r>
      <w:r w:rsidRPr="00A8196B">
        <w:t>).</w:t>
      </w:r>
    </w:p>
    <w:p w:rsidR="003C2C15" w:rsidRPr="00A8196B" w:rsidP="007357FC" w14:paraId="060AE294" w14:textId="77777777">
      <w:pPr>
        <w:pStyle w:val="BodyTextFirstIndent"/>
        <w:widowControl/>
        <w:spacing w:after="200" w:line="276" w:lineRule="auto"/>
      </w:pPr>
      <w:r w:rsidRPr="00A8196B">
        <w:t>Respondent costs for all submissions consist of three components: (1) labor costs, calculated by multiplying the estimated burden hours associated with each submission type by the appropriate labor rate; (2) delay costs, estimated as the cost of the delayed receipt of profits by chemical manufactures as a result of the submission review process, and (3) explicit costs, such as user fees or lab testing fees.</w:t>
      </w:r>
    </w:p>
    <w:p w:rsidR="003C2C15" w:rsidRPr="00A8196B" w:rsidP="009B2563" w14:paraId="6AA30043" w14:textId="7C301644">
      <w:pPr>
        <w:pStyle w:val="BodyTextFirstIndent"/>
        <w:spacing w:after="200" w:line="276" w:lineRule="auto"/>
        <w:rPr>
          <w:vertAlign w:val="superscript"/>
        </w:rPr>
      </w:pPr>
      <w:r w:rsidRPr="00A8196B">
        <w:t xml:space="preserve">In order to estimate total respondent cost associated with TSCA section 5 submissions, an average cost per notice was first calculated for each type of notice. The cost for each notice type was calculated by summing each of the associated cost components, and then multiplying by the expected number of notice submissions. The total industry cost was calculated by summing the costs across notice types. </w:t>
      </w:r>
      <w:r w:rsidR="00DB1C79">
        <w:t>Table 1</w:t>
      </w:r>
      <w:r w:rsidRPr="00A8196B" w:rsidR="00495623">
        <w:t xml:space="preserve">9 </w:t>
      </w:r>
      <w:r w:rsidRPr="00A8196B">
        <w:t>outlines the average cost calculations for the various types of notice submissions and presents the total respondent cost estimate.</w:t>
      </w:r>
    </w:p>
    <w:p w:rsidR="003C2C15" w:rsidRPr="00A8196B" w:rsidP="009B2563" w14:paraId="310C8EF5" w14:textId="5B8B3700">
      <w:pPr>
        <w:pStyle w:val="BodyTextFirstIndent"/>
        <w:spacing w:after="200" w:line="276" w:lineRule="auto"/>
      </w:pPr>
      <w:r w:rsidRPr="00A8196B">
        <w:t>As noted above, delay costs reflect the cost of the delayed receipt of profits by chemical manufactures as a result of the submission review process. Industry delay costs used to calculate the average cost per submission were computed using the midpoint of the low and high delay cost estimates (1993 dollars) as presented in the “Regulatory Impact Analysis of Amendments to Regulations for TSCA section 5 Premanufacture Notifications” (1994),</w:t>
      </w:r>
      <w:r w:rsidRPr="00A8196B" w:rsidR="00C30EE2">
        <w:t xml:space="preserve"> </w:t>
      </w:r>
      <w:r w:rsidRPr="00A8196B">
        <w:t>and inflated to 2016 dollars using the Bureau of Labor Statistics’ Producer Price Index data for the Chemical Manufacturing industry.</w:t>
      </w:r>
    </w:p>
    <w:p w:rsidR="00A7023B" w:rsidRPr="00A8196B" w:rsidP="009B2563" w14:paraId="6EFAD3ED" w14:textId="621D3336">
      <w:pPr>
        <w:pStyle w:val="BodyTextFirstIndent"/>
        <w:spacing w:after="200" w:line="276" w:lineRule="auto"/>
        <w:rPr>
          <w:iCs/>
        </w:rPr>
      </w:pPr>
      <w:r w:rsidRPr="00A8196B">
        <w:t xml:space="preserve">The EPA fees (explicit costs) used to calculate the average cost per submission were taken from the 2018 fees rule: </w:t>
      </w:r>
      <w:r w:rsidRPr="00A8196B">
        <w:rPr>
          <w:i/>
        </w:rPr>
        <w:t>Fees for the Administration of the Toxic Substances Control Act</w:t>
      </w:r>
      <w:r w:rsidRPr="00A8196B">
        <w:t xml:space="preserve"> (83 </w:t>
      </w:r>
      <w:r w:rsidRPr="00A8196B" w:rsidR="00D46DA6">
        <w:t>FR</w:t>
      </w:r>
      <w:r w:rsidRPr="00A8196B">
        <w:t xml:space="preserve"> 82694). This rule increased fees for PMNs, SNUNs, and MCANs from $2,500 to $16,000 and fees for LVE, LoREX, TME, TERA, Tier II, and photographic film articles from $0 to $4,700. Laboratory testing costs were</w:t>
      </w:r>
      <w:r w:rsidRPr="00A8196B">
        <w:rPr>
          <w:iCs/>
        </w:rPr>
        <w:t xml:space="preserve"> inflated to 2016 dollars using the Bureau of Labor Statistics (BLS) Employment Cost Index (ECI) series </w:t>
      </w:r>
      <w:r w:rsidRPr="00A8196B">
        <w:t>f</w:t>
      </w:r>
      <w:r w:rsidRPr="00A8196B">
        <w:rPr>
          <w:iCs/>
        </w:rPr>
        <w:t>or private industry workers in all industries and occupations.</w:t>
      </w:r>
    </w:p>
    <w:p w:rsidR="00341004" w:rsidRPr="00A8196B" w:rsidP="009B2563" w14:paraId="0237966D" w14:textId="33D600E6">
      <w:pPr>
        <w:pStyle w:val="BodyTextFirstIndent"/>
        <w:spacing w:after="200" w:line="276" w:lineRule="auto"/>
        <w:rPr>
          <w:iCs/>
        </w:rPr>
      </w:pPr>
    </w:p>
    <w:p w:rsidR="00341004" w:rsidRPr="00A8196B" w:rsidP="009B2563" w14:paraId="33ED3453" w14:textId="2DFD138B">
      <w:pPr>
        <w:pStyle w:val="BodyTextFirstIndent"/>
        <w:spacing w:after="200" w:line="276" w:lineRule="auto"/>
        <w:rPr>
          <w:iCs/>
        </w:rPr>
      </w:pPr>
    </w:p>
    <w:p w:rsidR="00341004" w:rsidRPr="00A8196B" w:rsidP="009B2563" w14:paraId="60E38898" w14:textId="13FC2BE7">
      <w:pPr>
        <w:pStyle w:val="BodyTextFirstIndent"/>
        <w:spacing w:after="200" w:line="276" w:lineRule="auto"/>
        <w:rPr>
          <w:iCs/>
        </w:rPr>
      </w:pPr>
    </w:p>
    <w:p w:rsidR="00393162" w:rsidRPr="00A8196B" w:rsidP="00341004" w14:paraId="52E9BB03" w14:textId="4490BC8D">
      <w:pPr>
        <w:keepNext/>
        <w:keepLines/>
        <w:sectPr w:rsidSect="003C2C15">
          <w:headerReference w:type="default" r:id="rId7"/>
          <w:endnotePr>
            <w:numFmt w:val="decimal"/>
          </w:endnotePr>
          <w:pgSz w:w="12240" w:h="15840"/>
          <w:pgMar w:top="1170" w:right="1440" w:bottom="1170" w:left="1440" w:header="630" w:footer="675" w:gutter="0"/>
          <w:cols w:space="720"/>
          <w:noEndnote/>
          <w:docGrid w:linePitch="326"/>
        </w:sectPr>
      </w:pPr>
    </w:p>
    <w:tbl>
      <w:tblPr>
        <w:tblpPr w:leftFromText="180" w:rightFromText="180" w:vertAnchor="text" w:tblpY="-494"/>
        <w:tblW w:w="4861" w:type="pct"/>
        <w:tblCellMar>
          <w:left w:w="58" w:type="dxa"/>
          <w:right w:w="58" w:type="dxa"/>
        </w:tblCellMar>
        <w:tblLook w:val="04A0"/>
      </w:tblPr>
      <w:tblGrid>
        <w:gridCol w:w="1880"/>
        <w:gridCol w:w="1353"/>
        <w:gridCol w:w="690"/>
        <w:gridCol w:w="779"/>
        <w:gridCol w:w="829"/>
        <w:gridCol w:w="779"/>
        <w:gridCol w:w="721"/>
        <w:gridCol w:w="781"/>
        <w:gridCol w:w="857"/>
        <w:gridCol w:w="852"/>
        <w:gridCol w:w="859"/>
        <w:gridCol w:w="1081"/>
        <w:gridCol w:w="1139"/>
      </w:tblGrid>
      <w:tr w14:paraId="794F2C7F" w14:textId="77777777" w:rsidTr="00C027C1">
        <w:tblPrEx>
          <w:tblW w:w="4861" w:type="pct"/>
          <w:tblCellMar>
            <w:left w:w="58" w:type="dxa"/>
            <w:right w:w="58" w:type="dxa"/>
          </w:tblCellMar>
          <w:tblLook w:val="04A0"/>
        </w:tblPrEx>
        <w:trPr>
          <w:trHeight w:val="307"/>
        </w:trPr>
        <w:tc>
          <w:tcPr>
            <w:tcW w:w="5000" w:type="pct"/>
            <w:gridSpan w:val="13"/>
            <w:tcBorders>
              <w:bottom w:val="single" w:sz="4" w:space="0" w:color="auto"/>
            </w:tcBorders>
            <w:shd w:val="clear" w:color="auto" w:fill="auto"/>
            <w:vAlign w:val="bottom"/>
          </w:tcPr>
          <w:p w:rsidR="00C027C1" w:rsidRPr="00A8196B" w:rsidP="00C027C1" w14:paraId="7D3F1D2C" w14:textId="6A8C8ED2">
            <w:pPr>
              <w:spacing w:after="0"/>
              <w:rPr>
                <w:rFonts w:cs="Arial"/>
                <w:b/>
                <w:bCs/>
                <w:color w:val="000000"/>
                <w:sz w:val="16"/>
                <w:szCs w:val="16"/>
              </w:rPr>
            </w:pPr>
            <w:r w:rsidRPr="00A8196B">
              <w:rPr>
                <w:rFonts w:cs="Arial"/>
                <w:b/>
                <w:bCs/>
                <w:color w:val="000000"/>
                <w:szCs w:val="24"/>
              </w:rPr>
              <w:t xml:space="preserve">Table 19. Total </w:t>
            </w:r>
            <w:r w:rsidR="00A73400">
              <w:rPr>
                <w:rFonts w:cs="Arial"/>
                <w:b/>
                <w:bCs/>
                <w:color w:val="000000"/>
                <w:szCs w:val="24"/>
              </w:rPr>
              <w:t xml:space="preserve">Baseline </w:t>
            </w:r>
            <w:r w:rsidRPr="00A8196B">
              <w:rPr>
                <w:rFonts w:cs="Arial"/>
                <w:b/>
                <w:bCs/>
                <w:color w:val="000000"/>
                <w:szCs w:val="24"/>
              </w:rPr>
              <w:t>Respondent Burden and Cost</w:t>
            </w:r>
          </w:p>
        </w:tc>
      </w:tr>
      <w:tr w14:paraId="1C0A7527" w14:textId="77777777" w:rsidTr="00836DC9">
        <w:tblPrEx>
          <w:tblW w:w="4861" w:type="pct"/>
          <w:tblCellMar>
            <w:left w:w="58" w:type="dxa"/>
            <w:right w:w="58" w:type="dxa"/>
          </w:tblCellMar>
          <w:tblLook w:val="04A0"/>
        </w:tblPrEx>
        <w:trPr>
          <w:trHeight w:val="410"/>
        </w:trPr>
        <w:tc>
          <w:tcPr>
            <w:tcW w:w="746" w:type="pct"/>
            <w:vMerge w:val="restart"/>
            <w:tcBorders>
              <w:top w:val="single" w:sz="4" w:space="0" w:color="auto"/>
              <w:left w:val="double" w:sz="6" w:space="0" w:color="auto"/>
              <w:bottom w:val="single" w:sz="8" w:space="0" w:color="auto"/>
              <w:right w:val="single" w:sz="8" w:space="0" w:color="auto"/>
            </w:tcBorders>
            <w:shd w:val="clear" w:color="auto" w:fill="auto"/>
            <w:vAlign w:val="bottom"/>
            <w:hideMark/>
          </w:tcPr>
          <w:p w:rsidR="00C027C1" w:rsidRPr="00A8196B" w:rsidP="00C027C1" w14:paraId="6D6B0CBB" w14:textId="77777777">
            <w:pPr>
              <w:spacing w:after="0"/>
              <w:jc w:val="center"/>
              <w:rPr>
                <w:rFonts w:cs="Arial"/>
                <w:b/>
                <w:bCs/>
                <w:color w:val="000000"/>
                <w:sz w:val="16"/>
                <w:szCs w:val="16"/>
              </w:rPr>
            </w:pPr>
          </w:p>
          <w:p w:rsidR="00C027C1" w:rsidRPr="00A8196B" w:rsidP="00C027C1" w14:paraId="3ED440DE" w14:textId="77777777">
            <w:pPr>
              <w:spacing w:after="0"/>
              <w:jc w:val="center"/>
              <w:rPr>
                <w:rFonts w:cs="Arial"/>
                <w:b/>
                <w:bCs/>
                <w:color w:val="000000"/>
                <w:sz w:val="16"/>
                <w:szCs w:val="16"/>
              </w:rPr>
            </w:pPr>
          </w:p>
        </w:tc>
        <w:tc>
          <w:tcPr>
            <w:tcW w:w="537" w:type="pct"/>
            <w:vMerge w:val="restart"/>
            <w:tcBorders>
              <w:top w:val="single" w:sz="4"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6FC963E1" w14:textId="77777777">
            <w:pPr>
              <w:spacing w:after="0"/>
              <w:jc w:val="center"/>
              <w:rPr>
                <w:rFonts w:cs="Arial"/>
                <w:b/>
                <w:bCs/>
                <w:color w:val="000000"/>
                <w:sz w:val="16"/>
                <w:szCs w:val="16"/>
              </w:rPr>
            </w:pPr>
            <w:r w:rsidRPr="00A8196B">
              <w:rPr>
                <w:rFonts w:cs="Arial"/>
                <w:b/>
                <w:bCs/>
                <w:color w:val="000000"/>
                <w:sz w:val="16"/>
                <w:szCs w:val="16"/>
              </w:rPr>
              <w:t>Average Annual Responses</w:t>
            </w:r>
          </w:p>
        </w:tc>
        <w:tc>
          <w:tcPr>
            <w:tcW w:w="1817" w:type="pct"/>
            <w:gridSpan w:val="6"/>
            <w:tcBorders>
              <w:top w:val="single" w:sz="4"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1C09A9C6" w14:textId="77777777">
            <w:pPr>
              <w:spacing w:after="0"/>
              <w:jc w:val="center"/>
              <w:rPr>
                <w:rFonts w:cs="Arial"/>
                <w:b/>
                <w:bCs/>
                <w:color w:val="000000"/>
                <w:sz w:val="16"/>
                <w:szCs w:val="16"/>
              </w:rPr>
            </w:pPr>
            <w:r w:rsidRPr="00A8196B">
              <w:rPr>
                <w:rFonts w:cs="Arial"/>
                <w:b/>
                <w:bCs/>
                <w:color w:val="000000"/>
                <w:sz w:val="16"/>
                <w:szCs w:val="16"/>
              </w:rPr>
              <w:t>Total Burden (Reporting + Recordkeeping) and Wage Rate by Labor Category</w:t>
            </w:r>
          </w:p>
        </w:tc>
        <w:tc>
          <w:tcPr>
            <w:tcW w:w="340" w:type="pct"/>
            <w:vMerge w:val="restart"/>
            <w:tcBorders>
              <w:top w:val="single" w:sz="4"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39C2CE4C" w14:textId="77777777">
            <w:pPr>
              <w:spacing w:after="0"/>
              <w:jc w:val="center"/>
              <w:rPr>
                <w:rFonts w:cs="Arial"/>
                <w:b/>
                <w:bCs/>
                <w:color w:val="000000"/>
                <w:sz w:val="16"/>
                <w:szCs w:val="16"/>
              </w:rPr>
            </w:pPr>
            <w:r w:rsidRPr="00A8196B">
              <w:rPr>
                <w:rFonts w:cs="Arial"/>
                <w:b/>
                <w:bCs/>
                <w:color w:val="000000"/>
                <w:sz w:val="16"/>
                <w:szCs w:val="16"/>
              </w:rPr>
              <w:t>Labor Costs</w:t>
            </w:r>
            <w:r w:rsidRPr="00A8196B">
              <w:rPr>
                <w:rFonts w:cs="Arial"/>
                <w:b/>
                <w:bCs/>
                <w:color w:val="000000"/>
                <w:sz w:val="16"/>
                <w:szCs w:val="16"/>
                <w:vertAlign w:val="superscript"/>
              </w:rPr>
              <w:t>1</w:t>
            </w:r>
          </w:p>
        </w:tc>
        <w:tc>
          <w:tcPr>
            <w:tcW w:w="338" w:type="pct"/>
            <w:vMerge w:val="restart"/>
            <w:tcBorders>
              <w:top w:val="single" w:sz="4"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01710A63" w14:textId="77777777">
            <w:pPr>
              <w:spacing w:after="0"/>
              <w:jc w:val="center"/>
              <w:rPr>
                <w:rFonts w:cs="Arial"/>
                <w:b/>
                <w:bCs/>
                <w:color w:val="000000"/>
                <w:sz w:val="16"/>
                <w:szCs w:val="16"/>
              </w:rPr>
            </w:pPr>
            <w:r w:rsidRPr="00A8196B">
              <w:rPr>
                <w:rFonts w:cs="Arial"/>
                <w:b/>
                <w:bCs/>
                <w:color w:val="000000"/>
                <w:sz w:val="16"/>
                <w:szCs w:val="16"/>
              </w:rPr>
              <w:t>Delay Costs</w:t>
            </w:r>
            <w:r w:rsidRPr="00A8196B">
              <w:rPr>
                <w:rFonts w:cs="Arial"/>
                <w:b/>
                <w:bCs/>
                <w:color w:val="000000"/>
                <w:sz w:val="16"/>
                <w:szCs w:val="16"/>
                <w:vertAlign w:val="superscript"/>
              </w:rPr>
              <w:t>2</w:t>
            </w:r>
          </w:p>
        </w:tc>
        <w:tc>
          <w:tcPr>
            <w:tcW w:w="341" w:type="pct"/>
            <w:vMerge w:val="restart"/>
            <w:tcBorders>
              <w:top w:val="single" w:sz="4"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68A82418" w14:textId="77777777">
            <w:pPr>
              <w:spacing w:after="0"/>
              <w:jc w:val="center"/>
              <w:rPr>
                <w:rFonts w:cs="Arial"/>
                <w:b/>
                <w:bCs/>
                <w:color w:val="000000"/>
                <w:sz w:val="16"/>
                <w:szCs w:val="16"/>
              </w:rPr>
            </w:pPr>
            <w:r w:rsidRPr="00A8196B">
              <w:rPr>
                <w:rFonts w:cs="Arial"/>
                <w:b/>
                <w:bCs/>
                <w:color w:val="000000"/>
                <w:sz w:val="16"/>
                <w:szCs w:val="16"/>
              </w:rPr>
              <w:t>Fees</w:t>
            </w:r>
            <w:r w:rsidRPr="00A8196B">
              <w:rPr>
                <w:rFonts w:cs="Arial"/>
                <w:b/>
                <w:bCs/>
                <w:color w:val="000000"/>
                <w:sz w:val="16"/>
                <w:szCs w:val="16"/>
                <w:vertAlign w:val="superscript"/>
              </w:rPr>
              <w:t>3</w:t>
            </w:r>
          </w:p>
        </w:tc>
        <w:tc>
          <w:tcPr>
            <w:tcW w:w="429" w:type="pct"/>
            <w:vMerge w:val="restart"/>
            <w:tcBorders>
              <w:top w:val="single" w:sz="4"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157DAC67" w14:textId="77777777">
            <w:pPr>
              <w:spacing w:after="0"/>
              <w:jc w:val="center"/>
              <w:rPr>
                <w:rFonts w:cs="Arial"/>
                <w:b/>
                <w:bCs/>
                <w:color w:val="000000"/>
                <w:sz w:val="16"/>
                <w:szCs w:val="16"/>
              </w:rPr>
            </w:pPr>
            <w:r w:rsidRPr="00A8196B">
              <w:rPr>
                <w:rFonts w:cs="Arial"/>
                <w:b/>
                <w:bCs/>
                <w:color w:val="000000"/>
                <w:sz w:val="16"/>
                <w:szCs w:val="16"/>
              </w:rPr>
              <w:t>Avg. Cost Per Notice</w:t>
            </w:r>
            <w:r w:rsidRPr="00A8196B">
              <w:rPr>
                <w:rFonts w:cs="Arial"/>
                <w:b/>
                <w:bCs/>
                <w:color w:val="000000"/>
                <w:sz w:val="16"/>
                <w:szCs w:val="16"/>
                <w:vertAlign w:val="superscript"/>
              </w:rPr>
              <w:t>4</w:t>
            </w:r>
          </w:p>
        </w:tc>
        <w:tc>
          <w:tcPr>
            <w:tcW w:w="452" w:type="pct"/>
            <w:vMerge w:val="restart"/>
            <w:tcBorders>
              <w:top w:val="single" w:sz="4" w:space="0" w:color="auto"/>
              <w:left w:val="single" w:sz="8" w:space="0" w:color="auto"/>
              <w:bottom w:val="single" w:sz="8" w:space="0" w:color="auto"/>
              <w:right w:val="double" w:sz="6" w:space="0" w:color="auto"/>
            </w:tcBorders>
            <w:shd w:val="clear" w:color="auto" w:fill="auto"/>
            <w:vAlign w:val="bottom"/>
            <w:hideMark/>
          </w:tcPr>
          <w:p w:rsidR="00C027C1" w:rsidRPr="00A8196B" w:rsidP="00C027C1" w14:paraId="114B97C7" w14:textId="77777777">
            <w:pPr>
              <w:spacing w:after="0"/>
              <w:jc w:val="center"/>
              <w:rPr>
                <w:rFonts w:cs="Arial"/>
                <w:b/>
                <w:bCs/>
                <w:color w:val="000000"/>
                <w:sz w:val="16"/>
                <w:szCs w:val="16"/>
              </w:rPr>
            </w:pPr>
            <w:r w:rsidRPr="00A8196B">
              <w:rPr>
                <w:rFonts w:cs="Arial"/>
                <w:b/>
                <w:bCs/>
                <w:color w:val="000000"/>
                <w:sz w:val="16"/>
                <w:szCs w:val="16"/>
              </w:rPr>
              <w:t>Total</w:t>
            </w:r>
            <w:r w:rsidRPr="00A8196B">
              <w:rPr>
                <w:rFonts w:cs="Arial"/>
                <w:b/>
                <w:bCs/>
                <w:color w:val="000000"/>
                <w:sz w:val="16"/>
                <w:szCs w:val="16"/>
              </w:rPr>
              <w:br/>
              <w:t>Respondent</w:t>
            </w:r>
            <w:r w:rsidRPr="00A8196B">
              <w:rPr>
                <w:rFonts w:cs="Arial"/>
                <w:b/>
                <w:bCs/>
                <w:color w:val="000000"/>
                <w:sz w:val="16"/>
                <w:szCs w:val="16"/>
              </w:rPr>
              <w:br/>
              <w:t>Cost</w:t>
            </w:r>
            <w:r w:rsidRPr="00A8196B">
              <w:rPr>
                <w:rFonts w:cs="Arial"/>
                <w:b/>
                <w:bCs/>
                <w:color w:val="000000"/>
                <w:sz w:val="16"/>
                <w:szCs w:val="16"/>
                <w:vertAlign w:val="superscript"/>
              </w:rPr>
              <w:t>6</w:t>
            </w:r>
          </w:p>
        </w:tc>
      </w:tr>
      <w:tr w14:paraId="19964547" w14:textId="77777777" w:rsidTr="00836DC9">
        <w:tblPrEx>
          <w:tblW w:w="4861" w:type="pct"/>
          <w:tblCellMar>
            <w:left w:w="58" w:type="dxa"/>
            <w:right w:w="58" w:type="dxa"/>
          </w:tblCellMar>
          <w:tblLook w:val="04A0"/>
        </w:tblPrEx>
        <w:trPr>
          <w:trHeight w:val="219"/>
        </w:trPr>
        <w:tc>
          <w:tcPr>
            <w:tcW w:w="746" w:type="pct"/>
            <w:vMerge/>
            <w:tcBorders>
              <w:top w:val="single" w:sz="8" w:space="0" w:color="auto"/>
              <w:left w:val="double" w:sz="6" w:space="0" w:color="auto"/>
              <w:bottom w:val="single" w:sz="8" w:space="0" w:color="auto"/>
              <w:right w:val="single" w:sz="8" w:space="0" w:color="auto"/>
            </w:tcBorders>
            <w:vAlign w:val="bottom"/>
            <w:hideMark/>
          </w:tcPr>
          <w:p w:rsidR="00C027C1" w:rsidRPr="00A8196B" w:rsidP="00C027C1" w14:paraId="583D140F" w14:textId="77777777">
            <w:pPr>
              <w:spacing w:after="0"/>
              <w:rPr>
                <w:rFonts w:cs="Arial"/>
                <w:b/>
                <w:bCs/>
                <w:color w:val="000000"/>
                <w:sz w:val="16"/>
                <w:szCs w:val="16"/>
              </w:rPr>
            </w:pPr>
          </w:p>
        </w:tc>
        <w:tc>
          <w:tcPr>
            <w:tcW w:w="537"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3A377AD0" w14:textId="77777777">
            <w:pPr>
              <w:spacing w:after="0"/>
              <w:rPr>
                <w:rFonts w:cs="Arial"/>
                <w:b/>
                <w:bCs/>
                <w:color w:val="000000"/>
                <w:sz w:val="16"/>
                <w:szCs w:val="16"/>
              </w:rPr>
            </w:pPr>
          </w:p>
        </w:tc>
        <w:tc>
          <w:tcPr>
            <w:tcW w:w="583" w:type="pct"/>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7D6F3E99" w14:textId="77777777">
            <w:pPr>
              <w:spacing w:after="0"/>
              <w:jc w:val="center"/>
              <w:rPr>
                <w:rFonts w:cs="Arial"/>
                <w:b/>
                <w:bCs/>
                <w:color w:val="000000"/>
                <w:sz w:val="16"/>
                <w:szCs w:val="16"/>
              </w:rPr>
            </w:pPr>
            <w:r w:rsidRPr="00A8196B">
              <w:rPr>
                <w:rFonts w:cs="Arial"/>
                <w:b/>
                <w:bCs/>
                <w:color w:val="000000"/>
                <w:sz w:val="16"/>
                <w:szCs w:val="16"/>
              </w:rPr>
              <w:t>Managerial</w:t>
            </w:r>
          </w:p>
        </w:tc>
        <w:tc>
          <w:tcPr>
            <w:tcW w:w="638" w:type="pct"/>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2FC166E6" w14:textId="77777777">
            <w:pPr>
              <w:spacing w:after="0"/>
              <w:jc w:val="center"/>
              <w:rPr>
                <w:rFonts w:cs="Arial"/>
                <w:b/>
                <w:bCs/>
                <w:color w:val="000000"/>
                <w:sz w:val="16"/>
                <w:szCs w:val="16"/>
              </w:rPr>
            </w:pPr>
            <w:r w:rsidRPr="00A8196B">
              <w:rPr>
                <w:rFonts w:cs="Arial"/>
                <w:b/>
                <w:bCs/>
                <w:color w:val="000000"/>
                <w:sz w:val="16"/>
                <w:szCs w:val="16"/>
              </w:rPr>
              <w:t>Technical</w:t>
            </w:r>
          </w:p>
        </w:tc>
        <w:tc>
          <w:tcPr>
            <w:tcW w:w="596" w:type="pct"/>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29954E03" w14:textId="77777777">
            <w:pPr>
              <w:spacing w:after="0"/>
              <w:jc w:val="center"/>
              <w:rPr>
                <w:rFonts w:cs="Arial"/>
                <w:b/>
                <w:bCs/>
                <w:color w:val="000000"/>
                <w:sz w:val="16"/>
                <w:szCs w:val="16"/>
              </w:rPr>
            </w:pPr>
            <w:r w:rsidRPr="00A8196B">
              <w:rPr>
                <w:rFonts w:cs="Arial"/>
                <w:b/>
                <w:bCs/>
                <w:color w:val="000000"/>
                <w:sz w:val="16"/>
                <w:szCs w:val="16"/>
              </w:rPr>
              <w:t>Clerical</w:t>
            </w:r>
          </w:p>
        </w:tc>
        <w:tc>
          <w:tcPr>
            <w:tcW w:w="340"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5FDE955D" w14:textId="77777777">
            <w:pPr>
              <w:spacing w:after="0"/>
              <w:rPr>
                <w:rFonts w:cs="Arial"/>
                <w:b/>
                <w:bCs/>
                <w:color w:val="000000"/>
                <w:sz w:val="16"/>
                <w:szCs w:val="16"/>
              </w:rPr>
            </w:pPr>
          </w:p>
        </w:tc>
        <w:tc>
          <w:tcPr>
            <w:tcW w:w="338"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79150D8A" w14:textId="77777777">
            <w:pPr>
              <w:spacing w:after="0"/>
              <w:rPr>
                <w:rFonts w:cs="Arial"/>
                <w:b/>
                <w:bCs/>
                <w:color w:val="000000"/>
                <w:sz w:val="16"/>
                <w:szCs w:val="16"/>
              </w:rPr>
            </w:pPr>
          </w:p>
        </w:tc>
        <w:tc>
          <w:tcPr>
            <w:tcW w:w="341"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37B55188" w14:textId="77777777">
            <w:pPr>
              <w:spacing w:after="0"/>
              <w:rPr>
                <w:rFonts w:cs="Arial"/>
                <w:b/>
                <w:bCs/>
                <w:color w:val="000000"/>
                <w:sz w:val="16"/>
                <w:szCs w:val="16"/>
              </w:rPr>
            </w:pPr>
          </w:p>
        </w:tc>
        <w:tc>
          <w:tcPr>
            <w:tcW w:w="429"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4205A58C" w14:textId="77777777">
            <w:pPr>
              <w:spacing w:after="0"/>
              <w:rPr>
                <w:rFonts w:cs="Arial"/>
                <w:b/>
                <w:bCs/>
                <w:color w:val="000000"/>
                <w:sz w:val="16"/>
                <w:szCs w:val="16"/>
              </w:rPr>
            </w:pPr>
          </w:p>
        </w:tc>
        <w:tc>
          <w:tcPr>
            <w:tcW w:w="452" w:type="pct"/>
            <w:vMerge/>
            <w:tcBorders>
              <w:top w:val="single" w:sz="8" w:space="0" w:color="auto"/>
              <w:left w:val="single" w:sz="8" w:space="0" w:color="auto"/>
              <w:bottom w:val="single" w:sz="8" w:space="0" w:color="auto"/>
              <w:right w:val="double" w:sz="6" w:space="0" w:color="auto"/>
            </w:tcBorders>
            <w:vAlign w:val="bottom"/>
            <w:hideMark/>
          </w:tcPr>
          <w:p w:rsidR="00C027C1" w:rsidRPr="00A8196B" w:rsidP="00C027C1" w14:paraId="6DACCF36" w14:textId="77777777">
            <w:pPr>
              <w:spacing w:after="0"/>
              <w:rPr>
                <w:rFonts w:cs="Arial"/>
                <w:b/>
                <w:bCs/>
                <w:color w:val="000000"/>
                <w:sz w:val="16"/>
                <w:szCs w:val="16"/>
              </w:rPr>
            </w:pPr>
          </w:p>
        </w:tc>
      </w:tr>
      <w:tr w14:paraId="2B0DDA83" w14:textId="77777777" w:rsidTr="00C027C1">
        <w:tblPrEx>
          <w:tblW w:w="4861" w:type="pct"/>
          <w:tblCellMar>
            <w:left w:w="58" w:type="dxa"/>
            <w:right w:w="58" w:type="dxa"/>
          </w:tblCellMar>
          <w:tblLook w:val="04A0"/>
        </w:tblPrEx>
        <w:trPr>
          <w:trHeight w:val="233"/>
        </w:trPr>
        <w:tc>
          <w:tcPr>
            <w:tcW w:w="746" w:type="pct"/>
            <w:vMerge/>
            <w:tcBorders>
              <w:top w:val="single" w:sz="8" w:space="0" w:color="auto"/>
              <w:left w:val="double" w:sz="6" w:space="0" w:color="auto"/>
              <w:bottom w:val="single" w:sz="8" w:space="0" w:color="auto"/>
              <w:right w:val="single" w:sz="8" w:space="0" w:color="auto"/>
            </w:tcBorders>
            <w:vAlign w:val="bottom"/>
            <w:hideMark/>
          </w:tcPr>
          <w:p w:rsidR="00C027C1" w:rsidRPr="00A8196B" w:rsidP="00C027C1" w14:paraId="34EC759B" w14:textId="77777777">
            <w:pPr>
              <w:spacing w:after="0"/>
              <w:rPr>
                <w:rFonts w:cs="Arial"/>
                <w:b/>
                <w:bCs/>
                <w:color w:val="000000"/>
                <w:sz w:val="16"/>
                <w:szCs w:val="16"/>
              </w:rPr>
            </w:pPr>
          </w:p>
        </w:tc>
        <w:tc>
          <w:tcPr>
            <w:tcW w:w="537"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6E6899B7" w14:textId="77777777">
            <w:pPr>
              <w:spacing w:after="0"/>
              <w:rPr>
                <w:rFonts w:cs="Arial"/>
                <w:b/>
                <w:bCs/>
                <w:color w:val="000000"/>
                <w:sz w:val="16"/>
                <w:szCs w:val="16"/>
              </w:rPr>
            </w:pPr>
          </w:p>
        </w:tc>
        <w:tc>
          <w:tcPr>
            <w:tcW w:w="274"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3DDDFC97" w14:textId="77777777">
            <w:pPr>
              <w:spacing w:after="0"/>
              <w:jc w:val="center"/>
              <w:rPr>
                <w:rFonts w:cs="Arial"/>
                <w:b/>
                <w:bCs/>
                <w:color w:val="000000"/>
                <w:sz w:val="16"/>
                <w:szCs w:val="16"/>
              </w:rPr>
            </w:pPr>
            <w:r w:rsidRPr="00A8196B">
              <w:rPr>
                <w:rFonts w:cs="Arial"/>
                <w:b/>
                <w:bCs/>
                <w:color w:val="000000"/>
                <w:sz w:val="16"/>
                <w:szCs w:val="16"/>
              </w:rPr>
              <w:t>Hours</w:t>
            </w:r>
          </w:p>
        </w:tc>
        <w:tc>
          <w:tcPr>
            <w:tcW w:w="309"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082FF11E" w14:textId="77777777">
            <w:pPr>
              <w:spacing w:after="0"/>
              <w:jc w:val="center"/>
              <w:rPr>
                <w:rFonts w:cs="Arial"/>
                <w:b/>
                <w:bCs/>
                <w:color w:val="000000"/>
                <w:sz w:val="16"/>
                <w:szCs w:val="16"/>
              </w:rPr>
            </w:pPr>
            <w:r w:rsidRPr="00A8196B">
              <w:rPr>
                <w:rFonts w:cs="Arial"/>
                <w:b/>
                <w:bCs/>
                <w:color w:val="000000"/>
                <w:sz w:val="16"/>
                <w:szCs w:val="16"/>
              </w:rPr>
              <w:t>Wage ($)</w:t>
            </w:r>
          </w:p>
        </w:tc>
        <w:tc>
          <w:tcPr>
            <w:tcW w:w="329"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3241D195" w14:textId="77777777">
            <w:pPr>
              <w:spacing w:after="0"/>
              <w:jc w:val="center"/>
              <w:rPr>
                <w:rFonts w:cs="Arial"/>
                <w:b/>
                <w:bCs/>
                <w:color w:val="000000"/>
                <w:sz w:val="16"/>
                <w:szCs w:val="16"/>
              </w:rPr>
            </w:pPr>
            <w:r w:rsidRPr="00A8196B">
              <w:rPr>
                <w:rFonts w:cs="Arial"/>
                <w:b/>
                <w:bCs/>
                <w:color w:val="000000"/>
                <w:sz w:val="16"/>
                <w:szCs w:val="16"/>
              </w:rPr>
              <w:t>Hours</w:t>
            </w:r>
          </w:p>
        </w:tc>
        <w:tc>
          <w:tcPr>
            <w:tcW w:w="309"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2212181F" w14:textId="77777777">
            <w:pPr>
              <w:spacing w:after="0"/>
              <w:jc w:val="center"/>
              <w:rPr>
                <w:rFonts w:cs="Arial"/>
                <w:b/>
                <w:bCs/>
                <w:color w:val="000000"/>
                <w:sz w:val="16"/>
                <w:szCs w:val="16"/>
              </w:rPr>
            </w:pPr>
            <w:r w:rsidRPr="00A8196B">
              <w:rPr>
                <w:rFonts w:cs="Arial"/>
                <w:b/>
                <w:bCs/>
                <w:color w:val="000000"/>
                <w:sz w:val="16"/>
                <w:szCs w:val="16"/>
              </w:rPr>
              <w:t>Wage ($)</w:t>
            </w:r>
          </w:p>
        </w:tc>
        <w:tc>
          <w:tcPr>
            <w:tcW w:w="286"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2B3432AE" w14:textId="77777777">
            <w:pPr>
              <w:spacing w:after="0"/>
              <w:jc w:val="center"/>
              <w:rPr>
                <w:rFonts w:cs="Arial"/>
                <w:b/>
                <w:bCs/>
                <w:color w:val="000000"/>
                <w:sz w:val="16"/>
                <w:szCs w:val="16"/>
              </w:rPr>
            </w:pPr>
            <w:r w:rsidRPr="00A8196B">
              <w:rPr>
                <w:rFonts w:cs="Arial"/>
                <w:b/>
                <w:bCs/>
                <w:color w:val="000000"/>
                <w:sz w:val="16"/>
                <w:szCs w:val="16"/>
              </w:rPr>
              <w:t>Hours</w:t>
            </w:r>
          </w:p>
        </w:tc>
        <w:tc>
          <w:tcPr>
            <w:tcW w:w="310"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C027C1" w:rsidRPr="00A8196B" w:rsidP="00C027C1" w14:paraId="0C8919C0" w14:textId="77777777">
            <w:pPr>
              <w:spacing w:after="0"/>
              <w:jc w:val="center"/>
              <w:rPr>
                <w:rFonts w:cs="Arial"/>
                <w:b/>
                <w:bCs/>
                <w:color w:val="000000"/>
                <w:sz w:val="16"/>
                <w:szCs w:val="16"/>
              </w:rPr>
            </w:pPr>
            <w:r w:rsidRPr="00A8196B">
              <w:rPr>
                <w:rFonts w:cs="Arial"/>
                <w:b/>
                <w:bCs/>
                <w:color w:val="000000"/>
                <w:sz w:val="16"/>
                <w:szCs w:val="16"/>
              </w:rPr>
              <w:t>Wage ($)</w:t>
            </w:r>
          </w:p>
        </w:tc>
        <w:tc>
          <w:tcPr>
            <w:tcW w:w="340"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02AD9ABE" w14:textId="77777777">
            <w:pPr>
              <w:spacing w:after="0"/>
              <w:rPr>
                <w:rFonts w:cs="Arial"/>
                <w:b/>
                <w:bCs/>
                <w:color w:val="000000"/>
                <w:sz w:val="16"/>
                <w:szCs w:val="16"/>
              </w:rPr>
            </w:pPr>
          </w:p>
        </w:tc>
        <w:tc>
          <w:tcPr>
            <w:tcW w:w="338"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59162325" w14:textId="77777777">
            <w:pPr>
              <w:spacing w:after="0"/>
              <w:rPr>
                <w:rFonts w:cs="Arial"/>
                <w:b/>
                <w:bCs/>
                <w:color w:val="000000"/>
                <w:sz w:val="16"/>
                <w:szCs w:val="16"/>
              </w:rPr>
            </w:pPr>
          </w:p>
        </w:tc>
        <w:tc>
          <w:tcPr>
            <w:tcW w:w="341"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414F1E28" w14:textId="77777777">
            <w:pPr>
              <w:spacing w:after="0"/>
              <w:rPr>
                <w:rFonts w:cs="Arial"/>
                <w:b/>
                <w:bCs/>
                <w:color w:val="000000"/>
                <w:sz w:val="16"/>
                <w:szCs w:val="16"/>
              </w:rPr>
            </w:pPr>
          </w:p>
        </w:tc>
        <w:tc>
          <w:tcPr>
            <w:tcW w:w="429" w:type="pct"/>
            <w:vMerge/>
            <w:tcBorders>
              <w:top w:val="single" w:sz="8" w:space="0" w:color="auto"/>
              <w:left w:val="single" w:sz="8" w:space="0" w:color="auto"/>
              <w:bottom w:val="single" w:sz="8" w:space="0" w:color="auto"/>
              <w:right w:val="single" w:sz="8" w:space="0" w:color="auto"/>
            </w:tcBorders>
            <w:vAlign w:val="bottom"/>
            <w:hideMark/>
          </w:tcPr>
          <w:p w:rsidR="00C027C1" w:rsidRPr="00A8196B" w:rsidP="00C027C1" w14:paraId="1344BB9A" w14:textId="77777777">
            <w:pPr>
              <w:spacing w:after="0"/>
              <w:rPr>
                <w:rFonts w:cs="Arial"/>
                <w:b/>
                <w:bCs/>
                <w:color w:val="000000"/>
                <w:sz w:val="16"/>
                <w:szCs w:val="16"/>
              </w:rPr>
            </w:pPr>
          </w:p>
        </w:tc>
        <w:tc>
          <w:tcPr>
            <w:tcW w:w="452" w:type="pct"/>
            <w:vMerge/>
            <w:tcBorders>
              <w:top w:val="single" w:sz="8" w:space="0" w:color="auto"/>
              <w:left w:val="single" w:sz="8" w:space="0" w:color="auto"/>
              <w:bottom w:val="single" w:sz="8" w:space="0" w:color="auto"/>
              <w:right w:val="double" w:sz="6" w:space="0" w:color="auto"/>
            </w:tcBorders>
            <w:vAlign w:val="bottom"/>
            <w:hideMark/>
          </w:tcPr>
          <w:p w:rsidR="00C027C1" w:rsidRPr="00A8196B" w:rsidP="00C027C1" w14:paraId="4EDDB8F8" w14:textId="77777777">
            <w:pPr>
              <w:spacing w:after="0"/>
              <w:rPr>
                <w:rFonts w:cs="Arial"/>
                <w:b/>
                <w:bCs/>
                <w:color w:val="000000"/>
                <w:sz w:val="16"/>
                <w:szCs w:val="16"/>
              </w:rPr>
            </w:pPr>
          </w:p>
        </w:tc>
      </w:tr>
      <w:tr w14:paraId="1BDD307B" w14:textId="77777777" w:rsidTr="00C027C1">
        <w:tblPrEx>
          <w:tblW w:w="4861" w:type="pct"/>
          <w:tblCellMar>
            <w:left w:w="58" w:type="dxa"/>
            <w:right w:w="58" w:type="dxa"/>
          </w:tblCellMar>
          <w:tblLook w:val="04A0"/>
        </w:tblPrEx>
        <w:trPr>
          <w:trHeight w:val="205"/>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4D8493F4" w14:textId="77777777">
            <w:pPr>
              <w:spacing w:after="0"/>
              <w:rPr>
                <w:rFonts w:cs="Arial"/>
                <w:color w:val="000000"/>
                <w:sz w:val="16"/>
                <w:szCs w:val="16"/>
              </w:rPr>
            </w:pPr>
            <w:r w:rsidRPr="00A8196B">
              <w:rPr>
                <w:rFonts w:cs="Arial"/>
                <w:color w:val="000000"/>
                <w:sz w:val="16"/>
                <w:szCs w:val="16"/>
              </w:rPr>
              <w:t>PMN</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22CD29A" w14:textId="77777777">
            <w:pPr>
              <w:spacing w:after="0"/>
              <w:jc w:val="center"/>
              <w:rPr>
                <w:rFonts w:cs="Arial"/>
                <w:color w:val="000000"/>
                <w:sz w:val="16"/>
                <w:szCs w:val="16"/>
              </w:rPr>
            </w:pPr>
            <w:r w:rsidRPr="00A8196B">
              <w:rPr>
                <w:rFonts w:cs="Arial"/>
                <w:color w:val="000000"/>
                <w:sz w:val="16"/>
                <w:szCs w:val="16"/>
              </w:rPr>
              <w:t>289</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C984B6B" w14:textId="77777777">
            <w:pPr>
              <w:spacing w:after="0"/>
              <w:jc w:val="center"/>
              <w:rPr>
                <w:rFonts w:cs="Arial"/>
                <w:color w:val="000000"/>
                <w:sz w:val="16"/>
                <w:szCs w:val="16"/>
              </w:rPr>
            </w:pPr>
            <w:r w:rsidRPr="00A8196B">
              <w:rPr>
                <w:rFonts w:cs="Arial"/>
                <w:color w:val="000000"/>
                <w:sz w:val="16"/>
                <w:szCs w:val="16"/>
              </w:rPr>
              <w:t>38.5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99209E2"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291FDEA" w14:textId="77777777">
            <w:pPr>
              <w:spacing w:after="0"/>
              <w:jc w:val="center"/>
              <w:rPr>
                <w:rFonts w:cs="Arial"/>
                <w:color w:val="000000"/>
                <w:sz w:val="16"/>
                <w:szCs w:val="16"/>
              </w:rPr>
            </w:pPr>
            <w:r w:rsidRPr="00A8196B">
              <w:rPr>
                <w:rFonts w:cs="Arial"/>
                <w:color w:val="000000"/>
                <w:sz w:val="16"/>
                <w:szCs w:val="16"/>
              </w:rPr>
              <w:t>211.998</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5C6D98B"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89473AD" w14:textId="77777777">
            <w:pPr>
              <w:spacing w:after="0"/>
              <w:jc w:val="center"/>
              <w:rPr>
                <w:rFonts w:cs="Arial"/>
                <w:color w:val="000000"/>
                <w:sz w:val="16"/>
                <w:szCs w:val="16"/>
              </w:rPr>
            </w:pPr>
            <w:r w:rsidRPr="00A8196B">
              <w:rPr>
                <w:rFonts w:cs="Arial"/>
                <w:color w:val="000000"/>
                <w:sz w:val="16"/>
                <w:szCs w:val="16"/>
              </w:rPr>
              <w:t>0</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22686F1"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B13B640" w14:textId="77777777">
            <w:pPr>
              <w:spacing w:after="0"/>
              <w:jc w:val="center"/>
              <w:rPr>
                <w:rFonts w:cs="Arial"/>
                <w:color w:val="000000"/>
                <w:sz w:val="16"/>
                <w:szCs w:val="16"/>
              </w:rPr>
            </w:pPr>
            <w:r w:rsidRPr="00A8196B">
              <w:rPr>
                <w:rFonts w:cs="Arial"/>
                <w:color w:val="000000"/>
                <w:sz w:val="16"/>
                <w:szCs w:val="16"/>
              </w:rPr>
              <w:t>$21,070</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E4381E7" w14:textId="77777777">
            <w:pPr>
              <w:spacing w:after="0"/>
              <w:jc w:val="center"/>
              <w:rPr>
                <w:rFonts w:cs="Arial"/>
                <w:color w:val="000000"/>
                <w:sz w:val="16"/>
                <w:szCs w:val="16"/>
              </w:rPr>
            </w:pPr>
            <w:r w:rsidRPr="00A8196B">
              <w:rPr>
                <w:rFonts w:cs="Arial"/>
                <w:color w:val="000000"/>
                <w:sz w:val="16"/>
                <w:szCs w:val="16"/>
              </w:rPr>
              <w:t>$34,290</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EDB4DC9" w14:textId="77777777">
            <w:pPr>
              <w:spacing w:after="0"/>
              <w:jc w:val="center"/>
              <w:rPr>
                <w:rFonts w:cs="Arial"/>
                <w:color w:val="000000"/>
                <w:sz w:val="16"/>
                <w:szCs w:val="16"/>
              </w:rPr>
            </w:pPr>
            <w:r w:rsidRPr="00A8196B">
              <w:rPr>
                <w:rFonts w:cs="Arial"/>
                <w:color w:val="000000"/>
                <w:sz w:val="16"/>
                <w:szCs w:val="16"/>
              </w:rPr>
              <w:t>$16,000</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E44142C" w14:textId="77777777">
            <w:pPr>
              <w:spacing w:after="0"/>
              <w:jc w:val="center"/>
              <w:rPr>
                <w:rFonts w:cs="Arial"/>
                <w:color w:val="000000"/>
                <w:sz w:val="16"/>
                <w:szCs w:val="16"/>
              </w:rPr>
            </w:pPr>
            <w:r w:rsidRPr="00A8196B">
              <w:rPr>
                <w:rFonts w:cs="Arial"/>
                <w:color w:val="000000"/>
                <w:sz w:val="16"/>
                <w:szCs w:val="16"/>
              </w:rPr>
              <w:t>$71,360</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44C6DB70" w14:textId="77777777">
            <w:pPr>
              <w:spacing w:after="0"/>
              <w:jc w:val="center"/>
              <w:rPr>
                <w:rFonts w:cs="Arial"/>
                <w:b/>
                <w:bCs/>
                <w:color w:val="000000"/>
                <w:sz w:val="16"/>
                <w:szCs w:val="16"/>
              </w:rPr>
            </w:pPr>
            <w:r w:rsidRPr="00A8196B">
              <w:rPr>
                <w:rFonts w:cs="Arial"/>
                <w:b/>
                <w:bCs/>
                <w:color w:val="000000"/>
                <w:sz w:val="16"/>
                <w:szCs w:val="16"/>
              </w:rPr>
              <w:t>$20,622,994</w:t>
            </w:r>
          </w:p>
        </w:tc>
      </w:tr>
      <w:tr w14:paraId="6E9417B4" w14:textId="77777777" w:rsidTr="00C027C1">
        <w:tblPrEx>
          <w:tblW w:w="4861" w:type="pct"/>
          <w:tblCellMar>
            <w:left w:w="58" w:type="dxa"/>
            <w:right w:w="58" w:type="dxa"/>
          </w:tblCellMar>
          <w:tblLook w:val="04A0"/>
        </w:tblPrEx>
        <w:trPr>
          <w:trHeight w:val="219"/>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0F999B87" w14:textId="77777777">
            <w:pPr>
              <w:spacing w:after="0"/>
              <w:rPr>
                <w:rFonts w:cs="Arial"/>
                <w:color w:val="000000"/>
                <w:sz w:val="16"/>
                <w:szCs w:val="16"/>
              </w:rPr>
            </w:pPr>
            <w:r w:rsidRPr="00A8196B">
              <w:rPr>
                <w:rFonts w:cs="Arial"/>
                <w:color w:val="000000"/>
                <w:sz w:val="16"/>
                <w:szCs w:val="16"/>
              </w:rPr>
              <w:t>SNUN</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2F05067" w14:textId="77777777">
            <w:pPr>
              <w:spacing w:after="0"/>
              <w:jc w:val="center"/>
              <w:rPr>
                <w:rFonts w:cs="Arial"/>
                <w:color w:val="000000"/>
                <w:sz w:val="16"/>
                <w:szCs w:val="16"/>
              </w:rPr>
            </w:pPr>
            <w:r w:rsidRPr="00A8196B">
              <w:rPr>
                <w:rFonts w:cs="Arial"/>
                <w:color w:val="000000"/>
                <w:sz w:val="16"/>
                <w:szCs w:val="16"/>
              </w:rPr>
              <w:t>13</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8494866" w14:textId="77777777">
            <w:pPr>
              <w:spacing w:after="0"/>
              <w:jc w:val="center"/>
              <w:rPr>
                <w:rFonts w:cs="Arial"/>
                <w:color w:val="000000"/>
                <w:sz w:val="16"/>
                <w:szCs w:val="16"/>
              </w:rPr>
            </w:pPr>
            <w:r w:rsidRPr="00A8196B">
              <w:rPr>
                <w:rFonts w:cs="Arial"/>
                <w:color w:val="000000"/>
                <w:sz w:val="16"/>
                <w:szCs w:val="16"/>
              </w:rPr>
              <w:t>24</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E6B47C0"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4AC4A4C" w14:textId="77777777">
            <w:pPr>
              <w:spacing w:after="0"/>
              <w:jc w:val="center"/>
              <w:rPr>
                <w:rFonts w:cs="Arial"/>
                <w:color w:val="000000"/>
                <w:sz w:val="16"/>
                <w:szCs w:val="16"/>
              </w:rPr>
            </w:pPr>
            <w:r w:rsidRPr="00A8196B">
              <w:rPr>
                <w:rFonts w:cs="Arial"/>
                <w:color w:val="000000"/>
                <w:sz w:val="16"/>
                <w:szCs w:val="16"/>
              </w:rPr>
              <w:t>85.328</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0AB0C45"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D02718F" w14:textId="77777777">
            <w:pPr>
              <w:spacing w:after="0"/>
              <w:jc w:val="center"/>
              <w:rPr>
                <w:rFonts w:cs="Arial"/>
                <w:color w:val="000000"/>
                <w:sz w:val="16"/>
                <w:szCs w:val="16"/>
              </w:rPr>
            </w:pPr>
            <w:r w:rsidRPr="00A8196B">
              <w:rPr>
                <w:rFonts w:cs="Arial"/>
                <w:color w:val="000000"/>
                <w:sz w:val="16"/>
                <w:szCs w:val="16"/>
              </w:rPr>
              <w:t>0</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1CB4128"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D8F7CEF" w14:textId="77777777">
            <w:pPr>
              <w:spacing w:after="0"/>
              <w:jc w:val="center"/>
              <w:rPr>
                <w:rFonts w:cs="Arial"/>
                <w:color w:val="000000"/>
                <w:sz w:val="16"/>
                <w:szCs w:val="16"/>
              </w:rPr>
            </w:pPr>
            <w:r w:rsidRPr="00A8196B">
              <w:rPr>
                <w:rFonts w:cs="Arial"/>
                <w:color w:val="000000"/>
                <w:sz w:val="16"/>
                <w:szCs w:val="16"/>
              </w:rPr>
              <w:t>$9,292</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4B8E220" w14:textId="77777777">
            <w:pPr>
              <w:spacing w:after="0"/>
              <w:jc w:val="center"/>
              <w:rPr>
                <w:rFonts w:cs="Arial"/>
                <w:color w:val="000000"/>
                <w:sz w:val="16"/>
                <w:szCs w:val="16"/>
              </w:rPr>
            </w:pPr>
            <w:r w:rsidRPr="00A8196B">
              <w:rPr>
                <w:rFonts w:cs="Arial"/>
                <w:color w:val="000000"/>
                <w:sz w:val="16"/>
                <w:szCs w:val="16"/>
              </w:rPr>
              <w:t>$34,290</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3C79E7F" w14:textId="77777777">
            <w:pPr>
              <w:spacing w:after="0"/>
              <w:jc w:val="center"/>
              <w:rPr>
                <w:rFonts w:cs="Arial"/>
                <w:color w:val="000000"/>
                <w:sz w:val="16"/>
                <w:szCs w:val="16"/>
              </w:rPr>
            </w:pPr>
            <w:r w:rsidRPr="00A8196B">
              <w:rPr>
                <w:rFonts w:cs="Arial"/>
                <w:color w:val="000000"/>
                <w:sz w:val="16"/>
                <w:szCs w:val="16"/>
              </w:rPr>
              <w:t>$16,000</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C1842CE" w14:textId="77777777">
            <w:pPr>
              <w:spacing w:after="0"/>
              <w:jc w:val="center"/>
              <w:rPr>
                <w:rFonts w:cs="Arial"/>
                <w:color w:val="000000"/>
                <w:sz w:val="16"/>
                <w:szCs w:val="16"/>
              </w:rPr>
            </w:pPr>
            <w:r w:rsidRPr="00A8196B">
              <w:rPr>
                <w:rFonts w:cs="Arial"/>
                <w:color w:val="000000"/>
                <w:sz w:val="16"/>
                <w:szCs w:val="16"/>
              </w:rPr>
              <w:t>$59,582</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29C7BC6B" w14:textId="77777777">
            <w:pPr>
              <w:spacing w:after="0"/>
              <w:jc w:val="center"/>
              <w:rPr>
                <w:rFonts w:cs="Arial"/>
                <w:b/>
                <w:bCs/>
                <w:color w:val="000000"/>
                <w:sz w:val="16"/>
                <w:szCs w:val="16"/>
              </w:rPr>
            </w:pPr>
            <w:r w:rsidRPr="00A8196B">
              <w:rPr>
                <w:rFonts w:cs="Arial"/>
                <w:b/>
                <w:bCs/>
                <w:color w:val="000000"/>
                <w:sz w:val="16"/>
                <w:szCs w:val="16"/>
              </w:rPr>
              <w:t>$774,564</w:t>
            </w:r>
          </w:p>
        </w:tc>
      </w:tr>
      <w:tr w14:paraId="08012134" w14:textId="77777777" w:rsidTr="00C027C1">
        <w:tblPrEx>
          <w:tblW w:w="4861" w:type="pct"/>
          <w:tblCellMar>
            <w:left w:w="58" w:type="dxa"/>
            <w:right w:w="58" w:type="dxa"/>
          </w:tblCellMar>
          <w:tblLook w:val="04A0"/>
        </w:tblPrEx>
        <w:trPr>
          <w:trHeight w:val="205"/>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425E557E" w14:textId="77777777">
            <w:pPr>
              <w:spacing w:after="0"/>
              <w:rPr>
                <w:rFonts w:cs="Arial"/>
                <w:color w:val="000000"/>
                <w:sz w:val="16"/>
                <w:szCs w:val="16"/>
              </w:rPr>
            </w:pPr>
            <w:r w:rsidRPr="00A8196B">
              <w:rPr>
                <w:rFonts w:cs="Arial"/>
                <w:color w:val="000000"/>
                <w:sz w:val="16"/>
                <w:szCs w:val="16"/>
              </w:rPr>
              <w:t>MCAN</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8029B6A" w14:textId="77777777">
            <w:pPr>
              <w:spacing w:after="0"/>
              <w:jc w:val="center"/>
              <w:rPr>
                <w:rFonts w:cs="Arial"/>
                <w:color w:val="000000"/>
                <w:sz w:val="16"/>
                <w:szCs w:val="16"/>
              </w:rPr>
            </w:pPr>
            <w:r w:rsidRPr="00A8196B">
              <w:rPr>
                <w:rFonts w:cs="Arial"/>
                <w:color w:val="000000"/>
                <w:sz w:val="16"/>
                <w:szCs w:val="16"/>
              </w:rPr>
              <w:t>14</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71106C6" w14:textId="77777777">
            <w:pPr>
              <w:spacing w:after="0"/>
              <w:jc w:val="center"/>
              <w:rPr>
                <w:rFonts w:cs="Arial"/>
                <w:color w:val="000000"/>
                <w:sz w:val="16"/>
                <w:szCs w:val="16"/>
              </w:rPr>
            </w:pPr>
            <w:r w:rsidRPr="00A8196B">
              <w:rPr>
                <w:rFonts w:cs="Arial"/>
                <w:color w:val="000000"/>
                <w:sz w:val="16"/>
                <w:szCs w:val="16"/>
              </w:rPr>
              <w:t>71</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33DCEE5"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536EF6C" w14:textId="77777777">
            <w:pPr>
              <w:spacing w:after="0"/>
              <w:jc w:val="center"/>
              <w:rPr>
                <w:rFonts w:cs="Arial"/>
                <w:color w:val="000000"/>
                <w:sz w:val="16"/>
                <w:szCs w:val="16"/>
              </w:rPr>
            </w:pPr>
            <w:r w:rsidRPr="00A8196B">
              <w:rPr>
                <w:rFonts w:cs="Arial"/>
                <w:color w:val="000000"/>
                <w:sz w:val="16"/>
                <w:szCs w:val="16"/>
              </w:rPr>
              <w:t>235.345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78BDFF9"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C1C0FD9" w14:textId="77777777">
            <w:pPr>
              <w:spacing w:after="0"/>
              <w:jc w:val="center"/>
              <w:rPr>
                <w:rFonts w:cs="Arial"/>
                <w:color w:val="000000"/>
                <w:sz w:val="16"/>
                <w:szCs w:val="16"/>
              </w:rPr>
            </w:pPr>
            <w:r w:rsidRPr="00A8196B">
              <w:rPr>
                <w:rFonts w:cs="Arial"/>
                <w:color w:val="000000"/>
                <w:sz w:val="16"/>
                <w:szCs w:val="16"/>
              </w:rPr>
              <w:t>0.5</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B98E11C"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300AA98" w14:textId="77777777">
            <w:pPr>
              <w:spacing w:after="0"/>
              <w:jc w:val="center"/>
              <w:rPr>
                <w:rFonts w:cs="Arial"/>
                <w:color w:val="000000"/>
                <w:sz w:val="16"/>
                <w:szCs w:val="16"/>
              </w:rPr>
            </w:pPr>
            <w:r w:rsidRPr="00A8196B">
              <w:rPr>
                <w:rFonts w:cs="Arial"/>
                <w:color w:val="000000"/>
                <w:sz w:val="16"/>
                <w:szCs w:val="16"/>
              </w:rPr>
              <w:t>$26,105</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B9D3E45" w14:textId="77777777">
            <w:pPr>
              <w:spacing w:after="0"/>
              <w:jc w:val="center"/>
              <w:rPr>
                <w:rFonts w:cs="Arial"/>
                <w:color w:val="000000"/>
                <w:sz w:val="16"/>
                <w:szCs w:val="16"/>
              </w:rPr>
            </w:pPr>
            <w:r w:rsidRPr="00A8196B">
              <w:rPr>
                <w:rFonts w:cs="Arial"/>
                <w:color w:val="000000"/>
                <w:sz w:val="16"/>
                <w:szCs w:val="16"/>
              </w:rPr>
              <w:t>$34,290</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A6AA79F" w14:textId="77777777">
            <w:pPr>
              <w:spacing w:after="0"/>
              <w:jc w:val="center"/>
              <w:rPr>
                <w:rFonts w:cs="Arial"/>
                <w:color w:val="000000"/>
                <w:sz w:val="16"/>
                <w:szCs w:val="16"/>
              </w:rPr>
            </w:pPr>
            <w:r w:rsidRPr="00A8196B">
              <w:rPr>
                <w:rFonts w:cs="Arial"/>
                <w:color w:val="000000"/>
                <w:sz w:val="16"/>
                <w:szCs w:val="16"/>
              </w:rPr>
              <w:t>$16,000</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8AD6557" w14:textId="77777777">
            <w:pPr>
              <w:spacing w:after="0"/>
              <w:jc w:val="center"/>
              <w:rPr>
                <w:rFonts w:cs="Arial"/>
                <w:color w:val="000000"/>
                <w:sz w:val="16"/>
                <w:szCs w:val="16"/>
              </w:rPr>
            </w:pPr>
            <w:r w:rsidRPr="00A8196B">
              <w:rPr>
                <w:rFonts w:cs="Arial"/>
                <w:color w:val="000000"/>
                <w:sz w:val="16"/>
                <w:szCs w:val="16"/>
              </w:rPr>
              <w:t>$76,395</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4F1587A2" w14:textId="77777777">
            <w:pPr>
              <w:spacing w:after="0"/>
              <w:jc w:val="center"/>
              <w:rPr>
                <w:rFonts w:cs="Arial"/>
                <w:b/>
                <w:bCs/>
                <w:color w:val="000000"/>
                <w:sz w:val="16"/>
                <w:szCs w:val="16"/>
              </w:rPr>
            </w:pPr>
            <w:r w:rsidRPr="00A8196B">
              <w:rPr>
                <w:rFonts w:cs="Arial"/>
                <w:b/>
                <w:bCs/>
                <w:color w:val="000000"/>
                <w:sz w:val="16"/>
                <w:szCs w:val="16"/>
              </w:rPr>
              <w:t>$1,069,533</w:t>
            </w:r>
          </w:p>
        </w:tc>
      </w:tr>
      <w:tr w14:paraId="697C81AB" w14:textId="77777777" w:rsidTr="00836DC9">
        <w:tblPrEx>
          <w:tblW w:w="4861" w:type="pct"/>
          <w:tblCellMar>
            <w:left w:w="58" w:type="dxa"/>
            <w:right w:w="58" w:type="dxa"/>
          </w:tblCellMar>
          <w:tblLook w:val="04A0"/>
        </w:tblPrEx>
        <w:trPr>
          <w:trHeight w:val="219"/>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2E638914" w14:textId="77777777">
            <w:pPr>
              <w:spacing w:after="0"/>
              <w:rPr>
                <w:rFonts w:cs="Arial"/>
                <w:i/>
                <w:iCs/>
                <w:color w:val="000000"/>
                <w:sz w:val="16"/>
                <w:szCs w:val="16"/>
              </w:rPr>
            </w:pPr>
            <w:r w:rsidRPr="00A8196B">
              <w:rPr>
                <w:rFonts w:cs="Arial"/>
                <w:i/>
                <w:iCs/>
                <w:color w:val="000000"/>
                <w:sz w:val="16"/>
                <w:szCs w:val="16"/>
              </w:rPr>
              <w:t>Exemptions:</w:t>
            </w:r>
          </w:p>
        </w:tc>
        <w:tc>
          <w:tcPr>
            <w:tcW w:w="4254" w:type="pct"/>
            <w:gridSpan w:val="12"/>
            <w:tcBorders>
              <w:top w:val="single" w:sz="8" w:space="0" w:color="auto"/>
              <w:left w:val="single" w:sz="8" w:space="0" w:color="auto"/>
              <w:bottom w:val="single" w:sz="8" w:space="0" w:color="auto"/>
              <w:right w:val="double" w:sz="6" w:space="0" w:color="auto"/>
            </w:tcBorders>
            <w:shd w:val="clear" w:color="auto" w:fill="auto"/>
          </w:tcPr>
          <w:p w:rsidR="00C027C1" w:rsidRPr="00A8196B" w:rsidP="00C027C1" w14:paraId="3B8E9F27" w14:textId="77777777">
            <w:pPr>
              <w:spacing w:after="0"/>
              <w:jc w:val="center"/>
              <w:rPr>
                <w:rFonts w:cs="Arial"/>
                <w:b/>
                <w:bCs/>
                <w:color w:val="000000"/>
                <w:sz w:val="16"/>
                <w:szCs w:val="16"/>
              </w:rPr>
            </w:pPr>
          </w:p>
        </w:tc>
      </w:tr>
      <w:tr w14:paraId="044E4656" w14:textId="77777777" w:rsidTr="00C027C1">
        <w:tblPrEx>
          <w:tblW w:w="4861" w:type="pct"/>
          <w:tblCellMar>
            <w:left w:w="58" w:type="dxa"/>
            <w:right w:w="58" w:type="dxa"/>
          </w:tblCellMar>
          <w:tblLook w:val="04A0"/>
        </w:tblPrEx>
        <w:trPr>
          <w:trHeight w:val="410"/>
        </w:trPr>
        <w:tc>
          <w:tcPr>
            <w:tcW w:w="746" w:type="pct"/>
            <w:tcBorders>
              <w:top w:val="single" w:sz="4" w:space="0" w:color="auto"/>
              <w:left w:val="double" w:sz="6" w:space="0" w:color="auto"/>
              <w:bottom w:val="single" w:sz="4" w:space="0" w:color="auto"/>
              <w:right w:val="single" w:sz="4" w:space="0" w:color="auto"/>
            </w:tcBorders>
            <w:shd w:val="clear" w:color="auto" w:fill="auto"/>
            <w:vAlign w:val="center"/>
          </w:tcPr>
          <w:p w:rsidR="00C027C1" w:rsidRPr="00A8196B" w:rsidP="00C027C1" w14:paraId="6887698A" w14:textId="77777777">
            <w:pPr>
              <w:spacing w:after="0"/>
              <w:rPr>
                <w:rFonts w:cs="Arial"/>
                <w:i/>
                <w:iCs/>
                <w:color w:val="000000"/>
                <w:sz w:val="16"/>
                <w:szCs w:val="16"/>
              </w:rPr>
            </w:pPr>
            <w:r w:rsidRPr="00A8196B">
              <w:rPr>
                <w:rFonts w:cs="Arial"/>
                <w:sz w:val="16"/>
                <w:szCs w:val="16"/>
              </w:rPr>
              <w:t xml:space="preserve">         TME</w:t>
            </w:r>
          </w:p>
        </w:tc>
        <w:tc>
          <w:tcPr>
            <w:tcW w:w="537"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2DE8CCF8" w14:textId="77777777">
            <w:pPr>
              <w:spacing w:after="0"/>
              <w:jc w:val="center"/>
              <w:rPr>
                <w:rFonts w:cs="Arial"/>
                <w:color w:val="000000"/>
                <w:sz w:val="16"/>
                <w:szCs w:val="16"/>
              </w:rPr>
            </w:pPr>
            <w:r w:rsidRPr="00A8196B">
              <w:rPr>
                <w:rFonts w:cs="Arial"/>
                <w:color w:val="000000"/>
                <w:sz w:val="16"/>
                <w:szCs w:val="16"/>
              </w:rPr>
              <w:t>0</w:t>
            </w:r>
          </w:p>
        </w:tc>
        <w:tc>
          <w:tcPr>
            <w:tcW w:w="274"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570C06E8" w14:textId="77777777">
            <w:pPr>
              <w:spacing w:after="0"/>
              <w:jc w:val="center"/>
              <w:rPr>
                <w:rFonts w:cs="Arial"/>
                <w:color w:val="000000"/>
                <w:sz w:val="16"/>
                <w:szCs w:val="16"/>
              </w:rPr>
            </w:pPr>
            <w:r w:rsidRPr="00A8196B">
              <w:rPr>
                <w:rFonts w:cs="Arial"/>
                <w:color w:val="000000"/>
                <w:sz w:val="16"/>
                <w:szCs w:val="16"/>
              </w:rPr>
              <w:t>23</w:t>
            </w:r>
          </w:p>
        </w:tc>
        <w:tc>
          <w:tcPr>
            <w:tcW w:w="309"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0371D0B2"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405FEB0C" w14:textId="77777777">
            <w:pPr>
              <w:spacing w:after="0"/>
              <w:jc w:val="center"/>
              <w:rPr>
                <w:rFonts w:cs="Arial"/>
                <w:color w:val="000000"/>
                <w:sz w:val="16"/>
                <w:szCs w:val="16"/>
              </w:rPr>
            </w:pPr>
            <w:r w:rsidRPr="00A8196B">
              <w:rPr>
                <w:rFonts w:cs="Arial"/>
                <w:color w:val="000000"/>
                <w:sz w:val="16"/>
                <w:szCs w:val="16"/>
              </w:rPr>
              <w:t>81.345</w:t>
            </w:r>
          </w:p>
        </w:tc>
        <w:tc>
          <w:tcPr>
            <w:tcW w:w="309"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3AC8EF8B"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499A8C93" w14:textId="77777777">
            <w:pPr>
              <w:spacing w:after="0"/>
              <w:jc w:val="center"/>
              <w:rPr>
                <w:rFonts w:cs="Arial"/>
                <w:color w:val="000000"/>
                <w:sz w:val="16"/>
                <w:szCs w:val="16"/>
              </w:rPr>
            </w:pPr>
            <w:r w:rsidRPr="00A8196B">
              <w:rPr>
                <w:rFonts w:cs="Arial"/>
                <w:color w:val="000000"/>
                <w:sz w:val="16"/>
                <w:szCs w:val="16"/>
              </w:rPr>
              <w:t>.5</w:t>
            </w:r>
          </w:p>
        </w:tc>
        <w:tc>
          <w:tcPr>
            <w:tcW w:w="310"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490FBE84"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7C0CA2FE" w14:textId="77777777">
            <w:pPr>
              <w:spacing w:after="0"/>
              <w:jc w:val="center"/>
              <w:rPr>
                <w:rFonts w:cs="Arial"/>
                <w:color w:val="000000"/>
                <w:sz w:val="16"/>
                <w:szCs w:val="16"/>
              </w:rPr>
            </w:pPr>
            <w:r w:rsidRPr="00A8196B">
              <w:rPr>
                <w:color w:val="000000"/>
                <w:sz w:val="16"/>
                <w:szCs w:val="16"/>
              </w:rPr>
              <w:t>$8,121</w:t>
            </w:r>
          </w:p>
        </w:tc>
        <w:tc>
          <w:tcPr>
            <w:tcW w:w="338"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0BD5F0B3" w14:textId="77777777">
            <w:pPr>
              <w:spacing w:after="0"/>
              <w:jc w:val="center"/>
              <w:rPr>
                <w:rFonts w:cs="Arial"/>
                <w:color w:val="000000"/>
                <w:sz w:val="16"/>
                <w:szCs w:val="16"/>
              </w:rPr>
            </w:pPr>
            <w:r w:rsidRPr="00A8196B">
              <w:rPr>
                <w:color w:val="000000"/>
                <w:sz w:val="16"/>
                <w:szCs w:val="16"/>
              </w:rPr>
              <w:t>0</w:t>
            </w:r>
          </w:p>
        </w:tc>
        <w:tc>
          <w:tcPr>
            <w:tcW w:w="341"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297FB169" w14:textId="77777777">
            <w:pPr>
              <w:spacing w:after="0"/>
              <w:jc w:val="center"/>
              <w:rPr>
                <w:rFonts w:cs="Arial"/>
                <w:color w:val="000000"/>
                <w:sz w:val="16"/>
                <w:szCs w:val="16"/>
              </w:rPr>
            </w:pPr>
            <w:r w:rsidRPr="00A8196B">
              <w:rPr>
                <w:color w:val="000000"/>
                <w:sz w:val="16"/>
                <w:szCs w:val="16"/>
              </w:rPr>
              <w:t>$4,700</w:t>
            </w:r>
          </w:p>
        </w:tc>
        <w:tc>
          <w:tcPr>
            <w:tcW w:w="429" w:type="pct"/>
            <w:tcBorders>
              <w:top w:val="single" w:sz="4" w:space="0" w:color="auto"/>
              <w:left w:val="nil"/>
              <w:bottom w:val="single" w:sz="4" w:space="0" w:color="auto"/>
              <w:right w:val="single" w:sz="4" w:space="0" w:color="auto"/>
            </w:tcBorders>
            <w:shd w:val="clear" w:color="auto" w:fill="auto"/>
            <w:vAlign w:val="center"/>
          </w:tcPr>
          <w:p w:rsidR="00C027C1" w:rsidRPr="00A8196B" w:rsidP="00C027C1" w14:paraId="22C5CD55" w14:textId="77777777">
            <w:pPr>
              <w:spacing w:after="0"/>
              <w:jc w:val="center"/>
              <w:rPr>
                <w:rFonts w:cs="Arial"/>
                <w:color w:val="000000"/>
                <w:sz w:val="16"/>
                <w:szCs w:val="16"/>
              </w:rPr>
            </w:pPr>
            <w:r w:rsidRPr="00A8196B">
              <w:rPr>
                <w:color w:val="000000"/>
                <w:sz w:val="16"/>
                <w:szCs w:val="16"/>
              </w:rPr>
              <w:t>$12,821</w:t>
            </w:r>
          </w:p>
        </w:tc>
        <w:tc>
          <w:tcPr>
            <w:tcW w:w="452" w:type="pct"/>
            <w:tcBorders>
              <w:top w:val="single" w:sz="4" w:space="0" w:color="auto"/>
              <w:left w:val="nil"/>
              <w:bottom w:val="single" w:sz="4" w:space="0" w:color="auto"/>
              <w:right w:val="double" w:sz="6" w:space="0" w:color="auto"/>
            </w:tcBorders>
            <w:shd w:val="clear" w:color="auto" w:fill="auto"/>
            <w:vAlign w:val="center"/>
          </w:tcPr>
          <w:p w:rsidR="00C027C1" w:rsidRPr="00A8196B" w:rsidP="00C027C1" w14:paraId="1962F499" w14:textId="77777777">
            <w:pPr>
              <w:spacing w:after="0"/>
              <w:jc w:val="center"/>
              <w:rPr>
                <w:rFonts w:cs="Arial"/>
                <w:b/>
                <w:bCs/>
                <w:color w:val="000000"/>
                <w:sz w:val="16"/>
                <w:szCs w:val="16"/>
              </w:rPr>
            </w:pPr>
            <w:r w:rsidRPr="00A8196B">
              <w:rPr>
                <w:rFonts w:cs="Arial"/>
                <w:b/>
                <w:bCs/>
                <w:color w:val="000000"/>
                <w:sz w:val="16"/>
                <w:szCs w:val="16"/>
              </w:rPr>
              <w:t>$0</w:t>
            </w:r>
          </w:p>
        </w:tc>
      </w:tr>
      <w:tr w14:paraId="7567C7D2" w14:textId="77777777" w:rsidTr="00C027C1">
        <w:tblPrEx>
          <w:tblW w:w="4861" w:type="pct"/>
          <w:tblCellMar>
            <w:left w:w="58" w:type="dxa"/>
            <w:right w:w="58" w:type="dxa"/>
          </w:tblCellMar>
          <w:tblLook w:val="04A0"/>
        </w:tblPrEx>
        <w:trPr>
          <w:trHeight w:val="219"/>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49ECFFEC" w14:textId="77777777">
            <w:pPr>
              <w:spacing w:after="0"/>
              <w:ind w:firstLine="400"/>
              <w:rPr>
                <w:rFonts w:cs="Arial"/>
                <w:sz w:val="16"/>
                <w:szCs w:val="16"/>
              </w:rPr>
            </w:pPr>
            <w:r w:rsidRPr="00A8196B">
              <w:rPr>
                <w:rFonts w:cs="Arial"/>
                <w:color w:val="000000"/>
                <w:sz w:val="16"/>
                <w:szCs w:val="16"/>
              </w:rPr>
              <w:t>LVE/LoREX</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422E0CB" w14:textId="77777777">
            <w:pPr>
              <w:spacing w:after="0"/>
              <w:jc w:val="center"/>
              <w:rPr>
                <w:rFonts w:cs="Arial"/>
                <w:color w:val="000000"/>
                <w:sz w:val="16"/>
                <w:szCs w:val="16"/>
              </w:rPr>
            </w:pPr>
            <w:r w:rsidRPr="00A8196B">
              <w:rPr>
                <w:rFonts w:cs="Arial"/>
                <w:color w:val="000000"/>
                <w:sz w:val="16"/>
                <w:szCs w:val="16"/>
              </w:rPr>
              <w:t>305</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916A057" w14:textId="77777777">
            <w:pPr>
              <w:spacing w:after="0"/>
              <w:jc w:val="center"/>
              <w:rPr>
                <w:rFonts w:cs="Arial"/>
                <w:color w:val="000000"/>
                <w:sz w:val="16"/>
                <w:szCs w:val="16"/>
              </w:rPr>
            </w:pPr>
            <w:r w:rsidRPr="00A8196B">
              <w:rPr>
                <w:rFonts w:cs="Arial"/>
                <w:color w:val="000000"/>
                <w:sz w:val="16"/>
                <w:szCs w:val="16"/>
              </w:rPr>
              <w:t>24</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4120638"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285594D" w14:textId="77777777">
            <w:pPr>
              <w:spacing w:after="0"/>
              <w:jc w:val="center"/>
              <w:rPr>
                <w:rFonts w:cs="Arial"/>
                <w:color w:val="000000"/>
                <w:sz w:val="16"/>
                <w:szCs w:val="16"/>
              </w:rPr>
            </w:pPr>
            <w:r w:rsidRPr="00A8196B">
              <w:rPr>
                <w:rFonts w:cs="Arial"/>
                <w:color w:val="000000"/>
                <w:sz w:val="16"/>
                <w:szCs w:val="16"/>
              </w:rPr>
              <w:t>85.328</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0BFB956"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635F454" w14:textId="77777777">
            <w:pPr>
              <w:spacing w:after="0"/>
              <w:jc w:val="center"/>
              <w:rPr>
                <w:rFonts w:cs="Arial"/>
                <w:color w:val="000000"/>
                <w:sz w:val="16"/>
                <w:szCs w:val="16"/>
              </w:rPr>
            </w:pPr>
            <w:r w:rsidRPr="00A8196B">
              <w:rPr>
                <w:rFonts w:cs="Arial"/>
                <w:color w:val="000000"/>
                <w:sz w:val="16"/>
                <w:szCs w:val="16"/>
              </w:rPr>
              <w:t>0</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EEB1D6C"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CD48915" w14:textId="77777777">
            <w:pPr>
              <w:spacing w:after="0"/>
              <w:jc w:val="center"/>
              <w:rPr>
                <w:rFonts w:cs="Arial"/>
                <w:color w:val="000000"/>
                <w:sz w:val="16"/>
                <w:szCs w:val="16"/>
              </w:rPr>
            </w:pPr>
            <w:r w:rsidRPr="00A8196B">
              <w:rPr>
                <w:rFonts w:cs="Arial"/>
                <w:color w:val="000000"/>
                <w:sz w:val="16"/>
                <w:szCs w:val="16"/>
              </w:rPr>
              <w:t>$9,292</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09BC418" w14:textId="77777777">
            <w:pPr>
              <w:spacing w:after="0"/>
              <w:jc w:val="center"/>
              <w:rPr>
                <w:rFonts w:cs="Arial"/>
                <w:color w:val="000000"/>
                <w:sz w:val="16"/>
                <w:szCs w:val="16"/>
              </w:rPr>
            </w:pPr>
            <w:r w:rsidRPr="00A8196B">
              <w:rPr>
                <w:rFonts w:cs="Arial"/>
                <w:color w:val="000000"/>
                <w:sz w:val="16"/>
                <w:szCs w:val="16"/>
              </w:rPr>
              <w:t>$17,259</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2BEA1EA" w14:textId="77777777">
            <w:pPr>
              <w:spacing w:after="0"/>
              <w:jc w:val="center"/>
              <w:rPr>
                <w:rFonts w:cs="Arial"/>
                <w:color w:val="000000"/>
                <w:sz w:val="16"/>
                <w:szCs w:val="16"/>
              </w:rPr>
            </w:pPr>
            <w:r w:rsidRPr="00A8196B">
              <w:rPr>
                <w:rFonts w:cs="Arial"/>
                <w:color w:val="000000"/>
                <w:sz w:val="16"/>
                <w:szCs w:val="16"/>
              </w:rPr>
              <w:t>$4,700</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65655A3" w14:textId="77777777">
            <w:pPr>
              <w:spacing w:after="0"/>
              <w:jc w:val="center"/>
              <w:rPr>
                <w:rFonts w:cs="Arial"/>
                <w:color w:val="000000"/>
                <w:sz w:val="16"/>
                <w:szCs w:val="16"/>
              </w:rPr>
            </w:pPr>
            <w:r w:rsidRPr="00A8196B">
              <w:rPr>
                <w:rFonts w:cs="Arial"/>
                <w:color w:val="000000"/>
                <w:sz w:val="16"/>
                <w:szCs w:val="16"/>
              </w:rPr>
              <w:t>$31,251</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492040EE" w14:textId="77777777">
            <w:pPr>
              <w:spacing w:after="0"/>
              <w:jc w:val="center"/>
              <w:rPr>
                <w:rFonts w:cs="Arial"/>
                <w:b/>
                <w:bCs/>
                <w:color w:val="000000"/>
                <w:sz w:val="16"/>
                <w:szCs w:val="16"/>
              </w:rPr>
            </w:pPr>
            <w:r w:rsidRPr="00A8196B">
              <w:rPr>
                <w:rFonts w:cs="Arial"/>
                <w:b/>
                <w:bCs/>
                <w:color w:val="000000"/>
                <w:sz w:val="16"/>
                <w:szCs w:val="16"/>
              </w:rPr>
              <w:t>$9,531,511</w:t>
            </w:r>
          </w:p>
        </w:tc>
      </w:tr>
      <w:tr w14:paraId="4F05357A" w14:textId="77777777" w:rsidTr="00C027C1">
        <w:tblPrEx>
          <w:tblW w:w="4861" w:type="pct"/>
          <w:tblCellMar>
            <w:left w:w="58" w:type="dxa"/>
            <w:right w:w="58" w:type="dxa"/>
          </w:tblCellMar>
          <w:tblLook w:val="04A0"/>
        </w:tblPrEx>
        <w:trPr>
          <w:trHeight w:val="205"/>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2969A991" w14:textId="77777777">
            <w:pPr>
              <w:spacing w:after="0"/>
              <w:ind w:firstLine="400"/>
              <w:rPr>
                <w:rFonts w:cs="Arial"/>
                <w:sz w:val="16"/>
                <w:szCs w:val="16"/>
              </w:rPr>
            </w:pPr>
            <w:r w:rsidRPr="00A8196B">
              <w:rPr>
                <w:rFonts w:cs="Arial"/>
                <w:color w:val="000000"/>
                <w:sz w:val="16"/>
                <w:szCs w:val="16"/>
              </w:rPr>
              <w:t>TERA</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59AF744" w14:textId="77777777">
            <w:pPr>
              <w:spacing w:after="0"/>
              <w:jc w:val="center"/>
              <w:rPr>
                <w:rFonts w:cs="Arial"/>
                <w:color w:val="000000"/>
                <w:sz w:val="16"/>
                <w:szCs w:val="16"/>
              </w:rPr>
            </w:pPr>
            <w:r w:rsidRPr="00A8196B">
              <w:rPr>
                <w:rFonts w:cs="Arial"/>
                <w:color w:val="000000"/>
                <w:sz w:val="16"/>
                <w:szCs w:val="16"/>
              </w:rPr>
              <w:t>2</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50CD281" w14:textId="77777777">
            <w:pPr>
              <w:spacing w:after="0"/>
              <w:jc w:val="center"/>
              <w:rPr>
                <w:rFonts w:cs="Arial"/>
                <w:color w:val="000000"/>
                <w:sz w:val="16"/>
                <w:szCs w:val="16"/>
              </w:rPr>
            </w:pPr>
            <w:r w:rsidRPr="00A8196B">
              <w:rPr>
                <w:rFonts w:cs="Arial"/>
                <w:color w:val="000000"/>
                <w:sz w:val="16"/>
                <w:szCs w:val="16"/>
              </w:rPr>
              <w:t>135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7F480CB"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9FDD519" w14:textId="77777777">
            <w:pPr>
              <w:spacing w:after="0"/>
              <w:jc w:val="center"/>
              <w:rPr>
                <w:rFonts w:cs="Arial"/>
                <w:color w:val="000000"/>
                <w:sz w:val="16"/>
                <w:szCs w:val="16"/>
              </w:rPr>
            </w:pPr>
            <w:r w:rsidRPr="00A8196B">
              <w:rPr>
                <w:rFonts w:cs="Arial"/>
                <w:color w:val="000000"/>
                <w:sz w:val="16"/>
                <w:szCs w:val="16"/>
              </w:rPr>
              <w:t>390.345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9E4E264"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CCE0D05" w14:textId="77777777">
            <w:pPr>
              <w:spacing w:after="0"/>
              <w:jc w:val="center"/>
              <w:rPr>
                <w:rFonts w:cs="Arial"/>
                <w:color w:val="000000"/>
                <w:sz w:val="16"/>
                <w:szCs w:val="16"/>
              </w:rPr>
            </w:pPr>
            <w:r w:rsidRPr="00A8196B">
              <w:rPr>
                <w:rFonts w:cs="Arial"/>
                <w:color w:val="000000"/>
                <w:sz w:val="16"/>
                <w:szCs w:val="16"/>
              </w:rPr>
              <w:t>0.5</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7D62180"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CD01D8A" w14:textId="77777777">
            <w:pPr>
              <w:spacing w:after="0"/>
              <w:jc w:val="center"/>
              <w:rPr>
                <w:rFonts w:cs="Arial"/>
                <w:color w:val="000000"/>
                <w:sz w:val="16"/>
                <w:szCs w:val="16"/>
              </w:rPr>
            </w:pPr>
            <w:r w:rsidRPr="00A8196B">
              <w:rPr>
                <w:rFonts w:cs="Arial"/>
                <w:color w:val="000000"/>
                <w:sz w:val="16"/>
                <w:szCs w:val="16"/>
              </w:rPr>
              <w:t>$44,931</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70A2281"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ADA93DF" w14:textId="77777777">
            <w:pPr>
              <w:spacing w:after="0"/>
              <w:jc w:val="center"/>
              <w:rPr>
                <w:rFonts w:cs="Arial"/>
                <w:color w:val="000000"/>
                <w:sz w:val="16"/>
                <w:szCs w:val="16"/>
              </w:rPr>
            </w:pPr>
            <w:r w:rsidRPr="00A8196B">
              <w:rPr>
                <w:rFonts w:cs="Arial"/>
                <w:color w:val="000000"/>
                <w:sz w:val="16"/>
                <w:szCs w:val="16"/>
              </w:rPr>
              <w:t>$4,700</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E677FCA" w14:textId="77777777">
            <w:pPr>
              <w:spacing w:after="0"/>
              <w:jc w:val="center"/>
              <w:rPr>
                <w:rFonts w:cs="Arial"/>
                <w:color w:val="000000"/>
                <w:sz w:val="16"/>
                <w:szCs w:val="16"/>
              </w:rPr>
            </w:pPr>
            <w:r w:rsidRPr="00A8196B">
              <w:rPr>
                <w:rFonts w:cs="Arial"/>
                <w:color w:val="000000"/>
                <w:sz w:val="16"/>
                <w:szCs w:val="16"/>
              </w:rPr>
              <w:t>$49,631</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639E67E9" w14:textId="77777777">
            <w:pPr>
              <w:spacing w:after="0"/>
              <w:jc w:val="center"/>
              <w:rPr>
                <w:rFonts w:cs="Arial"/>
                <w:b/>
                <w:bCs/>
                <w:color w:val="000000"/>
                <w:sz w:val="16"/>
                <w:szCs w:val="16"/>
              </w:rPr>
            </w:pPr>
            <w:r w:rsidRPr="00A8196B">
              <w:rPr>
                <w:rFonts w:cs="Arial"/>
                <w:b/>
                <w:bCs/>
                <w:color w:val="000000"/>
                <w:sz w:val="16"/>
                <w:szCs w:val="16"/>
              </w:rPr>
              <w:t>$99,261</w:t>
            </w:r>
          </w:p>
        </w:tc>
      </w:tr>
      <w:tr w14:paraId="6799D0CB" w14:textId="77777777" w:rsidTr="00C027C1">
        <w:tblPrEx>
          <w:tblW w:w="4861" w:type="pct"/>
          <w:tblCellMar>
            <w:left w:w="58" w:type="dxa"/>
            <w:right w:w="58" w:type="dxa"/>
          </w:tblCellMar>
          <w:tblLook w:val="04A0"/>
        </w:tblPrEx>
        <w:trPr>
          <w:trHeight w:val="219"/>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15E16F60" w14:textId="77777777">
            <w:pPr>
              <w:spacing w:after="0"/>
              <w:ind w:firstLine="400"/>
              <w:rPr>
                <w:rFonts w:cs="Arial"/>
                <w:sz w:val="16"/>
                <w:szCs w:val="16"/>
              </w:rPr>
            </w:pPr>
            <w:r w:rsidRPr="00A8196B">
              <w:rPr>
                <w:rFonts w:cs="Arial"/>
                <w:color w:val="000000"/>
                <w:sz w:val="16"/>
                <w:szCs w:val="16"/>
              </w:rPr>
              <w:t>Tier I</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47A787D" w14:textId="77777777">
            <w:pPr>
              <w:spacing w:after="0"/>
              <w:jc w:val="center"/>
              <w:rPr>
                <w:rFonts w:cs="Arial"/>
                <w:color w:val="000000"/>
                <w:sz w:val="16"/>
                <w:szCs w:val="16"/>
              </w:rPr>
            </w:pPr>
            <w:r w:rsidRPr="00A8196B">
              <w:rPr>
                <w:rFonts w:cs="Arial"/>
                <w:color w:val="000000"/>
                <w:sz w:val="16"/>
                <w:szCs w:val="16"/>
              </w:rPr>
              <w:t>4</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96D193E" w14:textId="77777777">
            <w:pPr>
              <w:spacing w:after="0"/>
              <w:jc w:val="center"/>
              <w:rPr>
                <w:rFonts w:cs="Arial"/>
                <w:color w:val="000000"/>
                <w:sz w:val="16"/>
                <w:szCs w:val="16"/>
              </w:rPr>
            </w:pPr>
            <w:r w:rsidRPr="00A8196B">
              <w:rPr>
                <w:rFonts w:cs="Arial"/>
                <w:color w:val="000000"/>
                <w:sz w:val="16"/>
                <w:szCs w:val="16"/>
              </w:rPr>
              <w:t>29</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96E4474"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644E351" w14:textId="77777777">
            <w:pPr>
              <w:spacing w:after="0"/>
              <w:jc w:val="center"/>
              <w:rPr>
                <w:rFonts w:cs="Arial"/>
                <w:color w:val="000000"/>
                <w:sz w:val="16"/>
                <w:szCs w:val="16"/>
              </w:rPr>
            </w:pPr>
            <w:r w:rsidRPr="00A8196B">
              <w:rPr>
                <w:rFonts w:cs="Arial"/>
                <w:color w:val="000000"/>
                <w:sz w:val="16"/>
                <w:szCs w:val="16"/>
              </w:rPr>
              <w:t>99.345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BD177B7"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DEA606C" w14:textId="77777777">
            <w:pPr>
              <w:spacing w:after="0"/>
              <w:jc w:val="center"/>
              <w:rPr>
                <w:rFonts w:cs="Arial"/>
                <w:color w:val="000000"/>
                <w:sz w:val="16"/>
                <w:szCs w:val="16"/>
              </w:rPr>
            </w:pPr>
            <w:r w:rsidRPr="00A8196B">
              <w:rPr>
                <w:rFonts w:cs="Arial"/>
                <w:color w:val="000000"/>
                <w:sz w:val="16"/>
                <w:szCs w:val="16"/>
              </w:rPr>
              <w:t>0.5</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382113D"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FDC0A54" w14:textId="77777777">
            <w:pPr>
              <w:spacing w:after="0"/>
              <w:jc w:val="center"/>
              <w:rPr>
                <w:rFonts w:cs="Arial"/>
                <w:color w:val="000000"/>
                <w:sz w:val="16"/>
                <w:szCs w:val="16"/>
              </w:rPr>
            </w:pPr>
            <w:r w:rsidRPr="00A8196B">
              <w:rPr>
                <w:rFonts w:cs="Arial"/>
                <w:color w:val="000000"/>
                <w:sz w:val="16"/>
                <w:szCs w:val="16"/>
              </w:rPr>
              <w:t>$10,938</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785290F"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A84F78B" w14:textId="77777777">
            <w:pPr>
              <w:spacing w:after="0"/>
              <w:jc w:val="center"/>
              <w:rPr>
                <w:rFonts w:cs="Arial"/>
                <w:color w:val="000000"/>
                <w:sz w:val="16"/>
                <w:szCs w:val="16"/>
              </w:rPr>
            </w:pPr>
            <w:r w:rsidRPr="00A8196B">
              <w:rPr>
                <w:rFonts w:cs="Arial"/>
                <w:color w:val="000000"/>
                <w:sz w:val="16"/>
                <w:szCs w:val="16"/>
              </w:rPr>
              <w:t>-</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A197A32" w14:textId="77777777">
            <w:pPr>
              <w:spacing w:after="0"/>
              <w:jc w:val="center"/>
              <w:rPr>
                <w:rFonts w:cs="Arial"/>
                <w:color w:val="000000"/>
                <w:sz w:val="16"/>
                <w:szCs w:val="16"/>
              </w:rPr>
            </w:pPr>
            <w:r w:rsidRPr="00A8196B">
              <w:rPr>
                <w:rFonts w:cs="Arial"/>
                <w:color w:val="000000"/>
                <w:sz w:val="16"/>
                <w:szCs w:val="16"/>
              </w:rPr>
              <w:t>$10,938</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7E719CD0" w14:textId="77777777">
            <w:pPr>
              <w:spacing w:after="0"/>
              <w:jc w:val="center"/>
              <w:rPr>
                <w:rFonts w:cs="Arial"/>
                <w:b/>
                <w:bCs/>
                <w:color w:val="000000"/>
                <w:sz w:val="16"/>
                <w:szCs w:val="16"/>
              </w:rPr>
            </w:pPr>
            <w:r w:rsidRPr="00A8196B">
              <w:rPr>
                <w:rFonts w:cs="Arial"/>
                <w:b/>
                <w:bCs/>
                <w:color w:val="000000"/>
                <w:sz w:val="16"/>
                <w:szCs w:val="16"/>
              </w:rPr>
              <w:t>$43,751</w:t>
            </w:r>
          </w:p>
        </w:tc>
      </w:tr>
      <w:tr w14:paraId="2330DE71" w14:textId="77777777" w:rsidTr="00C027C1">
        <w:tblPrEx>
          <w:tblW w:w="4861" w:type="pct"/>
          <w:tblCellMar>
            <w:left w:w="58" w:type="dxa"/>
            <w:right w:w="58" w:type="dxa"/>
          </w:tblCellMar>
          <w:tblLook w:val="04A0"/>
        </w:tblPrEx>
        <w:trPr>
          <w:trHeight w:val="205"/>
        </w:trPr>
        <w:tc>
          <w:tcPr>
            <w:tcW w:w="746" w:type="pct"/>
            <w:tcBorders>
              <w:top w:val="single" w:sz="8" w:space="0" w:color="auto"/>
              <w:left w:val="double" w:sz="6" w:space="0" w:color="auto"/>
              <w:bottom w:val="single" w:sz="8" w:space="0" w:color="auto"/>
              <w:right w:val="single" w:sz="8" w:space="0" w:color="auto"/>
            </w:tcBorders>
            <w:shd w:val="clear" w:color="auto" w:fill="auto"/>
          </w:tcPr>
          <w:p w:rsidR="00C027C1" w:rsidRPr="00A8196B" w:rsidP="00C027C1" w14:paraId="12EBF80E" w14:textId="77777777">
            <w:pPr>
              <w:spacing w:after="0"/>
              <w:ind w:firstLine="400"/>
              <w:rPr>
                <w:rFonts w:cs="Arial"/>
                <w:sz w:val="16"/>
                <w:szCs w:val="16"/>
              </w:rPr>
            </w:pPr>
            <w:r w:rsidRPr="00A8196B">
              <w:rPr>
                <w:rFonts w:cs="Arial"/>
                <w:color w:val="000000"/>
                <w:sz w:val="16"/>
                <w:szCs w:val="16"/>
              </w:rPr>
              <w:t>Tier II</w:t>
            </w:r>
          </w:p>
        </w:tc>
        <w:tc>
          <w:tcPr>
            <w:tcW w:w="537" w:type="pct"/>
            <w:tcBorders>
              <w:top w:val="single" w:sz="8" w:space="0" w:color="auto"/>
              <w:left w:val="nil"/>
              <w:bottom w:val="single" w:sz="8" w:space="0" w:color="auto"/>
              <w:right w:val="single" w:sz="8" w:space="0" w:color="auto"/>
            </w:tcBorders>
            <w:shd w:val="clear" w:color="auto" w:fill="auto"/>
          </w:tcPr>
          <w:p w:rsidR="00C027C1" w:rsidRPr="00A8196B" w:rsidP="00C027C1" w14:paraId="0197F1AE" w14:textId="77777777">
            <w:pPr>
              <w:spacing w:after="0"/>
              <w:jc w:val="center"/>
              <w:rPr>
                <w:rFonts w:cs="Arial"/>
                <w:color w:val="000000"/>
                <w:sz w:val="16"/>
                <w:szCs w:val="16"/>
              </w:rPr>
            </w:pPr>
            <w:r w:rsidRPr="00A8196B">
              <w:rPr>
                <w:rFonts w:cs="Arial"/>
                <w:color w:val="000000"/>
                <w:sz w:val="16"/>
                <w:szCs w:val="16"/>
              </w:rPr>
              <w:t>1</w:t>
            </w:r>
          </w:p>
        </w:tc>
        <w:tc>
          <w:tcPr>
            <w:tcW w:w="274" w:type="pct"/>
            <w:tcBorders>
              <w:top w:val="single" w:sz="8" w:space="0" w:color="auto"/>
              <w:left w:val="nil"/>
              <w:bottom w:val="single" w:sz="8" w:space="0" w:color="auto"/>
              <w:right w:val="single" w:sz="8" w:space="0" w:color="auto"/>
            </w:tcBorders>
            <w:shd w:val="clear" w:color="auto" w:fill="auto"/>
          </w:tcPr>
          <w:p w:rsidR="00C027C1" w:rsidRPr="00A8196B" w:rsidP="00C027C1" w14:paraId="3D1F435A" w14:textId="77777777">
            <w:pPr>
              <w:spacing w:after="0"/>
              <w:jc w:val="center"/>
              <w:rPr>
                <w:rFonts w:cs="Arial"/>
                <w:color w:val="000000"/>
                <w:sz w:val="16"/>
                <w:szCs w:val="16"/>
              </w:rPr>
            </w:pPr>
            <w:r w:rsidRPr="00A8196B">
              <w:rPr>
                <w:rFonts w:cs="Arial"/>
                <w:color w:val="000000"/>
                <w:sz w:val="16"/>
                <w:szCs w:val="16"/>
              </w:rPr>
              <w:t>29</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7367B4CD"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tcPr>
          <w:p w:rsidR="00C027C1" w:rsidRPr="00A8196B" w:rsidP="00C027C1" w14:paraId="6C90115C" w14:textId="77777777">
            <w:pPr>
              <w:spacing w:after="0"/>
              <w:jc w:val="center"/>
              <w:rPr>
                <w:rFonts w:cs="Arial"/>
                <w:color w:val="000000"/>
                <w:sz w:val="16"/>
                <w:szCs w:val="16"/>
              </w:rPr>
            </w:pPr>
            <w:r w:rsidRPr="00A8196B">
              <w:rPr>
                <w:rFonts w:cs="Arial"/>
                <w:color w:val="000000"/>
                <w:sz w:val="16"/>
                <w:szCs w:val="16"/>
              </w:rPr>
              <w:t>99.345</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6DF6DE0C"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tcPr>
          <w:p w:rsidR="00C027C1" w:rsidRPr="00A8196B" w:rsidP="00C027C1" w14:paraId="32B1544B" w14:textId="77777777">
            <w:pPr>
              <w:spacing w:after="0"/>
              <w:jc w:val="center"/>
              <w:rPr>
                <w:rFonts w:cs="Arial"/>
                <w:color w:val="000000"/>
                <w:sz w:val="16"/>
                <w:szCs w:val="16"/>
              </w:rPr>
            </w:pPr>
            <w:r w:rsidRPr="00A8196B">
              <w:rPr>
                <w:rFonts w:cs="Arial"/>
                <w:color w:val="000000"/>
                <w:sz w:val="16"/>
                <w:szCs w:val="16"/>
              </w:rPr>
              <w:t>0.5</w:t>
            </w:r>
          </w:p>
        </w:tc>
        <w:tc>
          <w:tcPr>
            <w:tcW w:w="310" w:type="pct"/>
            <w:tcBorders>
              <w:top w:val="single" w:sz="8" w:space="0" w:color="auto"/>
              <w:left w:val="nil"/>
              <w:bottom w:val="single" w:sz="8" w:space="0" w:color="auto"/>
              <w:right w:val="single" w:sz="8" w:space="0" w:color="auto"/>
            </w:tcBorders>
            <w:shd w:val="clear" w:color="auto" w:fill="auto"/>
          </w:tcPr>
          <w:p w:rsidR="00C027C1" w:rsidRPr="00A8196B" w:rsidP="00C027C1" w14:paraId="57FB844E"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tcPr>
          <w:p w:rsidR="00C027C1" w:rsidRPr="00A8196B" w:rsidP="00C027C1" w14:paraId="670F93FA" w14:textId="77777777">
            <w:pPr>
              <w:spacing w:after="0"/>
              <w:jc w:val="center"/>
              <w:rPr>
                <w:rFonts w:cs="Arial"/>
                <w:color w:val="000000"/>
                <w:sz w:val="16"/>
                <w:szCs w:val="16"/>
              </w:rPr>
            </w:pPr>
            <w:r w:rsidRPr="00A8196B">
              <w:rPr>
                <w:rFonts w:cs="Arial"/>
                <w:color w:val="000000"/>
                <w:sz w:val="16"/>
                <w:szCs w:val="16"/>
              </w:rPr>
              <w:t>$10,938</w:t>
            </w:r>
          </w:p>
        </w:tc>
        <w:tc>
          <w:tcPr>
            <w:tcW w:w="338" w:type="pct"/>
            <w:tcBorders>
              <w:top w:val="single" w:sz="8" w:space="0" w:color="auto"/>
              <w:left w:val="nil"/>
              <w:bottom w:val="single" w:sz="8" w:space="0" w:color="auto"/>
              <w:right w:val="single" w:sz="8" w:space="0" w:color="auto"/>
            </w:tcBorders>
            <w:shd w:val="clear" w:color="auto" w:fill="auto"/>
          </w:tcPr>
          <w:p w:rsidR="00C027C1" w:rsidRPr="00A8196B" w:rsidP="00C027C1" w14:paraId="5BACD062"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tcPr>
          <w:p w:rsidR="00C027C1" w:rsidRPr="00A8196B" w:rsidP="00C027C1" w14:paraId="0FC33564" w14:textId="77777777">
            <w:pPr>
              <w:spacing w:after="0"/>
              <w:jc w:val="center"/>
              <w:rPr>
                <w:rFonts w:cs="Arial"/>
                <w:color w:val="000000"/>
                <w:sz w:val="16"/>
                <w:szCs w:val="16"/>
              </w:rPr>
            </w:pPr>
            <w:r w:rsidRPr="00A8196B">
              <w:rPr>
                <w:rFonts w:cs="Arial"/>
                <w:color w:val="000000"/>
                <w:sz w:val="16"/>
                <w:szCs w:val="16"/>
              </w:rPr>
              <w:t>$4,700</w:t>
            </w:r>
          </w:p>
        </w:tc>
        <w:tc>
          <w:tcPr>
            <w:tcW w:w="429" w:type="pct"/>
            <w:tcBorders>
              <w:top w:val="single" w:sz="8" w:space="0" w:color="auto"/>
              <w:left w:val="nil"/>
              <w:bottom w:val="single" w:sz="8" w:space="0" w:color="auto"/>
              <w:right w:val="single" w:sz="8" w:space="0" w:color="auto"/>
            </w:tcBorders>
            <w:shd w:val="clear" w:color="auto" w:fill="auto"/>
          </w:tcPr>
          <w:p w:rsidR="00C027C1" w:rsidRPr="00A8196B" w:rsidP="00C027C1" w14:paraId="4EE4057C" w14:textId="77777777">
            <w:pPr>
              <w:spacing w:after="0"/>
              <w:jc w:val="center"/>
              <w:rPr>
                <w:rFonts w:cs="Arial"/>
                <w:color w:val="000000"/>
                <w:sz w:val="16"/>
                <w:szCs w:val="16"/>
              </w:rPr>
            </w:pPr>
            <w:r w:rsidRPr="00A8196B">
              <w:rPr>
                <w:rFonts w:cs="Arial"/>
                <w:color w:val="000000"/>
                <w:sz w:val="16"/>
                <w:szCs w:val="16"/>
              </w:rPr>
              <w:t>$15,638</w:t>
            </w:r>
          </w:p>
        </w:tc>
        <w:tc>
          <w:tcPr>
            <w:tcW w:w="452" w:type="pct"/>
            <w:tcBorders>
              <w:top w:val="single" w:sz="8" w:space="0" w:color="auto"/>
              <w:left w:val="nil"/>
              <w:bottom w:val="single" w:sz="8" w:space="0" w:color="auto"/>
              <w:right w:val="double" w:sz="6" w:space="0" w:color="auto"/>
            </w:tcBorders>
            <w:shd w:val="clear" w:color="auto" w:fill="auto"/>
          </w:tcPr>
          <w:p w:rsidR="00C027C1" w:rsidRPr="00A8196B" w:rsidP="00C027C1" w14:paraId="1CB33CD1" w14:textId="77777777">
            <w:pPr>
              <w:spacing w:after="0"/>
              <w:jc w:val="center"/>
              <w:rPr>
                <w:rFonts w:cs="Arial"/>
                <w:b/>
                <w:bCs/>
                <w:color w:val="000000"/>
                <w:sz w:val="16"/>
                <w:szCs w:val="16"/>
              </w:rPr>
            </w:pPr>
            <w:r w:rsidRPr="00A8196B">
              <w:rPr>
                <w:rFonts w:cs="Arial"/>
                <w:b/>
                <w:bCs/>
                <w:color w:val="000000"/>
                <w:sz w:val="16"/>
                <w:szCs w:val="16"/>
              </w:rPr>
              <w:t>$15,638</w:t>
            </w:r>
          </w:p>
        </w:tc>
      </w:tr>
      <w:tr w14:paraId="46C697B7" w14:textId="77777777" w:rsidTr="00C027C1">
        <w:tblPrEx>
          <w:tblW w:w="4861" w:type="pct"/>
          <w:tblCellMar>
            <w:left w:w="58" w:type="dxa"/>
            <w:right w:w="58" w:type="dxa"/>
          </w:tblCellMar>
          <w:tblLook w:val="04A0"/>
        </w:tblPrEx>
        <w:trPr>
          <w:trHeight w:val="205"/>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24D25797" w14:textId="77777777">
            <w:pPr>
              <w:spacing w:after="0"/>
              <w:ind w:firstLine="400"/>
              <w:rPr>
                <w:rFonts w:cs="Arial"/>
                <w:sz w:val="16"/>
                <w:szCs w:val="16"/>
              </w:rPr>
            </w:pPr>
            <w:r w:rsidRPr="00A8196B">
              <w:rPr>
                <w:rFonts w:cs="Arial"/>
                <w:color w:val="000000"/>
                <w:sz w:val="16"/>
                <w:szCs w:val="16"/>
              </w:rPr>
              <w:t>Polymer</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476FAB9" w14:textId="77777777">
            <w:pPr>
              <w:spacing w:after="0"/>
              <w:jc w:val="center"/>
              <w:rPr>
                <w:rFonts w:cs="Arial"/>
                <w:color w:val="000000"/>
                <w:sz w:val="16"/>
                <w:szCs w:val="16"/>
              </w:rPr>
            </w:pPr>
            <w:r w:rsidRPr="00A8196B">
              <w:rPr>
                <w:rFonts w:cs="Arial"/>
                <w:color w:val="000000"/>
                <w:sz w:val="16"/>
                <w:szCs w:val="16"/>
              </w:rPr>
              <w:t>109</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37D4DE4" w14:textId="77777777">
            <w:pPr>
              <w:spacing w:after="0"/>
              <w:jc w:val="center"/>
              <w:rPr>
                <w:rFonts w:cs="Arial"/>
                <w:color w:val="000000"/>
                <w:sz w:val="16"/>
                <w:szCs w:val="16"/>
              </w:rPr>
            </w:pPr>
            <w:r w:rsidRPr="00A8196B">
              <w:rPr>
                <w:rFonts w:cs="Arial"/>
                <w:color w:val="000000"/>
                <w:sz w:val="16"/>
                <w:szCs w:val="16"/>
              </w:rPr>
              <w:t>6.32</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92216FF"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BD8EF14" w14:textId="77777777">
            <w:pPr>
              <w:spacing w:after="0"/>
              <w:jc w:val="center"/>
              <w:rPr>
                <w:rFonts w:cs="Arial"/>
                <w:color w:val="000000"/>
                <w:sz w:val="16"/>
                <w:szCs w:val="16"/>
              </w:rPr>
            </w:pPr>
            <w:r w:rsidRPr="00A8196B">
              <w:rPr>
                <w:rFonts w:cs="Arial"/>
                <w:color w:val="000000"/>
                <w:sz w:val="16"/>
                <w:szCs w:val="16"/>
              </w:rPr>
              <w:t>13.425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C58C62E"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4B7AC8E" w14:textId="77777777">
            <w:pPr>
              <w:spacing w:after="0"/>
              <w:jc w:val="center"/>
              <w:rPr>
                <w:rFonts w:cs="Arial"/>
                <w:color w:val="000000"/>
                <w:sz w:val="16"/>
                <w:szCs w:val="16"/>
              </w:rPr>
            </w:pPr>
            <w:r w:rsidRPr="00A8196B">
              <w:rPr>
                <w:rFonts w:cs="Arial"/>
                <w:color w:val="000000"/>
                <w:sz w:val="16"/>
                <w:szCs w:val="16"/>
              </w:rPr>
              <w:t>2.25</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5636EE6"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22A22095" w14:textId="77777777">
            <w:pPr>
              <w:spacing w:after="0"/>
              <w:jc w:val="center"/>
              <w:rPr>
                <w:rFonts w:cs="Arial"/>
                <w:color w:val="000000"/>
                <w:sz w:val="16"/>
                <w:szCs w:val="16"/>
              </w:rPr>
            </w:pPr>
            <w:r w:rsidRPr="00A8196B">
              <w:rPr>
                <w:rFonts w:cs="Arial"/>
                <w:color w:val="000000"/>
                <w:sz w:val="16"/>
                <w:szCs w:val="16"/>
              </w:rPr>
              <w:t>$1,789</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0C8C25B"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0D4E8CF" w14:textId="77777777">
            <w:pPr>
              <w:spacing w:after="0"/>
              <w:jc w:val="center"/>
              <w:rPr>
                <w:rFonts w:cs="Arial"/>
                <w:color w:val="000000"/>
                <w:sz w:val="16"/>
                <w:szCs w:val="16"/>
              </w:rPr>
            </w:pPr>
            <w:r w:rsidRPr="00A8196B">
              <w:rPr>
                <w:rFonts w:cs="Arial"/>
                <w:color w:val="000000"/>
                <w:sz w:val="16"/>
                <w:szCs w:val="16"/>
              </w:rPr>
              <w:t>-</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2F43F8A" w14:textId="77777777">
            <w:pPr>
              <w:spacing w:after="0"/>
              <w:jc w:val="center"/>
              <w:rPr>
                <w:rFonts w:cs="Arial"/>
                <w:color w:val="000000"/>
                <w:sz w:val="16"/>
                <w:szCs w:val="16"/>
              </w:rPr>
            </w:pPr>
            <w:r w:rsidRPr="00A8196B">
              <w:rPr>
                <w:rFonts w:cs="Arial"/>
                <w:color w:val="000000"/>
                <w:sz w:val="16"/>
                <w:szCs w:val="16"/>
              </w:rPr>
              <w:t>$1,789</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5F36722A" w14:textId="77777777">
            <w:pPr>
              <w:spacing w:after="0"/>
              <w:jc w:val="center"/>
              <w:rPr>
                <w:rFonts w:cs="Arial"/>
                <w:b/>
                <w:bCs/>
                <w:color w:val="000000"/>
                <w:sz w:val="16"/>
                <w:szCs w:val="16"/>
              </w:rPr>
            </w:pPr>
            <w:r w:rsidRPr="00A8196B">
              <w:rPr>
                <w:rFonts w:cs="Arial"/>
                <w:b/>
                <w:bCs/>
                <w:color w:val="000000"/>
                <w:sz w:val="16"/>
                <w:szCs w:val="16"/>
              </w:rPr>
              <w:t>$194,962</w:t>
            </w:r>
          </w:p>
        </w:tc>
      </w:tr>
      <w:tr w14:paraId="714B9665" w14:textId="77777777" w:rsidTr="00C027C1">
        <w:tblPrEx>
          <w:tblW w:w="4861" w:type="pct"/>
          <w:tblCellMar>
            <w:left w:w="58" w:type="dxa"/>
            <w:right w:w="58" w:type="dxa"/>
          </w:tblCellMar>
          <w:tblLook w:val="04A0"/>
        </w:tblPrEx>
        <w:trPr>
          <w:trHeight w:val="219"/>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4BB714E2" w14:textId="77777777">
            <w:pPr>
              <w:spacing w:after="0"/>
              <w:ind w:firstLine="400"/>
              <w:rPr>
                <w:rFonts w:cs="Arial"/>
                <w:sz w:val="16"/>
                <w:szCs w:val="16"/>
              </w:rPr>
            </w:pPr>
            <w:r w:rsidRPr="00A8196B">
              <w:rPr>
                <w:rFonts w:cs="Arial"/>
                <w:color w:val="000000"/>
                <w:sz w:val="16"/>
                <w:szCs w:val="16"/>
              </w:rPr>
              <w:t>R&amp;D</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9A8EDEE" w14:textId="77777777">
            <w:pPr>
              <w:spacing w:after="0"/>
              <w:jc w:val="center"/>
              <w:rPr>
                <w:rFonts w:cs="Arial"/>
                <w:color w:val="000000"/>
                <w:sz w:val="16"/>
                <w:szCs w:val="16"/>
              </w:rPr>
            </w:pPr>
            <w:r w:rsidRPr="00A8196B">
              <w:rPr>
                <w:rFonts w:cs="Arial"/>
                <w:color w:val="000000"/>
                <w:sz w:val="16"/>
                <w:szCs w:val="16"/>
              </w:rPr>
              <w:t>200</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0BC9667" w14:textId="77777777">
            <w:pPr>
              <w:spacing w:after="0"/>
              <w:jc w:val="center"/>
              <w:rPr>
                <w:rFonts w:cs="Arial"/>
                <w:color w:val="000000"/>
                <w:sz w:val="16"/>
                <w:szCs w:val="16"/>
              </w:rPr>
            </w:pPr>
            <w:r w:rsidRPr="00A8196B">
              <w:rPr>
                <w:rFonts w:cs="Arial"/>
                <w:color w:val="000000"/>
                <w:sz w:val="16"/>
                <w:szCs w:val="16"/>
              </w:rPr>
              <w:t>5.07</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DE2F08C"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632D98A" w14:textId="77777777">
            <w:pPr>
              <w:spacing w:after="0"/>
              <w:jc w:val="center"/>
              <w:rPr>
                <w:rFonts w:cs="Arial"/>
                <w:color w:val="000000"/>
                <w:sz w:val="16"/>
                <w:szCs w:val="16"/>
              </w:rPr>
            </w:pPr>
            <w:r w:rsidRPr="00A8196B">
              <w:rPr>
                <w:rFonts w:cs="Arial"/>
                <w:color w:val="000000"/>
                <w:sz w:val="16"/>
                <w:szCs w:val="16"/>
              </w:rPr>
              <w:t>13.925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7D06330"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07A2366" w14:textId="77777777">
            <w:pPr>
              <w:spacing w:after="0"/>
              <w:jc w:val="center"/>
              <w:rPr>
                <w:rFonts w:cs="Arial"/>
                <w:color w:val="000000"/>
                <w:sz w:val="16"/>
                <w:szCs w:val="16"/>
              </w:rPr>
            </w:pPr>
            <w:r w:rsidRPr="00A8196B">
              <w:rPr>
                <w:rFonts w:cs="Arial"/>
                <w:color w:val="000000"/>
                <w:sz w:val="16"/>
                <w:szCs w:val="16"/>
              </w:rPr>
              <w:t>0.25</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8ACB661"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4DD752A" w14:textId="77777777">
            <w:pPr>
              <w:spacing w:after="0"/>
              <w:jc w:val="center"/>
              <w:rPr>
                <w:rFonts w:cs="Arial"/>
                <w:color w:val="000000"/>
                <w:sz w:val="16"/>
                <w:szCs w:val="16"/>
              </w:rPr>
            </w:pPr>
            <w:r w:rsidRPr="00A8196B">
              <w:rPr>
                <w:rFonts w:cs="Arial"/>
                <w:color w:val="000000"/>
                <w:sz w:val="16"/>
                <w:szCs w:val="16"/>
              </w:rPr>
              <w:t>$1,636</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EE4A280"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43AE4F6" w14:textId="77777777">
            <w:pPr>
              <w:spacing w:after="0"/>
              <w:jc w:val="center"/>
              <w:rPr>
                <w:rFonts w:cs="Arial"/>
                <w:color w:val="000000"/>
                <w:sz w:val="16"/>
                <w:szCs w:val="16"/>
              </w:rPr>
            </w:pPr>
            <w:r w:rsidRPr="00A8196B">
              <w:rPr>
                <w:rFonts w:cs="Arial"/>
                <w:color w:val="000000"/>
                <w:sz w:val="16"/>
                <w:szCs w:val="16"/>
              </w:rPr>
              <w:t>-</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26E90C0" w14:textId="77777777">
            <w:pPr>
              <w:spacing w:after="0"/>
              <w:jc w:val="center"/>
              <w:rPr>
                <w:rFonts w:cs="Arial"/>
                <w:color w:val="000000"/>
                <w:sz w:val="16"/>
                <w:szCs w:val="16"/>
              </w:rPr>
            </w:pPr>
            <w:r w:rsidRPr="00A8196B">
              <w:rPr>
                <w:rFonts w:cs="Arial"/>
                <w:color w:val="000000"/>
                <w:sz w:val="16"/>
                <w:szCs w:val="16"/>
              </w:rPr>
              <w:t>$1,636</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76B3F85A" w14:textId="77777777">
            <w:pPr>
              <w:spacing w:after="0"/>
              <w:jc w:val="center"/>
              <w:rPr>
                <w:rFonts w:cs="Arial"/>
                <w:b/>
                <w:bCs/>
                <w:color w:val="000000"/>
                <w:sz w:val="16"/>
                <w:szCs w:val="16"/>
              </w:rPr>
            </w:pPr>
            <w:r w:rsidRPr="00A8196B">
              <w:rPr>
                <w:rFonts w:cs="Arial"/>
                <w:b/>
                <w:bCs/>
                <w:color w:val="000000"/>
                <w:sz w:val="16"/>
                <w:szCs w:val="16"/>
              </w:rPr>
              <w:t>$327,149</w:t>
            </w:r>
          </w:p>
        </w:tc>
      </w:tr>
      <w:tr w14:paraId="054A0B1D" w14:textId="77777777" w:rsidTr="00C027C1">
        <w:tblPrEx>
          <w:tblW w:w="4861" w:type="pct"/>
          <w:tblCellMar>
            <w:left w:w="58" w:type="dxa"/>
            <w:right w:w="58" w:type="dxa"/>
          </w:tblCellMar>
          <w:tblLook w:val="04A0"/>
        </w:tblPrEx>
        <w:trPr>
          <w:trHeight w:val="205"/>
        </w:trPr>
        <w:tc>
          <w:tcPr>
            <w:tcW w:w="746" w:type="pct"/>
            <w:tcBorders>
              <w:top w:val="single" w:sz="8" w:space="0" w:color="auto"/>
              <w:left w:val="double" w:sz="6" w:space="0" w:color="auto"/>
              <w:bottom w:val="single" w:sz="8" w:space="0" w:color="auto"/>
              <w:right w:val="single" w:sz="8" w:space="0" w:color="auto"/>
            </w:tcBorders>
            <w:shd w:val="clear" w:color="auto" w:fill="auto"/>
            <w:hideMark/>
          </w:tcPr>
          <w:p w:rsidR="00C027C1" w:rsidRPr="00A8196B" w:rsidP="00C027C1" w14:paraId="7BD58AB6" w14:textId="77777777">
            <w:pPr>
              <w:spacing w:after="0"/>
              <w:ind w:firstLine="400"/>
              <w:rPr>
                <w:rFonts w:cs="Arial"/>
                <w:sz w:val="16"/>
                <w:szCs w:val="16"/>
              </w:rPr>
            </w:pPr>
            <w:r w:rsidRPr="00A8196B">
              <w:rPr>
                <w:rFonts w:cs="Arial"/>
                <w:color w:val="000000"/>
                <w:sz w:val="16"/>
                <w:szCs w:val="16"/>
              </w:rPr>
              <w:t>Film Articles</w:t>
            </w:r>
          </w:p>
        </w:tc>
        <w:tc>
          <w:tcPr>
            <w:tcW w:w="537"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A376938" w14:textId="77777777">
            <w:pPr>
              <w:spacing w:after="0"/>
              <w:jc w:val="center"/>
              <w:rPr>
                <w:rFonts w:cs="Arial"/>
                <w:color w:val="000000"/>
                <w:sz w:val="16"/>
                <w:szCs w:val="16"/>
              </w:rPr>
            </w:pPr>
            <w:r w:rsidRPr="00A8196B">
              <w:rPr>
                <w:rFonts w:cs="Arial"/>
                <w:color w:val="000000"/>
                <w:sz w:val="16"/>
                <w:szCs w:val="16"/>
              </w:rPr>
              <w:t>1</w:t>
            </w:r>
          </w:p>
        </w:tc>
        <w:tc>
          <w:tcPr>
            <w:tcW w:w="274"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4ACC61FC" w14:textId="77777777">
            <w:pPr>
              <w:spacing w:after="0"/>
              <w:jc w:val="center"/>
              <w:rPr>
                <w:rFonts w:cs="Arial"/>
                <w:color w:val="000000"/>
                <w:sz w:val="16"/>
                <w:szCs w:val="16"/>
              </w:rPr>
            </w:pPr>
            <w:r w:rsidRPr="00A8196B">
              <w:rPr>
                <w:rFonts w:cs="Arial"/>
                <w:color w:val="000000"/>
                <w:sz w:val="16"/>
                <w:szCs w:val="16"/>
              </w:rPr>
              <w:t>5.07</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DD7D5D1"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C328186" w14:textId="77777777">
            <w:pPr>
              <w:spacing w:after="0"/>
              <w:jc w:val="center"/>
              <w:rPr>
                <w:rFonts w:cs="Arial"/>
                <w:color w:val="000000"/>
                <w:sz w:val="16"/>
                <w:szCs w:val="16"/>
              </w:rPr>
            </w:pPr>
            <w:r w:rsidRPr="00A8196B">
              <w:rPr>
                <w:rFonts w:cs="Arial"/>
                <w:color w:val="000000"/>
                <w:sz w:val="16"/>
                <w:szCs w:val="16"/>
              </w:rPr>
              <w:t>11.925</w:t>
            </w:r>
          </w:p>
        </w:tc>
        <w:tc>
          <w:tcPr>
            <w:tcW w:w="30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389FE046"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86BBB2A" w14:textId="77777777">
            <w:pPr>
              <w:spacing w:after="0"/>
              <w:jc w:val="center"/>
              <w:rPr>
                <w:rFonts w:cs="Arial"/>
                <w:color w:val="000000"/>
                <w:sz w:val="16"/>
                <w:szCs w:val="16"/>
              </w:rPr>
            </w:pPr>
            <w:r w:rsidRPr="00A8196B">
              <w:rPr>
                <w:rFonts w:cs="Arial"/>
                <w:color w:val="000000"/>
                <w:sz w:val="16"/>
                <w:szCs w:val="16"/>
              </w:rPr>
              <w:t>0</w:t>
            </w:r>
          </w:p>
        </w:tc>
        <w:tc>
          <w:tcPr>
            <w:tcW w:w="31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07F81D04"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547DE55D" w14:textId="77777777">
            <w:pPr>
              <w:spacing w:after="0"/>
              <w:jc w:val="center"/>
              <w:rPr>
                <w:rFonts w:cs="Arial"/>
                <w:color w:val="000000"/>
                <w:sz w:val="16"/>
                <w:szCs w:val="16"/>
              </w:rPr>
            </w:pPr>
            <w:r w:rsidRPr="00A8196B">
              <w:rPr>
                <w:rFonts w:cs="Arial"/>
                <w:color w:val="000000"/>
                <w:sz w:val="16"/>
                <w:szCs w:val="16"/>
              </w:rPr>
              <w:t>$1,462</w:t>
            </w:r>
          </w:p>
        </w:tc>
        <w:tc>
          <w:tcPr>
            <w:tcW w:w="338"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7CD5027D"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12CD7039" w14:textId="77777777">
            <w:pPr>
              <w:spacing w:after="0"/>
              <w:jc w:val="center"/>
              <w:rPr>
                <w:rFonts w:cs="Arial"/>
                <w:color w:val="000000"/>
                <w:sz w:val="16"/>
                <w:szCs w:val="16"/>
              </w:rPr>
            </w:pPr>
            <w:r w:rsidRPr="00A8196B">
              <w:rPr>
                <w:rFonts w:cs="Arial"/>
                <w:color w:val="000000"/>
                <w:sz w:val="16"/>
                <w:szCs w:val="16"/>
              </w:rPr>
              <w:t>$4,700</w:t>
            </w:r>
          </w:p>
        </w:tc>
        <w:tc>
          <w:tcPr>
            <w:tcW w:w="429" w:type="pct"/>
            <w:tcBorders>
              <w:top w:val="single" w:sz="8" w:space="0" w:color="auto"/>
              <w:left w:val="nil"/>
              <w:bottom w:val="single" w:sz="8" w:space="0" w:color="auto"/>
              <w:right w:val="single" w:sz="8" w:space="0" w:color="auto"/>
            </w:tcBorders>
            <w:shd w:val="clear" w:color="auto" w:fill="auto"/>
            <w:hideMark/>
          </w:tcPr>
          <w:p w:rsidR="00C027C1" w:rsidRPr="00A8196B" w:rsidP="00C027C1" w14:paraId="6E56E317" w14:textId="77777777">
            <w:pPr>
              <w:spacing w:after="0"/>
              <w:jc w:val="center"/>
              <w:rPr>
                <w:rFonts w:cs="Arial"/>
                <w:color w:val="000000"/>
                <w:sz w:val="16"/>
                <w:szCs w:val="16"/>
              </w:rPr>
            </w:pPr>
            <w:r w:rsidRPr="00A8196B">
              <w:rPr>
                <w:rFonts w:cs="Arial"/>
                <w:color w:val="000000"/>
                <w:sz w:val="16"/>
                <w:szCs w:val="16"/>
              </w:rPr>
              <w:t>$6,162</w:t>
            </w:r>
          </w:p>
        </w:tc>
        <w:tc>
          <w:tcPr>
            <w:tcW w:w="452" w:type="pct"/>
            <w:tcBorders>
              <w:top w:val="single" w:sz="8" w:space="0" w:color="auto"/>
              <w:left w:val="nil"/>
              <w:bottom w:val="single" w:sz="8" w:space="0" w:color="auto"/>
              <w:right w:val="double" w:sz="6" w:space="0" w:color="auto"/>
            </w:tcBorders>
            <w:shd w:val="clear" w:color="auto" w:fill="auto"/>
            <w:hideMark/>
          </w:tcPr>
          <w:p w:rsidR="00C027C1" w:rsidRPr="00A8196B" w:rsidP="00C027C1" w14:paraId="1652E5E4" w14:textId="77777777">
            <w:pPr>
              <w:spacing w:after="0"/>
              <w:jc w:val="center"/>
              <w:rPr>
                <w:rFonts w:cs="Arial"/>
                <w:b/>
                <w:bCs/>
                <w:color w:val="000000"/>
                <w:sz w:val="16"/>
                <w:szCs w:val="16"/>
              </w:rPr>
            </w:pPr>
            <w:r w:rsidRPr="00A8196B">
              <w:rPr>
                <w:rFonts w:cs="Arial"/>
                <w:b/>
                <w:bCs/>
                <w:color w:val="000000"/>
                <w:sz w:val="16"/>
                <w:szCs w:val="16"/>
              </w:rPr>
              <w:t>$6,162</w:t>
            </w:r>
          </w:p>
        </w:tc>
      </w:tr>
      <w:tr w14:paraId="7651EBC7" w14:textId="77777777" w:rsidTr="00C027C1">
        <w:tblPrEx>
          <w:tblW w:w="4861" w:type="pct"/>
          <w:tblCellMar>
            <w:left w:w="58" w:type="dxa"/>
            <w:right w:w="58" w:type="dxa"/>
          </w:tblCellMar>
          <w:tblLook w:val="04A0"/>
        </w:tblPrEx>
        <w:trPr>
          <w:trHeight w:val="219"/>
        </w:trPr>
        <w:tc>
          <w:tcPr>
            <w:tcW w:w="746" w:type="pct"/>
            <w:tcBorders>
              <w:top w:val="single" w:sz="8" w:space="0" w:color="auto"/>
              <w:left w:val="double" w:sz="6" w:space="0" w:color="auto"/>
              <w:bottom w:val="single" w:sz="8" w:space="0" w:color="auto"/>
              <w:right w:val="single" w:sz="8" w:space="0" w:color="auto"/>
            </w:tcBorders>
            <w:shd w:val="clear" w:color="auto" w:fill="auto"/>
          </w:tcPr>
          <w:p w:rsidR="00C027C1" w:rsidRPr="00A8196B" w:rsidP="00C027C1" w14:paraId="0498FC41" w14:textId="77777777">
            <w:pPr>
              <w:spacing w:after="0"/>
              <w:ind w:firstLine="400"/>
              <w:rPr>
                <w:rFonts w:cs="Arial"/>
                <w:color w:val="000000"/>
                <w:sz w:val="16"/>
                <w:szCs w:val="16"/>
              </w:rPr>
            </w:pPr>
            <w:r w:rsidRPr="00A8196B">
              <w:rPr>
                <w:rFonts w:cs="Arial"/>
                <w:color w:val="000000"/>
                <w:sz w:val="16"/>
                <w:szCs w:val="16"/>
              </w:rPr>
              <w:t>Bona Fide</w:t>
            </w:r>
          </w:p>
        </w:tc>
        <w:tc>
          <w:tcPr>
            <w:tcW w:w="537" w:type="pct"/>
            <w:tcBorders>
              <w:top w:val="single" w:sz="8" w:space="0" w:color="auto"/>
              <w:left w:val="nil"/>
              <w:bottom w:val="single" w:sz="8" w:space="0" w:color="auto"/>
              <w:right w:val="single" w:sz="8" w:space="0" w:color="auto"/>
            </w:tcBorders>
            <w:shd w:val="clear" w:color="auto" w:fill="auto"/>
          </w:tcPr>
          <w:p w:rsidR="00C027C1" w:rsidRPr="00A8196B" w:rsidP="00C027C1" w14:paraId="7C11FD3C" w14:textId="77777777">
            <w:pPr>
              <w:spacing w:after="0"/>
              <w:jc w:val="center"/>
              <w:rPr>
                <w:rFonts w:cs="Arial"/>
                <w:color w:val="000000"/>
                <w:sz w:val="16"/>
                <w:szCs w:val="16"/>
              </w:rPr>
            </w:pPr>
            <w:r w:rsidRPr="00A8196B">
              <w:rPr>
                <w:rFonts w:cs="Arial"/>
                <w:color w:val="000000"/>
                <w:sz w:val="16"/>
                <w:szCs w:val="16"/>
              </w:rPr>
              <w:t>183</w:t>
            </w:r>
          </w:p>
        </w:tc>
        <w:tc>
          <w:tcPr>
            <w:tcW w:w="274" w:type="pct"/>
            <w:tcBorders>
              <w:top w:val="single" w:sz="8" w:space="0" w:color="auto"/>
              <w:left w:val="nil"/>
              <w:bottom w:val="single" w:sz="8" w:space="0" w:color="auto"/>
              <w:right w:val="single" w:sz="8" w:space="0" w:color="auto"/>
            </w:tcBorders>
            <w:shd w:val="clear" w:color="auto" w:fill="auto"/>
          </w:tcPr>
          <w:p w:rsidR="00C027C1" w:rsidRPr="00A8196B" w:rsidP="00C027C1" w14:paraId="592CECC4" w14:textId="77777777">
            <w:pPr>
              <w:spacing w:after="0"/>
              <w:jc w:val="center"/>
              <w:rPr>
                <w:rFonts w:cs="Arial"/>
                <w:color w:val="000000"/>
                <w:sz w:val="16"/>
                <w:szCs w:val="16"/>
              </w:rPr>
            </w:pPr>
            <w:r w:rsidRPr="00A8196B">
              <w:rPr>
                <w:rFonts w:cs="Arial"/>
                <w:color w:val="000000"/>
                <w:sz w:val="16"/>
                <w:szCs w:val="16"/>
              </w:rPr>
              <w:t>11.07</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2B8412B7"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tcPr>
          <w:p w:rsidR="00C027C1" w:rsidRPr="00A8196B" w:rsidP="00C027C1" w14:paraId="04CEC575" w14:textId="77777777">
            <w:pPr>
              <w:spacing w:after="0"/>
              <w:jc w:val="center"/>
              <w:rPr>
                <w:rFonts w:cs="Arial"/>
                <w:color w:val="000000"/>
                <w:sz w:val="16"/>
                <w:szCs w:val="16"/>
              </w:rPr>
            </w:pPr>
            <w:r w:rsidRPr="00A8196B">
              <w:rPr>
                <w:rFonts w:cs="Arial"/>
                <w:color w:val="000000"/>
                <w:sz w:val="16"/>
                <w:szCs w:val="16"/>
              </w:rPr>
              <w:t>22.675</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0B79DE37"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tcPr>
          <w:p w:rsidR="00C027C1" w:rsidRPr="00A8196B" w:rsidP="00C027C1" w14:paraId="5D4EAD1C" w14:textId="77777777">
            <w:pPr>
              <w:spacing w:after="0"/>
              <w:jc w:val="center"/>
              <w:rPr>
                <w:rFonts w:cs="Arial"/>
                <w:color w:val="000000"/>
                <w:sz w:val="16"/>
                <w:szCs w:val="16"/>
              </w:rPr>
            </w:pPr>
            <w:r w:rsidRPr="00A8196B">
              <w:rPr>
                <w:rFonts w:cs="Arial"/>
                <w:color w:val="000000"/>
                <w:sz w:val="16"/>
                <w:szCs w:val="16"/>
              </w:rPr>
              <w:t>0</w:t>
            </w:r>
          </w:p>
        </w:tc>
        <w:tc>
          <w:tcPr>
            <w:tcW w:w="310" w:type="pct"/>
            <w:tcBorders>
              <w:top w:val="single" w:sz="8" w:space="0" w:color="auto"/>
              <w:left w:val="nil"/>
              <w:bottom w:val="single" w:sz="8" w:space="0" w:color="auto"/>
              <w:right w:val="single" w:sz="8" w:space="0" w:color="auto"/>
            </w:tcBorders>
            <w:shd w:val="clear" w:color="auto" w:fill="auto"/>
          </w:tcPr>
          <w:p w:rsidR="00C027C1" w:rsidRPr="00A8196B" w:rsidP="00C027C1" w14:paraId="2E53EFCD"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tcPr>
          <w:p w:rsidR="00C027C1" w:rsidRPr="00A8196B" w:rsidP="00C027C1" w14:paraId="65236323" w14:textId="77777777">
            <w:pPr>
              <w:spacing w:after="0"/>
              <w:jc w:val="center"/>
              <w:rPr>
                <w:rFonts w:cs="Arial"/>
                <w:color w:val="000000"/>
                <w:sz w:val="16"/>
                <w:szCs w:val="16"/>
              </w:rPr>
            </w:pPr>
            <w:r w:rsidRPr="00A8196B">
              <w:rPr>
                <w:rFonts w:cs="Arial"/>
                <w:color w:val="000000"/>
                <w:sz w:val="16"/>
                <w:szCs w:val="16"/>
              </w:rPr>
              <w:t>$2,917</w:t>
            </w:r>
          </w:p>
        </w:tc>
        <w:tc>
          <w:tcPr>
            <w:tcW w:w="338" w:type="pct"/>
            <w:tcBorders>
              <w:top w:val="single" w:sz="8" w:space="0" w:color="auto"/>
              <w:left w:val="nil"/>
              <w:bottom w:val="single" w:sz="8" w:space="0" w:color="auto"/>
              <w:right w:val="single" w:sz="8" w:space="0" w:color="auto"/>
            </w:tcBorders>
            <w:shd w:val="clear" w:color="auto" w:fill="auto"/>
          </w:tcPr>
          <w:p w:rsidR="00C027C1" w:rsidRPr="00A8196B" w:rsidP="00C027C1" w14:paraId="199F237D"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tcPr>
          <w:p w:rsidR="00C027C1" w:rsidRPr="00A8196B" w:rsidP="00C027C1" w14:paraId="092129DC" w14:textId="77777777">
            <w:pPr>
              <w:spacing w:after="0"/>
              <w:jc w:val="center"/>
              <w:rPr>
                <w:rFonts w:cs="Arial"/>
                <w:color w:val="000000"/>
                <w:sz w:val="16"/>
                <w:szCs w:val="16"/>
              </w:rPr>
            </w:pPr>
            <w:r w:rsidRPr="00A8196B">
              <w:rPr>
                <w:rFonts w:cs="Arial"/>
                <w:color w:val="000000"/>
                <w:sz w:val="16"/>
                <w:szCs w:val="16"/>
              </w:rPr>
              <w:t>-</w:t>
            </w:r>
          </w:p>
        </w:tc>
        <w:tc>
          <w:tcPr>
            <w:tcW w:w="429" w:type="pct"/>
            <w:tcBorders>
              <w:top w:val="single" w:sz="8" w:space="0" w:color="auto"/>
              <w:left w:val="nil"/>
              <w:bottom w:val="single" w:sz="8" w:space="0" w:color="auto"/>
              <w:right w:val="single" w:sz="8" w:space="0" w:color="auto"/>
            </w:tcBorders>
            <w:shd w:val="clear" w:color="auto" w:fill="auto"/>
          </w:tcPr>
          <w:p w:rsidR="00C027C1" w:rsidRPr="00A8196B" w:rsidP="00C027C1" w14:paraId="584FA048" w14:textId="77777777">
            <w:pPr>
              <w:spacing w:after="0"/>
              <w:jc w:val="center"/>
              <w:rPr>
                <w:rFonts w:cs="Arial"/>
                <w:color w:val="000000"/>
                <w:sz w:val="16"/>
                <w:szCs w:val="16"/>
              </w:rPr>
            </w:pPr>
            <w:r w:rsidRPr="00A8196B">
              <w:rPr>
                <w:rFonts w:cs="Arial"/>
                <w:color w:val="000000"/>
                <w:sz w:val="16"/>
                <w:szCs w:val="16"/>
              </w:rPr>
              <w:t>$2,917</w:t>
            </w:r>
          </w:p>
        </w:tc>
        <w:tc>
          <w:tcPr>
            <w:tcW w:w="452" w:type="pct"/>
            <w:tcBorders>
              <w:top w:val="single" w:sz="8" w:space="0" w:color="auto"/>
              <w:left w:val="nil"/>
              <w:bottom w:val="single" w:sz="8" w:space="0" w:color="auto"/>
              <w:right w:val="double" w:sz="6" w:space="0" w:color="auto"/>
            </w:tcBorders>
            <w:shd w:val="clear" w:color="auto" w:fill="auto"/>
          </w:tcPr>
          <w:p w:rsidR="00C027C1" w:rsidRPr="00A8196B" w:rsidP="00C027C1" w14:paraId="01C4CF50" w14:textId="77777777">
            <w:pPr>
              <w:spacing w:after="0"/>
              <w:jc w:val="center"/>
              <w:rPr>
                <w:rFonts w:cs="Arial"/>
                <w:b/>
                <w:bCs/>
                <w:color w:val="000000"/>
                <w:sz w:val="16"/>
                <w:szCs w:val="16"/>
              </w:rPr>
            </w:pPr>
            <w:r w:rsidRPr="00A8196B">
              <w:rPr>
                <w:rFonts w:cs="Arial"/>
                <w:b/>
                <w:bCs/>
                <w:color w:val="000000"/>
                <w:sz w:val="16"/>
                <w:szCs w:val="16"/>
              </w:rPr>
              <w:t>$533,793</w:t>
            </w:r>
          </w:p>
        </w:tc>
      </w:tr>
      <w:tr w14:paraId="2EA43FF7" w14:textId="77777777" w:rsidTr="00C027C1">
        <w:tblPrEx>
          <w:tblW w:w="4861" w:type="pct"/>
          <w:tblCellMar>
            <w:left w:w="58" w:type="dxa"/>
            <w:right w:w="58" w:type="dxa"/>
          </w:tblCellMar>
          <w:tblLook w:val="04A0"/>
        </w:tblPrEx>
        <w:trPr>
          <w:trHeight w:val="410"/>
        </w:trPr>
        <w:tc>
          <w:tcPr>
            <w:tcW w:w="746" w:type="pct"/>
            <w:tcBorders>
              <w:top w:val="single" w:sz="8" w:space="0" w:color="auto"/>
              <w:left w:val="double" w:sz="6" w:space="0" w:color="auto"/>
              <w:bottom w:val="single" w:sz="8" w:space="0" w:color="auto"/>
              <w:right w:val="single" w:sz="8" w:space="0" w:color="auto"/>
            </w:tcBorders>
            <w:shd w:val="clear" w:color="auto" w:fill="auto"/>
          </w:tcPr>
          <w:p w:rsidR="00C027C1" w:rsidRPr="00A8196B" w:rsidP="00C027C1" w14:paraId="3FCF2895" w14:textId="77777777">
            <w:pPr>
              <w:spacing w:after="0"/>
              <w:ind w:firstLine="400"/>
              <w:rPr>
                <w:rFonts w:cs="Arial"/>
                <w:color w:val="000000"/>
                <w:sz w:val="16"/>
                <w:szCs w:val="16"/>
              </w:rPr>
            </w:pPr>
            <w:r w:rsidRPr="00A8196B">
              <w:rPr>
                <w:rFonts w:cs="Arial"/>
                <w:color w:val="000000"/>
                <w:sz w:val="16"/>
                <w:szCs w:val="16"/>
              </w:rPr>
              <w:t xml:space="preserve">Section 5(e) Orders with Triggered Testing </w:t>
            </w:r>
          </w:p>
        </w:tc>
        <w:tc>
          <w:tcPr>
            <w:tcW w:w="537" w:type="pct"/>
            <w:tcBorders>
              <w:top w:val="single" w:sz="8" w:space="0" w:color="auto"/>
              <w:left w:val="nil"/>
              <w:bottom w:val="single" w:sz="8" w:space="0" w:color="auto"/>
              <w:right w:val="single" w:sz="8" w:space="0" w:color="auto"/>
            </w:tcBorders>
            <w:shd w:val="clear" w:color="auto" w:fill="auto"/>
          </w:tcPr>
          <w:p w:rsidR="00C027C1" w:rsidRPr="00A8196B" w:rsidP="00C027C1" w14:paraId="0954AD48" w14:textId="77777777">
            <w:pPr>
              <w:spacing w:after="0"/>
              <w:jc w:val="center"/>
              <w:rPr>
                <w:rFonts w:cs="Arial"/>
                <w:color w:val="000000"/>
                <w:sz w:val="16"/>
                <w:szCs w:val="16"/>
              </w:rPr>
            </w:pPr>
            <w:r w:rsidRPr="00A8196B">
              <w:rPr>
                <w:rFonts w:cs="Arial"/>
                <w:color w:val="000000"/>
                <w:sz w:val="16"/>
                <w:szCs w:val="16"/>
              </w:rPr>
              <w:t>20</w:t>
            </w:r>
          </w:p>
        </w:tc>
        <w:tc>
          <w:tcPr>
            <w:tcW w:w="274" w:type="pct"/>
            <w:tcBorders>
              <w:top w:val="nil"/>
              <w:left w:val="nil"/>
              <w:bottom w:val="nil"/>
              <w:right w:val="single" w:sz="8" w:space="0" w:color="auto"/>
            </w:tcBorders>
            <w:shd w:val="clear" w:color="auto" w:fill="auto"/>
            <w:vAlign w:val="center"/>
          </w:tcPr>
          <w:p w:rsidR="00C027C1" w:rsidRPr="00A8196B" w:rsidP="00C027C1" w14:paraId="10884BC5" w14:textId="77777777">
            <w:pPr>
              <w:spacing w:after="0"/>
              <w:jc w:val="center"/>
              <w:rPr>
                <w:rFonts w:cs="Arial"/>
                <w:color w:val="000000"/>
                <w:sz w:val="16"/>
                <w:szCs w:val="16"/>
              </w:rPr>
            </w:pPr>
            <w:r w:rsidRPr="00A8196B">
              <w:rPr>
                <w:rFonts w:cs="Arial"/>
                <w:color w:val="000000"/>
                <w:sz w:val="16"/>
                <w:szCs w:val="16"/>
              </w:rPr>
              <w:t>43.87</w:t>
            </w:r>
          </w:p>
        </w:tc>
        <w:tc>
          <w:tcPr>
            <w:tcW w:w="309" w:type="pct"/>
            <w:tcBorders>
              <w:top w:val="nil"/>
              <w:left w:val="nil"/>
              <w:bottom w:val="nil"/>
              <w:right w:val="single" w:sz="8" w:space="0" w:color="auto"/>
            </w:tcBorders>
            <w:shd w:val="clear" w:color="auto" w:fill="auto"/>
            <w:vAlign w:val="center"/>
          </w:tcPr>
          <w:p w:rsidR="00C027C1" w:rsidRPr="00A8196B" w:rsidP="00C027C1" w14:paraId="57CF8946" w14:textId="77777777">
            <w:pPr>
              <w:spacing w:after="0"/>
              <w:jc w:val="center"/>
              <w:rPr>
                <w:rFonts w:cs="Arial"/>
                <w:color w:val="000000"/>
                <w:sz w:val="16"/>
                <w:szCs w:val="16"/>
              </w:rPr>
            </w:pPr>
            <w:r w:rsidRPr="00A8196B">
              <w:rPr>
                <w:rFonts w:cs="Arial"/>
                <w:color w:val="000000"/>
                <w:sz w:val="16"/>
                <w:szCs w:val="16"/>
              </w:rPr>
              <w:t xml:space="preserve">$95.41 </w:t>
            </w:r>
          </w:p>
        </w:tc>
        <w:tc>
          <w:tcPr>
            <w:tcW w:w="329" w:type="pct"/>
            <w:tcBorders>
              <w:top w:val="nil"/>
              <w:left w:val="nil"/>
              <w:bottom w:val="nil"/>
              <w:right w:val="single" w:sz="8" w:space="0" w:color="auto"/>
            </w:tcBorders>
            <w:shd w:val="clear" w:color="auto" w:fill="auto"/>
            <w:vAlign w:val="center"/>
          </w:tcPr>
          <w:p w:rsidR="00C027C1" w:rsidRPr="00A8196B" w:rsidP="00C027C1" w14:paraId="4FD231EC" w14:textId="77777777">
            <w:pPr>
              <w:spacing w:after="0"/>
              <w:jc w:val="center"/>
              <w:rPr>
                <w:rFonts w:cs="Arial"/>
                <w:color w:val="000000"/>
                <w:sz w:val="16"/>
                <w:szCs w:val="16"/>
              </w:rPr>
            </w:pPr>
            <w:r w:rsidRPr="00A8196B">
              <w:rPr>
                <w:rFonts w:cs="Arial"/>
                <w:color w:val="000000"/>
                <w:sz w:val="16"/>
                <w:szCs w:val="16"/>
              </w:rPr>
              <w:t>132.625</w:t>
            </w:r>
          </w:p>
        </w:tc>
        <w:tc>
          <w:tcPr>
            <w:tcW w:w="309" w:type="pct"/>
            <w:tcBorders>
              <w:top w:val="nil"/>
              <w:left w:val="nil"/>
              <w:bottom w:val="nil"/>
              <w:right w:val="single" w:sz="8" w:space="0" w:color="auto"/>
            </w:tcBorders>
            <w:shd w:val="clear" w:color="auto" w:fill="auto"/>
            <w:vAlign w:val="center"/>
          </w:tcPr>
          <w:p w:rsidR="00C027C1" w:rsidRPr="00A8196B" w:rsidP="00C027C1" w14:paraId="4DD20F5D" w14:textId="77777777">
            <w:pPr>
              <w:spacing w:after="0"/>
              <w:jc w:val="center"/>
              <w:rPr>
                <w:rFonts w:cs="Arial"/>
                <w:color w:val="000000"/>
                <w:sz w:val="16"/>
                <w:szCs w:val="16"/>
              </w:rPr>
            </w:pPr>
            <w:r w:rsidRPr="00A8196B">
              <w:rPr>
                <w:rFonts w:cs="Arial"/>
                <w:color w:val="000000"/>
                <w:sz w:val="16"/>
                <w:szCs w:val="16"/>
              </w:rPr>
              <w:t xml:space="preserve">$82.06 </w:t>
            </w:r>
          </w:p>
        </w:tc>
        <w:tc>
          <w:tcPr>
            <w:tcW w:w="286" w:type="pct"/>
            <w:tcBorders>
              <w:top w:val="nil"/>
              <w:left w:val="nil"/>
              <w:bottom w:val="nil"/>
              <w:right w:val="single" w:sz="8" w:space="0" w:color="auto"/>
            </w:tcBorders>
            <w:shd w:val="clear" w:color="auto" w:fill="auto"/>
            <w:vAlign w:val="center"/>
          </w:tcPr>
          <w:p w:rsidR="00C027C1" w:rsidRPr="00A8196B" w:rsidP="00C027C1" w14:paraId="0EA43A74" w14:textId="77777777">
            <w:pPr>
              <w:spacing w:after="0"/>
              <w:jc w:val="center"/>
              <w:rPr>
                <w:rFonts w:cs="Arial"/>
                <w:color w:val="000000"/>
                <w:sz w:val="16"/>
                <w:szCs w:val="16"/>
              </w:rPr>
            </w:pPr>
            <w:r w:rsidRPr="00A8196B">
              <w:rPr>
                <w:rFonts w:cs="Arial"/>
                <w:color w:val="000000"/>
                <w:sz w:val="16"/>
                <w:szCs w:val="16"/>
              </w:rPr>
              <w:t>8.75</w:t>
            </w:r>
          </w:p>
        </w:tc>
        <w:tc>
          <w:tcPr>
            <w:tcW w:w="310" w:type="pct"/>
            <w:tcBorders>
              <w:top w:val="nil"/>
              <w:left w:val="nil"/>
              <w:bottom w:val="nil"/>
              <w:right w:val="single" w:sz="8" w:space="0" w:color="auto"/>
            </w:tcBorders>
            <w:shd w:val="clear" w:color="auto" w:fill="auto"/>
            <w:vAlign w:val="center"/>
          </w:tcPr>
          <w:p w:rsidR="00C027C1" w:rsidRPr="00A8196B" w:rsidP="00C027C1" w14:paraId="4D633B8C" w14:textId="77777777">
            <w:pPr>
              <w:spacing w:after="0"/>
              <w:jc w:val="center"/>
              <w:rPr>
                <w:rFonts w:cs="Arial"/>
                <w:color w:val="000000"/>
                <w:sz w:val="16"/>
                <w:szCs w:val="16"/>
              </w:rPr>
            </w:pPr>
            <w:r w:rsidRPr="00A8196B">
              <w:rPr>
                <w:rFonts w:cs="Arial"/>
                <w:color w:val="000000"/>
                <w:sz w:val="16"/>
                <w:szCs w:val="16"/>
              </w:rPr>
              <w:t xml:space="preserve">$37.33 </w:t>
            </w:r>
          </w:p>
        </w:tc>
        <w:tc>
          <w:tcPr>
            <w:tcW w:w="340" w:type="pct"/>
            <w:tcBorders>
              <w:top w:val="nil"/>
              <w:left w:val="nil"/>
              <w:bottom w:val="nil"/>
              <w:right w:val="single" w:sz="8" w:space="0" w:color="auto"/>
            </w:tcBorders>
            <w:shd w:val="clear" w:color="auto" w:fill="auto"/>
            <w:vAlign w:val="center"/>
          </w:tcPr>
          <w:p w:rsidR="00C027C1" w:rsidRPr="00A8196B" w:rsidP="00C027C1" w14:paraId="72F047AB" w14:textId="77777777">
            <w:pPr>
              <w:spacing w:after="0"/>
              <w:jc w:val="center"/>
              <w:rPr>
                <w:rFonts w:cs="Arial"/>
                <w:color w:val="000000"/>
                <w:sz w:val="16"/>
                <w:szCs w:val="16"/>
              </w:rPr>
            </w:pPr>
            <w:r w:rsidRPr="00A8196B">
              <w:rPr>
                <w:rFonts w:cs="Arial"/>
                <w:color w:val="000000"/>
                <w:sz w:val="16"/>
                <w:szCs w:val="16"/>
              </w:rPr>
              <w:t xml:space="preserve">$15,395 </w:t>
            </w:r>
          </w:p>
        </w:tc>
        <w:tc>
          <w:tcPr>
            <w:tcW w:w="338" w:type="pct"/>
            <w:tcBorders>
              <w:top w:val="nil"/>
              <w:left w:val="nil"/>
              <w:bottom w:val="nil"/>
              <w:right w:val="single" w:sz="8" w:space="0" w:color="auto"/>
            </w:tcBorders>
            <w:shd w:val="clear" w:color="auto" w:fill="auto"/>
            <w:vAlign w:val="center"/>
          </w:tcPr>
          <w:p w:rsidR="00C027C1" w:rsidRPr="00A8196B" w:rsidP="00C027C1" w14:paraId="06FA54D9"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nil"/>
              <w:left w:val="nil"/>
              <w:bottom w:val="nil"/>
              <w:right w:val="single" w:sz="8" w:space="0" w:color="auto"/>
            </w:tcBorders>
            <w:shd w:val="clear" w:color="auto" w:fill="auto"/>
            <w:vAlign w:val="center"/>
          </w:tcPr>
          <w:p w:rsidR="00C027C1" w:rsidRPr="00A8196B" w:rsidP="00C027C1" w14:paraId="4C95C7B2" w14:textId="77777777">
            <w:pPr>
              <w:spacing w:after="0"/>
              <w:jc w:val="center"/>
              <w:rPr>
                <w:rFonts w:cs="Arial"/>
                <w:color w:val="000000"/>
                <w:sz w:val="16"/>
                <w:szCs w:val="16"/>
              </w:rPr>
            </w:pPr>
            <w:r w:rsidRPr="00A8196B">
              <w:rPr>
                <w:rFonts w:cs="Arial"/>
                <w:color w:val="000000"/>
                <w:sz w:val="16"/>
                <w:szCs w:val="16"/>
              </w:rPr>
              <w:t xml:space="preserve">$162,644 </w:t>
            </w:r>
          </w:p>
        </w:tc>
        <w:tc>
          <w:tcPr>
            <w:tcW w:w="429" w:type="pct"/>
            <w:tcBorders>
              <w:top w:val="nil"/>
              <w:left w:val="nil"/>
              <w:bottom w:val="nil"/>
              <w:right w:val="single" w:sz="8" w:space="0" w:color="auto"/>
            </w:tcBorders>
            <w:shd w:val="clear" w:color="auto" w:fill="auto"/>
            <w:vAlign w:val="center"/>
          </w:tcPr>
          <w:p w:rsidR="00C027C1" w:rsidRPr="00A8196B" w:rsidP="00C027C1" w14:paraId="291AE0B7" w14:textId="77777777">
            <w:pPr>
              <w:spacing w:after="0"/>
              <w:jc w:val="center"/>
              <w:rPr>
                <w:rFonts w:cs="Arial"/>
                <w:color w:val="000000"/>
                <w:sz w:val="16"/>
                <w:szCs w:val="16"/>
              </w:rPr>
            </w:pPr>
            <w:r w:rsidRPr="00A8196B">
              <w:rPr>
                <w:rFonts w:cs="Arial"/>
                <w:color w:val="000000"/>
                <w:sz w:val="16"/>
                <w:szCs w:val="16"/>
              </w:rPr>
              <w:t xml:space="preserve">$178,039 </w:t>
            </w:r>
          </w:p>
        </w:tc>
        <w:tc>
          <w:tcPr>
            <w:tcW w:w="452" w:type="pct"/>
            <w:tcBorders>
              <w:top w:val="nil"/>
              <w:left w:val="nil"/>
              <w:bottom w:val="nil"/>
              <w:right w:val="double" w:sz="6" w:space="0" w:color="auto"/>
            </w:tcBorders>
            <w:shd w:val="clear" w:color="auto" w:fill="auto"/>
            <w:vAlign w:val="center"/>
          </w:tcPr>
          <w:p w:rsidR="00C027C1" w:rsidRPr="00A8196B" w:rsidP="00C027C1" w14:paraId="072B9949" w14:textId="77777777">
            <w:pPr>
              <w:spacing w:after="0"/>
              <w:jc w:val="center"/>
              <w:rPr>
                <w:rFonts w:cs="Arial"/>
                <w:b/>
                <w:bCs/>
                <w:color w:val="000000"/>
                <w:sz w:val="16"/>
                <w:szCs w:val="16"/>
              </w:rPr>
            </w:pPr>
            <w:r w:rsidRPr="00A8196B">
              <w:rPr>
                <w:rFonts w:cs="Arial"/>
                <w:b/>
                <w:bCs/>
                <w:color w:val="000000"/>
                <w:sz w:val="16"/>
                <w:szCs w:val="16"/>
              </w:rPr>
              <w:t xml:space="preserve">$3,560,790 </w:t>
            </w:r>
          </w:p>
        </w:tc>
      </w:tr>
      <w:tr w14:paraId="41D34BB7" w14:textId="77777777" w:rsidTr="00C027C1">
        <w:tblPrEx>
          <w:tblW w:w="4861" w:type="pct"/>
          <w:tblCellMar>
            <w:left w:w="58" w:type="dxa"/>
            <w:right w:w="58" w:type="dxa"/>
          </w:tblCellMar>
          <w:tblLook w:val="04A0"/>
        </w:tblPrEx>
        <w:trPr>
          <w:trHeight w:val="630"/>
        </w:trPr>
        <w:tc>
          <w:tcPr>
            <w:tcW w:w="746" w:type="pct"/>
            <w:tcBorders>
              <w:top w:val="single" w:sz="8" w:space="0" w:color="auto"/>
              <w:left w:val="double" w:sz="6" w:space="0" w:color="auto"/>
              <w:bottom w:val="single" w:sz="8" w:space="0" w:color="auto"/>
              <w:right w:val="single" w:sz="8" w:space="0" w:color="auto"/>
            </w:tcBorders>
            <w:shd w:val="clear" w:color="auto" w:fill="auto"/>
          </w:tcPr>
          <w:p w:rsidR="00C027C1" w:rsidRPr="00A8196B" w:rsidP="00C027C1" w14:paraId="6E36B447" w14:textId="77777777">
            <w:pPr>
              <w:spacing w:after="0"/>
              <w:ind w:firstLine="400"/>
              <w:rPr>
                <w:rFonts w:cs="Arial"/>
                <w:color w:val="000000"/>
                <w:sz w:val="16"/>
                <w:szCs w:val="16"/>
              </w:rPr>
            </w:pPr>
            <w:r w:rsidRPr="00A8196B">
              <w:rPr>
                <w:rFonts w:cs="Arial"/>
                <w:color w:val="000000"/>
                <w:sz w:val="16"/>
                <w:szCs w:val="16"/>
              </w:rPr>
              <w:t>Section 5(e) Orders with Potentially Useful Information/ 5(f) Orders with No Testing</w:t>
            </w:r>
            <w:r w:rsidRPr="00A8196B">
              <w:rPr>
                <w:rFonts w:cs="Arial"/>
                <w:b/>
                <w:bCs/>
                <w:color w:val="000000"/>
                <w:sz w:val="16"/>
                <w:szCs w:val="16"/>
                <w:vertAlign w:val="superscript"/>
              </w:rPr>
              <w:t>1</w:t>
            </w:r>
          </w:p>
        </w:tc>
        <w:tc>
          <w:tcPr>
            <w:tcW w:w="537" w:type="pct"/>
            <w:tcBorders>
              <w:top w:val="single" w:sz="8" w:space="0" w:color="auto"/>
              <w:left w:val="nil"/>
              <w:bottom w:val="single" w:sz="8" w:space="0" w:color="auto"/>
              <w:right w:val="single" w:sz="8" w:space="0" w:color="auto"/>
            </w:tcBorders>
            <w:shd w:val="clear" w:color="auto" w:fill="auto"/>
          </w:tcPr>
          <w:p w:rsidR="00C027C1" w:rsidRPr="00A8196B" w:rsidP="00C027C1" w14:paraId="43AF07EC" w14:textId="77777777">
            <w:pPr>
              <w:spacing w:after="0"/>
              <w:jc w:val="center"/>
              <w:rPr>
                <w:rFonts w:cs="Arial"/>
                <w:color w:val="000000"/>
                <w:sz w:val="16"/>
                <w:szCs w:val="16"/>
              </w:rPr>
            </w:pPr>
            <w:r w:rsidRPr="00A8196B">
              <w:rPr>
                <w:rFonts w:cs="Arial"/>
                <w:color w:val="000000"/>
                <w:sz w:val="16"/>
                <w:szCs w:val="16"/>
              </w:rPr>
              <w:t>33</w:t>
            </w:r>
          </w:p>
        </w:tc>
        <w:tc>
          <w:tcPr>
            <w:tcW w:w="274" w:type="pct"/>
            <w:tcBorders>
              <w:top w:val="single" w:sz="8" w:space="0" w:color="auto"/>
              <w:left w:val="nil"/>
              <w:bottom w:val="single" w:sz="8" w:space="0" w:color="auto"/>
              <w:right w:val="single" w:sz="8" w:space="0" w:color="auto"/>
            </w:tcBorders>
            <w:shd w:val="clear" w:color="auto" w:fill="auto"/>
          </w:tcPr>
          <w:p w:rsidR="00C027C1" w:rsidRPr="00A8196B" w:rsidP="00C027C1" w14:paraId="2CCFB397" w14:textId="77777777">
            <w:pPr>
              <w:spacing w:after="0"/>
              <w:jc w:val="center"/>
              <w:rPr>
                <w:rFonts w:cs="Arial"/>
                <w:color w:val="000000"/>
                <w:sz w:val="16"/>
                <w:szCs w:val="16"/>
              </w:rPr>
            </w:pPr>
            <w:r w:rsidRPr="00A8196B">
              <w:rPr>
                <w:rFonts w:cs="Arial"/>
                <w:color w:val="000000"/>
                <w:sz w:val="16"/>
                <w:szCs w:val="16"/>
              </w:rPr>
              <w:t>24.57</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37296CF1" w14:textId="77777777">
            <w:pPr>
              <w:spacing w:after="0"/>
              <w:jc w:val="center"/>
              <w:rPr>
                <w:rFonts w:cs="Arial"/>
                <w:color w:val="000000"/>
                <w:sz w:val="16"/>
                <w:szCs w:val="16"/>
              </w:rPr>
            </w:pPr>
            <w:r w:rsidRPr="00A8196B">
              <w:rPr>
                <w:rFonts w:cs="Arial"/>
                <w:color w:val="000000"/>
                <w:sz w:val="16"/>
                <w:szCs w:val="16"/>
              </w:rPr>
              <w:t>$95.41</w:t>
            </w:r>
          </w:p>
        </w:tc>
        <w:tc>
          <w:tcPr>
            <w:tcW w:w="329" w:type="pct"/>
            <w:tcBorders>
              <w:top w:val="single" w:sz="8" w:space="0" w:color="auto"/>
              <w:left w:val="nil"/>
              <w:bottom w:val="single" w:sz="8" w:space="0" w:color="auto"/>
              <w:right w:val="single" w:sz="8" w:space="0" w:color="auto"/>
            </w:tcBorders>
            <w:shd w:val="clear" w:color="auto" w:fill="auto"/>
          </w:tcPr>
          <w:p w:rsidR="00C027C1" w:rsidRPr="00A8196B" w:rsidP="00C027C1" w14:paraId="4B451F29" w14:textId="77777777">
            <w:pPr>
              <w:spacing w:after="0"/>
              <w:jc w:val="center"/>
              <w:rPr>
                <w:rFonts w:cs="Arial"/>
                <w:color w:val="000000"/>
                <w:sz w:val="16"/>
                <w:szCs w:val="16"/>
              </w:rPr>
            </w:pPr>
            <w:r w:rsidRPr="00A8196B">
              <w:rPr>
                <w:rFonts w:cs="Arial"/>
                <w:color w:val="000000"/>
                <w:sz w:val="16"/>
                <w:szCs w:val="16"/>
              </w:rPr>
              <w:t>29.175</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35C937EB" w14:textId="77777777">
            <w:pPr>
              <w:spacing w:after="0"/>
              <w:jc w:val="center"/>
              <w:rPr>
                <w:rFonts w:cs="Arial"/>
                <w:color w:val="000000"/>
                <w:sz w:val="16"/>
                <w:szCs w:val="16"/>
              </w:rPr>
            </w:pPr>
            <w:r w:rsidRPr="00A8196B">
              <w:rPr>
                <w:rFonts w:cs="Arial"/>
                <w:color w:val="000000"/>
                <w:sz w:val="16"/>
                <w:szCs w:val="16"/>
              </w:rPr>
              <w:t>$82.06</w:t>
            </w:r>
          </w:p>
        </w:tc>
        <w:tc>
          <w:tcPr>
            <w:tcW w:w="286" w:type="pct"/>
            <w:tcBorders>
              <w:top w:val="single" w:sz="8" w:space="0" w:color="auto"/>
              <w:left w:val="nil"/>
              <w:bottom w:val="single" w:sz="8" w:space="0" w:color="auto"/>
              <w:right w:val="single" w:sz="8" w:space="0" w:color="auto"/>
            </w:tcBorders>
            <w:shd w:val="clear" w:color="auto" w:fill="auto"/>
          </w:tcPr>
          <w:p w:rsidR="00C027C1" w:rsidRPr="00A8196B" w:rsidP="00C027C1" w14:paraId="03730BEA" w14:textId="77777777">
            <w:pPr>
              <w:spacing w:after="0"/>
              <w:jc w:val="center"/>
              <w:rPr>
                <w:rFonts w:cs="Arial"/>
                <w:color w:val="000000"/>
                <w:sz w:val="16"/>
                <w:szCs w:val="16"/>
              </w:rPr>
            </w:pPr>
            <w:r w:rsidRPr="00A8196B">
              <w:rPr>
                <w:rFonts w:cs="Arial"/>
                <w:color w:val="000000"/>
                <w:sz w:val="16"/>
                <w:szCs w:val="16"/>
              </w:rPr>
              <w:t>12.5</w:t>
            </w:r>
          </w:p>
        </w:tc>
        <w:tc>
          <w:tcPr>
            <w:tcW w:w="310" w:type="pct"/>
            <w:tcBorders>
              <w:top w:val="single" w:sz="8" w:space="0" w:color="auto"/>
              <w:left w:val="nil"/>
              <w:bottom w:val="single" w:sz="8" w:space="0" w:color="auto"/>
              <w:right w:val="single" w:sz="8" w:space="0" w:color="auto"/>
            </w:tcBorders>
            <w:shd w:val="clear" w:color="auto" w:fill="auto"/>
          </w:tcPr>
          <w:p w:rsidR="00C027C1" w:rsidRPr="00A8196B" w:rsidP="00C027C1" w14:paraId="6F9CC5CE" w14:textId="77777777">
            <w:pPr>
              <w:spacing w:after="0"/>
              <w:jc w:val="center"/>
              <w:rPr>
                <w:rFonts w:cs="Arial"/>
                <w:color w:val="000000"/>
                <w:sz w:val="16"/>
                <w:szCs w:val="16"/>
              </w:rPr>
            </w:pPr>
            <w:r w:rsidRPr="00A8196B">
              <w:rPr>
                <w:rFonts w:cs="Arial"/>
                <w:color w:val="000000"/>
                <w:sz w:val="16"/>
                <w:szCs w:val="16"/>
              </w:rPr>
              <w:t>$37.33</w:t>
            </w:r>
          </w:p>
        </w:tc>
        <w:tc>
          <w:tcPr>
            <w:tcW w:w="340" w:type="pct"/>
            <w:tcBorders>
              <w:top w:val="single" w:sz="8" w:space="0" w:color="auto"/>
              <w:left w:val="nil"/>
              <w:bottom w:val="single" w:sz="8" w:space="0" w:color="auto"/>
              <w:right w:val="single" w:sz="8" w:space="0" w:color="auto"/>
            </w:tcBorders>
            <w:shd w:val="clear" w:color="auto" w:fill="auto"/>
          </w:tcPr>
          <w:p w:rsidR="00C027C1" w:rsidRPr="00A8196B" w:rsidP="00C027C1" w14:paraId="6C5D59B5" w14:textId="77777777">
            <w:pPr>
              <w:spacing w:after="0"/>
              <w:jc w:val="center"/>
              <w:rPr>
                <w:rFonts w:cs="Arial"/>
                <w:color w:val="000000"/>
                <w:sz w:val="16"/>
                <w:szCs w:val="16"/>
              </w:rPr>
            </w:pPr>
            <w:r w:rsidRPr="00A8196B">
              <w:rPr>
                <w:rFonts w:cs="Arial"/>
                <w:color w:val="000000"/>
                <w:sz w:val="16"/>
                <w:szCs w:val="16"/>
              </w:rPr>
              <w:t>$5,205</w:t>
            </w:r>
          </w:p>
        </w:tc>
        <w:tc>
          <w:tcPr>
            <w:tcW w:w="338" w:type="pct"/>
            <w:tcBorders>
              <w:top w:val="single" w:sz="8" w:space="0" w:color="auto"/>
              <w:left w:val="nil"/>
              <w:bottom w:val="single" w:sz="8" w:space="0" w:color="auto"/>
              <w:right w:val="single" w:sz="8" w:space="0" w:color="auto"/>
            </w:tcBorders>
            <w:shd w:val="clear" w:color="auto" w:fill="auto"/>
          </w:tcPr>
          <w:p w:rsidR="00C027C1" w:rsidRPr="00A8196B" w:rsidP="00C027C1" w14:paraId="544767EB"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tcPr>
          <w:p w:rsidR="00C027C1" w:rsidRPr="00A8196B" w:rsidP="00C027C1" w14:paraId="526A8341" w14:textId="77777777">
            <w:pPr>
              <w:spacing w:after="0"/>
              <w:jc w:val="center"/>
              <w:rPr>
                <w:rFonts w:cs="Arial"/>
                <w:color w:val="000000"/>
                <w:sz w:val="16"/>
                <w:szCs w:val="16"/>
              </w:rPr>
            </w:pPr>
            <w:r w:rsidRPr="00A8196B">
              <w:rPr>
                <w:rFonts w:cs="Arial"/>
                <w:color w:val="000000"/>
                <w:sz w:val="16"/>
                <w:szCs w:val="16"/>
              </w:rPr>
              <w:t>-</w:t>
            </w:r>
          </w:p>
        </w:tc>
        <w:tc>
          <w:tcPr>
            <w:tcW w:w="429" w:type="pct"/>
            <w:tcBorders>
              <w:top w:val="single" w:sz="8" w:space="0" w:color="auto"/>
              <w:left w:val="nil"/>
              <w:bottom w:val="single" w:sz="8" w:space="0" w:color="auto"/>
              <w:right w:val="single" w:sz="8" w:space="0" w:color="auto"/>
            </w:tcBorders>
            <w:shd w:val="clear" w:color="auto" w:fill="auto"/>
          </w:tcPr>
          <w:p w:rsidR="00C027C1" w:rsidRPr="00A8196B" w:rsidP="00C027C1" w14:paraId="5B3A2922" w14:textId="77777777">
            <w:pPr>
              <w:spacing w:after="0"/>
              <w:jc w:val="center"/>
              <w:rPr>
                <w:rFonts w:cs="Arial"/>
                <w:color w:val="000000"/>
                <w:sz w:val="16"/>
                <w:szCs w:val="16"/>
              </w:rPr>
            </w:pPr>
            <w:r w:rsidRPr="00A8196B">
              <w:rPr>
                <w:rFonts w:cs="Arial"/>
                <w:color w:val="000000"/>
                <w:sz w:val="16"/>
                <w:szCs w:val="16"/>
              </w:rPr>
              <w:t>$5,205</w:t>
            </w:r>
          </w:p>
        </w:tc>
        <w:tc>
          <w:tcPr>
            <w:tcW w:w="452" w:type="pct"/>
            <w:tcBorders>
              <w:top w:val="single" w:sz="8" w:space="0" w:color="auto"/>
              <w:left w:val="nil"/>
              <w:bottom w:val="single" w:sz="8" w:space="0" w:color="auto"/>
              <w:right w:val="double" w:sz="6" w:space="0" w:color="auto"/>
            </w:tcBorders>
            <w:shd w:val="clear" w:color="auto" w:fill="auto"/>
          </w:tcPr>
          <w:p w:rsidR="00C027C1" w:rsidRPr="00A8196B" w:rsidP="00C027C1" w14:paraId="6148D2FE" w14:textId="77777777">
            <w:pPr>
              <w:spacing w:after="0"/>
              <w:jc w:val="center"/>
              <w:rPr>
                <w:rFonts w:cs="Arial"/>
                <w:b/>
                <w:bCs/>
                <w:color w:val="000000"/>
                <w:sz w:val="16"/>
                <w:szCs w:val="16"/>
              </w:rPr>
            </w:pPr>
            <w:r w:rsidRPr="00A8196B">
              <w:rPr>
                <w:rFonts w:cs="Arial"/>
                <w:b/>
                <w:bCs/>
                <w:color w:val="000000"/>
                <w:sz w:val="16"/>
                <w:szCs w:val="16"/>
              </w:rPr>
              <w:t>$171,763</w:t>
            </w:r>
          </w:p>
        </w:tc>
      </w:tr>
      <w:tr w14:paraId="40010B24" w14:textId="77777777" w:rsidTr="00C027C1">
        <w:tblPrEx>
          <w:tblW w:w="4861" w:type="pct"/>
          <w:tblCellMar>
            <w:left w:w="58" w:type="dxa"/>
            <w:right w:w="58" w:type="dxa"/>
          </w:tblCellMar>
          <w:tblLook w:val="04A0"/>
        </w:tblPrEx>
        <w:trPr>
          <w:trHeight w:val="38"/>
        </w:trPr>
        <w:tc>
          <w:tcPr>
            <w:tcW w:w="746" w:type="pct"/>
            <w:tcBorders>
              <w:top w:val="single" w:sz="8" w:space="0" w:color="auto"/>
              <w:left w:val="double" w:sz="6" w:space="0" w:color="auto"/>
              <w:bottom w:val="single" w:sz="8" w:space="0" w:color="auto"/>
              <w:right w:val="single" w:sz="8" w:space="0" w:color="auto"/>
            </w:tcBorders>
            <w:shd w:val="clear" w:color="auto" w:fill="auto"/>
          </w:tcPr>
          <w:p w:rsidR="00C027C1" w:rsidRPr="00A8196B" w:rsidP="00C027C1" w14:paraId="620C8578" w14:textId="77777777">
            <w:pPr>
              <w:spacing w:after="0"/>
              <w:ind w:firstLine="400"/>
              <w:rPr>
                <w:rFonts w:cs="Arial"/>
                <w:color w:val="000000"/>
                <w:sz w:val="16"/>
                <w:szCs w:val="16"/>
              </w:rPr>
            </w:pPr>
            <w:r w:rsidRPr="00A8196B">
              <w:rPr>
                <w:rFonts w:cs="Arial"/>
                <w:color w:val="000000"/>
                <w:sz w:val="16"/>
                <w:szCs w:val="16"/>
              </w:rPr>
              <w:t>NOC</w:t>
            </w:r>
          </w:p>
        </w:tc>
        <w:tc>
          <w:tcPr>
            <w:tcW w:w="537" w:type="pct"/>
            <w:tcBorders>
              <w:top w:val="single" w:sz="8" w:space="0" w:color="auto"/>
              <w:left w:val="nil"/>
              <w:bottom w:val="single" w:sz="8" w:space="0" w:color="auto"/>
              <w:right w:val="single" w:sz="8" w:space="0" w:color="auto"/>
            </w:tcBorders>
            <w:shd w:val="clear" w:color="auto" w:fill="auto"/>
          </w:tcPr>
          <w:p w:rsidR="00C027C1" w:rsidRPr="00A8196B" w:rsidP="00C027C1" w14:paraId="15692C35" w14:textId="77777777">
            <w:pPr>
              <w:spacing w:after="0"/>
              <w:jc w:val="center"/>
              <w:rPr>
                <w:rFonts w:cs="Arial"/>
                <w:color w:val="000000"/>
                <w:sz w:val="16"/>
                <w:szCs w:val="16"/>
              </w:rPr>
            </w:pPr>
            <w:r w:rsidRPr="00A8196B">
              <w:rPr>
                <w:rFonts w:cs="Arial"/>
                <w:color w:val="000000"/>
                <w:sz w:val="16"/>
                <w:szCs w:val="16"/>
              </w:rPr>
              <w:t>169</w:t>
            </w:r>
          </w:p>
        </w:tc>
        <w:tc>
          <w:tcPr>
            <w:tcW w:w="274" w:type="pct"/>
            <w:tcBorders>
              <w:top w:val="single" w:sz="8" w:space="0" w:color="auto"/>
              <w:left w:val="nil"/>
              <w:bottom w:val="single" w:sz="8" w:space="0" w:color="auto"/>
              <w:right w:val="single" w:sz="8" w:space="0" w:color="auto"/>
            </w:tcBorders>
            <w:shd w:val="clear" w:color="auto" w:fill="auto"/>
          </w:tcPr>
          <w:p w:rsidR="00C027C1" w:rsidRPr="00A8196B" w:rsidP="00C027C1" w14:paraId="7ED19809" w14:textId="77777777">
            <w:pPr>
              <w:spacing w:after="0"/>
              <w:jc w:val="center"/>
              <w:rPr>
                <w:rFonts w:cs="Arial"/>
                <w:color w:val="000000"/>
                <w:sz w:val="16"/>
                <w:szCs w:val="16"/>
              </w:rPr>
            </w:pPr>
            <w:r w:rsidRPr="00A8196B">
              <w:rPr>
                <w:rFonts w:cs="Arial"/>
                <w:color w:val="000000"/>
                <w:sz w:val="16"/>
                <w:szCs w:val="16"/>
              </w:rPr>
              <w:t>5.07</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49C2869B" w14:textId="77777777">
            <w:pPr>
              <w:spacing w:after="0"/>
              <w:jc w:val="center"/>
              <w:rPr>
                <w:rFonts w:cs="Arial"/>
                <w:color w:val="000000"/>
                <w:sz w:val="16"/>
                <w:szCs w:val="16"/>
              </w:rPr>
            </w:pPr>
            <w:r w:rsidRPr="00A8196B">
              <w:rPr>
                <w:rFonts w:cs="Arial"/>
                <w:color w:val="000000"/>
                <w:sz w:val="16"/>
                <w:szCs w:val="16"/>
              </w:rPr>
              <w:t>$76.67</w:t>
            </w:r>
          </w:p>
        </w:tc>
        <w:tc>
          <w:tcPr>
            <w:tcW w:w="329" w:type="pct"/>
            <w:tcBorders>
              <w:top w:val="single" w:sz="8" w:space="0" w:color="auto"/>
              <w:left w:val="nil"/>
              <w:bottom w:val="single" w:sz="8" w:space="0" w:color="auto"/>
              <w:right w:val="single" w:sz="8" w:space="0" w:color="auto"/>
            </w:tcBorders>
            <w:shd w:val="clear" w:color="auto" w:fill="auto"/>
          </w:tcPr>
          <w:p w:rsidR="00C027C1" w:rsidRPr="00A8196B" w:rsidP="00C027C1" w14:paraId="46B2D388" w14:textId="77777777">
            <w:pPr>
              <w:spacing w:after="0"/>
              <w:jc w:val="center"/>
              <w:rPr>
                <w:rFonts w:cs="Arial"/>
                <w:color w:val="000000"/>
                <w:sz w:val="16"/>
                <w:szCs w:val="16"/>
              </w:rPr>
            </w:pPr>
            <w:r w:rsidRPr="00A8196B">
              <w:rPr>
                <w:rFonts w:cs="Arial"/>
                <w:color w:val="000000"/>
                <w:sz w:val="16"/>
                <w:szCs w:val="16"/>
              </w:rPr>
              <w:t>11.8375</w:t>
            </w:r>
          </w:p>
        </w:tc>
        <w:tc>
          <w:tcPr>
            <w:tcW w:w="309" w:type="pct"/>
            <w:tcBorders>
              <w:top w:val="single" w:sz="8" w:space="0" w:color="auto"/>
              <w:left w:val="nil"/>
              <w:bottom w:val="single" w:sz="8" w:space="0" w:color="auto"/>
              <w:right w:val="single" w:sz="8" w:space="0" w:color="auto"/>
            </w:tcBorders>
            <w:shd w:val="clear" w:color="auto" w:fill="auto"/>
          </w:tcPr>
          <w:p w:rsidR="00C027C1" w:rsidRPr="00A8196B" w:rsidP="00C027C1" w14:paraId="5569DF79" w14:textId="77777777">
            <w:pPr>
              <w:spacing w:after="0"/>
              <w:jc w:val="center"/>
              <w:rPr>
                <w:rFonts w:cs="Arial"/>
                <w:color w:val="000000"/>
                <w:sz w:val="16"/>
                <w:szCs w:val="16"/>
              </w:rPr>
            </w:pPr>
            <w:r w:rsidRPr="00A8196B">
              <w:rPr>
                <w:rFonts w:cs="Arial"/>
                <w:color w:val="000000"/>
                <w:sz w:val="16"/>
                <w:szCs w:val="16"/>
              </w:rPr>
              <w:t>$77.94</w:t>
            </w:r>
          </w:p>
        </w:tc>
        <w:tc>
          <w:tcPr>
            <w:tcW w:w="286" w:type="pct"/>
            <w:tcBorders>
              <w:top w:val="single" w:sz="8" w:space="0" w:color="auto"/>
              <w:left w:val="nil"/>
              <w:bottom w:val="single" w:sz="8" w:space="0" w:color="auto"/>
              <w:right w:val="single" w:sz="8" w:space="0" w:color="auto"/>
            </w:tcBorders>
            <w:shd w:val="clear" w:color="auto" w:fill="auto"/>
          </w:tcPr>
          <w:p w:rsidR="00C027C1" w:rsidRPr="00A8196B" w:rsidP="00C027C1" w14:paraId="59AF0158" w14:textId="77777777">
            <w:pPr>
              <w:spacing w:after="0"/>
              <w:jc w:val="center"/>
              <w:rPr>
                <w:rFonts w:cs="Arial"/>
                <w:color w:val="000000"/>
                <w:sz w:val="16"/>
                <w:szCs w:val="16"/>
              </w:rPr>
            </w:pPr>
            <w:r w:rsidRPr="00A8196B">
              <w:rPr>
                <w:rFonts w:cs="Arial"/>
                <w:color w:val="000000"/>
                <w:sz w:val="16"/>
                <w:szCs w:val="16"/>
              </w:rPr>
              <w:t>0.0625</w:t>
            </w:r>
          </w:p>
        </w:tc>
        <w:tc>
          <w:tcPr>
            <w:tcW w:w="310" w:type="pct"/>
            <w:tcBorders>
              <w:top w:val="single" w:sz="8" w:space="0" w:color="auto"/>
              <w:left w:val="nil"/>
              <w:bottom w:val="single" w:sz="8" w:space="0" w:color="auto"/>
              <w:right w:val="single" w:sz="8" w:space="0" w:color="auto"/>
            </w:tcBorders>
            <w:shd w:val="clear" w:color="auto" w:fill="auto"/>
          </w:tcPr>
          <w:p w:rsidR="00C027C1" w:rsidRPr="00A8196B" w:rsidP="00C027C1" w14:paraId="29D36563" w14:textId="77777777">
            <w:pPr>
              <w:spacing w:after="0"/>
              <w:jc w:val="center"/>
              <w:rPr>
                <w:rFonts w:cs="Arial"/>
                <w:color w:val="000000"/>
                <w:sz w:val="16"/>
                <w:szCs w:val="16"/>
              </w:rPr>
            </w:pPr>
            <w:r w:rsidRPr="00A8196B">
              <w:rPr>
                <w:rFonts w:cs="Arial"/>
                <w:color w:val="000000"/>
                <w:sz w:val="16"/>
                <w:szCs w:val="16"/>
              </w:rPr>
              <w:t>$34.99</w:t>
            </w:r>
          </w:p>
        </w:tc>
        <w:tc>
          <w:tcPr>
            <w:tcW w:w="340" w:type="pct"/>
            <w:tcBorders>
              <w:top w:val="single" w:sz="8" w:space="0" w:color="auto"/>
              <w:left w:val="nil"/>
              <w:bottom w:val="single" w:sz="8" w:space="0" w:color="auto"/>
              <w:right w:val="single" w:sz="8" w:space="0" w:color="auto"/>
            </w:tcBorders>
            <w:shd w:val="clear" w:color="auto" w:fill="auto"/>
          </w:tcPr>
          <w:p w:rsidR="00C027C1" w:rsidRPr="00A8196B" w:rsidP="00C027C1" w14:paraId="2DE54754" w14:textId="77777777">
            <w:pPr>
              <w:spacing w:after="0"/>
              <w:jc w:val="center"/>
              <w:rPr>
                <w:rFonts w:cs="Arial"/>
                <w:color w:val="000000"/>
                <w:sz w:val="16"/>
                <w:szCs w:val="16"/>
              </w:rPr>
            </w:pPr>
            <w:r w:rsidRPr="00A8196B">
              <w:rPr>
                <w:rFonts w:cs="Arial"/>
                <w:color w:val="000000"/>
                <w:sz w:val="16"/>
                <w:szCs w:val="16"/>
              </w:rPr>
              <w:t>$1,314</w:t>
            </w:r>
          </w:p>
        </w:tc>
        <w:tc>
          <w:tcPr>
            <w:tcW w:w="338" w:type="pct"/>
            <w:tcBorders>
              <w:top w:val="single" w:sz="8" w:space="0" w:color="auto"/>
              <w:left w:val="nil"/>
              <w:bottom w:val="single" w:sz="8" w:space="0" w:color="auto"/>
              <w:right w:val="single" w:sz="8" w:space="0" w:color="auto"/>
            </w:tcBorders>
            <w:shd w:val="clear" w:color="auto" w:fill="auto"/>
          </w:tcPr>
          <w:p w:rsidR="00C027C1" w:rsidRPr="00A8196B" w:rsidP="00C027C1" w14:paraId="4FEE3C7A"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8" w:space="0" w:color="auto"/>
              <w:left w:val="nil"/>
              <w:bottom w:val="single" w:sz="8" w:space="0" w:color="auto"/>
              <w:right w:val="single" w:sz="8" w:space="0" w:color="auto"/>
            </w:tcBorders>
            <w:shd w:val="clear" w:color="auto" w:fill="auto"/>
          </w:tcPr>
          <w:p w:rsidR="00C027C1" w:rsidRPr="00A8196B" w:rsidP="00C027C1" w14:paraId="019301CB" w14:textId="77777777">
            <w:pPr>
              <w:spacing w:after="0"/>
              <w:jc w:val="center"/>
              <w:rPr>
                <w:rFonts w:cs="Arial"/>
                <w:color w:val="000000"/>
                <w:sz w:val="16"/>
                <w:szCs w:val="16"/>
              </w:rPr>
            </w:pPr>
            <w:r w:rsidRPr="00A8196B">
              <w:rPr>
                <w:rFonts w:cs="Arial"/>
                <w:color w:val="000000"/>
                <w:sz w:val="16"/>
                <w:szCs w:val="16"/>
              </w:rPr>
              <w:t>-</w:t>
            </w:r>
          </w:p>
        </w:tc>
        <w:tc>
          <w:tcPr>
            <w:tcW w:w="429" w:type="pct"/>
            <w:tcBorders>
              <w:top w:val="single" w:sz="8" w:space="0" w:color="auto"/>
              <w:left w:val="nil"/>
              <w:bottom w:val="single" w:sz="8" w:space="0" w:color="auto"/>
              <w:right w:val="single" w:sz="8" w:space="0" w:color="auto"/>
            </w:tcBorders>
            <w:shd w:val="clear" w:color="auto" w:fill="auto"/>
          </w:tcPr>
          <w:p w:rsidR="00C027C1" w:rsidRPr="00A8196B" w:rsidP="00C027C1" w14:paraId="7FB88AAE" w14:textId="77777777">
            <w:pPr>
              <w:spacing w:after="0"/>
              <w:jc w:val="center"/>
              <w:rPr>
                <w:rFonts w:cs="Arial"/>
                <w:color w:val="000000"/>
                <w:sz w:val="16"/>
                <w:szCs w:val="16"/>
              </w:rPr>
            </w:pPr>
            <w:r w:rsidRPr="00A8196B">
              <w:rPr>
                <w:rFonts w:cs="Arial"/>
                <w:color w:val="000000"/>
                <w:sz w:val="16"/>
                <w:szCs w:val="16"/>
              </w:rPr>
              <w:t>$1,314</w:t>
            </w:r>
          </w:p>
        </w:tc>
        <w:tc>
          <w:tcPr>
            <w:tcW w:w="452" w:type="pct"/>
            <w:tcBorders>
              <w:top w:val="single" w:sz="8" w:space="0" w:color="auto"/>
              <w:left w:val="nil"/>
              <w:bottom w:val="single" w:sz="8" w:space="0" w:color="auto"/>
              <w:right w:val="double" w:sz="6" w:space="0" w:color="auto"/>
            </w:tcBorders>
            <w:shd w:val="clear" w:color="auto" w:fill="auto"/>
          </w:tcPr>
          <w:p w:rsidR="00C027C1" w:rsidRPr="00A8196B" w:rsidP="00C027C1" w14:paraId="65AD2F6B" w14:textId="77777777">
            <w:pPr>
              <w:spacing w:after="0"/>
              <w:jc w:val="center"/>
              <w:rPr>
                <w:rFonts w:cs="Arial"/>
                <w:b/>
                <w:bCs/>
                <w:color w:val="000000"/>
                <w:sz w:val="16"/>
                <w:szCs w:val="16"/>
              </w:rPr>
            </w:pPr>
            <w:r w:rsidRPr="00A8196B">
              <w:rPr>
                <w:rFonts w:cs="Arial"/>
                <w:b/>
                <w:bCs/>
                <w:color w:val="000000"/>
                <w:sz w:val="16"/>
                <w:szCs w:val="16"/>
              </w:rPr>
              <w:t>$221,985</w:t>
            </w:r>
          </w:p>
        </w:tc>
      </w:tr>
      <w:tr w14:paraId="35035B0E" w14:textId="77777777" w:rsidTr="00C027C1">
        <w:tblPrEx>
          <w:tblW w:w="4861" w:type="pct"/>
          <w:tblCellMar>
            <w:left w:w="58" w:type="dxa"/>
            <w:right w:w="58" w:type="dxa"/>
          </w:tblCellMar>
          <w:tblLook w:val="04A0"/>
        </w:tblPrEx>
        <w:trPr>
          <w:trHeight w:val="219"/>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031533CE" w14:textId="77777777">
            <w:pPr>
              <w:spacing w:after="0"/>
              <w:ind w:firstLine="400"/>
              <w:rPr>
                <w:rFonts w:cs="Arial"/>
                <w:color w:val="000000"/>
                <w:sz w:val="16"/>
                <w:szCs w:val="16"/>
              </w:rPr>
            </w:pPr>
            <w:r w:rsidRPr="00A8196B">
              <w:rPr>
                <w:rFonts w:cs="Arial"/>
                <w:color w:val="000000"/>
                <w:sz w:val="16"/>
                <w:szCs w:val="16"/>
              </w:rPr>
              <w:t>New CDX Registration</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5F712380" w14:textId="77777777">
            <w:pPr>
              <w:spacing w:after="0"/>
              <w:jc w:val="center"/>
              <w:rPr>
                <w:rFonts w:cs="Arial"/>
                <w:color w:val="000000"/>
                <w:sz w:val="16"/>
                <w:szCs w:val="16"/>
              </w:rPr>
            </w:pPr>
            <w:r w:rsidRPr="00A8196B">
              <w:rPr>
                <w:rFonts w:cs="Arial"/>
                <w:color w:val="000000"/>
                <w:sz w:val="16"/>
                <w:szCs w:val="16"/>
              </w:rPr>
              <w:t>2942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126BD227" w14:textId="77777777">
            <w:pPr>
              <w:spacing w:after="0"/>
              <w:jc w:val="center"/>
              <w:rPr>
                <w:rFonts w:cs="Arial"/>
                <w:color w:val="000000"/>
                <w:sz w:val="16"/>
                <w:szCs w:val="16"/>
              </w:rPr>
            </w:pPr>
            <w:r w:rsidRPr="00A8196B">
              <w:rPr>
                <w:rFonts w:cs="Arial"/>
                <w:color w:val="000000"/>
                <w:sz w:val="16"/>
                <w:szCs w:val="16"/>
              </w:rPr>
              <w:t>0.132</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4D69D4D2" w14:textId="77777777">
            <w:pPr>
              <w:spacing w:after="0"/>
              <w:jc w:val="center"/>
              <w:rPr>
                <w:rFonts w:cs="Arial"/>
                <w:color w:val="000000"/>
                <w:sz w:val="16"/>
                <w:szCs w:val="16"/>
              </w:rPr>
            </w:pPr>
            <w:r w:rsidRPr="00A8196B">
              <w:rPr>
                <w:rFonts w:cs="Arial"/>
                <w:color w:val="000000"/>
                <w:sz w:val="16"/>
                <w:szCs w:val="16"/>
              </w:rPr>
              <w:t xml:space="preserve">$76.67 </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70164E09" w14:textId="77777777">
            <w:pPr>
              <w:spacing w:after="0"/>
              <w:jc w:val="center"/>
              <w:rPr>
                <w:rFonts w:cs="Arial"/>
                <w:color w:val="000000"/>
                <w:sz w:val="16"/>
                <w:szCs w:val="16"/>
              </w:rPr>
            </w:pPr>
            <w:r w:rsidRPr="00A8196B">
              <w:rPr>
                <w:rFonts w:cs="Arial"/>
                <w:color w:val="000000"/>
                <w:sz w:val="16"/>
                <w:szCs w:val="16"/>
              </w:rPr>
              <w:t>0.528</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22BC8FA1" w14:textId="77777777">
            <w:pPr>
              <w:spacing w:after="0"/>
              <w:jc w:val="center"/>
              <w:rPr>
                <w:rFonts w:cs="Arial"/>
                <w:color w:val="000000"/>
                <w:sz w:val="16"/>
                <w:szCs w:val="16"/>
              </w:rPr>
            </w:pPr>
            <w:r w:rsidRPr="00A8196B">
              <w:rPr>
                <w:rFonts w:cs="Arial"/>
                <w:color w:val="000000"/>
                <w:sz w:val="16"/>
                <w:szCs w:val="16"/>
              </w:rPr>
              <w:t xml:space="preserve">$77.94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36DEDDBE" w14:textId="77777777">
            <w:pPr>
              <w:spacing w:after="0"/>
              <w:jc w:val="center"/>
              <w:rPr>
                <w:rFonts w:cs="Arial"/>
                <w:color w:val="000000"/>
                <w:sz w:val="16"/>
                <w:szCs w:val="16"/>
              </w:rPr>
            </w:pPr>
            <w:r w:rsidRPr="00A8196B">
              <w:rPr>
                <w:rFonts w:cs="Arial"/>
                <w:color w:val="000000"/>
                <w:sz w:val="16"/>
                <w:szCs w:val="16"/>
              </w:rPr>
              <w:t>0</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1EED9C17" w14:textId="77777777">
            <w:pPr>
              <w:spacing w:after="0"/>
              <w:jc w:val="center"/>
              <w:rPr>
                <w:rFonts w:cs="Arial"/>
                <w:color w:val="000000"/>
                <w:sz w:val="16"/>
                <w:szCs w:val="16"/>
              </w:rPr>
            </w:pPr>
            <w:r w:rsidRPr="00A8196B">
              <w:rPr>
                <w:rFonts w:cs="Arial"/>
                <w:color w:val="000000"/>
                <w:sz w:val="16"/>
                <w:szCs w:val="16"/>
              </w:rPr>
              <w:t xml:space="preserve">$34.99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1C89DE92" w14:textId="77777777">
            <w:pPr>
              <w:spacing w:after="0"/>
              <w:jc w:val="center"/>
              <w:rPr>
                <w:rFonts w:cs="Arial"/>
                <w:color w:val="000000"/>
                <w:sz w:val="16"/>
                <w:szCs w:val="16"/>
              </w:rPr>
            </w:pPr>
            <w:r w:rsidRPr="00A8196B">
              <w:rPr>
                <w:rFonts w:cs="Arial"/>
                <w:color w:val="000000"/>
                <w:sz w:val="16"/>
                <w:szCs w:val="16"/>
              </w:rPr>
              <w:t xml:space="preserve">$51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702C5410" w14:textId="77777777">
            <w:pPr>
              <w:spacing w:after="0"/>
              <w:jc w:val="center"/>
              <w:rPr>
                <w:rFonts w:cs="Arial"/>
                <w:color w:val="000000"/>
                <w:sz w:val="16"/>
                <w:szCs w:val="16"/>
              </w:rPr>
            </w:pPr>
            <w:r w:rsidRPr="00A8196B">
              <w:rPr>
                <w:rFonts w:cs="Arial"/>
                <w:color w:val="000000"/>
                <w:sz w:val="16"/>
                <w:szCs w:val="16"/>
              </w:rPr>
              <w:t>-</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6FA1DF86" w14:textId="77777777">
            <w:pPr>
              <w:spacing w:after="0"/>
              <w:jc w:val="center"/>
              <w:rPr>
                <w:rFonts w:cs="Arial"/>
                <w:color w:val="000000"/>
                <w:sz w:val="16"/>
                <w:szCs w:val="16"/>
              </w:rPr>
            </w:pPr>
            <w:r w:rsidRPr="00A8196B">
              <w:rPr>
                <w:rFonts w:cs="Arial"/>
                <w:color w:val="000000"/>
                <w:sz w:val="16"/>
                <w:szCs w:val="16"/>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3008FF4F" w14:textId="77777777">
            <w:pPr>
              <w:spacing w:after="0"/>
              <w:jc w:val="center"/>
              <w:rPr>
                <w:rFonts w:cs="Arial"/>
                <w:color w:val="000000"/>
                <w:sz w:val="16"/>
                <w:szCs w:val="16"/>
              </w:rPr>
            </w:pPr>
            <w:r w:rsidRPr="00A8196B">
              <w:rPr>
                <w:rFonts w:cs="Arial"/>
                <w:color w:val="000000"/>
                <w:sz w:val="16"/>
                <w:szCs w:val="16"/>
              </w:rPr>
              <w:t xml:space="preserve">$51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64373544" w14:textId="77777777">
            <w:pPr>
              <w:spacing w:after="0"/>
              <w:jc w:val="center"/>
              <w:rPr>
                <w:rFonts w:cs="Arial"/>
                <w:b/>
                <w:bCs/>
                <w:color w:val="000000"/>
                <w:sz w:val="16"/>
                <w:szCs w:val="16"/>
              </w:rPr>
            </w:pPr>
            <w:r w:rsidRPr="00A8196B">
              <w:rPr>
                <w:rFonts w:cs="Arial"/>
                <w:b/>
                <w:bCs/>
                <w:color w:val="000000"/>
                <w:sz w:val="16"/>
                <w:szCs w:val="16"/>
              </w:rPr>
              <w:t xml:space="preserve">$150,844 </w:t>
            </w:r>
          </w:p>
        </w:tc>
      </w:tr>
      <w:tr w14:paraId="0B0D1253" w14:textId="77777777" w:rsidTr="00836DC9">
        <w:tblPrEx>
          <w:tblW w:w="4861" w:type="pct"/>
          <w:tblCellMar>
            <w:left w:w="58" w:type="dxa"/>
            <w:right w:w="58" w:type="dxa"/>
          </w:tblCellMar>
          <w:tblLook w:val="04A0"/>
        </w:tblPrEx>
        <w:trPr>
          <w:trHeight w:val="380"/>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5CC8EA65" w14:textId="77777777">
            <w:pPr>
              <w:spacing w:after="0"/>
              <w:ind w:firstLine="400"/>
              <w:rPr>
                <w:rFonts w:cs="Arial"/>
                <w:color w:val="000000"/>
                <w:sz w:val="16"/>
                <w:szCs w:val="16"/>
              </w:rPr>
            </w:pPr>
            <w:r w:rsidRPr="00A8196B">
              <w:rPr>
                <w:rFonts w:cs="Arial"/>
                <w:b/>
                <w:bCs/>
                <w:color w:val="000000"/>
                <w:sz w:val="16"/>
                <w:szCs w:val="16"/>
              </w:rPr>
              <w:t xml:space="preserve">Total </w:t>
            </w:r>
          </w:p>
        </w:tc>
        <w:tc>
          <w:tcPr>
            <w:tcW w:w="3802" w:type="pct"/>
            <w:gridSpan w:val="11"/>
            <w:tcBorders>
              <w:top w:val="single" w:sz="4" w:space="0" w:color="auto"/>
              <w:left w:val="single" w:sz="4" w:space="0" w:color="auto"/>
              <w:bottom w:val="single" w:sz="4" w:space="0" w:color="auto"/>
              <w:right w:val="single" w:sz="8" w:space="0" w:color="auto"/>
            </w:tcBorders>
            <w:shd w:val="clear" w:color="auto" w:fill="auto"/>
            <w:vAlign w:val="center"/>
          </w:tcPr>
          <w:p w:rsidR="00C027C1" w:rsidRPr="00A8196B" w:rsidP="00C027C1" w14:paraId="22D51B61" w14:textId="77777777">
            <w:pPr>
              <w:spacing w:after="0"/>
              <w:jc w:val="center"/>
              <w:rPr>
                <w:rFonts w:cs="Arial"/>
                <w:color w:val="000000"/>
                <w:sz w:val="16"/>
                <w:szCs w:val="16"/>
              </w:rPr>
            </w:pPr>
          </w:p>
        </w:tc>
        <w:tc>
          <w:tcPr>
            <w:tcW w:w="452" w:type="pct"/>
            <w:tcBorders>
              <w:top w:val="single" w:sz="8" w:space="0" w:color="auto"/>
              <w:left w:val="nil"/>
              <w:bottom w:val="single" w:sz="8" w:space="0" w:color="auto"/>
              <w:right w:val="double" w:sz="6" w:space="0" w:color="auto"/>
            </w:tcBorders>
            <w:shd w:val="clear" w:color="auto" w:fill="auto"/>
          </w:tcPr>
          <w:p w:rsidR="00C027C1" w:rsidRPr="00A8196B" w:rsidP="00C027C1" w14:paraId="64882749" w14:textId="77777777">
            <w:pPr>
              <w:spacing w:after="0" w:line="240" w:lineRule="auto"/>
              <w:jc w:val="center"/>
              <w:rPr>
                <w:rFonts w:cs="Arial"/>
                <w:b/>
                <w:bCs/>
                <w:color w:val="000000"/>
                <w:sz w:val="16"/>
                <w:szCs w:val="16"/>
              </w:rPr>
            </w:pPr>
            <w:r w:rsidRPr="00A8196B">
              <w:rPr>
                <w:rFonts w:cs="Arial"/>
                <w:b/>
                <w:bCs/>
                <w:color w:val="000000"/>
                <w:sz w:val="16"/>
                <w:szCs w:val="16"/>
              </w:rPr>
              <w:t>$37,324,700</w:t>
            </w:r>
          </w:p>
          <w:p w:rsidR="00C027C1" w:rsidRPr="00A8196B" w:rsidP="00C027C1" w14:paraId="56580D8F" w14:textId="77777777">
            <w:pPr>
              <w:spacing w:after="0"/>
              <w:jc w:val="center"/>
              <w:rPr>
                <w:rFonts w:cs="Arial"/>
                <w:b/>
                <w:bCs/>
                <w:color w:val="000000"/>
                <w:sz w:val="16"/>
                <w:szCs w:val="16"/>
              </w:rPr>
            </w:pPr>
          </w:p>
        </w:tc>
      </w:tr>
      <w:tr w14:paraId="584B5EFE" w14:textId="77777777" w:rsidTr="00836DC9">
        <w:tblPrEx>
          <w:tblW w:w="4861" w:type="pct"/>
          <w:tblCellMar>
            <w:left w:w="58" w:type="dxa"/>
            <w:right w:w="58" w:type="dxa"/>
          </w:tblCellMar>
          <w:tblLook w:val="04A0"/>
        </w:tblPrEx>
        <w:trPr>
          <w:trHeight w:val="219"/>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0F84B8CC" w14:textId="77777777">
            <w:pPr>
              <w:spacing w:after="0"/>
              <w:ind w:firstLine="400"/>
              <w:rPr>
                <w:rFonts w:cs="Arial"/>
                <w:b/>
                <w:bCs/>
                <w:color w:val="000000"/>
                <w:sz w:val="16"/>
                <w:szCs w:val="16"/>
              </w:rPr>
            </w:pPr>
            <w:r w:rsidRPr="00A8196B">
              <w:rPr>
                <w:rFonts w:cs="Arial"/>
                <w:b/>
                <w:bCs/>
                <w:color w:val="000000"/>
                <w:sz w:val="16"/>
                <w:szCs w:val="16"/>
              </w:rPr>
              <w:t>Footnotes</w:t>
            </w:r>
          </w:p>
        </w:tc>
        <w:tc>
          <w:tcPr>
            <w:tcW w:w="4254" w:type="pct"/>
            <w:gridSpan w:val="12"/>
            <w:tcBorders>
              <w:top w:val="single" w:sz="4" w:space="0" w:color="auto"/>
              <w:left w:val="single" w:sz="4" w:space="0" w:color="auto"/>
              <w:bottom w:val="single" w:sz="4" w:space="0" w:color="auto"/>
              <w:right w:val="double" w:sz="6" w:space="0" w:color="auto"/>
            </w:tcBorders>
            <w:shd w:val="clear" w:color="auto" w:fill="auto"/>
            <w:vAlign w:val="center"/>
          </w:tcPr>
          <w:p w:rsidR="00C027C1" w:rsidRPr="00A8196B" w:rsidP="00C027C1" w14:paraId="71B217E3" w14:textId="77777777">
            <w:pPr>
              <w:spacing w:after="0" w:line="240" w:lineRule="auto"/>
              <w:jc w:val="center"/>
              <w:rPr>
                <w:rFonts w:cs="Arial"/>
                <w:b/>
                <w:bCs/>
                <w:color w:val="000000"/>
                <w:sz w:val="16"/>
                <w:szCs w:val="16"/>
              </w:rPr>
            </w:pPr>
          </w:p>
        </w:tc>
      </w:tr>
      <w:tr w14:paraId="0F32B3E6" w14:textId="77777777" w:rsidTr="00836DC9">
        <w:tblPrEx>
          <w:tblW w:w="4861" w:type="pct"/>
          <w:tblCellMar>
            <w:left w:w="58" w:type="dxa"/>
            <w:right w:w="58" w:type="dxa"/>
          </w:tblCellMar>
          <w:tblLook w:val="04A0"/>
        </w:tblPrEx>
        <w:trPr>
          <w:trHeight w:val="2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5E88161B" w14:textId="77777777">
            <w:pPr>
              <w:spacing w:after="0"/>
              <w:ind w:firstLine="400"/>
              <w:jc w:val="right"/>
              <w:rPr>
                <w:rFonts w:cs="Arial"/>
                <w:color w:val="000000"/>
                <w:sz w:val="16"/>
                <w:szCs w:val="16"/>
              </w:rPr>
            </w:pPr>
            <w:r w:rsidRPr="00A8196B">
              <w:rPr>
                <w:rFonts w:cs="Arial"/>
                <w:color w:val="000000"/>
                <w:sz w:val="16"/>
                <w:szCs w:val="16"/>
              </w:rPr>
              <w:t>1</w:t>
            </w:r>
          </w:p>
        </w:tc>
        <w:tc>
          <w:tcPr>
            <w:tcW w:w="4254" w:type="pct"/>
            <w:gridSpan w:val="12"/>
            <w:tcBorders>
              <w:top w:val="single" w:sz="4" w:space="0" w:color="auto"/>
              <w:bottom w:val="single" w:sz="4" w:space="0" w:color="auto"/>
              <w:right w:val="single" w:sz="4" w:space="0" w:color="auto"/>
            </w:tcBorders>
            <w:shd w:val="clear" w:color="auto" w:fill="auto"/>
            <w:vAlign w:val="center"/>
          </w:tcPr>
          <w:p w:rsidR="00C027C1" w:rsidRPr="00A8196B" w:rsidP="00C027C1" w14:paraId="25C4EFDD" w14:textId="77777777">
            <w:pPr>
              <w:spacing w:after="0" w:line="240" w:lineRule="auto"/>
              <w:rPr>
                <w:rFonts w:cs="Arial"/>
                <w:b/>
                <w:bCs/>
                <w:color w:val="000000"/>
                <w:sz w:val="16"/>
                <w:szCs w:val="16"/>
              </w:rPr>
            </w:pPr>
            <w:r w:rsidRPr="00A8196B">
              <w:rPr>
                <w:rFonts w:cs="Arial"/>
                <w:sz w:val="16"/>
                <w:szCs w:val="16"/>
              </w:rPr>
              <w:t>Labor costs are calculated by multiplying burden hours by the wage rate for each labor category and summing across labor categories.</w:t>
            </w:r>
          </w:p>
        </w:tc>
      </w:tr>
      <w:tr w14:paraId="3DD3145E" w14:textId="77777777" w:rsidTr="00836DC9">
        <w:tblPrEx>
          <w:tblW w:w="4861" w:type="pct"/>
          <w:tblCellMar>
            <w:left w:w="58" w:type="dxa"/>
            <w:right w:w="58" w:type="dxa"/>
          </w:tblCellMar>
          <w:tblLook w:val="04A0"/>
        </w:tblPrEx>
        <w:trPr>
          <w:trHeight w:val="527"/>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272C4464" w14:textId="77777777">
            <w:pPr>
              <w:spacing w:after="0"/>
              <w:ind w:firstLine="400"/>
              <w:jc w:val="right"/>
              <w:rPr>
                <w:rFonts w:cs="Arial"/>
                <w:color w:val="000000"/>
                <w:sz w:val="16"/>
                <w:szCs w:val="16"/>
              </w:rPr>
            </w:pPr>
            <w:r w:rsidRPr="00A8196B">
              <w:rPr>
                <w:rFonts w:cs="Arial"/>
                <w:color w:val="000000"/>
                <w:sz w:val="16"/>
                <w:szCs w:val="16"/>
              </w:rPr>
              <w:t>2</w:t>
            </w:r>
          </w:p>
        </w:tc>
        <w:tc>
          <w:tcPr>
            <w:tcW w:w="4254" w:type="pct"/>
            <w:gridSpan w:val="12"/>
            <w:tcBorders>
              <w:top w:val="single" w:sz="4" w:space="0" w:color="auto"/>
              <w:bottom w:val="single" w:sz="4" w:space="0" w:color="auto"/>
              <w:right w:val="single" w:sz="4" w:space="0" w:color="auto"/>
            </w:tcBorders>
            <w:shd w:val="clear" w:color="auto" w:fill="auto"/>
            <w:vAlign w:val="center"/>
          </w:tcPr>
          <w:p w:rsidR="00C027C1" w:rsidRPr="00A8196B" w:rsidP="00C027C1" w14:paraId="68486EE4" w14:textId="77777777">
            <w:pPr>
              <w:spacing w:after="0" w:line="240" w:lineRule="auto"/>
              <w:rPr>
                <w:rFonts w:cs="Arial"/>
                <w:b/>
                <w:bCs/>
                <w:color w:val="000000"/>
                <w:sz w:val="16"/>
                <w:szCs w:val="16"/>
              </w:rPr>
            </w:pPr>
            <w:r w:rsidRPr="00A8196B">
              <w:rPr>
                <w:rFonts w:cs="Arial"/>
                <w:sz w:val="16"/>
                <w:szCs w:val="16"/>
              </w:rPr>
              <w:t>Delay costs calculated using the average of low and high estimates from “Regulatory Impact Analysis of Amendments to Regulations for TSCA section 5 Premanufacture Notifications” September 9, 1994 (RIA, 1994), updated to 2020$, using Bureau of Labor Statistics Producer Price Index data for the chemical manufacturing industry. MCANs are assumed to have the same delay costs as PMNs.</w:t>
            </w:r>
          </w:p>
        </w:tc>
      </w:tr>
      <w:tr w14:paraId="69522E7D" w14:textId="77777777" w:rsidTr="00836DC9">
        <w:tblPrEx>
          <w:tblW w:w="4861" w:type="pct"/>
          <w:tblCellMar>
            <w:left w:w="58" w:type="dxa"/>
            <w:right w:w="58" w:type="dxa"/>
          </w:tblCellMar>
          <w:tblLook w:val="04A0"/>
        </w:tblPrEx>
        <w:trPr>
          <w:trHeight w:val="2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65C1376F" w14:textId="77777777">
            <w:pPr>
              <w:spacing w:after="0"/>
              <w:ind w:firstLine="400"/>
              <w:jc w:val="right"/>
              <w:rPr>
                <w:rFonts w:cs="Arial"/>
                <w:color w:val="000000"/>
                <w:sz w:val="16"/>
                <w:szCs w:val="16"/>
              </w:rPr>
            </w:pPr>
            <w:r w:rsidRPr="00A8196B">
              <w:rPr>
                <w:rFonts w:cs="Arial"/>
                <w:color w:val="000000"/>
                <w:sz w:val="16"/>
                <w:szCs w:val="16"/>
              </w:rPr>
              <w:t>3</w:t>
            </w:r>
          </w:p>
        </w:tc>
        <w:tc>
          <w:tcPr>
            <w:tcW w:w="4254" w:type="pct"/>
            <w:gridSpan w:val="12"/>
            <w:tcBorders>
              <w:top w:val="single" w:sz="4" w:space="0" w:color="auto"/>
              <w:left w:val="single" w:sz="4" w:space="0" w:color="auto"/>
              <w:bottom w:val="single" w:sz="4" w:space="0" w:color="auto"/>
              <w:right w:val="double" w:sz="6" w:space="0" w:color="auto"/>
            </w:tcBorders>
            <w:shd w:val="clear" w:color="auto" w:fill="auto"/>
            <w:vAlign w:val="center"/>
          </w:tcPr>
          <w:p w:rsidR="00C027C1" w:rsidRPr="00A8196B" w:rsidP="00C027C1" w14:paraId="40787CA2" w14:textId="77777777">
            <w:pPr>
              <w:spacing w:after="0" w:line="240" w:lineRule="auto"/>
              <w:rPr>
                <w:rFonts w:cs="Arial"/>
                <w:b/>
                <w:bCs/>
                <w:color w:val="000000"/>
                <w:sz w:val="16"/>
                <w:szCs w:val="16"/>
              </w:rPr>
            </w:pPr>
            <w:r w:rsidRPr="00A8196B">
              <w:rPr>
                <w:rFonts w:cs="Arial"/>
                <w:sz w:val="16"/>
                <w:szCs w:val="16"/>
              </w:rPr>
              <w:t>User fees charged by EPA, except where noted.</w:t>
            </w:r>
          </w:p>
        </w:tc>
      </w:tr>
      <w:tr w14:paraId="08BCE7ED" w14:textId="77777777" w:rsidTr="00836DC9">
        <w:tblPrEx>
          <w:tblW w:w="4861" w:type="pct"/>
          <w:tblCellMar>
            <w:left w:w="58" w:type="dxa"/>
            <w:right w:w="58" w:type="dxa"/>
          </w:tblCellMar>
          <w:tblLook w:val="04A0"/>
        </w:tblPrEx>
        <w:trPr>
          <w:trHeight w:val="2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10CE50DF" w14:textId="77777777">
            <w:pPr>
              <w:spacing w:after="0"/>
              <w:ind w:firstLine="400"/>
              <w:jc w:val="right"/>
              <w:rPr>
                <w:rFonts w:cs="Arial"/>
                <w:color w:val="000000"/>
                <w:sz w:val="16"/>
                <w:szCs w:val="16"/>
              </w:rPr>
            </w:pPr>
            <w:r w:rsidRPr="00A8196B">
              <w:rPr>
                <w:rFonts w:cs="Arial"/>
                <w:color w:val="000000"/>
                <w:sz w:val="16"/>
                <w:szCs w:val="16"/>
              </w:rPr>
              <w:t>4</w:t>
            </w:r>
          </w:p>
        </w:tc>
        <w:tc>
          <w:tcPr>
            <w:tcW w:w="4254" w:type="pct"/>
            <w:gridSpan w:val="12"/>
            <w:tcBorders>
              <w:top w:val="single" w:sz="4" w:space="0" w:color="auto"/>
              <w:left w:val="single" w:sz="4" w:space="0" w:color="auto"/>
              <w:bottom w:val="single" w:sz="4" w:space="0" w:color="auto"/>
              <w:right w:val="double" w:sz="6" w:space="0" w:color="auto"/>
            </w:tcBorders>
            <w:shd w:val="clear" w:color="auto" w:fill="auto"/>
            <w:vAlign w:val="center"/>
          </w:tcPr>
          <w:p w:rsidR="00C027C1" w:rsidRPr="00A8196B" w:rsidP="00C027C1" w14:paraId="56013E39" w14:textId="77777777">
            <w:pPr>
              <w:spacing w:after="0" w:line="240" w:lineRule="auto"/>
              <w:rPr>
                <w:rFonts w:cs="Arial"/>
                <w:b/>
                <w:bCs/>
                <w:color w:val="000000"/>
                <w:sz w:val="16"/>
                <w:szCs w:val="16"/>
              </w:rPr>
            </w:pPr>
            <w:r w:rsidRPr="00A8196B">
              <w:rPr>
                <w:rFonts w:cs="Arial"/>
                <w:sz w:val="16"/>
                <w:szCs w:val="16"/>
              </w:rPr>
              <w:t>Average cost per notice is the sum of labor costs, delay costs and fees.</w:t>
            </w:r>
          </w:p>
        </w:tc>
      </w:tr>
      <w:tr w14:paraId="0710393E" w14:textId="77777777" w:rsidTr="00836DC9">
        <w:tblPrEx>
          <w:tblW w:w="4861" w:type="pct"/>
          <w:tblCellMar>
            <w:left w:w="58" w:type="dxa"/>
            <w:right w:w="58" w:type="dxa"/>
          </w:tblCellMar>
          <w:tblLook w:val="04A0"/>
        </w:tblPrEx>
        <w:trPr>
          <w:trHeight w:val="527"/>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521A330F" w14:textId="77777777">
            <w:pPr>
              <w:spacing w:after="0"/>
              <w:ind w:firstLine="400"/>
              <w:jc w:val="right"/>
              <w:rPr>
                <w:rFonts w:cs="Arial"/>
                <w:color w:val="000000"/>
                <w:sz w:val="16"/>
                <w:szCs w:val="16"/>
              </w:rPr>
            </w:pPr>
            <w:r w:rsidRPr="00A8196B">
              <w:rPr>
                <w:rFonts w:cs="Arial"/>
                <w:color w:val="000000"/>
                <w:sz w:val="16"/>
                <w:szCs w:val="16"/>
              </w:rPr>
              <w:t>5</w:t>
            </w:r>
          </w:p>
        </w:tc>
        <w:tc>
          <w:tcPr>
            <w:tcW w:w="4254" w:type="pct"/>
            <w:gridSpan w:val="12"/>
            <w:tcBorders>
              <w:top w:val="nil"/>
              <w:bottom w:val="nil"/>
              <w:right w:val="double" w:sz="6" w:space="0" w:color="auto"/>
            </w:tcBorders>
            <w:shd w:val="clear" w:color="auto" w:fill="auto"/>
            <w:vAlign w:val="center"/>
          </w:tcPr>
          <w:p w:rsidR="00C027C1" w:rsidRPr="00A8196B" w:rsidP="00C027C1" w14:paraId="5225969F" w14:textId="77777777">
            <w:pPr>
              <w:spacing w:after="0" w:line="240" w:lineRule="auto"/>
              <w:rPr>
                <w:rFonts w:cs="Arial"/>
                <w:b/>
                <w:bCs/>
                <w:color w:val="000000"/>
                <w:sz w:val="16"/>
                <w:szCs w:val="16"/>
              </w:rPr>
            </w:pPr>
            <w:r w:rsidRPr="00A8196B">
              <w:rPr>
                <w:rFonts w:cs="Arial"/>
                <w:sz w:val="16"/>
                <w:szCs w:val="16"/>
              </w:rPr>
              <w:t>This figure is for a representative testing regimen consisting of 835.3110 (ready biodegradability), 850.1010, 850.1075, 850.5400 (aquatic base set), and OECD 407 (28-day repeated dose), based on an analysis of average costs for 277 testing cases and inflated to 2020$ using the Bureau of Labor Statistics (BLS) Employment Cost Index (ECI) series for all workers in private industry (Series ID CIS2010000000000I (B)).</w:t>
            </w:r>
          </w:p>
        </w:tc>
      </w:tr>
      <w:tr w14:paraId="1BBD6A84" w14:textId="77777777" w:rsidTr="00836DC9">
        <w:tblPrEx>
          <w:tblW w:w="4861" w:type="pct"/>
          <w:tblCellMar>
            <w:left w:w="58" w:type="dxa"/>
            <w:right w:w="58" w:type="dxa"/>
          </w:tblCellMar>
          <w:tblLook w:val="04A0"/>
        </w:tblPrEx>
        <w:trPr>
          <w:trHeight w:val="20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C027C1" w:rsidRPr="00A8196B" w:rsidP="00C027C1" w14:paraId="1470AD15" w14:textId="77777777">
            <w:pPr>
              <w:spacing w:after="0"/>
              <w:ind w:firstLine="400"/>
              <w:jc w:val="right"/>
              <w:rPr>
                <w:rFonts w:cs="Arial"/>
                <w:color w:val="000000"/>
                <w:sz w:val="16"/>
                <w:szCs w:val="16"/>
              </w:rPr>
            </w:pPr>
            <w:r w:rsidRPr="00A8196B">
              <w:rPr>
                <w:rFonts w:cs="Arial"/>
                <w:color w:val="000000"/>
                <w:sz w:val="16"/>
                <w:szCs w:val="16"/>
              </w:rPr>
              <w:t>6</w:t>
            </w:r>
          </w:p>
        </w:tc>
        <w:tc>
          <w:tcPr>
            <w:tcW w:w="4254" w:type="pct"/>
            <w:gridSpan w:val="12"/>
            <w:tcBorders>
              <w:top w:val="single" w:sz="4" w:space="0" w:color="auto"/>
              <w:left w:val="single" w:sz="4" w:space="0" w:color="auto"/>
              <w:bottom w:val="single" w:sz="4" w:space="0" w:color="auto"/>
              <w:right w:val="double" w:sz="6" w:space="0" w:color="auto"/>
            </w:tcBorders>
            <w:shd w:val="clear" w:color="auto" w:fill="auto"/>
            <w:vAlign w:val="center"/>
          </w:tcPr>
          <w:p w:rsidR="00C027C1" w:rsidRPr="00A8196B" w:rsidP="00C027C1" w14:paraId="41ACC2E4" w14:textId="77777777">
            <w:pPr>
              <w:spacing w:after="0" w:line="240" w:lineRule="auto"/>
              <w:rPr>
                <w:rFonts w:cs="Arial"/>
                <w:b/>
                <w:bCs/>
                <w:color w:val="000000"/>
                <w:sz w:val="16"/>
                <w:szCs w:val="16"/>
              </w:rPr>
            </w:pPr>
            <w:r w:rsidRPr="00A8196B">
              <w:rPr>
                <w:rFonts w:cs="Arial"/>
                <w:sz w:val="16"/>
                <w:szCs w:val="16"/>
              </w:rPr>
              <w:t>While companies incur costs for control equipment, such costs are outside the scope of this ICR</w:t>
            </w:r>
          </w:p>
        </w:tc>
      </w:tr>
    </w:tbl>
    <w:p w:rsidR="000F68A9" w:rsidRPr="00A8196B" w:rsidP="00341004" w14:paraId="2F868A37" w14:textId="77777777">
      <w:pPr>
        <w:pStyle w:val="Heading2"/>
        <w:keepNext/>
        <w:keepLines/>
        <w:ind w:firstLine="0"/>
        <w:sectPr w:rsidSect="000F68A9">
          <w:footerReference w:type="default" r:id="rId8"/>
          <w:headerReference w:type="first" r:id="rId9"/>
          <w:footerReference w:type="first" r:id="rId10"/>
          <w:pgSz w:w="15840" w:h="12240" w:orient="landscape"/>
          <w:pgMar w:top="1440" w:right="1440" w:bottom="1440" w:left="1440" w:header="720" w:footer="720" w:gutter="0"/>
          <w:cols w:space="720"/>
          <w:titlePg/>
          <w:docGrid w:linePitch="360"/>
        </w:sectPr>
      </w:pPr>
      <w:bookmarkStart w:id="41" w:name="_Toc49148207"/>
    </w:p>
    <w:p w:rsidR="00A055B4" w:rsidRPr="00DB1C79" w:rsidP="00A055B4" w14:paraId="2636651E" w14:textId="3B6ED6B3">
      <w:pPr>
        <w:spacing w:after="180" w:line="240" w:lineRule="auto"/>
        <w:rPr>
          <w:rFonts w:eastAsia="Times New Roman" w:cs="Arial"/>
          <w:b/>
          <w:bCs/>
          <w:szCs w:val="20"/>
        </w:rPr>
      </w:pPr>
      <w:bookmarkStart w:id="42" w:name="_Ref120032209"/>
      <w:r w:rsidRPr="00DB1C79">
        <w:rPr>
          <w:rFonts w:eastAsia="Times New Roman" w:cs="Arial"/>
          <w:b/>
          <w:bCs/>
          <w:szCs w:val="20"/>
        </w:rPr>
        <w:t xml:space="preserve">Baseline Burden and Cost Revisions </w:t>
      </w:r>
    </w:p>
    <w:p w:rsidR="00A055B4" w:rsidRPr="00DB1C79" w:rsidP="00A055B4" w14:paraId="0FD1F403" w14:textId="77777777">
      <w:pPr>
        <w:spacing w:after="180" w:line="240" w:lineRule="auto"/>
        <w:rPr>
          <w:rFonts w:eastAsia="Times New Roman" w:cs="Arial"/>
          <w:szCs w:val="20"/>
        </w:rPr>
      </w:pPr>
      <w:r w:rsidRPr="00DB1C79">
        <w:rPr>
          <w:rFonts w:eastAsia="Times New Roman" w:cs="Arial"/>
          <w:szCs w:val="20"/>
        </w:rPr>
        <w:t xml:space="preserve">This section presents the baseline burden to industry based on the current OMB-approved reporting burden. This section also presents the baseline cost to industry by applying the applicable loaded industry wage rates to the current OMB-approved reporting burden. </w:t>
      </w:r>
    </w:p>
    <w:p w:rsidR="00A055B4" w:rsidRPr="00DB1C79" w:rsidP="00A055B4" w14:paraId="048ACED7" w14:textId="5BD32E6B">
      <w:pPr>
        <w:spacing w:after="180" w:line="240" w:lineRule="auto"/>
        <w:rPr>
          <w:rFonts w:eastAsia="Times New Roman" w:cs="Arial"/>
          <w:szCs w:val="20"/>
        </w:rPr>
      </w:pPr>
      <w:r w:rsidRPr="005A27CE">
        <w:rPr>
          <w:rFonts w:eastAsia="Times New Roman" w:cs="Arial"/>
          <w:szCs w:val="20"/>
          <w:highlight w:val="yellow"/>
        </w:rPr>
        <w:fldChar w:fldCharType="begin"/>
      </w:r>
      <w:r w:rsidRPr="00DB1C79">
        <w:rPr>
          <w:rFonts w:eastAsia="Times New Roman" w:cs="Arial"/>
          <w:szCs w:val="20"/>
        </w:rPr>
        <w:instrText xml:space="preserve"> REF _Ref117067981 \h  \* MERGEFORMAT </w:instrText>
      </w:r>
      <w:r w:rsidRPr="005A27CE">
        <w:rPr>
          <w:rFonts w:eastAsia="Times New Roman" w:cs="Arial"/>
          <w:szCs w:val="20"/>
          <w:highlight w:val="yellow"/>
        </w:rPr>
        <w:fldChar w:fldCharType="separate"/>
      </w:r>
      <w:r w:rsidRPr="005A27CE">
        <w:rPr>
          <w:rFonts w:eastAsia="Times New Roman" w:cs="Arial"/>
          <w:szCs w:val="20"/>
        </w:rPr>
        <w:t>Table</w:t>
      </w:r>
      <w:r w:rsidRPr="005A27CE">
        <w:rPr>
          <w:rFonts w:eastAsia="Times New Roman" w:cs="Arial"/>
          <w:szCs w:val="20"/>
          <w:highlight w:val="yellow"/>
        </w:rPr>
        <w:fldChar w:fldCharType="end"/>
      </w:r>
      <w:r w:rsidRPr="005A27CE">
        <w:rPr>
          <w:rFonts w:eastAsia="Times New Roman" w:cs="Arial"/>
          <w:b/>
          <w:bCs/>
          <w:szCs w:val="20"/>
        </w:rPr>
        <w:t xml:space="preserve"> </w:t>
      </w:r>
      <w:r>
        <w:rPr>
          <w:rFonts w:eastAsia="Times New Roman" w:cs="Arial"/>
          <w:szCs w:val="20"/>
        </w:rPr>
        <w:t>2</w:t>
      </w:r>
      <w:r w:rsidRPr="00DB1C79">
        <w:rPr>
          <w:rFonts w:eastAsia="Times New Roman" w:cs="Arial"/>
          <w:szCs w:val="20"/>
        </w:rPr>
        <w:t xml:space="preserve">0 presents the </w:t>
      </w:r>
      <w:bookmarkStart w:id="43" w:name="_Hlk56603496"/>
      <w:r w:rsidRPr="00DB1C79">
        <w:rPr>
          <w:rFonts w:eastAsia="Times New Roman" w:cs="Arial"/>
          <w:szCs w:val="20"/>
        </w:rPr>
        <w:t xml:space="preserve">OMB-approved burden </w:t>
      </w:r>
      <w:bookmarkEnd w:id="43"/>
      <w:r w:rsidRPr="00DB1C79">
        <w:rPr>
          <w:rFonts w:eastAsia="Times New Roman" w:cs="Arial"/>
          <w:szCs w:val="20"/>
        </w:rPr>
        <w:t>hours associated with submitting each of the notices considered in this analysis (PMNs, SNUNs, LVEs, LoREXs, TMEs). The derivation of the burden estimates are described in detail in the most recent TSCA section 5 Information Collection Request (ICR) (</w:t>
      </w:r>
      <w:r w:rsidRPr="005A27CE">
        <w:rPr>
          <w:rFonts w:eastAsia="Times New Roman" w:cs="Arial"/>
          <w:szCs w:val="20"/>
          <w:highlight w:val="yellow"/>
        </w:rPr>
        <w:fldChar w:fldCharType="begin"/>
      </w:r>
      <w:r w:rsidRPr="00DB1C79">
        <w:rPr>
          <w:rFonts w:eastAsia="Times New Roman" w:cs="Arial"/>
          <w:szCs w:val="20"/>
        </w:rPr>
        <w:instrText xml:space="preserve"> ADDIN EN.CITE &lt;EndNote&gt;&lt;Cite ExcludeAuth="1"&gt;&lt;Author&gt;U.S. Environmental Protection Agency (EPA)&lt;/Author&gt;&lt;Year&gt;2019&lt;/Year&gt;&lt;RecNum&gt;8&lt;/RecNum&gt;&lt;Prefix&gt;EPA &lt;/Prefix&gt;&lt;DisplayText&gt;EPA 2019&lt;/DisplayText&gt;&lt;record&gt;&lt;rec-number&gt;8&lt;/rec-number&gt;&lt;foreign-keys&gt;&lt;key app="EN" db-id="zewx9wr2qs9rd8evtw3vefd1arssxe0tw2vr" timestamp="1605804773"&gt;8&lt;/key&gt;&lt;/foreign-keys&gt;&lt;ref-type name="Generic"&gt;13&lt;/ref-type&gt;&lt;contributors&gt;&lt;authors&gt;&lt;author&gt;U.S. Environmental Protection Agency (EPA),&lt;/author&gt;&lt;/authors&gt;&lt;/contributors&gt;&lt;titles&gt;&lt;title&gt;Supporting Statement for an Information Collection Request (ICR) under the Paperwork Reduction Act. Premanufacture Review reporting and Exemption Requirements for New Chemical Substances and Significant New Use Reporting Requirements for Chemical Substances. EPA ICR No. 0574.18. OMB Control No. 20709-0012.&lt;/title&gt;&lt;/titles&gt;&lt;dates&gt;&lt;year&gt;2019&lt;/year&gt;&lt;/dates&gt;&lt;urls&gt;&lt;/urls&gt;&lt;/record&gt;&lt;/Cite&gt;&lt;/EndNote&gt;</w:instrText>
      </w:r>
      <w:r w:rsidRPr="005A27CE">
        <w:rPr>
          <w:rFonts w:eastAsia="Times New Roman" w:cs="Arial"/>
          <w:szCs w:val="20"/>
          <w:highlight w:val="yellow"/>
        </w:rPr>
        <w:fldChar w:fldCharType="separate"/>
      </w:r>
      <w:r w:rsidRPr="00DB1C79">
        <w:rPr>
          <w:rFonts w:eastAsia="Times New Roman" w:cs="Arial"/>
          <w:szCs w:val="20"/>
        </w:rPr>
        <w:t>EPA 2019</w:t>
      </w:r>
      <w:r w:rsidRPr="005A27CE">
        <w:rPr>
          <w:rFonts w:eastAsia="Times New Roman" w:cs="Arial"/>
          <w:szCs w:val="20"/>
          <w:highlight w:val="yellow"/>
        </w:rPr>
        <w:fldChar w:fldCharType="end"/>
      </w:r>
      <w:r w:rsidRPr="00DB1C79">
        <w:rPr>
          <w:rFonts w:eastAsia="Times New Roman" w:cs="Arial"/>
          <w:szCs w:val="20"/>
        </w:rPr>
        <w:t>) and are summarized briefly in this section. The estimated burden of submitting each type of notice generally consists of the following activities:</w:t>
      </w:r>
    </w:p>
    <w:p w:rsidR="00A055B4" w:rsidRPr="00DB1C79" w:rsidP="00A055B4" w14:paraId="5C2DC6FA" w14:textId="77777777">
      <w:pPr>
        <w:numPr>
          <w:ilvl w:val="0"/>
          <w:numId w:val="30"/>
        </w:numPr>
        <w:spacing w:after="180" w:line="240" w:lineRule="auto"/>
        <w:contextualSpacing/>
        <w:rPr>
          <w:rFonts w:eastAsia="Times New Roman" w:cs="Arial"/>
          <w:szCs w:val="20"/>
        </w:rPr>
      </w:pPr>
      <w:r w:rsidRPr="00DB1C79">
        <w:rPr>
          <w:rFonts w:eastAsia="Times New Roman" w:cs="Arial"/>
          <w:szCs w:val="20"/>
        </w:rPr>
        <w:t>Notice preparation. EPA (</w:t>
      </w:r>
      <w:r w:rsidRPr="005A27CE">
        <w:rPr>
          <w:rFonts w:eastAsia="Times New Roman" w:cs="Arial"/>
          <w:szCs w:val="20"/>
          <w:highlight w:val="yellow"/>
        </w:rPr>
        <w:fldChar w:fldCharType="begin"/>
      </w:r>
      <w:r w:rsidRPr="00DB1C79">
        <w:rPr>
          <w:rFonts w:eastAsia="Times New Roman" w:cs="Arial"/>
          <w:szCs w:val="20"/>
        </w:rPr>
        <w:instrText xml:space="preserve"> ADDIN EN.CITE &lt;EndNote&gt;&lt;Cite ExcludeAuth="1"&gt;&lt;Author&gt;U.S. Environmental Protection Agency (EPA)&lt;/Author&gt;&lt;Year&gt;2019&lt;/Year&gt;&lt;RecNum&gt;8&lt;/RecNum&gt;&lt;DisplayText&gt;2019&lt;/DisplayText&gt;&lt;record&gt;&lt;rec-number&gt;8&lt;/rec-number&gt;&lt;foreign-keys&gt;&lt;key app="EN" db-id="zewx9wr2qs9rd8evtw3vefd1arssxe0tw2vr" timestamp="1605804773"&gt;8&lt;/key&gt;&lt;/foreign-keys&gt;&lt;ref-type name="Generic"&gt;13&lt;/ref-type&gt;&lt;contributors&gt;&lt;authors&gt;&lt;author&gt;U.S. Environmental Protection Agency (EPA),&lt;/author&gt;&lt;/authors&gt;&lt;/contributors&gt;&lt;titles&gt;&lt;title&gt;Supporting Statement for an Information Collection Request (ICR) under the Paperwork Reduction Act. Premanufacture Review reporting and Exemption Requirements for New Chemical Substances and Significant New Use Reporting Requirements for Chemical Substances. EPA ICR No. 0574.18. OMB Control No. 20709-0012.&lt;/title&gt;&lt;/titles&gt;&lt;dates&gt;&lt;year&gt;2019&lt;/year&gt;&lt;/dates&gt;&lt;urls&gt;&lt;/urls&gt;&lt;/record&gt;&lt;/Cite&gt;&lt;/EndNote&gt;</w:instrText>
      </w:r>
      <w:r w:rsidRPr="005A27CE">
        <w:rPr>
          <w:rFonts w:eastAsia="Times New Roman" w:cs="Arial"/>
          <w:szCs w:val="20"/>
          <w:highlight w:val="yellow"/>
        </w:rPr>
        <w:fldChar w:fldCharType="separate"/>
      </w:r>
      <w:r w:rsidRPr="00DB1C79">
        <w:rPr>
          <w:rFonts w:eastAsia="Times New Roman" w:cs="Arial"/>
          <w:szCs w:val="20"/>
        </w:rPr>
        <w:t>2019</w:t>
      </w:r>
      <w:r w:rsidRPr="005A27CE">
        <w:rPr>
          <w:rFonts w:eastAsia="Times New Roman" w:cs="Arial"/>
          <w:szCs w:val="20"/>
          <w:highlight w:val="yellow"/>
        </w:rPr>
        <w:fldChar w:fldCharType="end"/>
      </w:r>
      <w:r w:rsidRPr="00DB1C79">
        <w:rPr>
          <w:rFonts w:eastAsia="Times New Roman" w:cs="Arial"/>
          <w:szCs w:val="20"/>
        </w:rPr>
        <w:t>) bases the estimated burdens for notice preparation on estimates from the Economic Analysis (EA) of the e-PMN rule (</w:t>
      </w:r>
      <w:r w:rsidRPr="005A27CE">
        <w:rPr>
          <w:rFonts w:eastAsia="Times New Roman" w:cs="Arial"/>
          <w:szCs w:val="20"/>
          <w:highlight w:val="yellow"/>
        </w:rPr>
        <w:fldChar w:fldCharType="begin"/>
      </w:r>
      <w:r w:rsidRPr="00DB1C79">
        <w:rPr>
          <w:rFonts w:eastAsia="Times New Roman" w:cs="Arial"/>
          <w:szCs w:val="20"/>
        </w:rPr>
        <w:instrText xml:space="preserve"> ADDIN EN.CITE &lt;EndNote&gt;&lt;Cite ExcludeAuth="1"&gt;&lt;Author&gt;U.S. Environmental Protection Agency (EPA)&lt;/Author&gt;&lt;Year&gt;2009&lt;/Year&gt;&lt;RecNum&gt;7&lt;/RecNum&gt;&lt;Prefix&gt;EPA </w:instrText>
      </w:r>
      <w:r w:rsidRPr="00DB1C79">
        <w:rPr>
          <w:rFonts w:eastAsia="Times New Roman" w:cs="Arial"/>
          <w:szCs w:val="20"/>
        </w:rPr>
        <w:instrText>&lt;/Prefix&gt;&lt;DisplayText&gt;EPA 2009&lt;/DisplayText&gt;&lt;record&gt;&lt;rec-number&gt;7&lt;/rec-number&gt;&lt;foreign-keys&gt;&lt;key app="EN" db-id="zewx9wr2qs9rd8evtw3vefd1arssxe0tw2vr" timestamp="1605804478"&gt;7&lt;/key&gt;&lt;/foreign-keys&gt;&lt;ref-type name="Generic"&gt;13&lt;/ref-type&gt;&lt;contributors&gt;&lt;authors&gt;&lt;author&gt;U.S. Environmental Protection Agency (EPA),&lt;/author&gt;&lt;/authors&gt;&lt;/contributors&gt;&lt;titles&gt;&lt;title&gt;Economic Analysis of the Premanufacture Notification Electronic Reporting Final Rule (EPA-HQ-OPPT-2008-0296)&lt;/title&gt;&lt;/titles&gt;&lt;dates&gt;&lt;year&gt;2009&lt;/year&gt;&lt;/dates&gt;&lt;publisher&gt;Office of Pollution Prevention and Toxics, Economic and Policy Analysis&lt;/publisher&gt;&lt;isbn&gt;EPA-HQ-OPPT-2008-0296&lt;/isbn&gt;&lt;urls&gt;&lt;/urls&gt;&lt;/record&gt;&lt;/Cite&gt;&lt;/EndNote&gt;</w:instrText>
      </w:r>
      <w:r w:rsidRPr="005A27CE">
        <w:rPr>
          <w:rFonts w:eastAsia="Times New Roman" w:cs="Arial"/>
          <w:szCs w:val="20"/>
          <w:highlight w:val="yellow"/>
        </w:rPr>
        <w:fldChar w:fldCharType="separate"/>
      </w:r>
      <w:r w:rsidRPr="00DB1C79">
        <w:rPr>
          <w:rFonts w:eastAsia="Times New Roman" w:cs="Arial"/>
          <w:szCs w:val="20"/>
        </w:rPr>
        <w:t>EPA 2009</w:t>
      </w:r>
      <w:r w:rsidRPr="005A27CE">
        <w:rPr>
          <w:rFonts w:eastAsia="Times New Roman" w:cs="Arial"/>
          <w:szCs w:val="20"/>
          <w:highlight w:val="yellow"/>
        </w:rPr>
        <w:fldChar w:fldCharType="end"/>
      </w:r>
      <w:r w:rsidRPr="00DB1C79">
        <w:rPr>
          <w:rFonts w:eastAsia="Times New Roman" w:cs="Arial"/>
          <w:szCs w:val="20"/>
        </w:rPr>
        <w:t>). The burden estimated in the 2009 EA was based on the PMN submission time estimates given in the Regulatory Impact Analysis of Amendments to Regulation for TSCA Section 5 Premanufacture Notifications (</w:t>
      </w:r>
      <w:r w:rsidRPr="005A27CE">
        <w:rPr>
          <w:rFonts w:eastAsia="Times New Roman" w:cs="Arial"/>
          <w:szCs w:val="20"/>
          <w:highlight w:val="yellow"/>
        </w:rPr>
        <w:fldChar w:fldCharType="begin"/>
      </w:r>
      <w:r w:rsidRPr="00DB1C79">
        <w:rPr>
          <w:rFonts w:eastAsia="Times New Roman" w:cs="Arial"/>
          <w:szCs w:val="20"/>
        </w:rPr>
        <w:instrText xml:space="preserve"> ADDIN EN.CITE &lt;EndNote&gt;&lt;Cite ExcludeAuth="1"&gt;&lt;Author&gt;U.S. Environmental Protection Agency (EPA)&lt;/Author&gt;&lt;Year&gt;1994&lt;/Year&gt;&lt;RecNum&gt;13&lt;/RecNum&gt;&lt;Prefix&gt;EPA &lt;/Prefix&gt;&lt;DisplayText&gt;EPA 1994&lt;/DisplayText&gt;&lt;record&gt;&lt;rec-number&gt;13&lt;/rec-number&gt;&lt;foreign-keys&gt;&lt;key app="EN" db-id="zewx9wr2qs9rd8evtw3vefd1arssxe0tw2vr" timestamp="1606145427"&gt;13&lt;/key&gt;&lt;/foreign-keys&gt;&lt;ref-type name="Generic"&gt;13&lt;/ref-type&gt;&lt;contributors&gt;&lt;authors&gt;&lt;author&gt;U.S. Environmental Protection Agency (EPA),&lt;/author&gt;&lt;/authors&gt;&lt;/contributors&gt;&lt;titles&gt;&lt;title&gt;Regulatory Impact Analysis of Amendments to Regulations for TSCA Section 5 Premanufacture Notifications&lt;/title&gt;&lt;/titles&gt;&lt;dates&gt;&lt;year&gt;1994&lt;/year&gt;&lt;pub-dates&gt;&lt;date&gt;September 9, 1994&lt;/date&gt;&lt;/pub-dates&gt;&lt;/dates&gt;&lt;pub-location&gt;Washington, DC&lt;/pub-location&gt;&lt;publisher&gt;Office of Toxic Substances, Regulatory Impacts Branch (OTS/RIB later became OPPT/EPAB)&lt;/publisher&gt;&lt;urls&gt;&lt;/urls&gt;&lt;/record&gt;&lt;/Cite&gt;&lt;/EndNote&gt;</w:instrText>
      </w:r>
      <w:r w:rsidRPr="005A27CE">
        <w:rPr>
          <w:rFonts w:eastAsia="Times New Roman" w:cs="Arial"/>
          <w:szCs w:val="20"/>
          <w:highlight w:val="yellow"/>
        </w:rPr>
        <w:fldChar w:fldCharType="separate"/>
      </w:r>
      <w:r w:rsidRPr="00DB1C79">
        <w:rPr>
          <w:rFonts w:eastAsia="Times New Roman" w:cs="Arial"/>
          <w:szCs w:val="20"/>
        </w:rPr>
        <w:t>EPA 1994</w:t>
      </w:r>
      <w:r w:rsidRPr="005A27CE">
        <w:rPr>
          <w:rFonts w:eastAsia="Times New Roman" w:cs="Arial"/>
          <w:szCs w:val="20"/>
          <w:highlight w:val="yellow"/>
        </w:rPr>
        <w:fldChar w:fldCharType="end"/>
      </w:r>
      <w:r w:rsidRPr="00DB1C79">
        <w:rPr>
          <w:rFonts w:eastAsia="Times New Roman" w:cs="Arial"/>
          <w:szCs w:val="20"/>
        </w:rPr>
        <w:t>), which was the first document to estimate this burden. PMN submissions are estimated to require an additional 30.670 hours based on consideration of comments received from the TSCA New Chemicals Coalition (NCC).</w:t>
      </w:r>
    </w:p>
    <w:p w:rsidR="00A055B4" w:rsidRPr="00DB1C79" w:rsidP="00A055B4" w14:paraId="6337397D" w14:textId="77777777">
      <w:pPr>
        <w:ind w:left="720"/>
        <w:contextualSpacing/>
        <w:rPr>
          <w:rFonts w:eastAsia="Times New Roman" w:cs="Arial"/>
          <w:szCs w:val="20"/>
        </w:rPr>
      </w:pPr>
    </w:p>
    <w:p w:rsidR="00A055B4" w:rsidRPr="00DB1C79" w:rsidP="00A055B4" w14:paraId="58A553FD" w14:textId="77777777">
      <w:pPr>
        <w:numPr>
          <w:ilvl w:val="0"/>
          <w:numId w:val="30"/>
        </w:numPr>
        <w:spacing w:after="180" w:line="240" w:lineRule="auto"/>
        <w:contextualSpacing/>
        <w:rPr>
          <w:rFonts w:eastAsia="Times New Roman" w:cs="Arial"/>
          <w:szCs w:val="20"/>
        </w:rPr>
      </w:pPr>
      <w:r w:rsidRPr="00DB1C79">
        <w:rPr>
          <w:rFonts w:eastAsia="Times New Roman" w:cs="Arial"/>
          <w:szCs w:val="20"/>
        </w:rPr>
        <w:t>2016 TSCA CBI Substantiation:  The 2016 TSCA amendments added an additional burden for including chem ID-based substantiation and non-chem ID-based substantiation.</w:t>
      </w:r>
    </w:p>
    <w:p w:rsidR="00A055B4" w:rsidRPr="00DB1C79" w:rsidP="00A055B4" w14:paraId="5993FA1C" w14:textId="77777777">
      <w:pPr>
        <w:ind w:left="720"/>
        <w:contextualSpacing/>
        <w:rPr>
          <w:rFonts w:eastAsia="Times New Roman" w:cs="Arial"/>
          <w:szCs w:val="20"/>
        </w:rPr>
      </w:pPr>
    </w:p>
    <w:p w:rsidR="00A055B4" w:rsidRPr="00DB1C79" w:rsidP="00A055B4" w14:paraId="1CEEDEEA" w14:textId="77777777">
      <w:pPr>
        <w:numPr>
          <w:ilvl w:val="0"/>
          <w:numId w:val="30"/>
        </w:numPr>
        <w:spacing w:after="180" w:line="240" w:lineRule="auto"/>
        <w:contextualSpacing/>
        <w:rPr>
          <w:rFonts w:eastAsia="Times New Roman" w:cs="Arial"/>
          <w:szCs w:val="20"/>
        </w:rPr>
      </w:pPr>
      <w:r w:rsidRPr="00DB1C79">
        <w:rPr>
          <w:rFonts w:eastAsia="Times New Roman" w:cs="Arial"/>
          <w:szCs w:val="20"/>
        </w:rPr>
        <w:t xml:space="preserve">“Points to Consider” Document: EPA includes burden hours associated with reviewing the “Points to Consider” document. </w:t>
      </w:r>
    </w:p>
    <w:p w:rsidR="00A055B4" w:rsidRPr="00DB1C79" w:rsidP="00A055B4" w14:paraId="12EA6936" w14:textId="77777777">
      <w:pPr>
        <w:ind w:left="720"/>
        <w:contextualSpacing/>
        <w:rPr>
          <w:rFonts w:eastAsia="Times New Roman" w:cs="Arial"/>
          <w:szCs w:val="20"/>
        </w:rPr>
      </w:pPr>
    </w:p>
    <w:p w:rsidR="00A055B4" w:rsidRPr="00DB1C79" w:rsidP="00A055B4" w14:paraId="45D30AEB" w14:textId="77777777">
      <w:pPr>
        <w:numPr>
          <w:ilvl w:val="0"/>
          <w:numId w:val="30"/>
        </w:numPr>
        <w:spacing w:after="180" w:line="240" w:lineRule="auto"/>
        <w:contextualSpacing/>
        <w:rPr>
          <w:rFonts w:eastAsia="Times New Roman" w:cs="Arial"/>
          <w:szCs w:val="20"/>
        </w:rPr>
      </w:pPr>
      <w:r w:rsidRPr="00DB1C79">
        <w:rPr>
          <w:rFonts w:eastAsia="Times New Roman" w:cs="Arial"/>
          <w:szCs w:val="20"/>
        </w:rPr>
        <w:t>Pre-Notification Consultation and Post-Notification Communication: PMN submissions account for time spent engaging in pre-notification consultations and post-notification communications with EPA.</w:t>
      </w:r>
      <w:bookmarkStart w:id="44" w:name="_Ref51060268"/>
    </w:p>
    <w:p w:rsidR="00A055B4" w:rsidRPr="00DB1C79" w:rsidP="00A055B4" w14:paraId="4C56AC17" w14:textId="77777777">
      <w:pPr>
        <w:ind w:left="720"/>
        <w:contextualSpacing/>
        <w:rPr>
          <w:rFonts w:eastAsia="Times New Roman" w:cs="Arial"/>
          <w:szCs w:val="20"/>
        </w:rPr>
      </w:pPr>
    </w:p>
    <w:p w:rsidR="00A055B4" w:rsidRPr="005A27CE" w:rsidP="00A055B4" w14:paraId="3414DC93" w14:textId="77777777">
      <w:pPr>
        <w:ind w:left="720"/>
        <w:contextualSpacing/>
        <w:rPr>
          <w:rFonts w:ascii="Times New Roman" w:eastAsia="Calibri" w:hAnsi="Times New Roman" w:cs="Arial"/>
          <w:sz w:val="22"/>
          <w:highlight w:val="yellow"/>
        </w:rPr>
      </w:pPr>
    </w:p>
    <w:p w:rsidR="00A055B4" w:rsidRPr="00082F08" w:rsidP="00A055B4" w14:paraId="1F5ED4A9" w14:textId="5B119642">
      <w:pPr>
        <w:keepNext/>
        <w:tabs>
          <w:tab w:val="left" w:pos="1260"/>
        </w:tabs>
        <w:spacing w:after="120" w:line="240" w:lineRule="auto"/>
        <w:ind w:left="1260" w:hanging="1260"/>
        <w:rPr>
          <w:rFonts w:eastAsia="Times New Roman" w:cs="Arial"/>
          <w:szCs w:val="20"/>
        </w:rPr>
      </w:pPr>
      <w:bookmarkStart w:id="45" w:name="_Ref54690510"/>
      <w:bookmarkEnd w:id="44"/>
      <w:r w:rsidRPr="00082F08">
        <w:rPr>
          <w:rFonts w:eastAsia="Times New Roman" w:cs="Arial"/>
          <w:b/>
          <w:bCs/>
          <w:szCs w:val="20"/>
        </w:rPr>
        <w:t xml:space="preserve">Table </w:t>
      </w:r>
      <w:bookmarkEnd w:id="45"/>
      <w:r w:rsidRPr="00082F08">
        <w:rPr>
          <w:rFonts w:eastAsia="Times New Roman" w:cs="Arial"/>
          <w:b/>
          <w:bCs/>
          <w:szCs w:val="20"/>
        </w:rPr>
        <w:t>20</w:t>
      </w:r>
      <w:r w:rsidRPr="00082F08">
        <w:rPr>
          <w:rFonts w:eastAsia="Times New Roman" w:cs="Arial"/>
          <w:szCs w:val="20"/>
        </w:rPr>
        <w:t xml:space="preserve">: Total Annual Baseline Burden and Cost </w:t>
      </w:r>
      <w:r w:rsidR="006D7085">
        <w:rPr>
          <w:rFonts w:eastAsia="Times New Roman" w:cs="Arial"/>
          <w:szCs w:val="20"/>
        </w:rPr>
        <w:t xml:space="preserve">for Notice Types Affected </w:t>
      </w:r>
      <w:r w:rsidR="001F21CF">
        <w:rPr>
          <w:rFonts w:eastAsia="Times New Roman" w:cs="Arial"/>
          <w:szCs w:val="20"/>
        </w:rPr>
        <w:t>by</w:t>
      </w:r>
      <w:r w:rsidR="006D7085">
        <w:rPr>
          <w:rFonts w:eastAsia="Times New Roman" w:cs="Arial"/>
          <w:szCs w:val="20"/>
        </w:rPr>
        <w:t xml:space="preserve"> Proposed Rule</w:t>
      </w:r>
    </w:p>
    <w:tbl>
      <w:tblPr>
        <w:tblStyle w:val="TableGrid2"/>
        <w:tblW w:w="5124" w:type="pct"/>
        <w:tblLayout w:type="fixed"/>
        <w:tblLook w:val="04A0"/>
      </w:tblPr>
      <w:tblGrid>
        <w:gridCol w:w="1476"/>
        <w:gridCol w:w="1669"/>
        <w:gridCol w:w="1621"/>
        <w:gridCol w:w="1441"/>
        <w:gridCol w:w="1439"/>
        <w:gridCol w:w="1936"/>
      </w:tblGrid>
      <w:tr w14:paraId="448C3F03" w14:textId="77777777" w:rsidTr="005A27CE">
        <w:tblPrEx>
          <w:tblW w:w="5124" w:type="pct"/>
          <w:tblLayout w:type="fixed"/>
          <w:tblLook w:val="04A0"/>
        </w:tblPrEx>
        <w:trPr>
          <w:trHeight w:val="303"/>
        </w:trPr>
        <w:tc>
          <w:tcPr>
            <w:tcW w:w="770" w:type="pct"/>
            <w:vMerge w:val="restart"/>
            <w:shd w:val="clear" w:color="auto" w:fill="48A9C5"/>
            <w:vAlign w:val="center"/>
          </w:tcPr>
          <w:p w:rsidR="00A055B4" w:rsidRPr="005A27CE" w:rsidP="003A39CF" w14:paraId="14112865" w14:textId="5A44B3CB">
            <w:pPr>
              <w:keepNext/>
              <w:spacing w:after="0" w:line="240" w:lineRule="auto"/>
              <w:jc w:val="center"/>
              <w:rPr>
                <w:rFonts w:cs="Arial"/>
                <w:sz w:val="20"/>
                <w:szCs w:val="16"/>
              </w:rPr>
            </w:pPr>
            <w:r w:rsidRPr="005A27CE">
              <w:rPr>
                <w:rFonts w:cs="Arial"/>
                <w:sz w:val="20"/>
                <w:szCs w:val="16"/>
              </w:rPr>
              <w:t>Notice/Activity</w:t>
            </w:r>
          </w:p>
        </w:tc>
        <w:tc>
          <w:tcPr>
            <w:tcW w:w="871" w:type="pct"/>
            <w:vMerge w:val="restart"/>
            <w:shd w:val="clear" w:color="auto" w:fill="48A9C5"/>
            <w:vAlign w:val="center"/>
          </w:tcPr>
          <w:p w:rsidR="00A055B4" w:rsidRPr="005A27CE" w:rsidP="003A39CF" w14:paraId="71476BBA" w14:textId="77777777">
            <w:pPr>
              <w:keepNext/>
              <w:spacing w:after="0" w:line="240" w:lineRule="auto"/>
              <w:jc w:val="center"/>
              <w:rPr>
                <w:rFonts w:cs="Arial"/>
                <w:sz w:val="20"/>
                <w:szCs w:val="16"/>
              </w:rPr>
            </w:pPr>
            <w:r w:rsidRPr="005A27CE">
              <w:rPr>
                <w:rFonts w:cs="Arial"/>
                <w:sz w:val="20"/>
                <w:szCs w:val="16"/>
              </w:rPr>
              <w:t>Number of Submissions</w:t>
            </w:r>
          </w:p>
        </w:tc>
        <w:tc>
          <w:tcPr>
            <w:tcW w:w="1598" w:type="pct"/>
            <w:gridSpan w:val="2"/>
            <w:shd w:val="clear" w:color="auto" w:fill="48A9C5"/>
            <w:vAlign w:val="center"/>
          </w:tcPr>
          <w:p w:rsidR="00A055B4" w:rsidRPr="005A27CE" w:rsidP="003A39CF" w14:paraId="5BFCB1E2" w14:textId="77777777">
            <w:pPr>
              <w:keepNext/>
              <w:spacing w:after="0" w:line="240" w:lineRule="auto"/>
              <w:jc w:val="center"/>
              <w:rPr>
                <w:rFonts w:cs="Arial"/>
                <w:sz w:val="20"/>
                <w:szCs w:val="16"/>
              </w:rPr>
            </w:pPr>
            <w:r w:rsidRPr="005A27CE">
              <w:rPr>
                <w:rFonts w:cs="Arial"/>
                <w:sz w:val="20"/>
                <w:szCs w:val="16"/>
              </w:rPr>
              <w:t>Burden (hours)</w:t>
            </w:r>
          </w:p>
        </w:tc>
        <w:tc>
          <w:tcPr>
            <w:tcW w:w="1761" w:type="pct"/>
            <w:gridSpan w:val="2"/>
            <w:shd w:val="clear" w:color="auto" w:fill="48A9C5"/>
            <w:vAlign w:val="center"/>
          </w:tcPr>
          <w:p w:rsidR="00A055B4" w:rsidRPr="005A27CE" w:rsidP="003A39CF" w14:paraId="084119ED" w14:textId="77777777">
            <w:pPr>
              <w:keepNext/>
              <w:spacing w:after="0" w:line="240" w:lineRule="auto"/>
              <w:jc w:val="center"/>
              <w:rPr>
                <w:rFonts w:cs="Arial"/>
                <w:sz w:val="20"/>
                <w:szCs w:val="16"/>
              </w:rPr>
            </w:pPr>
            <w:r w:rsidRPr="005A27CE">
              <w:rPr>
                <w:rFonts w:cs="Arial"/>
                <w:sz w:val="20"/>
                <w:szCs w:val="16"/>
              </w:rPr>
              <w:t>Cost (2021$)</w:t>
            </w:r>
          </w:p>
        </w:tc>
      </w:tr>
      <w:tr w14:paraId="640E4308" w14:textId="77777777" w:rsidTr="002705EA">
        <w:tblPrEx>
          <w:tblW w:w="5124" w:type="pct"/>
          <w:tblLayout w:type="fixed"/>
          <w:tblLook w:val="04A0"/>
        </w:tblPrEx>
        <w:trPr>
          <w:trHeight w:val="324"/>
        </w:trPr>
        <w:tc>
          <w:tcPr>
            <w:tcW w:w="770" w:type="pct"/>
            <w:vMerge/>
            <w:shd w:val="clear" w:color="auto" w:fill="48A9C5"/>
            <w:vAlign w:val="center"/>
          </w:tcPr>
          <w:p w:rsidR="00A055B4" w:rsidRPr="005A27CE" w:rsidP="003A39CF" w14:paraId="535A2C7B" w14:textId="77777777">
            <w:pPr>
              <w:keepNext/>
              <w:spacing w:after="0" w:line="240" w:lineRule="auto"/>
              <w:jc w:val="center"/>
              <w:rPr>
                <w:rFonts w:cs="Arial"/>
                <w:sz w:val="20"/>
                <w:szCs w:val="16"/>
              </w:rPr>
            </w:pPr>
          </w:p>
        </w:tc>
        <w:tc>
          <w:tcPr>
            <w:tcW w:w="871" w:type="pct"/>
            <w:vMerge/>
            <w:shd w:val="clear" w:color="auto" w:fill="48A9C5"/>
            <w:vAlign w:val="center"/>
          </w:tcPr>
          <w:p w:rsidR="00A055B4" w:rsidRPr="005A27CE" w:rsidP="003A39CF" w14:paraId="45695515" w14:textId="77777777">
            <w:pPr>
              <w:keepNext/>
              <w:spacing w:after="0" w:line="240" w:lineRule="auto"/>
              <w:jc w:val="center"/>
              <w:rPr>
                <w:rFonts w:cs="Arial"/>
                <w:sz w:val="20"/>
                <w:szCs w:val="16"/>
              </w:rPr>
            </w:pPr>
          </w:p>
        </w:tc>
        <w:tc>
          <w:tcPr>
            <w:tcW w:w="846" w:type="pct"/>
            <w:shd w:val="clear" w:color="auto" w:fill="48A9C5"/>
            <w:vAlign w:val="center"/>
          </w:tcPr>
          <w:p w:rsidR="00A055B4" w:rsidRPr="005A27CE" w:rsidP="003A39CF" w14:paraId="74F1DDC5" w14:textId="77777777">
            <w:pPr>
              <w:keepNext/>
              <w:spacing w:after="0" w:line="240" w:lineRule="auto"/>
              <w:jc w:val="center"/>
              <w:rPr>
                <w:rFonts w:cs="Arial"/>
                <w:sz w:val="20"/>
                <w:szCs w:val="16"/>
              </w:rPr>
            </w:pPr>
            <w:r w:rsidRPr="005A27CE">
              <w:rPr>
                <w:rFonts w:cs="Arial"/>
                <w:sz w:val="20"/>
                <w:szCs w:val="16"/>
              </w:rPr>
              <w:t>Per Notice</w:t>
            </w:r>
          </w:p>
        </w:tc>
        <w:tc>
          <w:tcPr>
            <w:tcW w:w="752" w:type="pct"/>
            <w:shd w:val="clear" w:color="auto" w:fill="48A9C5"/>
            <w:vAlign w:val="center"/>
          </w:tcPr>
          <w:p w:rsidR="00A055B4" w:rsidRPr="005A27CE" w:rsidP="003A39CF" w14:paraId="7DD5B1EB" w14:textId="77777777">
            <w:pPr>
              <w:keepNext/>
              <w:spacing w:after="0" w:line="240" w:lineRule="auto"/>
              <w:jc w:val="center"/>
              <w:rPr>
                <w:rFonts w:cs="Arial"/>
                <w:sz w:val="20"/>
                <w:szCs w:val="16"/>
              </w:rPr>
            </w:pPr>
            <w:r w:rsidRPr="005A27CE">
              <w:rPr>
                <w:rFonts w:cs="Arial"/>
                <w:sz w:val="20"/>
                <w:szCs w:val="16"/>
              </w:rPr>
              <w:t>Total</w:t>
            </w:r>
          </w:p>
        </w:tc>
        <w:tc>
          <w:tcPr>
            <w:tcW w:w="751" w:type="pct"/>
            <w:shd w:val="clear" w:color="auto" w:fill="48A9C5"/>
            <w:vAlign w:val="center"/>
          </w:tcPr>
          <w:p w:rsidR="00A055B4" w:rsidRPr="005A27CE" w:rsidP="003A39CF" w14:paraId="0A177F2F" w14:textId="77777777">
            <w:pPr>
              <w:keepNext/>
              <w:spacing w:after="0" w:line="240" w:lineRule="auto"/>
              <w:jc w:val="center"/>
              <w:rPr>
                <w:rFonts w:cs="Arial"/>
                <w:sz w:val="20"/>
                <w:szCs w:val="16"/>
              </w:rPr>
            </w:pPr>
            <w:r w:rsidRPr="005A27CE">
              <w:rPr>
                <w:rFonts w:cs="Arial"/>
                <w:sz w:val="20"/>
                <w:szCs w:val="16"/>
              </w:rPr>
              <w:t>Per Notice</w:t>
            </w:r>
          </w:p>
        </w:tc>
        <w:tc>
          <w:tcPr>
            <w:tcW w:w="1010" w:type="pct"/>
            <w:shd w:val="clear" w:color="auto" w:fill="48A9C5"/>
            <w:vAlign w:val="center"/>
          </w:tcPr>
          <w:p w:rsidR="00A055B4" w:rsidRPr="005A27CE" w:rsidP="003A39CF" w14:paraId="4276D676" w14:textId="77777777">
            <w:pPr>
              <w:keepNext/>
              <w:spacing w:after="0" w:line="240" w:lineRule="auto"/>
              <w:jc w:val="center"/>
              <w:rPr>
                <w:rFonts w:cs="Arial"/>
                <w:sz w:val="20"/>
                <w:szCs w:val="16"/>
              </w:rPr>
            </w:pPr>
            <w:r w:rsidRPr="005A27CE">
              <w:rPr>
                <w:rFonts w:cs="Arial"/>
                <w:sz w:val="20"/>
                <w:szCs w:val="16"/>
              </w:rPr>
              <w:t>Total</w:t>
            </w:r>
          </w:p>
        </w:tc>
      </w:tr>
      <w:tr w14:paraId="70709BE4" w14:textId="77777777" w:rsidTr="002705EA">
        <w:tblPrEx>
          <w:tblW w:w="5124" w:type="pct"/>
          <w:tblLayout w:type="fixed"/>
          <w:tblLook w:val="04A0"/>
        </w:tblPrEx>
        <w:trPr>
          <w:trHeight w:val="303"/>
        </w:trPr>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055B4" w:rsidRPr="005A27CE" w:rsidP="003A39CF" w14:paraId="122E85C4" w14:textId="77777777">
            <w:pPr>
              <w:keepNext/>
              <w:spacing w:after="0" w:line="240" w:lineRule="auto"/>
              <w:rPr>
                <w:rFonts w:cs="Arial"/>
                <w:sz w:val="20"/>
                <w:szCs w:val="16"/>
              </w:rPr>
            </w:pPr>
            <w:r w:rsidRPr="005A27CE">
              <w:rPr>
                <w:rFonts w:cs="Arial"/>
                <w:sz w:val="20"/>
                <w:szCs w:val="16"/>
              </w:rPr>
              <w:t>PMN</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A055B4" w:rsidRPr="005A27CE" w:rsidP="005A27CE" w14:paraId="1DCE6D59" w14:textId="4FA89CE8">
            <w:pPr>
              <w:keepNext/>
              <w:spacing w:after="0" w:line="240" w:lineRule="auto"/>
              <w:jc w:val="right"/>
              <w:rPr>
                <w:rFonts w:cs="Arial"/>
                <w:sz w:val="20"/>
                <w:szCs w:val="16"/>
              </w:rPr>
            </w:pPr>
            <w:r w:rsidRPr="005A27CE">
              <w:rPr>
                <w:rFonts w:cs="Arial"/>
                <w:sz w:val="20"/>
                <w:szCs w:val="16"/>
              </w:rPr>
              <w:t>289</w:t>
            </w:r>
          </w:p>
        </w:tc>
        <w:tc>
          <w:tcPr>
            <w:tcW w:w="846" w:type="pct"/>
            <w:tcBorders>
              <w:top w:val="single" w:sz="4" w:space="0" w:color="auto"/>
              <w:left w:val="nil"/>
              <w:bottom w:val="single" w:sz="4" w:space="0" w:color="auto"/>
              <w:right w:val="single" w:sz="4" w:space="0" w:color="auto"/>
            </w:tcBorders>
            <w:shd w:val="clear" w:color="auto" w:fill="auto"/>
            <w:vAlign w:val="center"/>
          </w:tcPr>
          <w:p w:rsidR="00A055B4" w:rsidRPr="005A27CE" w:rsidP="005A27CE" w14:paraId="1345AB34" w14:textId="77777777">
            <w:pPr>
              <w:keepNext/>
              <w:spacing w:after="0" w:line="240" w:lineRule="auto"/>
              <w:jc w:val="right"/>
              <w:rPr>
                <w:rFonts w:cs="Arial"/>
                <w:sz w:val="20"/>
                <w:szCs w:val="16"/>
              </w:rPr>
            </w:pPr>
            <w:r w:rsidRPr="005A27CE">
              <w:rPr>
                <w:rFonts w:cs="Arial"/>
                <w:sz w:val="20"/>
                <w:szCs w:val="16"/>
              </w:rPr>
              <w:t>250.498</w:t>
            </w:r>
          </w:p>
        </w:tc>
        <w:tc>
          <w:tcPr>
            <w:tcW w:w="752" w:type="pct"/>
            <w:tcBorders>
              <w:top w:val="single" w:sz="4" w:space="0" w:color="auto"/>
              <w:left w:val="nil"/>
              <w:bottom w:val="single" w:sz="4" w:space="0" w:color="auto"/>
              <w:right w:val="single" w:sz="4" w:space="0" w:color="auto"/>
            </w:tcBorders>
            <w:shd w:val="clear" w:color="auto" w:fill="auto"/>
            <w:vAlign w:val="center"/>
          </w:tcPr>
          <w:p w:rsidR="00A055B4" w:rsidRPr="005A27CE" w:rsidP="005A27CE" w14:paraId="72C5A262" w14:textId="1298488D">
            <w:pPr>
              <w:keepNext/>
              <w:spacing w:after="0" w:line="240" w:lineRule="auto"/>
              <w:jc w:val="right"/>
              <w:rPr>
                <w:rFonts w:cs="Arial"/>
                <w:sz w:val="20"/>
                <w:szCs w:val="16"/>
              </w:rPr>
            </w:pPr>
            <w:r w:rsidRPr="005A27CE">
              <w:rPr>
                <w:rFonts w:cs="Arial"/>
                <w:sz w:val="20"/>
                <w:szCs w:val="16"/>
              </w:rPr>
              <w:t>72,394</w:t>
            </w:r>
          </w:p>
        </w:tc>
        <w:tc>
          <w:tcPr>
            <w:tcW w:w="751" w:type="pct"/>
            <w:tcBorders>
              <w:top w:val="single" w:sz="4" w:space="0" w:color="auto"/>
              <w:left w:val="nil"/>
              <w:bottom w:val="single" w:sz="4" w:space="0" w:color="auto"/>
              <w:right w:val="single" w:sz="4" w:space="0" w:color="auto"/>
            </w:tcBorders>
            <w:shd w:val="clear" w:color="auto" w:fill="auto"/>
            <w:vAlign w:val="center"/>
          </w:tcPr>
          <w:p w:rsidR="00A055B4" w:rsidRPr="005A27CE" w:rsidP="005A27CE" w14:paraId="22F38828" w14:textId="7723FBA5">
            <w:pPr>
              <w:keepNext/>
              <w:spacing w:after="0" w:line="240" w:lineRule="auto"/>
              <w:jc w:val="right"/>
              <w:rPr>
                <w:rFonts w:cs="Arial"/>
                <w:sz w:val="20"/>
                <w:szCs w:val="16"/>
              </w:rPr>
            </w:pPr>
            <w:r w:rsidRPr="005A27CE">
              <w:rPr>
                <w:rFonts w:cs="Arial"/>
                <w:sz w:val="20"/>
                <w:szCs w:val="16"/>
              </w:rPr>
              <w:t>$</w:t>
            </w:r>
            <w:r w:rsidRPr="005A27CE" w:rsidR="00DB1C79">
              <w:rPr>
                <w:rFonts w:cs="Arial"/>
                <w:sz w:val="20"/>
                <w:szCs w:val="16"/>
              </w:rPr>
              <w:t>71,360</w:t>
            </w:r>
            <w:r w:rsidRPr="005A27CE">
              <w:rPr>
                <w:rFonts w:cs="Arial"/>
                <w:sz w:val="20"/>
                <w:szCs w:val="16"/>
              </w:rPr>
              <w:t xml:space="preserve"> </w:t>
            </w:r>
          </w:p>
        </w:tc>
        <w:tc>
          <w:tcPr>
            <w:tcW w:w="1010" w:type="pct"/>
            <w:tcBorders>
              <w:top w:val="single" w:sz="4" w:space="0" w:color="auto"/>
              <w:left w:val="nil"/>
              <w:bottom w:val="single" w:sz="4" w:space="0" w:color="auto"/>
              <w:right w:val="single" w:sz="4" w:space="0" w:color="auto"/>
            </w:tcBorders>
            <w:shd w:val="clear" w:color="auto" w:fill="auto"/>
            <w:vAlign w:val="center"/>
          </w:tcPr>
          <w:p w:rsidR="00A055B4" w:rsidRPr="005A27CE" w:rsidP="005A27CE" w14:paraId="73BB386D" w14:textId="3A79F283">
            <w:pPr>
              <w:keepNext/>
              <w:spacing w:after="0" w:line="240" w:lineRule="auto"/>
              <w:jc w:val="right"/>
              <w:rPr>
                <w:rFonts w:cs="Arial"/>
                <w:sz w:val="20"/>
                <w:szCs w:val="16"/>
              </w:rPr>
            </w:pPr>
            <w:r w:rsidRPr="005A27CE">
              <w:rPr>
                <w:rFonts w:cs="Arial"/>
                <w:sz w:val="20"/>
                <w:szCs w:val="16"/>
              </w:rPr>
              <w:t>$20,623,994</w:t>
            </w:r>
          </w:p>
        </w:tc>
      </w:tr>
      <w:tr w14:paraId="49148482" w14:textId="77777777" w:rsidTr="002705EA">
        <w:tblPrEx>
          <w:tblW w:w="5124" w:type="pct"/>
          <w:tblLayout w:type="fixed"/>
          <w:tblLook w:val="04A0"/>
        </w:tblPrEx>
        <w:trPr>
          <w:trHeight w:val="303"/>
        </w:trPr>
        <w:tc>
          <w:tcPr>
            <w:tcW w:w="770" w:type="pct"/>
            <w:tcBorders>
              <w:top w:val="nil"/>
              <w:left w:val="single" w:sz="4" w:space="0" w:color="auto"/>
              <w:bottom w:val="single" w:sz="4" w:space="0" w:color="auto"/>
              <w:right w:val="single" w:sz="4" w:space="0" w:color="auto"/>
            </w:tcBorders>
            <w:shd w:val="clear" w:color="auto" w:fill="auto"/>
            <w:vAlign w:val="center"/>
          </w:tcPr>
          <w:p w:rsidR="00A055B4" w:rsidRPr="005A27CE" w:rsidP="003A39CF" w14:paraId="2B19620E" w14:textId="77777777">
            <w:pPr>
              <w:keepNext/>
              <w:spacing w:after="0" w:line="240" w:lineRule="auto"/>
              <w:rPr>
                <w:rFonts w:cs="Arial"/>
                <w:sz w:val="20"/>
                <w:szCs w:val="16"/>
              </w:rPr>
            </w:pPr>
            <w:r w:rsidRPr="005A27CE">
              <w:rPr>
                <w:rFonts w:cs="Arial"/>
                <w:sz w:val="20"/>
                <w:szCs w:val="16"/>
              </w:rPr>
              <w:t>SNUN</w:t>
            </w:r>
          </w:p>
        </w:tc>
        <w:tc>
          <w:tcPr>
            <w:tcW w:w="871" w:type="pct"/>
            <w:tcBorders>
              <w:top w:val="nil"/>
              <w:left w:val="single" w:sz="4" w:space="0" w:color="auto"/>
              <w:bottom w:val="single" w:sz="4" w:space="0" w:color="auto"/>
              <w:right w:val="single" w:sz="4" w:space="0" w:color="auto"/>
            </w:tcBorders>
            <w:shd w:val="clear" w:color="auto" w:fill="auto"/>
            <w:vAlign w:val="center"/>
          </w:tcPr>
          <w:p w:rsidR="00A055B4" w:rsidRPr="005A27CE" w:rsidP="005A27CE" w14:paraId="07D3800B" w14:textId="735951F2">
            <w:pPr>
              <w:keepNext/>
              <w:spacing w:after="0" w:line="240" w:lineRule="auto"/>
              <w:jc w:val="right"/>
              <w:rPr>
                <w:rFonts w:cs="Arial"/>
                <w:sz w:val="20"/>
                <w:szCs w:val="16"/>
              </w:rPr>
            </w:pPr>
            <w:r w:rsidRPr="005A27CE">
              <w:rPr>
                <w:rFonts w:cs="Arial"/>
                <w:sz w:val="20"/>
                <w:szCs w:val="16"/>
              </w:rPr>
              <w:t>13</w:t>
            </w:r>
          </w:p>
        </w:tc>
        <w:tc>
          <w:tcPr>
            <w:tcW w:w="846" w:type="pct"/>
            <w:tcBorders>
              <w:top w:val="nil"/>
              <w:left w:val="nil"/>
              <w:bottom w:val="single" w:sz="4" w:space="0" w:color="auto"/>
              <w:right w:val="single" w:sz="4" w:space="0" w:color="auto"/>
            </w:tcBorders>
            <w:shd w:val="clear" w:color="auto" w:fill="auto"/>
            <w:vAlign w:val="center"/>
          </w:tcPr>
          <w:p w:rsidR="00A055B4" w:rsidRPr="005A27CE" w:rsidP="005A27CE" w14:paraId="57E3C803" w14:textId="77777777">
            <w:pPr>
              <w:keepNext/>
              <w:spacing w:after="0" w:line="240" w:lineRule="auto"/>
              <w:jc w:val="right"/>
              <w:rPr>
                <w:rFonts w:cs="Arial"/>
                <w:sz w:val="20"/>
                <w:szCs w:val="16"/>
              </w:rPr>
            </w:pPr>
            <w:r w:rsidRPr="005A27CE">
              <w:rPr>
                <w:rFonts w:cs="Arial"/>
                <w:sz w:val="20"/>
                <w:szCs w:val="16"/>
              </w:rPr>
              <w:t>109.328</w:t>
            </w:r>
          </w:p>
        </w:tc>
        <w:tc>
          <w:tcPr>
            <w:tcW w:w="752" w:type="pct"/>
            <w:tcBorders>
              <w:top w:val="nil"/>
              <w:left w:val="nil"/>
              <w:bottom w:val="single" w:sz="4" w:space="0" w:color="auto"/>
              <w:right w:val="single" w:sz="4" w:space="0" w:color="auto"/>
            </w:tcBorders>
            <w:shd w:val="clear" w:color="auto" w:fill="auto"/>
            <w:vAlign w:val="center"/>
          </w:tcPr>
          <w:p w:rsidR="00A055B4" w:rsidRPr="005A27CE" w:rsidP="005A27CE" w14:paraId="587D06C3" w14:textId="44A9A042">
            <w:pPr>
              <w:keepNext/>
              <w:spacing w:after="0" w:line="240" w:lineRule="auto"/>
              <w:jc w:val="right"/>
              <w:rPr>
                <w:rFonts w:cs="Arial"/>
                <w:sz w:val="20"/>
                <w:szCs w:val="16"/>
              </w:rPr>
            </w:pPr>
            <w:r w:rsidRPr="005A27CE">
              <w:rPr>
                <w:rFonts w:cs="Arial"/>
                <w:sz w:val="20"/>
                <w:szCs w:val="16"/>
              </w:rPr>
              <w:t>1,421</w:t>
            </w:r>
          </w:p>
        </w:tc>
        <w:tc>
          <w:tcPr>
            <w:tcW w:w="751" w:type="pct"/>
            <w:tcBorders>
              <w:top w:val="nil"/>
              <w:left w:val="nil"/>
              <w:bottom w:val="single" w:sz="4" w:space="0" w:color="auto"/>
              <w:right w:val="single" w:sz="4" w:space="0" w:color="auto"/>
            </w:tcBorders>
            <w:shd w:val="clear" w:color="auto" w:fill="auto"/>
            <w:vAlign w:val="center"/>
          </w:tcPr>
          <w:p w:rsidR="00A055B4" w:rsidRPr="005A27CE" w:rsidP="005A27CE" w14:paraId="4F79415A" w14:textId="3A75DAD2">
            <w:pPr>
              <w:keepNext/>
              <w:spacing w:after="0" w:line="240" w:lineRule="auto"/>
              <w:jc w:val="right"/>
              <w:rPr>
                <w:rFonts w:cs="Arial"/>
                <w:sz w:val="20"/>
                <w:szCs w:val="16"/>
              </w:rPr>
            </w:pPr>
            <w:r w:rsidRPr="005A27CE">
              <w:rPr>
                <w:rFonts w:cs="Arial"/>
                <w:sz w:val="20"/>
                <w:szCs w:val="16"/>
              </w:rPr>
              <w:t>$</w:t>
            </w:r>
            <w:r w:rsidRPr="005A27CE" w:rsidR="00DB1C79">
              <w:rPr>
                <w:rFonts w:cs="Arial"/>
                <w:sz w:val="20"/>
                <w:szCs w:val="16"/>
              </w:rPr>
              <w:t>59,582</w:t>
            </w:r>
            <w:r w:rsidRPr="005A27CE">
              <w:rPr>
                <w:rFonts w:cs="Arial"/>
                <w:sz w:val="20"/>
                <w:szCs w:val="16"/>
              </w:rPr>
              <w:t xml:space="preserve"> </w:t>
            </w:r>
          </w:p>
        </w:tc>
        <w:tc>
          <w:tcPr>
            <w:tcW w:w="1010" w:type="pct"/>
            <w:tcBorders>
              <w:top w:val="nil"/>
              <w:left w:val="nil"/>
              <w:bottom w:val="single" w:sz="4" w:space="0" w:color="auto"/>
              <w:right w:val="single" w:sz="4" w:space="0" w:color="auto"/>
            </w:tcBorders>
            <w:shd w:val="clear" w:color="auto" w:fill="auto"/>
            <w:vAlign w:val="center"/>
          </w:tcPr>
          <w:p w:rsidR="00A055B4" w:rsidRPr="005A27CE" w:rsidP="005A27CE" w14:paraId="79CD03B7" w14:textId="565871C5">
            <w:pPr>
              <w:keepNext/>
              <w:spacing w:after="0" w:line="240" w:lineRule="auto"/>
              <w:jc w:val="right"/>
              <w:rPr>
                <w:rFonts w:cs="Arial"/>
                <w:sz w:val="20"/>
                <w:szCs w:val="16"/>
              </w:rPr>
            </w:pPr>
            <w:r w:rsidRPr="005A27CE">
              <w:rPr>
                <w:rFonts w:cs="Arial"/>
                <w:sz w:val="20"/>
                <w:szCs w:val="16"/>
              </w:rPr>
              <w:t>$</w:t>
            </w:r>
            <w:r w:rsidRPr="005A27CE" w:rsidR="00DB1C79">
              <w:rPr>
                <w:rFonts w:cs="Arial"/>
                <w:sz w:val="20"/>
                <w:szCs w:val="16"/>
              </w:rPr>
              <w:t>774,564</w:t>
            </w:r>
            <w:r w:rsidRPr="005A27CE">
              <w:rPr>
                <w:rFonts w:cs="Arial"/>
                <w:sz w:val="20"/>
                <w:szCs w:val="16"/>
              </w:rPr>
              <w:t xml:space="preserve"> </w:t>
            </w:r>
          </w:p>
        </w:tc>
      </w:tr>
      <w:tr w14:paraId="3B97EA3A" w14:textId="77777777" w:rsidTr="002705EA">
        <w:tblPrEx>
          <w:tblW w:w="5124" w:type="pct"/>
          <w:tblLayout w:type="fixed"/>
          <w:tblLook w:val="04A0"/>
        </w:tblPrEx>
        <w:trPr>
          <w:trHeight w:val="303"/>
        </w:trPr>
        <w:tc>
          <w:tcPr>
            <w:tcW w:w="770" w:type="pct"/>
            <w:tcBorders>
              <w:top w:val="nil"/>
              <w:left w:val="single" w:sz="4" w:space="0" w:color="auto"/>
              <w:bottom w:val="single" w:sz="4" w:space="0" w:color="auto"/>
              <w:right w:val="single" w:sz="4" w:space="0" w:color="auto"/>
            </w:tcBorders>
            <w:shd w:val="clear" w:color="auto" w:fill="auto"/>
            <w:vAlign w:val="center"/>
          </w:tcPr>
          <w:p w:rsidR="00A055B4" w:rsidRPr="005A27CE" w:rsidP="003A39CF" w14:paraId="332C40F9" w14:textId="77777777">
            <w:pPr>
              <w:keepNext/>
              <w:spacing w:after="0" w:line="240" w:lineRule="auto"/>
              <w:rPr>
                <w:rFonts w:cs="Arial"/>
                <w:sz w:val="20"/>
                <w:szCs w:val="16"/>
              </w:rPr>
            </w:pPr>
            <w:r w:rsidRPr="005A27CE">
              <w:rPr>
                <w:rFonts w:cs="Arial"/>
                <w:sz w:val="20"/>
                <w:szCs w:val="16"/>
              </w:rPr>
              <w:t>LVE/LoREX</w:t>
            </w:r>
          </w:p>
        </w:tc>
        <w:tc>
          <w:tcPr>
            <w:tcW w:w="871" w:type="pct"/>
            <w:tcBorders>
              <w:top w:val="nil"/>
              <w:left w:val="single" w:sz="4" w:space="0" w:color="auto"/>
              <w:bottom w:val="single" w:sz="4" w:space="0" w:color="auto"/>
              <w:right w:val="single" w:sz="4" w:space="0" w:color="auto"/>
            </w:tcBorders>
            <w:shd w:val="clear" w:color="auto" w:fill="auto"/>
            <w:vAlign w:val="center"/>
          </w:tcPr>
          <w:p w:rsidR="00A055B4" w:rsidRPr="005A27CE" w:rsidP="005A27CE" w14:paraId="43C570D1" w14:textId="1A117759">
            <w:pPr>
              <w:keepNext/>
              <w:spacing w:after="0" w:line="240" w:lineRule="auto"/>
              <w:jc w:val="right"/>
              <w:rPr>
                <w:rFonts w:cs="Arial"/>
                <w:sz w:val="20"/>
                <w:szCs w:val="16"/>
              </w:rPr>
            </w:pPr>
            <w:r w:rsidRPr="005A27CE">
              <w:rPr>
                <w:rFonts w:cs="Arial"/>
                <w:sz w:val="20"/>
                <w:szCs w:val="16"/>
              </w:rPr>
              <w:t>305</w:t>
            </w:r>
          </w:p>
        </w:tc>
        <w:tc>
          <w:tcPr>
            <w:tcW w:w="846" w:type="pct"/>
            <w:tcBorders>
              <w:top w:val="nil"/>
              <w:left w:val="nil"/>
              <w:bottom w:val="single" w:sz="4" w:space="0" w:color="auto"/>
              <w:right w:val="single" w:sz="4" w:space="0" w:color="auto"/>
            </w:tcBorders>
            <w:shd w:val="clear" w:color="auto" w:fill="auto"/>
            <w:vAlign w:val="center"/>
          </w:tcPr>
          <w:p w:rsidR="00A055B4" w:rsidRPr="005A27CE" w:rsidP="005A27CE" w14:paraId="0885CC09" w14:textId="77777777">
            <w:pPr>
              <w:keepNext/>
              <w:spacing w:after="0" w:line="240" w:lineRule="auto"/>
              <w:jc w:val="right"/>
              <w:rPr>
                <w:rFonts w:cs="Arial"/>
                <w:sz w:val="20"/>
                <w:szCs w:val="16"/>
              </w:rPr>
            </w:pPr>
            <w:r w:rsidRPr="005A27CE">
              <w:rPr>
                <w:rFonts w:cs="Arial"/>
                <w:sz w:val="20"/>
                <w:szCs w:val="16"/>
              </w:rPr>
              <w:t>109.328</w:t>
            </w:r>
          </w:p>
        </w:tc>
        <w:tc>
          <w:tcPr>
            <w:tcW w:w="752" w:type="pct"/>
            <w:tcBorders>
              <w:top w:val="nil"/>
              <w:left w:val="nil"/>
              <w:bottom w:val="single" w:sz="4" w:space="0" w:color="auto"/>
              <w:right w:val="single" w:sz="4" w:space="0" w:color="auto"/>
            </w:tcBorders>
            <w:shd w:val="clear" w:color="auto" w:fill="auto"/>
            <w:vAlign w:val="center"/>
          </w:tcPr>
          <w:p w:rsidR="00A055B4" w:rsidRPr="005A27CE" w:rsidP="005A27CE" w14:paraId="0FF11B09" w14:textId="2B1C5093">
            <w:pPr>
              <w:keepNext/>
              <w:spacing w:after="0" w:line="240" w:lineRule="auto"/>
              <w:jc w:val="right"/>
              <w:rPr>
                <w:rFonts w:cs="Arial"/>
                <w:sz w:val="20"/>
                <w:szCs w:val="16"/>
              </w:rPr>
            </w:pPr>
            <w:r w:rsidRPr="005A27CE">
              <w:rPr>
                <w:rFonts w:cs="Arial"/>
                <w:sz w:val="20"/>
                <w:szCs w:val="16"/>
              </w:rPr>
              <w:t>33,345</w:t>
            </w:r>
          </w:p>
        </w:tc>
        <w:tc>
          <w:tcPr>
            <w:tcW w:w="751" w:type="pct"/>
            <w:tcBorders>
              <w:top w:val="nil"/>
              <w:left w:val="nil"/>
              <w:bottom w:val="single" w:sz="4" w:space="0" w:color="auto"/>
              <w:right w:val="single" w:sz="4" w:space="0" w:color="auto"/>
            </w:tcBorders>
            <w:shd w:val="clear" w:color="auto" w:fill="auto"/>
            <w:vAlign w:val="center"/>
          </w:tcPr>
          <w:p w:rsidR="00A055B4" w:rsidRPr="005A27CE" w:rsidP="005A27CE" w14:paraId="2FA6F0BA" w14:textId="784BD690">
            <w:pPr>
              <w:keepNext/>
              <w:spacing w:after="0" w:line="240" w:lineRule="auto"/>
              <w:jc w:val="right"/>
              <w:rPr>
                <w:rFonts w:cs="Arial"/>
                <w:sz w:val="20"/>
                <w:szCs w:val="16"/>
              </w:rPr>
            </w:pPr>
            <w:r w:rsidRPr="005A27CE">
              <w:rPr>
                <w:rFonts w:cs="Arial"/>
                <w:sz w:val="20"/>
                <w:szCs w:val="16"/>
              </w:rPr>
              <w:t>$31,</w:t>
            </w:r>
            <w:r w:rsidRPr="005A27CE" w:rsidR="00DB1C79">
              <w:rPr>
                <w:rFonts w:cs="Arial"/>
                <w:sz w:val="20"/>
                <w:szCs w:val="16"/>
              </w:rPr>
              <w:t>251</w:t>
            </w:r>
          </w:p>
        </w:tc>
        <w:tc>
          <w:tcPr>
            <w:tcW w:w="1010" w:type="pct"/>
            <w:tcBorders>
              <w:top w:val="nil"/>
              <w:left w:val="nil"/>
              <w:bottom w:val="single" w:sz="4" w:space="0" w:color="auto"/>
              <w:right w:val="single" w:sz="4" w:space="0" w:color="auto"/>
            </w:tcBorders>
            <w:shd w:val="clear" w:color="auto" w:fill="auto"/>
            <w:vAlign w:val="center"/>
          </w:tcPr>
          <w:p w:rsidR="00A055B4" w:rsidRPr="005A27CE" w:rsidP="005A27CE" w14:paraId="326DDBD9" w14:textId="1073573D">
            <w:pPr>
              <w:keepNext/>
              <w:spacing w:after="0" w:line="240" w:lineRule="auto"/>
              <w:jc w:val="right"/>
              <w:rPr>
                <w:rFonts w:cs="Arial"/>
                <w:sz w:val="20"/>
                <w:szCs w:val="16"/>
              </w:rPr>
            </w:pPr>
            <w:r w:rsidRPr="005A27CE">
              <w:rPr>
                <w:rFonts w:cs="Arial"/>
                <w:sz w:val="20"/>
                <w:szCs w:val="16"/>
              </w:rPr>
              <w:t>$</w:t>
            </w:r>
            <w:r w:rsidRPr="005A27CE" w:rsidR="00DB1C79">
              <w:rPr>
                <w:rFonts w:cs="Arial"/>
                <w:sz w:val="20"/>
                <w:szCs w:val="16"/>
              </w:rPr>
              <w:t>9,531,511</w:t>
            </w:r>
            <w:r w:rsidRPr="005A27CE">
              <w:rPr>
                <w:rFonts w:cs="Arial"/>
                <w:sz w:val="20"/>
                <w:szCs w:val="16"/>
              </w:rPr>
              <w:t xml:space="preserve"> </w:t>
            </w:r>
          </w:p>
        </w:tc>
      </w:tr>
      <w:tr w14:paraId="04EDAE0E" w14:textId="77777777" w:rsidTr="002705EA">
        <w:tblPrEx>
          <w:tblW w:w="5124" w:type="pct"/>
          <w:tblLayout w:type="fixed"/>
          <w:tblLook w:val="04A0"/>
        </w:tblPrEx>
        <w:trPr>
          <w:trHeight w:val="303"/>
        </w:trPr>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A055B4" w:rsidRPr="005A27CE" w:rsidP="003A39CF" w14:paraId="4E01771B" w14:textId="77777777">
            <w:pPr>
              <w:keepNext/>
              <w:spacing w:after="0" w:line="240" w:lineRule="auto"/>
              <w:rPr>
                <w:rFonts w:cs="Arial"/>
                <w:sz w:val="20"/>
                <w:szCs w:val="16"/>
              </w:rPr>
            </w:pPr>
            <w:r w:rsidRPr="005A27CE">
              <w:rPr>
                <w:rFonts w:cs="Arial"/>
                <w:sz w:val="20"/>
                <w:szCs w:val="16"/>
              </w:rPr>
              <w:t>TME</w:t>
            </w:r>
          </w:p>
        </w:tc>
        <w:tc>
          <w:tcPr>
            <w:tcW w:w="871" w:type="pct"/>
            <w:tcBorders>
              <w:top w:val="nil"/>
              <w:left w:val="single" w:sz="4" w:space="0" w:color="auto"/>
              <w:bottom w:val="single" w:sz="4" w:space="0" w:color="auto"/>
              <w:right w:val="single" w:sz="4" w:space="0" w:color="auto"/>
            </w:tcBorders>
            <w:shd w:val="clear" w:color="auto" w:fill="auto"/>
            <w:vAlign w:val="center"/>
          </w:tcPr>
          <w:p w:rsidR="00A055B4" w:rsidRPr="005A27CE" w:rsidP="005A27CE" w14:paraId="29431DF4" w14:textId="33E67BA1">
            <w:pPr>
              <w:keepNext/>
              <w:spacing w:after="0" w:line="240" w:lineRule="auto"/>
              <w:jc w:val="right"/>
              <w:rPr>
                <w:rFonts w:cs="Arial"/>
                <w:sz w:val="20"/>
                <w:szCs w:val="16"/>
              </w:rPr>
            </w:pPr>
            <w:r w:rsidRPr="005A27CE">
              <w:rPr>
                <w:rFonts w:cs="Arial"/>
                <w:sz w:val="20"/>
                <w:szCs w:val="16"/>
              </w:rPr>
              <w:t>0</w:t>
            </w:r>
          </w:p>
        </w:tc>
        <w:tc>
          <w:tcPr>
            <w:tcW w:w="846" w:type="pct"/>
            <w:tcBorders>
              <w:top w:val="nil"/>
              <w:left w:val="nil"/>
              <w:bottom w:val="single" w:sz="4" w:space="0" w:color="auto"/>
              <w:right w:val="single" w:sz="4" w:space="0" w:color="auto"/>
            </w:tcBorders>
            <w:shd w:val="clear" w:color="auto" w:fill="auto"/>
            <w:vAlign w:val="center"/>
          </w:tcPr>
          <w:p w:rsidR="00A055B4" w:rsidRPr="005A27CE" w:rsidP="005A27CE" w14:paraId="0EE0D6A3" w14:textId="2C21995E">
            <w:pPr>
              <w:keepNext/>
              <w:spacing w:after="0" w:line="240" w:lineRule="auto"/>
              <w:jc w:val="right"/>
              <w:rPr>
                <w:rFonts w:cs="Arial"/>
                <w:sz w:val="20"/>
                <w:szCs w:val="16"/>
              </w:rPr>
            </w:pPr>
            <w:r>
              <w:rPr>
                <w:rFonts w:cs="Arial"/>
                <w:sz w:val="20"/>
                <w:szCs w:val="16"/>
              </w:rPr>
              <w:t>104.845</w:t>
            </w:r>
          </w:p>
        </w:tc>
        <w:tc>
          <w:tcPr>
            <w:tcW w:w="752" w:type="pct"/>
            <w:tcBorders>
              <w:top w:val="nil"/>
              <w:left w:val="nil"/>
              <w:bottom w:val="single" w:sz="4" w:space="0" w:color="auto"/>
              <w:right w:val="single" w:sz="4" w:space="0" w:color="auto"/>
            </w:tcBorders>
            <w:shd w:val="clear" w:color="auto" w:fill="auto"/>
            <w:vAlign w:val="center"/>
          </w:tcPr>
          <w:p w:rsidR="00A055B4" w:rsidRPr="005A27CE" w:rsidP="005A27CE" w14:paraId="6296D925" w14:textId="200588BC">
            <w:pPr>
              <w:keepNext/>
              <w:spacing w:after="0" w:line="240" w:lineRule="auto"/>
              <w:jc w:val="right"/>
              <w:rPr>
                <w:rFonts w:cs="Arial"/>
                <w:sz w:val="20"/>
                <w:szCs w:val="16"/>
              </w:rPr>
            </w:pPr>
            <w:r w:rsidRPr="005A27CE">
              <w:rPr>
                <w:rFonts w:cs="Arial"/>
                <w:sz w:val="20"/>
                <w:szCs w:val="16"/>
              </w:rPr>
              <w:t>0</w:t>
            </w:r>
          </w:p>
        </w:tc>
        <w:tc>
          <w:tcPr>
            <w:tcW w:w="751" w:type="pct"/>
            <w:tcBorders>
              <w:top w:val="nil"/>
              <w:left w:val="nil"/>
              <w:bottom w:val="single" w:sz="4" w:space="0" w:color="auto"/>
              <w:right w:val="single" w:sz="4" w:space="0" w:color="auto"/>
            </w:tcBorders>
            <w:shd w:val="clear" w:color="auto" w:fill="auto"/>
            <w:vAlign w:val="center"/>
          </w:tcPr>
          <w:p w:rsidR="00A055B4" w:rsidRPr="005A27CE" w:rsidP="005A27CE" w14:paraId="5015478B" w14:textId="0F5B691E">
            <w:pPr>
              <w:keepNext/>
              <w:spacing w:after="0" w:line="240" w:lineRule="auto"/>
              <w:jc w:val="right"/>
              <w:rPr>
                <w:rFonts w:cs="Arial"/>
                <w:sz w:val="20"/>
                <w:szCs w:val="16"/>
              </w:rPr>
            </w:pPr>
            <w:r w:rsidRPr="005A27CE">
              <w:rPr>
                <w:rFonts w:cs="Arial"/>
                <w:sz w:val="20"/>
                <w:szCs w:val="16"/>
              </w:rPr>
              <w:t>$</w:t>
            </w:r>
            <w:r w:rsidRPr="005A27CE" w:rsidR="00DB1C79">
              <w:rPr>
                <w:rFonts w:cs="Arial"/>
                <w:sz w:val="20"/>
                <w:szCs w:val="16"/>
              </w:rPr>
              <w:t>12,821</w:t>
            </w:r>
            <w:r w:rsidRPr="005A27CE">
              <w:rPr>
                <w:rFonts w:cs="Arial"/>
                <w:sz w:val="20"/>
                <w:szCs w:val="16"/>
              </w:rPr>
              <w:t xml:space="preserve"> </w:t>
            </w:r>
          </w:p>
        </w:tc>
        <w:tc>
          <w:tcPr>
            <w:tcW w:w="1010" w:type="pct"/>
            <w:tcBorders>
              <w:top w:val="nil"/>
              <w:left w:val="nil"/>
              <w:bottom w:val="single" w:sz="4" w:space="0" w:color="auto"/>
              <w:right w:val="single" w:sz="4" w:space="0" w:color="auto"/>
            </w:tcBorders>
            <w:shd w:val="clear" w:color="auto" w:fill="auto"/>
            <w:vAlign w:val="center"/>
          </w:tcPr>
          <w:p w:rsidR="00A055B4" w:rsidRPr="005A27CE" w:rsidP="005A27CE" w14:paraId="5B6676F0" w14:textId="40DC6F0D">
            <w:pPr>
              <w:keepNext/>
              <w:spacing w:after="0" w:line="240" w:lineRule="auto"/>
              <w:jc w:val="right"/>
              <w:rPr>
                <w:rFonts w:cs="Arial"/>
                <w:sz w:val="20"/>
                <w:szCs w:val="16"/>
              </w:rPr>
            </w:pPr>
            <w:r w:rsidRPr="005A27CE">
              <w:rPr>
                <w:rFonts w:cs="Arial"/>
                <w:sz w:val="20"/>
                <w:szCs w:val="16"/>
              </w:rPr>
              <w:t>$0</w:t>
            </w:r>
            <w:r w:rsidRPr="005A27CE">
              <w:rPr>
                <w:rFonts w:cs="Arial"/>
                <w:sz w:val="20"/>
                <w:szCs w:val="16"/>
              </w:rPr>
              <w:t xml:space="preserve"> </w:t>
            </w:r>
          </w:p>
        </w:tc>
      </w:tr>
      <w:tr w14:paraId="6D29C9D9" w14:textId="77777777" w:rsidTr="005A27CE">
        <w:tblPrEx>
          <w:tblW w:w="5124" w:type="pct"/>
          <w:tblLayout w:type="fixed"/>
          <w:tblLook w:val="04A0"/>
        </w:tblPrEx>
        <w:trPr>
          <w:trHeight w:val="303"/>
        </w:trPr>
        <w:tc>
          <w:tcPr>
            <w:tcW w:w="770" w:type="pct"/>
            <w:tcBorders>
              <w:top w:val="nil"/>
              <w:left w:val="single" w:sz="4" w:space="0" w:color="auto"/>
              <w:bottom w:val="single" w:sz="4" w:space="0" w:color="auto"/>
              <w:right w:val="single" w:sz="4" w:space="0" w:color="auto"/>
            </w:tcBorders>
            <w:shd w:val="clear" w:color="auto" w:fill="auto"/>
            <w:vAlign w:val="center"/>
          </w:tcPr>
          <w:p w:rsidR="00A055B4" w:rsidRPr="005A27CE" w:rsidP="003A39CF" w14:paraId="2D3B12E6" w14:textId="77777777">
            <w:pPr>
              <w:keepNext/>
              <w:spacing w:after="0" w:line="240" w:lineRule="auto"/>
              <w:rPr>
                <w:rFonts w:cs="Arial"/>
                <w:sz w:val="20"/>
                <w:szCs w:val="16"/>
              </w:rPr>
            </w:pPr>
            <w:r w:rsidRPr="005A27CE">
              <w:rPr>
                <w:rFonts w:cs="Arial"/>
                <w:sz w:val="20"/>
                <w:szCs w:val="16"/>
              </w:rPr>
              <w:t>Baseline Industry Burden and Cost</w:t>
            </w:r>
          </w:p>
        </w:tc>
        <w:tc>
          <w:tcPr>
            <w:tcW w:w="871" w:type="pct"/>
            <w:tcBorders>
              <w:top w:val="nil"/>
              <w:left w:val="single" w:sz="4" w:space="0" w:color="auto"/>
              <w:bottom w:val="single" w:sz="4" w:space="0" w:color="auto"/>
              <w:right w:val="single" w:sz="4" w:space="0" w:color="auto"/>
            </w:tcBorders>
            <w:shd w:val="clear" w:color="auto" w:fill="auto"/>
            <w:vAlign w:val="center"/>
          </w:tcPr>
          <w:p w:rsidR="00A055B4" w:rsidRPr="005A27CE" w:rsidP="005A27CE" w14:paraId="4E50C3CA" w14:textId="639D26AE">
            <w:pPr>
              <w:keepNext/>
              <w:spacing w:after="0" w:line="240" w:lineRule="auto"/>
              <w:jc w:val="right"/>
              <w:rPr>
                <w:rFonts w:cs="Arial"/>
                <w:sz w:val="20"/>
                <w:szCs w:val="16"/>
              </w:rPr>
            </w:pPr>
            <w:r w:rsidRPr="005A27CE">
              <w:rPr>
                <w:rFonts w:cs="Arial"/>
                <w:sz w:val="20"/>
                <w:szCs w:val="16"/>
              </w:rPr>
              <w:t>607</w:t>
            </w:r>
          </w:p>
        </w:tc>
        <w:tc>
          <w:tcPr>
            <w:tcW w:w="846" w:type="pct"/>
            <w:tcBorders>
              <w:top w:val="nil"/>
              <w:left w:val="nil"/>
              <w:bottom w:val="single" w:sz="4" w:space="0" w:color="auto"/>
              <w:right w:val="single" w:sz="4" w:space="0" w:color="auto"/>
            </w:tcBorders>
            <w:shd w:val="clear" w:color="auto" w:fill="auto"/>
            <w:vAlign w:val="center"/>
          </w:tcPr>
          <w:p w:rsidR="00A055B4" w:rsidRPr="005A27CE" w:rsidP="005A27CE" w14:paraId="0B740C1B" w14:textId="77777777">
            <w:pPr>
              <w:keepNext/>
              <w:spacing w:after="0" w:line="240" w:lineRule="auto"/>
              <w:jc w:val="right"/>
              <w:rPr>
                <w:rFonts w:cs="Arial"/>
                <w:sz w:val="20"/>
                <w:szCs w:val="16"/>
              </w:rPr>
            </w:pPr>
            <w:r w:rsidRPr="005A27CE">
              <w:rPr>
                <w:rFonts w:cs="Arial"/>
                <w:sz w:val="20"/>
                <w:szCs w:val="16"/>
              </w:rPr>
              <w:t>-</w:t>
            </w:r>
          </w:p>
        </w:tc>
        <w:tc>
          <w:tcPr>
            <w:tcW w:w="752" w:type="pct"/>
            <w:tcBorders>
              <w:top w:val="nil"/>
              <w:left w:val="nil"/>
              <w:bottom w:val="single" w:sz="4" w:space="0" w:color="auto"/>
              <w:right w:val="single" w:sz="4" w:space="0" w:color="auto"/>
            </w:tcBorders>
            <w:shd w:val="clear" w:color="auto" w:fill="auto"/>
            <w:vAlign w:val="center"/>
          </w:tcPr>
          <w:p w:rsidR="00DB1C79" w:rsidRPr="005A27CE" w:rsidP="005A27CE" w14:paraId="7E01149D" w14:textId="1EE1BCB3">
            <w:pPr>
              <w:keepNext/>
              <w:spacing w:after="0" w:line="240" w:lineRule="auto"/>
              <w:jc w:val="right"/>
              <w:rPr>
                <w:rFonts w:cs="Arial"/>
                <w:sz w:val="20"/>
                <w:szCs w:val="16"/>
              </w:rPr>
            </w:pPr>
            <w:r w:rsidRPr="005A27CE">
              <w:rPr>
                <w:rFonts w:cs="Arial"/>
                <w:sz w:val="20"/>
                <w:szCs w:val="16"/>
              </w:rPr>
              <w:t>107,160</w:t>
            </w:r>
          </w:p>
        </w:tc>
        <w:tc>
          <w:tcPr>
            <w:tcW w:w="751" w:type="pct"/>
            <w:tcBorders>
              <w:top w:val="nil"/>
              <w:left w:val="nil"/>
              <w:bottom w:val="single" w:sz="4" w:space="0" w:color="auto"/>
              <w:right w:val="single" w:sz="4" w:space="0" w:color="auto"/>
            </w:tcBorders>
            <w:shd w:val="clear" w:color="auto" w:fill="auto"/>
            <w:vAlign w:val="center"/>
          </w:tcPr>
          <w:p w:rsidR="00A055B4" w:rsidRPr="005A27CE" w:rsidP="005A27CE" w14:paraId="0A80BCB4" w14:textId="77777777">
            <w:pPr>
              <w:keepNext/>
              <w:spacing w:after="0" w:line="240" w:lineRule="auto"/>
              <w:jc w:val="right"/>
              <w:rPr>
                <w:rFonts w:cs="Arial"/>
                <w:sz w:val="20"/>
                <w:szCs w:val="16"/>
              </w:rPr>
            </w:pPr>
            <w:r w:rsidRPr="005A27CE">
              <w:rPr>
                <w:rFonts w:cs="Arial"/>
                <w:sz w:val="20"/>
                <w:szCs w:val="16"/>
              </w:rPr>
              <w:t>-</w:t>
            </w:r>
          </w:p>
        </w:tc>
        <w:tc>
          <w:tcPr>
            <w:tcW w:w="1010" w:type="pct"/>
            <w:tcBorders>
              <w:top w:val="nil"/>
              <w:left w:val="nil"/>
              <w:bottom w:val="single" w:sz="4" w:space="0" w:color="auto"/>
              <w:right w:val="single" w:sz="4" w:space="0" w:color="auto"/>
            </w:tcBorders>
            <w:shd w:val="clear" w:color="auto" w:fill="auto"/>
            <w:vAlign w:val="center"/>
          </w:tcPr>
          <w:p w:rsidR="00A055B4" w:rsidRPr="005A27CE" w:rsidP="005A27CE" w14:paraId="07D40E00" w14:textId="5510F08C">
            <w:pPr>
              <w:keepNext/>
              <w:spacing w:after="0" w:line="240" w:lineRule="auto"/>
              <w:jc w:val="right"/>
              <w:rPr>
                <w:rFonts w:cs="Arial"/>
                <w:sz w:val="20"/>
                <w:szCs w:val="16"/>
              </w:rPr>
            </w:pPr>
            <w:r w:rsidRPr="005A27CE">
              <w:rPr>
                <w:rFonts w:cs="Arial"/>
                <w:sz w:val="20"/>
                <w:szCs w:val="16"/>
              </w:rPr>
              <w:t>$30,</w:t>
            </w:r>
            <w:r w:rsidRPr="005A27CE" w:rsidR="00082F08">
              <w:rPr>
                <w:rFonts w:cs="Arial"/>
                <w:sz w:val="20"/>
                <w:szCs w:val="16"/>
              </w:rPr>
              <w:t>929,069</w:t>
            </w:r>
            <w:r w:rsidRPr="005A27CE">
              <w:rPr>
                <w:rFonts w:cs="Arial"/>
                <w:sz w:val="20"/>
                <w:szCs w:val="16"/>
              </w:rPr>
              <w:t xml:space="preserve"> </w:t>
            </w:r>
          </w:p>
        </w:tc>
      </w:tr>
      <w:tr w14:paraId="40C8E131" w14:textId="77777777" w:rsidTr="005A27CE">
        <w:tblPrEx>
          <w:tblW w:w="5124" w:type="pct"/>
          <w:tblLayout w:type="fixed"/>
          <w:tblLook w:val="04A0"/>
        </w:tblPrEx>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A055B4" w:rsidRPr="002434C0" w:rsidP="003A39CF" w14:paraId="77317E58" w14:textId="77777777">
            <w:pPr>
              <w:keepNext/>
              <w:spacing w:after="0" w:line="240" w:lineRule="auto"/>
              <w:rPr>
                <w:rFonts w:cs="Arial"/>
              </w:rPr>
            </w:pPr>
            <w:r w:rsidRPr="00082F08">
              <w:rPr>
                <w:rFonts w:cs="Arial"/>
              </w:rPr>
              <w:t>Note: Values may not sum due to rounding.</w:t>
            </w:r>
          </w:p>
        </w:tc>
      </w:tr>
    </w:tbl>
    <w:p w:rsidR="00A055B4" w:rsidRPr="002434C0" w:rsidP="00A055B4" w14:paraId="7573EBF0" w14:textId="77777777">
      <w:pPr>
        <w:spacing w:after="180" w:line="240" w:lineRule="auto"/>
        <w:rPr>
          <w:rFonts w:eastAsia="Times New Roman" w:cs="Arial"/>
          <w:szCs w:val="20"/>
        </w:rPr>
      </w:pPr>
    </w:p>
    <w:p w:rsidR="00A055B4" w:rsidP="00A055B4" w14:paraId="7B2F5FE7" w14:textId="77777777">
      <w:pPr>
        <w:keepNext/>
        <w:numPr>
          <w:ilvl w:val="1"/>
          <w:numId w:val="0"/>
        </w:numPr>
        <w:tabs>
          <w:tab w:val="left" w:pos="720"/>
          <w:tab w:val="num" w:pos="8910"/>
        </w:tabs>
        <w:spacing w:after="0" w:line="240" w:lineRule="auto"/>
        <w:ind w:left="360" w:hanging="360"/>
        <w:outlineLvl w:val="1"/>
        <w:rPr>
          <w:rFonts w:eastAsia="Times New Roman" w:cs="Arial"/>
          <w:b/>
          <w:bCs/>
          <w:szCs w:val="20"/>
        </w:rPr>
      </w:pPr>
      <w:bookmarkStart w:id="46" w:name="_Ref116913384"/>
      <w:bookmarkStart w:id="47" w:name="_Toc117176228"/>
      <w:r w:rsidRPr="002434C0">
        <w:rPr>
          <w:rFonts w:eastAsia="Times New Roman" w:cs="Arial"/>
          <w:b/>
          <w:bCs/>
          <w:szCs w:val="20"/>
        </w:rPr>
        <w:t>Incremental Burden and Cost under the Proposed Rule</w:t>
      </w:r>
      <w:bookmarkEnd w:id="46"/>
      <w:bookmarkEnd w:id="47"/>
    </w:p>
    <w:p w:rsidR="00A055B4" w:rsidRPr="004720A6" w:rsidP="004720A6" w14:paraId="637F1BB9" w14:textId="77777777"/>
    <w:p w:rsidR="00A055B4" w:rsidRPr="002434C0" w:rsidP="00A055B4" w14:paraId="1E577D53" w14:textId="77777777">
      <w:pPr>
        <w:spacing w:after="180" w:line="240" w:lineRule="auto"/>
        <w:rPr>
          <w:rFonts w:eastAsia="Times New Roman" w:cs="Arial"/>
          <w:szCs w:val="20"/>
        </w:rPr>
      </w:pPr>
      <w:r w:rsidRPr="002434C0">
        <w:rPr>
          <w:rFonts w:eastAsia="Times New Roman" w:cs="Arial"/>
          <w:szCs w:val="20"/>
        </w:rPr>
        <w:t>This section presents the incremental change in burden and cost to industry under the proposed rule for reduced amendments due to notice information requirements and ineligibility of PFAS for LVE and LoREX submissions</w:t>
      </w:r>
      <w:bookmarkStart w:id="48" w:name="_Ref120032132"/>
      <w:r w:rsidRPr="002434C0">
        <w:rPr>
          <w:rFonts w:eastAsia="Times New Roman" w:cs="Arial"/>
          <w:szCs w:val="20"/>
        </w:rPr>
        <w:t>.</w:t>
      </w:r>
    </w:p>
    <w:p w:rsidR="00A055B4" w:rsidRPr="002434C0" w:rsidP="00A055B4" w14:paraId="1D6F88F6" w14:textId="77777777">
      <w:pPr>
        <w:spacing w:after="180" w:line="240" w:lineRule="auto"/>
        <w:rPr>
          <w:rFonts w:eastAsia="Times New Roman" w:cs="Arial"/>
          <w:b/>
          <w:bCs/>
          <w:szCs w:val="20"/>
        </w:rPr>
      </w:pPr>
      <w:r w:rsidRPr="002434C0">
        <w:rPr>
          <w:rFonts w:eastAsia="Times New Roman" w:cs="Arial"/>
          <w:b/>
          <w:bCs/>
          <w:szCs w:val="20"/>
        </w:rPr>
        <w:t>Reduced Amendments due to Notice Information Requirements</w:t>
      </w:r>
      <w:bookmarkEnd w:id="48"/>
    </w:p>
    <w:p w:rsidR="00A055B4" w:rsidRPr="002434C0" w:rsidP="00A055B4" w14:paraId="5AE5F47F" w14:textId="77777777">
      <w:pPr>
        <w:spacing w:after="180" w:line="240" w:lineRule="auto"/>
        <w:rPr>
          <w:rFonts w:eastAsia="Times New Roman" w:cs="Arial"/>
          <w:szCs w:val="20"/>
        </w:rPr>
      </w:pPr>
      <w:r w:rsidRPr="002434C0">
        <w:rPr>
          <w:rFonts w:eastAsia="Times New Roman" w:cs="Arial"/>
          <w:szCs w:val="20"/>
        </w:rPr>
        <w:t>As a result of amendments to the notice information requirements under the proposed rule, EPA expects that submitters will report all known or reasonably ascertainable information at the front end of the submission process rather than throughout the review process. The greater level of information provided in initial submissions is expected to reduce the percentage of amended notices submitted using the PMN form and the overall number of amendments submitted to EPA.</w:t>
      </w:r>
    </w:p>
    <w:p w:rsidR="00A055B4" w:rsidRPr="002434C0" w:rsidP="00A055B4" w14:paraId="42E18FA4" w14:textId="0D0D2156">
      <w:pPr>
        <w:spacing w:after="180" w:line="240" w:lineRule="auto"/>
        <w:rPr>
          <w:rFonts w:eastAsia="Times New Roman" w:cs="Arial"/>
          <w:szCs w:val="20"/>
        </w:rPr>
      </w:pPr>
      <w:r w:rsidRPr="002434C0">
        <w:rPr>
          <w:rFonts w:eastAsia="Times New Roman" w:cs="Arial"/>
          <w:szCs w:val="20"/>
        </w:rPr>
        <w:t>Based on the changes under the proposed rule, EPA expects that 40 percent of notices will not need to be amended. Additionally, EPA expects that among the remaining 30 percent of notices that will be amended, half will be amended once and the other half will be amended twice. Therefore</w:t>
      </w:r>
      <w:r>
        <w:rPr>
          <w:rFonts w:eastAsia="Times New Roman" w:cs="Arial"/>
          <w:szCs w:val="20"/>
        </w:rPr>
        <w:t>,</w:t>
      </w:r>
      <w:r w:rsidRPr="002434C0">
        <w:rPr>
          <w:rFonts w:eastAsia="Times New Roman" w:cs="Arial"/>
          <w:szCs w:val="20"/>
        </w:rPr>
        <w:t xml:space="preserve"> as shown in </w:t>
      </w:r>
      <w:r>
        <w:rPr>
          <w:rFonts w:eastAsia="Times New Roman" w:cs="Arial"/>
          <w:szCs w:val="20"/>
        </w:rPr>
        <w:t>Table 21</w:t>
      </w:r>
      <w:r w:rsidRPr="002434C0">
        <w:rPr>
          <w:rFonts w:eastAsia="Times New Roman" w:cs="Arial"/>
          <w:szCs w:val="20"/>
        </w:rPr>
        <w:t xml:space="preserve">, it is expected that as a result of the proposed rule, the average notices will be amended 0.9 times. </w:t>
      </w:r>
    </w:p>
    <w:p w:rsidR="00A055B4" w:rsidRPr="002434C0" w:rsidP="00A055B4" w14:paraId="625068CF" w14:textId="687DFF3B">
      <w:pPr>
        <w:keepNext/>
        <w:tabs>
          <w:tab w:val="left" w:pos="1260"/>
        </w:tabs>
        <w:spacing w:after="120" w:line="240" w:lineRule="auto"/>
        <w:ind w:left="1260" w:hanging="1260"/>
        <w:rPr>
          <w:rFonts w:eastAsia="Times New Roman" w:cs="Arial"/>
          <w:szCs w:val="20"/>
        </w:rPr>
      </w:pPr>
      <w:bookmarkStart w:id="49" w:name="_Ref120031640"/>
      <w:r w:rsidRPr="002434C0">
        <w:rPr>
          <w:rFonts w:eastAsia="Times New Roman" w:cs="Arial"/>
          <w:b/>
          <w:bCs/>
          <w:szCs w:val="20"/>
        </w:rPr>
        <w:t xml:space="preserve">Table </w:t>
      </w:r>
      <w:bookmarkEnd w:id="49"/>
      <w:r>
        <w:rPr>
          <w:rFonts w:eastAsia="Times New Roman" w:cs="Arial"/>
          <w:b/>
          <w:bCs/>
          <w:szCs w:val="20"/>
        </w:rPr>
        <w:t>21</w:t>
      </w:r>
      <w:r w:rsidRPr="002434C0">
        <w:rPr>
          <w:rFonts w:eastAsia="Times New Roman" w:cs="Arial"/>
          <w:szCs w:val="20"/>
        </w:rPr>
        <w:t>: Expected Amendments Under the Proposed Rule</w:t>
      </w: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3330"/>
      </w:tblGrid>
      <w:tr w14:paraId="7AA6CC66" w14:textId="77777777" w:rsidTr="003A39CF">
        <w:tblPrEx>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7"/>
        </w:trPr>
        <w:tc>
          <w:tcPr>
            <w:tcW w:w="4225" w:type="dxa"/>
            <w:shd w:val="clear" w:color="000000" w:fill="48A9C5"/>
            <w:vAlign w:val="center"/>
            <w:hideMark/>
          </w:tcPr>
          <w:p w:rsidR="00A055B4" w:rsidRPr="002434C0" w:rsidP="003A39CF" w14:paraId="41D1AC0F" w14:textId="77777777">
            <w:pPr>
              <w:spacing w:after="0" w:line="240" w:lineRule="auto"/>
              <w:jc w:val="center"/>
              <w:rPr>
                <w:rFonts w:eastAsia="Times New Roman" w:cs="Arial"/>
                <w:szCs w:val="20"/>
              </w:rPr>
            </w:pPr>
            <w:r w:rsidRPr="002434C0">
              <w:rPr>
                <w:rFonts w:eastAsia="Times New Roman" w:cs="Arial"/>
                <w:szCs w:val="20"/>
              </w:rPr>
              <w:t>Percent of Submissions</w:t>
            </w:r>
          </w:p>
        </w:tc>
        <w:tc>
          <w:tcPr>
            <w:tcW w:w="3330" w:type="dxa"/>
            <w:shd w:val="clear" w:color="000000" w:fill="48A9C5"/>
            <w:vAlign w:val="center"/>
            <w:hideMark/>
          </w:tcPr>
          <w:p w:rsidR="00A055B4" w:rsidRPr="002434C0" w:rsidP="003A39CF" w14:paraId="23C293A4" w14:textId="77777777">
            <w:pPr>
              <w:spacing w:after="0" w:line="240" w:lineRule="auto"/>
              <w:jc w:val="center"/>
              <w:rPr>
                <w:rFonts w:eastAsia="Times New Roman" w:cs="Arial"/>
                <w:szCs w:val="20"/>
              </w:rPr>
            </w:pPr>
            <w:r w:rsidRPr="002434C0">
              <w:rPr>
                <w:rFonts w:eastAsia="Times New Roman" w:cs="Arial"/>
                <w:szCs w:val="20"/>
              </w:rPr>
              <w:t>Number of Amendments per Notice</w:t>
            </w:r>
          </w:p>
        </w:tc>
      </w:tr>
      <w:tr w14:paraId="48B153F0" w14:textId="77777777" w:rsidTr="003A39CF">
        <w:tblPrEx>
          <w:tblW w:w="7555" w:type="dxa"/>
          <w:tblLook w:val="04A0"/>
        </w:tblPrEx>
        <w:trPr>
          <w:trHeight w:val="290"/>
        </w:trPr>
        <w:tc>
          <w:tcPr>
            <w:tcW w:w="4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5B4" w:rsidRPr="002434C0" w:rsidP="003A39CF" w14:paraId="6BFC4C61" w14:textId="77777777">
            <w:pPr>
              <w:spacing w:after="0" w:line="240" w:lineRule="auto"/>
              <w:jc w:val="center"/>
              <w:rPr>
                <w:rFonts w:eastAsia="Times New Roman" w:cs="Arial"/>
                <w:szCs w:val="20"/>
              </w:rPr>
            </w:pPr>
            <w:r w:rsidRPr="002434C0">
              <w:rPr>
                <w:rFonts w:eastAsia="Times New Roman" w:cs="Arial"/>
                <w:szCs w:val="20"/>
              </w:rPr>
              <w:t>40%</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490B11A9" w14:textId="77777777">
            <w:pPr>
              <w:spacing w:after="0" w:line="240" w:lineRule="auto"/>
              <w:jc w:val="center"/>
              <w:rPr>
                <w:rFonts w:eastAsia="Times New Roman" w:cs="Arial"/>
                <w:szCs w:val="20"/>
              </w:rPr>
            </w:pPr>
            <w:r w:rsidRPr="002434C0">
              <w:rPr>
                <w:rFonts w:eastAsia="Times New Roman" w:cs="Arial"/>
                <w:szCs w:val="20"/>
              </w:rPr>
              <w:t>0</w:t>
            </w:r>
          </w:p>
        </w:tc>
      </w:tr>
      <w:tr w14:paraId="6A8C8DBD" w14:textId="77777777" w:rsidTr="003A39CF">
        <w:tblPrEx>
          <w:tblW w:w="7555" w:type="dxa"/>
          <w:tblLook w:val="04A0"/>
        </w:tblPrEx>
        <w:trPr>
          <w:trHeight w:val="29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55EE0C55" w14:textId="77777777">
            <w:pPr>
              <w:spacing w:after="0" w:line="240" w:lineRule="auto"/>
              <w:jc w:val="center"/>
              <w:rPr>
                <w:rFonts w:eastAsia="Times New Roman" w:cs="Arial"/>
                <w:szCs w:val="20"/>
              </w:rPr>
            </w:pPr>
            <w:r w:rsidRPr="002434C0">
              <w:rPr>
                <w:rFonts w:eastAsia="Times New Roman" w:cs="Arial"/>
                <w:szCs w:val="20"/>
              </w:rPr>
              <w:t>30%</w:t>
            </w:r>
          </w:p>
        </w:tc>
        <w:tc>
          <w:tcPr>
            <w:tcW w:w="3330" w:type="dxa"/>
            <w:tcBorders>
              <w:top w:val="nil"/>
              <w:left w:val="nil"/>
              <w:bottom w:val="single" w:sz="4" w:space="0" w:color="auto"/>
              <w:right w:val="single" w:sz="4" w:space="0" w:color="auto"/>
            </w:tcBorders>
            <w:shd w:val="clear" w:color="auto" w:fill="auto"/>
            <w:vAlign w:val="center"/>
            <w:hideMark/>
          </w:tcPr>
          <w:p w:rsidR="00A055B4" w:rsidRPr="002434C0" w:rsidP="003A39CF" w14:paraId="285BF32B" w14:textId="77777777">
            <w:pPr>
              <w:spacing w:after="0" w:line="240" w:lineRule="auto"/>
              <w:jc w:val="center"/>
              <w:rPr>
                <w:rFonts w:eastAsia="Times New Roman" w:cs="Arial"/>
                <w:szCs w:val="20"/>
              </w:rPr>
            </w:pPr>
            <w:r w:rsidRPr="002434C0">
              <w:rPr>
                <w:rFonts w:eastAsia="Times New Roman" w:cs="Arial"/>
                <w:szCs w:val="20"/>
              </w:rPr>
              <w:t>1</w:t>
            </w:r>
          </w:p>
        </w:tc>
      </w:tr>
      <w:tr w14:paraId="2CD28B22" w14:textId="77777777" w:rsidTr="003A39CF">
        <w:tblPrEx>
          <w:tblW w:w="7555" w:type="dxa"/>
          <w:tblLook w:val="04A0"/>
        </w:tblPrEx>
        <w:trPr>
          <w:trHeight w:val="290"/>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2D2672B0" w14:textId="77777777">
            <w:pPr>
              <w:spacing w:after="0" w:line="240" w:lineRule="auto"/>
              <w:jc w:val="center"/>
              <w:rPr>
                <w:rFonts w:eastAsia="Times New Roman" w:cs="Arial"/>
                <w:szCs w:val="20"/>
              </w:rPr>
            </w:pPr>
            <w:r w:rsidRPr="002434C0">
              <w:rPr>
                <w:rFonts w:eastAsia="Times New Roman" w:cs="Arial"/>
                <w:szCs w:val="20"/>
              </w:rPr>
              <w:t>30%</w:t>
            </w:r>
          </w:p>
        </w:tc>
        <w:tc>
          <w:tcPr>
            <w:tcW w:w="3330" w:type="dxa"/>
            <w:tcBorders>
              <w:top w:val="nil"/>
              <w:left w:val="nil"/>
              <w:bottom w:val="single" w:sz="4" w:space="0" w:color="auto"/>
              <w:right w:val="single" w:sz="4" w:space="0" w:color="auto"/>
            </w:tcBorders>
            <w:shd w:val="clear" w:color="auto" w:fill="auto"/>
            <w:vAlign w:val="center"/>
            <w:hideMark/>
          </w:tcPr>
          <w:p w:rsidR="00A055B4" w:rsidRPr="002434C0" w:rsidP="003A39CF" w14:paraId="370A9A69" w14:textId="77777777">
            <w:pPr>
              <w:spacing w:after="0" w:line="240" w:lineRule="auto"/>
              <w:jc w:val="center"/>
              <w:rPr>
                <w:rFonts w:eastAsia="Times New Roman" w:cs="Arial"/>
                <w:szCs w:val="20"/>
              </w:rPr>
            </w:pPr>
            <w:r w:rsidRPr="002434C0">
              <w:rPr>
                <w:rFonts w:eastAsia="Times New Roman" w:cs="Arial"/>
                <w:szCs w:val="20"/>
              </w:rPr>
              <w:t>2</w:t>
            </w:r>
          </w:p>
        </w:tc>
      </w:tr>
      <w:tr w14:paraId="1FBFEC0A" w14:textId="77777777" w:rsidTr="003A39CF">
        <w:tblPrEx>
          <w:tblW w:w="7555" w:type="dxa"/>
          <w:tblLook w:val="04A0"/>
        </w:tblPrEx>
        <w:trPr>
          <w:trHeight w:val="386"/>
        </w:trPr>
        <w:tc>
          <w:tcPr>
            <w:tcW w:w="4225" w:type="dxa"/>
            <w:shd w:val="clear" w:color="auto" w:fill="auto"/>
            <w:vAlign w:val="center"/>
            <w:hideMark/>
          </w:tcPr>
          <w:p w:rsidR="00A055B4" w:rsidRPr="002434C0" w:rsidP="003A39CF" w14:paraId="24305ACA" w14:textId="77777777">
            <w:pPr>
              <w:spacing w:after="0" w:line="240" w:lineRule="auto"/>
              <w:rPr>
                <w:rFonts w:eastAsia="Times New Roman" w:cs="Arial"/>
                <w:szCs w:val="20"/>
              </w:rPr>
            </w:pPr>
            <w:r w:rsidRPr="002434C0">
              <w:rPr>
                <w:rFonts w:eastAsia="Times New Roman" w:cs="Arial"/>
                <w:szCs w:val="20"/>
              </w:rPr>
              <w:t>Average Number of Amendments per Notice</w:t>
            </w:r>
          </w:p>
        </w:tc>
        <w:tc>
          <w:tcPr>
            <w:tcW w:w="3330" w:type="dxa"/>
            <w:shd w:val="clear" w:color="auto" w:fill="auto"/>
            <w:vAlign w:val="center"/>
            <w:hideMark/>
          </w:tcPr>
          <w:p w:rsidR="00A055B4" w:rsidRPr="002434C0" w:rsidP="003A39CF" w14:paraId="6E17BD23" w14:textId="77777777">
            <w:pPr>
              <w:spacing w:after="0" w:line="240" w:lineRule="auto"/>
              <w:jc w:val="center"/>
              <w:rPr>
                <w:rFonts w:eastAsia="Times New Roman" w:cs="Arial"/>
                <w:szCs w:val="20"/>
              </w:rPr>
            </w:pPr>
            <w:r w:rsidRPr="002434C0">
              <w:rPr>
                <w:rFonts w:eastAsia="Times New Roman" w:cs="Arial"/>
                <w:szCs w:val="20"/>
              </w:rPr>
              <w:t>0.9</w:t>
            </w:r>
          </w:p>
        </w:tc>
      </w:tr>
    </w:tbl>
    <w:p w:rsidR="00A055B4" w:rsidRPr="002434C0" w:rsidP="00A055B4" w14:paraId="20CF0D15" w14:textId="77777777">
      <w:pPr>
        <w:spacing w:after="180" w:line="240" w:lineRule="auto"/>
        <w:rPr>
          <w:rFonts w:eastAsia="Times New Roman" w:cs="Arial"/>
          <w:szCs w:val="20"/>
        </w:rPr>
      </w:pPr>
    </w:p>
    <w:p w:rsidR="00A055B4" w:rsidRPr="002434C0" w:rsidP="00A055B4" w14:paraId="4235A31D" w14:textId="3D2AA731">
      <w:pPr>
        <w:spacing w:after="180" w:line="240" w:lineRule="auto"/>
        <w:rPr>
          <w:rFonts w:eastAsia="Times New Roman" w:cs="Arial"/>
          <w:szCs w:val="20"/>
        </w:rPr>
      </w:pPr>
      <w:r w:rsidRPr="002434C0">
        <w:rPr>
          <w:rFonts w:eastAsia="Times New Roman" w:cs="Arial"/>
          <w:szCs w:val="20"/>
        </w:rPr>
        <w:t>As shown in</w:t>
      </w:r>
      <w:r w:rsidR="00EF5BD5">
        <w:rPr>
          <w:rFonts w:eastAsia="Times New Roman" w:cs="Arial"/>
          <w:szCs w:val="20"/>
        </w:rPr>
        <w:t xml:space="preserve"> Table 22.</w:t>
      </w:r>
      <w:r w:rsidRPr="002434C0">
        <w:rPr>
          <w:rFonts w:eastAsia="Times New Roman" w:cs="Arial"/>
          <w:szCs w:val="20"/>
        </w:rPr>
        <w:t xml:space="preserve">, this results in an estimated average decrease in 1.12 amendments per PMN, 0.90 amendments per SNUN, and 0.73 amendments per LVE/LoREX. Note that because TMEs already submit fewer than 0.9 amendments in the baseline, it is assumed that there is no change in the average number of amendments per notice post-rule. </w:t>
      </w:r>
    </w:p>
    <w:p w:rsidR="00A055B4" w:rsidRPr="002434C0" w:rsidP="00A055B4" w14:paraId="1EBF6A20" w14:textId="7B8BCF3E">
      <w:pPr>
        <w:keepNext/>
        <w:tabs>
          <w:tab w:val="left" w:pos="1260"/>
        </w:tabs>
        <w:spacing w:after="120" w:line="240" w:lineRule="auto"/>
        <w:ind w:left="1260" w:hanging="1260"/>
        <w:rPr>
          <w:rFonts w:eastAsia="Times New Roman" w:cs="Arial"/>
          <w:szCs w:val="20"/>
        </w:rPr>
      </w:pPr>
      <w:bookmarkStart w:id="50" w:name="_Ref53990829"/>
      <w:r w:rsidRPr="002434C0">
        <w:rPr>
          <w:rFonts w:eastAsia="Times New Roman" w:cs="Arial"/>
          <w:b/>
          <w:bCs/>
          <w:szCs w:val="20"/>
        </w:rPr>
        <w:t xml:space="preserve">Table </w:t>
      </w:r>
      <w:bookmarkEnd w:id="50"/>
      <w:r w:rsidR="00EF5BD5">
        <w:rPr>
          <w:rFonts w:eastAsia="Times New Roman" w:cs="Arial"/>
          <w:b/>
          <w:bCs/>
          <w:szCs w:val="20"/>
        </w:rPr>
        <w:t>22.</w:t>
      </w:r>
      <w:r w:rsidRPr="002434C0">
        <w:rPr>
          <w:rFonts w:eastAsia="Times New Roman" w:cs="Arial"/>
          <w:szCs w:val="20"/>
        </w:rPr>
        <w:t xml:space="preserve">: </w:t>
      </w:r>
      <w:bookmarkStart w:id="51" w:name="_Hlk54775521"/>
      <w:r w:rsidRPr="002434C0">
        <w:rPr>
          <w:rFonts w:eastAsia="Times New Roman" w:cs="Arial"/>
          <w:szCs w:val="20"/>
        </w:rPr>
        <w:t>Expected Change in Amendments to TSCA Section 5 Notices Under the Proposed Rule</w:t>
      </w:r>
      <w:bookmarkEnd w:id="51"/>
    </w:p>
    <w:tbl>
      <w:tblPr>
        <w:tblW w:w="7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0"/>
        <w:gridCol w:w="1360"/>
        <w:gridCol w:w="1420"/>
        <w:gridCol w:w="1247"/>
      </w:tblGrid>
      <w:tr w14:paraId="75586C80" w14:textId="77777777" w:rsidTr="003A39CF">
        <w:tblPrEx>
          <w:tblW w:w="7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3"/>
        </w:trPr>
        <w:tc>
          <w:tcPr>
            <w:tcW w:w="3440" w:type="dxa"/>
            <w:vMerge w:val="restart"/>
            <w:shd w:val="clear" w:color="000000" w:fill="48A9C5"/>
            <w:vAlign w:val="center"/>
            <w:hideMark/>
          </w:tcPr>
          <w:p w:rsidR="00A055B4" w:rsidRPr="002434C0" w:rsidP="003A39CF" w14:paraId="30571841" w14:textId="77777777">
            <w:pPr>
              <w:keepNext/>
              <w:spacing w:after="0" w:line="240" w:lineRule="auto"/>
              <w:jc w:val="center"/>
              <w:rPr>
                <w:rFonts w:eastAsia="Times New Roman" w:cs="Arial"/>
                <w:sz w:val="22"/>
              </w:rPr>
            </w:pPr>
            <w:bookmarkStart w:id="52" w:name="_Hlk54775531"/>
            <w:r w:rsidRPr="002434C0">
              <w:rPr>
                <w:rFonts w:eastAsia="Times New Roman" w:cs="Arial"/>
                <w:sz w:val="22"/>
              </w:rPr>
              <w:t>Notice/Activity</w:t>
            </w:r>
          </w:p>
        </w:tc>
        <w:tc>
          <w:tcPr>
            <w:tcW w:w="4027" w:type="dxa"/>
            <w:gridSpan w:val="3"/>
            <w:shd w:val="clear" w:color="000000" w:fill="48A9C5"/>
            <w:vAlign w:val="center"/>
            <w:hideMark/>
          </w:tcPr>
          <w:p w:rsidR="00A055B4" w:rsidRPr="002434C0" w:rsidP="003A39CF" w14:paraId="184A4C29" w14:textId="77777777">
            <w:pPr>
              <w:keepNext/>
              <w:spacing w:after="0" w:line="240" w:lineRule="auto"/>
              <w:jc w:val="center"/>
              <w:rPr>
                <w:rFonts w:eastAsia="Times New Roman" w:cs="Arial"/>
                <w:sz w:val="22"/>
              </w:rPr>
            </w:pPr>
            <w:r w:rsidRPr="002434C0">
              <w:rPr>
                <w:rFonts w:eastAsia="Times New Roman" w:cs="Arial"/>
                <w:sz w:val="22"/>
              </w:rPr>
              <w:t>Average Number of Amendments per Notice</w:t>
            </w:r>
          </w:p>
        </w:tc>
      </w:tr>
      <w:tr w14:paraId="7EA253FA" w14:textId="77777777" w:rsidTr="003A39CF">
        <w:tblPrEx>
          <w:tblW w:w="7467" w:type="dxa"/>
          <w:tblLook w:val="04A0"/>
        </w:tblPrEx>
        <w:trPr>
          <w:trHeight w:val="290"/>
        </w:trPr>
        <w:tc>
          <w:tcPr>
            <w:tcW w:w="3440" w:type="dxa"/>
            <w:vMerge/>
            <w:vAlign w:val="center"/>
            <w:hideMark/>
          </w:tcPr>
          <w:p w:rsidR="00A055B4" w:rsidRPr="002434C0" w:rsidP="003A39CF" w14:paraId="5C475FC3" w14:textId="77777777">
            <w:pPr>
              <w:keepNext/>
              <w:spacing w:after="0" w:line="240" w:lineRule="auto"/>
              <w:rPr>
                <w:rFonts w:eastAsia="Times New Roman" w:cs="Arial"/>
                <w:sz w:val="22"/>
              </w:rPr>
            </w:pPr>
          </w:p>
        </w:tc>
        <w:tc>
          <w:tcPr>
            <w:tcW w:w="1360" w:type="dxa"/>
            <w:shd w:val="clear" w:color="000000" w:fill="48A9C5"/>
            <w:vAlign w:val="center"/>
            <w:hideMark/>
          </w:tcPr>
          <w:p w:rsidR="00A055B4" w:rsidRPr="002434C0" w:rsidP="003A39CF" w14:paraId="3931A005" w14:textId="77777777">
            <w:pPr>
              <w:keepNext/>
              <w:spacing w:after="0" w:line="240" w:lineRule="auto"/>
              <w:jc w:val="center"/>
              <w:rPr>
                <w:rFonts w:eastAsia="Times New Roman" w:cs="Arial"/>
                <w:sz w:val="22"/>
              </w:rPr>
            </w:pPr>
            <w:r w:rsidRPr="002434C0">
              <w:rPr>
                <w:rFonts w:eastAsia="Times New Roman" w:cs="Arial"/>
                <w:sz w:val="22"/>
              </w:rPr>
              <w:t>Baseline1</w:t>
            </w:r>
          </w:p>
        </w:tc>
        <w:tc>
          <w:tcPr>
            <w:tcW w:w="1420" w:type="dxa"/>
            <w:shd w:val="clear" w:color="000000" w:fill="48A9C5"/>
            <w:vAlign w:val="center"/>
            <w:hideMark/>
          </w:tcPr>
          <w:p w:rsidR="00A055B4" w:rsidRPr="002434C0" w:rsidP="003A39CF" w14:paraId="3FD4B409" w14:textId="77777777">
            <w:pPr>
              <w:keepNext/>
              <w:spacing w:after="0" w:line="240" w:lineRule="auto"/>
              <w:jc w:val="center"/>
              <w:rPr>
                <w:rFonts w:eastAsia="Times New Roman" w:cs="Arial"/>
                <w:sz w:val="22"/>
              </w:rPr>
            </w:pPr>
            <w:r w:rsidRPr="002434C0">
              <w:rPr>
                <w:rFonts w:eastAsia="Times New Roman" w:cs="Arial"/>
                <w:sz w:val="22"/>
              </w:rPr>
              <w:t>Post-Rule</w:t>
            </w:r>
          </w:p>
        </w:tc>
        <w:tc>
          <w:tcPr>
            <w:tcW w:w="1247" w:type="dxa"/>
            <w:shd w:val="clear" w:color="000000" w:fill="48A9C5"/>
            <w:vAlign w:val="center"/>
            <w:hideMark/>
          </w:tcPr>
          <w:p w:rsidR="00A055B4" w:rsidRPr="002434C0" w:rsidP="003A39CF" w14:paraId="5E0B9D67" w14:textId="77777777">
            <w:pPr>
              <w:keepNext/>
              <w:spacing w:after="0" w:line="240" w:lineRule="auto"/>
              <w:jc w:val="center"/>
              <w:rPr>
                <w:rFonts w:eastAsia="Times New Roman" w:cs="Arial"/>
                <w:sz w:val="22"/>
              </w:rPr>
            </w:pPr>
            <w:r w:rsidRPr="002434C0">
              <w:rPr>
                <w:rFonts w:eastAsia="Times New Roman" w:cs="Arial"/>
                <w:sz w:val="22"/>
              </w:rPr>
              <w:t>Change</w:t>
            </w:r>
          </w:p>
        </w:tc>
      </w:tr>
      <w:tr w14:paraId="7D62E727" w14:textId="77777777" w:rsidTr="003A39CF">
        <w:tblPrEx>
          <w:tblW w:w="7467" w:type="dxa"/>
          <w:tblLook w:val="04A0"/>
        </w:tblPrEx>
        <w:trPr>
          <w:trHeight w:val="290"/>
        </w:trPr>
        <w:tc>
          <w:tcPr>
            <w:tcW w:w="3440" w:type="dxa"/>
            <w:shd w:val="clear" w:color="auto" w:fill="auto"/>
            <w:vAlign w:val="center"/>
            <w:hideMark/>
          </w:tcPr>
          <w:p w:rsidR="00A055B4" w:rsidRPr="002434C0" w:rsidP="003A39CF" w14:paraId="347C9CAD" w14:textId="77777777">
            <w:pPr>
              <w:keepNext/>
              <w:spacing w:after="0" w:line="240" w:lineRule="auto"/>
              <w:rPr>
                <w:rFonts w:eastAsia="Times New Roman" w:cs="Arial"/>
                <w:sz w:val="22"/>
              </w:rPr>
            </w:pPr>
            <w:r w:rsidRPr="002434C0">
              <w:rPr>
                <w:rFonts w:eastAsia="Times New Roman" w:cs="Arial"/>
                <w:sz w:val="22"/>
              </w:rPr>
              <w:t>PMN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5B4" w:rsidRPr="002434C0" w:rsidP="003A39CF" w14:paraId="2B936042" w14:textId="77777777">
            <w:pPr>
              <w:keepNext/>
              <w:spacing w:after="0" w:line="240" w:lineRule="auto"/>
              <w:jc w:val="center"/>
              <w:rPr>
                <w:rFonts w:eastAsia="Times New Roman" w:cs="Arial"/>
                <w:sz w:val="22"/>
              </w:rPr>
            </w:pPr>
            <w:r w:rsidRPr="002434C0">
              <w:rPr>
                <w:rFonts w:eastAsia="Times New Roman" w:cs="Arial"/>
                <w:sz w:val="22"/>
              </w:rPr>
              <w:t>2.02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4FE07B6C" w14:textId="77777777">
            <w:pPr>
              <w:keepNext/>
              <w:spacing w:after="0" w:line="240" w:lineRule="auto"/>
              <w:jc w:val="center"/>
              <w:rPr>
                <w:rFonts w:eastAsia="Times New Roman" w:cs="Arial"/>
                <w:sz w:val="22"/>
              </w:rPr>
            </w:pPr>
            <w:r w:rsidRPr="002434C0">
              <w:rPr>
                <w:rFonts w:eastAsia="Times New Roman" w:cs="Arial"/>
                <w:sz w:val="22"/>
              </w:rPr>
              <w:t>0.9</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71EBC7F5" w14:textId="77777777">
            <w:pPr>
              <w:keepNext/>
              <w:spacing w:after="0" w:line="240" w:lineRule="auto"/>
              <w:jc w:val="right"/>
              <w:rPr>
                <w:rFonts w:eastAsia="Times New Roman" w:cs="Arial"/>
                <w:sz w:val="22"/>
              </w:rPr>
            </w:pPr>
            <w:r w:rsidRPr="002434C0">
              <w:rPr>
                <w:rFonts w:eastAsia="Times New Roman" w:cs="Arial"/>
                <w:sz w:val="22"/>
              </w:rPr>
              <w:t>-1.12</w:t>
            </w:r>
          </w:p>
        </w:tc>
      </w:tr>
      <w:tr w14:paraId="150391CA" w14:textId="77777777" w:rsidTr="003A39CF">
        <w:tblPrEx>
          <w:tblW w:w="7467" w:type="dxa"/>
          <w:tblLook w:val="04A0"/>
        </w:tblPrEx>
        <w:trPr>
          <w:trHeight w:val="290"/>
        </w:trPr>
        <w:tc>
          <w:tcPr>
            <w:tcW w:w="3440" w:type="dxa"/>
            <w:shd w:val="clear" w:color="auto" w:fill="auto"/>
            <w:vAlign w:val="center"/>
            <w:hideMark/>
          </w:tcPr>
          <w:p w:rsidR="00A055B4" w:rsidRPr="002434C0" w:rsidP="003A39CF" w14:paraId="564ACBC3" w14:textId="77777777">
            <w:pPr>
              <w:keepNext/>
              <w:spacing w:after="0" w:line="240" w:lineRule="auto"/>
              <w:rPr>
                <w:rFonts w:eastAsia="Times New Roman" w:cs="Arial"/>
                <w:sz w:val="22"/>
              </w:rPr>
            </w:pPr>
            <w:r w:rsidRPr="002434C0">
              <w:rPr>
                <w:rFonts w:eastAsia="Times New Roman" w:cs="Arial"/>
                <w:sz w:val="22"/>
              </w:rPr>
              <w:t>SNUN</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0E77D6C7" w14:textId="77777777">
            <w:pPr>
              <w:keepNext/>
              <w:spacing w:after="0" w:line="240" w:lineRule="auto"/>
              <w:jc w:val="center"/>
              <w:rPr>
                <w:rFonts w:eastAsia="Times New Roman" w:cs="Arial"/>
                <w:sz w:val="22"/>
              </w:rPr>
            </w:pPr>
            <w:r w:rsidRPr="002434C0">
              <w:rPr>
                <w:rFonts w:eastAsia="Times New Roman" w:cs="Arial"/>
                <w:sz w:val="22"/>
              </w:rPr>
              <w:t>1.80</w:t>
            </w:r>
          </w:p>
        </w:tc>
        <w:tc>
          <w:tcPr>
            <w:tcW w:w="1420" w:type="dxa"/>
            <w:tcBorders>
              <w:top w:val="nil"/>
              <w:left w:val="nil"/>
              <w:bottom w:val="single" w:sz="4" w:space="0" w:color="auto"/>
              <w:right w:val="single" w:sz="4" w:space="0" w:color="auto"/>
            </w:tcBorders>
            <w:shd w:val="clear" w:color="auto" w:fill="auto"/>
            <w:vAlign w:val="center"/>
            <w:hideMark/>
          </w:tcPr>
          <w:p w:rsidR="00A055B4" w:rsidRPr="002434C0" w:rsidP="003A39CF" w14:paraId="26774917" w14:textId="77777777">
            <w:pPr>
              <w:keepNext/>
              <w:spacing w:after="0" w:line="240" w:lineRule="auto"/>
              <w:jc w:val="center"/>
              <w:rPr>
                <w:rFonts w:eastAsia="Times New Roman" w:cs="Arial"/>
                <w:sz w:val="22"/>
              </w:rPr>
            </w:pPr>
            <w:r w:rsidRPr="002434C0">
              <w:rPr>
                <w:rFonts w:eastAsia="Times New Roman" w:cs="Arial"/>
                <w:sz w:val="22"/>
              </w:rPr>
              <w:t>0.9</w:t>
            </w:r>
          </w:p>
        </w:tc>
        <w:tc>
          <w:tcPr>
            <w:tcW w:w="1247" w:type="dxa"/>
            <w:tcBorders>
              <w:top w:val="nil"/>
              <w:left w:val="nil"/>
              <w:bottom w:val="single" w:sz="4" w:space="0" w:color="auto"/>
              <w:right w:val="single" w:sz="4" w:space="0" w:color="auto"/>
            </w:tcBorders>
            <w:shd w:val="clear" w:color="auto" w:fill="auto"/>
            <w:noWrap/>
            <w:vAlign w:val="bottom"/>
            <w:hideMark/>
          </w:tcPr>
          <w:p w:rsidR="00A055B4" w:rsidRPr="002434C0" w:rsidP="003A39CF" w14:paraId="493BC50E" w14:textId="77777777">
            <w:pPr>
              <w:keepNext/>
              <w:spacing w:after="0" w:line="240" w:lineRule="auto"/>
              <w:jc w:val="right"/>
              <w:rPr>
                <w:rFonts w:eastAsia="Times New Roman" w:cs="Arial"/>
                <w:sz w:val="22"/>
              </w:rPr>
            </w:pPr>
            <w:r w:rsidRPr="002434C0">
              <w:rPr>
                <w:rFonts w:eastAsia="Times New Roman" w:cs="Arial"/>
                <w:sz w:val="22"/>
              </w:rPr>
              <w:t>-0.90</w:t>
            </w:r>
          </w:p>
        </w:tc>
      </w:tr>
      <w:tr w14:paraId="107B7D1C" w14:textId="77777777" w:rsidTr="003A39CF">
        <w:tblPrEx>
          <w:tblW w:w="7467" w:type="dxa"/>
          <w:tblLook w:val="04A0"/>
        </w:tblPrEx>
        <w:trPr>
          <w:trHeight w:val="290"/>
        </w:trPr>
        <w:tc>
          <w:tcPr>
            <w:tcW w:w="3440" w:type="dxa"/>
            <w:shd w:val="clear" w:color="auto" w:fill="auto"/>
            <w:vAlign w:val="center"/>
          </w:tcPr>
          <w:p w:rsidR="00A055B4" w:rsidRPr="002434C0" w:rsidP="003A39CF" w14:paraId="44FCB4D8" w14:textId="77777777">
            <w:pPr>
              <w:keepNext/>
              <w:spacing w:after="0" w:line="240" w:lineRule="auto"/>
              <w:rPr>
                <w:rFonts w:eastAsia="Times New Roman" w:cs="Arial"/>
                <w:sz w:val="22"/>
              </w:rPr>
            </w:pPr>
            <w:r w:rsidRPr="002434C0">
              <w:rPr>
                <w:rFonts w:eastAsia="Times New Roman" w:cs="Arial"/>
                <w:sz w:val="22"/>
              </w:rPr>
              <w:t>LVE/LoREX</w:t>
            </w:r>
          </w:p>
        </w:tc>
        <w:tc>
          <w:tcPr>
            <w:tcW w:w="1360" w:type="dxa"/>
            <w:tcBorders>
              <w:top w:val="nil"/>
              <w:left w:val="single" w:sz="4" w:space="0" w:color="auto"/>
              <w:bottom w:val="single" w:sz="4" w:space="0" w:color="auto"/>
              <w:right w:val="single" w:sz="4" w:space="0" w:color="auto"/>
            </w:tcBorders>
            <w:shd w:val="clear" w:color="auto" w:fill="auto"/>
            <w:vAlign w:val="center"/>
          </w:tcPr>
          <w:p w:rsidR="00A055B4" w:rsidRPr="002434C0" w:rsidP="003A39CF" w14:paraId="2DB2A0BB" w14:textId="77777777">
            <w:pPr>
              <w:keepNext/>
              <w:spacing w:after="0" w:line="240" w:lineRule="auto"/>
              <w:jc w:val="center"/>
              <w:rPr>
                <w:rFonts w:eastAsia="Times New Roman" w:cs="Arial"/>
                <w:sz w:val="22"/>
              </w:rPr>
            </w:pPr>
            <w:r w:rsidRPr="002434C0">
              <w:rPr>
                <w:rFonts w:eastAsia="Times New Roman" w:cs="Arial"/>
                <w:sz w:val="22"/>
              </w:rPr>
              <w:t>1.63</w:t>
            </w:r>
          </w:p>
        </w:tc>
        <w:tc>
          <w:tcPr>
            <w:tcW w:w="1420" w:type="dxa"/>
            <w:tcBorders>
              <w:top w:val="nil"/>
              <w:left w:val="nil"/>
              <w:bottom w:val="single" w:sz="4" w:space="0" w:color="auto"/>
              <w:right w:val="single" w:sz="4" w:space="0" w:color="auto"/>
            </w:tcBorders>
            <w:shd w:val="clear" w:color="auto" w:fill="auto"/>
            <w:vAlign w:val="center"/>
          </w:tcPr>
          <w:p w:rsidR="00A055B4" w:rsidRPr="002434C0" w:rsidP="003A39CF" w14:paraId="38CCECBE" w14:textId="77777777">
            <w:pPr>
              <w:keepNext/>
              <w:spacing w:after="0" w:line="240" w:lineRule="auto"/>
              <w:jc w:val="center"/>
              <w:rPr>
                <w:rFonts w:eastAsia="Times New Roman" w:cs="Arial"/>
                <w:sz w:val="22"/>
              </w:rPr>
            </w:pPr>
            <w:r w:rsidRPr="002434C0">
              <w:rPr>
                <w:rFonts w:eastAsia="Times New Roman" w:cs="Arial"/>
                <w:sz w:val="22"/>
              </w:rPr>
              <w:t>0.9</w:t>
            </w:r>
          </w:p>
        </w:tc>
        <w:tc>
          <w:tcPr>
            <w:tcW w:w="1247" w:type="dxa"/>
            <w:tcBorders>
              <w:top w:val="nil"/>
              <w:left w:val="nil"/>
              <w:bottom w:val="single" w:sz="4" w:space="0" w:color="auto"/>
              <w:right w:val="single" w:sz="4" w:space="0" w:color="auto"/>
            </w:tcBorders>
            <w:shd w:val="clear" w:color="auto" w:fill="auto"/>
            <w:noWrap/>
            <w:vAlign w:val="bottom"/>
          </w:tcPr>
          <w:p w:rsidR="00A055B4" w:rsidRPr="002434C0" w:rsidP="003A39CF" w14:paraId="28A30174" w14:textId="77777777">
            <w:pPr>
              <w:keepNext/>
              <w:spacing w:after="0" w:line="240" w:lineRule="auto"/>
              <w:jc w:val="right"/>
              <w:rPr>
                <w:rFonts w:eastAsia="Times New Roman" w:cs="Arial"/>
                <w:sz w:val="22"/>
              </w:rPr>
            </w:pPr>
            <w:r w:rsidRPr="002434C0">
              <w:rPr>
                <w:rFonts w:eastAsia="Times New Roman" w:cs="Arial"/>
                <w:sz w:val="22"/>
              </w:rPr>
              <w:t>-0.73</w:t>
            </w:r>
          </w:p>
        </w:tc>
      </w:tr>
      <w:tr w14:paraId="53681A12" w14:textId="77777777" w:rsidTr="003A39CF">
        <w:tblPrEx>
          <w:tblW w:w="7467" w:type="dxa"/>
          <w:tblLook w:val="04A0"/>
        </w:tblPrEx>
        <w:trPr>
          <w:trHeight w:val="290"/>
        </w:trPr>
        <w:tc>
          <w:tcPr>
            <w:tcW w:w="3440" w:type="dxa"/>
            <w:shd w:val="clear" w:color="auto" w:fill="auto"/>
            <w:vAlign w:val="center"/>
          </w:tcPr>
          <w:p w:rsidR="00A055B4" w:rsidRPr="002434C0" w:rsidP="003A39CF" w14:paraId="6C7B56F6" w14:textId="77777777">
            <w:pPr>
              <w:keepNext/>
              <w:spacing w:after="0" w:line="240" w:lineRule="auto"/>
              <w:rPr>
                <w:rFonts w:eastAsia="Times New Roman" w:cs="Arial"/>
                <w:sz w:val="22"/>
              </w:rPr>
            </w:pPr>
            <w:r w:rsidRPr="002434C0">
              <w:rPr>
                <w:rFonts w:eastAsia="Times New Roman" w:cs="Arial"/>
                <w:sz w:val="22"/>
              </w:rPr>
              <w:t>TME</w:t>
            </w:r>
          </w:p>
        </w:tc>
        <w:tc>
          <w:tcPr>
            <w:tcW w:w="1360" w:type="dxa"/>
            <w:tcBorders>
              <w:top w:val="nil"/>
              <w:left w:val="single" w:sz="4" w:space="0" w:color="auto"/>
              <w:bottom w:val="single" w:sz="4" w:space="0" w:color="auto"/>
              <w:right w:val="single" w:sz="4" w:space="0" w:color="auto"/>
            </w:tcBorders>
            <w:shd w:val="clear" w:color="auto" w:fill="auto"/>
            <w:vAlign w:val="center"/>
          </w:tcPr>
          <w:p w:rsidR="00A055B4" w:rsidRPr="002434C0" w:rsidP="003A39CF" w14:paraId="52C4199F" w14:textId="77777777">
            <w:pPr>
              <w:keepNext/>
              <w:spacing w:after="0" w:line="240" w:lineRule="auto"/>
              <w:jc w:val="center"/>
              <w:rPr>
                <w:rFonts w:eastAsia="Times New Roman" w:cs="Arial"/>
                <w:sz w:val="22"/>
              </w:rPr>
            </w:pPr>
            <w:r w:rsidRPr="002434C0">
              <w:rPr>
                <w:rFonts w:eastAsia="Times New Roman" w:cs="Arial"/>
                <w:sz w:val="22"/>
              </w:rPr>
              <w:t>0.39</w:t>
            </w:r>
          </w:p>
        </w:tc>
        <w:tc>
          <w:tcPr>
            <w:tcW w:w="1420" w:type="dxa"/>
            <w:tcBorders>
              <w:top w:val="nil"/>
              <w:left w:val="nil"/>
              <w:bottom w:val="single" w:sz="4" w:space="0" w:color="auto"/>
              <w:right w:val="single" w:sz="4" w:space="0" w:color="auto"/>
            </w:tcBorders>
            <w:shd w:val="clear" w:color="auto" w:fill="auto"/>
            <w:vAlign w:val="center"/>
          </w:tcPr>
          <w:p w:rsidR="00A055B4" w:rsidRPr="002434C0" w:rsidP="003A39CF" w14:paraId="4817C526" w14:textId="77777777">
            <w:pPr>
              <w:keepNext/>
              <w:spacing w:after="0" w:line="240" w:lineRule="auto"/>
              <w:jc w:val="center"/>
              <w:rPr>
                <w:rFonts w:eastAsia="Times New Roman" w:cs="Arial"/>
                <w:sz w:val="22"/>
              </w:rPr>
            </w:pPr>
            <w:r w:rsidRPr="002434C0">
              <w:rPr>
                <w:rFonts w:eastAsia="Times New Roman" w:cs="Arial"/>
                <w:sz w:val="22"/>
              </w:rPr>
              <w:t>0.39</w:t>
            </w:r>
          </w:p>
        </w:tc>
        <w:tc>
          <w:tcPr>
            <w:tcW w:w="1247" w:type="dxa"/>
            <w:tcBorders>
              <w:top w:val="nil"/>
              <w:left w:val="nil"/>
              <w:bottom w:val="single" w:sz="4" w:space="0" w:color="auto"/>
              <w:right w:val="single" w:sz="4" w:space="0" w:color="auto"/>
            </w:tcBorders>
            <w:shd w:val="clear" w:color="auto" w:fill="auto"/>
            <w:noWrap/>
            <w:vAlign w:val="center"/>
          </w:tcPr>
          <w:p w:rsidR="00A055B4" w:rsidRPr="002434C0" w:rsidP="003A39CF" w14:paraId="52F31B38" w14:textId="77777777">
            <w:pPr>
              <w:keepNext/>
              <w:spacing w:after="0" w:line="240" w:lineRule="auto"/>
              <w:jc w:val="right"/>
              <w:rPr>
                <w:rFonts w:eastAsia="Times New Roman" w:cs="Arial"/>
                <w:sz w:val="22"/>
              </w:rPr>
            </w:pPr>
            <w:r w:rsidRPr="002434C0">
              <w:rPr>
                <w:rFonts w:eastAsia="Times New Roman" w:cs="Arial"/>
                <w:sz w:val="22"/>
              </w:rPr>
              <w:t>0.00</w:t>
            </w:r>
          </w:p>
        </w:tc>
      </w:tr>
      <w:bookmarkEnd w:id="52"/>
    </w:tbl>
    <w:p w:rsidR="00A055B4" w:rsidP="00A055B4" w14:paraId="0A851866" w14:textId="77777777">
      <w:pPr>
        <w:spacing w:after="180" w:line="240" w:lineRule="auto"/>
        <w:rPr>
          <w:rFonts w:eastAsia="Times New Roman" w:cs="Arial"/>
          <w:szCs w:val="20"/>
        </w:rPr>
      </w:pPr>
    </w:p>
    <w:p w:rsidR="00A055B4" w:rsidRPr="002434C0" w:rsidP="00A055B4" w14:paraId="2F05AE8A" w14:textId="5C9F0AFC">
      <w:pPr>
        <w:spacing w:after="180" w:line="240" w:lineRule="auto"/>
        <w:rPr>
          <w:rFonts w:eastAsia="Times New Roman" w:cs="Arial"/>
          <w:szCs w:val="20"/>
        </w:rPr>
      </w:pPr>
      <w:r w:rsidRPr="002434C0">
        <w:rPr>
          <w:rFonts w:eastAsia="Times New Roman" w:cs="Arial"/>
          <w:szCs w:val="20"/>
        </w:rPr>
        <w:t xml:space="preserve">EPA estimates that each amendment involves 12 burden hours (10 technical hours and 2 managerial hours), resulting in approximately $1,000 in costs. This analysis multiplies the expected per-amendment burden and cost by the expected change in amendments to estimate the incremental change in burden and cost under the proposed rule. The total post-rule burden is estimated as the baseline burden less the incremental change in burden. Note that while submitters will likely spend more time preparing the initial notice under the proposed rule due to the notice information changes, EPA assumes that the burden of providing EPA with additional information would have been incurred in the baseline during the amendment process. Thus, it is assumed that submitters will not incur any additional notice preparation burden. </w:t>
      </w:r>
      <w:r w:rsidR="00EF5BD5">
        <w:rPr>
          <w:rFonts w:eastAsia="Times New Roman" w:cs="Arial"/>
          <w:szCs w:val="20"/>
        </w:rPr>
        <w:t>Table 23.</w:t>
      </w:r>
      <w:r w:rsidRPr="002434C0">
        <w:rPr>
          <w:rFonts w:eastAsia="Times New Roman" w:cs="Arial"/>
          <w:szCs w:val="20"/>
        </w:rPr>
        <w:t xml:space="preserve"> details the expected decrease in burden and cost for each notice submitted through the PMN form in CDX under the proposed rule.</w:t>
      </w:r>
    </w:p>
    <w:p w:rsidR="00A055B4" w:rsidRPr="002434C0" w:rsidP="00A055B4" w14:paraId="0805A16E" w14:textId="77777777">
      <w:pPr>
        <w:spacing w:after="180" w:line="240" w:lineRule="auto"/>
        <w:rPr>
          <w:rFonts w:eastAsia="Times New Roman" w:cs="Arial"/>
          <w:szCs w:val="20"/>
        </w:rPr>
      </w:pPr>
      <w:r w:rsidRPr="002434C0">
        <w:rPr>
          <w:rFonts w:eastAsia="Times New Roman" w:cs="Arial"/>
          <w:szCs w:val="20"/>
        </w:rPr>
        <w:t xml:space="preserve">Note that while there is uncertainty regarding the change in the number of amendments that firms will need to submit to EPA under the proposed rule and the burden spent on each amendment, firms are still expected to realize burden savings as a result of the number of amendments submitted, regardless of the magnitude of the burden or number of amendments. </w:t>
      </w:r>
    </w:p>
    <w:p w:rsidR="00A055B4" w:rsidRPr="002434C0" w:rsidP="00A055B4" w14:paraId="5B0E9C67" w14:textId="77777777">
      <w:pPr>
        <w:spacing w:after="180" w:line="240" w:lineRule="auto"/>
        <w:rPr>
          <w:rFonts w:eastAsia="Times New Roman" w:cs="Arial"/>
          <w:szCs w:val="20"/>
        </w:rPr>
      </w:pPr>
      <w:r w:rsidRPr="002434C0">
        <w:rPr>
          <w:rFonts w:eastAsia="Times New Roman" w:cs="Arial"/>
          <w:szCs w:val="20"/>
        </w:rPr>
        <w:t xml:space="preserve">  </w:t>
      </w:r>
    </w:p>
    <w:p w:rsidR="00A055B4" w:rsidRPr="002434C0" w:rsidP="00A055B4" w14:paraId="5A92F209" w14:textId="77777777">
      <w:pPr>
        <w:spacing w:after="180" w:line="240" w:lineRule="auto"/>
        <w:rPr>
          <w:rFonts w:eastAsia="Times New Roman" w:cs="Arial"/>
          <w:szCs w:val="20"/>
        </w:rPr>
      </w:pPr>
      <w:r w:rsidRPr="002434C0">
        <w:rPr>
          <w:rFonts w:eastAsia="Times New Roman" w:cs="Arial"/>
          <w:szCs w:val="20"/>
        </w:rPr>
        <w:t xml:space="preserve"> </w:t>
      </w:r>
    </w:p>
    <w:p w:rsidR="00A055B4" w:rsidRPr="002434C0" w:rsidP="00A055B4" w14:paraId="525C1C35" w14:textId="77777777">
      <w:pPr>
        <w:spacing w:after="180" w:line="240" w:lineRule="auto"/>
        <w:rPr>
          <w:rFonts w:eastAsia="Times New Roman" w:cs="Arial"/>
          <w:szCs w:val="20"/>
        </w:rPr>
        <w:sectPr w:rsidSect="00511867">
          <w:footerReference w:type="default" r:id="rId11"/>
          <w:headerReference w:type="first" r:id="rId12"/>
          <w:footerReference w:type="first" r:id="rId13"/>
          <w:pgSz w:w="12240" w:h="15840"/>
          <w:pgMar w:top="1440" w:right="1440" w:bottom="1440" w:left="1440" w:header="720" w:footer="720" w:gutter="0"/>
          <w:pgNumType w:start="1" w:chapStyle="1"/>
          <w:cols w:space="720"/>
          <w:titlePg/>
          <w:docGrid w:linePitch="360"/>
        </w:sectPr>
      </w:pPr>
    </w:p>
    <w:p w:rsidR="00A055B4" w:rsidRPr="002434C0" w:rsidP="00A055B4" w14:paraId="32B30E66" w14:textId="79C4CB32">
      <w:pPr>
        <w:tabs>
          <w:tab w:val="left" w:pos="1260"/>
        </w:tabs>
        <w:spacing w:after="120" w:line="240" w:lineRule="auto"/>
        <w:ind w:left="1260" w:hanging="1260"/>
        <w:rPr>
          <w:rFonts w:eastAsia="Times New Roman" w:cs="Arial"/>
          <w:szCs w:val="20"/>
        </w:rPr>
      </w:pPr>
      <w:bookmarkStart w:id="53" w:name="_Ref54618068"/>
      <w:r w:rsidRPr="002434C0">
        <w:rPr>
          <w:rFonts w:eastAsia="Times New Roman" w:cs="Arial"/>
          <w:b/>
          <w:bCs/>
          <w:szCs w:val="20"/>
        </w:rPr>
        <w:t xml:space="preserve">Table </w:t>
      </w:r>
      <w:bookmarkEnd w:id="53"/>
      <w:r w:rsidR="00EF5BD5">
        <w:rPr>
          <w:rFonts w:eastAsia="Times New Roman" w:cs="Arial"/>
          <w:b/>
          <w:bCs/>
          <w:szCs w:val="20"/>
        </w:rPr>
        <w:t>23</w:t>
      </w:r>
      <w:r w:rsidRPr="002434C0">
        <w:rPr>
          <w:rFonts w:eastAsia="Times New Roman" w:cs="Arial"/>
          <w:szCs w:val="20"/>
        </w:rPr>
        <w:t>: Summary of Change in Burden and Cost for Reporting per Notice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1456"/>
        <w:gridCol w:w="904"/>
        <w:gridCol w:w="878"/>
        <w:gridCol w:w="1279"/>
        <w:gridCol w:w="992"/>
        <w:gridCol w:w="1259"/>
        <w:gridCol w:w="989"/>
        <w:gridCol w:w="269"/>
        <w:gridCol w:w="751"/>
        <w:gridCol w:w="510"/>
        <w:gridCol w:w="989"/>
        <w:gridCol w:w="1435"/>
      </w:tblGrid>
      <w:tr w14:paraId="390B9E47" w14:textId="77777777" w:rsidTr="005A27C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0"/>
        </w:trPr>
        <w:tc>
          <w:tcPr>
            <w:tcW w:w="478" w:type="pct"/>
            <w:vMerge w:val="restart"/>
            <w:shd w:val="clear" w:color="000000" w:fill="48A9C5"/>
            <w:vAlign w:val="center"/>
            <w:hideMark/>
          </w:tcPr>
          <w:p w:rsidR="00A055B4" w:rsidRPr="002434C0" w:rsidP="003A39CF" w14:paraId="1A3C1D2C" w14:textId="77777777">
            <w:pPr>
              <w:spacing w:after="0" w:line="240" w:lineRule="auto"/>
              <w:jc w:val="center"/>
              <w:rPr>
                <w:rFonts w:eastAsia="Times New Roman" w:cs="Arial"/>
                <w:sz w:val="20"/>
                <w:szCs w:val="20"/>
              </w:rPr>
            </w:pPr>
            <w:r w:rsidRPr="002434C0">
              <w:rPr>
                <w:rFonts w:eastAsia="Times New Roman" w:cs="Arial"/>
                <w:sz w:val="20"/>
                <w:szCs w:val="20"/>
              </w:rPr>
              <w:t>Notice</w:t>
            </w:r>
          </w:p>
        </w:tc>
        <w:tc>
          <w:tcPr>
            <w:tcW w:w="562" w:type="pct"/>
            <w:vMerge w:val="restart"/>
            <w:shd w:val="clear" w:color="000000" w:fill="48A9C5"/>
            <w:vAlign w:val="center"/>
            <w:hideMark/>
          </w:tcPr>
          <w:p w:rsidR="00A055B4" w:rsidRPr="002434C0" w:rsidP="003A39CF" w14:paraId="0F37EAB8" w14:textId="77777777">
            <w:pPr>
              <w:spacing w:after="0" w:line="240" w:lineRule="auto"/>
              <w:jc w:val="center"/>
              <w:rPr>
                <w:rFonts w:eastAsia="Times New Roman" w:cs="Arial"/>
                <w:sz w:val="20"/>
                <w:szCs w:val="20"/>
              </w:rPr>
            </w:pPr>
            <w:r w:rsidRPr="002434C0">
              <w:rPr>
                <w:rFonts w:eastAsia="Times New Roman" w:cs="Arial"/>
                <w:sz w:val="20"/>
                <w:szCs w:val="20"/>
              </w:rPr>
              <w:t>Average Number of Amendments per Notice</w:t>
            </w:r>
          </w:p>
        </w:tc>
        <w:tc>
          <w:tcPr>
            <w:tcW w:w="1565" w:type="pct"/>
            <w:gridSpan w:val="4"/>
            <w:shd w:val="clear" w:color="000000" w:fill="48A9C5"/>
            <w:vAlign w:val="center"/>
            <w:hideMark/>
          </w:tcPr>
          <w:p w:rsidR="00A055B4" w:rsidRPr="002434C0" w:rsidP="003A39CF" w14:paraId="6F343E20" w14:textId="77777777">
            <w:pPr>
              <w:spacing w:after="0" w:line="240" w:lineRule="auto"/>
              <w:jc w:val="center"/>
              <w:rPr>
                <w:rFonts w:eastAsia="Times New Roman" w:cs="Arial"/>
                <w:sz w:val="20"/>
                <w:szCs w:val="20"/>
              </w:rPr>
            </w:pPr>
            <w:r w:rsidRPr="002434C0">
              <w:rPr>
                <w:rFonts w:eastAsia="Times New Roman" w:cs="Arial"/>
                <w:sz w:val="20"/>
                <w:szCs w:val="20"/>
              </w:rPr>
              <w:t>Burden per Notice (hours)</w:t>
            </w:r>
          </w:p>
        </w:tc>
        <w:tc>
          <w:tcPr>
            <w:tcW w:w="2395" w:type="pct"/>
            <w:gridSpan w:val="7"/>
            <w:shd w:val="clear" w:color="000000" w:fill="48A9C5"/>
          </w:tcPr>
          <w:p w:rsidR="00A055B4" w:rsidRPr="002434C0" w:rsidP="003A39CF" w14:paraId="4240550D" w14:textId="77777777">
            <w:pPr>
              <w:spacing w:after="0" w:line="240" w:lineRule="auto"/>
              <w:jc w:val="center"/>
              <w:rPr>
                <w:rFonts w:eastAsia="Times New Roman" w:cs="Arial"/>
                <w:sz w:val="20"/>
                <w:szCs w:val="20"/>
              </w:rPr>
            </w:pPr>
            <w:r w:rsidRPr="002434C0">
              <w:rPr>
                <w:rFonts w:eastAsia="Times New Roman" w:cs="Arial"/>
                <w:sz w:val="20"/>
                <w:szCs w:val="20"/>
              </w:rPr>
              <w:t>Cost per Notice (2021$)</w:t>
            </w:r>
          </w:p>
        </w:tc>
      </w:tr>
      <w:tr w14:paraId="6886DB4C" w14:textId="77777777" w:rsidTr="005A27CE">
        <w:tblPrEx>
          <w:tblW w:w="5000" w:type="pct"/>
          <w:tblLayout w:type="fixed"/>
          <w:tblLook w:val="04A0"/>
        </w:tblPrEx>
        <w:trPr>
          <w:trHeight w:val="520"/>
        </w:trPr>
        <w:tc>
          <w:tcPr>
            <w:tcW w:w="478" w:type="pct"/>
            <w:vMerge/>
            <w:vAlign w:val="center"/>
            <w:hideMark/>
          </w:tcPr>
          <w:p w:rsidR="00A055B4" w:rsidRPr="002434C0" w:rsidP="003A39CF" w14:paraId="0DC3D95F" w14:textId="77777777">
            <w:pPr>
              <w:spacing w:after="0" w:line="240" w:lineRule="auto"/>
              <w:rPr>
                <w:rFonts w:eastAsia="Times New Roman" w:cs="Arial"/>
                <w:sz w:val="20"/>
                <w:szCs w:val="20"/>
              </w:rPr>
            </w:pPr>
          </w:p>
        </w:tc>
        <w:tc>
          <w:tcPr>
            <w:tcW w:w="562" w:type="pct"/>
            <w:vMerge/>
            <w:vAlign w:val="center"/>
            <w:hideMark/>
          </w:tcPr>
          <w:p w:rsidR="00A055B4" w:rsidRPr="002434C0" w:rsidP="003A39CF" w14:paraId="2D76C13E" w14:textId="77777777">
            <w:pPr>
              <w:spacing w:after="0" w:line="240" w:lineRule="auto"/>
              <w:rPr>
                <w:rFonts w:eastAsia="Times New Roman" w:cs="Arial"/>
                <w:sz w:val="20"/>
                <w:szCs w:val="20"/>
              </w:rPr>
            </w:pPr>
          </w:p>
        </w:tc>
        <w:tc>
          <w:tcPr>
            <w:tcW w:w="349" w:type="pct"/>
            <w:shd w:val="clear" w:color="000000" w:fill="48A9C5"/>
            <w:vAlign w:val="center"/>
            <w:hideMark/>
          </w:tcPr>
          <w:p w:rsidR="00A055B4" w:rsidRPr="002434C0" w:rsidP="003A39CF" w14:paraId="3FE0360C" w14:textId="77777777">
            <w:pPr>
              <w:spacing w:after="0" w:line="240" w:lineRule="auto"/>
              <w:jc w:val="center"/>
              <w:rPr>
                <w:rFonts w:eastAsia="Times New Roman" w:cs="Arial"/>
                <w:sz w:val="20"/>
                <w:szCs w:val="20"/>
              </w:rPr>
            </w:pPr>
            <w:r w:rsidRPr="002434C0">
              <w:rPr>
                <w:rFonts w:eastAsia="Times New Roman" w:cs="Arial"/>
                <w:sz w:val="20"/>
                <w:szCs w:val="20"/>
              </w:rPr>
              <w:t>Clerical Burden (hours)</w:t>
            </w:r>
          </w:p>
        </w:tc>
        <w:tc>
          <w:tcPr>
            <w:tcW w:w="339" w:type="pct"/>
            <w:shd w:val="clear" w:color="000000" w:fill="48A9C5"/>
            <w:vAlign w:val="center"/>
            <w:hideMark/>
          </w:tcPr>
          <w:p w:rsidR="00A055B4" w:rsidRPr="002434C0" w:rsidP="003A39CF" w14:paraId="178651FD" w14:textId="77777777">
            <w:pPr>
              <w:spacing w:after="0" w:line="240" w:lineRule="auto"/>
              <w:jc w:val="center"/>
              <w:rPr>
                <w:rFonts w:eastAsia="Times New Roman" w:cs="Arial"/>
                <w:sz w:val="20"/>
                <w:szCs w:val="20"/>
              </w:rPr>
            </w:pPr>
            <w:r w:rsidRPr="002434C0">
              <w:rPr>
                <w:rFonts w:eastAsia="Times New Roman" w:cs="Arial"/>
                <w:sz w:val="20"/>
                <w:szCs w:val="20"/>
              </w:rPr>
              <w:t>Technical Burden (hours)</w:t>
            </w:r>
          </w:p>
        </w:tc>
        <w:tc>
          <w:tcPr>
            <w:tcW w:w="494" w:type="pct"/>
            <w:shd w:val="clear" w:color="000000" w:fill="48A9C5"/>
            <w:vAlign w:val="center"/>
            <w:hideMark/>
          </w:tcPr>
          <w:p w:rsidR="00A055B4" w:rsidRPr="002434C0" w:rsidP="003A39CF" w14:paraId="17041268" w14:textId="77777777">
            <w:pPr>
              <w:spacing w:after="0" w:line="240" w:lineRule="auto"/>
              <w:jc w:val="center"/>
              <w:rPr>
                <w:rFonts w:eastAsia="Times New Roman" w:cs="Arial"/>
                <w:sz w:val="20"/>
                <w:szCs w:val="20"/>
              </w:rPr>
            </w:pPr>
            <w:r w:rsidRPr="002434C0">
              <w:rPr>
                <w:rFonts w:eastAsia="Times New Roman" w:cs="Arial"/>
                <w:sz w:val="20"/>
                <w:szCs w:val="20"/>
              </w:rPr>
              <w:t>Managerial Burden (hours)</w:t>
            </w:r>
          </w:p>
        </w:tc>
        <w:tc>
          <w:tcPr>
            <w:tcW w:w="383" w:type="pct"/>
            <w:shd w:val="clear" w:color="000000" w:fill="48A9C5"/>
            <w:vAlign w:val="center"/>
            <w:hideMark/>
          </w:tcPr>
          <w:p w:rsidR="00A055B4" w:rsidRPr="002434C0" w:rsidP="003A39CF" w14:paraId="1242DBCD" w14:textId="77777777">
            <w:pPr>
              <w:spacing w:after="0" w:line="240" w:lineRule="auto"/>
              <w:jc w:val="center"/>
              <w:rPr>
                <w:rFonts w:eastAsia="Times New Roman" w:cs="Arial"/>
                <w:sz w:val="20"/>
                <w:szCs w:val="20"/>
              </w:rPr>
            </w:pPr>
            <w:r w:rsidRPr="002434C0">
              <w:rPr>
                <w:rFonts w:eastAsia="Times New Roman" w:cs="Arial"/>
                <w:sz w:val="20"/>
                <w:szCs w:val="20"/>
              </w:rPr>
              <w:t>Total Burden (hours)</w:t>
            </w:r>
          </w:p>
        </w:tc>
        <w:tc>
          <w:tcPr>
            <w:tcW w:w="486" w:type="pct"/>
            <w:shd w:val="clear" w:color="000000" w:fill="48A9C5"/>
            <w:vAlign w:val="center"/>
            <w:hideMark/>
          </w:tcPr>
          <w:p w:rsidR="00A055B4" w:rsidRPr="002434C0" w:rsidP="003A39CF" w14:paraId="29F70DE8" w14:textId="77777777">
            <w:pPr>
              <w:spacing w:after="0" w:line="240" w:lineRule="auto"/>
              <w:jc w:val="center"/>
              <w:rPr>
                <w:rFonts w:eastAsia="Times New Roman" w:cs="Arial"/>
                <w:sz w:val="20"/>
                <w:szCs w:val="20"/>
              </w:rPr>
            </w:pPr>
            <w:r w:rsidRPr="002434C0">
              <w:rPr>
                <w:rFonts w:eastAsia="Times New Roman" w:cs="Arial"/>
                <w:sz w:val="20"/>
                <w:szCs w:val="20"/>
              </w:rPr>
              <w:t>Clerical</w:t>
            </w:r>
            <w:r w:rsidRPr="002434C0">
              <w:rPr>
                <w:rFonts w:eastAsia="Times New Roman" w:cs="Arial"/>
                <w:sz w:val="20"/>
                <w:szCs w:val="20"/>
              </w:rPr>
              <w:br/>
              <w:t>($37.18/hr)</w:t>
            </w:r>
          </w:p>
        </w:tc>
        <w:tc>
          <w:tcPr>
            <w:tcW w:w="486" w:type="pct"/>
            <w:gridSpan w:val="2"/>
            <w:shd w:val="clear" w:color="000000" w:fill="48A9C5"/>
            <w:vAlign w:val="center"/>
            <w:hideMark/>
          </w:tcPr>
          <w:p w:rsidR="00A055B4" w:rsidRPr="002434C0" w:rsidP="003A39CF" w14:paraId="05DD4D3C" w14:textId="77777777">
            <w:pPr>
              <w:spacing w:after="0" w:line="240" w:lineRule="auto"/>
              <w:jc w:val="center"/>
              <w:rPr>
                <w:rFonts w:eastAsia="Times New Roman" w:cs="Arial"/>
                <w:sz w:val="20"/>
                <w:szCs w:val="20"/>
              </w:rPr>
            </w:pPr>
            <w:r w:rsidRPr="002434C0">
              <w:rPr>
                <w:rFonts w:eastAsia="Times New Roman" w:cs="Arial"/>
                <w:sz w:val="20"/>
                <w:szCs w:val="20"/>
              </w:rPr>
              <w:t>Technical ($81.40/hr)</w:t>
            </w:r>
          </w:p>
        </w:tc>
        <w:tc>
          <w:tcPr>
            <w:tcW w:w="487" w:type="pct"/>
            <w:gridSpan w:val="2"/>
            <w:shd w:val="clear" w:color="000000" w:fill="48A9C5"/>
            <w:vAlign w:val="center"/>
            <w:hideMark/>
          </w:tcPr>
          <w:p w:rsidR="00A055B4" w:rsidRPr="002434C0" w:rsidP="003A39CF" w14:paraId="15E8A302" w14:textId="77777777">
            <w:pPr>
              <w:spacing w:after="0" w:line="240" w:lineRule="auto"/>
              <w:jc w:val="center"/>
              <w:rPr>
                <w:rFonts w:eastAsia="Times New Roman" w:cs="Arial"/>
                <w:sz w:val="20"/>
                <w:szCs w:val="20"/>
              </w:rPr>
            </w:pPr>
            <w:r w:rsidRPr="002434C0">
              <w:rPr>
                <w:rFonts w:eastAsia="Times New Roman" w:cs="Arial"/>
                <w:sz w:val="20"/>
                <w:szCs w:val="20"/>
              </w:rPr>
              <w:t>Managerial ($93.18/hr)</w:t>
            </w:r>
          </w:p>
        </w:tc>
        <w:tc>
          <w:tcPr>
            <w:tcW w:w="382" w:type="pct"/>
            <w:shd w:val="clear" w:color="000000" w:fill="48A9C5"/>
          </w:tcPr>
          <w:p w:rsidR="00A055B4" w:rsidRPr="002434C0" w:rsidP="003A39CF" w14:paraId="18C23DA6" w14:textId="77777777">
            <w:pPr>
              <w:spacing w:after="0" w:line="240" w:lineRule="auto"/>
              <w:jc w:val="center"/>
              <w:rPr>
                <w:rFonts w:eastAsia="Times New Roman" w:cs="Arial"/>
                <w:sz w:val="20"/>
                <w:szCs w:val="20"/>
              </w:rPr>
            </w:pPr>
            <w:r w:rsidRPr="002434C0">
              <w:rPr>
                <w:rFonts w:eastAsia="Times New Roman" w:cs="Arial"/>
                <w:sz w:val="20"/>
                <w:szCs w:val="20"/>
              </w:rPr>
              <w:t>Fees and Delay Costs</w:t>
            </w:r>
          </w:p>
        </w:tc>
        <w:tc>
          <w:tcPr>
            <w:tcW w:w="554" w:type="pct"/>
            <w:shd w:val="clear" w:color="000000" w:fill="48A9C5"/>
            <w:vAlign w:val="center"/>
            <w:hideMark/>
          </w:tcPr>
          <w:p w:rsidR="00A055B4" w:rsidRPr="002434C0" w:rsidP="003A39CF" w14:paraId="6EC3CC70" w14:textId="77777777">
            <w:pPr>
              <w:spacing w:after="0" w:line="240" w:lineRule="auto"/>
              <w:jc w:val="center"/>
              <w:rPr>
                <w:rFonts w:eastAsia="Times New Roman" w:cs="Arial"/>
                <w:sz w:val="20"/>
                <w:szCs w:val="20"/>
              </w:rPr>
            </w:pPr>
            <w:r w:rsidRPr="002434C0">
              <w:rPr>
                <w:rFonts w:eastAsia="Times New Roman" w:cs="Arial"/>
                <w:sz w:val="20"/>
                <w:szCs w:val="20"/>
              </w:rPr>
              <w:t>Total Cost  (2021$)</w:t>
            </w:r>
          </w:p>
        </w:tc>
      </w:tr>
      <w:tr w14:paraId="15A485C2" w14:textId="77777777" w:rsidTr="005A27CE">
        <w:tblPrEx>
          <w:tblW w:w="5000" w:type="pct"/>
          <w:tblLayout w:type="fixed"/>
          <w:tblLook w:val="04A0"/>
        </w:tblPrEx>
        <w:trPr>
          <w:trHeight w:val="290"/>
        </w:trPr>
        <w:tc>
          <w:tcPr>
            <w:tcW w:w="5000" w:type="pct"/>
            <w:gridSpan w:val="13"/>
            <w:shd w:val="clear" w:color="auto" w:fill="BFBFBF"/>
            <w:vAlign w:val="center"/>
          </w:tcPr>
          <w:p w:rsidR="00A055B4" w:rsidRPr="002434C0" w:rsidP="003A39CF" w14:paraId="1897E122" w14:textId="77777777">
            <w:pPr>
              <w:spacing w:after="0" w:line="240" w:lineRule="auto"/>
              <w:jc w:val="center"/>
              <w:rPr>
                <w:rFonts w:eastAsia="Times New Roman" w:cs="Arial"/>
                <w:sz w:val="20"/>
                <w:szCs w:val="20"/>
              </w:rPr>
            </w:pPr>
            <w:r w:rsidRPr="002434C0">
              <w:rPr>
                <w:rFonts w:eastAsia="Times New Roman" w:cs="Arial"/>
                <w:sz w:val="20"/>
                <w:szCs w:val="20"/>
              </w:rPr>
              <w:t>BASELINE</w:t>
            </w:r>
          </w:p>
        </w:tc>
      </w:tr>
      <w:tr w14:paraId="5ECBA57B"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63AC23FD" w14:textId="77777777">
            <w:pPr>
              <w:spacing w:after="0" w:line="240" w:lineRule="auto"/>
              <w:rPr>
                <w:rFonts w:eastAsia="Times New Roman" w:cs="Arial"/>
                <w:sz w:val="20"/>
                <w:szCs w:val="20"/>
              </w:rPr>
            </w:pPr>
            <w:r w:rsidRPr="002434C0">
              <w:rPr>
                <w:rFonts w:eastAsia="Times New Roman" w:cs="Arial"/>
                <w:sz w:val="20"/>
                <w:szCs w:val="20"/>
              </w:rPr>
              <w:t>PMN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55B4" w:rsidRPr="002434C0" w:rsidP="003A39CF" w14:paraId="5DED89CF" w14:textId="77777777">
            <w:pPr>
              <w:spacing w:after="0" w:line="240" w:lineRule="auto"/>
              <w:jc w:val="right"/>
              <w:rPr>
                <w:rFonts w:eastAsia="Times New Roman" w:cs="Arial"/>
                <w:sz w:val="20"/>
                <w:szCs w:val="20"/>
              </w:rPr>
            </w:pPr>
            <w:r w:rsidRPr="002434C0">
              <w:rPr>
                <w:rFonts w:eastAsia="Times New Roman" w:cs="Arial"/>
                <w:sz w:val="20"/>
                <w:szCs w:val="20"/>
              </w:rPr>
              <w:t>2.02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7CCCAF6D"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5372D1A5" w14:textId="1A0664C8">
            <w:pPr>
              <w:spacing w:after="0" w:line="240" w:lineRule="auto"/>
              <w:jc w:val="right"/>
              <w:rPr>
                <w:rFonts w:eastAsia="Times New Roman" w:cs="Arial"/>
                <w:sz w:val="20"/>
                <w:szCs w:val="20"/>
              </w:rPr>
            </w:pPr>
            <w:r w:rsidRPr="002434C0">
              <w:rPr>
                <w:rFonts w:eastAsia="Times New Roman" w:cs="Arial"/>
                <w:sz w:val="20"/>
                <w:szCs w:val="20"/>
              </w:rPr>
              <w:t>21</w:t>
            </w:r>
            <w:r w:rsidR="009267AD">
              <w:rPr>
                <w:rFonts w:eastAsia="Times New Roman" w:cs="Arial"/>
                <w:sz w:val="20"/>
                <w:szCs w:val="20"/>
              </w:rPr>
              <w:t>2</w:t>
            </w:r>
            <w:r w:rsidRPr="002434C0">
              <w:rPr>
                <w:rFonts w:eastAsia="Times New Roman" w:cs="Arial"/>
                <w:sz w:val="20"/>
                <w:szCs w:val="20"/>
              </w:rPr>
              <w:t>.</w:t>
            </w:r>
            <w:r w:rsidR="009267AD">
              <w:rPr>
                <w:rFonts w:eastAsia="Times New Roman" w:cs="Arial"/>
                <w:sz w:val="20"/>
                <w:szCs w:val="20"/>
              </w:rPr>
              <w:t>00</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76E19A41" w14:textId="02551F28">
            <w:pPr>
              <w:spacing w:after="0" w:line="240" w:lineRule="auto"/>
              <w:jc w:val="right"/>
              <w:rPr>
                <w:rFonts w:eastAsia="Times New Roman" w:cs="Arial"/>
                <w:sz w:val="20"/>
                <w:szCs w:val="20"/>
              </w:rPr>
            </w:pPr>
            <w:r w:rsidRPr="002434C0">
              <w:rPr>
                <w:rFonts w:eastAsia="Times New Roman" w:cs="Arial"/>
                <w:sz w:val="20"/>
                <w:szCs w:val="20"/>
              </w:rPr>
              <w:t>38.50</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47E79E5B" w14:textId="1698F47C">
            <w:pPr>
              <w:spacing w:after="0" w:line="240" w:lineRule="auto"/>
              <w:jc w:val="right"/>
              <w:rPr>
                <w:rFonts w:eastAsia="Times New Roman" w:cs="Arial"/>
                <w:sz w:val="20"/>
                <w:szCs w:val="20"/>
              </w:rPr>
            </w:pPr>
            <w:r w:rsidRPr="002434C0">
              <w:rPr>
                <w:rFonts w:eastAsia="Times New Roman" w:cs="Arial"/>
                <w:sz w:val="20"/>
                <w:szCs w:val="20"/>
              </w:rPr>
              <w:t>250.</w:t>
            </w:r>
            <w:r w:rsidR="001F36F7">
              <w:rPr>
                <w:rFonts w:eastAsia="Times New Roman" w:cs="Arial"/>
                <w:sz w:val="20"/>
                <w:szCs w:val="20"/>
              </w:rPr>
              <w:t>50</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1BB2F4E2"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3B694430" w14:textId="77777777">
            <w:pPr>
              <w:spacing w:after="0" w:line="240" w:lineRule="auto"/>
              <w:jc w:val="right"/>
              <w:rPr>
                <w:rFonts w:eastAsia="Times New Roman" w:cs="Arial"/>
                <w:sz w:val="20"/>
                <w:szCs w:val="20"/>
              </w:rPr>
            </w:pPr>
            <w:r w:rsidRPr="002434C0">
              <w:rPr>
                <w:rFonts w:eastAsia="Times New Roman" w:cs="Arial"/>
                <w:sz w:val="20"/>
                <w:szCs w:val="20"/>
              </w:rPr>
              <w:t xml:space="preserve">$17,256 </w:t>
            </w:r>
          </w:p>
        </w:tc>
        <w:tc>
          <w:tcPr>
            <w:tcW w:w="394" w:type="pct"/>
            <w:gridSpan w:val="2"/>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5069C738" w14:textId="77777777">
            <w:pPr>
              <w:spacing w:after="0" w:line="240" w:lineRule="auto"/>
              <w:jc w:val="right"/>
              <w:rPr>
                <w:rFonts w:eastAsia="Times New Roman" w:cs="Arial"/>
                <w:sz w:val="20"/>
                <w:szCs w:val="20"/>
              </w:rPr>
            </w:pPr>
            <w:r w:rsidRPr="002434C0">
              <w:rPr>
                <w:rFonts w:eastAsia="Times New Roman" w:cs="Arial"/>
                <w:sz w:val="20"/>
                <w:szCs w:val="20"/>
              </w:rPr>
              <w:t xml:space="preserve">$3,587 </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055B4" w:rsidRPr="002434C0" w:rsidP="003A39CF" w14:paraId="050C8AC3" w14:textId="77777777">
            <w:pPr>
              <w:spacing w:after="0" w:line="240" w:lineRule="auto"/>
              <w:jc w:val="right"/>
              <w:rPr>
                <w:rFonts w:eastAsia="Times New Roman" w:cs="Arial"/>
                <w:sz w:val="20"/>
                <w:szCs w:val="20"/>
              </w:rPr>
            </w:pPr>
            <w:r w:rsidRPr="002434C0">
              <w:rPr>
                <w:rFonts w:eastAsia="Times New Roman" w:cs="Arial"/>
                <w:sz w:val="20"/>
                <w:szCs w:val="20"/>
              </w:rPr>
              <w:t xml:space="preserve">$57,311 </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55B4" w:rsidRPr="002434C0" w:rsidP="003A39CF" w14:paraId="4D33FF08" w14:textId="04E8004F">
            <w:pPr>
              <w:spacing w:after="0" w:line="240" w:lineRule="auto"/>
              <w:jc w:val="right"/>
              <w:rPr>
                <w:rFonts w:eastAsia="Times New Roman" w:cs="Arial"/>
                <w:sz w:val="20"/>
                <w:szCs w:val="20"/>
              </w:rPr>
            </w:pPr>
            <w:r w:rsidRPr="002434C0">
              <w:rPr>
                <w:rFonts w:eastAsia="Times New Roman" w:cs="Arial"/>
                <w:sz w:val="20"/>
                <w:szCs w:val="20"/>
              </w:rPr>
              <w:t>$7</w:t>
            </w:r>
            <w:r w:rsidR="003555E9">
              <w:rPr>
                <w:rFonts w:eastAsia="Times New Roman" w:cs="Arial"/>
                <w:sz w:val="20"/>
                <w:szCs w:val="20"/>
              </w:rPr>
              <w:t>1,360</w:t>
            </w:r>
            <w:r w:rsidRPr="002434C0">
              <w:rPr>
                <w:rFonts w:eastAsia="Times New Roman" w:cs="Arial"/>
                <w:sz w:val="20"/>
                <w:szCs w:val="20"/>
              </w:rPr>
              <w:t xml:space="preserve"> </w:t>
            </w:r>
          </w:p>
        </w:tc>
      </w:tr>
      <w:tr w14:paraId="2F6A39A7"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459835C7" w14:textId="77777777">
            <w:pPr>
              <w:spacing w:after="0" w:line="240" w:lineRule="auto"/>
              <w:rPr>
                <w:rFonts w:eastAsia="Times New Roman" w:cs="Arial"/>
                <w:sz w:val="20"/>
                <w:szCs w:val="20"/>
              </w:rPr>
            </w:pPr>
            <w:r w:rsidRPr="002434C0">
              <w:rPr>
                <w:rFonts w:eastAsia="Times New Roman" w:cs="Arial"/>
                <w:sz w:val="20"/>
                <w:szCs w:val="20"/>
              </w:rPr>
              <w:t>SNUN</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7B53E1D1" w14:textId="77777777">
            <w:pPr>
              <w:spacing w:after="0" w:line="240" w:lineRule="auto"/>
              <w:jc w:val="right"/>
              <w:rPr>
                <w:rFonts w:eastAsia="Times New Roman" w:cs="Arial"/>
                <w:sz w:val="20"/>
                <w:szCs w:val="20"/>
              </w:rPr>
            </w:pPr>
            <w:r w:rsidRPr="002434C0">
              <w:rPr>
                <w:rFonts w:eastAsia="Times New Roman" w:cs="Arial"/>
                <w:sz w:val="20"/>
                <w:szCs w:val="20"/>
              </w:rPr>
              <w:t>1.8</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5C0AF68D"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2BA16128" w14:textId="53609736">
            <w:pPr>
              <w:spacing w:after="0" w:line="240" w:lineRule="auto"/>
              <w:jc w:val="right"/>
              <w:rPr>
                <w:rFonts w:eastAsia="Times New Roman" w:cs="Arial"/>
                <w:sz w:val="20"/>
                <w:szCs w:val="20"/>
              </w:rPr>
            </w:pPr>
            <w:r w:rsidRPr="002434C0">
              <w:rPr>
                <w:rFonts w:eastAsia="Times New Roman" w:cs="Arial"/>
                <w:sz w:val="20"/>
                <w:szCs w:val="20"/>
              </w:rPr>
              <w:t>85.</w:t>
            </w:r>
            <w:r w:rsidRPr="002434C0" w:rsidR="009267AD">
              <w:rPr>
                <w:rFonts w:eastAsia="Times New Roman" w:cs="Arial"/>
                <w:sz w:val="20"/>
                <w:szCs w:val="20"/>
              </w:rPr>
              <w:t>3</w:t>
            </w:r>
            <w:r w:rsidR="009267AD">
              <w:rPr>
                <w:rFonts w:eastAsia="Times New Roman" w:cs="Arial"/>
                <w:sz w:val="20"/>
                <w:szCs w:val="20"/>
              </w:rPr>
              <w:t>3</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6918FE84" w14:textId="3B95DB84">
            <w:pPr>
              <w:spacing w:after="0" w:line="240" w:lineRule="auto"/>
              <w:jc w:val="right"/>
              <w:rPr>
                <w:rFonts w:eastAsia="Times New Roman" w:cs="Arial"/>
                <w:sz w:val="20"/>
                <w:szCs w:val="20"/>
              </w:rPr>
            </w:pPr>
            <w:r w:rsidRPr="002434C0">
              <w:rPr>
                <w:rFonts w:eastAsia="Times New Roman" w:cs="Arial"/>
                <w:sz w:val="20"/>
                <w:szCs w:val="20"/>
              </w:rPr>
              <w:t>24.00</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7EE8F6A0" w14:textId="7F133C2D">
            <w:pPr>
              <w:spacing w:after="0" w:line="240" w:lineRule="auto"/>
              <w:jc w:val="right"/>
              <w:rPr>
                <w:rFonts w:eastAsia="Times New Roman" w:cs="Arial"/>
                <w:sz w:val="20"/>
                <w:szCs w:val="20"/>
              </w:rPr>
            </w:pPr>
            <w:r w:rsidRPr="002434C0">
              <w:rPr>
                <w:rFonts w:eastAsia="Times New Roman" w:cs="Arial"/>
                <w:sz w:val="20"/>
                <w:szCs w:val="20"/>
              </w:rPr>
              <w:t>109.</w:t>
            </w:r>
            <w:r w:rsidRPr="002434C0" w:rsidR="001F36F7">
              <w:rPr>
                <w:rFonts w:eastAsia="Times New Roman" w:cs="Arial"/>
                <w:sz w:val="20"/>
                <w:szCs w:val="20"/>
              </w:rPr>
              <w:t>3</w:t>
            </w:r>
            <w:r w:rsidR="001F36F7">
              <w:rPr>
                <w:rFonts w:eastAsia="Times New Roman" w:cs="Arial"/>
                <w:sz w:val="20"/>
                <w:szCs w:val="20"/>
              </w:rPr>
              <w:t>3</w:t>
            </w:r>
          </w:p>
        </w:tc>
        <w:tc>
          <w:tcPr>
            <w:tcW w:w="486"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4A4A4ED0"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1FBE509D" w14:textId="77777777">
            <w:pPr>
              <w:spacing w:after="0" w:line="240" w:lineRule="auto"/>
              <w:jc w:val="right"/>
              <w:rPr>
                <w:rFonts w:eastAsia="Times New Roman" w:cs="Arial"/>
                <w:sz w:val="20"/>
                <w:szCs w:val="20"/>
              </w:rPr>
            </w:pPr>
            <w:r w:rsidRPr="002434C0">
              <w:rPr>
                <w:rFonts w:eastAsia="Times New Roman" w:cs="Arial"/>
                <w:sz w:val="20"/>
                <w:szCs w:val="20"/>
              </w:rPr>
              <w:t xml:space="preserve">$6,945 </w:t>
            </w:r>
          </w:p>
        </w:tc>
        <w:tc>
          <w:tcPr>
            <w:tcW w:w="394" w:type="pct"/>
            <w:gridSpan w:val="2"/>
            <w:tcBorders>
              <w:top w:val="nil"/>
              <w:left w:val="nil"/>
              <w:bottom w:val="single" w:sz="4" w:space="0" w:color="auto"/>
              <w:right w:val="single" w:sz="4" w:space="0" w:color="auto"/>
            </w:tcBorders>
            <w:shd w:val="clear" w:color="auto" w:fill="auto"/>
            <w:noWrap/>
            <w:vAlign w:val="bottom"/>
            <w:hideMark/>
          </w:tcPr>
          <w:p w:rsidR="00A055B4" w:rsidRPr="002434C0" w:rsidP="003A39CF" w14:paraId="632762B6" w14:textId="77777777">
            <w:pPr>
              <w:spacing w:after="0" w:line="240" w:lineRule="auto"/>
              <w:jc w:val="right"/>
              <w:rPr>
                <w:rFonts w:eastAsia="Times New Roman" w:cs="Arial"/>
                <w:sz w:val="20"/>
                <w:szCs w:val="20"/>
              </w:rPr>
            </w:pPr>
            <w:r w:rsidRPr="002434C0">
              <w:rPr>
                <w:rFonts w:eastAsia="Times New Roman" w:cs="Arial"/>
                <w:sz w:val="20"/>
                <w:szCs w:val="20"/>
              </w:rPr>
              <w:t xml:space="preserve">$2,236 </w:t>
            </w:r>
          </w:p>
        </w:tc>
        <w:tc>
          <w:tcPr>
            <w:tcW w:w="579" w:type="pct"/>
            <w:gridSpan w:val="2"/>
            <w:tcBorders>
              <w:top w:val="nil"/>
              <w:left w:val="single" w:sz="4" w:space="0" w:color="auto"/>
              <w:bottom w:val="single" w:sz="4" w:space="0" w:color="auto"/>
              <w:right w:val="single" w:sz="4" w:space="0" w:color="auto"/>
            </w:tcBorders>
            <w:shd w:val="clear" w:color="auto" w:fill="auto"/>
            <w:vAlign w:val="bottom"/>
          </w:tcPr>
          <w:p w:rsidR="00A055B4" w:rsidRPr="002434C0" w:rsidP="003A39CF" w14:paraId="7902CB7C" w14:textId="77777777">
            <w:pPr>
              <w:spacing w:after="0" w:line="240" w:lineRule="auto"/>
              <w:jc w:val="right"/>
              <w:rPr>
                <w:rFonts w:eastAsia="Times New Roman" w:cs="Arial"/>
                <w:sz w:val="20"/>
                <w:szCs w:val="20"/>
              </w:rPr>
            </w:pPr>
            <w:r w:rsidRPr="002434C0">
              <w:rPr>
                <w:rFonts w:eastAsia="Times New Roman" w:cs="Arial"/>
                <w:sz w:val="20"/>
                <w:szCs w:val="20"/>
              </w:rPr>
              <w:t xml:space="preserve">$24,610 </w:t>
            </w:r>
          </w:p>
        </w:tc>
        <w:tc>
          <w:tcPr>
            <w:tcW w:w="554" w:type="pct"/>
            <w:tcBorders>
              <w:top w:val="nil"/>
              <w:left w:val="single" w:sz="4" w:space="0" w:color="auto"/>
              <w:bottom w:val="single" w:sz="4" w:space="0" w:color="auto"/>
              <w:right w:val="single" w:sz="4" w:space="0" w:color="auto"/>
            </w:tcBorders>
            <w:shd w:val="clear" w:color="auto" w:fill="auto"/>
            <w:noWrap/>
            <w:vAlign w:val="bottom"/>
            <w:hideMark/>
          </w:tcPr>
          <w:p w:rsidR="00A055B4" w:rsidRPr="002434C0" w:rsidP="003A39CF" w14:paraId="7B455F69" w14:textId="1FF899C3">
            <w:pPr>
              <w:spacing w:after="0" w:line="240" w:lineRule="auto"/>
              <w:jc w:val="right"/>
              <w:rPr>
                <w:rFonts w:eastAsia="Times New Roman" w:cs="Arial"/>
                <w:sz w:val="20"/>
                <w:szCs w:val="20"/>
              </w:rPr>
            </w:pPr>
            <w:r w:rsidRPr="002434C0">
              <w:rPr>
                <w:rFonts w:eastAsia="Times New Roman" w:cs="Arial"/>
                <w:sz w:val="20"/>
                <w:szCs w:val="20"/>
              </w:rPr>
              <w:t>$</w:t>
            </w:r>
            <w:r w:rsidR="003555E9">
              <w:rPr>
                <w:rFonts w:eastAsia="Times New Roman" w:cs="Arial"/>
                <w:sz w:val="20"/>
                <w:szCs w:val="20"/>
              </w:rPr>
              <w:t>59</w:t>
            </w:r>
            <w:r w:rsidR="00C0675E">
              <w:rPr>
                <w:rFonts w:eastAsia="Times New Roman" w:cs="Arial"/>
                <w:sz w:val="20"/>
                <w:szCs w:val="20"/>
              </w:rPr>
              <w:t>,582</w:t>
            </w:r>
            <w:r w:rsidRPr="002434C0">
              <w:rPr>
                <w:rFonts w:eastAsia="Times New Roman" w:cs="Arial"/>
                <w:sz w:val="20"/>
                <w:szCs w:val="20"/>
              </w:rPr>
              <w:t xml:space="preserve"> </w:t>
            </w:r>
          </w:p>
        </w:tc>
      </w:tr>
      <w:tr w14:paraId="25CEF07E" w14:textId="77777777" w:rsidTr="005A27CE">
        <w:tblPrEx>
          <w:tblW w:w="5000" w:type="pct"/>
          <w:tblLayout w:type="fixed"/>
          <w:tblLook w:val="04A0"/>
        </w:tblPrEx>
        <w:trPr>
          <w:trHeight w:val="350"/>
        </w:trPr>
        <w:tc>
          <w:tcPr>
            <w:tcW w:w="478" w:type="pct"/>
            <w:shd w:val="clear" w:color="auto" w:fill="auto"/>
            <w:vAlign w:val="center"/>
            <w:hideMark/>
          </w:tcPr>
          <w:p w:rsidR="00A055B4" w:rsidRPr="002434C0" w:rsidP="003A39CF" w14:paraId="193294E9" w14:textId="77777777">
            <w:pPr>
              <w:spacing w:after="0" w:line="240" w:lineRule="auto"/>
              <w:rPr>
                <w:rFonts w:eastAsia="Times New Roman" w:cs="Arial"/>
                <w:sz w:val="20"/>
                <w:szCs w:val="20"/>
              </w:rPr>
            </w:pPr>
            <w:r w:rsidRPr="002434C0">
              <w:rPr>
                <w:rFonts w:eastAsia="Times New Roman" w:cs="Arial"/>
                <w:sz w:val="20"/>
                <w:szCs w:val="20"/>
              </w:rPr>
              <w:t>LVE/LoREX</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44876EEF" w14:textId="77777777">
            <w:pPr>
              <w:spacing w:after="0" w:line="240" w:lineRule="auto"/>
              <w:jc w:val="right"/>
              <w:rPr>
                <w:rFonts w:eastAsia="Times New Roman" w:cs="Arial"/>
                <w:sz w:val="20"/>
                <w:szCs w:val="20"/>
              </w:rPr>
            </w:pPr>
            <w:r w:rsidRPr="002434C0">
              <w:rPr>
                <w:rFonts w:eastAsia="Times New Roman" w:cs="Arial"/>
                <w:sz w:val="20"/>
                <w:szCs w:val="20"/>
              </w:rPr>
              <w:t>1.63</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1AB79AD2"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10BB3585" w14:textId="1F2F9ACB">
            <w:pPr>
              <w:spacing w:after="0" w:line="240" w:lineRule="auto"/>
              <w:jc w:val="right"/>
              <w:rPr>
                <w:rFonts w:eastAsia="Times New Roman" w:cs="Arial"/>
                <w:sz w:val="20"/>
                <w:szCs w:val="20"/>
              </w:rPr>
            </w:pPr>
            <w:r w:rsidRPr="002434C0">
              <w:rPr>
                <w:rFonts w:eastAsia="Times New Roman" w:cs="Arial"/>
                <w:sz w:val="20"/>
                <w:szCs w:val="20"/>
              </w:rPr>
              <w:t>85.</w:t>
            </w:r>
            <w:r w:rsidRPr="002434C0" w:rsidR="009267AD">
              <w:rPr>
                <w:rFonts w:eastAsia="Times New Roman" w:cs="Arial"/>
                <w:sz w:val="20"/>
                <w:szCs w:val="20"/>
              </w:rPr>
              <w:t>3</w:t>
            </w:r>
            <w:r w:rsidR="009267AD">
              <w:rPr>
                <w:rFonts w:eastAsia="Times New Roman" w:cs="Arial"/>
                <w:sz w:val="20"/>
                <w:szCs w:val="20"/>
              </w:rPr>
              <w:t>3</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7900F0E0" w14:textId="00522622">
            <w:pPr>
              <w:spacing w:after="0" w:line="240" w:lineRule="auto"/>
              <w:jc w:val="right"/>
              <w:rPr>
                <w:rFonts w:eastAsia="Times New Roman" w:cs="Arial"/>
                <w:sz w:val="20"/>
                <w:szCs w:val="20"/>
              </w:rPr>
            </w:pPr>
            <w:r w:rsidRPr="002434C0">
              <w:rPr>
                <w:rFonts w:eastAsia="Times New Roman" w:cs="Arial"/>
                <w:sz w:val="20"/>
                <w:szCs w:val="20"/>
              </w:rPr>
              <w:t>24.00</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3425BF1B" w14:textId="6A8D854B">
            <w:pPr>
              <w:spacing w:after="0" w:line="240" w:lineRule="auto"/>
              <w:jc w:val="right"/>
              <w:rPr>
                <w:rFonts w:eastAsia="Times New Roman" w:cs="Arial"/>
                <w:sz w:val="20"/>
                <w:szCs w:val="20"/>
              </w:rPr>
            </w:pPr>
            <w:r w:rsidRPr="002434C0">
              <w:rPr>
                <w:rFonts w:eastAsia="Times New Roman" w:cs="Arial"/>
                <w:sz w:val="20"/>
                <w:szCs w:val="20"/>
              </w:rPr>
              <w:t>109.</w:t>
            </w:r>
            <w:r w:rsidRPr="002434C0" w:rsidR="001F36F7">
              <w:rPr>
                <w:rFonts w:eastAsia="Times New Roman" w:cs="Arial"/>
                <w:sz w:val="20"/>
                <w:szCs w:val="20"/>
              </w:rPr>
              <w:t>3</w:t>
            </w:r>
            <w:r w:rsidR="001F36F7">
              <w:rPr>
                <w:rFonts w:eastAsia="Times New Roman" w:cs="Arial"/>
                <w:sz w:val="20"/>
                <w:szCs w:val="20"/>
              </w:rPr>
              <w:t>3</w:t>
            </w:r>
          </w:p>
        </w:tc>
        <w:tc>
          <w:tcPr>
            <w:tcW w:w="486"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272140DB"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41C1E76D" w14:textId="77777777">
            <w:pPr>
              <w:spacing w:after="0" w:line="240" w:lineRule="auto"/>
              <w:jc w:val="right"/>
              <w:rPr>
                <w:rFonts w:eastAsia="Times New Roman" w:cs="Arial"/>
                <w:sz w:val="20"/>
                <w:szCs w:val="20"/>
              </w:rPr>
            </w:pPr>
            <w:r w:rsidRPr="002434C0">
              <w:rPr>
                <w:rFonts w:eastAsia="Times New Roman" w:cs="Arial"/>
                <w:sz w:val="20"/>
                <w:szCs w:val="20"/>
              </w:rPr>
              <w:t xml:space="preserve">$6,945 </w:t>
            </w:r>
          </w:p>
        </w:tc>
        <w:tc>
          <w:tcPr>
            <w:tcW w:w="394" w:type="pct"/>
            <w:gridSpan w:val="2"/>
            <w:tcBorders>
              <w:top w:val="nil"/>
              <w:left w:val="nil"/>
              <w:bottom w:val="single" w:sz="4" w:space="0" w:color="auto"/>
              <w:right w:val="single" w:sz="4" w:space="0" w:color="auto"/>
            </w:tcBorders>
            <w:shd w:val="clear" w:color="auto" w:fill="auto"/>
            <w:noWrap/>
            <w:vAlign w:val="bottom"/>
            <w:hideMark/>
          </w:tcPr>
          <w:p w:rsidR="00A055B4" w:rsidRPr="002434C0" w:rsidP="003A39CF" w14:paraId="46D82095" w14:textId="77777777">
            <w:pPr>
              <w:spacing w:after="0" w:line="240" w:lineRule="auto"/>
              <w:jc w:val="right"/>
              <w:rPr>
                <w:rFonts w:eastAsia="Times New Roman" w:cs="Arial"/>
                <w:sz w:val="20"/>
                <w:szCs w:val="20"/>
              </w:rPr>
            </w:pPr>
            <w:r w:rsidRPr="002434C0">
              <w:rPr>
                <w:rFonts w:eastAsia="Times New Roman" w:cs="Arial"/>
                <w:sz w:val="20"/>
                <w:szCs w:val="20"/>
              </w:rPr>
              <w:t xml:space="preserve">$2,236 </w:t>
            </w:r>
          </w:p>
        </w:tc>
        <w:tc>
          <w:tcPr>
            <w:tcW w:w="579" w:type="pct"/>
            <w:gridSpan w:val="2"/>
            <w:tcBorders>
              <w:top w:val="nil"/>
              <w:left w:val="single" w:sz="4" w:space="0" w:color="auto"/>
              <w:bottom w:val="single" w:sz="4" w:space="0" w:color="auto"/>
              <w:right w:val="single" w:sz="4" w:space="0" w:color="auto"/>
            </w:tcBorders>
            <w:shd w:val="clear" w:color="auto" w:fill="auto"/>
            <w:vAlign w:val="bottom"/>
          </w:tcPr>
          <w:p w:rsidR="00A055B4" w:rsidRPr="002434C0" w:rsidP="003A39CF" w14:paraId="6C66C1C1" w14:textId="77777777">
            <w:pPr>
              <w:spacing w:after="0" w:line="240" w:lineRule="auto"/>
              <w:jc w:val="right"/>
              <w:rPr>
                <w:rFonts w:eastAsia="Times New Roman" w:cs="Arial"/>
                <w:sz w:val="20"/>
                <w:szCs w:val="20"/>
              </w:rPr>
            </w:pPr>
            <w:r w:rsidRPr="002434C0">
              <w:rPr>
                <w:rFonts w:eastAsia="Times New Roman" w:cs="Arial"/>
                <w:sz w:val="20"/>
                <w:szCs w:val="20"/>
              </w:rPr>
              <w:t xml:space="preserve">$21,989 </w:t>
            </w:r>
          </w:p>
        </w:tc>
        <w:tc>
          <w:tcPr>
            <w:tcW w:w="554" w:type="pct"/>
            <w:tcBorders>
              <w:top w:val="nil"/>
              <w:left w:val="single" w:sz="4" w:space="0" w:color="auto"/>
              <w:bottom w:val="single" w:sz="4" w:space="0" w:color="auto"/>
              <w:right w:val="single" w:sz="4" w:space="0" w:color="auto"/>
            </w:tcBorders>
            <w:shd w:val="clear" w:color="auto" w:fill="auto"/>
            <w:noWrap/>
            <w:vAlign w:val="bottom"/>
            <w:hideMark/>
          </w:tcPr>
          <w:p w:rsidR="00A055B4" w:rsidRPr="002434C0" w:rsidP="003A39CF" w14:paraId="3D23E9D9" w14:textId="523F8F20">
            <w:pPr>
              <w:spacing w:after="0" w:line="240" w:lineRule="auto"/>
              <w:jc w:val="right"/>
              <w:rPr>
                <w:rFonts w:eastAsia="Times New Roman" w:cs="Arial"/>
                <w:sz w:val="20"/>
                <w:szCs w:val="20"/>
              </w:rPr>
            </w:pPr>
            <w:r>
              <w:rPr>
                <w:rFonts w:eastAsia="Times New Roman" w:cs="Arial"/>
                <w:sz w:val="20"/>
                <w:szCs w:val="20"/>
              </w:rPr>
              <w:t>$31,251</w:t>
            </w:r>
            <w:r w:rsidRPr="002434C0">
              <w:rPr>
                <w:rFonts w:eastAsia="Times New Roman" w:cs="Arial"/>
                <w:sz w:val="20"/>
                <w:szCs w:val="20"/>
              </w:rPr>
              <w:t xml:space="preserve"> </w:t>
            </w:r>
          </w:p>
        </w:tc>
      </w:tr>
      <w:tr w14:paraId="67BD873D"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0EECD044" w14:textId="77777777">
            <w:pPr>
              <w:spacing w:after="0" w:line="240" w:lineRule="auto"/>
              <w:rPr>
                <w:rFonts w:eastAsia="Times New Roman" w:cs="Arial"/>
                <w:sz w:val="20"/>
                <w:szCs w:val="20"/>
              </w:rPr>
            </w:pPr>
            <w:r w:rsidRPr="002434C0">
              <w:rPr>
                <w:rFonts w:eastAsia="Times New Roman" w:cs="Arial"/>
                <w:sz w:val="20"/>
                <w:szCs w:val="20"/>
              </w:rPr>
              <w:t>TME</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2DFE86EA" w14:textId="77777777">
            <w:pPr>
              <w:spacing w:after="0" w:line="240" w:lineRule="auto"/>
              <w:jc w:val="right"/>
              <w:rPr>
                <w:rFonts w:eastAsia="Times New Roman" w:cs="Arial"/>
                <w:sz w:val="20"/>
                <w:szCs w:val="20"/>
              </w:rPr>
            </w:pPr>
            <w:r w:rsidRPr="002434C0">
              <w:rPr>
                <w:rFonts w:eastAsia="Times New Roman" w:cs="Arial"/>
                <w:sz w:val="20"/>
                <w:szCs w:val="20"/>
              </w:rPr>
              <w:t>0.39</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188A7A0E" w14:textId="77777777">
            <w:pPr>
              <w:spacing w:after="0" w:line="240" w:lineRule="auto"/>
              <w:jc w:val="right"/>
              <w:rPr>
                <w:rFonts w:eastAsia="Times New Roman" w:cs="Arial"/>
                <w:sz w:val="20"/>
                <w:szCs w:val="20"/>
              </w:rPr>
            </w:pPr>
            <w:r w:rsidRPr="002434C0">
              <w:rPr>
                <w:rFonts w:eastAsia="Times New Roman" w:cs="Arial"/>
                <w:sz w:val="20"/>
                <w:szCs w:val="20"/>
              </w:rPr>
              <w:t>0.5</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137923A9" w14:textId="6B6290AB">
            <w:pPr>
              <w:spacing w:after="0" w:line="240" w:lineRule="auto"/>
              <w:jc w:val="right"/>
              <w:rPr>
                <w:rFonts w:eastAsia="Times New Roman" w:cs="Arial"/>
                <w:sz w:val="20"/>
                <w:szCs w:val="20"/>
              </w:rPr>
            </w:pPr>
            <w:r w:rsidRPr="002434C0">
              <w:rPr>
                <w:rFonts w:eastAsia="Times New Roman" w:cs="Arial"/>
                <w:sz w:val="20"/>
                <w:szCs w:val="20"/>
              </w:rPr>
              <w:t>81.</w:t>
            </w:r>
            <w:r w:rsidRPr="002434C0" w:rsidR="009267AD">
              <w:rPr>
                <w:rFonts w:eastAsia="Times New Roman" w:cs="Arial"/>
                <w:sz w:val="20"/>
                <w:szCs w:val="20"/>
              </w:rPr>
              <w:t>3</w:t>
            </w:r>
            <w:r w:rsidR="009267AD">
              <w:rPr>
                <w:rFonts w:eastAsia="Times New Roman" w:cs="Arial"/>
                <w:sz w:val="20"/>
                <w:szCs w:val="20"/>
              </w:rPr>
              <w:t>5</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2959C331" w14:textId="3F54EC5A">
            <w:pPr>
              <w:spacing w:after="0" w:line="240" w:lineRule="auto"/>
              <w:jc w:val="right"/>
              <w:rPr>
                <w:rFonts w:eastAsia="Times New Roman" w:cs="Arial"/>
                <w:sz w:val="20"/>
                <w:szCs w:val="20"/>
              </w:rPr>
            </w:pPr>
            <w:r w:rsidRPr="002434C0">
              <w:rPr>
                <w:rFonts w:eastAsia="Times New Roman" w:cs="Arial"/>
                <w:sz w:val="20"/>
                <w:szCs w:val="20"/>
              </w:rPr>
              <w:t>23.00</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73A1FC80" w14:textId="37FC18D4">
            <w:pPr>
              <w:spacing w:after="0" w:line="240" w:lineRule="auto"/>
              <w:jc w:val="right"/>
              <w:rPr>
                <w:rFonts w:eastAsia="Times New Roman" w:cs="Arial"/>
                <w:sz w:val="20"/>
                <w:szCs w:val="20"/>
              </w:rPr>
            </w:pPr>
            <w:r w:rsidRPr="002434C0">
              <w:rPr>
                <w:rFonts w:eastAsia="Times New Roman" w:cs="Arial"/>
                <w:sz w:val="20"/>
                <w:szCs w:val="20"/>
              </w:rPr>
              <w:t>104.8</w:t>
            </w:r>
            <w:r w:rsidR="001F36F7">
              <w:rPr>
                <w:rFonts w:eastAsia="Times New Roman" w:cs="Arial"/>
                <w:sz w:val="20"/>
                <w:szCs w:val="20"/>
              </w:rPr>
              <w:t>5</w:t>
            </w:r>
          </w:p>
        </w:tc>
        <w:tc>
          <w:tcPr>
            <w:tcW w:w="486"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2860A234" w14:textId="77777777">
            <w:pPr>
              <w:spacing w:after="0" w:line="240" w:lineRule="auto"/>
              <w:jc w:val="right"/>
              <w:rPr>
                <w:rFonts w:eastAsia="Times New Roman" w:cs="Arial"/>
                <w:sz w:val="20"/>
                <w:szCs w:val="20"/>
              </w:rPr>
            </w:pPr>
            <w:r w:rsidRPr="002434C0">
              <w:rPr>
                <w:rFonts w:eastAsia="Times New Roman" w:cs="Arial"/>
                <w:sz w:val="20"/>
                <w:szCs w:val="20"/>
              </w:rPr>
              <w:t xml:space="preserve">$19 </w:t>
            </w:r>
          </w:p>
        </w:tc>
        <w:tc>
          <w:tcPr>
            <w:tcW w:w="382"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1E3B675B" w14:textId="77777777">
            <w:pPr>
              <w:spacing w:after="0" w:line="240" w:lineRule="auto"/>
              <w:jc w:val="right"/>
              <w:rPr>
                <w:rFonts w:eastAsia="Times New Roman" w:cs="Arial"/>
                <w:sz w:val="20"/>
                <w:szCs w:val="20"/>
              </w:rPr>
            </w:pPr>
            <w:r w:rsidRPr="002434C0">
              <w:rPr>
                <w:rFonts w:eastAsia="Times New Roman" w:cs="Arial"/>
                <w:sz w:val="20"/>
                <w:szCs w:val="20"/>
              </w:rPr>
              <w:t xml:space="preserve">$6,621 </w:t>
            </w:r>
          </w:p>
        </w:tc>
        <w:tc>
          <w:tcPr>
            <w:tcW w:w="394" w:type="pct"/>
            <w:gridSpan w:val="2"/>
            <w:tcBorders>
              <w:top w:val="nil"/>
              <w:left w:val="nil"/>
              <w:bottom w:val="single" w:sz="4" w:space="0" w:color="auto"/>
              <w:right w:val="single" w:sz="4" w:space="0" w:color="auto"/>
            </w:tcBorders>
            <w:shd w:val="clear" w:color="auto" w:fill="auto"/>
            <w:noWrap/>
            <w:vAlign w:val="bottom"/>
            <w:hideMark/>
          </w:tcPr>
          <w:p w:rsidR="00A055B4" w:rsidRPr="002434C0" w:rsidP="003A39CF" w14:paraId="67F8C5F4" w14:textId="77777777">
            <w:pPr>
              <w:spacing w:after="0" w:line="240" w:lineRule="auto"/>
              <w:jc w:val="right"/>
              <w:rPr>
                <w:rFonts w:eastAsia="Times New Roman" w:cs="Arial"/>
                <w:sz w:val="20"/>
                <w:szCs w:val="20"/>
              </w:rPr>
            </w:pPr>
            <w:r w:rsidRPr="002434C0">
              <w:rPr>
                <w:rFonts w:eastAsia="Times New Roman" w:cs="Arial"/>
                <w:sz w:val="20"/>
                <w:szCs w:val="20"/>
              </w:rPr>
              <w:t xml:space="preserve">$2,143 </w:t>
            </w:r>
          </w:p>
        </w:tc>
        <w:tc>
          <w:tcPr>
            <w:tcW w:w="579" w:type="pct"/>
            <w:gridSpan w:val="2"/>
            <w:tcBorders>
              <w:top w:val="nil"/>
              <w:left w:val="single" w:sz="4" w:space="0" w:color="auto"/>
              <w:bottom w:val="single" w:sz="4" w:space="0" w:color="auto"/>
              <w:right w:val="single" w:sz="4" w:space="0" w:color="auto"/>
            </w:tcBorders>
            <w:shd w:val="clear" w:color="auto" w:fill="auto"/>
            <w:vAlign w:val="bottom"/>
          </w:tcPr>
          <w:p w:rsidR="00A055B4" w:rsidRPr="002434C0" w:rsidP="003A39CF" w14:paraId="4DCF0ED0" w14:textId="77777777">
            <w:pPr>
              <w:spacing w:after="0" w:line="240" w:lineRule="auto"/>
              <w:jc w:val="right"/>
              <w:rPr>
                <w:rFonts w:eastAsia="Times New Roman" w:cs="Arial"/>
                <w:sz w:val="20"/>
                <w:szCs w:val="20"/>
              </w:rPr>
            </w:pPr>
            <w:r w:rsidRPr="002434C0">
              <w:rPr>
                <w:rFonts w:eastAsia="Times New Roman" w:cs="Arial"/>
                <w:sz w:val="20"/>
                <w:szCs w:val="20"/>
              </w:rPr>
              <w:t xml:space="preserve">$5,590 </w:t>
            </w:r>
          </w:p>
        </w:tc>
        <w:tc>
          <w:tcPr>
            <w:tcW w:w="554" w:type="pct"/>
            <w:tcBorders>
              <w:top w:val="nil"/>
              <w:left w:val="single" w:sz="4" w:space="0" w:color="auto"/>
              <w:bottom w:val="single" w:sz="4" w:space="0" w:color="auto"/>
              <w:right w:val="single" w:sz="4" w:space="0" w:color="auto"/>
            </w:tcBorders>
            <w:shd w:val="clear" w:color="auto" w:fill="auto"/>
            <w:noWrap/>
            <w:vAlign w:val="bottom"/>
            <w:hideMark/>
          </w:tcPr>
          <w:p w:rsidR="00A055B4" w:rsidRPr="002434C0" w:rsidP="003A39CF" w14:paraId="1B780DFE" w14:textId="14BFFE42">
            <w:pPr>
              <w:spacing w:after="0" w:line="240" w:lineRule="auto"/>
              <w:jc w:val="right"/>
              <w:rPr>
                <w:rFonts w:eastAsia="Times New Roman" w:cs="Arial"/>
                <w:sz w:val="20"/>
                <w:szCs w:val="20"/>
              </w:rPr>
            </w:pPr>
            <w:r>
              <w:rPr>
                <w:rFonts w:eastAsia="Times New Roman" w:cs="Arial"/>
                <w:sz w:val="20"/>
                <w:szCs w:val="20"/>
              </w:rPr>
              <w:t>$12,821</w:t>
            </w:r>
          </w:p>
        </w:tc>
      </w:tr>
      <w:tr w14:paraId="50772851" w14:textId="77777777" w:rsidTr="005A27CE">
        <w:tblPrEx>
          <w:tblW w:w="5000" w:type="pct"/>
          <w:tblLayout w:type="fixed"/>
          <w:tblLook w:val="04A0"/>
        </w:tblPrEx>
        <w:trPr>
          <w:trHeight w:val="290"/>
        </w:trPr>
        <w:tc>
          <w:tcPr>
            <w:tcW w:w="5000" w:type="pct"/>
            <w:gridSpan w:val="13"/>
            <w:shd w:val="clear" w:color="auto" w:fill="BFBFBF"/>
            <w:vAlign w:val="center"/>
          </w:tcPr>
          <w:p w:rsidR="00A055B4" w:rsidRPr="002434C0" w:rsidP="003A39CF" w14:paraId="6CFA1150" w14:textId="77777777">
            <w:pPr>
              <w:spacing w:after="0" w:line="240" w:lineRule="auto"/>
              <w:jc w:val="center"/>
              <w:rPr>
                <w:rFonts w:eastAsia="Times New Roman" w:cs="Arial"/>
                <w:sz w:val="20"/>
                <w:szCs w:val="20"/>
              </w:rPr>
            </w:pPr>
            <w:r w:rsidRPr="002434C0">
              <w:rPr>
                <w:rFonts w:eastAsia="Times New Roman" w:cs="Arial"/>
                <w:sz w:val="20"/>
                <w:szCs w:val="20"/>
              </w:rPr>
              <w:t>POST-RULE</w:t>
            </w:r>
          </w:p>
        </w:tc>
      </w:tr>
      <w:tr w14:paraId="77AD2EF6"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065287D1" w14:textId="77777777">
            <w:pPr>
              <w:spacing w:after="0" w:line="240" w:lineRule="auto"/>
              <w:rPr>
                <w:rFonts w:eastAsia="Times New Roman" w:cs="Arial"/>
                <w:sz w:val="20"/>
                <w:szCs w:val="20"/>
              </w:rPr>
            </w:pPr>
            <w:r w:rsidRPr="002434C0">
              <w:rPr>
                <w:rFonts w:eastAsia="Times New Roman" w:cs="Arial"/>
                <w:sz w:val="20"/>
                <w:szCs w:val="20"/>
              </w:rPr>
              <w:t>PMN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55B4" w:rsidRPr="002434C0" w:rsidP="003A39CF" w14:paraId="27310EFB" w14:textId="77777777">
            <w:pPr>
              <w:spacing w:after="0" w:line="240" w:lineRule="auto"/>
              <w:jc w:val="right"/>
              <w:rPr>
                <w:rFonts w:eastAsia="Times New Roman" w:cs="Arial"/>
                <w:sz w:val="20"/>
                <w:szCs w:val="20"/>
              </w:rPr>
            </w:pPr>
            <w:r w:rsidRPr="002434C0">
              <w:rPr>
                <w:rFonts w:eastAsia="Times New Roman" w:cs="Arial"/>
                <w:sz w:val="20"/>
                <w:szCs w:val="20"/>
              </w:rPr>
              <w:t>0.9</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2018738D"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65159CD2" w14:textId="5AFB3A8A">
            <w:pPr>
              <w:spacing w:after="0" w:line="240" w:lineRule="auto"/>
              <w:jc w:val="right"/>
              <w:rPr>
                <w:rFonts w:eastAsia="Times New Roman" w:cs="Arial"/>
                <w:sz w:val="20"/>
                <w:szCs w:val="20"/>
              </w:rPr>
            </w:pPr>
            <w:r w:rsidRPr="002434C0">
              <w:rPr>
                <w:rFonts w:eastAsia="Times New Roman" w:cs="Arial"/>
                <w:sz w:val="20"/>
                <w:szCs w:val="20"/>
              </w:rPr>
              <w:t>200.</w:t>
            </w:r>
            <w:r w:rsidR="009267AD">
              <w:rPr>
                <w:rFonts w:eastAsia="Times New Roman" w:cs="Arial"/>
                <w:sz w:val="20"/>
                <w:szCs w:val="20"/>
              </w:rPr>
              <w:t>80</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092E11C3" w14:textId="7301ADFA">
            <w:pPr>
              <w:spacing w:after="0" w:line="240" w:lineRule="auto"/>
              <w:jc w:val="right"/>
              <w:rPr>
                <w:rFonts w:eastAsia="Times New Roman" w:cs="Arial"/>
                <w:sz w:val="20"/>
                <w:szCs w:val="20"/>
              </w:rPr>
            </w:pPr>
            <w:r w:rsidRPr="002434C0">
              <w:rPr>
                <w:rFonts w:eastAsia="Times New Roman" w:cs="Arial"/>
                <w:sz w:val="20"/>
                <w:szCs w:val="20"/>
              </w:rPr>
              <w:t>36.26</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476C27C7" w14:textId="227C349A">
            <w:pPr>
              <w:spacing w:after="0" w:line="240" w:lineRule="auto"/>
              <w:jc w:val="right"/>
              <w:rPr>
                <w:rFonts w:eastAsia="Times New Roman" w:cs="Arial"/>
                <w:sz w:val="20"/>
                <w:szCs w:val="20"/>
              </w:rPr>
            </w:pPr>
            <w:r w:rsidRPr="002434C0">
              <w:rPr>
                <w:rFonts w:eastAsia="Times New Roman" w:cs="Arial"/>
                <w:sz w:val="20"/>
                <w:szCs w:val="20"/>
              </w:rPr>
              <w:t>237.</w:t>
            </w:r>
            <w:r w:rsidR="001F36F7">
              <w:rPr>
                <w:rFonts w:eastAsia="Times New Roman" w:cs="Arial"/>
                <w:sz w:val="20"/>
                <w:szCs w:val="20"/>
              </w:rPr>
              <w:t>6</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1B3ED124"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53EA0F5E" w14:textId="77777777">
            <w:pPr>
              <w:spacing w:after="0" w:line="240" w:lineRule="auto"/>
              <w:jc w:val="right"/>
              <w:rPr>
                <w:rFonts w:eastAsia="Times New Roman" w:cs="Arial"/>
                <w:sz w:val="20"/>
                <w:szCs w:val="20"/>
              </w:rPr>
            </w:pPr>
            <w:r w:rsidRPr="002434C0">
              <w:rPr>
                <w:rFonts w:eastAsia="Times New Roman" w:cs="Arial"/>
                <w:sz w:val="20"/>
                <w:szCs w:val="20"/>
              </w:rPr>
              <w:t xml:space="preserve">$16,344 </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555C7951" w14:textId="77777777">
            <w:pPr>
              <w:spacing w:after="0" w:line="240" w:lineRule="auto"/>
              <w:jc w:val="right"/>
              <w:rPr>
                <w:rFonts w:eastAsia="Times New Roman" w:cs="Arial"/>
                <w:sz w:val="20"/>
                <w:szCs w:val="20"/>
              </w:rPr>
            </w:pPr>
            <w:r w:rsidRPr="002434C0">
              <w:rPr>
                <w:rFonts w:eastAsia="Times New Roman" w:cs="Arial"/>
                <w:sz w:val="20"/>
                <w:szCs w:val="20"/>
              </w:rPr>
              <w:t xml:space="preserve">$3,379 </w:t>
            </w:r>
          </w:p>
        </w:tc>
        <w:tc>
          <w:tcPr>
            <w:tcW w:w="579" w:type="pct"/>
            <w:gridSpan w:val="2"/>
            <w:tcBorders>
              <w:top w:val="single" w:sz="4" w:space="0" w:color="auto"/>
              <w:left w:val="nil"/>
              <w:bottom w:val="single" w:sz="4" w:space="0" w:color="auto"/>
              <w:right w:val="single" w:sz="4" w:space="0" w:color="auto"/>
            </w:tcBorders>
            <w:shd w:val="clear" w:color="auto" w:fill="auto"/>
            <w:vAlign w:val="bottom"/>
          </w:tcPr>
          <w:p w:rsidR="00A055B4" w:rsidRPr="002434C0" w:rsidP="003A39CF" w14:paraId="57A6EF0B" w14:textId="77777777">
            <w:pPr>
              <w:spacing w:after="0" w:line="240" w:lineRule="auto"/>
              <w:jc w:val="right"/>
              <w:rPr>
                <w:rFonts w:eastAsia="Times New Roman" w:cs="Arial"/>
                <w:sz w:val="20"/>
                <w:szCs w:val="20"/>
              </w:rPr>
            </w:pPr>
            <w:r w:rsidRPr="002434C0">
              <w:rPr>
                <w:rFonts w:eastAsia="Times New Roman" w:cs="Arial"/>
                <w:sz w:val="20"/>
                <w:szCs w:val="20"/>
              </w:rPr>
              <w:t xml:space="preserve">$57,311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3A2D51F0" w14:textId="77777777">
            <w:pPr>
              <w:spacing w:after="0" w:line="240" w:lineRule="auto"/>
              <w:jc w:val="right"/>
              <w:rPr>
                <w:rFonts w:eastAsia="Times New Roman" w:cs="Arial"/>
                <w:sz w:val="20"/>
                <w:szCs w:val="20"/>
              </w:rPr>
            </w:pPr>
            <w:r w:rsidRPr="002434C0">
              <w:rPr>
                <w:rFonts w:eastAsia="Times New Roman" w:cs="Arial"/>
                <w:sz w:val="20"/>
                <w:szCs w:val="20"/>
              </w:rPr>
              <w:t xml:space="preserve">$77,034 </w:t>
            </w:r>
          </w:p>
        </w:tc>
      </w:tr>
      <w:tr w14:paraId="37DA146B"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49EF9E36" w14:textId="77777777">
            <w:pPr>
              <w:spacing w:after="0" w:line="240" w:lineRule="auto"/>
              <w:rPr>
                <w:rFonts w:eastAsia="Times New Roman" w:cs="Arial"/>
                <w:sz w:val="20"/>
                <w:szCs w:val="20"/>
              </w:rPr>
            </w:pPr>
            <w:r w:rsidRPr="002434C0">
              <w:rPr>
                <w:rFonts w:eastAsia="Times New Roman" w:cs="Arial"/>
                <w:sz w:val="20"/>
                <w:szCs w:val="20"/>
              </w:rPr>
              <w:t>SNUN</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0895476D" w14:textId="77777777">
            <w:pPr>
              <w:spacing w:after="0" w:line="240" w:lineRule="auto"/>
              <w:jc w:val="right"/>
              <w:rPr>
                <w:rFonts w:eastAsia="Times New Roman" w:cs="Arial"/>
                <w:sz w:val="20"/>
                <w:szCs w:val="20"/>
              </w:rPr>
            </w:pPr>
            <w:r w:rsidRPr="002434C0">
              <w:rPr>
                <w:rFonts w:eastAsia="Times New Roman" w:cs="Arial"/>
                <w:sz w:val="20"/>
                <w:szCs w:val="20"/>
              </w:rPr>
              <w:t>0.9</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61E1D0DA"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2F161423" w14:textId="11FAB743">
            <w:pPr>
              <w:spacing w:after="0" w:line="240" w:lineRule="auto"/>
              <w:jc w:val="right"/>
              <w:rPr>
                <w:rFonts w:eastAsia="Times New Roman" w:cs="Arial"/>
                <w:sz w:val="20"/>
                <w:szCs w:val="20"/>
              </w:rPr>
            </w:pPr>
            <w:r w:rsidRPr="002434C0">
              <w:rPr>
                <w:rFonts w:eastAsia="Times New Roman" w:cs="Arial"/>
                <w:sz w:val="20"/>
                <w:szCs w:val="20"/>
              </w:rPr>
              <w:t>76.</w:t>
            </w:r>
            <w:r w:rsidRPr="002434C0" w:rsidR="009267AD">
              <w:rPr>
                <w:rFonts w:eastAsia="Times New Roman" w:cs="Arial"/>
                <w:sz w:val="20"/>
                <w:szCs w:val="20"/>
              </w:rPr>
              <w:t>3</w:t>
            </w:r>
            <w:r w:rsidR="009267AD">
              <w:rPr>
                <w:rFonts w:eastAsia="Times New Roman" w:cs="Arial"/>
                <w:sz w:val="20"/>
                <w:szCs w:val="20"/>
              </w:rPr>
              <w:t>3</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7D0F4D7D" w14:textId="5A554B79">
            <w:pPr>
              <w:spacing w:after="0" w:line="240" w:lineRule="auto"/>
              <w:jc w:val="right"/>
              <w:rPr>
                <w:rFonts w:eastAsia="Times New Roman" w:cs="Arial"/>
                <w:sz w:val="20"/>
                <w:szCs w:val="20"/>
              </w:rPr>
            </w:pPr>
            <w:r w:rsidRPr="002434C0">
              <w:rPr>
                <w:rFonts w:eastAsia="Times New Roman" w:cs="Arial"/>
                <w:sz w:val="20"/>
                <w:szCs w:val="20"/>
              </w:rPr>
              <w:t>22.20</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4F1CBF40" w14:textId="153D3B66">
            <w:pPr>
              <w:spacing w:after="0" w:line="240" w:lineRule="auto"/>
              <w:jc w:val="right"/>
              <w:rPr>
                <w:rFonts w:eastAsia="Times New Roman" w:cs="Arial"/>
                <w:sz w:val="20"/>
                <w:szCs w:val="20"/>
              </w:rPr>
            </w:pPr>
            <w:r w:rsidRPr="002434C0">
              <w:rPr>
                <w:rFonts w:eastAsia="Times New Roman" w:cs="Arial"/>
                <w:sz w:val="20"/>
                <w:szCs w:val="20"/>
              </w:rPr>
              <w:t>98.</w:t>
            </w:r>
            <w:r w:rsidRPr="002434C0" w:rsidR="001F36F7">
              <w:rPr>
                <w:rFonts w:eastAsia="Times New Roman" w:cs="Arial"/>
                <w:sz w:val="20"/>
                <w:szCs w:val="20"/>
              </w:rPr>
              <w:t>5</w:t>
            </w:r>
            <w:r w:rsidR="001F36F7">
              <w:rPr>
                <w:rFonts w:eastAsia="Times New Roman" w:cs="Arial"/>
                <w:sz w:val="20"/>
                <w:szCs w:val="20"/>
              </w:rPr>
              <w:t>3</w:t>
            </w:r>
          </w:p>
        </w:tc>
        <w:tc>
          <w:tcPr>
            <w:tcW w:w="486" w:type="pct"/>
            <w:tcBorders>
              <w:top w:val="nil"/>
              <w:left w:val="nil"/>
              <w:bottom w:val="single" w:sz="4" w:space="0" w:color="auto"/>
              <w:right w:val="single" w:sz="4" w:space="0" w:color="auto"/>
            </w:tcBorders>
            <w:shd w:val="clear" w:color="auto" w:fill="auto"/>
            <w:vAlign w:val="center"/>
            <w:hideMark/>
          </w:tcPr>
          <w:p w:rsidR="00A055B4" w:rsidRPr="002434C0" w:rsidP="003A39CF" w14:paraId="1CE1EA6C"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nil"/>
              <w:left w:val="nil"/>
              <w:bottom w:val="single" w:sz="4" w:space="0" w:color="auto"/>
              <w:right w:val="single" w:sz="4" w:space="0" w:color="auto"/>
            </w:tcBorders>
            <w:shd w:val="clear" w:color="auto" w:fill="auto"/>
            <w:vAlign w:val="center"/>
            <w:hideMark/>
          </w:tcPr>
          <w:p w:rsidR="00A055B4" w:rsidRPr="002434C0" w:rsidP="003A39CF" w14:paraId="21EAE17E" w14:textId="77777777">
            <w:pPr>
              <w:spacing w:after="0" w:line="240" w:lineRule="auto"/>
              <w:jc w:val="right"/>
              <w:rPr>
                <w:rFonts w:eastAsia="Times New Roman" w:cs="Arial"/>
                <w:sz w:val="20"/>
                <w:szCs w:val="20"/>
              </w:rPr>
            </w:pPr>
            <w:r w:rsidRPr="002434C0">
              <w:rPr>
                <w:rFonts w:eastAsia="Times New Roman" w:cs="Arial"/>
                <w:sz w:val="20"/>
                <w:szCs w:val="20"/>
              </w:rPr>
              <w:t xml:space="preserve">$6,213 </w:t>
            </w:r>
          </w:p>
        </w:tc>
        <w:tc>
          <w:tcPr>
            <w:tcW w:w="394" w:type="pct"/>
            <w:gridSpan w:val="2"/>
            <w:tcBorders>
              <w:top w:val="nil"/>
              <w:left w:val="nil"/>
              <w:bottom w:val="single" w:sz="4" w:space="0" w:color="auto"/>
              <w:right w:val="single" w:sz="4" w:space="0" w:color="auto"/>
            </w:tcBorders>
            <w:shd w:val="clear" w:color="auto" w:fill="auto"/>
            <w:vAlign w:val="center"/>
            <w:hideMark/>
          </w:tcPr>
          <w:p w:rsidR="00A055B4" w:rsidRPr="002434C0" w:rsidP="003A39CF" w14:paraId="4AD9515A" w14:textId="77777777">
            <w:pPr>
              <w:spacing w:after="0" w:line="240" w:lineRule="auto"/>
              <w:jc w:val="right"/>
              <w:rPr>
                <w:rFonts w:eastAsia="Times New Roman" w:cs="Arial"/>
                <w:sz w:val="20"/>
                <w:szCs w:val="20"/>
              </w:rPr>
            </w:pPr>
            <w:r w:rsidRPr="002434C0">
              <w:rPr>
                <w:rFonts w:eastAsia="Times New Roman" w:cs="Arial"/>
                <w:sz w:val="20"/>
                <w:szCs w:val="20"/>
              </w:rPr>
              <w:t xml:space="preserve">$2,069 </w:t>
            </w:r>
          </w:p>
        </w:tc>
        <w:tc>
          <w:tcPr>
            <w:tcW w:w="579" w:type="pct"/>
            <w:gridSpan w:val="2"/>
            <w:tcBorders>
              <w:top w:val="nil"/>
              <w:left w:val="nil"/>
              <w:bottom w:val="single" w:sz="4" w:space="0" w:color="auto"/>
              <w:right w:val="single" w:sz="4" w:space="0" w:color="auto"/>
            </w:tcBorders>
            <w:shd w:val="clear" w:color="auto" w:fill="auto"/>
            <w:vAlign w:val="bottom"/>
          </w:tcPr>
          <w:p w:rsidR="00A055B4" w:rsidRPr="002434C0" w:rsidP="003A39CF" w14:paraId="0E12B47A" w14:textId="77777777">
            <w:pPr>
              <w:spacing w:after="0" w:line="240" w:lineRule="auto"/>
              <w:jc w:val="right"/>
              <w:rPr>
                <w:rFonts w:eastAsia="Times New Roman" w:cs="Arial"/>
                <w:sz w:val="20"/>
                <w:szCs w:val="20"/>
              </w:rPr>
            </w:pPr>
            <w:r w:rsidRPr="002434C0">
              <w:rPr>
                <w:rFonts w:eastAsia="Times New Roman" w:cs="Arial"/>
                <w:sz w:val="20"/>
                <w:szCs w:val="20"/>
              </w:rPr>
              <w:t xml:space="preserve">$24,610 </w:t>
            </w:r>
          </w:p>
        </w:tc>
        <w:tc>
          <w:tcPr>
            <w:tcW w:w="554" w:type="pct"/>
            <w:tcBorders>
              <w:top w:val="nil"/>
              <w:left w:val="nil"/>
              <w:bottom w:val="single" w:sz="4" w:space="0" w:color="auto"/>
              <w:right w:val="single" w:sz="4" w:space="0" w:color="auto"/>
            </w:tcBorders>
            <w:shd w:val="clear" w:color="auto" w:fill="auto"/>
            <w:vAlign w:val="center"/>
            <w:hideMark/>
          </w:tcPr>
          <w:p w:rsidR="00A055B4" w:rsidRPr="002434C0" w:rsidP="003A39CF" w14:paraId="7EA26A6F" w14:textId="77777777">
            <w:pPr>
              <w:spacing w:after="0" w:line="240" w:lineRule="auto"/>
              <w:jc w:val="right"/>
              <w:rPr>
                <w:rFonts w:eastAsia="Times New Roman" w:cs="Arial"/>
                <w:sz w:val="20"/>
                <w:szCs w:val="20"/>
              </w:rPr>
            </w:pPr>
            <w:r w:rsidRPr="002434C0">
              <w:rPr>
                <w:rFonts w:eastAsia="Times New Roman" w:cs="Arial"/>
                <w:sz w:val="20"/>
                <w:szCs w:val="20"/>
              </w:rPr>
              <w:t xml:space="preserve">$43,701 </w:t>
            </w:r>
          </w:p>
        </w:tc>
      </w:tr>
      <w:tr w14:paraId="62115A81"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444E1C85" w14:textId="77777777">
            <w:pPr>
              <w:spacing w:after="0" w:line="240" w:lineRule="auto"/>
              <w:rPr>
                <w:rFonts w:eastAsia="Times New Roman" w:cs="Arial"/>
                <w:sz w:val="20"/>
                <w:szCs w:val="20"/>
              </w:rPr>
            </w:pPr>
            <w:r w:rsidRPr="002434C0">
              <w:rPr>
                <w:rFonts w:eastAsia="Times New Roman" w:cs="Arial"/>
                <w:sz w:val="20"/>
                <w:szCs w:val="20"/>
              </w:rPr>
              <w:t>LVE/LoREX</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03A8F762" w14:textId="77777777">
            <w:pPr>
              <w:spacing w:after="0" w:line="240" w:lineRule="auto"/>
              <w:jc w:val="right"/>
              <w:rPr>
                <w:rFonts w:eastAsia="Times New Roman" w:cs="Arial"/>
                <w:sz w:val="20"/>
                <w:szCs w:val="20"/>
              </w:rPr>
            </w:pPr>
            <w:r w:rsidRPr="002434C0">
              <w:rPr>
                <w:rFonts w:eastAsia="Times New Roman" w:cs="Arial"/>
                <w:sz w:val="20"/>
                <w:szCs w:val="20"/>
              </w:rPr>
              <w:t>0.9</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04270EA5"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69699194" w14:textId="691C74BF">
            <w:pPr>
              <w:spacing w:after="0" w:line="240" w:lineRule="auto"/>
              <w:jc w:val="right"/>
              <w:rPr>
                <w:rFonts w:eastAsia="Times New Roman" w:cs="Arial"/>
                <w:sz w:val="20"/>
                <w:szCs w:val="20"/>
              </w:rPr>
            </w:pPr>
            <w:r w:rsidRPr="002434C0">
              <w:rPr>
                <w:rFonts w:eastAsia="Times New Roman" w:cs="Arial"/>
                <w:sz w:val="20"/>
                <w:szCs w:val="20"/>
              </w:rPr>
              <w:t>78.</w:t>
            </w:r>
            <w:r w:rsidRPr="002434C0" w:rsidR="009267AD">
              <w:rPr>
                <w:rFonts w:eastAsia="Times New Roman" w:cs="Arial"/>
                <w:sz w:val="20"/>
                <w:szCs w:val="20"/>
              </w:rPr>
              <w:t>0</w:t>
            </w:r>
            <w:r w:rsidR="009267AD">
              <w:rPr>
                <w:rFonts w:eastAsia="Times New Roman" w:cs="Arial"/>
                <w:sz w:val="20"/>
                <w:szCs w:val="20"/>
              </w:rPr>
              <w:t>3</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1202B91A" w14:textId="03B7A22D">
            <w:pPr>
              <w:spacing w:after="0" w:line="240" w:lineRule="auto"/>
              <w:jc w:val="right"/>
              <w:rPr>
                <w:rFonts w:eastAsia="Times New Roman" w:cs="Arial"/>
                <w:sz w:val="20"/>
                <w:szCs w:val="20"/>
              </w:rPr>
            </w:pPr>
            <w:r w:rsidRPr="002434C0">
              <w:rPr>
                <w:rFonts w:eastAsia="Times New Roman" w:cs="Arial"/>
                <w:sz w:val="20"/>
                <w:szCs w:val="20"/>
              </w:rPr>
              <w:t>22.54</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0D83E839" w14:textId="36D54335">
            <w:pPr>
              <w:spacing w:after="0" w:line="240" w:lineRule="auto"/>
              <w:jc w:val="right"/>
              <w:rPr>
                <w:rFonts w:eastAsia="Times New Roman" w:cs="Arial"/>
                <w:sz w:val="20"/>
                <w:szCs w:val="20"/>
              </w:rPr>
            </w:pPr>
            <w:r w:rsidRPr="002434C0">
              <w:rPr>
                <w:rFonts w:eastAsia="Times New Roman" w:cs="Arial"/>
                <w:sz w:val="20"/>
                <w:szCs w:val="20"/>
              </w:rPr>
              <w:t>100.</w:t>
            </w:r>
            <w:r w:rsidRPr="002434C0" w:rsidR="001F36F7">
              <w:rPr>
                <w:rFonts w:eastAsia="Times New Roman" w:cs="Arial"/>
                <w:sz w:val="20"/>
                <w:szCs w:val="20"/>
              </w:rPr>
              <w:t>5</w:t>
            </w:r>
            <w:r w:rsidR="001F36F7">
              <w:rPr>
                <w:rFonts w:eastAsia="Times New Roman" w:cs="Arial"/>
                <w:sz w:val="20"/>
                <w:szCs w:val="20"/>
              </w:rPr>
              <w:t>7</w:t>
            </w:r>
          </w:p>
        </w:tc>
        <w:tc>
          <w:tcPr>
            <w:tcW w:w="486" w:type="pct"/>
            <w:tcBorders>
              <w:top w:val="nil"/>
              <w:left w:val="nil"/>
              <w:bottom w:val="single" w:sz="4" w:space="0" w:color="auto"/>
              <w:right w:val="single" w:sz="4" w:space="0" w:color="auto"/>
            </w:tcBorders>
            <w:shd w:val="clear" w:color="auto" w:fill="auto"/>
            <w:vAlign w:val="center"/>
            <w:hideMark/>
          </w:tcPr>
          <w:p w:rsidR="00A055B4" w:rsidRPr="002434C0" w:rsidP="003A39CF" w14:paraId="18709B04"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nil"/>
              <w:left w:val="nil"/>
              <w:bottom w:val="single" w:sz="4" w:space="0" w:color="auto"/>
              <w:right w:val="single" w:sz="4" w:space="0" w:color="auto"/>
            </w:tcBorders>
            <w:shd w:val="clear" w:color="auto" w:fill="auto"/>
            <w:vAlign w:val="center"/>
            <w:hideMark/>
          </w:tcPr>
          <w:p w:rsidR="00A055B4" w:rsidRPr="002434C0" w:rsidP="003A39CF" w14:paraId="32F7A6CB" w14:textId="77777777">
            <w:pPr>
              <w:spacing w:after="0" w:line="240" w:lineRule="auto"/>
              <w:jc w:val="right"/>
              <w:rPr>
                <w:rFonts w:eastAsia="Times New Roman" w:cs="Arial"/>
                <w:sz w:val="20"/>
                <w:szCs w:val="20"/>
              </w:rPr>
            </w:pPr>
            <w:r w:rsidRPr="002434C0">
              <w:rPr>
                <w:rFonts w:eastAsia="Times New Roman" w:cs="Arial"/>
                <w:sz w:val="20"/>
                <w:szCs w:val="20"/>
              </w:rPr>
              <w:t xml:space="preserve">$6,351 </w:t>
            </w:r>
          </w:p>
        </w:tc>
        <w:tc>
          <w:tcPr>
            <w:tcW w:w="394" w:type="pct"/>
            <w:gridSpan w:val="2"/>
            <w:tcBorders>
              <w:top w:val="nil"/>
              <w:left w:val="nil"/>
              <w:bottom w:val="single" w:sz="4" w:space="0" w:color="auto"/>
              <w:right w:val="single" w:sz="4" w:space="0" w:color="auto"/>
            </w:tcBorders>
            <w:shd w:val="clear" w:color="auto" w:fill="auto"/>
            <w:vAlign w:val="center"/>
            <w:hideMark/>
          </w:tcPr>
          <w:p w:rsidR="00A055B4" w:rsidRPr="002434C0" w:rsidP="003A39CF" w14:paraId="61C69861" w14:textId="77777777">
            <w:pPr>
              <w:spacing w:after="0" w:line="240" w:lineRule="auto"/>
              <w:jc w:val="right"/>
              <w:rPr>
                <w:rFonts w:eastAsia="Times New Roman" w:cs="Arial"/>
                <w:sz w:val="20"/>
                <w:szCs w:val="20"/>
              </w:rPr>
            </w:pPr>
            <w:r w:rsidRPr="002434C0">
              <w:rPr>
                <w:rFonts w:eastAsia="Times New Roman" w:cs="Arial"/>
                <w:sz w:val="20"/>
                <w:szCs w:val="20"/>
              </w:rPr>
              <w:t xml:space="preserve">$2,100 </w:t>
            </w:r>
          </w:p>
        </w:tc>
        <w:tc>
          <w:tcPr>
            <w:tcW w:w="579" w:type="pct"/>
            <w:gridSpan w:val="2"/>
            <w:tcBorders>
              <w:top w:val="nil"/>
              <w:left w:val="nil"/>
              <w:bottom w:val="single" w:sz="4" w:space="0" w:color="auto"/>
              <w:right w:val="single" w:sz="4" w:space="0" w:color="auto"/>
            </w:tcBorders>
            <w:shd w:val="clear" w:color="auto" w:fill="auto"/>
            <w:vAlign w:val="bottom"/>
          </w:tcPr>
          <w:p w:rsidR="00A055B4" w:rsidRPr="002434C0" w:rsidP="003A39CF" w14:paraId="1AD0AAE4" w14:textId="77777777">
            <w:pPr>
              <w:spacing w:after="0" w:line="240" w:lineRule="auto"/>
              <w:jc w:val="right"/>
              <w:rPr>
                <w:rFonts w:eastAsia="Times New Roman" w:cs="Arial"/>
                <w:sz w:val="20"/>
                <w:szCs w:val="20"/>
              </w:rPr>
            </w:pPr>
            <w:r w:rsidRPr="002434C0">
              <w:rPr>
                <w:rFonts w:eastAsia="Times New Roman" w:cs="Arial"/>
                <w:sz w:val="20"/>
                <w:szCs w:val="20"/>
              </w:rPr>
              <w:t xml:space="preserve">$21,989 </w:t>
            </w:r>
          </w:p>
        </w:tc>
        <w:tc>
          <w:tcPr>
            <w:tcW w:w="554" w:type="pct"/>
            <w:tcBorders>
              <w:top w:val="nil"/>
              <w:left w:val="nil"/>
              <w:bottom w:val="single" w:sz="4" w:space="0" w:color="auto"/>
              <w:right w:val="single" w:sz="4" w:space="0" w:color="auto"/>
            </w:tcBorders>
            <w:shd w:val="clear" w:color="auto" w:fill="auto"/>
            <w:vAlign w:val="center"/>
            <w:hideMark/>
          </w:tcPr>
          <w:p w:rsidR="00A055B4" w:rsidRPr="002434C0" w:rsidP="003A39CF" w14:paraId="5238A4A6" w14:textId="77777777">
            <w:pPr>
              <w:spacing w:after="0" w:line="240" w:lineRule="auto"/>
              <w:jc w:val="right"/>
              <w:rPr>
                <w:rFonts w:eastAsia="Times New Roman" w:cs="Arial"/>
                <w:sz w:val="20"/>
                <w:szCs w:val="20"/>
              </w:rPr>
            </w:pPr>
            <w:r w:rsidRPr="002434C0">
              <w:rPr>
                <w:rFonts w:eastAsia="Times New Roman" w:cs="Arial"/>
                <w:sz w:val="20"/>
                <w:szCs w:val="20"/>
              </w:rPr>
              <w:t xml:space="preserve">$30,441 </w:t>
            </w:r>
          </w:p>
        </w:tc>
      </w:tr>
      <w:tr w14:paraId="7542A877"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4EC9FDC6" w14:textId="77777777">
            <w:pPr>
              <w:spacing w:after="0" w:line="240" w:lineRule="auto"/>
              <w:rPr>
                <w:rFonts w:eastAsia="Times New Roman" w:cs="Arial"/>
                <w:sz w:val="20"/>
                <w:szCs w:val="20"/>
              </w:rPr>
            </w:pPr>
            <w:r w:rsidRPr="002434C0">
              <w:rPr>
                <w:rFonts w:eastAsia="Times New Roman" w:cs="Arial"/>
                <w:sz w:val="20"/>
                <w:szCs w:val="20"/>
              </w:rPr>
              <w:t>TME</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361978E3" w14:textId="77777777">
            <w:pPr>
              <w:spacing w:after="0" w:line="240" w:lineRule="auto"/>
              <w:jc w:val="right"/>
              <w:rPr>
                <w:rFonts w:eastAsia="Times New Roman" w:cs="Arial"/>
                <w:sz w:val="20"/>
                <w:szCs w:val="20"/>
              </w:rPr>
            </w:pPr>
            <w:r w:rsidRPr="002434C0">
              <w:rPr>
                <w:rFonts w:eastAsia="Times New Roman" w:cs="Arial"/>
                <w:sz w:val="20"/>
                <w:szCs w:val="20"/>
              </w:rPr>
              <w:t>0.39</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0A3F5BC8" w14:textId="77777777">
            <w:pPr>
              <w:spacing w:after="0" w:line="240" w:lineRule="auto"/>
              <w:jc w:val="right"/>
              <w:rPr>
                <w:rFonts w:eastAsia="Times New Roman" w:cs="Arial"/>
                <w:sz w:val="20"/>
                <w:szCs w:val="20"/>
              </w:rPr>
            </w:pPr>
            <w:r w:rsidRPr="002434C0">
              <w:rPr>
                <w:rFonts w:eastAsia="Times New Roman" w:cs="Arial"/>
                <w:sz w:val="20"/>
                <w:szCs w:val="20"/>
              </w:rPr>
              <w:t>0.5</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3BB0CDCA" w14:textId="2E801E33">
            <w:pPr>
              <w:spacing w:after="0" w:line="240" w:lineRule="auto"/>
              <w:jc w:val="right"/>
              <w:rPr>
                <w:rFonts w:eastAsia="Times New Roman" w:cs="Arial"/>
                <w:sz w:val="20"/>
                <w:szCs w:val="20"/>
              </w:rPr>
            </w:pPr>
            <w:r w:rsidRPr="002434C0">
              <w:rPr>
                <w:rFonts w:eastAsia="Times New Roman" w:cs="Arial"/>
                <w:sz w:val="20"/>
                <w:szCs w:val="20"/>
              </w:rPr>
              <w:t>81.3</w:t>
            </w:r>
            <w:r w:rsidR="009267AD">
              <w:rPr>
                <w:rFonts w:eastAsia="Times New Roman" w:cs="Arial"/>
                <w:sz w:val="20"/>
                <w:szCs w:val="20"/>
              </w:rPr>
              <w:t>5</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08D398D3" w14:textId="04134B1F">
            <w:pPr>
              <w:spacing w:after="0" w:line="240" w:lineRule="auto"/>
              <w:jc w:val="right"/>
              <w:rPr>
                <w:rFonts w:eastAsia="Times New Roman" w:cs="Arial"/>
                <w:sz w:val="20"/>
                <w:szCs w:val="20"/>
              </w:rPr>
            </w:pPr>
            <w:r w:rsidRPr="002434C0">
              <w:rPr>
                <w:rFonts w:eastAsia="Times New Roman" w:cs="Arial"/>
                <w:sz w:val="20"/>
                <w:szCs w:val="20"/>
              </w:rPr>
              <w:t>23.00</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389A9358" w14:textId="73358766">
            <w:pPr>
              <w:spacing w:after="0" w:line="240" w:lineRule="auto"/>
              <w:jc w:val="right"/>
              <w:rPr>
                <w:rFonts w:eastAsia="Times New Roman" w:cs="Arial"/>
                <w:sz w:val="20"/>
                <w:szCs w:val="20"/>
              </w:rPr>
            </w:pPr>
            <w:r w:rsidRPr="002434C0">
              <w:rPr>
                <w:rFonts w:eastAsia="Times New Roman" w:cs="Arial"/>
                <w:sz w:val="20"/>
                <w:szCs w:val="20"/>
              </w:rPr>
              <w:t>104.</w:t>
            </w:r>
            <w:r w:rsidRPr="002434C0" w:rsidR="001F36F7">
              <w:rPr>
                <w:rFonts w:eastAsia="Times New Roman" w:cs="Arial"/>
                <w:sz w:val="20"/>
                <w:szCs w:val="20"/>
              </w:rPr>
              <w:t>8</w:t>
            </w:r>
            <w:r w:rsidR="001F36F7">
              <w:rPr>
                <w:rFonts w:eastAsia="Times New Roman" w:cs="Arial"/>
                <w:sz w:val="20"/>
                <w:szCs w:val="20"/>
              </w:rPr>
              <w:t>5</w:t>
            </w:r>
          </w:p>
        </w:tc>
        <w:tc>
          <w:tcPr>
            <w:tcW w:w="486" w:type="pct"/>
            <w:tcBorders>
              <w:top w:val="nil"/>
              <w:left w:val="nil"/>
              <w:bottom w:val="single" w:sz="4" w:space="0" w:color="auto"/>
              <w:right w:val="single" w:sz="4" w:space="0" w:color="auto"/>
            </w:tcBorders>
            <w:shd w:val="clear" w:color="auto" w:fill="auto"/>
            <w:vAlign w:val="center"/>
            <w:hideMark/>
          </w:tcPr>
          <w:p w:rsidR="00A055B4" w:rsidRPr="002434C0" w:rsidP="003A39CF" w14:paraId="1D1375C1" w14:textId="77777777">
            <w:pPr>
              <w:spacing w:after="0" w:line="240" w:lineRule="auto"/>
              <w:jc w:val="right"/>
              <w:rPr>
                <w:rFonts w:eastAsia="Times New Roman" w:cs="Arial"/>
                <w:sz w:val="20"/>
                <w:szCs w:val="20"/>
              </w:rPr>
            </w:pPr>
            <w:r w:rsidRPr="002434C0">
              <w:rPr>
                <w:rFonts w:eastAsia="Times New Roman" w:cs="Arial"/>
                <w:sz w:val="20"/>
                <w:szCs w:val="20"/>
              </w:rPr>
              <w:t xml:space="preserve">$19 </w:t>
            </w:r>
          </w:p>
        </w:tc>
        <w:tc>
          <w:tcPr>
            <w:tcW w:w="382" w:type="pct"/>
            <w:tcBorders>
              <w:top w:val="nil"/>
              <w:left w:val="nil"/>
              <w:bottom w:val="single" w:sz="4" w:space="0" w:color="auto"/>
              <w:right w:val="single" w:sz="4" w:space="0" w:color="auto"/>
            </w:tcBorders>
            <w:shd w:val="clear" w:color="auto" w:fill="auto"/>
            <w:vAlign w:val="center"/>
            <w:hideMark/>
          </w:tcPr>
          <w:p w:rsidR="00A055B4" w:rsidRPr="002434C0" w:rsidP="003A39CF" w14:paraId="0E993E57" w14:textId="77777777">
            <w:pPr>
              <w:spacing w:after="0" w:line="240" w:lineRule="auto"/>
              <w:jc w:val="right"/>
              <w:rPr>
                <w:rFonts w:eastAsia="Times New Roman" w:cs="Arial"/>
                <w:sz w:val="20"/>
                <w:szCs w:val="20"/>
              </w:rPr>
            </w:pPr>
            <w:r w:rsidRPr="002434C0">
              <w:rPr>
                <w:rFonts w:eastAsia="Times New Roman" w:cs="Arial"/>
                <w:sz w:val="20"/>
                <w:szCs w:val="20"/>
              </w:rPr>
              <w:t xml:space="preserve">$6,621 </w:t>
            </w:r>
          </w:p>
        </w:tc>
        <w:tc>
          <w:tcPr>
            <w:tcW w:w="394" w:type="pct"/>
            <w:gridSpan w:val="2"/>
            <w:tcBorders>
              <w:top w:val="nil"/>
              <w:left w:val="nil"/>
              <w:bottom w:val="single" w:sz="4" w:space="0" w:color="auto"/>
              <w:right w:val="single" w:sz="4" w:space="0" w:color="auto"/>
            </w:tcBorders>
            <w:shd w:val="clear" w:color="auto" w:fill="auto"/>
            <w:vAlign w:val="center"/>
            <w:hideMark/>
          </w:tcPr>
          <w:p w:rsidR="00A055B4" w:rsidRPr="002434C0" w:rsidP="003A39CF" w14:paraId="27F93F30" w14:textId="77777777">
            <w:pPr>
              <w:spacing w:after="0" w:line="240" w:lineRule="auto"/>
              <w:jc w:val="right"/>
              <w:rPr>
                <w:rFonts w:eastAsia="Times New Roman" w:cs="Arial"/>
                <w:sz w:val="20"/>
                <w:szCs w:val="20"/>
              </w:rPr>
            </w:pPr>
            <w:r w:rsidRPr="002434C0">
              <w:rPr>
                <w:rFonts w:eastAsia="Times New Roman" w:cs="Arial"/>
                <w:sz w:val="20"/>
                <w:szCs w:val="20"/>
              </w:rPr>
              <w:t xml:space="preserve">$2,143 </w:t>
            </w:r>
          </w:p>
        </w:tc>
        <w:tc>
          <w:tcPr>
            <w:tcW w:w="579" w:type="pct"/>
            <w:gridSpan w:val="2"/>
            <w:tcBorders>
              <w:top w:val="nil"/>
              <w:left w:val="nil"/>
              <w:bottom w:val="single" w:sz="4" w:space="0" w:color="auto"/>
              <w:right w:val="single" w:sz="4" w:space="0" w:color="auto"/>
            </w:tcBorders>
            <w:shd w:val="clear" w:color="auto" w:fill="auto"/>
            <w:vAlign w:val="bottom"/>
          </w:tcPr>
          <w:p w:rsidR="00A055B4" w:rsidRPr="002434C0" w:rsidP="003A39CF" w14:paraId="1FF9D507" w14:textId="77777777">
            <w:pPr>
              <w:spacing w:after="0" w:line="240" w:lineRule="auto"/>
              <w:jc w:val="right"/>
              <w:rPr>
                <w:rFonts w:eastAsia="Times New Roman" w:cs="Arial"/>
                <w:sz w:val="20"/>
                <w:szCs w:val="20"/>
              </w:rPr>
            </w:pPr>
            <w:r w:rsidRPr="002434C0">
              <w:rPr>
                <w:rFonts w:eastAsia="Times New Roman" w:cs="Arial"/>
                <w:sz w:val="20"/>
                <w:szCs w:val="20"/>
              </w:rPr>
              <w:t xml:space="preserve">$5,590 </w:t>
            </w:r>
          </w:p>
        </w:tc>
        <w:tc>
          <w:tcPr>
            <w:tcW w:w="554" w:type="pct"/>
            <w:tcBorders>
              <w:top w:val="nil"/>
              <w:left w:val="nil"/>
              <w:bottom w:val="single" w:sz="4" w:space="0" w:color="auto"/>
              <w:right w:val="single" w:sz="4" w:space="0" w:color="auto"/>
            </w:tcBorders>
            <w:shd w:val="clear" w:color="auto" w:fill="auto"/>
            <w:vAlign w:val="center"/>
            <w:hideMark/>
          </w:tcPr>
          <w:p w:rsidR="00A055B4" w:rsidRPr="002434C0" w:rsidP="003A39CF" w14:paraId="4E6E370C" w14:textId="77777777">
            <w:pPr>
              <w:spacing w:after="0" w:line="240" w:lineRule="auto"/>
              <w:jc w:val="right"/>
              <w:rPr>
                <w:rFonts w:eastAsia="Times New Roman" w:cs="Arial"/>
                <w:sz w:val="20"/>
                <w:szCs w:val="20"/>
              </w:rPr>
            </w:pPr>
            <w:r w:rsidRPr="002434C0">
              <w:rPr>
                <w:rFonts w:eastAsia="Times New Roman" w:cs="Arial"/>
                <w:sz w:val="20"/>
                <w:szCs w:val="20"/>
              </w:rPr>
              <w:t xml:space="preserve">$14,373 </w:t>
            </w:r>
          </w:p>
        </w:tc>
      </w:tr>
      <w:tr w14:paraId="24E2E463" w14:textId="77777777" w:rsidTr="005A27CE">
        <w:tblPrEx>
          <w:tblW w:w="5000" w:type="pct"/>
          <w:tblLayout w:type="fixed"/>
          <w:tblLook w:val="04A0"/>
        </w:tblPrEx>
        <w:trPr>
          <w:trHeight w:val="290"/>
        </w:trPr>
        <w:tc>
          <w:tcPr>
            <w:tcW w:w="5000" w:type="pct"/>
            <w:gridSpan w:val="13"/>
            <w:shd w:val="clear" w:color="auto" w:fill="BFBFBF"/>
            <w:vAlign w:val="center"/>
          </w:tcPr>
          <w:p w:rsidR="00A055B4" w:rsidRPr="002434C0" w:rsidP="003A39CF" w14:paraId="1945C6A8" w14:textId="77777777">
            <w:pPr>
              <w:spacing w:after="0" w:line="240" w:lineRule="auto"/>
              <w:jc w:val="center"/>
              <w:rPr>
                <w:rFonts w:eastAsia="Times New Roman" w:cs="Arial"/>
                <w:sz w:val="20"/>
                <w:szCs w:val="20"/>
              </w:rPr>
            </w:pPr>
            <w:r w:rsidRPr="002434C0">
              <w:rPr>
                <w:rFonts w:eastAsia="Times New Roman" w:cs="Arial"/>
                <w:sz w:val="20"/>
                <w:szCs w:val="20"/>
              </w:rPr>
              <w:t>NET CHANGE</w:t>
            </w:r>
          </w:p>
        </w:tc>
      </w:tr>
      <w:tr w14:paraId="6A30A4C1"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2F607D23" w14:textId="77777777">
            <w:pPr>
              <w:spacing w:after="0" w:line="240" w:lineRule="auto"/>
              <w:rPr>
                <w:rFonts w:eastAsia="Times New Roman" w:cs="Arial"/>
                <w:sz w:val="20"/>
                <w:szCs w:val="20"/>
              </w:rPr>
            </w:pPr>
            <w:r w:rsidRPr="002434C0">
              <w:rPr>
                <w:rFonts w:eastAsia="Times New Roman" w:cs="Arial"/>
                <w:sz w:val="20"/>
                <w:szCs w:val="20"/>
              </w:rPr>
              <w:t>PMN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55B4" w:rsidRPr="002434C0" w:rsidP="003A39CF" w14:paraId="23AD7305" w14:textId="77777777">
            <w:pPr>
              <w:spacing w:after="0" w:line="240" w:lineRule="auto"/>
              <w:jc w:val="right"/>
              <w:rPr>
                <w:rFonts w:eastAsia="Times New Roman" w:cs="Arial"/>
                <w:sz w:val="20"/>
                <w:szCs w:val="20"/>
              </w:rPr>
            </w:pPr>
            <w:r w:rsidRPr="002434C0">
              <w:rPr>
                <w:rFonts w:eastAsia="Times New Roman" w:cs="Arial"/>
                <w:sz w:val="20"/>
                <w:szCs w:val="20"/>
              </w:rPr>
              <w:t>-1.12</w:t>
            </w:r>
          </w:p>
        </w:tc>
        <w:tc>
          <w:tcPr>
            <w:tcW w:w="349"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50224F59"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4F4ADC94" w14:textId="67985B86">
            <w:pPr>
              <w:spacing w:after="0" w:line="240" w:lineRule="auto"/>
              <w:jc w:val="right"/>
              <w:rPr>
                <w:rFonts w:eastAsia="Times New Roman" w:cs="Arial"/>
                <w:sz w:val="20"/>
                <w:szCs w:val="20"/>
              </w:rPr>
            </w:pPr>
            <w:r w:rsidRPr="002434C0">
              <w:rPr>
                <w:rFonts w:eastAsia="Times New Roman" w:cs="Arial"/>
                <w:sz w:val="20"/>
                <w:szCs w:val="20"/>
              </w:rPr>
              <w:t>-11.20</w:t>
            </w:r>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05FCEC0A" w14:textId="5AFC0D1A">
            <w:pPr>
              <w:spacing w:after="0" w:line="240" w:lineRule="auto"/>
              <w:jc w:val="right"/>
              <w:rPr>
                <w:rFonts w:eastAsia="Times New Roman" w:cs="Arial"/>
                <w:sz w:val="20"/>
                <w:szCs w:val="20"/>
              </w:rPr>
            </w:pPr>
            <w:r w:rsidRPr="002434C0">
              <w:rPr>
                <w:rFonts w:eastAsia="Times New Roman" w:cs="Arial"/>
                <w:sz w:val="20"/>
                <w:szCs w:val="20"/>
              </w:rPr>
              <w:t>-2.24</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52F8000B" w14:textId="128F8E17">
            <w:pPr>
              <w:spacing w:after="0" w:line="240" w:lineRule="auto"/>
              <w:jc w:val="right"/>
              <w:rPr>
                <w:rFonts w:eastAsia="Times New Roman" w:cs="Arial"/>
                <w:sz w:val="20"/>
                <w:szCs w:val="20"/>
              </w:rPr>
            </w:pPr>
            <w:r w:rsidRPr="002434C0">
              <w:rPr>
                <w:rFonts w:eastAsia="Times New Roman" w:cs="Arial"/>
                <w:sz w:val="20"/>
                <w:szCs w:val="20"/>
              </w:rPr>
              <w:t>-13.44</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0F26799F"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52147126" w14:textId="77777777">
            <w:pPr>
              <w:spacing w:after="0" w:line="240" w:lineRule="auto"/>
              <w:jc w:val="right"/>
              <w:rPr>
                <w:rFonts w:eastAsia="Times New Roman" w:cs="Arial"/>
                <w:sz w:val="20"/>
                <w:szCs w:val="20"/>
              </w:rPr>
            </w:pPr>
            <w:r w:rsidRPr="002434C0">
              <w:rPr>
                <w:rFonts w:eastAsia="Times New Roman" w:cs="Arial"/>
                <w:sz w:val="20"/>
                <w:szCs w:val="20"/>
              </w:rPr>
              <w:t>($912)</w:t>
            </w:r>
          </w:p>
        </w:tc>
        <w:tc>
          <w:tcPr>
            <w:tcW w:w="394" w:type="pct"/>
            <w:gridSpan w:val="2"/>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754594F8" w14:textId="77777777">
            <w:pPr>
              <w:spacing w:after="0" w:line="240" w:lineRule="auto"/>
              <w:jc w:val="right"/>
              <w:rPr>
                <w:rFonts w:eastAsia="Times New Roman" w:cs="Arial"/>
                <w:sz w:val="20"/>
                <w:szCs w:val="20"/>
              </w:rPr>
            </w:pPr>
            <w:r w:rsidRPr="002434C0">
              <w:rPr>
                <w:rFonts w:eastAsia="Times New Roman" w:cs="Arial"/>
                <w:sz w:val="20"/>
                <w:szCs w:val="20"/>
              </w:rPr>
              <w:t>($209)</w:t>
            </w:r>
          </w:p>
        </w:tc>
        <w:tc>
          <w:tcPr>
            <w:tcW w:w="579" w:type="pct"/>
            <w:gridSpan w:val="2"/>
            <w:tcBorders>
              <w:top w:val="single" w:sz="4" w:space="0" w:color="auto"/>
              <w:left w:val="nil"/>
              <w:bottom w:val="single" w:sz="4" w:space="0" w:color="auto"/>
              <w:right w:val="single" w:sz="4" w:space="0" w:color="auto"/>
            </w:tcBorders>
            <w:shd w:val="clear" w:color="auto" w:fill="auto"/>
            <w:vAlign w:val="bottom"/>
          </w:tcPr>
          <w:p w:rsidR="00A055B4" w:rsidRPr="002434C0" w:rsidP="003A39CF" w14:paraId="0970E9F4"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554" w:type="pct"/>
            <w:tcBorders>
              <w:top w:val="single" w:sz="4" w:space="0" w:color="auto"/>
              <w:left w:val="nil"/>
              <w:bottom w:val="single" w:sz="4" w:space="0" w:color="auto"/>
              <w:right w:val="single" w:sz="4" w:space="0" w:color="auto"/>
            </w:tcBorders>
            <w:shd w:val="clear" w:color="auto" w:fill="auto"/>
            <w:noWrap/>
            <w:vAlign w:val="bottom"/>
            <w:hideMark/>
          </w:tcPr>
          <w:p w:rsidR="00A055B4" w:rsidRPr="002434C0" w:rsidP="003A39CF" w14:paraId="4BCBF2DB" w14:textId="77777777">
            <w:pPr>
              <w:spacing w:after="0" w:line="240" w:lineRule="auto"/>
              <w:jc w:val="right"/>
              <w:rPr>
                <w:rFonts w:eastAsia="Times New Roman" w:cs="Arial"/>
                <w:sz w:val="20"/>
                <w:szCs w:val="20"/>
              </w:rPr>
            </w:pPr>
            <w:r w:rsidRPr="002434C0">
              <w:rPr>
                <w:rFonts w:eastAsia="Times New Roman" w:cs="Arial"/>
                <w:sz w:val="20"/>
                <w:szCs w:val="20"/>
              </w:rPr>
              <w:t>($1,120)</w:t>
            </w:r>
          </w:p>
        </w:tc>
      </w:tr>
      <w:tr w14:paraId="529CC585"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672D8136" w14:textId="77777777">
            <w:pPr>
              <w:spacing w:after="0" w:line="240" w:lineRule="auto"/>
              <w:rPr>
                <w:rFonts w:eastAsia="Times New Roman" w:cs="Arial"/>
                <w:sz w:val="20"/>
                <w:szCs w:val="20"/>
              </w:rPr>
            </w:pPr>
            <w:r w:rsidRPr="002434C0">
              <w:rPr>
                <w:rFonts w:eastAsia="Times New Roman" w:cs="Arial"/>
                <w:sz w:val="20"/>
                <w:szCs w:val="20"/>
              </w:rPr>
              <w:t>SNUN</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57C2F38B" w14:textId="77777777">
            <w:pPr>
              <w:spacing w:after="0" w:line="240" w:lineRule="auto"/>
              <w:jc w:val="right"/>
              <w:rPr>
                <w:rFonts w:eastAsia="Times New Roman" w:cs="Arial"/>
                <w:sz w:val="20"/>
                <w:szCs w:val="20"/>
              </w:rPr>
            </w:pPr>
            <w:r w:rsidRPr="002434C0">
              <w:rPr>
                <w:rFonts w:eastAsia="Times New Roman" w:cs="Arial"/>
                <w:sz w:val="20"/>
                <w:szCs w:val="20"/>
              </w:rPr>
              <w:t>-0.90</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6D061028"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1CA6C79E" w14:textId="284AD48F">
            <w:pPr>
              <w:spacing w:after="0" w:line="240" w:lineRule="auto"/>
              <w:jc w:val="right"/>
              <w:rPr>
                <w:rFonts w:eastAsia="Times New Roman" w:cs="Arial"/>
                <w:sz w:val="20"/>
                <w:szCs w:val="20"/>
              </w:rPr>
            </w:pPr>
            <w:r w:rsidRPr="002434C0">
              <w:rPr>
                <w:rFonts w:eastAsia="Times New Roman" w:cs="Arial"/>
                <w:sz w:val="20"/>
                <w:szCs w:val="20"/>
              </w:rPr>
              <w:t>-9.00</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4544C041" w14:textId="59C9415F">
            <w:pPr>
              <w:spacing w:after="0" w:line="240" w:lineRule="auto"/>
              <w:jc w:val="right"/>
              <w:rPr>
                <w:rFonts w:eastAsia="Times New Roman" w:cs="Arial"/>
                <w:sz w:val="20"/>
                <w:szCs w:val="20"/>
              </w:rPr>
            </w:pPr>
            <w:r w:rsidRPr="002434C0">
              <w:rPr>
                <w:rFonts w:eastAsia="Times New Roman" w:cs="Arial"/>
                <w:sz w:val="20"/>
                <w:szCs w:val="20"/>
              </w:rPr>
              <w:t>-1.80</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79905EDE" w14:textId="18DDC809">
            <w:pPr>
              <w:spacing w:after="0" w:line="240" w:lineRule="auto"/>
              <w:jc w:val="right"/>
              <w:rPr>
                <w:rFonts w:eastAsia="Times New Roman" w:cs="Arial"/>
                <w:sz w:val="20"/>
                <w:szCs w:val="20"/>
              </w:rPr>
            </w:pPr>
            <w:r w:rsidRPr="002434C0">
              <w:rPr>
                <w:rFonts w:eastAsia="Times New Roman" w:cs="Arial"/>
                <w:sz w:val="20"/>
                <w:szCs w:val="20"/>
              </w:rPr>
              <w:t>-10.80</w:t>
            </w:r>
          </w:p>
        </w:tc>
        <w:tc>
          <w:tcPr>
            <w:tcW w:w="486"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32946203"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0180CE35" w14:textId="77777777">
            <w:pPr>
              <w:spacing w:after="0" w:line="240" w:lineRule="auto"/>
              <w:jc w:val="right"/>
              <w:rPr>
                <w:rFonts w:eastAsia="Times New Roman" w:cs="Arial"/>
                <w:sz w:val="20"/>
                <w:szCs w:val="20"/>
              </w:rPr>
            </w:pPr>
            <w:r w:rsidRPr="002434C0">
              <w:rPr>
                <w:rFonts w:eastAsia="Times New Roman" w:cs="Arial"/>
                <w:sz w:val="20"/>
                <w:szCs w:val="20"/>
              </w:rPr>
              <w:t>($733)</w:t>
            </w:r>
          </w:p>
        </w:tc>
        <w:tc>
          <w:tcPr>
            <w:tcW w:w="394" w:type="pct"/>
            <w:gridSpan w:val="2"/>
            <w:tcBorders>
              <w:top w:val="nil"/>
              <w:left w:val="nil"/>
              <w:bottom w:val="single" w:sz="4" w:space="0" w:color="auto"/>
              <w:right w:val="single" w:sz="4" w:space="0" w:color="auto"/>
            </w:tcBorders>
            <w:shd w:val="clear" w:color="auto" w:fill="auto"/>
            <w:noWrap/>
            <w:vAlign w:val="bottom"/>
            <w:hideMark/>
          </w:tcPr>
          <w:p w:rsidR="00A055B4" w:rsidRPr="002434C0" w:rsidP="003A39CF" w14:paraId="457374CF" w14:textId="77777777">
            <w:pPr>
              <w:spacing w:after="0" w:line="240" w:lineRule="auto"/>
              <w:jc w:val="right"/>
              <w:rPr>
                <w:rFonts w:eastAsia="Times New Roman" w:cs="Arial"/>
                <w:sz w:val="20"/>
                <w:szCs w:val="20"/>
              </w:rPr>
            </w:pPr>
            <w:r w:rsidRPr="002434C0">
              <w:rPr>
                <w:rFonts w:eastAsia="Times New Roman" w:cs="Arial"/>
                <w:sz w:val="20"/>
                <w:szCs w:val="20"/>
              </w:rPr>
              <w:t>($168)</w:t>
            </w:r>
          </w:p>
        </w:tc>
        <w:tc>
          <w:tcPr>
            <w:tcW w:w="579" w:type="pct"/>
            <w:gridSpan w:val="2"/>
            <w:tcBorders>
              <w:top w:val="nil"/>
              <w:left w:val="nil"/>
              <w:bottom w:val="single" w:sz="4" w:space="0" w:color="auto"/>
              <w:right w:val="single" w:sz="4" w:space="0" w:color="auto"/>
            </w:tcBorders>
            <w:shd w:val="clear" w:color="auto" w:fill="auto"/>
            <w:vAlign w:val="bottom"/>
          </w:tcPr>
          <w:p w:rsidR="00A055B4" w:rsidRPr="002434C0" w:rsidP="003A39CF" w14:paraId="795513D2"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554"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4FE656CD" w14:textId="77777777">
            <w:pPr>
              <w:spacing w:after="0" w:line="240" w:lineRule="auto"/>
              <w:jc w:val="right"/>
              <w:rPr>
                <w:rFonts w:eastAsia="Times New Roman" w:cs="Arial"/>
                <w:sz w:val="20"/>
                <w:szCs w:val="20"/>
              </w:rPr>
            </w:pPr>
            <w:r w:rsidRPr="002434C0">
              <w:rPr>
                <w:rFonts w:eastAsia="Times New Roman" w:cs="Arial"/>
                <w:sz w:val="20"/>
                <w:szCs w:val="20"/>
              </w:rPr>
              <w:t>($900)</w:t>
            </w:r>
          </w:p>
        </w:tc>
      </w:tr>
      <w:tr w14:paraId="6ACE678E"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6352715B" w14:textId="77777777">
            <w:pPr>
              <w:spacing w:after="0" w:line="240" w:lineRule="auto"/>
              <w:rPr>
                <w:rFonts w:eastAsia="Times New Roman" w:cs="Arial"/>
                <w:sz w:val="20"/>
                <w:szCs w:val="20"/>
              </w:rPr>
            </w:pPr>
            <w:r w:rsidRPr="002434C0">
              <w:rPr>
                <w:rFonts w:eastAsia="Times New Roman" w:cs="Arial"/>
                <w:sz w:val="20"/>
                <w:szCs w:val="20"/>
              </w:rPr>
              <w:t>LVE/LoREX</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6CD39B6E" w14:textId="77777777">
            <w:pPr>
              <w:spacing w:after="0" w:line="240" w:lineRule="auto"/>
              <w:jc w:val="right"/>
              <w:rPr>
                <w:rFonts w:eastAsia="Times New Roman" w:cs="Arial"/>
                <w:sz w:val="20"/>
                <w:szCs w:val="20"/>
              </w:rPr>
            </w:pPr>
            <w:r w:rsidRPr="002434C0">
              <w:rPr>
                <w:rFonts w:eastAsia="Times New Roman" w:cs="Arial"/>
                <w:sz w:val="20"/>
                <w:szCs w:val="20"/>
              </w:rPr>
              <w:t>-0.73</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0CFEAFF8"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21B16AE1" w14:textId="0F4FB1AD">
            <w:pPr>
              <w:spacing w:after="0" w:line="240" w:lineRule="auto"/>
              <w:jc w:val="right"/>
              <w:rPr>
                <w:rFonts w:eastAsia="Times New Roman" w:cs="Arial"/>
                <w:sz w:val="20"/>
                <w:szCs w:val="20"/>
              </w:rPr>
            </w:pPr>
            <w:r w:rsidRPr="002434C0">
              <w:rPr>
                <w:rFonts w:eastAsia="Times New Roman" w:cs="Arial"/>
                <w:sz w:val="20"/>
                <w:szCs w:val="20"/>
              </w:rPr>
              <w:t>-7.30</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2E5DEC8B" w14:textId="7F5FFA5B">
            <w:pPr>
              <w:spacing w:after="0" w:line="240" w:lineRule="auto"/>
              <w:jc w:val="right"/>
              <w:rPr>
                <w:rFonts w:eastAsia="Times New Roman" w:cs="Arial"/>
                <w:sz w:val="20"/>
                <w:szCs w:val="20"/>
              </w:rPr>
            </w:pPr>
            <w:r w:rsidRPr="002434C0">
              <w:rPr>
                <w:rFonts w:eastAsia="Times New Roman" w:cs="Arial"/>
                <w:sz w:val="20"/>
                <w:szCs w:val="20"/>
              </w:rPr>
              <w:t>-1.46</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644849D0" w14:textId="20148453">
            <w:pPr>
              <w:spacing w:after="0" w:line="240" w:lineRule="auto"/>
              <w:jc w:val="right"/>
              <w:rPr>
                <w:rFonts w:eastAsia="Times New Roman" w:cs="Arial"/>
                <w:sz w:val="20"/>
                <w:szCs w:val="20"/>
              </w:rPr>
            </w:pPr>
            <w:r w:rsidRPr="002434C0">
              <w:rPr>
                <w:rFonts w:eastAsia="Times New Roman" w:cs="Arial"/>
                <w:sz w:val="20"/>
                <w:szCs w:val="20"/>
              </w:rPr>
              <w:t>-8.76</w:t>
            </w:r>
          </w:p>
        </w:tc>
        <w:tc>
          <w:tcPr>
            <w:tcW w:w="486"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4444AF0B"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19FC03DA" w14:textId="77777777">
            <w:pPr>
              <w:spacing w:after="0" w:line="240" w:lineRule="auto"/>
              <w:jc w:val="right"/>
              <w:rPr>
                <w:rFonts w:eastAsia="Times New Roman" w:cs="Arial"/>
                <w:sz w:val="20"/>
                <w:szCs w:val="20"/>
              </w:rPr>
            </w:pPr>
            <w:r w:rsidRPr="002434C0">
              <w:rPr>
                <w:rFonts w:eastAsia="Times New Roman" w:cs="Arial"/>
                <w:sz w:val="20"/>
                <w:szCs w:val="20"/>
              </w:rPr>
              <w:t>($594)</w:t>
            </w:r>
          </w:p>
        </w:tc>
        <w:tc>
          <w:tcPr>
            <w:tcW w:w="394" w:type="pct"/>
            <w:gridSpan w:val="2"/>
            <w:tcBorders>
              <w:top w:val="nil"/>
              <w:left w:val="nil"/>
              <w:bottom w:val="single" w:sz="4" w:space="0" w:color="auto"/>
              <w:right w:val="single" w:sz="4" w:space="0" w:color="auto"/>
            </w:tcBorders>
            <w:shd w:val="clear" w:color="auto" w:fill="auto"/>
            <w:noWrap/>
            <w:vAlign w:val="bottom"/>
            <w:hideMark/>
          </w:tcPr>
          <w:p w:rsidR="00A055B4" w:rsidRPr="002434C0" w:rsidP="003A39CF" w14:paraId="742C8747" w14:textId="77777777">
            <w:pPr>
              <w:spacing w:after="0" w:line="240" w:lineRule="auto"/>
              <w:jc w:val="right"/>
              <w:rPr>
                <w:rFonts w:eastAsia="Times New Roman" w:cs="Arial"/>
                <w:sz w:val="20"/>
                <w:szCs w:val="20"/>
              </w:rPr>
            </w:pPr>
            <w:r w:rsidRPr="002434C0">
              <w:rPr>
                <w:rFonts w:eastAsia="Times New Roman" w:cs="Arial"/>
                <w:sz w:val="20"/>
                <w:szCs w:val="20"/>
              </w:rPr>
              <w:t>($136)</w:t>
            </w:r>
          </w:p>
        </w:tc>
        <w:tc>
          <w:tcPr>
            <w:tcW w:w="579" w:type="pct"/>
            <w:gridSpan w:val="2"/>
            <w:tcBorders>
              <w:top w:val="nil"/>
              <w:left w:val="nil"/>
              <w:bottom w:val="single" w:sz="4" w:space="0" w:color="auto"/>
              <w:right w:val="single" w:sz="4" w:space="0" w:color="auto"/>
            </w:tcBorders>
            <w:shd w:val="clear" w:color="auto" w:fill="auto"/>
            <w:vAlign w:val="bottom"/>
          </w:tcPr>
          <w:p w:rsidR="00A055B4" w:rsidRPr="002434C0" w:rsidP="003A39CF" w14:paraId="6B4E9AC3"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554"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4194214D" w14:textId="77777777">
            <w:pPr>
              <w:spacing w:after="0" w:line="240" w:lineRule="auto"/>
              <w:jc w:val="right"/>
              <w:rPr>
                <w:rFonts w:eastAsia="Times New Roman" w:cs="Arial"/>
                <w:sz w:val="20"/>
                <w:szCs w:val="20"/>
              </w:rPr>
            </w:pPr>
            <w:r w:rsidRPr="002434C0">
              <w:rPr>
                <w:rFonts w:eastAsia="Times New Roman" w:cs="Arial"/>
                <w:sz w:val="20"/>
                <w:szCs w:val="20"/>
              </w:rPr>
              <w:t>($730)</w:t>
            </w:r>
          </w:p>
        </w:tc>
      </w:tr>
      <w:tr w14:paraId="759990FE" w14:textId="77777777" w:rsidTr="005A27CE">
        <w:tblPrEx>
          <w:tblW w:w="5000" w:type="pct"/>
          <w:tblLayout w:type="fixed"/>
          <w:tblLook w:val="04A0"/>
        </w:tblPrEx>
        <w:trPr>
          <w:trHeight w:val="290"/>
        </w:trPr>
        <w:tc>
          <w:tcPr>
            <w:tcW w:w="478" w:type="pct"/>
            <w:shd w:val="clear" w:color="auto" w:fill="auto"/>
            <w:vAlign w:val="center"/>
            <w:hideMark/>
          </w:tcPr>
          <w:p w:rsidR="00A055B4" w:rsidRPr="002434C0" w:rsidP="003A39CF" w14:paraId="0B679199" w14:textId="77777777">
            <w:pPr>
              <w:spacing w:after="0" w:line="240" w:lineRule="auto"/>
              <w:rPr>
                <w:rFonts w:eastAsia="Times New Roman" w:cs="Arial"/>
                <w:sz w:val="20"/>
                <w:szCs w:val="20"/>
              </w:rPr>
            </w:pPr>
            <w:r w:rsidRPr="002434C0">
              <w:rPr>
                <w:rFonts w:eastAsia="Times New Roman" w:cs="Arial"/>
                <w:sz w:val="20"/>
                <w:szCs w:val="20"/>
              </w:rPr>
              <w:t>TME</w:t>
            </w:r>
          </w:p>
        </w:tc>
        <w:tc>
          <w:tcPr>
            <w:tcW w:w="562" w:type="pct"/>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1F495A59"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49" w:type="pct"/>
            <w:tcBorders>
              <w:top w:val="nil"/>
              <w:left w:val="nil"/>
              <w:bottom w:val="single" w:sz="4" w:space="0" w:color="auto"/>
              <w:right w:val="single" w:sz="4" w:space="0" w:color="auto"/>
            </w:tcBorders>
            <w:shd w:val="clear" w:color="auto" w:fill="auto"/>
            <w:vAlign w:val="center"/>
            <w:hideMark/>
          </w:tcPr>
          <w:p w:rsidR="00A055B4" w:rsidRPr="002434C0" w:rsidP="003A39CF" w14:paraId="5C1BD1E9" w14:textId="77777777">
            <w:pPr>
              <w:spacing w:after="0" w:line="240" w:lineRule="auto"/>
              <w:jc w:val="right"/>
              <w:rPr>
                <w:rFonts w:eastAsia="Times New Roman" w:cs="Arial"/>
                <w:sz w:val="20"/>
                <w:szCs w:val="20"/>
              </w:rPr>
            </w:pPr>
            <w:r w:rsidRPr="002434C0">
              <w:rPr>
                <w:rFonts w:eastAsia="Times New Roman" w:cs="Arial"/>
                <w:sz w:val="20"/>
                <w:szCs w:val="20"/>
              </w:rPr>
              <w:t>0</w:t>
            </w:r>
          </w:p>
        </w:tc>
        <w:tc>
          <w:tcPr>
            <w:tcW w:w="339" w:type="pct"/>
            <w:tcBorders>
              <w:top w:val="nil"/>
              <w:left w:val="nil"/>
              <w:bottom w:val="single" w:sz="4" w:space="0" w:color="auto"/>
              <w:right w:val="single" w:sz="4" w:space="0" w:color="auto"/>
            </w:tcBorders>
            <w:shd w:val="clear" w:color="auto" w:fill="auto"/>
            <w:vAlign w:val="center"/>
            <w:hideMark/>
          </w:tcPr>
          <w:p w:rsidR="00A055B4" w:rsidRPr="002434C0" w:rsidP="003A39CF" w14:paraId="3250BFB9" w14:textId="4E252304">
            <w:pPr>
              <w:spacing w:after="0" w:line="240" w:lineRule="auto"/>
              <w:jc w:val="right"/>
              <w:rPr>
                <w:rFonts w:eastAsia="Times New Roman" w:cs="Arial"/>
                <w:sz w:val="20"/>
                <w:szCs w:val="20"/>
              </w:rPr>
            </w:pPr>
            <w:r w:rsidRPr="002434C0">
              <w:rPr>
                <w:rFonts w:eastAsia="Times New Roman" w:cs="Arial"/>
                <w:sz w:val="20"/>
                <w:szCs w:val="20"/>
              </w:rPr>
              <w:t>0.00</w:t>
            </w:r>
          </w:p>
        </w:tc>
        <w:tc>
          <w:tcPr>
            <w:tcW w:w="494" w:type="pct"/>
            <w:tcBorders>
              <w:top w:val="nil"/>
              <w:left w:val="nil"/>
              <w:bottom w:val="single" w:sz="4" w:space="0" w:color="auto"/>
              <w:right w:val="single" w:sz="4" w:space="0" w:color="auto"/>
            </w:tcBorders>
            <w:shd w:val="clear" w:color="auto" w:fill="auto"/>
            <w:vAlign w:val="center"/>
            <w:hideMark/>
          </w:tcPr>
          <w:p w:rsidR="00A055B4" w:rsidRPr="002434C0" w:rsidP="003A39CF" w14:paraId="5ED7DB25" w14:textId="01BD3982">
            <w:pPr>
              <w:spacing w:after="0" w:line="240" w:lineRule="auto"/>
              <w:jc w:val="right"/>
              <w:rPr>
                <w:rFonts w:eastAsia="Times New Roman" w:cs="Arial"/>
                <w:sz w:val="20"/>
                <w:szCs w:val="20"/>
              </w:rPr>
            </w:pPr>
            <w:r w:rsidRPr="002434C0">
              <w:rPr>
                <w:rFonts w:eastAsia="Times New Roman" w:cs="Arial"/>
                <w:sz w:val="20"/>
                <w:szCs w:val="20"/>
              </w:rPr>
              <w:t>0.00</w:t>
            </w:r>
          </w:p>
        </w:tc>
        <w:tc>
          <w:tcPr>
            <w:tcW w:w="383" w:type="pct"/>
            <w:tcBorders>
              <w:top w:val="nil"/>
              <w:left w:val="nil"/>
              <w:bottom w:val="single" w:sz="4" w:space="0" w:color="auto"/>
              <w:right w:val="single" w:sz="4" w:space="0" w:color="auto"/>
            </w:tcBorders>
            <w:shd w:val="clear" w:color="auto" w:fill="auto"/>
            <w:vAlign w:val="center"/>
            <w:hideMark/>
          </w:tcPr>
          <w:p w:rsidR="00A055B4" w:rsidRPr="002434C0" w:rsidP="003A39CF" w14:paraId="19FF0A76" w14:textId="5353D6AA">
            <w:pPr>
              <w:spacing w:after="0" w:line="240" w:lineRule="auto"/>
              <w:jc w:val="right"/>
              <w:rPr>
                <w:rFonts w:eastAsia="Times New Roman" w:cs="Arial"/>
                <w:sz w:val="20"/>
                <w:szCs w:val="20"/>
              </w:rPr>
            </w:pPr>
            <w:r w:rsidRPr="002434C0">
              <w:rPr>
                <w:rFonts w:eastAsia="Times New Roman" w:cs="Arial"/>
                <w:sz w:val="20"/>
                <w:szCs w:val="20"/>
              </w:rPr>
              <w:t>0.00</w:t>
            </w:r>
          </w:p>
        </w:tc>
        <w:tc>
          <w:tcPr>
            <w:tcW w:w="486"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6841198C"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82"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247DF10B"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394" w:type="pct"/>
            <w:gridSpan w:val="2"/>
            <w:tcBorders>
              <w:top w:val="nil"/>
              <w:left w:val="nil"/>
              <w:bottom w:val="single" w:sz="4" w:space="0" w:color="auto"/>
              <w:right w:val="single" w:sz="4" w:space="0" w:color="auto"/>
            </w:tcBorders>
            <w:shd w:val="clear" w:color="auto" w:fill="auto"/>
            <w:noWrap/>
            <w:vAlign w:val="bottom"/>
            <w:hideMark/>
          </w:tcPr>
          <w:p w:rsidR="00A055B4" w:rsidRPr="002434C0" w:rsidP="003A39CF" w14:paraId="0E94FD07"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579" w:type="pct"/>
            <w:gridSpan w:val="2"/>
            <w:tcBorders>
              <w:top w:val="nil"/>
              <w:left w:val="nil"/>
              <w:bottom w:val="single" w:sz="4" w:space="0" w:color="auto"/>
              <w:right w:val="single" w:sz="4" w:space="0" w:color="auto"/>
            </w:tcBorders>
            <w:shd w:val="clear" w:color="auto" w:fill="auto"/>
            <w:vAlign w:val="bottom"/>
          </w:tcPr>
          <w:p w:rsidR="00A055B4" w:rsidRPr="002434C0" w:rsidP="003A39CF" w14:paraId="04BBBAB5"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554" w:type="pct"/>
            <w:tcBorders>
              <w:top w:val="nil"/>
              <w:left w:val="nil"/>
              <w:bottom w:val="single" w:sz="4" w:space="0" w:color="auto"/>
              <w:right w:val="single" w:sz="4" w:space="0" w:color="auto"/>
            </w:tcBorders>
            <w:shd w:val="clear" w:color="auto" w:fill="auto"/>
            <w:noWrap/>
            <w:vAlign w:val="bottom"/>
            <w:hideMark/>
          </w:tcPr>
          <w:p w:rsidR="00A055B4" w:rsidRPr="002434C0" w:rsidP="003A39CF" w14:paraId="30F657F8" w14:textId="77777777">
            <w:pPr>
              <w:spacing w:after="0" w:line="240" w:lineRule="auto"/>
              <w:jc w:val="right"/>
              <w:rPr>
                <w:rFonts w:eastAsia="Times New Roman" w:cs="Arial"/>
                <w:sz w:val="20"/>
                <w:szCs w:val="20"/>
              </w:rPr>
            </w:pPr>
            <w:r w:rsidRPr="002434C0">
              <w:rPr>
                <w:rFonts w:eastAsia="Times New Roman" w:cs="Arial"/>
                <w:sz w:val="20"/>
                <w:szCs w:val="20"/>
              </w:rPr>
              <w:t xml:space="preserve">$0 </w:t>
            </w:r>
          </w:p>
        </w:tc>
      </w:tr>
      <w:tr w14:paraId="35F0D9DD" w14:textId="77777777" w:rsidTr="005A27CE">
        <w:tblPrEx>
          <w:tblW w:w="5000" w:type="pct"/>
          <w:tblLayout w:type="fixed"/>
          <w:tblLook w:val="04A0"/>
        </w:tblPrEx>
        <w:trPr>
          <w:trHeight w:val="269"/>
        </w:trPr>
        <w:tc>
          <w:tcPr>
            <w:tcW w:w="5000" w:type="pct"/>
            <w:gridSpan w:val="13"/>
            <w:vAlign w:val="center"/>
          </w:tcPr>
          <w:p w:rsidR="00A055B4" w:rsidRPr="002434C0" w:rsidP="003A39CF" w14:paraId="1F5C608E" w14:textId="77777777">
            <w:pPr>
              <w:spacing w:after="0" w:line="240" w:lineRule="auto"/>
              <w:rPr>
                <w:rFonts w:eastAsia="Times New Roman" w:cs="Arial"/>
                <w:sz w:val="20"/>
                <w:szCs w:val="20"/>
              </w:rPr>
            </w:pPr>
            <w:r w:rsidRPr="002434C0">
              <w:rPr>
                <w:rFonts w:eastAsia="Times New Roman" w:cs="Arial"/>
                <w:sz w:val="20"/>
                <w:szCs w:val="20"/>
              </w:rPr>
              <w:t xml:space="preserve">Note: Values may not sum due to rounding. </w:t>
            </w:r>
          </w:p>
        </w:tc>
      </w:tr>
    </w:tbl>
    <w:p w:rsidR="00A055B4" w:rsidRPr="002434C0" w:rsidP="00A055B4" w14:paraId="73E2C88D" w14:textId="77777777">
      <w:pPr>
        <w:spacing w:after="0" w:line="240" w:lineRule="auto"/>
        <w:rPr>
          <w:rFonts w:eastAsia="Times New Roman" w:cs="Arial"/>
          <w:sz w:val="22"/>
        </w:rPr>
      </w:pPr>
    </w:p>
    <w:p w:rsidR="00A055B4" w:rsidRPr="002434C0" w:rsidP="00A055B4" w14:paraId="5E34BE2F" w14:textId="77777777">
      <w:pPr>
        <w:spacing w:after="0" w:line="240" w:lineRule="auto"/>
        <w:rPr>
          <w:rFonts w:eastAsia="Times New Roman" w:cs="Arial"/>
          <w:sz w:val="22"/>
        </w:rPr>
      </w:pPr>
    </w:p>
    <w:p w:rsidR="00A055B4" w:rsidRPr="002434C0" w:rsidP="00A055B4" w14:paraId="2870FFBF" w14:textId="77777777">
      <w:pPr>
        <w:spacing w:after="0" w:line="240" w:lineRule="auto"/>
        <w:rPr>
          <w:rFonts w:eastAsia="Times New Roman" w:cs="Arial"/>
          <w:szCs w:val="20"/>
        </w:rPr>
      </w:pPr>
    </w:p>
    <w:p w:rsidR="00A055B4" w:rsidRPr="00863765" w:rsidP="00A055B4" w14:paraId="121000BB" w14:textId="77777777">
      <w:pPr>
        <w:spacing w:after="180" w:line="240" w:lineRule="auto"/>
        <w:rPr>
          <w:rFonts w:ascii="Times New Roman" w:eastAsia="Times New Roman" w:hAnsi="Times New Roman" w:cs="Times New Roman"/>
          <w:sz w:val="22"/>
          <w:szCs w:val="20"/>
          <w:highlight w:val="yellow"/>
        </w:rPr>
        <w:sectPr w:rsidSect="00C32C1E">
          <w:pgSz w:w="15840" w:h="12240" w:orient="landscape"/>
          <w:pgMar w:top="1440" w:right="1440" w:bottom="1440" w:left="1440" w:header="720" w:footer="720" w:gutter="0"/>
          <w:pgNumType w:chapStyle="1"/>
          <w:cols w:space="720"/>
          <w:docGrid w:linePitch="360"/>
        </w:sectPr>
      </w:pPr>
    </w:p>
    <w:p w:rsidR="00A055B4" w:rsidP="00A055B4" w14:paraId="0AF8BE35" w14:textId="77777777">
      <w:pPr>
        <w:keepNext/>
        <w:tabs>
          <w:tab w:val="num" w:pos="2160"/>
        </w:tabs>
        <w:spacing w:after="0" w:line="240" w:lineRule="auto"/>
        <w:outlineLvl w:val="2"/>
        <w:rPr>
          <w:rFonts w:eastAsia="Times New Roman" w:cs="Arial"/>
          <w:b/>
          <w:bCs/>
          <w:szCs w:val="20"/>
        </w:rPr>
      </w:pPr>
      <w:bookmarkStart w:id="54" w:name="_Ref120032153"/>
      <w:r w:rsidRPr="002434C0">
        <w:rPr>
          <w:rFonts w:eastAsia="Times New Roman" w:cs="Arial"/>
          <w:b/>
          <w:bCs/>
          <w:szCs w:val="20"/>
        </w:rPr>
        <w:t>Ineligibility of PFAS for LVE or LoREX Submissions</w:t>
      </w:r>
      <w:bookmarkEnd w:id="54"/>
      <w:r w:rsidRPr="002434C0">
        <w:rPr>
          <w:rFonts w:eastAsia="Times New Roman" w:cs="Arial"/>
          <w:b/>
          <w:bCs/>
          <w:szCs w:val="20"/>
        </w:rPr>
        <w:t xml:space="preserve"> </w:t>
      </w:r>
    </w:p>
    <w:p w:rsidR="00A055B4" w:rsidRPr="004720A6" w:rsidP="004720A6" w14:paraId="03A5BA8B" w14:textId="77777777"/>
    <w:p w:rsidR="00A055B4" w:rsidRPr="002434C0" w:rsidP="00A055B4" w14:paraId="07F21E52" w14:textId="525F1891">
      <w:pPr>
        <w:spacing w:after="180" w:line="240" w:lineRule="auto"/>
        <w:rPr>
          <w:rFonts w:eastAsia="Times New Roman" w:cs="Arial"/>
          <w:szCs w:val="20"/>
        </w:rPr>
      </w:pPr>
      <w:r w:rsidRPr="002434C0">
        <w:rPr>
          <w:rFonts w:eastAsia="Times New Roman" w:cs="Arial"/>
          <w:szCs w:val="20"/>
        </w:rPr>
        <w:t xml:space="preserve">Due to the higher burden and non-labor costs associated with PMN submissions as compared to LVE/LoREX submissions, the amendment to make PFAS ineligible for LVEs and LoREXs will result in increased burdens and costs for these firms under the proposed rule. </w:t>
      </w:r>
      <w:r w:rsidR="00EF5BD5">
        <w:rPr>
          <w:rFonts w:eastAsia="Times New Roman" w:cs="Arial"/>
          <w:szCs w:val="20"/>
        </w:rPr>
        <w:t>Table 23</w:t>
      </w:r>
      <w:r w:rsidRPr="002434C0">
        <w:rPr>
          <w:rFonts w:eastAsia="Times New Roman" w:cs="Arial"/>
          <w:szCs w:val="20"/>
        </w:rPr>
        <w:t xml:space="preserve"> presents the per-notice change in burden and cost resulting from differences in burden and costs between the LVE/LoREX and PMN notices. Baseline LVE/LoREX costs reflect the estimates presented </w:t>
      </w:r>
      <w:r w:rsidRPr="003D4EE0">
        <w:rPr>
          <w:rFonts w:eastAsia="Times New Roman" w:cs="Arial"/>
          <w:szCs w:val="20"/>
        </w:rPr>
        <w:t xml:space="preserve">in </w:t>
      </w:r>
      <w:r w:rsidRPr="003D4EE0" w:rsidR="008969CC">
        <w:rPr>
          <w:rFonts w:eastAsia="Times New Roman" w:cs="Arial"/>
          <w:szCs w:val="20"/>
        </w:rPr>
        <w:fldChar w:fldCharType="begin"/>
      </w:r>
      <w:r w:rsidRPr="003D4EE0" w:rsidR="008969CC">
        <w:rPr>
          <w:rFonts w:eastAsia="Times New Roman" w:cs="Arial"/>
          <w:szCs w:val="20"/>
        </w:rPr>
        <w:instrText xml:space="preserve"> REF _Ref117074203 \h  \* MERGEFORMAT </w:instrText>
      </w:r>
      <w:r w:rsidRPr="003D4EE0" w:rsidR="008969CC">
        <w:rPr>
          <w:rFonts w:eastAsia="Times New Roman" w:cs="Arial"/>
          <w:szCs w:val="20"/>
        </w:rPr>
        <w:fldChar w:fldCharType="separate"/>
      </w:r>
      <w:r w:rsidRPr="005A27CE" w:rsidR="008969CC">
        <w:rPr>
          <w:rFonts w:eastAsia="Times New Roman" w:cs="Arial"/>
          <w:szCs w:val="20"/>
        </w:rPr>
        <w:t xml:space="preserve">Table </w:t>
      </w:r>
      <w:r w:rsidRPr="005A27CE" w:rsidR="003D4EE0">
        <w:rPr>
          <w:rFonts w:eastAsia="Times New Roman" w:cs="Arial"/>
          <w:szCs w:val="20"/>
        </w:rPr>
        <w:t>2</w:t>
      </w:r>
      <w:r w:rsidRPr="003D4EE0" w:rsidR="008969CC">
        <w:rPr>
          <w:rFonts w:eastAsia="Times New Roman" w:cs="Arial"/>
          <w:szCs w:val="20"/>
        </w:rPr>
        <w:fldChar w:fldCharType="end"/>
      </w:r>
      <w:r w:rsidR="00EF5BD5">
        <w:rPr>
          <w:rFonts w:eastAsia="Times New Roman" w:cs="Arial"/>
          <w:szCs w:val="20"/>
        </w:rPr>
        <w:t>0</w:t>
      </w:r>
      <w:r w:rsidRPr="002434C0">
        <w:rPr>
          <w:rFonts w:eastAsia="Times New Roman" w:cs="Arial"/>
          <w:szCs w:val="20"/>
        </w:rPr>
        <w:t>, and post-rule PMN costs reflect the estimates presented in</w:t>
      </w:r>
      <w:r w:rsidR="00EF5BD5">
        <w:rPr>
          <w:rFonts w:eastAsia="Times New Roman" w:cs="Arial"/>
          <w:szCs w:val="20"/>
        </w:rPr>
        <w:t xml:space="preserve"> Table 23</w:t>
      </w:r>
      <w:r w:rsidRPr="002434C0">
        <w:rPr>
          <w:rFonts w:eastAsia="Times New Roman" w:cs="Arial"/>
          <w:szCs w:val="20"/>
        </w:rPr>
        <w:t xml:space="preserve">. </w:t>
      </w:r>
    </w:p>
    <w:p w:rsidR="00A055B4" w:rsidRPr="002434C0" w:rsidP="00A055B4" w14:paraId="6E81EFA0" w14:textId="29365087">
      <w:pPr>
        <w:keepNext/>
        <w:tabs>
          <w:tab w:val="left" w:pos="1080"/>
        </w:tabs>
        <w:spacing w:after="120" w:line="240" w:lineRule="auto"/>
        <w:ind w:left="1080" w:right="-360" w:hanging="1080"/>
        <w:rPr>
          <w:rFonts w:eastAsia="Times New Roman" w:cs="Arial"/>
          <w:szCs w:val="20"/>
        </w:rPr>
      </w:pPr>
      <w:bookmarkStart w:id="55" w:name="_Ref120032425"/>
      <w:r w:rsidRPr="002434C0">
        <w:rPr>
          <w:rFonts w:eastAsia="Times New Roman" w:cs="Arial"/>
          <w:b/>
          <w:bCs/>
          <w:szCs w:val="20"/>
        </w:rPr>
        <w:t xml:space="preserve">Table </w:t>
      </w:r>
      <w:bookmarkEnd w:id="55"/>
      <w:r w:rsidR="00EF5BD5">
        <w:rPr>
          <w:rFonts w:eastAsia="Times New Roman" w:cs="Arial"/>
          <w:b/>
          <w:bCs/>
          <w:szCs w:val="20"/>
        </w:rPr>
        <w:t>24</w:t>
      </w:r>
      <w:r w:rsidRPr="002434C0">
        <w:rPr>
          <w:rFonts w:eastAsia="Times New Roman" w:cs="Arial"/>
          <w:szCs w:val="20"/>
        </w:rPr>
        <w:t>: Summary of Change in Burden and Cost for Reporting per Baseline PFAS LVE/LoREX Submission</w:t>
      </w:r>
    </w:p>
    <w:tbl>
      <w:tblPr>
        <w:tblW w:w="10255" w:type="dxa"/>
        <w:tblLayout w:type="fixed"/>
        <w:tblLook w:val="04A0"/>
      </w:tblPr>
      <w:tblGrid>
        <w:gridCol w:w="1435"/>
        <w:gridCol w:w="854"/>
        <w:gridCol w:w="1036"/>
        <w:gridCol w:w="1077"/>
        <w:gridCol w:w="993"/>
        <w:gridCol w:w="814"/>
        <w:gridCol w:w="1037"/>
        <w:gridCol w:w="1073"/>
        <w:gridCol w:w="1063"/>
        <w:gridCol w:w="873"/>
      </w:tblGrid>
      <w:tr w14:paraId="39406F24" w14:textId="77777777" w:rsidTr="005A27CE">
        <w:tblPrEx>
          <w:tblW w:w="10255" w:type="dxa"/>
          <w:tblLayout w:type="fixed"/>
          <w:tblLook w:val="04A0"/>
        </w:tblPrEx>
        <w:trPr>
          <w:trHeight w:val="290"/>
        </w:trPr>
        <w:tc>
          <w:tcPr>
            <w:tcW w:w="1435" w:type="dxa"/>
            <w:vMerge w:val="restart"/>
            <w:tcBorders>
              <w:top w:val="single" w:sz="4" w:space="0" w:color="auto"/>
              <w:left w:val="single" w:sz="4" w:space="0" w:color="auto"/>
              <w:bottom w:val="single" w:sz="4" w:space="0" w:color="auto"/>
              <w:right w:val="single" w:sz="4" w:space="0" w:color="auto"/>
            </w:tcBorders>
            <w:shd w:val="clear" w:color="000000" w:fill="48A9C5"/>
            <w:vAlign w:val="center"/>
            <w:hideMark/>
          </w:tcPr>
          <w:p w:rsidR="00A055B4" w:rsidRPr="002434C0" w:rsidP="003A39CF" w14:paraId="09D2C40A" w14:textId="77777777">
            <w:pPr>
              <w:spacing w:after="0" w:line="240" w:lineRule="auto"/>
              <w:jc w:val="center"/>
              <w:rPr>
                <w:rFonts w:eastAsia="Times New Roman" w:cs="Arial"/>
                <w:sz w:val="20"/>
                <w:szCs w:val="20"/>
              </w:rPr>
            </w:pPr>
            <w:r w:rsidRPr="002434C0">
              <w:rPr>
                <w:rFonts w:eastAsia="Times New Roman" w:cs="Arial"/>
                <w:sz w:val="20"/>
                <w:szCs w:val="20"/>
              </w:rPr>
              <w:t>Notice</w:t>
            </w:r>
          </w:p>
        </w:tc>
        <w:tc>
          <w:tcPr>
            <w:tcW w:w="3960" w:type="dxa"/>
            <w:gridSpan w:val="4"/>
            <w:tcBorders>
              <w:top w:val="single" w:sz="4" w:space="0" w:color="auto"/>
              <w:left w:val="nil"/>
              <w:bottom w:val="single" w:sz="4" w:space="0" w:color="auto"/>
              <w:right w:val="single" w:sz="4" w:space="0" w:color="auto"/>
            </w:tcBorders>
            <w:shd w:val="clear" w:color="000000" w:fill="48A9C5"/>
            <w:vAlign w:val="center"/>
            <w:hideMark/>
          </w:tcPr>
          <w:p w:rsidR="00A055B4" w:rsidRPr="002434C0" w:rsidP="003A39CF" w14:paraId="75B7714C" w14:textId="77777777">
            <w:pPr>
              <w:spacing w:after="0" w:line="240" w:lineRule="auto"/>
              <w:jc w:val="center"/>
              <w:rPr>
                <w:rFonts w:eastAsia="Times New Roman" w:cs="Arial"/>
                <w:sz w:val="20"/>
                <w:szCs w:val="20"/>
              </w:rPr>
            </w:pPr>
            <w:r w:rsidRPr="002434C0">
              <w:rPr>
                <w:rFonts w:eastAsia="Times New Roman" w:cs="Arial"/>
                <w:sz w:val="20"/>
                <w:szCs w:val="20"/>
              </w:rPr>
              <w:t>Burden per Notice (hours)</w:t>
            </w:r>
          </w:p>
        </w:tc>
        <w:tc>
          <w:tcPr>
            <w:tcW w:w="4860" w:type="dxa"/>
            <w:gridSpan w:val="5"/>
            <w:tcBorders>
              <w:top w:val="single" w:sz="4" w:space="0" w:color="auto"/>
              <w:left w:val="nil"/>
              <w:bottom w:val="single" w:sz="4" w:space="0" w:color="auto"/>
              <w:right w:val="single" w:sz="4" w:space="0" w:color="auto"/>
            </w:tcBorders>
            <w:shd w:val="clear" w:color="000000" w:fill="48A9C5"/>
            <w:vAlign w:val="center"/>
            <w:hideMark/>
          </w:tcPr>
          <w:p w:rsidR="00A055B4" w:rsidRPr="002434C0" w:rsidP="003A39CF" w14:paraId="19825D42" w14:textId="77777777">
            <w:pPr>
              <w:spacing w:after="0" w:line="240" w:lineRule="auto"/>
              <w:jc w:val="center"/>
              <w:rPr>
                <w:rFonts w:eastAsia="Times New Roman" w:cs="Arial"/>
                <w:sz w:val="20"/>
                <w:szCs w:val="20"/>
              </w:rPr>
            </w:pPr>
            <w:r w:rsidRPr="002434C0">
              <w:rPr>
                <w:rFonts w:eastAsia="Times New Roman" w:cs="Arial"/>
                <w:sz w:val="20"/>
                <w:szCs w:val="20"/>
              </w:rPr>
              <w:t>Cost per Notice (2021$)</w:t>
            </w:r>
          </w:p>
        </w:tc>
      </w:tr>
      <w:tr w14:paraId="0D76B694" w14:textId="77777777" w:rsidTr="005A27CE">
        <w:tblPrEx>
          <w:tblW w:w="10255" w:type="dxa"/>
          <w:tblLayout w:type="fixed"/>
          <w:tblLook w:val="04A0"/>
        </w:tblPrEx>
        <w:trPr>
          <w:trHeight w:val="520"/>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A055B4" w:rsidRPr="002434C0" w:rsidP="003A39CF" w14:paraId="77F47A76" w14:textId="77777777">
            <w:pPr>
              <w:spacing w:after="0" w:line="240" w:lineRule="auto"/>
              <w:rPr>
                <w:rFonts w:eastAsia="Times New Roman" w:cs="Arial"/>
                <w:sz w:val="20"/>
                <w:szCs w:val="20"/>
              </w:rPr>
            </w:pPr>
          </w:p>
        </w:tc>
        <w:tc>
          <w:tcPr>
            <w:tcW w:w="854" w:type="dxa"/>
            <w:tcBorders>
              <w:top w:val="nil"/>
              <w:left w:val="nil"/>
              <w:bottom w:val="single" w:sz="4" w:space="0" w:color="auto"/>
              <w:right w:val="single" w:sz="4" w:space="0" w:color="auto"/>
            </w:tcBorders>
            <w:shd w:val="clear" w:color="000000" w:fill="48A9C5"/>
            <w:vAlign w:val="center"/>
            <w:hideMark/>
          </w:tcPr>
          <w:p w:rsidR="00A055B4" w:rsidRPr="005A27CE" w:rsidP="003A39CF" w14:paraId="790AFE85" w14:textId="77777777">
            <w:pPr>
              <w:spacing w:after="0" w:line="240" w:lineRule="auto"/>
              <w:jc w:val="center"/>
              <w:rPr>
                <w:rFonts w:eastAsia="Times New Roman" w:cs="Arial"/>
                <w:sz w:val="18"/>
                <w:szCs w:val="18"/>
              </w:rPr>
            </w:pPr>
            <w:r w:rsidRPr="005A27CE">
              <w:rPr>
                <w:rFonts w:eastAsia="Times New Roman" w:cs="Arial"/>
                <w:sz w:val="18"/>
                <w:szCs w:val="18"/>
              </w:rPr>
              <w:t>Clerical Burden (hours)</w:t>
            </w:r>
          </w:p>
        </w:tc>
        <w:tc>
          <w:tcPr>
            <w:tcW w:w="1036" w:type="dxa"/>
            <w:tcBorders>
              <w:top w:val="nil"/>
              <w:left w:val="nil"/>
              <w:bottom w:val="single" w:sz="4" w:space="0" w:color="auto"/>
              <w:right w:val="single" w:sz="4" w:space="0" w:color="auto"/>
            </w:tcBorders>
            <w:shd w:val="clear" w:color="000000" w:fill="48A9C5"/>
            <w:vAlign w:val="center"/>
            <w:hideMark/>
          </w:tcPr>
          <w:p w:rsidR="00A055B4" w:rsidRPr="005A27CE" w:rsidP="003A39CF" w14:paraId="35D325AF" w14:textId="77777777">
            <w:pPr>
              <w:spacing w:after="0" w:line="240" w:lineRule="auto"/>
              <w:jc w:val="center"/>
              <w:rPr>
                <w:rFonts w:eastAsia="Times New Roman" w:cs="Arial"/>
                <w:sz w:val="18"/>
                <w:szCs w:val="18"/>
              </w:rPr>
            </w:pPr>
            <w:r w:rsidRPr="005A27CE">
              <w:rPr>
                <w:rFonts w:eastAsia="Times New Roman" w:cs="Arial"/>
                <w:sz w:val="18"/>
                <w:szCs w:val="18"/>
              </w:rPr>
              <w:t>Technical Burden (hours)</w:t>
            </w:r>
          </w:p>
        </w:tc>
        <w:tc>
          <w:tcPr>
            <w:tcW w:w="1077" w:type="dxa"/>
            <w:tcBorders>
              <w:top w:val="nil"/>
              <w:left w:val="nil"/>
              <w:bottom w:val="single" w:sz="4" w:space="0" w:color="auto"/>
              <w:right w:val="single" w:sz="4" w:space="0" w:color="auto"/>
            </w:tcBorders>
            <w:shd w:val="clear" w:color="000000" w:fill="48A9C5"/>
            <w:vAlign w:val="center"/>
            <w:hideMark/>
          </w:tcPr>
          <w:p w:rsidR="00A055B4" w:rsidRPr="005A27CE" w:rsidP="003A39CF" w14:paraId="00597DAD" w14:textId="77777777">
            <w:pPr>
              <w:spacing w:after="0" w:line="240" w:lineRule="auto"/>
              <w:jc w:val="center"/>
              <w:rPr>
                <w:rFonts w:eastAsia="Times New Roman" w:cs="Arial"/>
                <w:sz w:val="18"/>
                <w:szCs w:val="18"/>
              </w:rPr>
            </w:pPr>
            <w:r w:rsidRPr="005A27CE">
              <w:rPr>
                <w:rFonts w:eastAsia="Times New Roman" w:cs="Arial"/>
                <w:sz w:val="16"/>
                <w:szCs w:val="16"/>
              </w:rPr>
              <w:t>Managerial Burden (hours)</w:t>
            </w:r>
          </w:p>
        </w:tc>
        <w:tc>
          <w:tcPr>
            <w:tcW w:w="993" w:type="dxa"/>
            <w:tcBorders>
              <w:top w:val="nil"/>
              <w:left w:val="nil"/>
              <w:bottom w:val="single" w:sz="4" w:space="0" w:color="auto"/>
              <w:right w:val="single" w:sz="4" w:space="0" w:color="auto"/>
            </w:tcBorders>
            <w:shd w:val="clear" w:color="000000" w:fill="48A9C5"/>
            <w:vAlign w:val="center"/>
            <w:hideMark/>
          </w:tcPr>
          <w:p w:rsidR="00A055B4" w:rsidRPr="005A27CE" w:rsidP="003A39CF" w14:paraId="0436F3D3" w14:textId="77777777">
            <w:pPr>
              <w:spacing w:after="0" w:line="240" w:lineRule="auto"/>
              <w:jc w:val="center"/>
              <w:rPr>
                <w:rFonts w:eastAsia="Times New Roman" w:cs="Arial"/>
                <w:sz w:val="18"/>
                <w:szCs w:val="18"/>
              </w:rPr>
            </w:pPr>
            <w:r w:rsidRPr="005A27CE">
              <w:rPr>
                <w:rFonts w:eastAsia="Times New Roman" w:cs="Arial"/>
                <w:sz w:val="18"/>
                <w:szCs w:val="18"/>
              </w:rPr>
              <w:t>Total Burden (hours)</w:t>
            </w:r>
          </w:p>
        </w:tc>
        <w:tc>
          <w:tcPr>
            <w:tcW w:w="814" w:type="dxa"/>
            <w:tcBorders>
              <w:top w:val="nil"/>
              <w:left w:val="nil"/>
              <w:bottom w:val="single" w:sz="4" w:space="0" w:color="auto"/>
              <w:right w:val="single" w:sz="4" w:space="0" w:color="auto"/>
            </w:tcBorders>
            <w:shd w:val="clear" w:color="000000" w:fill="48A9C5"/>
            <w:vAlign w:val="center"/>
            <w:hideMark/>
          </w:tcPr>
          <w:p w:rsidR="00A055B4" w:rsidRPr="005A27CE" w:rsidP="003A39CF" w14:paraId="4B348BF1" w14:textId="77777777">
            <w:pPr>
              <w:spacing w:after="0" w:line="240" w:lineRule="auto"/>
              <w:jc w:val="center"/>
              <w:rPr>
                <w:rFonts w:eastAsia="Times New Roman" w:cs="Arial"/>
                <w:sz w:val="16"/>
                <w:szCs w:val="16"/>
              </w:rPr>
            </w:pPr>
            <w:r w:rsidRPr="005A27CE">
              <w:rPr>
                <w:rFonts w:eastAsia="Times New Roman" w:cs="Arial"/>
                <w:sz w:val="16"/>
                <w:szCs w:val="16"/>
              </w:rPr>
              <w:t>Clerical</w:t>
            </w:r>
            <w:r w:rsidRPr="005A27CE">
              <w:rPr>
                <w:rFonts w:eastAsia="Times New Roman" w:cs="Arial"/>
                <w:sz w:val="16"/>
                <w:szCs w:val="16"/>
              </w:rPr>
              <w:br/>
              <w:t>($37.18/hr)</w:t>
            </w:r>
          </w:p>
        </w:tc>
        <w:tc>
          <w:tcPr>
            <w:tcW w:w="1037" w:type="dxa"/>
            <w:tcBorders>
              <w:top w:val="nil"/>
              <w:left w:val="nil"/>
              <w:bottom w:val="single" w:sz="4" w:space="0" w:color="auto"/>
              <w:right w:val="single" w:sz="4" w:space="0" w:color="auto"/>
            </w:tcBorders>
            <w:shd w:val="clear" w:color="000000" w:fill="48A9C5"/>
            <w:vAlign w:val="center"/>
            <w:hideMark/>
          </w:tcPr>
          <w:p w:rsidR="00A055B4" w:rsidRPr="005A27CE" w:rsidP="003A39CF" w14:paraId="39E97DCB" w14:textId="77777777">
            <w:pPr>
              <w:spacing w:after="0" w:line="240" w:lineRule="auto"/>
              <w:jc w:val="center"/>
              <w:rPr>
                <w:rFonts w:eastAsia="Times New Roman" w:cs="Arial"/>
                <w:sz w:val="16"/>
                <w:szCs w:val="16"/>
              </w:rPr>
            </w:pPr>
            <w:r w:rsidRPr="005A27CE">
              <w:rPr>
                <w:rFonts w:eastAsia="Times New Roman" w:cs="Arial"/>
                <w:sz w:val="16"/>
                <w:szCs w:val="16"/>
              </w:rPr>
              <w:t>Technical ($81.40/hr)</w:t>
            </w:r>
          </w:p>
        </w:tc>
        <w:tc>
          <w:tcPr>
            <w:tcW w:w="1073" w:type="dxa"/>
            <w:tcBorders>
              <w:top w:val="nil"/>
              <w:left w:val="nil"/>
              <w:bottom w:val="single" w:sz="4" w:space="0" w:color="auto"/>
              <w:right w:val="single" w:sz="4" w:space="0" w:color="auto"/>
            </w:tcBorders>
            <w:shd w:val="clear" w:color="000000" w:fill="48A9C5"/>
            <w:vAlign w:val="center"/>
            <w:hideMark/>
          </w:tcPr>
          <w:p w:rsidR="00A055B4" w:rsidRPr="005A27CE" w:rsidP="003A39CF" w14:paraId="4D8BB541" w14:textId="77777777">
            <w:pPr>
              <w:spacing w:after="0" w:line="240" w:lineRule="auto"/>
              <w:jc w:val="center"/>
              <w:rPr>
                <w:rFonts w:eastAsia="Times New Roman" w:cs="Arial"/>
                <w:sz w:val="16"/>
                <w:szCs w:val="16"/>
              </w:rPr>
            </w:pPr>
            <w:r w:rsidRPr="005A27CE">
              <w:rPr>
                <w:rFonts w:eastAsia="Times New Roman" w:cs="Arial"/>
                <w:sz w:val="16"/>
                <w:szCs w:val="16"/>
              </w:rPr>
              <w:t>Managerial ($93.18/hr)</w:t>
            </w:r>
          </w:p>
        </w:tc>
        <w:tc>
          <w:tcPr>
            <w:tcW w:w="1063" w:type="dxa"/>
            <w:tcBorders>
              <w:top w:val="nil"/>
              <w:left w:val="nil"/>
              <w:bottom w:val="single" w:sz="4" w:space="0" w:color="auto"/>
              <w:right w:val="single" w:sz="4" w:space="0" w:color="auto"/>
            </w:tcBorders>
            <w:shd w:val="clear" w:color="000000" w:fill="48A9C5"/>
            <w:vAlign w:val="center"/>
            <w:hideMark/>
          </w:tcPr>
          <w:p w:rsidR="00A055B4" w:rsidRPr="005A27CE" w:rsidP="003A39CF" w14:paraId="03B556A8" w14:textId="77777777">
            <w:pPr>
              <w:spacing w:after="0" w:line="240" w:lineRule="auto"/>
              <w:jc w:val="center"/>
              <w:rPr>
                <w:rFonts w:eastAsia="Times New Roman" w:cs="Arial"/>
                <w:sz w:val="18"/>
                <w:szCs w:val="18"/>
              </w:rPr>
            </w:pPr>
            <w:r w:rsidRPr="005A27CE">
              <w:rPr>
                <w:rFonts w:eastAsia="Times New Roman" w:cs="Arial"/>
                <w:sz w:val="18"/>
                <w:szCs w:val="18"/>
              </w:rPr>
              <w:t>Fees and Delay Costs</w:t>
            </w:r>
          </w:p>
        </w:tc>
        <w:tc>
          <w:tcPr>
            <w:tcW w:w="873" w:type="dxa"/>
            <w:tcBorders>
              <w:top w:val="nil"/>
              <w:left w:val="nil"/>
              <w:bottom w:val="single" w:sz="4" w:space="0" w:color="auto"/>
              <w:right w:val="single" w:sz="4" w:space="0" w:color="auto"/>
            </w:tcBorders>
            <w:shd w:val="clear" w:color="000000" w:fill="48A9C5"/>
            <w:vAlign w:val="center"/>
            <w:hideMark/>
          </w:tcPr>
          <w:p w:rsidR="00A055B4" w:rsidRPr="005A27CE" w:rsidP="003A39CF" w14:paraId="5ECA2EEA" w14:textId="77777777">
            <w:pPr>
              <w:spacing w:after="0" w:line="240" w:lineRule="auto"/>
              <w:jc w:val="center"/>
              <w:rPr>
                <w:rFonts w:eastAsia="Times New Roman" w:cs="Arial"/>
                <w:sz w:val="18"/>
                <w:szCs w:val="18"/>
              </w:rPr>
            </w:pPr>
            <w:r w:rsidRPr="005A27CE">
              <w:rPr>
                <w:rFonts w:eastAsia="Times New Roman" w:cs="Arial"/>
                <w:sz w:val="18"/>
                <w:szCs w:val="18"/>
              </w:rPr>
              <w:t>Total Cost  (2021$)</w:t>
            </w:r>
          </w:p>
        </w:tc>
      </w:tr>
      <w:tr w14:paraId="55633BB9" w14:textId="77777777" w:rsidTr="005A27CE">
        <w:tblPrEx>
          <w:tblW w:w="10255" w:type="dxa"/>
          <w:tblLayout w:type="fixed"/>
          <w:tblLook w:val="04A0"/>
        </w:tblPrEx>
        <w:trPr>
          <w:trHeight w:val="29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1E471100" w14:textId="77777777">
            <w:pPr>
              <w:spacing w:after="0" w:line="240" w:lineRule="auto"/>
              <w:rPr>
                <w:rFonts w:eastAsia="Times New Roman" w:cs="Arial"/>
                <w:sz w:val="20"/>
                <w:szCs w:val="20"/>
              </w:rPr>
            </w:pPr>
            <w:r w:rsidRPr="002434C0">
              <w:rPr>
                <w:rFonts w:eastAsia="Times New Roman" w:cs="Arial"/>
                <w:sz w:val="20"/>
                <w:szCs w:val="20"/>
              </w:rPr>
              <w:t>Baseline: LVE/LoREX1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5B4" w:rsidRPr="005A27CE" w:rsidP="003A39CF" w14:paraId="2764008C" w14:textId="77777777">
            <w:pPr>
              <w:spacing w:after="0" w:line="240" w:lineRule="auto"/>
              <w:jc w:val="right"/>
              <w:rPr>
                <w:rFonts w:eastAsia="Times New Roman" w:cs="Arial"/>
                <w:sz w:val="18"/>
                <w:szCs w:val="18"/>
              </w:rPr>
            </w:pPr>
            <w:r w:rsidRPr="005A27CE">
              <w:rPr>
                <w:rFonts w:eastAsia="Times New Roman" w:cs="Arial"/>
                <w:sz w:val="18"/>
                <w:szCs w:val="18"/>
              </w:rPr>
              <w:t>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A055B4" w:rsidRPr="005A27CE" w:rsidP="003A39CF" w14:paraId="4275C2A4" w14:textId="77777777">
            <w:pPr>
              <w:spacing w:after="0" w:line="240" w:lineRule="auto"/>
              <w:jc w:val="right"/>
              <w:rPr>
                <w:rFonts w:eastAsia="Times New Roman" w:cs="Arial"/>
                <w:sz w:val="18"/>
                <w:szCs w:val="18"/>
              </w:rPr>
            </w:pPr>
            <w:r w:rsidRPr="005A27CE">
              <w:rPr>
                <w:rFonts w:eastAsia="Times New Roman" w:cs="Arial"/>
                <w:sz w:val="18"/>
                <w:szCs w:val="18"/>
              </w:rPr>
              <w:t>85.328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055B4" w:rsidRPr="005A27CE" w:rsidP="003A39CF" w14:paraId="3AB8E7DE" w14:textId="77777777">
            <w:pPr>
              <w:spacing w:after="0" w:line="240" w:lineRule="auto"/>
              <w:jc w:val="right"/>
              <w:rPr>
                <w:rFonts w:eastAsia="Times New Roman" w:cs="Arial"/>
                <w:sz w:val="18"/>
                <w:szCs w:val="18"/>
              </w:rPr>
            </w:pPr>
            <w:r w:rsidRPr="005A27CE">
              <w:rPr>
                <w:rFonts w:eastAsia="Times New Roman" w:cs="Arial"/>
                <w:sz w:val="18"/>
                <w:szCs w:val="18"/>
              </w:rPr>
              <w:t>24.000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055B4" w:rsidRPr="005A27CE" w:rsidP="003A39CF" w14:paraId="62A404C4" w14:textId="77777777">
            <w:pPr>
              <w:spacing w:after="0" w:line="240" w:lineRule="auto"/>
              <w:jc w:val="right"/>
              <w:rPr>
                <w:rFonts w:eastAsia="Times New Roman" w:cs="Arial"/>
                <w:sz w:val="18"/>
                <w:szCs w:val="18"/>
              </w:rPr>
            </w:pPr>
            <w:r w:rsidRPr="005A27CE">
              <w:rPr>
                <w:rFonts w:eastAsia="Times New Roman" w:cs="Arial"/>
                <w:sz w:val="18"/>
                <w:szCs w:val="18"/>
              </w:rPr>
              <w:t>109.328</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A055B4" w:rsidRPr="005A27CE" w:rsidP="003A39CF" w14:paraId="4957BA3B" w14:textId="77777777">
            <w:pPr>
              <w:spacing w:after="0" w:line="240" w:lineRule="auto"/>
              <w:jc w:val="right"/>
              <w:rPr>
                <w:rFonts w:eastAsia="Times New Roman" w:cs="Arial"/>
                <w:sz w:val="18"/>
                <w:szCs w:val="18"/>
              </w:rPr>
            </w:pPr>
            <w:r w:rsidRPr="005A27CE">
              <w:rPr>
                <w:rFonts w:eastAsia="Times New Roman" w:cs="Arial"/>
                <w:sz w:val="18"/>
                <w:szCs w:val="18"/>
              </w:rPr>
              <w:t xml:space="preserve">$0 </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A055B4" w:rsidRPr="005A27CE" w:rsidP="003A39CF" w14:paraId="459039E8" w14:textId="77777777">
            <w:pPr>
              <w:spacing w:after="0" w:line="240" w:lineRule="auto"/>
              <w:jc w:val="right"/>
              <w:rPr>
                <w:rFonts w:eastAsia="Times New Roman" w:cs="Arial"/>
                <w:sz w:val="18"/>
                <w:szCs w:val="18"/>
              </w:rPr>
            </w:pPr>
            <w:r w:rsidRPr="005A27CE">
              <w:rPr>
                <w:rFonts w:eastAsia="Times New Roman" w:cs="Arial"/>
                <w:sz w:val="18"/>
                <w:szCs w:val="18"/>
              </w:rPr>
              <w:t xml:space="preserve">$6,945 </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A055B4" w:rsidRPr="005A27CE" w:rsidP="003A39CF" w14:paraId="490A5644" w14:textId="77777777">
            <w:pPr>
              <w:spacing w:after="0" w:line="240" w:lineRule="auto"/>
              <w:jc w:val="right"/>
              <w:rPr>
                <w:rFonts w:eastAsia="Times New Roman" w:cs="Arial"/>
                <w:sz w:val="18"/>
                <w:szCs w:val="18"/>
              </w:rPr>
            </w:pPr>
            <w:r w:rsidRPr="005A27CE">
              <w:rPr>
                <w:rFonts w:eastAsia="Times New Roman" w:cs="Arial"/>
                <w:sz w:val="18"/>
                <w:szCs w:val="18"/>
              </w:rPr>
              <w:t xml:space="preserve">$2,236 </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A055B4" w:rsidRPr="005A27CE" w:rsidP="003A39CF" w14:paraId="2C9C5881" w14:textId="77777777">
            <w:pPr>
              <w:spacing w:after="0" w:line="240" w:lineRule="auto"/>
              <w:jc w:val="right"/>
              <w:rPr>
                <w:rFonts w:eastAsia="Times New Roman" w:cs="Arial"/>
                <w:sz w:val="18"/>
                <w:szCs w:val="18"/>
              </w:rPr>
            </w:pPr>
            <w:r w:rsidRPr="005A27CE">
              <w:rPr>
                <w:rFonts w:eastAsia="Times New Roman" w:cs="Arial"/>
                <w:sz w:val="18"/>
                <w:szCs w:val="18"/>
              </w:rPr>
              <w:t xml:space="preserve">$21,989 </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A055B4" w:rsidRPr="005A27CE" w:rsidP="003A39CF" w14:paraId="04FC12A0" w14:textId="77777777">
            <w:pPr>
              <w:spacing w:after="0" w:line="240" w:lineRule="auto"/>
              <w:jc w:val="right"/>
              <w:rPr>
                <w:rFonts w:eastAsia="Times New Roman" w:cs="Arial"/>
                <w:sz w:val="18"/>
                <w:szCs w:val="18"/>
              </w:rPr>
            </w:pPr>
            <w:r w:rsidRPr="005A27CE">
              <w:rPr>
                <w:rFonts w:eastAsia="Times New Roman" w:cs="Arial"/>
                <w:sz w:val="18"/>
                <w:szCs w:val="18"/>
              </w:rPr>
              <w:t xml:space="preserve">$31,171 </w:t>
            </w:r>
          </w:p>
        </w:tc>
      </w:tr>
      <w:tr w14:paraId="7926E30E" w14:textId="77777777" w:rsidTr="005A27CE">
        <w:tblPrEx>
          <w:tblW w:w="10255" w:type="dxa"/>
          <w:tblLayout w:type="fixed"/>
          <w:tblLook w:val="04A0"/>
        </w:tblPrEx>
        <w:trPr>
          <w:trHeight w:val="29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5AF6F981" w14:textId="77777777">
            <w:pPr>
              <w:spacing w:after="0" w:line="240" w:lineRule="auto"/>
              <w:rPr>
                <w:rFonts w:eastAsia="Times New Roman" w:cs="Arial"/>
                <w:sz w:val="20"/>
                <w:szCs w:val="20"/>
              </w:rPr>
            </w:pPr>
            <w:r w:rsidRPr="002434C0">
              <w:rPr>
                <w:rFonts w:eastAsia="Times New Roman" w:cs="Arial"/>
                <w:sz w:val="20"/>
                <w:szCs w:val="20"/>
              </w:rPr>
              <w:t>Post-Rule: PMN2</w:t>
            </w:r>
          </w:p>
        </w:tc>
        <w:tc>
          <w:tcPr>
            <w:tcW w:w="854" w:type="dxa"/>
            <w:tcBorders>
              <w:top w:val="nil"/>
              <w:left w:val="single" w:sz="4" w:space="0" w:color="auto"/>
              <w:bottom w:val="single" w:sz="4" w:space="0" w:color="auto"/>
              <w:right w:val="single" w:sz="4" w:space="0" w:color="auto"/>
            </w:tcBorders>
            <w:shd w:val="clear" w:color="auto" w:fill="auto"/>
            <w:vAlign w:val="center"/>
            <w:hideMark/>
          </w:tcPr>
          <w:p w:rsidR="00A055B4" w:rsidRPr="005A27CE" w:rsidP="003A39CF" w14:paraId="4FCEA6C6" w14:textId="77777777">
            <w:pPr>
              <w:spacing w:after="0" w:line="240" w:lineRule="auto"/>
              <w:jc w:val="right"/>
              <w:rPr>
                <w:rFonts w:eastAsia="Times New Roman" w:cs="Arial"/>
                <w:sz w:val="18"/>
                <w:szCs w:val="18"/>
              </w:rPr>
            </w:pPr>
            <w:r w:rsidRPr="005A27CE">
              <w:rPr>
                <w:rFonts w:eastAsia="Times New Roman" w:cs="Arial"/>
                <w:sz w:val="18"/>
                <w:szCs w:val="18"/>
              </w:rPr>
              <w:t>0</w:t>
            </w:r>
          </w:p>
        </w:tc>
        <w:tc>
          <w:tcPr>
            <w:tcW w:w="1036" w:type="dxa"/>
            <w:tcBorders>
              <w:top w:val="nil"/>
              <w:left w:val="nil"/>
              <w:bottom w:val="single" w:sz="4" w:space="0" w:color="auto"/>
              <w:right w:val="single" w:sz="4" w:space="0" w:color="auto"/>
            </w:tcBorders>
            <w:shd w:val="clear" w:color="auto" w:fill="auto"/>
            <w:vAlign w:val="center"/>
            <w:hideMark/>
          </w:tcPr>
          <w:p w:rsidR="00A055B4" w:rsidRPr="005A27CE" w:rsidP="003A39CF" w14:paraId="45E0DCC3" w14:textId="77777777">
            <w:pPr>
              <w:spacing w:after="0" w:line="240" w:lineRule="auto"/>
              <w:jc w:val="right"/>
              <w:rPr>
                <w:rFonts w:eastAsia="Times New Roman" w:cs="Arial"/>
                <w:sz w:val="18"/>
                <w:szCs w:val="18"/>
              </w:rPr>
            </w:pPr>
            <w:r w:rsidRPr="005A27CE">
              <w:rPr>
                <w:rFonts w:eastAsia="Times New Roman" w:cs="Arial"/>
                <w:sz w:val="18"/>
                <w:szCs w:val="18"/>
              </w:rPr>
              <w:t>200.798</w:t>
            </w:r>
          </w:p>
        </w:tc>
        <w:tc>
          <w:tcPr>
            <w:tcW w:w="1077" w:type="dxa"/>
            <w:tcBorders>
              <w:top w:val="nil"/>
              <w:left w:val="nil"/>
              <w:bottom w:val="single" w:sz="4" w:space="0" w:color="auto"/>
              <w:right w:val="single" w:sz="4" w:space="0" w:color="auto"/>
            </w:tcBorders>
            <w:shd w:val="clear" w:color="auto" w:fill="auto"/>
            <w:vAlign w:val="center"/>
            <w:hideMark/>
          </w:tcPr>
          <w:p w:rsidR="00A055B4" w:rsidRPr="005A27CE" w:rsidP="003A39CF" w14:paraId="5E81EEB8" w14:textId="77777777">
            <w:pPr>
              <w:spacing w:after="0" w:line="240" w:lineRule="auto"/>
              <w:jc w:val="right"/>
              <w:rPr>
                <w:rFonts w:eastAsia="Times New Roman" w:cs="Arial"/>
                <w:sz w:val="18"/>
                <w:szCs w:val="18"/>
              </w:rPr>
            </w:pPr>
            <w:r w:rsidRPr="005A27CE">
              <w:rPr>
                <w:rFonts w:eastAsia="Times New Roman" w:cs="Arial"/>
                <w:sz w:val="18"/>
                <w:szCs w:val="18"/>
              </w:rPr>
              <w:t>36.260</w:t>
            </w:r>
          </w:p>
        </w:tc>
        <w:tc>
          <w:tcPr>
            <w:tcW w:w="993" w:type="dxa"/>
            <w:tcBorders>
              <w:top w:val="nil"/>
              <w:left w:val="nil"/>
              <w:bottom w:val="single" w:sz="4" w:space="0" w:color="auto"/>
              <w:right w:val="single" w:sz="4" w:space="0" w:color="auto"/>
            </w:tcBorders>
            <w:shd w:val="clear" w:color="auto" w:fill="auto"/>
            <w:vAlign w:val="center"/>
            <w:hideMark/>
          </w:tcPr>
          <w:p w:rsidR="00A055B4" w:rsidRPr="005A27CE" w:rsidP="003A39CF" w14:paraId="39AFE66E" w14:textId="77777777">
            <w:pPr>
              <w:spacing w:after="0" w:line="240" w:lineRule="auto"/>
              <w:jc w:val="right"/>
              <w:rPr>
                <w:rFonts w:eastAsia="Times New Roman" w:cs="Arial"/>
                <w:sz w:val="18"/>
                <w:szCs w:val="18"/>
              </w:rPr>
            </w:pPr>
            <w:r w:rsidRPr="005A27CE">
              <w:rPr>
                <w:rFonts w:eastAsia="Times New Roman" w:cs="Arial"/>
                <w:sz w:val="18"/>
                <w:szCs w:val="18"/>
              </w:rPr>
              <w:t>237.058</w:t>
            </w:r>
          </w:p>
        </w:tc>
        <w:tc>
          <w:tcPr>
            <w:tcW w:w="814" w:type="dxa"/>
            <w:tcBorders>
              <w:top w:val="nil"/>
              <w:left w:val="nil"/>
              <w:bottom w:val="single" w:sz="4" w:space="0" w:color="auto"/>
              <w:right w:val="single" w:sz="4" w:space="0" w:color="auto"/>
            </w:tcBorders>
            <w:shd w:val="clear" w:color="auto" w:fill="auto"/>
            <w:noWrap/>
            <w:vAlign w:val="center"/>
            <w:hideMark/>
          </w:tcPr>
          <w:p w:rsidR="00A055B4" w:rsidRPr="005A27CE" w:rsidP="003A39CF" w14:paraId="2C27DEC8" w14:textId="77777777">
            <w:pPr>
              <w:spacing w:after="0" w:line="240" w:lineRule="auto"/>
              <w:jc w:val="right"/>
              <w:rPr>
                <w:rFonts w:eastAsia="Times New Roman" w:cs="Arial"/>
                <w:sz w:val="18"/>
                <w:szCs w:val="18"/>
              </w:rPr>
            </w:pPr>
            <w:r w:rsidRPr="005A27CE">
              <w:rPr>
                <w:rFonts w:eastAsia="Times New Roman" w:cs="Arial"/>
                <w:sz w:val="18"/>
                <w:szCs w:val="18"/>
              </w:rPr>
              <w:t xml:space="preserve">$0 </w:t>
            </w:r>
          </w:p>
        </w:tc>
        <w:tc>
          <w:tcPr>
            <w:tcW w:w="1037" w:type="dxa"/>
            <w:tcBorders>
              <w:top w:val="nil"/>
              <w:left w:val="nil"/>
              <w:bottom w:val="single" w:sz="4" w:space="0" w:color="auto"/>
              <w:right w:val="single" w:sz="4" w:space="0" w:color="auto"/>
            </w:tcBorders>
            <w:shd w:val="clear" w:color="auto" w:fill="auto"/>
            <w:noWrap/>
            <w:vAlign w:val="center"/>
            <w:hideMark/>
          </w:tcPr>
          <w:p w:rsidR="00A055B4" w:rsidRPr="005A27CE" w:rsidP="003A39CF" w14:paraId="109A69D0" w14:textId="77777777">
            <w:pPr>
              <w:spacing w:after="0" w:line="240" w:lineRule="auto"/>
              <w:jc w:val="right"/>
              <w:rPr>
                <w:rFonts w:eastAsia="Times New Roman" w:cs="Arial"/>
                <w:sz w:val="18"/>
                <w:szCs w:val="18"/>
              </w:rPr>
            </w:pPr>
            <w:r w:rsidRPr="005A27CE">
              <w:rPr>
                <w:rFonts w:eastAsia="Times New Roman" w:cs="Arial"/>
                <w:sz w:val="18"/>
                <w:szCs w:val="18"/>
              </w:rPr>
              <w:t xml:space="preserve">$16,344 </w:t>
            </w:r>
          </w:p>
        </w:tc>
        <w:tc>
          <w:tcPr>
            <w:tcW w:w="1073" w:type="dxa"/>
            <w:tcBorders>
              <w:top w:val="nil"/>
              <w:left w:val="nil"/>
              <w:bottom w:val="single" w:sz="4" w:space="0" w:color="auto"/>
              <w:right w:val="single" w:sz="4" w:space="0" w:color="auto"/>
            </w:tcBorders>
            <w:shd w:val="clear" w:color="auto" w:fill="auto"/>
            <w:noWrap/>
            <w:vAlign w:val="center"/>
            <w:hideMark/>
          </w:tcPr>
          <w:p w:rsidR="00A055B4" w:rsidRPr="005A27CE" w:rsidP="003A39CF" w14:paraId="0EDA0B29" w14:textId="77777777">
            <w:pPr>
              <w:spacing w:after="0" w:line="240" w:lineRule="auto"/>
              <w:jc w:val="right"/>
              <w:rPr>
                <w:rFonts w:eastAsia="Times New Roman" w:cs="Arial"/>
                <w:sz w:val="18"/>
                <w:szCs w:val="18"/>
              </w:rPr>
            </w:pPr>
            <w:r w:rsidRPr="005A27CE">
              <w:rPr>
                <w:rFonts w:eastAsia="Times New Roman" w:cs="Arial"/>
                <w:sz w:val="18"/>
                <w:szCs w:val="18"/>
              </w:rPr>
              <w:t xml:space="preserve">$3,379 </w:t>
            </w:r>
          </w:p>
        </w:tc>
        <w:tc>
          <w:tcPr>
            <w:tcW w:w="1063" w:type="dxa"/>
            <w:tcBorders>
              <w:top w:val="nil"/>
              <w:left w:val="nil"/>
              <w:bottom w:val="single" w:sz="4" w:space="0" w:color="auto"/>
              <w:right w:val="single" w:sz="4" w:space="0" w:color="auto"/>
            </w:tcBorders>
            <w:shd w:val="clear" w:color="auto" w:fill="auto"/>
            <w:noWrap/>
            <w:vAlign w:val="center"/>
            <w:hideMark/>
          </w:tcPr>
          <w:p w:rsidR="00A055B4" w:rsidRPr="005A27CE" w:rsidP="003A39CF" w14:paraId="5DEAD904" w14:textId="77777777">
            <w:pPr>
              <w:spacing w:after="0" w:line="240" w:lineRule="auto"/>
              <w:jc w:val="right"/>
              <w:rPr>
                <w:rFonts w:eastAsia="Times New Roman" w:cs="Arial"/>
                <w:sz w:val="18"/>
                <w:szCs w:val="18"/>
              </w:rPr>
            </w:pPr>
            <w:r w:rsidRPr="005A27CE">
              <w:rPr>
                <w:rFonts w:eastAsia="Times New Roman" w:cs="Arial"/>
                <w:sz w:val="18"/>
                <w:szCs w:val="18"/>
              </w:rPr>
              <w:t xml:space="preserve">$57,311 </w:t>
            </w:r>
          </w:p>
        </w:tc>
        <w:tc>
          <w:tcPr>
            <w:tcW w:w="873" w:type="dxa"/>
            <w:tcBorders>
              <w:top w:val="nil"/>
              <w:left w:val="nil"/>
              <w:bottom w:val="single" w:sz="4" w:space="0" w:color="auto"/>
              <w:right w:val="single" w:sz="4" w:space="0" w:color="auto"/>
            </w:tcBorders>
            <w:shd w:val="clear" w:color="auto" w:fill="auto"/>
            <w:noWrap/>
            <w:vAlign w:val="center"/>
            <w:hideMark/>
          </w:tcPr>
          <w:p w:rsidR="00A055B4" w:rsidRPr="005A27CE" w:rsidP="003A39CF" w14:paraId="15946657" w14:textId="77777777">
            <w:pPr>
              <w:spacing w:after="0" w:line="240" w:lineRule="auto"/>
              <w:jc w:val="right"/>
              <w:rPr>
                <w:rFonts w:eastAsia="Times New Roman" w:cs="Arial"/>
                <w:sz w:val="18"/>
                <w:szCs w:val="18"/>
              </w:rPr>
            </w:pPr>
            <w:r w:rsidRPr="005A27CE">
              <w:rPr>
                <w:rFonts w:eastAsia="Times New Roman" w:cs="Arial"/>
                <w:sz w:val="18"/>
                <w:szCs w:val="18"/>
              </w:rPr>
              <w:t xml:space="preserve">$77,034 </w:t>
            </w:r>
          </w:p>
        </w:tc>
      </w:tr>
      <w:tr w14:paraId="3270D8FA" w14:textId="77777777" w:rsidTr="005A27CE">
        <w:tblPrEx>
          <w:tblW w:w="10255" w:type="dxa"/>
          <w:tblLayout w:type="fixed"/>
          <w:tblLook w:val="04A0"/>
        </w:tblPrEx>
        <w:trPr>
          <w:trHeight w:val="29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63E18CEA" w14:textId="77777777">
            <w:pPr>
              <w:spacing w:after="0" w:line="240" w:lineRule="auto"/>
              <w:rPr>
                <w:rFonts w:eastAsia="Times New Roman" w:cs="Arial"/>
                <w:sz w:val="20"/>
                <w:szCs w:val="20"/>
              </w:rPr>
            </w:pPr>
            <w:r w:rsidRPr="002434C0">
              <w:rPr>
                <w:rFonts w:eastAsia="Times New Roman" w:cs="Arial"/>
                <w:sz w:val="20"/>
                <w:szCs w:val="20"/>
              </w:rPr>
              <w:t>Net Change</w:t>
            </w:r>
          </w:p>
        </w:tc>
        <w:tc>
          <w:tcPr>
            <w:tcW w:w="854" w:type="dxa"/>
            <w:tcBorders>
              <w:top w:val="nil"/>
              <w:left w:val="single" w:sz="4" w:space="0" w:color="auto"/>
              <w:bottom w:val="single" w:sz="4" w:space="0" w:color="auto"/>
              <w:right w:val="single" w:sz="4" w:space="0" w:color="auto"/>
            </w:tcBorders>
            <w:shd w:val="clear" w:color="auto" w:fill="auto"/>
            <w:vAlign w:val="center"/>
            <w:hideMark/>
          </w:tcPr>
          <w:p w:rsidR="00A055B4" w:rsidRPr="005A27CE" w:rsidP="003A39CF" w14:paraId="5EE7DE86" w14:textId="77777777">
            <w:pPr>
              <w:spacing w:after="0" w:line="240" w:lineRule="auto"/>
              <w:jc w:val="right"/>
              <w:rPr>
                <w:rFonts w:eastAsia="Times New Roman" w:cs="Arial"/>
                <w:sz w:val="18"/>
                <w:szCs w:val="18"/>
              </w:rPr>
            </w:pPr>
            <w:r w:rsidRPr="005A27CE">
              <w:rPr>
                <w:rFonts w:eastAsia="Times New Roman" w:cs="Arial"/>
                <w:sz w:val="18"/>
                <w:szCs w:val="18"/>
              </w:rPr>
              <w:t>0</w:t>
            </w:r>
          </w:p>
        </w:tc>
        <w:tc>
          <w:tcPr>
            <w:tcW w:w="1036" w:type="dxa"/>
            <w:tcBorders>
              <w:top w:val="nil"/>
              <w:left w:val="nil"/>
              <w:bottom w:val="single" w:sz="4" w:space="0" w:color="auto"/>
              <w:right w:val="single" w:sz="4" w:space="0" w:color="auto"/>
            </w:tcBorders>
            <w:shd w:val="clear" w:color="auto" w:fill="auto"/>
            <w:vAlign w:val="center"/>
            <w:hideMark/>
          </w:tcPr>
          <w:p w:rsidR="00A055B4" w:rsidRPr="005A27CE" w:rsidP="003A39CF" w14:paraId="00509BA4" w14:textId="77777777">
            <w:pPr>
              <w:spacing w:after="0" w:line="240" w:lineRule="auto"/>
              <w:jc w:val="right"/>
              <w:rPr>
                <w:rFonts w:eastAsia="Times New Roman" w:cs="Arial"/>
                <w:sz w:val="18"/>
                <w:szCs w:val="18"/>
              </w:rPr>
            </w:pPr>
            <w:r w:rsidRPr="005A27CE">
              <w:rPr>
                <w:rFonts w:eastAsia="Times New Roman" w:cs="Arial"/>
                <w:sz w:val="18"/>
                <w:szCs w:val="18"/>
              </w:rPr>
              <w:t>115.470</w:t>
            </w:r>
          </w:p>
        </w:tc>
        <w:tc>
          <w:tcPr>
            <w:tcW w:w="1077" w:type="dxa"/>
            <w:tcBorders>
              <w:top w:val="nil"/>
              <w:left w:val="nil"/>
              <w:bottom w:val="single" w:sz="4" w:space="0" w:color="auto"/>
              <w:right w:val="single" w:sz="4" w:space="0" w:color="auto"/>
            </w:tcBorders>
            <w:shd w:val="clear" w:color="auto" w:fill="auto"/>
            <w:vAlign w:val="center"/>
            <w:hideMark/>
          </w:tcPr>
          <w:p w:rsidR="00A055B4" w:rsidRPr="005A27CE" w:rsidP="003A39CF" w14:paraId="2F6F97B4" w14:textId="77777777">
            <w:pPr>
              <w:spacing w:after="0" w:line="240" w:lineRule="auto"/>
              <w:jc w:val="right"/>
              <w:rPr>
                <w:rFonts w:eastAsia="Times New Roman" w:cs="Arial"/>
                <w:sz w:val="18"/>
                <w:szCs w:val="18"/>
              </w:rPr>
            </w:pPr>
            <w:r w:rsidRPr="005A27CE">
              <w:rPr>
                <w:rFonts w:eastAsia="Times New Roman" w:cs="Arial"/>
                <w:sz w:val="18"/>
                <w:szCs w:val="18"/>
              </w:rPr>
              <w:t>12.260</w:t>
            </w:r>
          </w:p>
        </w:tc>
        <w:tc>
          <w:tcPr>
            <w:tcW w:w="993" w:type="dxa"/>
            <w:tcBorders>
              <w:top w:val="nil"/>
              <w:left w:val="nil"/>
              <w:bottom w:val="single" w:sz="4" w:space="0" w:color="auto"/>
              <w:right w:val="single" w:sz="4" w:space="0" w:color="auto"/>
            </w:tcBorders>
            <w:shd w:val="clear" w:color="auto" w:fill="auto"/>
            <w:vAlign w:val="center"/>
            <w:hideMark/>
          </w:tcPr>
          <w:p w:rsidR="00A055B4" w:rsidRPr="005A27CE" w:rsidP="003A39CF" w14:paraId="671BA5E9" w14:textId="77777777">
            <w:pPr>
              <w:spacing w:after="0" w:line="240" w:lineRule="auto"/>
              <w:jc w:val="right"/>
              <w:rPr>
                <w:rFonts w:eastAsia="Times New Roman" w:cs="Arial"/>
                <w:sz w:val="18"/>
                <w:szCs w:val="18"/>
              </w:rPr>
            </w:pPr>
            <w:r w:rsidRPr="005A27CE">
              <w:rPr>
                <w:rFonts w:eastAsia="Times New Roman" w:cs="Arial"/>
                <w:sz w:val="18"/>
                <w:szCs w:val="18"/>
              </w:rPr>
              <w:t>127.730</w:t>
            </w:r>
          </w:p>
        </w:tc>
        <w:tc>
          <w:tcPr>
            <w:tcW w:w="814" w:type="dxa"/>
            <w:tcBorders>
              <w:top w:val="nil"/>
              <w:left w:val="nil"/>
              <w:bottom w:val="single" w:sz="4" w:space="0" w:color="auto"/>
              <w:right w:val="single" w:sz="4" w:space="0" w:color="auto"/>
            </w:tcBorders>
            <w:shd w:val="clear" w:color="auto" w:fill="auto"/>
            <w:vAlign w:val="center"/>
            <w:hideMark/>
          </w:tcPr>
          <w:p w:rsidR="00A055B4" w:rsidRPr="005A27CE" w:rsidP="003A39CF" w14:paraId="2AB8DBD9" w14:textId="77777777">
            <w:pPr>
              <w:spacing w:after="0" w:line="240" w:lineRule="auto"/>
              <w:jc w:val="right"/>
              <w:rPr>
                <w:rFonts w:eastAsia="Times New Roman" w:cs="Arial"/>
                <w:sz w:val="18"/>
                <w:szCs w:val="18"/>
              </w:rPr>
            </w:pPr>
            <w:r w:rsidRPr="005A27CE">
              <w:rPr>
                <w:rFonts w:eastAsia="Times New Roman" w:cs="Arial"/>
                <w:sz w:val="18"/>
                <w:szCs w:val="18"/>
              </w:rPr>
              <w:t xml:space="preserve">$0 </w:t>
            </w:r>
          </w:p>
        </w:tc>
        <w:tc>
          <w:tcPr>
            <w:tcW w:w="1037" w:type="dxa"/>
            <w:tcBorders>
              <w:top w:val="nil"/>
              <w:left w:val="nil"/>
              <w:bottom w:val="single" w:sz="4" w:space="0" w:color="auto"/>
              <w:right w:val="single" w:sz="4" w:space="0" w:color="auto"/>
            </w:tcBorders>
            <w:shd w:val="clear" w:color="auto" w:fill="auto"/>
            <w:vAlign w:val="center"/>
            <w:hideMark/>
          </w:tcPr>
          <w:p w:rsidR="00A055B4" w:rsidRPr="005A27CE" w:rsidP="003A39CF" w14:paraId="10D6E582" w14:textId="77777777">
            <w:pPr>
              <w:spacing w:after="0" w:line="240" w:lineRule="auto"/>
              <w:jc w:val="right"/>
              <w:rPr>
                <w:rFonts w:eastAsia="Times New Roman" w:cs="Arial"/>
                <w:sz w:val="18"/>
                <w:szCs w:val="18"/>
              </w:rPr>
            </w:pPr>
            <w:r w:rsidRPr="005A27CE">
              <w:rPr>
                <w:rFonts w:eastAsia="Times New Roman" w:cs="Arial"/>
                <w:sz w:val="18"/>
                <w:szCs w:val="18"/>
              </w:rPr>
              <w:t xml:space="preserve">$9,399 </w:t>
            </w:r>
          </w:p>
        </w:tc>
        <w:tc>
          <w:tcPr>
            <w:tcW w:w="1073" w:type="dxa"/>
            <w:tcBorders>
              <w:top w:val="nil"/>
              <w:left w:val="nil"/>
              <w:bottom w:val="single" w:sz="4" w:space="0" w:color="auto"/>
              <w:right w:val="single" w:sz="4" w:space="0" w:color="auto"/>
            </w:tcBorders>
            <w:shd w:val="clear" w:color="auto" w:fill="auto"/>
            <w:vAlign w:val="center"/>
            <w:hideMark/>
          </w:tcPr>
          <w:p w:rsidR="00A055B4" w:rsidRPr="005A27CE" w:rsidP="003A39CF" w14:paraId="1F2F5F41" w14:textId="77777777">
            <w:pPr>
              <w:spacing w:after="0" w:line="240" w:lineRule="auto"/>
              <w:jc w:val="right"/>
              <w:rPr>
                <w:rFonts w:eastAsia="Times New Roman" w:cs="Arial"/>
                <w:sz w:val="18"/>
                <w:szCs w:val="18"/>
              </w:rPr>
            </w:pPr>
            <w:r w:rsidRPr="005A27CE">
              <w:rPr>
                <w:rFonts w:eastAsia="Times New Roman" w:cs="Arial"/>
                <w:sz w:val="18"/>
                <w:szCs w:val="18"/>
              </w:rPr>
              <w:t xml:space="preserve">$1,142 </w:t>
            </w:r>
          </w:p>
        </w:tc>
        <w:tc>
          <w:tcPr>
            <w:tcW w:w="1063" w:type="dxa"/>
            <w:tcBorders>
              <w:top w:val="nil"/>
              <w:left w:val="nil"/>
              <w:bottom w:val="single" w:sz="4" w:space="0" w:color="auto"/>
              <w:right w:val="single" w:sz="4" w:space="0" w:color="auto"/>
            </w:tcBorders>
            <w:shd w:val="clear" w:color="auto" w:fill="auto"/>
            <w:vAlign w:val="center"/>
            <w:hideMark/>
          </w:tcPr>
          <w:p w:rsidR="00A055B4" w:rsidRPr="005A27CE" w:rsidP="003A39CF" w14:paraId="77660ED6" w14:textId="77777777">
            <w:pPr>
              <w:spacing w:after="0" w:line="240" w:lineRule="auto"/>
              <w:jc w:val="right"/>
              <w:rPr>
                <w:rFonts w:eastAsia="Times New Roman" w:cs="Arial"/>
                <w:sz w:val="18"/>
                <w:szCs w:val="18"/>
              </w:rPr>
            </w:pPr>
            <w:r w:rsidRPr="005A27CE">
              <w:rPr>
                <w:rFonts w:eastAsia="Times New Roman" w:cs="Arial"/>
                <w:sz w:val="18"/>
                <w:szCs w:val="18"/>
              </w:rPr>
              <w:t xml:space="preserve">$35,321 </w:t>
            </w:r>
          </w:p>
        </w:tc>
        <w:tc>
          <w:tcPr>
            <w:tcW w:w="873" w:type="dxa"/>
            <w:tcBorders>
              <w:top w:val="nil"/>
              <w:left w:val="nil"/>
              <w:bottom w:val="single" w:sz="4" w:space="0" w:color="auto"/>
              <w:right w:val="single" w:sz="4" w:space="0" w:color="auto"/>
            </w:tcBorders>
            <w:shd w:val="clear" w:color="auto" w:fill="auto"/>
            <w:vAlign w:val="center"/>
            <w:hideMark/>
          </w:tcPr>
          <w:p w:rsidR="00A055B4" w:rsidRPr="005A27CE" w:rsidP="003A39CF" w14:paraId="215419DC" w14:textId="77777777">
            <w:pPr>
              <w:spacing w:after="0" w:line="240" w:lineRule="auto"/>
              <w:jc w:val="right"/>
              <w:rPr>
                <w:rFonts w:eastAsia="Times New Roman" w:cs="Arial"/>
                <w:sz w:val="18"/>
                <w:szCs w:val="18"/>
              </w:rPr>
            </w:pPr>
            <w:r w:rsidRPr="005A27CE">
              <w:rPr>
                <w:rFonts w:eastAsia="Times New Roman" w:cs="Arial"/>
                <w:sz w:val="18"/>
                <w:szCs w:val="18"/>
              </w:rPr>
              <w:t xml:space="preserve">$45,863 </w:t>
            </w:r>
          </w:p>
        </w:tc>
      </w:tr>
    </w:tbl>
    <w:p w:rsidR="00A055B4" w:rsidRPr="004720A6" w:rsidP="004720A6" w14:paraId="1DBE3CFD" w14:textId="77777777"/>
    <w:p w:rsidR="00A055B4" w:rsidP="00A055B4" w14:paraId="30D98CB8" w14:textId="4267A8A9">
      <w:pPr>
        <w:keepNext/>
        <w:tabs>
          <w:tab w:val="num" w:pos="2160"/>
        </w:tabs>
        <w:spacing w:after="0" w:line="240" w:lineRule="auto"/>
        <w:outlineLvl w:val="2"/>
        <w:rPr>
          <w:rFonts w:eastAsia="Times New Roman" w:cs="Arial"/>
          <w:b/>
          <w:bCs/>
          <w:szCs w:val="20"/>
        </w:rPr>
      </w:pPr>
      <w:r w:rsidRPr="002434C0">
        <w:rPr>
          <w:rFonts w:eastAsia="Times New Roman" w:cs="Arial"/>
          <w:b/>
          <w:bCs/>
          <w:szCs w:val="20"/>
        </w:rPr>
        <w:t>Total Incremental Burden and Cost under the Proposed Rule</w:t>
      </w:r>
      <w:bookmarkEnd w:id="42"/>
    </w:p>
    <w:p w:rsidR="00A055B4" w:rsidRPr="004720A6" w:rsidP="004720A6" w14:paraId="24F82CD0" w14:textId="77777777"/>
    <w:p w:rsidR="00A055B4" w:rsidRPr="002434C0" w:rsidP="00A055B4" w14:paraId="5FDBE35B" w14:textId="78087AA6">
      <w:pPr>
        <w:spacing w:after="180" w:line="240" w:lineRule="auto"/>
        <w:rPr>
          <w:rFonts w:eastAsia="Times New Roman" w:cs="Arial"/>
          <w:szCs w:val="20"/>
        </w:rPr>
      </w:pPr>
      <w:r>
        <w:rPr>
          <w:rFonts w:eastAsia="Times New Roman" w:cs="Arial"/>
          <w:szCs w:val="20"/>
        </w:rPr>
        <w:t xml:space="preserve">Table </w:t>
      </w:r>
      <w:r w:rsidR="00EF5BD5">
        <w:rPr>
          <w:rFonts w:eastAsia="Times New Roman" w:cs="Arial"/>
          <w:szCs w:val="20"/>
        </w:rPr>
        <w:t>25</w:t>
      </w:r>
      <w:r>
        <w:rPr>
          <w:rFonts w:eastAsia="Times New Roman" w:cs="Arial"/>
          <w:szCs w:val="20"/>
        </w:rPr>
        <w:t xml:space="preserve"> </w:t>
      </w:r>
      <w:r w:rsidRPr="002434C0">
        <w:rPr>
          <w:rFonts w:eastAsia="Times New Roman" w:cs="Arial"/>
          <w:szCs w:val="20"/>
        </w:rPr>
        <w:t>summarizes the total change in annual industry burden and cost for reporting under the proposed rule. The table reflects both types of changes in burden and costs expected under the proposed rule. First, the amendments to the notice information requirements are expected to result in a decrease in amendments for each notice submitted. Second, baseline the average annual 12 PFAS submissions for LVEs/LoREXs will no longer be permitted under the proposed rule. These submitters are instead assumed to submit a PMN under the proposed rule.</w:t>
      </w:r>
    </w:p>
    <w:p w:rsidR="00A055B4" w:rsidRPr="002434C0" w:rsidP="00A055B4" w14:paraId="11ADF1F4" w14:textId="2A23E4C4">
      <w:pPr>
        <w:spacing w:after="0" w:line="240" w:lineRule="auto"/>
        <w:rPr>
          <w:rFonts w:eastAsia="Times New Roman" w:cs="Arial"/>
          <w:szCs w:val="20"/>
        </w:rPr>
      </w:pPr>
      <w:r w:rsidRPr="002434C0">
        <w:rPr>
          <w:rFonts w:eastAsia="Times New Roman" w:cs="Arial"/>
          <w:szCs w:val="20"/>
        </w:rPr>
        <w:t xml:space="preserve">As shown in the table, industry is expected to realize a total annual savings of approximately </w:t>
      </w:r>
      <w:r w:rsidR="00DA7B89">
        <w:rPr>
          <w:rFonts w:eastAsia="Times New Roman" w:cs="Arial"/>
          <w:szCs w:val="20"/>
        </w:rPr>
        <w:t>5,058</w:t>
      </w:r>
      <w:r w:rsidRPr="002434C0">
        <w:rPr>
          <w:rFonts w:eastAsia="Times New Roman" w:cs="Arial"/>
          <w:szCs w:val="20"/>
        </w:rPr>
        <w:t xml:space="preserve"> hours but an increase in total annual costs of $</w:t>
      </w:r>
      <w:r w:rsidR="00DA7B89">
        <w:rPr>
          <w:rFonts w:eastAsia="Times New Roman" w:cs="Arial"/>
          <w:szCs w:val="20"/>
        </w:rPr>
        <w:t>1,745,491</w:t>
      </w:r>
      <w:r w:rsidRPr="002434C0">
        <w:rPr>
          <w:rFonts w:eastAsia="Times New Roman" w:cs="Arial"/>
          <w:szCs w:val="20"/>
        </w:rPr>
        <w:t>. The estimated net burden savings indicates that burden savings due to the expected reduction in amendments per notice has a larger influence on overall burden of the proposed rule than the incremental burden resulting from the ineligibility of PFAS for LVE and LoREX submissions. However, the rule is still expected to result in an overall net cost increase because the non-labor costs (delay costs and TSCA fees) associated with post-rule PMN submissions for the PFAS notices that were submitted as LVEs/LoREXs in the baseline counteract the cost savings due to the expected reduction in amendments per notice.</w:t>
      </w:r>
    </w:p>
    <w:p w:rsidR="00A055B4" w:rsidRPr="002434C0" w:rsidP="00A055B4" w14:paraId="5927D396" w14:textId="77777777">
      <w:pPr>
        <w:spacing w:after="0" w:line="240" w:lineRule="auto"/>
        <w:rPr>
          <w:rFonts w:eastAsia="Times New Roman" w:cs="Arial"/>
          <w:szCs w:val="20"/>
        </w:rPr>
      </w:pPr>
    </w:p>
    <w:p w:rsidR="00A055B4" w:rsidRPr="002434C0" w:rsidP="00A055B4" w14:paraId="67ED194D" w14:textId="63331140">
      <w:pPr>
        <w:keepNext/>
        <w:tabs>
          <w:tab w:val="left" w:pos="1260"/>
        </w:tabs>
        <w:spacing w:after="120" w:line="240" w:lineRule="auto"/>
        <w:ind w:left="1260" w:hanging="1260"/>
        <w:rPr>
          <w:rFonts w:eastAsia="Times New Roman" w:cs="Arial"/>
          <w:szCs w:val="20"/>
        </w:rPr>
      </w:pPr>
      <w:bookmarkStart w:id="56" w:name="_Ref54689335"/>
      <w:r w:rsidRPr="002434C0">
        <w:rPr>
          <w:rFonts w:eastAsia="Times New Roman" w:cs="Arial"/>
          <w:b/>
          <w:bCs/>
          <w:szCs w:val="20"/>
        </w:rPr>
        <w:t xml:space="preserve">Table </w:t>
      </w:r>
      <w:bookmarkEnd w:id="56"/>
      <w:r w:rsidR="00EF5BD5">
        <w:rPr>
          <w:rFonts w:eastAsia="Times New Roman" w:cs="Arial"/>
          <w:b/>
          <w:bCs/>
          <w:szCs w:val="20"/>
        </w:rPr>
        <w:t>25</w:t>
      </w:r>
      <w:r w:rsidRPr="002434C0">
        <w:rPr>
          <w:rFonts w:eastAsia="Times New Roman" w:cs="Arial"/>
          <w:szCs w:val="20"/>
        </w:rPr>
        <w:t xml:space="preserve">: Total Industry Change in </w:t>
      </w:r>
      <w:r w:rsidR="003F2B98">
        <w:rPr>
          <w:rFonts w:eastAsia="Times New Roman" w:cs="Arial"/>
          <w:szCs w:val="20"/>
        </w:rPr>
        <w:t xml:space="preserve">Average Annual </w:t>
      </w:r>
      <w:r w:rsidRPr="002434C0">
        <w:rPr>
          <w:rFonts w:eastAsia="Times New Roman" w:cs="Arial"/>
          <w:szCs w:val="20"/>
        </w:rPr>
        <w:t>Burden and Cost</w:t>
      </w:r>
    </w:p>
    <w:tbl>
      <w:tblPr>
        <w:tblW w:w="10127" w:type="dxa"/>
        <w:tblLook w:val="04A0"/>
      </w:tblPr>
      <w:tblGrid>
        <w:gridCol w:w="2515"/>
        <w:gridCol w:w="1530"/>
        <w:gridCol w:w="990"/>
        <w:gridCol w:w="1334"/>
        <w:gridCol w:w="1573"/>
        <w:gridCol w:w="2185"/>
      </w:tblGrid>
      <w:tr w14:paraId="24E19946" w14:textId="77777777" w:rsidTr="005A27CE">
        <w:tblPrEx>
          <w:tblW w:w="10127" w:type="dxa"/>
          <w:tblLook w:val="04A0"/>
        </w:tblPrEx>
        <w:trPr>
          <w:trHeight w:val="430"/>
        </w:trPr>
        <w:tc>
          <w:tcPr>
            <w:tcW w:w="2515" w:type="dxa"/>
            <w:vMerge w:val="restart"/>
            <w:tcBorders>
              <w:top w:val="single" w:sz="4" w:space="0" w:color="auto"/>
              <w:left w:val="single" w:sz="4" w:space="0" w:color="auto"/>
              <w:bottom w:val="single" w:sz="4" w:space="0" w:color="auto"/>
              <w:right w:val="single" w:sz="4" w:space="0" w:color="auto"/>
            </w:tcBorders>
            <w:shd w:val="clear" w:color="000000" w:fill="48A9C5"/>
            <w:vAlign w:val="center"/>
            <w:hideMark/>
          </w:tcPr>
          <w:p w:rsidR="00A055B4" w:rsidRPr="002434C0" w:rsidP="003A39CF" w14:paraId="0DF089D3" w14:textId="77777777">
            <w:pPr>
              <w:keepNext/>
              <w:spacing w:after="0" w:line="240" w:lineRule="auto"/>
              <w:jc w:val="center"/>
              <w:rPr>
                <w:rFonts w:eastAsia="Times New Roman" w:cs="Arial"/>
                <w:sz w:val="20"/>
                <w:szCs w:val="20"/>
              </w:rPr>
            </w:pPr>
            <w:r w:rsidRPr="002434C0">
              <w:rPr>
                <w:rFonts w:eastAsia="Times New Roman" w:cs="Arial"/>
                <w:sz w:val="20"/>
                <w:szCs w:val="20"/>
              </w:rPr>
              <w:t>Notice</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48A9C5"/>
            <w:vAlign w:val="center"/>
            <w:hideMark/>
          </w:tcPr>
          <w:p w:rsidR="00A055B4" w:rsidRPr="002434C0" w:rsidP="003A39CF" w14:paraId="5FE417E0" w14:textId="0E2CBA12">
            <w:pPr>
              <w:keepNext/>
              <w:spacing w:after="0" w:line="240" w:lineRule="auto"/>
              <w:jc w:val="center"/>
              <w:rPr>
                <w:rFonts w:eastAsia="Times New Roman" w:cs="Arial"/>
                <w:sz w:val="20"/>
                <w:szCs w:val="20"/>
              </w:rPr>
            </w:pPr>
            <w:r>
              <w:rPr>
                <w:rFonts w:eastAsia="Times New Roman" w:cs="Arial"/>
                <w:sz w:val="20"/>
                <w:szCs w:val="20"/>
              </w:rPr>
              <w:t xml:space="preserve">Change in </w:t>
            </w:r>
            <w:r w:rsidRPr="002434C0">
              <w:rPr>
                <w:rFonts w:eastAsia="Times New Roman" w:cs="Arial"/>
                <w:sz w:val="20"/>
                <w:szCs w:val="20"/>
              </w:rPr>
              <w:t>Average Annual Number of Notices</w:t>
            </w:r>
          </w:p>
        </w:tc>
        <w:tc>
          <w:tcPr>
            <w:tcW w:w="2324" w:type="dxa"/>
            <w:gridSpan w:val="2"/>
            <w:tcBorders>
              <w:top w:val="single" w:sz="4" w:space="0" w:color="auto"/>
              <w:left w:val="nil"/>
              <w:bottom w:val="single" w:sz="4" w:space="0" w:color="auto"/>
              <w:right w:val="single" w:sz="4" w:space="0" w:color="auto"/>
            </w:tcBorders>
            <w:shd w:val="clear" w:color="000000" w:fill="48A9C5"/>
            <w:vAlign w:val="center"/>
            <w:hideMark/>
          </w:tcPr>
          <w:p w:rsidR="00A055B4" w:rsidRPr="002434C0" w:rsidP="003A39CF" w14:paraId="4C74DD5E" w14:textId="77777777">
            <w:pPr>
              <w:keepNext/>
              <w:spacing w:after="0" w:line="240" w:lineRule="auto"/>
              <w:jc w:val="center"/>
              <w:rPr>
                <w:rFonts w:eastAsia="Times New Roman" w:cs="Arial"/>
                <w:sz w:val="20"/>
                <w:szCs w:val="20"/>
              </w:rPr>
            </w:pPr>
            <w:r w:rsidRPr="002434C0">
              <w:rPr>
                <w:rFonts w:eastAsia="Times New Roman" w:cs="Arial"/>
                <w:sz w:val="20"/>
                <w:szCs w:val="20"/>
              </w:rPr>
              <w:t>Change in Burden (hours)</w:t>
            </w:r>
          </w:p>
        </w:tc>
        <w:tc>
          <w:tcPr>
            <w:tcW w:w="3758" w:type="dxa"/>
            <w:gridSpan w:val="2"/>
            <w:tcBorders>
              <w:top w:val="single" w:sz="4" w:space="0" w:color="auto"/>
              <w:left w:val="nil"/>
              <w:bottom w:val="single" w:sz="4" w:space="0" w:color="auto"/>
              <w:right w:val="single" w:sz="4" w:space="0" w:color="auto"/>
            </w:tcBorders>
            <w:shd w:val="clear" w:color="000000" w:fill="48A9C5"/>
            <w:vAlign w:val="center"/>
            <w:hideMark/>
          </w:tcPr>
          <w:p w:rsidR="00A055B4" w:rsidRPr="002434C0" w:rsidP="003A39CF" w14:paraId="3A5D35B1" w14:textId="77777777">
            <w:pPr>
              <w:keepNext/>
              <w:spacing w:after="0" w:line="240" w:lineRule="auto"/>
              <w:jc w:val="center"/>
              <w:rPr>
                <w:rFonts w:eastAsia="Times New Roman" w:cs="Arial"/>
                <w:sz w:val="20"/>
                <w:szCs w:val="20"/>
              </w:rPr>
            </w:pPr>
            <w:r w:rsidRPr="002434C0">
              <w:rPr>
                <w:rFonts w:eastAsia="Times New Roman" w:cs="Arial"/>
                <w:sz w:val="20"/>
                <w:szCs w:val="20"/>
              </w:rPr>
              <w:t>Change in Cost (2021$)</w:t>
            </w:r>
          </w:p>
        </w:tc>
      </w:tr>
      <w:tr w14:paraId="6A4B6836" w14:textId="77777777" w:rsidTr="001F45A1">
        <w:tblPrEx>
          <w:tblW w:w="10127" w:type="dxa"/>
          <w:tblLook w:val="04A0"/>
        </w:tblPrEx>
        <w:trPr>
          <w:trHeight w:val="400"/>
        </w:trPr>
        <w:tc>
          <w:tcPr>
            <w:tcW w:w="2515" w:type="dxa"/>
            <w:vMerge/>
            <w:tcBorders>
              <w:top w:val="single" w:sz="4" w:space="0" w:color="auto"/>
              <w:left w:val="single" w:sz="4" w:space="0" w:color="auto"/>
              <w:bottom w:val="single" w:sz="4" w:space="0" w:color="auto"/>
              <w:right w:val="single" w:sz="4" w:space="0" w:color="auto"/>
            </w:tcBorders>
            <w:vAlign w:val="center"/>
            <w:hideMark/>
          </w:tcPr>
          <w:p w:rsidR="00A055B4" w:rsidRPr="002434C0" w:rsidP="003A39CF" w14:paraId="7DC1E153" w14:textId="77777777">
            <w:pPr>
              <w:keepNext/>
              <w:spacing w:after="0" w:line="240" w:lineRule="auto"/>
              <w:rPr>
                <w:rFonts w:eastAsia="Times New Roman" w:cs="Arial"/>
                <w:sz w:val="20"/>
                <w:szCs w:val="2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A055B4" w:rsidRPr="002434C0" w:rsidP="003A39CF" w14:paraId="11EE379F" w14:textId="77777777">
            <w:pPr>
              <w:keepNext/>
              <w:spacing w:after="0" w:line="240" w:lineRule="auto"/>
              <w:rPr>
                <w:rFonts w:eastAsia="Times New Roman" w:cs="Arial"/>
                <w:sz w:val="20"/>
                <w:szCs w:val="20"/>
              </w:rPr>
            </w:pPr>
          </w:p>
        </w:tc>
        <w:tc>
          <w:tcPr>
            <w:tcW w:w="990" w:type="dxa"/>
            <w:tcBorders>
              <w:top w:val="nil"/>
              <w:left w:val="nil"/>
              <w:bottom w:val="single" w:sz="4" w:space="0" w:color="auto"/>
              <w:right w:val="single" w:sz="4" w:space="0" w:color="auto"/>
            </w:tcBorders>
            <w:shd w:val="clear" w:color="000000" w:fill="48A9C5"/>
            <w:vAlign w:val="center"/>
            <w:hideMark/>
          </w:tcPr>
          <w:p w:rsidR="00A055B4" w:rsidRPr="002434C0" w:rsidP="003A39CF" w14:paraId="7AD89C02" w14:textId="77777777">
            <w:pPr>
              <w:keepNext/>
              <w:spacing w:after="0" w:line="240" w:lineRule="auto"/>
              <w:jc w:val="center"/>
              <w:rPr>
                <w:rFonts w:eastAsia="Times New Roman" w:cs="Arial"/>
                <w:sz w:val="20"/>
                <w:szCs w:val="20"/>
              </w:rPr>
            </w:pPr>
            <w:r w:rsidRPr="002434C0">
              <w:rPr>
                <w:rFonts w:eastAsia="Times New Roman" w:cs="Arial"/>
                <w:sz w:val="20"/>
                <w:szCs w:val="20"/>
              </w:rPr>
              <w:t>Per Notice</w:t>
            </w:r>
          </w:p>
        </w:tc>
        <w:tc>
          <w:tcPr>
            <w:tcW w:w="1334" w:type="dxa"/>
            <w:tcBorders>
              <w:top w:val="nil"/>
              <w:left w:val="nil"/>
              <w:bottom w:val="single" w:sz="4" w:space="0" w:color="auto"/>
              <w:right w:val="single" w:sz="4" w:space="0" w:color="auto"/>
            </w:tcBorders>
            <w:shd w:val="clear" w:color="000000" w:fill="48A9C5"/>
            <w:vAlign w:val="center"/>
            <w:hideMark/>
          </w:tcPr>
          <w:p w:rsidR="00A055B4" w:rsidRPr="002434C0" w:rsidP="003A39CF" w14:paraId="62E60358" w14:textId="77777777">
            <w:pPr>
              <w:keepNext/>
              <w:spacing w:after="0" w:line="240" w:lineRule="auto"/>
              <w:jc w:val="center"/>
              <w:rPr>
                <w:rFonts w:eastAsia="Times New Roman" w:cs="Arial"/>
                <w:sz w:val="20"/>
                <w:szCs w:val="20"/>
              </w:rPr>
            </w:pPr>
            <w:r w:rsidRPr="002434C0">
              <w:rPr>
                <w:rFonts w:eastAsia="Times New Roman" w:cs="Arial"/>
                <w:sz w:val="20"/>
                <w:szCs w:val="20"/>
              </w:rPr>
              <w:t>Total</w:t>
            </w:r>
          </w:p>
        </w:tc>
        <w:tc>
          <w:tcPr>
            <w:tcW w:w="1573" w:type="dxa"/>
            <w:tcBorders>
              <w:top w:val="nil"/>
              <w:left w:val="nil"/>
              <w:bottom w:val="single" w:sz="4" w:space="0" w:color="auto"/>
              <w:right w:val="single" w:sz="4" w:space="0" w:color="auto"/>
            </w:tcBorders>
            <w:shd w:val="clear" w:color="000000" w:fill="48A9C5"/>
            <w:vAlign w:val="center"/>
            <w:hideMark/>
          </w:tcPr>
          <w:p w:rsidR="00A055B4" w:rsidRPr="002434C0" w:rsidP="003A39CF" w14:paraId="2D1B224F" w14:textId="77777777">
            <w:pPr>
              <w:keepNext/>
              <w:spacing w:after="0" w:line="240" w:lineRule="auto"/>
              <w:jc w:val="center"/>
              <w:rPr>
                <w:rFonts w:eastAsia="Times New Roman" w:cs="Arial"/>
                <w:sz w:val="20"/>
                <w:szCs w:val="20"/>
              </w:rPr>
            </w:pPr>
            <w:r w:rsidRPr="002434C0">
              <w:rPr>
                <w:rFonts w:eastAsia="Times New Roman" w:cs="Arial"/>
                <w:sz w:val="20"/>
                <w:szCs w:val="20"/>
              </w:rPr>
              <w:t>Per Notice</w:t>
            </w:r>
          </w:p>
        </w:tc>
        <w:tc>
          <w:tcPr>
            <w:tcW w:w="2185" w:type="dxa"/>
            <w:tcBorders>
              <w:top w:val="nil"/>
              <w:left w:val="nil"/>
              <w:bottom w:val="single" w:sz="4" w:space="0" w:color="auto"/>
              <w:right w:val="single" w:sz="4" w:space="0" w:color="auto"/>
            </w:tcBorders>
            <w:shd w:val="clear" w:color="000000" w:fill="48A9C5"/>
            <w:vAlign w:val="center"/>
            <w:hideMark/>
          </w:tcPr>
          <w:p w:rsidR="00A055B4" w:rsidRPr="002434C0" w:rsidP="003A39CF" w14:paraId="04FFF44A" w14:textId="77777777">
            <w:pPr>
              <w:keepNext/>
              <w:spacing w:after="0" w:line="240" w:lineRule="auto"/>
              <w:jc w:val="center"/>
              <w:rPr>
                <w:rFonts w:eastAsia="Times New Roman" w:cs="Arial"/>
                <w:sz w:val="20"/>
                <w:szCs w:val="20"/>
              </w:rPr>
            </w:pPr>
            <w:r w:rsidRPr="002434C0">
              <w:rPr>
                <w:rFonts w:eastAsia="Times New Roman" w:cs="Arial"/>
                <w:sz w:val="20"/>
                <w:szCs w:val="20"/>
              </w:rPr>
              <w:t>Total</w:t>
            </w:r>
          </w:p>
        </w:tc>
      </w:tr>
      <w:tr w14:paraId="38293B42" w14:textId="77777777" w:rsidTr="001F45A1">
        <w:tblPrEx>
          <w:tblW w:w="10127" w:type="dxa"/>
          <w:tblLook w:val="04A0"/>
        </w:tblPrEx>
        <w:trPr>
          <w:trHeight w:val="29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69E9DBB2" w14:textId="77777777">
            <w:pPr>
              <w:keepNext/>
              <w:spacing w:after="0" w:line="240" w:lineRule="auto"/>
              <w:rPr>
                <w:rFonts w:eastAsia="Times New Roman" w:cs="Arial"/>
                <w:sz w:val="20"/>
                <w:szCs w:val="20"/>
              </w:rPr>
            </w:pPr>
            <w:r w:rsidRPr="002434C0">
              <w:rPr>
                <w:rFonts w:eastAsia="Times New Roman" w:cs="Arial"/>
                <w:sz w:val="20"/>
                <w:szCs w:val="20"/>
              </w:rPr>
              <w:t>PMN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55B4" w:rsidRPr="002434C0" w:rsidP="003A39CF" w14:paraId="4B9E3413" w14:textId="3E0BFB96">
            <w:pPr>
              <w:keepNext/>
              <w:spacing w:after="0" w:line="240" w:lineRule="auto"/>
              <w:jc w:val="right"/>
              <w:rPr>
                <w:rFonts w:eastAsia="Times New Roman" w:cs="Arial"/>
                <w:sz w:val="20"/>
                <w:szCs w:val="20"/>
              </w:rPr>
            </w:pPr>
            <w:r>
              <w:rPr>
                <w:rFonts w:eastAsia="Times New Roman" w:cs="Arial"/>
                <w:sz w:val="20"/>
                <w:szCs w:val="20"/>
              </w:rPr>
              <w:t>+12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0F4092C6" w14:textId="070A88FD">
            <w:pPr>
              <w:keepNext/>
              <w:spacing w:after="0" w:line="240" w:lineRule="auto"/>
              <w:jc w:val="right"/>
              <w:rPr>
                <w:rFonts w:eastAsia="Times New Roman" w:cs="Arial"/>
                <w:sz w:val="20"/>
                <w:szCs w:val="20"/>
              </w:rPr>
            </w:pPr>
            <w:r>
              <w:rPr>
                <w:rFonts w:eastAsia="Times New Roman" w:cs="Arial"/>
                <w:sz w:val="20"/>
                <w:szCs w:val="20"/>
              </w:rPr>
              <w:t>(</w:t>
            </w:r>
            <w:r w:rsidRPr="002434C0">
              <w:rPr>
                <w:rFonts w:eastAsia="Times New Roman" w:cs="Arial"/>
                <w:sz w:val="20"/>
                <w:szCs w:val="20"/>
              </w:rPr>
              <w:t>13.44</w:t>
            </w:r>
            <w:r>
              <w:rPr>
                <w:rFonts w:eastAsia="Times New Roman" w:cs="Arial"/>
                <w:sz w:val="20"/>
                <w:szCs w:val="20"/>
              </w:rPr>
              <w:t>)</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3B4B6F8D" w14:textId="3A361592">
            <w:pPr>
              <w:keepNext/>
              <w:spacing w:after="0" w:line="240" w:lineRule="auto"/>
              <w:jc w:val="right"/>
              <w:rPr>
                <w:rFonts w:eastAsia="Times New Roman" w:cs="Arial"/>
                <w:sz w:val="20"/>
                <w:szCs w:val="20"/>
              </w:rPr>
            </w:pPr>
            <w:r>
              <w:rPr>
                <w:rFonts w:eastAsia="Times New Roman" w:cs="Arial"/>
                <w:sz w:val="20"/>
                <w:szCs w:val="20"/>
              </w:rPr>
              <w:t>(</w:t>
            </w:r>
            <w:r w:rsidR="006D48CD">
              <w:rPr>
                <w:rFonts w:eastAsia="Times New Roman" w:cs="Arial"/>
                <w:sz w:val="20"/>
                <w:szCs w:val="20"/>
              </w:rPr>
              <w:t>1,039.54</w:t>
            </w:r>
            <w:r>
              <w:rPr>
                <w:rFonts w:eastAsia="Times New Roman" w:cs="Arial"/>
                <w:sz w:val="20"/>
                <w:szCs w:val="20"/>
              </w:rPr>
              <w:t>)</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A055B4" w:rsidRPr="002434C0" w:rsidP="003A39CF" w14:paraId="580341D9" w14:textId="0A6D5A56">
            <w:pPr>
              <w:keepNext/>
              <w:spacing w:after="0" w:line="240" w:lineRule="auto"/>
              <w:jc w:val="right"/>
              <w:rPr>
                <w:rFonts w:eastAsia="Times New Roman" w:cs="Arial"/>
                <w:sz w:val="20"/>
                <w:szCs w:val="20"/>
              </w:rPr>
            </w:pPr>
            <w:r>
              <w:rPr>
                <w:rFonts w:eastAsia="Times New Roman" w:cs="Arial"/>
                <w:sz w:val="20"/>
                <w:szCs w:val="20"/>
              </w:rPr>
              <w:t>$</w:t>
            </w:r>
            <w:r w:rsidR="004F4E87">
              <w:rPr>
                <w:rFonts w:eastAsia="Times New Roman" w:cs="Arial"/>
                <w:sz w:val="20"/>
                <w:szCs w:val="20"/>
              </w:rPr>
              <w:t>5,674</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10020291" w14:textId="496B2047">
            <w:pPr>
              <w:keepNext/>
              <w:spacing w:after="0" w:line="240" w:lineRule="auto"/>
              <w:jc w:val="right"/>
              <w:rPr>
                <w:rFonts w:eastAsia="Times New Roman" w:cs="Arial"/>
                <w:sz w:val="20"/>
                <w:szCs w:val="20"/>
              </w:rPr>
            </w:pPr>
            <w:r>
              <w:rPr>
                <w:rFonts w:eastAsia="Times New Roman" w:cs="Arial"/>
                <w:sz w:val="20"/>
                <w:szCs w:val="20"/>
              </w:rPr>
              <w:t>$2,564,240</w:t>
            </w:r>
          </w:p>
        </w:tc>
      </w:tr>
      <w:tr w14:paraId="3FD1C0FF" w14:textId="77777777" w:rsidTr="001F45A1">
        <w:tblPrEx>
          <w:tblW w:w="10127" w:type="dxa"/>
          <w:tblLook w:val="04A0"/>
        </w:tblPrEx>
        <w:trPr>
          <w:trHeight w:val="29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20D330DD" w14:textId="77777777">
            <w:pPr>
              <w:keepNext/>
              <w:spacing w:after="0" w:line="240" w:lineRule="auto"/>
              <w:rPr>
                <w:rFonts w:eastAsia="Times New Roman" w:cs="Arial"/>
                <w:sz w:val="20"/>
                <w:szCs w:val="20"/>
              </w:rPr>
            </w:pPr>
            <w:r w:rsidRPr="002434C0">
              <w:rPr>
                <w:rFonts w:eastAsia="Times New Roman" w:cs="Arial"/>
                <w:sz w:val="20"/>
                <w:szCs w:val="20"/>
              </w:rPr>
              <w:t>SNUN</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055B4" w:rsidRPr="002434C0" w:rsidP="003A39CF" w14:paraId="6106589D" w14:textId="2DC212EB">
            <w:pPr>
              <w:keepNext/>
              <w:spacing w:after="0" w:line="240" w:lineRule="auto"/>
              <w:jc w:val="right"/>
              <w:rPr>
                <w:rFonts w:eastAsia="Times New Roman" w:cs="Arial"/>
                <w:sz w:val="20"/>
                <w:szCs w:val="20"/>
              </w:rPr>
            </w:pPr>
            <w:r>
              <w:rPr>
                <w:rFonts w:eastAsia="Times New Roman" w:cs="Arial"/>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A055B4" w:rsidRPr="002434C0" w:rsidP="003A39CF" w14:paraId="4B826011" w14:textId="3FA744B4">
            <w:pPr>
              <w:keepNext/>
              <w:spacing w:after="0" w:line="240" w:lineRule="auto"/>
              <w:jc w:val="right"/>
              <w:rPr>
                <w:rFonts w:eastAsia="Times New Roman" w:cs="Arial"/>
                <w:sz w:val="20"/>
                <w:szCs w:val="20"/>
              </w:rPr>
            </w:pPr>
            <w:r>
              <w:rPr>
                <w:rFonts w:eastAsia="Times New Roman" w:cs="Arial"/>
                <w:sz w:val="20"/>
                <w:szCs w:val="20"/>
              </w:rPr>
              <w:t>(</w:t>
            </w:r>
            <w:r w:rsidRPr="002434C0">
              <w:rPr>
                <w:rFonts w:eastAsia="Times New Roman" w:cs="Arial"/>
                <w:sz w:val="20"/>
                <w:szCs w:val="20"/>
              </w:rPr>
              <w:t>10.80</w:t>
            </w:r>
            <w:r>
              <w:rPr>
                <w:rFonts w:eastAsia="Times New Roman" w:cs="Arial"/>
                <w:sz w:val="20"/>
                <w:szCs w:val="20"/>
              </w:rPr>
              <w:t>)</w:t>
            </w:r>
          </w:p>
        </w:tc>
        <w:tc>
          <w:tcPr>
            <w:tcW w:w="1334" w:type="dxa"/>
            <w:tcBorders>
              <w:top w:val="nil"/>
              <w:left w:val="nil"/>
              <w:bottom w:val="single" w:sz="4" w:space="0" w:color="auto"/>
              <w:right w:val="single" w:sz="4" w:space="0" w:color="auto"/>
            </w:tcBorders>
            <w:shd w:val="clear" w:color="auto" w:fill="auto"/>
            <w:vAlign w:val="center"/>
            <w:hideMark/>
          </w:tcPr>
          <w:p w:rsidR="00A055B4" w:rsidRPr="002434C0" w:rsidP="003A39CF" w14:paraId="63AC4EA1" w14:textId="0F0392C6">
            <w:pPr>
              <w:keepNext/>
              <w:spacing w:after="0" w:line="240" w:lineRule="auto"/>
              <w:jc w:val="right"/>
              <w:rPr>
                <w:rFonts w:eastAsia="Times New Roman" w:cs="Arial"/>
                <w:sz w:val="20"/>
                <w:szCs w:val="20"/>
              </w:rPr>
            </w:pPr>
            <w:r>
              <w:rPr>
                <w:rFonts w:eastAsia="Times New Roman" w:cs="Arial"/>
                <w:sz w:val="20"/>
                <w:szCs w:val="20"/>
              </w:rPr>
              <w:t>(</w:t>
            </w:r>
            <w:r w:rsidR="00C13437">
              <w:rPr>
                <w:rFonts w:eastAsia="Times New Roman" w:cs="Arial"/>
                <w:sz w:val="20"/>
                <w:szCs w:val="20"/>
              </w:rPr>
              <w:t>140.14</w:t>
            </w:r>
            <w:r>
              <w:rPr>
                <w:rFonts w:eastAsia="Times New Roman" w:cs="Arial"/>
                <w:sz w:val="20"/>
                <w:szCs w:val="20"/>
              </w:rPr>
              <w:t>)</w:t>
            </w:r>
          </w:p>
        </w:tc>
        <w:tc>
          <w:tcPr>
            <w:tcW w:w="1573" w:type="dxa"/>
            <w:tcBorders>
              <w:top w:val="nil"/>
              <w:left w:val="nil"/>
              <w:bottom w:val="single" w:sz="4" w:space="0" w:color="auto"/>
              <w:right w:val="single" w:sz="4" w:space="0" w:color="auto"/>
            </w:tcBorders>
            <w:shd w:val="clear" w:color="auto" w:fill="auto"/>
            <w:noWrap/>
            <w:vAlign w:val="center"/>
            <w:hideMark/>
          </w:tcPr>
          <w:p w:rsidR="00A055B4" w:rsidRPr="002434C0" w:rsidP="003A39CF" w14:paraId="64516A40" w14:textId="17226031">
            <w:pPr>
              <w:keepNext/>
              <w:spacing w:after="0" w:line="240" w:lineRule="auto"/>
              <w:jc w:val="right"/>
              <w:rPr>
                <w:rFonts w:eastAsia="Times New Roman" w:cs="Arial"/>
                <w:sz w:val="20"/>
                <w:szCs w:val="20"/>
              </w:rPr>
            </w:pPr>
            <w:r w:rsidRPr="002434C0">
              <w:rPr>
                <w:rFonts w:eastAsia="Times New Roman" w:cs="Arial"/>
                <w:sz w:val="20"/>
                <w:szCs w:val="20"/>
              </w:rPr>
              <w:t>($</w:t>
            </w:r>
            <w:r w:rsidR="001F45A1">
              <w:rPr>
                <w:rFonts w:eastAsia="Times New Roman" w:cs="Arial"/>
                <w:sz w:val="20"/>
                <w:szCs w:val="20"/>
              </w:rPr>
              <w:t>1</w:t>
            </w:r>
            <w:r w:rsidR="000D4911">
              <w:rPr>
                <w:rFonts w:eastAsia="Times New Roman" w:cs="Arial"/>
                <w:sz w:val="20"/>
                <w:szCs w:val="20"/>
              </w:rPr>
              <w:t>5,88</w:t>
            </w:r>
            <w:r w:rsidR="001F45A1">
              <w:rPr>
                <w:rFonts w:eastAsia="Times New Roman" w:cs="Arial"/>
                <w:sz w:val="20"/>
                <w:szCs w:val="20"/>
              </w:rPr>
              <w:t>1</w:t>
            </w:r>
            <w:r w:rsidRPr="002434C0">
              <w:rPr>
                <w:rFonts w:eastAsia="Times New Roman" w:cs="Arial"/>
                <w:sz w:val="20"/>
                <w:szCs w:val="20"/>
              </w:rPr>
              <w:t>)</w:t>
            </w:r>
          </w:p>
        </w:tc>
        <w:tc>
          <w:tcPr>
            <w:tcW w:w="2185" w:type="dxa"/>
            <w:tcBorders>
              <w:top w:val="nil"/>
              <w:left w:val="nil"/>
              <w:bottom w:val="single" w:sz="4" w:space="0" w:color="auto"/>
              <w:right w:val="single" w:sz="4" w:space="0" w:color="auto"/>
            </w:tcBorders>
            <w:shd w:val="clear" w:color="auto" w:fill="auto"/>
            <w:vAlign w:val="center"/>
            <w:hideMark/>
          </w:tcPr>
          <w:p w:rsidR="00A055B4" w:rsidRPr="002434C0" w:rsidP="003A39CF" w14:paraId="22660B71" w14:textId="1CD0FC5D">
            <w:pPr>
              <w:keepNext/>
              <w:spacing w:after="0" w:line="240" w:lineRule="auto"/>
              <w:jc w:val="right"/>
              <w:rPr>
                <w:rFonts w:eastAsia="Times New Roman" w:cs="Arial"/>
                <w:sz w:val="20"/>
                <w:szCs w:val="20"/>
              </w:rPr>
            </w:pPr>
            <w:r w:rsidRPr="002434C0">
              <w:rPr>
                <w:rFonts w:eastAsia="Times New Roman" w:cs="Arial"/>
                <w:sz w:val="20"/>
                <w:szCs w:val="20"/>
              </w:rPr>
              <w:t>($</w:t>
            </w:r>
            <w:r w:rsidR="00586537">
              <w:rPr>
                <w:rFonts w:eastAsia="Times New Roman" w:cs="Arial"/>
                <w:sz w:val="20"/>
                <w:szCs w:val="20"/>
              </w:rPr>
              <w:t>206,451</w:t>
            </w:r>
            <w:r w:rsidRPr="002434C0">
              <w:rPr>
                <w:rFonts w:eastAsia="Times New Roman" w:cs="Arial"/>
                <w:sz w:val="20"/>
                <w:szCs w:val="20"/>
              </w:rPr>
              <w:t>)</w:t>
            </w:r>
          </w:p>
        </w:tc>
      </w:tr>
      <w:tr w14:paraId="55D3A18D" w14:textId="77777777" w:rsidTr="001F45A1">
        <w:tblPrEx>
          <w:tblW w:w="10127" w:type="dxa"/>
          <w:tblLook w:val="04A0"/>
        </w:tblPrEx>
        <w:trPr>
          <w:trHeight w:val="29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A055B4" w:rsidRPr="002434C0" w:rsidP="003A39CF" w14:paraId="6CE5D365" w14:textId="574001B1">
            <w:pPr>
              <w:keepNext/>
              <w:spacing w:after="0" w:line="240" w:lineRule="auto"/>
              <w:rPr>
                <w:rFonts w:eastAsia="Times New Roman" w:cs="Arial"/>
                <w:sz w:val="20"/>
                <w:szCs w:val="20"/>
              </w:rPr>
            </w:pPr>
            <w:r w:rsidRPr="002434C0">
              <w:rPr>
                <w:rFonts w:eastAsia="Times New Roman" w:cs="Arial"/>
                <w:sz w:val="20"/>
                <w:szCs w:val="20"/>
              </w:rPr>
              <w:t xml:space="preserve">LVE/LoREX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055B4" w:rsidRPr="002434C0" w:rsidP="003A39CF" w14:paraId="47EBC4F3" w14:textId="4D8DBA38">
            <w:pPr>
              <w:keepNext/>
              <w:spacing w:after="0" w:line="240" w:lineRule="auto"/>
              <w:jc w:val="right"/>
              <w:rPr>
                <w:rFonts w:eastAsia="Times New Roman" w:cs="Arial"/>
                <w:sz w:val="20"/>
                <w:szCs w:val="20"/>
              </w:rPr>
            </w:pPr>
            <w:r>
              <w:rPr>
                <w:rFonts w:eastAsia="Times New Roman" w:cs="Arial"/>
                <w:sz w:val="20"/>
                <w:szCs w:val="20"/>
              </w:rPr>
              <w:t>-12</w:t>
            </w:r>
          </w:p>
        </w:tc>
        <w:tc>
          <w:tcPr>
            <w:tcW w:w="990" w:type="dxa"/>
            <w:tcBorders>
              <w:top w:val="nil"/>
              <w:left w:val="nil"/>
              <w:bottom w:val="single" w:sz="4" w:space="0" w:color="auto"/>
              <w:right w:val="single" w:sz="4" w:space="0" w:color="auto"/>
            </w:tcBorders>
            <w:shd w:val="clear" w:color="auto" w:fill="auto"/>
            <w:vAlign w:val="center"/>
            <w:hideMark/>
          </w:tcPr>
          <w:p w:rsidR="00A055B4" w:rsidRPr="002434C0" w:rsidP="003A39CF" w14:paraId="3AEF7079" w14:textId="63E38067">
            <w:pPr>
              <w:keepNext/>
              <w:spacing w:after="0" w:line="240" w:lineRule="auto"/>
              <w:jc w:val="right"/>
              <w:rPr>
                <w:rFonts w:eastAsia="Times New Roman" w:cs="Arial"/>
                <w:sz w:val="20"/>
                <w:szCs w:val="20"/>
              </w:rPr>
            </w:pPr>
            <w:r>
              <w:rPr>
                <w:rFonts w:eastAsia="Times New Roman" w:cs="Arial"/>
                <w:sz w:val="20"/>
                <w:szCs w:val="20"/>
              </w:rPr>
              <w:t>(</w:t>
            </w:r>
            <w:r w:rsidRPr="002434C0">
              <w:rPr>
                <w:rFonts w:eastAsia="Times New Roman" w:cs="Arial"/>
                <w:sz w:val="20"/>
                <w:szCs w:val="20"/>
              </w:rPr>
              <w:t>8.76</w:t>
            </w:r>
            <w:r>
              <w:rPr>
                <w:rFonts w:eastAsia="Times New Roman" w:cs="Arial"/>
                <w:sz w:val="20"/>
                <w:szCs w:val="20"/>
              </w:rPr>
              <w:t>)</w:t>
            </w:r>
          </w:p>
        </w:tc>
        <w:tc>
          <w:tcPr>
            <w:tcW w:w="1334" w:type="dxa"/>
            <w:tcBorders>
              <w:top w:val="nil"/>
              <w:left w:val="nil"/>
              <w:bottom w:val="single" w:sz="4" w:space="0" w:color="auto"/>
              <w:right w:val="single" w:sz="4" w:space="0" w:color="auto"/>
            </w:tcBorders>
            <w:shd w:val="clear" w:color="auto" w:fill="auto"/>
            <w:vAlign w:val="center"/>
            <w:hideMark/>
          </w:tcPr>
          <w:p w:rsidR="0085456B" w:rsidRPr="002434C0" w:rsidP="0085456B" w14:paraId="0EBAB5C4" w14:textId="0C2465B3">
            <w:pPr>
              <w:keepNext/>
              <w:spacing w:after="0" w:line="240" w:lineRule="auto"/>
              <w:jc w:val="right"/>
              <w:rPr>
                <w:rFonts w:eastAsia="Times New Roman" w:cs="Arial"/>
                <w:sz w:val="20"/>
                <w:szCs w:val="20"/>
              </w:rPr>
            </w:pPr>
            <w:r>
              <w:rPr>
                <w:rFonts w:eastAsia="Times New Roman" w:cs="Arial"/>
                <w:sz w:val="20"/>
                <w:szCs w:val="20"/>
              </w:rPr>
              <w:t>(</w:t>
            </w:r>
            <w:r w:rsidR="00E832C2">
              <w:rPr>
                <w:rFonts w:eastAsia="Times New Roman" w:cs="Arial"/>
                <w:sz w:val="20"/>
                <w:szCs w:val="20"/>
              </w:rPr>
              <w:t>3</w:t>
            </w:r>
            <w:r w:rsidR="00DC3256">
              <w:rPr>
                <w:rFonts w:eastAsia="Times New Roman" w:cs="Arial"/>
                <w:sz w:val="20"/>
                <w:szCs w:val="20"/>
              </w:rPr>
              <w:t>,</w:t>
            </w:r>
            <w:r w:rsidR="00E832C2">
              <w:rPr>
                <w:rFonts w:eastAsia="Times New Roman" w:cs="Arial"/>
                <w:sz w:val="20"/>
                <w:szCs w:val="20"/>
              </w:rPr>
              <w:t>875.58</w:t>
            </w:r>
            <w:r>
              <w:rPr>
                <w:rFonts w:eastAsia="Times New Roman" w:cs="Arial"/>
                <w:sz w:val="20"/>
                <w:szCs w:val="20"/>
              </w:rPr>
              <w:t>)</w:t>
            </w:r>
          </w:p>
        </w:tc>
        <w:tc>
          <w:tcPr>
            <w:tcW w:w="1573" w:type="dxa"/>
            <w:tcBorders>
              <w:top w:val="nil"/>
              <w:left w:val="nil"/>
              <w:bottom w:val="single" w:sz="4" w:space="0" w:color="auto"/>
              <w:right w:val="single" w:sz="4" w:space="0" w:color="auto"/>
            </w:tcBorders>
            <w:shd w:val="clear" w:color="auto" w:fill="auto"/>
            <w:noWrap/>
            <w:vAlign w:val="center"/>
            <w:hideMark/>
          </w:tcPr>
          <w:p w:rsidR="00A055B4" w:rsidRPr="002434C0" w:rsidP="003A39CF" w14:paraId="2BDBD195" w14:textId="6B5E4DFB">
            <w:pPr>
              <w:keepNext/>
              <w:spacing w:after="0" w:line="240" w:lineRule="auto"/>
              <w:jc w:val="right"/>
              <w:rPr>
                <w:rFonts w:eastAsia="Times New Roman" w:cs="Arial"/>
                <w:sz w:val="20"/>
                <w:szCs w:val="20"/>
              </w:rPr>
            </w:pPr>
            <w:r w:rsidRPr="002434C0">
              <w:rPr>
                <w:rFonts w:eastAsia="Times New Roman" w:cs="Arial"/>
                <w:sz w:val="20"/>
                <w:szCs w:val="20"/>
              </w:rPr>
              <w:t>($</w:t>
            </w:r>
            <w:r w:rsidR="001F45A1">
              <w:rPr>
                <w:rFonts w:eastAsia="Times New Roman" w:cs="Arial"/>
                <w:sz w:val="20"/>
                <w:szCs w:val="20"/>
              </w:rPr>
              <w:t>810</w:t>
            </w:r>
            <w:r w:rsidRPr="002434C0">
              <w:rPr>
                <w:rFonts w:eastAsia="Times New Roman" w:cs="Arial"/>
                <w:sz w:val="20"/>
                <w:szCs w:val="20"/>
              </w:rPr>
              <w:t>)</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2B040F81" w14:textId="5A8B7582">
            <w:pPr>
              <w:keepNext/>
              <w:spacing w:after="0" w:line="240" w:lineRule="auto"/>
              <w:jc w:val="right"/>
              <w:rPr>
                <w:rFonts w:eastAsia="Times New Roman" w:cs="Arial"/>
                <w:sz w:val="20"/>
                <w:szCs w:val="20"/>
              </w:rPr>
            </w:pPr>
            <w:r>
              <w:rPr>
                <w:rFonts w:eastAsia="Times New Roman" w:cs="Arial"/>
                <w:sz w:val="20"/>
                <w:szCs w:val="20"/>
              </w:rPr>
              <w:t>($621,298</w:t>
            </w:r>
            <w:r w:rsidRPr="002434C0">
              <w:rPr>
                <w:rFonts w:eastAsia="Times New Roman" w:cs="Arial"/>
                <w:sz w:val="20"/>
                <w:szCs w:val="20"/>
              </w:rPr>
              <w:t>)</w:t>
            </w:r>
          </w:p>
        </w:tc>
      </w:tr>
      <w:tr w14:paraId="514F160E" w14:textId="77777777" w:rsidTr="001F45A1">
        <w:tblPrEx>
          <w:tblW w:w="10127" w:type="dxa"/>
          <w:tblLook w:val="04A0"/>
        </w:tblPrEx>
        <w:trPr>
          <w:trHeight w:val="29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4B6D8B2E" w14:textId="77777777">
            <w:pPr>
              <w:keepNext/>
              <w:spacing w:after="0" w:line="240" w:lineRule="auto"/>
              <w:rPr>
                <w:rFonts w:eastAsia="Times New Roman" w:cs="Arial"/>
                <w:sz w:val="20"/>
                <w:szCs w:val="20"/>
              </w:rPr>
            </w:pPr>
            <w:r w:rsidRPr="002434C0">
              <w:rPr>
                <w:rFonts w:eastAsia="Times New Roman" w:cs="Arial"/>
                <w:sz w:val="20"/>
                <w:szCs w:val="20"/>
              </w:rPr>
              <w:t>TME</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055B4" w:rsidRPr="002434C0" w:rsidP="003A39CF" w14:paraId="4481505B" w14:textId="48059346">
            <w:pPr>
              <w:keepNext/>
              <w:spacing w:after="0" w:line="240" w:lineRule="auto"/>
              <w:jc w:val="right"/>
              <w:rPr>
                <w:rFonts w:eastAsia="Times New Roman" w:cs="Arial"/>
                <w:sz w:val="20"/>
                <w:szCs w:val="20"/>
              </w:rPr>
            </w:pPr>
            <w:r>
              <w:rPr>
                <w:rFonts w:eastAsia="Times New Roman" w:cs="Arial"/>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A055B4" w:rsidRPr="002434C0" w:rsidP="003A39CF" w14:paraId="2FF49B6F" w14:textId="18EFC012">
            <w:pPr>
              <w:keepNext/>
              <w:spacing w:after="0" w:line="240" w:lineRule="auto"/>
              <w:jc w:val="right"/>
              <w:rPr>
                <w:rFonts w:eastAsia="Times New Roman" w:cs="Arial"/>
                <w:sz w:val="20"/>
                <w:szCs w:val="20"/>
              </w:rPr>
            </w:pPr>
            <w:r w:rsidRPr="002434C0">
              <w:rPr>
                <w:rFonts w:eastAsia="Times New Roman" w:cs="Arial"/>
                <w:sz w:val="20"/>
                <w:szCs w:val="20"/>
              </w:rPr>
              <w:t>0.00</w:t>
            </w:r>
          </w:p>
        </w:tc>
        <w:tc>
          <w:tcPr>
            <w:tcW w:w="1334" w:type="dxa"/>
            <w:tcBorders>
              <w:top w:val="nil"/>
              <w:left w:val="nil"/>
              <w:bottom w:val="single" w:sz="4" w:space="0" w:color="auto"/>
              <w:right w:val="single" w:sz="4" w:space="0" w:color="auto"/>
            </w:tcBorders>
            <w:shd w:val="clear" w:color="auto" w:fill="auto"/>
            <w:vAlign w:val="center"/>
            <w:hideMark/>
          </w:tcPr>
          <w:p w:rsidR="00A055B4" w:rsidRPr="002434C0" w:rsidP="003A39CF" w14:paraId="55FBCC23" w14:textId="77777777">
            <w:pPr>
              <w:keepNext/>
              <w:spacing w:after="0" w:line="240" w:lineRule="auto"/>
              <w:jc w:val="right"/>
              <w:rPr>
                <w:rFonts w:eastAsia="Times New Roman" w:cs="Arial"/>
                <w:sz w:val="20"/>
                <w:szCs w:val="20"/>
              </w:rPr>
            </w:pPr>
            <w:r w:rsidRPr="002434C0">
              <w:rPr>
                <w:rFonts w:eastAsia="Times New Roman" w:cs="Arial"/>
                <w:sz w:val="20"/>
                <w:szCs w:val="20"/>
              </w:rPr>
              <w:t>0</w:t>
            </w:r>
          </w:p>
        </w:tc>
        <w:tc>
          <w:tcPr>
            <w:tcW w:w="1573" w:type="dxa"/>
            <w:tcBorders>
              <w:top w:val="nil"/>
              <w:left w:val="nil"/>
              <w:bottom w:val="single" w:sz="4" w:space="0" w:color="auto"/>
              <w:right w:val="single" w:sz="4" w:space="0" w:color="auto"/>
            </w:tcBorders>
            <w:shd w:val="clear" w:color="auto" w:fill="auto"/>
            <w:noWrap/>
            <w:vAlign w:val="center"/>
            <w:hideMark/>
          </w:tcPr>
          <w:p w:rsidR="00A055B4" w:rsidRPr="002434C0" w:rsidP="003A39CF" w14:paraId="37D33A40" w14:textId="77777777">
            <w:pPr>
              <w:keepNext/>
              <w:spacing w:after="0" w:line="240" w:lineRule="auto"/>
              <w:jc w:val="right"/>
              <w:rPr>
                <w:rFonts w:eastAsia="Times New Roman" w:cs="Arial"/>
                <w:sz w:val="20"/>
                <w:szCs w:val="20"/>
              </w:rPr>
            </w:pPr>
            <w:r w:rsidRPr="002434C0">
              <w:rPr>
                <w:rFonts w:eastAsia="Times New Roman" w:cs="Arial"/>
                <w:sz w:val="20"/>
                <w:szCs w:val="20"/>
              </w:rPr>
              <w:t xml:space="preserve">$0 </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rsidR="00A055B4" w:rsidRPr="002434C0" w:rsidP="003A39CF" w14:paraId="3D6E736E" w14:textId="77777777">
            <w:pPr>
              <w:keepNext/>
              <w:spacing w:after="0" w:line="240" w:lineRule="auto"/>
              <w:jc w:val="right"/>
              <w:rPr>
                <w:rFonts w:eastAsia="Times New Roman" w:cs="Arial"/>
                <w:sz w:val="20"/>
                <w:szCs w:val="20"/>
              </w:rPr>
            </w:pPr>
            <w:r w:rsidRPr="002434C0">
              <w:rPr>
                <w:rFonts w:eastAsia="Times New Roman" w:cs="Arial"/>
                <w:sz w:val="20"/>
                <w:szCs w:val="20"/>
              </w:rPr>
              <w:t xml:space="preserve">$0 </w:t>
            </w:r>
          </w:p>
        </w:tc>
      </w:tr>
      <w:tr w14:paraId="35946C09" w14:textId="77777777" w:rsidTr="005A27CE">
        <w:tblPrEx>
          <w:tblW w:w="10127" w:type="dxa"/>
          <w:tblLook w:val="04A0"/>
        </w:tblPrEx>
        <w:trPr>
          <w:trHeight w:val="29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055B4" w:rsidRPr="002434C0" w:rsidP="003A39CF" w14:paraId="620E01C8" w14:textId="77777777">
            <w:pPr>
              <w:keepNext/>
              <w:spacing w:after="0" w:line="240" w:lineRule="auto"/>
              <w:rPr>
                <w:rFonts w:eastAsia="Times New Roman" w:cs="Arial"/>
                <w:sz w:val="20"/>
                <w:szCs w:val="20"/>
              </w:rPr>
            </w:pPr>
            <w:r w:rsidRPr="002434C0">
              <w:rPr>
                <w:rFonts w:eastAsia="Times New Roman" w:cs="Arial"/>
                <w:sz w:val="20"/>
                <w:szCs w:val="20"/>
              </w:rPr>
              <w:t>Total</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A055B4" w:rsidRPr="002434C0" w:rsidP="003A39CF" w14:paraId="4E6748AC" w14:textId="40A82BA2">
            <w:pPr>
              <w:keepNext/>
              <w:spacing w:after="0" w:line="240" w:lineRule="auto"/>
              <w:jc w:val="right"/>
              <w:rPr>
                <w:rFonts w:eastAsia="Times New Roman" w:cs="Arial"/>
                <w:sz w:val="20"/>
                <w:szCs w:val="20"/>
              </w:rPr>
            </w:pPr>
            <w:r>
              <w:rPr>
                <w:rFonts w:eastAsia="Times New Roman" w:cs="Arial"/>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A055B4" w:rsidRPr="002434C0" w:rsidP="003A39CF" w14:paraId="6B5BC15A" w14:textId="0E9ECF6E">
            <w:pPr>
              <w:keepNext/>
              <w:spacing w:after="0" w:line="240" w:lineRule="auto"/>
              <w:jc w:val="right"/>
              <w:rPr>
                <w:rFonts w:eastAsia="Times New Roman" w:cs="Arial"/>
                <w:sz w:val="20"/>
                <w:szCs w:val="20"/>
              </w:rPr>
            </w:pPr>
          </w:p>
        </w:tc>
        <w:tc>
          <w:tcPr>
            <w:tcW w:w="1334" w:type="dxa"/>
            <w:tcBorders>
              <w:top w:val="nil"/>
              <w:left w:val="nil"/>
              <w:bottom w:val="single" w:sz="4" w:space="0" w:color="auto"/>
              <w:right w:val="single" w:sz="4" w:space="0" w:color="auto"/>
            </w:tcBorders>
            <w:shd w:val="clear" w:color="auto" w:fill="auto"/>
            <w:vAlign w:val="center"/>
            <w:hideMark/>
          </w:tcPr>
          <w:p w:rsidR="00A055B4" w:rsidRPr="002434C0" w:rsidP="003A39CF" w14:paraId="3A1595DA" w14:textId="73D098E2">
            <w:pPr>
              <w:keepNext/>
              <w:spacing w:after="0" w:line="240" w:lineRule="auto"/>
              <w:jc w:val="right"/>
              <w:rPr>
                <w:rFonts w:eastAsia="Times New Roman" w:cs="Arial"/>
                <w:sz w:val="20"/>
                <w:szCs w:val="20"/>
              </w:rPr>
            </w:pPr>
            <w:r>
              <w:rPr>
                <w:rFonts w:eastAsia="Times New Roman" w:cs="Arial"/>
                <w:sz w:val="20"/>
                <w:szCs w:val="20"/>
              </w:rPr>
              <w:t>(</w:t>
            </w:r>
            <w:r w:rsidR="0085456B">
              <w:rPr>
                <w:rFonts w:eastAsia="Times New Roman" w:cs="Arial"/>
                <w:sz w:val="20"/>
                <w:szCs w:val="20"/>
              </w:rPr>
              <w:t>5,0</w:t>
            </w:r>
            <w:r w:rsidR="00317382">
              <w:rPr>
                <w:rFonts w:eastAsia="Times New Roman" w:cs="Arial"/>
                <w:sz w:val="20"/>
                <w:szCs w:val="20"/>
              </w:rPr>
              <w:t>58</w:t>
            </w:r>
            <w:r w:rsidR="0085456B">
              <w:rPr>
                <w:rFonts w:eastAsia="Times New Roman" w:cs="Arial"/>
                <w:sz w:val="20"/>
                <w:szCs w:val="20"/>
              </w:rPr>
              <w:t>.25</w:t>
            </w:r>
            <w:r>
              <w:rPr>
                <w:rFonts w:eastAsia="Times New Roman" w:cs="Arial"/>
                <w:sz w:val="20"/>
                <w:szCs w:val="20"/>
              </w:rPr>
              <w:t>)</w:t>
            </w:r>
          </w:p>
        </w:tc>
        <w:tc>
          <w:tcPr>
            <w:tcW w:w="1573" w:type="dxa"/>
            <w:tcBorders>
              <w:top w:val="nil"/>
              <w:left w:val="nil"/>
              <w:bottom w:val="single" w:sz="4" w:space="0" w:color="auto"/>
              <w:right w:val="single" w:sz="4" w:space="0" w:color="auto"/>
            </w:tcBorders>
            <w:shd w:val="clear" w:color="auto" w:fill="auto"/>
            <w:vAlign w:val="center"/>
            <w:hideMark/>
          </w:tcPr>
          <w:p w:rsidR="00A055B4" w:rsidRPr="002434C0" w:rsidP="003A39CF" w14:paraId="6922A548" w14:textId="24860CB7">
            <w:pPr>
              <w:keepNext/>
              <w:spacing w:after="0" w:line="240" w:lineRule="auto"/>
              <w:jc w:val="right"/>
              <w:rPr>
                <w:rFonts w:eastAsia="Times New Roman" w:cs="Arial"/>
                <w:sz w:val="20"/>
                <w:szCs w:val="20"/>
              </w:rPr>
            </w:pPr>
          </w:p>
        </w:tc>
        <w:tc>
          <w:tcPr>
            <w:tcW w:w="2185" w:type="dxa"/>
            <w:tcBorders>
              <w:top w:val="nil"/>
              <w:left w:val="nil"/>
              <w:bottom w:val="single" w:sz="4" w:space="0" w:color="auto"/>
              <w:right w:val="single" w:sz="4" w:space="0" w:color="auto"/>
            </w:tcBorders>
            <w:shd w:val="clear" w:color="auto" w:fill="auto"/>
            <w:vAlign w:val="center"/>
            <w:hideMark/>
          </w:tcPr>
          <w:p w:rsidR="00A055B4" w:rsidRPr="002434C0" w:rsidP="003A39CF" w14:paraId="712BBA3B" w14:textId="45A290A3">
            <w:pPr>
              <w:keepNext/>
              <w:spacing w:after="0" w:line="240" w:lineRule="auto"/>
              <w:jc w:val="right"/>
              <w:rPr>
                <w:rFonts w:eastAsia="Times New Roman" w:cs="Arial"/>
                <w:sz w:val="20"/>
                <w:szCs w:val="20"/>
              </w:rPr>
            </w:pPr>
            <w:r>
              <w:rPr>
                <w:rFonts w:eastAsia="Times New Roman" w:cs="Arial"/>
                <w:sz w:val="20"/>
                <w:szCs w:val="20"/>
              </w:rPr>
              <w:t>$1,745</w:t>
            </w:r>
            <w:r w:rsidR="003F2B98">
              <w:rPr>
                <w:rFonts w:eastAsia="Times New Roman" w:cs="Arial"/>
                <w:sz w:val="20"/>
                <w:szCs w:val="20"/>
              </w:rPr>
              <w:t>,491</w:t>
            </w:r>
            <w:r w:rsidRPr="002434C0">
              <w:rPr>
                <w:rFonts w:eastAsia="Times New Roman" w:cs="Arial"/>
                <w:sz w:val="20"/>
                <w:szCs w:val="20"/>
              </w:rPr>
              <w:t xml:space="preserve"> </w:t>
            </w:r>
          </w:p>
        </w:tc>
      </w:tr>
    </w:tbl>
    <w:p w:rsidR="00A055B4" w:rsidRPr="004720A6" w:rsidP="004720A6" w14:paraId="73AFBAF6" w14:textId="224F8C46"/>
    <w:p w:rsidR="007F3A69" w:rsidRPr="00A8196B" w:rsidP="00C47D6B" w14:paraId="13966A39" w14:textId="557F8903">
      <w:pPr>
        <w:pStyle w:val="Heading2"/>
      </w:pPr>
      <w:r>
        <w:t>13.</w:t>
      </w:r>
      <w:r w:rsidRPr="00A8196B" w:rsidR="00F64E1E">
        <w:t xml:space="preserve"> </w:t>
      </w:r>
      <w:r w:rsidRPr="00A8196B" w:rsidR="004C3EE4">
        <w:t>Provide an estimate for the total annual cost burden to respondents or recordkeepers resulting from the collection of information.</w:t>
      </w:r>
      <w:r w:rsidRPr="00A8196B">
        <w:t xml:space="preserve"> (Do not include the cost of any hour burden already reflected on the burden worksheet).</w:t>
      </w:r>
    </w:p>
    <w:p w:rsidR="007F3A69" w:rsidRPr="00A8196B" w:rsidP="007357FC" w14:paraId="0C75D53E" w14:textId="77777777">
      <w:pPr>
        <w:pStyle w:val="Heading3"/>
        <w:keepNext w:val="0"/>
        <w:numPr>
          <w:ilvl w:val="0"/>
          <w:numId w:val="6"/>
        </w:numPr>
        <w:contextualSpacing/>
      </w:pPr>
      <w:r w:rsidRPr="00A8196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RPr="00A8196B" w:rsidP="007357FC" w14:paraId="1F825868" w14:textId="77777777">
      <w:pPr>
        <w:pStyle w:val="Heading3"/>
        <w:keepNext w:val="0"/>
        <w:contextualSpacing/>
      </w:pPr>
      <w:r w:rsidRPr="00A8196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RPr="00A8196B" w:rsidP="007357FC" w14:paraId="6686600D" w14:textId="1410E10B">
      <w:pPr>
        <w:pStyle w:val="Heading3"/>
        <w:keepNext w:val="0"/>
      </w:pPr>
      <w:r w:rsidRPr="00A8196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023B" w:rsidRPr="00A8196B" w:rsidP="006F41C6" w14:paraId="5E22E372" w14:textId="77777777">
      <w:r w:rsidRPr="00A8196B">
        <w:t>There are no operation and maintenance costs associated with this collection.</w:t>
      </w:r>
    </w:p>
    <w:bookmarkEnd w:id="41"/>
    <w:p w:rsidR="003D09E2" w:rsidRPr="00A8196B" w:rsidP="00AC4930" w14:paraId="391F5A09" w14:textId="45FD9745">
      <w:pPr>
        <w:pStyle w:val="Heading2"/>
        <w:tabs>
          <w:tab w:val="left" w:pos="270"/>
        </w:tabs>
      </w:pPr>
      <w:r w:rsidRPr="00A8196B">
        <w:t xml:space="preserve">14. </w:t>
      </w:r>
      <w:r w:rsidRPr="00A8196B">
        <w:t>Provide estimates of annualized cost to the Federal government.</w:t>
      </w:r>
      <w:r w:rsidRPr="00A8196B" w:rsidR="007F3A69">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C2C15" w:rsidRPr="00A8196B" w:rsidP="007357FC" w14:paraId="0A90EBCF" w14:textId="77777777">
      <w:bookmarkStart w:id="57" w:name="_Hlk90587073"/>
      <w:r w:rsidRPr="00A8196B">
        <w:t>From the Agency’s perspective, the organizing reporting unit is “notices.” A given notice typically submitted by a single firm may pertain to a single or multiple (related) chemical substances, but to the Agency involves similar burden according to notice.</w:t>
      </w:r>
    </w:p>
    <w:bookmarkEnd w:id="57"/>
    <w:p w:rsidR="003C2C15" w:rsidRPr="00A8196B" w:rsidP="007357FC" w14:paraId="74B3210A" w14:textId="77777777">
      <w:r w:rsidRPr="00A8196B">
        <w:t>In connection with administering the TSCA section 5 new chemical review and regulatory program, EPA performs the following activities:</w:t>
      </w:r>
    </w:p>
    <w:p w:rsidR="003C2C15" w:rsidRPr="00A8196B" w:rsidP="00C47D6B" w14:paraId="1707695B" w14:textId="77777777">
      <w:pPr>
        <w:pStyle w:val="ListBulletNoSpace"/>
        <w:spacing w:after="200" w:line="276" w:lineRule="auto"/>
        <w:contextualSpacing/>
        <w:rPr>
          <w:rFonts w:ascii="Arial" w:hAnsi="Arial" w:cs="Arial"/>
        </w:rPr>
      </w:pPr>
      <w:r w:rsidRPr="00A8196B">
        <w:rPr>
          <w:rFonts w:ascii="Arial" w:hAnsi="Arial" w:cs="Arial"/>
        </w:rPr>
        <w:t>Conducts pre-notice meetings with respondents when requested;</w:t>
      </w:r>
    </w:p>
    <w:p w:rsidR="003C2C15" w:rsidRPr="00A8196B" w:rsidP="00C47D6B" w14:paraId="1261911E" w14:textId="77777777">
      <w:pPr>
        <w:pStyle w:val="ListBulletNoSpace"/>
        <w:spacing w:after="200" w:line="276" w:lineRule="auto"/>
        <w:contextualSpacing/>
        <w:rPr>
          <w:rFonts w:ascii="Arial" w:hAnsi="Arial" w:cs="Arial"/>
        </w:rPr>
      </w:pPr>
      <w:r w:rsidRPr="00A8196B">
        <w:rPr>
          <w:rFonts w:ascii="Arial" w:hAnsi="Arial" w:cs="Arial"/>
        </w:rPr>
        <w:t>Reviews and makes determinations on PMN/MCAN/SNUN submissions;</w:t>
      </w:r>
    </w:p>
    <w:p w:rsidR="003C2C15" w:rsidRPr="00A8196B" w:rsidP="009514FE" w14:paraId="4408E332" w14:textId="77777777">
      <w:pPr>
        <w:pStyle w:val="ListBulletNoSpace"/>
        <w:spacing w:line="276" w:lineRule="auto"/>
        <w:contextualSpacing/>
        <w:rPr>
          <w:rFonts w:ascii="Arial" w:hAnsi="Arial" w:cs="Arial"/>
        </w:rPr>
      </w:pPr>
      <w:r w:rsidRPr="00A8196B">
        <w:rPr>
          <w:rFonts w:ascii="Arial" w:hAnsi="Arial" w:cs="Arial"/>
        </w:rPr>
        <w:t>Analyzes submissions for confidentiality and provides appropriate protection for confidential information;</w:t>
      </w:r>
    </w:p>
    <w:p w:rsidR="009514FE" w:rsidRPr="00A8196B" w:rsidP="009514FE" w14:paraId="1BF6AA22" w14:textId="77777777">
      <w:pPr>
        <w:pStyle w:val="ListBulletNoSpace"/>
        <w:spacing w:line="276" w:lineRule="auto"/>
        <w:rPr>
          <w:rFonts w:ascii="Arial" w:hAnsi="Arial" w:cs="Arial"/>
        </w:rPr>
      </w:pPr>
      <w:r w:rsidRPr="00A8196B">
        <w:rPr>
          <w:rFonts w:ascii="Arial" w:hAnsi="Arial" w:cs="Arial"/>
        </w:rPr>
        <w:t>Files and stores submissions to Agency data systems;</w:t>
      </w:r>
    </w:p>
    <w:p w:rsidR="003C2C15" w:rsidRPr="00A8196B" w:rsidP="009514FE" w14:paraId="4E5CE7AC" w14:textId="1090BEDC">
      <w:pPr>
        <w:pStyle w:val="ListBulletNoSpace"/>
        <w:spacing w:line="276" w:lineRule="auto"/>
        <w:rPr>
          <w:rFonts w:ascii="Arial" w:hAnsi="Arial" w:cs="Arial"/>
        </w:rPr>
      </w:pPr>
      <w:r w:rsidRPr="00A8196B">
        <w:rPr>
          <w:rFonts w:ascii="Arial" w:hAnsi="Arial" w:cs="Arial"/>
        </w:rPr>
        <w:t>Proposes and implements regulatory action as appropriate</w:t>
      </w:r>
    </w:p>
    <w:p w:rsidR="003C2C15" w:rsidRPr="00A8196B" w:rsidP="009514FE" w14:paraId="5D3092D1" w14:textId="77777777">
      <w:pPr>
        <w:pStyle w:val="ListBulletNoSpace"/>
        <w:spacing w:line="276" w:lineRule="auto"/>
        <w:contextualSpacing/>
        <w:rPr>
          <w:rFonts w:ascii="Arial" w:hAnsi="Arial" w:cs="Arial"/>
        </w:rPr>
      </w:pPr>
      <w:r w:rsidRPr="00A8196B">
        <w:rPr>
          <w:rFonts w:ascii="Arial" w:hAnsi="Arial" w:cs="Arial"/>
        </w:rPr>
        <w:t>Acknowledges receipt of submissions and notifies respondents of any submission deficiencies;</w:t>
      </w:r>
    </w:p>
    <w:p w:rsidR="003C2C15" w:rsidRPr="00A8196B" w:rsidP="009514FE" w14:paraId="2B7D33E5" w14:textId="77777777">
      <w:pPr>
        <w:pStyle w:val="ListBulletNoSpace"/>
        <w:spacing w:line="276" w:lineRule="auto"/>
        <w:contextualSpacing/>
        <w:rPr>
          <w:rFonts w:ascii="Arial" w:hAnsi="Arial" w:cs="Arial"/>
        </w:rPr>
      </w:pPr>
      <w:r w:rsidRPr="00A8196B">
        <w:rPr>
          <w:rFonts w:ascii="Arial" w:hAnsi="Arial" w:cs="Arial"/>
        </w:rPr>
        <w:t>Provides technical assistance to notice submitters pre- and post-submission; and</w:t>
      </w:r>
    </w:p>
    <w:p w:rsidR="003C2C15" w:rsidRPr="00A8196B" w:rsidP="009514FE" w14:paraId="7D3C951B" w14:textId="5754947F">
      <w:pPr>
        <w:pStyle w:val="ListBulletNoSpace"/>
        <w:spacing w:line="276" w:lineRule="auto"/>
        <w:contextualSpacing/>
        <w:rPr>
          <w:rFonts w:ascii="Arial" w:hAnsi="Arial" w:cs="Arial"/>
        </w:rPr>
      </w:pPr>
      <w:r w:rsidRPr="00A8196B">
        <w:rPr>
          <w:rFonts w:ascii="Arial" w:hAnsi="Arial" w:cs="Arial"/>
        </w:rPr>
        <w:t>Conducts site and record inspections and performs related compliance monitoring functions.</w:t>
      </w:r>
    </w:p>
    <w:p w:rsidR="009514FE" w:rsidRPr="00A8196B" w:rsidP="009514FE" w14:paraId="7014648B" w14:textId="6F3F68A4">
      <w:pPr>
        <w:spacing w:before="240"/>
        <w:rPr>
          <w:rFonts w:cs="Arial"/>
        </w:rPr>
      </w:pPr>
      <w:r w:rsidRPr="00A8196B">
        <w:rPr>
          <w:rFonts w:cs="Arial"/>
        </w:rPr>
        <w:t xml:space="preserve">The Agency costs associated with this information collection are estimated to total </w:t>
      </w:r>
      <w:r w:rsidRPr="00A8196B">
        <w:rPr>
          <w:rFonts w:cs="Arial"/>
          <w:b/>
          <w:bCs/>
          <w:color w:val="000000"/>
        </w:rPr>
        <w:t>$2</w:t>
      </w:r>
      <w:r w:rsidR="007A2F55">
        <w:rPr>
          <w:rFonts w:cs="Arial"/>
          <w:b/>
          <w:bCs/>
          <w:color w:val="000000"/>
        </w:rPr>
        <w:t>1,093,416</w:t>
      </w:r>
      <w:r w:rsidRPr="00A8196B">
        <w:rPr>
          <w:rFonts w:cs="Arial"/>
          <w:bCs/>
          <w:color w:val="000000"/>
        </w:rPr>
        <w:t xml:space="preserve"> </w:t>
      </w:r>
      <w:r w:rsidRPr="00A8196B" w:rsidR="00887A01">
        <w:rPr>
          <w:rFonts w:cs="Arial"/>
        </w:rPr>
        <w:t>(</w:t>
      </w:r>
      <w:r w:rsidRPr="00A8196B" w:rsidR="00AC5A42">
        <w:rPr>
          <w:rFonts w:cs="Arial"/>
        </w:rPr>
        <w:t>Table 20</w:t>
      </w:r>
      <w:r w:rsidRPr="00A8196B" w:rsidR="00887A01">
        <w:rPr>
          <w:rFonts w:cs="Arial"/>
        </w:rPr>
        <w:t xml:space="preserve">). </w:t>
      </w:r>
      <w:r w:rsidRPr="00A8196B">
        <w:rPr>
          <w:rFonts w:cs="Arial"/>
        </w:rPr>
        <w:t>Costs to the government include: (1) review of the chemical substance or significant new use under the conditions of use (circumstances under which the chemical is intended, known or reasonably foreseen to be manufactured, processed, distributed in commerce, used, or disposed of), (2) making a final determination on the chemical substance under TSCA section 5(a)(3), and (3) as appropriate, taking regulatory action under TSCA sections 5(e), 5(f) or 5(g).</w:t>
      </w:r>
    </w:p>
    <w:p w:rsidR="009514FE" w:rsidRPr="00A8196B" w:rsidP="009514FE" w14:paraId="52F53E55" w14:textId="77777777">
      <w:pPr>
        <w:rPr>
          <w:rFonts w:cs="Arial"/>
        </w:rPr>
      </w:pPr>
      <w:r w:rsidRPr="00A8196B">
        <w:rPr>
          <w:rFonts w:cs="Arial"/>
        </w:rPr>
        <w:t xml:space="preserve">The provisions of TSCA, as amended, result in additional TSCA section 5 Agency costs that arise primarily from the requirement to review the intended, known or reasonably foreseen activities associated with the chemical, from the requirement to make an affirmative risk determination, and from development of significant new use rules (SNURs) and orders that result from our analysis and findings under TSCA, as amended. Therefore, the Agency used the cost estimates from prior experience and prior versions of this ICR as a starting point and then added estimates for the costs of these additional responsibilities to calculate the Agency’s program costs associated with </w:t>
      </w:r>
      <w:r w:rsidRPr="00A8196B">
        <w:rPr>
          <w:rFonts w:cs="Arial"/>
        </w:rPr>
        <w:t xml:space="preserve">TSCA section 5 as part of the final rule: </w:t>
      </w:r>
      <w:r w:rsidRPr="00A8196B">
        <w:rPr>
          <w:rFonts w:cs="Arial"/>
          <w:i/>
        </w:rPr>
        <w:t>Fees for the Administration of the Toxic Substances Control Act</w:t>
      </w:r>
      <w:r w:rsidRPr="00A8196B">
        <w:rPr>
          <w:rFonts w:cs="Arial"/>
        </w:rPr>
        <w:t xml:space="preserve"> (83 Fed. Reg. 52694) (2018).</w:t>
      </w:r>
    </w:p>
    <w:p w:rsidR="005C43FB" w:rsidRPr="00A8196B" w:rsidP="009514FE" w14:paraId="64BBD0E8" w14:textId="25373B93">
      <w:r w:rsidRPr="00A8196B">
        <w:rPr>
          <w:rFonts w:cs="Arial"/>
        </w:rPr>
        <w:t>Agency cost estimates include the costs of processing, reviewing, and making determinations, and the Agency’s costs of taking any regulatory action, such as with a SNUR or a consent order. Costs of reviewing any data that is submitted to the Agency as a result of an order is also included. Agency cost estimates for administering TSCA section 5 also include the costs associated with processing and retaining records related to NOCs. NOC costs also include the cost of registering the chemical with the Chemical Abstracts Service (CAS). These estimates of average cost per notice are based on projected FTE and extramural support needed for these actions divided by the number of notices the Agency assumes will be received each year once fees are in place. Total Agency cost estimates are then calculated as average cost per notice multiplied by the average number of notices estimated in section 6(b) of this ICR.</w:t>
      </w:r>
    </w:p>
    <w:p w:rsidR="00A7023B" w:rsidRPr="00A8196B" w:rsidP="008C16F4" w14:paraId="4168FC21" w14:textId="0E4265B2">
      <w:pPr>
        <w:pStyle w:val="Caption"/>
      </w:pPr>
      <w:r w:rsidRPr="00A8196B">
        <w:t>Table 2</w:t>
      </w:r>
      <w:r w:rsidR="00EF5BD5">
        <w:t>6</w:t>
      </w:r>
      <w:r w:rsidRPr="00A8196B" w:rsidR="008C16F4">
        <w:t>:</w:t>
      </w:r>
      <w:r w:rsidRPr="00A8196B">
        <w:t xml:space="preserve"> </w:t>
      </w:r>
      <w:r w:rsidR="00D8360A">
        <w:t xml:space="preserve">Baseline </w:t>
      </w:r>
      <w:r w:rsidRPr="00A8196B">
        <w:t>Total Agency Cost Calculation</w:t>
      </w:r>
    </w:p>
    <w:tbl>
      <w:tblPr>
        <w:tblW w:w="5000" w:type="pct"/>
        <w:tblBorders>
          <w:top w:val="double" w:sz="6" w:space="0" w:color="auto"/>
          <w:left w:val="double" w:sz="6" w:space="0" w:color="auto"/>
          <w:bottom w:val="double" w:sz="6" w:space="0" w:color="auto"/>
          <w:right w:val="double" w:sz="4" w:space="0" w:color="auto"/>
          <w:insideH w:val="single" w:sz="4" w:space="0" w:color="auto"/>
          <w:insideV w:val="single" w:sz="4" w:space="0" w:color="auto"/>
        </w:tblBorders>
        <w:tblLayout w:type="fixed"/>
        <w:tblCellMar>
          <w:left w:w="58" w:type="dxa"/>
          <w:right w:w="58" w:type="dxa"/>
        </w:tblCellMar>
        <w:tblLook w:val="04A0"/>
      </w:tblPr>
      <w:tblGrid>
        <w:gridCol w:w="4747"/>
        <w:gridCol w:w="1710"/>
        <w:gridCol w:w="1260"/>
        <w:gridCol w:w="1605"/>
      </w:tblGrid>
      <w:tr w14:paraId="68FE52CB" w14:textId="77777777" w:rsidTr="00A7023B">
        <w:tblPrEx>
          <w:tblW w:w="5000" w:type="pct"/>
          <w:tblBorders>
            <w:top w:val="double" w:sz="6" w:space="0" w:color="auto"/>
            <w:left w:val="double" w:sz="6" w:space="0" w:color="auto"/>
            <w:bottom w:val="double" w:sz="6" w:space="0" w:color="auto"/>
            <w:right w:val="double" w:sz="4" w:space="0" w:color="auto"/>
            <w:insideH w:val="single" w:sz="4" w:space="0" w:color="auto"/>
            <w:insideV w:val="single" w:sz="4" w:space="0" w:color="auto"/>
          </w:tblBorders>
          <w:tblLayout w:type="fixed"/>
          <w:tblCellMar>
            <w:left w:w="58" w:type="dxa"/>
            <w:right w:w="58" w:type="dxa"/>
          </w:tblCellMar>
          <w:tblLook w:val="04A0"/>
        </w:tblPrEx>
        <w:tc>
          <w:tcPr>
            <w:tcW w:w="4747" w:type="dxa"/>
            <w:shd w:val="clear" w:color="auto" w:fill="auto"/>
            <w:vAlign w:val="bottom"/>
            <w:hideMark/>
          </w:tcPr>
          <w:p w:rsidR="003C2C15" w:rsidRPr="00A8196B" w:rsidP="00A7023B" w14:paraId="414E4B6F" w14:textId="77777777">
            <w:pPr>
              <w:spacing w:after="0" w:line="240" w:lineRule="auto"/>
              <w:rPr>
                <w:rFonts w:cs="Arial"/>
                <w:b/>
                <w:color w:val="000000"/>
                <w:sz w:val="20"/>
                <w:szCs w:val="20"/>
              </w:rPr>
            </w:pPr>
            <w:r w:rsidRPr="00A8196B">
              <w:rPr>
                <w:rFonts w:cs="Arial"/>
                <w:b/>
                <w:color w:val="000000"/>
                <w:sz w:val="20"/>
                <w:szCs w:val="20"/>
              </w:rPr>
              <w:t>Type of Notice</w:t>
            </w:r>
          </w:p>
        </w:tc>
        <w:tc>
          <w:tcPr>
            <w:tcW w:w="1710" w:type="dxa"/>
            <w:shd w:val="clear" w:color="auto" w:fill="auto"/>
            <w:hideMark/>
          </w:tcPr>
          <w:p w:rsidR="003C2C15" w:rsidRPr="00A8196B" w:rsidP="001A16B8" w14:paraId="73B0C6D9" w14:textId="77777777">
            <w:pPr>
              <w:spacing w:after="0" w:line="240" w:lineRule="auto"/>
              <w:jc w:val="center"/>
              <w:rPr>
                <w:rFonts w:cs="Arial"/>
                <w:b/>
                <w:color w:val="000000"/>
                <w:sz w:val="20"/>
                <w:szCs w:val="20"/>
              </w:rPr>
            </w:pPr>
            <w:r w:rsidRPr="00A8196B">
              <w:rPr>
                <w:rFonts w:cs="Arial"/>
                <w:b/>
                <w:color w:val="000000"/>
                <w:sz w:val="20"/>
                <w:szCs w:val="20"/>
              </w:rPr>
              <w:t>Average Annual Responses</w:t>
            </w:r>
          </w:p>
        </w:tc>
        <w:tc>
          <w:tcPr>
            <w:tcW w:w="1260" w:type="dxa"/>
            <w:shd w:val="clear" w:color="auto" w:fill="auto"/>
            <w:hideMark/>
          </w:tcPr>
          <w:p w:rsidR="003C2C15" w:rsidRPr="00A8196B" w:rsidP="001A16B8" w14:paraId="5FC977C1" w14:textId="77777777">
            <w:pPr>
              <w:spacing w:after="0" w:line="240" w:lineRule="auto"/>
              <w:jc w:val="center"/>
              <w:rPr>
                <w:rFonts w:cs="Arial"/>
                <w:b/>
                <w:color w:val="000000"/>
                <w:sz w:val="20"/>
                <w:szCs w:val="20"/>
              </w:rPr>
            </w:pPr>
            <w:r w:rsidRPr="00A8196B">
              <w:rPr>
                <w:rFonts w:cs="Arial"/>
                <w:b/>
                <w:color w:val="000000"/>
                <w:sz w:val="20"/>
                <w:szCs w:val="20"/>
              </w:rPr>
              <w:t>Avg. Cost Per Notice</w:t>
            </w:r>
            <w:r w:rsidRPr="00A8196B">
              <w:rPr>
                <w:rFonts w:cs="Arial"/>
                <w:b/>
                <w:color w:val="000000"/>
                <w:sz w:val="20"/>
                <w:szCs w:val="20"/>
                <w:vertAlign w:val="superscript"/>
              </w:rPr>
              <w:t>1</w:t>
            </w:r>
          </w:p>
        </w:tc>
        <w:tc>
          <w:tcPr>
            <w:tcW w:w="1605" w:type="dxa"/>
            <w:shd w:val="clear" w:color="auto" w:fill="auto"/>
            <w:hideMark/>
          </w:tcPr>
          <w:p w:rsidR="003C2C15" w:rsidRPr="00A8196B" w:rsidP="001A16B8" w14:paraId="4F0409F1" w14:textId="77777777">
            <w:pPr>
              <w:spacing w:after="0" w:line="240" w:lineRule="auto"/>
              <w:jc w:val="center"/>
              <w:rPr>
                <w:rFonts w:cs="Arial"/>
                <w:b/>
                <w:color w:val="000000"/>
                <w:sz w:val="20"/>
                <w:szCs w:val="20"/>
              </w:rPr>
            </w:pPr>
            <w:r w:rsidRPr="00A8196B">
              <w:rPr>
                <w:rFonts w:cs="Arial"/>
                <w:b/>
                <w:color w:val="000000"/>
                <w:sz w:val="20"/>
                <w:szCs w:val="20"/>
              </w:rPr>
              <w:t>Total Agency Cost</w:t>
            </w:r>
            <w:r w:rsidRPr="00A8196B">
              <w:rPr>
                <w:rFonts w:cs="Arial"/>
                <w:b/>
                <w:color w:val="000000"/>
                <w:sz w:val="20"/>
                <w:szCs w:val="20"/>
                <w:vertAlign w:val="superscript"/>
              </w:rPr>
              <w:t>2</w:t>
            </w:r>
          </w:p>
        </w:tc>
      </w:tr>
      <w:tr w14:paraId="447B729C"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7FBB1354" w14:textId="77777777">
            <w:pPr>
              <w:spacing w:after="0" w:line="240" w:lineRule="auto"/>
              <w:rPr>
                <w:rFonts w:cs="Arial"/>
                <w:color w:val="000000"/>
                <w:sz w:val="20"/>
                <w:szCs w:val="20"/>
              </w:rPr>
            </w:pPr>
            <w:r w:rsidRPr="00A8196B">
              <w:rPr>
                <w:rFonts w:cs="Arial"/>
                <w:color w:val="000000"/>
                <w:sz w:val="20"/>
                <w:szCs w:val="20"/>
              </w:rPr>
              <w:t>PMN</w:t>
            </w:r>
            <w:r w:rsidRPr="00A8196B">
              <w:rPr>
                <w:rFonts w:cs="Arial"/>
                <w:color w:val="000000"/>
                <w:sz w:val="20"/>
                <w:szCs w:val="20"/>
                <w:vertAlign w:val="superscript"/>
              </w:rPr>
              <w:t>3</w:t>
            </w:r>
          </w:p>
        </w:tc>
        <w:tc>
          <w:tcPr>
            <w:tcW w:w="1710" w:type="dxa"/>
            <w:shd w:val="clear" w:color="auto" w:fill="auto"/>
            <w:hideMark/>
          </w:tcPr>
          <w:p w:rsidR="003C2C15" w:rsidRPr="00A8196B" w:rsidP="00A7023B" w14:paraId="46E178B3" w14:textId="682E48C7">
            <w:pPr>
              <w:tabs>
                <w:tab w:val="decimal" w:pos="1024"/>
              </w:tabs>
              <w:spacing w:after="0" w:line="240" w:lineRule="auto"/>
              <w:rPr>
                <w:rFonts w:cs="Arial"/>
                <w:color w:val="000000"/>
                <w:sz w:val="20"/>
                <w:szCs w:val="20"/>
              </w:rPr>
            </w:pPr>
            <w:r w:rsidRPr="00A8196B">
              <w:rPr>
                <w:rFonts w:cs="Arial"/>
                <w:color w:val="000000"/>
                <w:sz w:val="20"/>
                <w:szCs w:val="20"/>
              </w:rPr>
              <w:t>289</w:t>
            </w:r>
          </w:p>
        </w:tc>
        <w:tc>
          <w:tcPr>
            <w:tcW w:w="1260" w:type="dxa"/>
            <w:shd w:val="clear" w:color="auto" w:fill="auto"/>
            <w:hideMark/>
          </w:tcPr>
          <w:p w:rsidR="003C2C15" w:rsidRPr="00A8196B" w:rsidP="00A7023B" w14:paraId="52E0362E" w14:textId="7ACE0304">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49,610</w:t>
            </w:r>
          </w:p>
        </w:tc>
        <w:tc>
          <w:tcPr>
            <w:tcW w:w="1605" w:type="dxa"/>
            <w:shd w:val="clear" w:color="auto" w:fill="auto"/>
            <w:hideMark/>
          </w:tcPr>
          <w:p w:rsidR="003C2C15" w:rsidRPr="00A8196B" w:rsidP="00A7023B" w14:paraId="7E8B63AA" w14:textId="655C86DD">
            <w:pPr>
              <w:tabs>
                <w:tab w:val="decimal" w:pos="1204"/>
              </w:tabs>
              <w:spacing w:after="0" w:line="240" w:lineRule="auto"/>
              <w:rPr>
                <w:rFonts w:cs="Arial"/>
                <w:b/>
                <w:color w:val="000000"/>
                <w:sz w:val="20"/>
                <w:szCs w:val="20"/>
              </w:rPr>
            </w:pPr>
            <w:r w:rsidRPr="00A8196B">
              <w:rPr>
                <w:rFonts w:cs="Arial"/>
                <w:b/>
                <w:color w:val="000000"/>
                <w:sz w:val="20"/>
                <w:szCs w:val="20"/>
              </w:rPr>
              <w:t>$14,337,290</w:t>
            </w:r>
          </w:p>
        </w:tc>
      </w:tr>
      <w:tr w14:paraId="6736C835"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4EE89C45" w14:textId="77777777">
            <w:pPr>
              <w:spacing w:after="0" w:line="240" w:lineRule="auto"/>
              <w:rPr>
                <w:rFonts w:cs="Arial"/>
                <w:color w:val="000000"/>
                <w:sz w:val="20"/>
                <w:szCs w:val="20"/>
              </w:rPr>
            </w:pPr>
            <w:r w:rsidRPr="00A8196B">
              <w:rPr>
                <w:rFonts w:cs="Arial"/>
                <w:color w:val="000000"/>
                <w:sz w:val="20"/>
                <w:szCs w:val="20"/>
              </w:rPr>
              <w:t>SNUN</w:t>
            </w:r>
            <w:r w:rsidRPr="00A8196B">
              <w:rPr>
                <w:rFonts w:cs="Arial"/>
                <w:color w:val="000000"/>
                <w:sz w:val="20"/>
                <w:szCs w:val="20"/>
                <w:vertAlign w:val="superscript"/>
              </w:rPr>
              <w:t>3</w:t>
            </w:r>
          </w:p>
        </w:tc>
        <w:tc>
          <w:tcPr>
            <w:tcW w:w="1710" w:type="dxa"/>
            <w:shd w:val="clear" w:color="auto" w:fill="auto"/>
            <w:hideMark/>
          </w:tcPr>
          <w:p w:rsidR="003C2C15" w:rsidRPr="00A8196B" w:rsidP="00A7023B" w14:paraId="4CBFD57D" w14:textId="7B7F822E">
            <w:pPr>
              <w:tabs>
                <w:tab w:val="decimal" w:pos="1024"/>
              </w:tabs>
              <w:spacing w:after="0" w:line="240" w:lineRule="auto"/>
              <w:rPr>
                <w:rFonts w:cs="Arial"/>
                <w:color w:val="000000"/>
                <w:sz w:val="20"/>
                <w:szCs w:val="20"/>
              </w:rPr>
            </w:pPr>
            <w:r w:rsidRPr="00A8196B">
              <w:rPr>
                <w:rFonts w:cs="Arial"/>
                <w:color w:val="000000"/>
                <w:sz w:val="20"/>
                <w:szCs w:val="20"/>
              </w:rPr>
              <w:t>13</w:t>
            </w:r>
          </w:p>
        </w:tc>
        <w:tc>
          <w:tcPr>
            <w:tcW w:w="1260" w:type="dxa"/>
            <w:shd w:val="clear" w:color="auto" w:fill="auto"/>
            <w:hideMark/>
          </w:tcPr>
          <w:p w:rsidR="003C2C15" w:rsidRPr="00A8196B" w:rsidP="00A7023B" w14:paraId="766DEEC1" w14:textId="4C56A02C">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49,610</w:t>
            </w:r>
          </w:p>
        </w:tc>
        <w:tc>
          <w:tcPr>
            <w:tcW w:w="1605" w:type="dxa"/>
            <w:shd w:val="clear" w:color="auto" w:fill="auto"/>
            <w:hideMark/>
          </w:tcPr>
          <w:p w:rsidR="003C2C15" w:rsidRPr="00A8196B" w:rsidP="00A7023B" w14:paraId="726D53DA" w14:textId="29AECAD7">
            <w:pPr>
              <w:tabs>
                <w:tab w:val="decimal" w:pos="1204"/>
              </w:tabs>
              <w:spacing w:after="0" w:line="240" w:lineRule="auto"/>
              <w:rPr>
                <w:rFonts w:cs="Arial"/>
                <w:b/>
                <w:color w:val="000000"/>
                <w:sz w:val="20"/>
                <w:szCs w:val="20"/>
              </w:rPr>
            </w:pPr>
            <w:r w:rsidRPr="00A8196B">
              <w:rPr>
                <w:rFonts w:cs="Arial"/>
                <w:b/>
                <w:color w:val="000000"/>
                <w:sz w:val="20"/>
                <w:szCs w:val="20"/>
              </w:rPr>
              <w:t>$644,930</w:t>
            </w:r>
          </w:p>
        </w:tc>
      </w:tr>
      <w:tr w14:paraId="2540F188"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3BAB7664" w14:textId="77777777">
            <w:pPr>
              <w:spacing w:after="0" w:line="240" w:lineRule="auto"/>
              <w:rPr>
                <w:rFonts w:cs="Arial"/>
                <w:color w:val="000000"/>
                <w:sz w:val="20"/>
                <w:szCs w:val="20"/>
              </w:rPr>
            </w:pPr>
            <w:r w:rsidRPr="00A8196B">
              <w:rPr>
                <w:rFonts w:cs="Arial"/>
                <w:color w:val="000000"/>
                <w:sz w:val="20"/>
                <w:szCs w:val="20"/>
              </w:rPr>
              <w:t>MCAN</w:t>
            </w:r>
            <w:r w:rsidRPr="00A8196B">
              <w:rPr>
                <w:rFonts w:cs="Arial"/>
                <w:color w:val="000000"/>
                <w:sz w:val="20"/>
                <w:szCs w:val="20"/>
                <w:vertAlign w:val="superscript"/>
              </w:rPr>
              <w:t>3</w:t>
            </w:r>
          </w:p>
        </w:tc>
        <w:tc>
          <w:tcPr>
            <w:tcW w:w="1710" w:type="dxa"/>
            <w:shd w:val="clear" w:color="auto" w:fill="auto"/>
            <w:hideMark/>
          </w:tcPr>
          <w:p w:rsidR="003C2C15" w:rsidRPr="00A8196B" w:rsidP="00A7023B" w14:paraId="3BE9ABB3" w14:textId="306E5AF3">
            <w:pPr>
              <w:tabs>
                <w:tab w:val="decimal" w:pos="1024"/>
              </w:tabs>
              <w:spacing w:after="0" w:line="240" w:lineRule="auto"/>
              <w:rPr>
                <w:rFonts w:cs="Arial"/>
                <w:color w:val="000000"/>
                <w:sz w:val="20"/>
                <w:szCs w:val="20"/>
              </w:rPr>
            </w:pPr>
            <w:r w:rsidRPr="00A8196B">
              <w:rPr>
                <w:rFonts w:cs="Arial"/>
                <w:color w:val="000000"/>
                <w:sz w:val="20"/>
                <w:szCs w:val="20"/>
              </w:rPr>
              <w:t>14</w:t>
            </w:r>
          </w:p>
        </w:tc>
        <w:tc>
          <w:tcPr>
            <w:tcW w:w="1260" w:type="dxa"/>
            <w:shd w:val="clear" w:color="auto" w:fill="auto"/>
            <w:hideMark/>
          </w:tcPr>
          <w:p w:rsidR="003C2C15" w:rsidRPr="00A8196B" w:rsidP="00A7023B" w14:paraId="0E6CD5E9" w14:textId="324B8B3B">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49,610</w:t>
            </w:r>
          </w:p>
        </w:tc>
        <w:tc>
          <w:tcPr>
            <w:tcW w:w="1605" w:type="dxa"/>
            <w:shd w:val="clear" w:color="auto" w:fill="auto"/>
            <w:hideMark/>
          </w:tcPr>
          <w:p w:rsidR="003C2C15" w:rsidRPr="00A8196B" w:rsidP="00A7023B" w14:paraId="005703FF" w14:textId="31A86BEE">
            <w:pPr>
              <w:tabs>
                <w:tab w:val="decimal" w:pos="1204"/>
              </w:tabs>
              <w:spacing w:after="0" w:line="240" w:lineRule="auto"/>
              <w:rPr>
                <w:rFonts w:cs="Arial"/>
                <w:b/>
                <w:color w:val="000000"/>
                <w:sz w:val="20"/>
                <w:szCs w:val="20"/>
              </w:rPr>
            </w:pPr>
            <w:r w:rsidRPr="00A8196B">
              <w:rPr>
                <w:rFonts w:cs="Arial"/>
                <w:b/>
                <w:color w:val="000000"/>
                <w:sz w:val="20"/>
                <w:szCs w:val="20"/>
              </w:rPr>
              <w:t>$694,540</w:t>
            </w:r>
          </w:p>
        </w:tc>
      </w:tr>
      <w:tr w14:paraId="5C371351"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477EA21C" w14:textId="77777777">
            <w:pPr>
              <w:spacing w:after="0" w:line="240" w:lineRule="auto"/>
              <w:rPr>
                <w:rFonts w:cs="Arial"/>
                <w:i/>
                <w:color w:val="000000"/>
                <w:sz w:val="20"/>
                <w:szCs w:val="20"/>
              </w:rPr>
            </w:pPr>
            <w:r w:rsidRPr="00A8196B">
              <w:rPr>
                <w:rFonts w:cs="Arial"/>
                <w:i/>
                <w:color w:val="000000"/>
                <w:sz w:val="20"/>
                <w:szCs w:val="20"/>
              </w:rPr>
              <w:t>Exemption:</w:t>
            </w:r>
          </w:p>
        </w:tc>
        <w:tc>
          <w:tcPr>
            <w:tcW w:w="1710" w:type="dxa"/>
            <w:shd w:val="clear" w:color="auto" w:fill="auto"/>
            <w:hideMark/>
          </w:tcPr>
          <w:p w:rsidR="003C2C15" w:rsidRPr="00A8196B" w:rsidP="00A7023B" w14:paraId="601DDAC5" w14:textId="65ADEA2E">
            <w:pPr>
              <w:tabs>
                <w:tab w:val="decimal" w:pos="1024"/>
              </w:tabs>
              <w:spacing w:after="0" w:line="240" w:lineRule="auto"/>
              <w:rPr>
                <w:rFonts w:cs="Arial"/>
                <w:i/>
                <w:color w:val="000000"/>
                <w:sz w:val="20"/>
                <w:szCs w:val="20"/>
              </w:rPr>
            </w:pPr>
          </w:p>
        </w:tc>
        <w:tc>
          <w:tcPr>
            <w:tcW w:w="1260" w:type="dxa"/>
            <w:shd w:val="clear" w:color="auto" w:fill="auto"/>
            <w:hideMark/>
          </w:tcPr>
          <w:p w:rsidR="003C2C15" w:rsidRPr="00A8196B" w:rsidP="00A7023B" w14:paraId="745EA628" w14:textId="172928B5">
            <w:pPr>
              <w:tabs>
                <w:tab w:val="decimal" w:pos="1024"/>
              </w:tabs>
              <w:spacing w:after="0" w:line="240" w:lineRule="auto"/>
              <w:rPr>
                <w:rFonts w:cs="Arial"/>
                <w:color w:val="000000"/>
                <w:sz w:val="20"/>
                <w:szCs w:val="20"/>
              </w:rPr>
            </w:pPr>
          </w:p>
        </w:tc>
        <w:tc>
          <w:tcPr>
            <w:tcW w:w="1605" w:type="dxa"/>
            <w:shd w:val="clear" w:color="auto" w:fill="auto"/>
            <w:hideMark/>
          </w:tcPr>
          <w:p w:rsidR="003C2C15" w:rsidRPr="00A8196B" w:rsidP="00A7023B" w14:paraId="6E1950A1" w14:textId="25414A6D">
            <w:pPr>
              <w:tabs>
                <w:tab w:val="decimal" w:pos="1204"/>
              </w:tabs>
              <w:spacing w:after="0" w:line="240" w:lineRule="auto"/>
              <w:rPr>
                <w:rFonts w:cs="Arial"/>
                <w:i/>
                <w:color w:val="000000"/>
                <w:sz w:val="20"/>
                <w:szCs w:val="20"/>
              </w:rPr>
            </w:pPr>
          </w:p>
        </w:tc>
      </w:tr>
      <w:tr w14:paraId="1BBA07BB"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2D5B9FE5" w14:textId="77777777">
            <w:pPr>
              <w:spacing w:after="0" w:line="240" w:lineRule="auto"/>
              <w:ind w:firstLine="400" w:firstLineChars="200"/>
              <w:rPr>
                <w:rFonts w:cs="Arial"/>
                <w:color w:val="000000"/>
                <w:sz w:val="20"/>
                <w:szCs w:val="20"/>
              </w:rPr>
            </w:pPr>
            <w:r w:rsidRPr="00A8196B">
              <w:rPr>
                <w:rFonts w:cs="Arial"/>
                <w:color w:val="000000"/>
                <w:sz w:val="20"/>
                <w:szCs w:val="20"/>
              </w:rPr>
              <w:t>LVE/LoREX</w:t>
            </w:r>
          </w:p>
        </w:tc>
        <w:tc>
          <w:tcPr>
            <w:tcW w:w="1710" w:type="dxa"/>
            <w:shd w:val="clear" w:color="auto" w:fill="auto"/>
            <w:hideMark/>
          </w:tcPr>
          <w:p w:rsidR="003C2C15" w:rsidRPr="00A8196B" w:rsidP="00A7023B" w14:paraId="2F11CCC3" w14:textId="59F5B53D">
            <w:pPr>
              <w:tabs>
                <w:tab w:val="decimal" w:pos="1024"/>
              </w:tabs>
              <w:spacing w:after="0" w:line="240" w:lineRule="auto"/>
              <w:rPr>
                <w:rFonts w:cs="Arial"/>
                <w:color w:val="000000"/>
                <w:sz w:val="20"/>
                <w:szCs w:val="20"/>
              </w:rPr>
            </w:pPr>
            <w:r w:rsidRPr="00A8196B">
              <w:rPr>
                <w:rFonts w:cs="Arial"/>
                <w:color w:val="000000"/>
                <w:sz w:val="20"/>
                <w:szCs w:val="20"/>
              </w:rPr>
              <w:t>305</w:t>
            </w:r>
          </w:p>
        </w:tc>
        <w:tc>
          <w:tcPr>
            <w:tcW w:w="1260" w:type="dxa"/>
            <w:shd w:val="clear" w:color="auto" w:fill="auto"/>
            <w:hideMark/>
          </w:tcPr>
          <w:p w:rsidR="003C2C15" w:rsidRPr="00A8196B" w:rsidP="00A7023B" w14:paraId="58E933FF" w14:textId="210B6C2A">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A7023B" w14:paraId="057CB1B4" w14:textId="54D0FD94">
            <w:pPr>
              <w:tabs>
                <w:tab w:val="decimal" w:pos="1204"/>
              </w:tabs>
              <w:spacing w:after="0" w:line="240" w:lineRule="auto"/>
              <w:rPr>
                <w:rFonts w:cs="Arial"/>
                <w:b/>
                <w:color w:val="000000"/>
                <w:sz w:val="20"/>
                <w:szCs w:val="20"/>
              </w:rPr>
            </w:pPr>
            <w:r w:rsidRPr="00A8196B">
              <w:rPr>
                <w:rFonts w:cs="Arial"/>
                <w:b/>
                <w:color w:val="000000"/>
                <w:sz w:val="20"/>
                <w:szCs w:val="20"/>
              </w:rPr>
              <w:t>$2,074,000</w:t>
            </w:r>
          </w:p>
        </w:tc>
      </w:tr>
      <w:tr w14:paraId="20D1A939"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4AC75365" w14:textId="77777777">
            <w:pPr>
              <w:spacing w:after="0" w:line="240" w:lineRule="auto"/>
              <w:ind w:firstLine="400" w:firstLineChars="200"/>
              <w:rPr>
                <w:rFonts w:cs="Arial"/>
                <w:color w:val="000000"/>
                <w:sz w:val="20"/>
                <w:szCs w:val="20"/>
              </w:rPr>
            </w:pPr>
            <w:r w:rsidRPr="00A8196B">
              <w:rPr>
                <w:rFonts w:cs="Arial"/>
                <w:color w:val="000000"/>
                <w:sz w:val="20"/>
                <w:szCs w:val="20"/>
              </w:rPr>
              <w:t>TERA</w:t>
            </w:r>
          </w:p>
        </w:tc>
        <w:tc>
          <w:tcPr>
            <w:tcW w:w="1710" w:type="dxa"/>
            <w:shd w:val="clear" w:color="auto" w:fill="auto"/>
            <w:hideMark/>
          </w:tcPr>
          <w:p w:rsidR="003C2C15" w:rsidRPr="00A8196B" w:rsidP="00A7023B" w14:paraId="5BD727F3" w14:textId="2EE1B4B9">
            <w:pPr>
              <w:tabs>
                <w:tab w:val="decimal" w:pos="1024"/>
              </w:tabs>
              <w:spacing w:after="0" w:line="240" w:lineRule="auto"/>
              <w:rPr>
                <w:rFonts w:cs="Arial"/>
                <w:color w:val="000000"/>
                <w:sz w:val="20"/>
                <w:szCs w:val="20"/>
              </w:rPr>
            </w:pPr>
            <w:r w:rsidRPr="00A8196B">
              <w:rPr>
                <w:rFonts w:cs="Arial"/>
                <w:color w:val="000000"/>
                <w:sz w:val="20"/>
                <w:szCs w:val="20"/>
              </w:rPr>
              <w:t>2</w:t>
            </w:r>
          </w:p>
        </w:tc>
        <w:tc>
          <w:tcPr>
            <w:tcW w:w="1260" w:type="dxa"/>
            <w:shd w:val="clear" w:color="auto" w:fill="auto"/>
            <w:hideMark/>
          </w:tcPr>
          <w:p w:rsidR="003C2C15" w:rsidRPr="00A8196B" w:rsidP="00A7023B" w14:paraId="68248272" w14:textId="4E415AE1">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A7023B" w14:paraId="5BAD4234" w14:textId="709D09A1">
            <w:pPr>
              <w:tabs>
                <w:tab w:val="decimal" w:pos="1204"/>
              </w:tabs>
              <w:spacing w:after="0" w:line="240" w:lineRule="auto"/>
              <w:rPr>
                <w:rFonts w:cs="Arial"/>
                <w:b/>
                <w:color w:val="000000"/>
                <w:sz w:val="20"/>
                <w:szCs w:val="20"/>
              </w:rPr>
            </w:pPr>
            <w:r w:rsidRPr="00A8196B">
              <w:rPr>
                <w:rFonts w:cs="Arial"/>
                <w:b/>
                <w:color w:val="000000"/>
                <w:sz w:val="20"/>
                <w:szCs w:val="20"/>
              </w:rPr>
              <w:t>$13,600</w:t>
            </w:r>
          </w:p>
        </w:tc>
      </w:tr>
      <w:tr w14:paraId="2603D308"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2655AB80" w14:textId="77777777">
            <w:pPr>
              <w:spacing w:after="0" w:line="240" w:lineRule="auto"/>
              <w:ind w:firstLine="400" w:firstLineChars="200"/>
              <w:rPr>
                <w:rFonts w:cs="Arial"/>
                <w:color w:val="000000"/>
                <w:sz w:val="20"/>
                <w:szCs w:val="20"/>
              </w:rPr>
            </w:pPr>
            <w:r w:rsidRPr="00A8196B">
              <w:rPr>
                <w:rFonts w:cs="Arial"/>
                <w:color w:val="000000"/>
                <w:sz w:val="20"/>
                <w:szCs w:val="20"/>
              </w:rPr>
              <w:t>Tier I</w:t>
            </w:r>
          </w:p>
        </w:tc>
        <w:tc>
          <w:tcPr>
            <w:tcW w:w="1710" w:type="dxa"/>
            <w:shd w:val="clear" w:color="auto" w:fill="auto"/>
            <w:hideMark/>
          </w:tcPr>
          <w:p w:rsidR="003C2C15" w:rsidRPr="00A8196B" w:rsidP="00A7023B" w14:paraId="3FA12564" w14:textId="090D7077">
            <w:pPr>
              <w:tabs>
                <w:tab w:val="decimal" w:pos="1024"/>
              </w:tabs>
              <w:spacing w:after="0" w:line="240" w:lineRule="auto"/>
              <w:rPr>
                <w:rFonts w:cs="Arial"/>
                <w:color w:val="000000"/>
                <w:sz w:val="20"/>
                <w:szCs w:val="20"/>
              </w:rPr>
            </w:pPr>
            <w:r w:rsidRPr="00A8196B">
              <w:rPr>
                <w:rFonts w:cs="Arial"/>
                <w:color w:val="000000"/>
                <w:sz w:val="20"/>
                <w:szCs w:val="20"/>
              </w:rPr>
              <w:t>4</w:t>
            </w:r>
          </w:p>
        </w:tc>
        <w:tc>
          <w:tcPr>
            <w:tcW w:w="1260" w:type="dxa"/>
            <w:shd w:val="clear" w:color="auto" w:fill="auto"/>
            <w:hideMark/>
          </w:tcPr>
          <w:p w:rsidR="003C2C15" w:rsidRPr="00A8196B" w:rsidP="00A7023B" w14:paraId="242449A4" w14:textId="3C48387D">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A7023B" w14:paraId="1F29EA07" w14:textId="538750C9">
            <w:pPr>
              <w:tabs>
                <w:tab w:val="decimal" w:pos="1204"/>
              </w:tabs>
              <w:spacing w:after="0" w:line="240" w:lineRule="auto"/>
              <w:rPr>
                <w:rFonts w:cs="Arial"/>
                <w:b/>
                <w:color w:val="000000"/>
                <w:sz w:val="20"/>
                <w:szCs w:val="20"/>
              </w:rPr>
            </w:pPr>
            <w:r w:rsidRPr="00A8196B">
              <w:rPr>
                <w:rFonts w:cs="Arial"/>
                <w:b/>
                <w:color w:val="000000"/>
                <w:sz w:val="20"/>
                <w:szCs w:val="20"/>
              </w:rPr>
              <w:t>$27,200</w:t>
            </w:r>
          </w:p>
        </w:tc>
      </w:tr>
      <w:tr w14:paraId="28659366" w14:textId="77777777" w:rsidTr="00A7023B">
        <w:tblPrEx>
          <w:tblW w:w="5000" w:type="pct"/>
          <w:tblLayout w:type="fixed"/>
          <w:tblCellMar>
            <w:left w:w="58" w:type="dxa"/>
            <w:right w:w="58" w:type="dxa"/>
          </w:tblCellMar>
          <w:tblLook w:val="04A0"/>
        </w:tblPrEx>
        <w:tc>
          <w:tcPr>
            <w:tcW w:w="4747" w:type="dxa"/>
            <w:shd w:val="clear" w:color="auto" w:fill="auto"/>
          </w:tcPr>
          <w:p w:rsidR="003C2C15" w:rsidRPr="00A8196B" w:rsidP="001A16B8" w14:paraId="7BC38E21" w14:textId="77777777">
            <w:pPr>
              <w:spacing w:after="0" w:line="240" w:lineRule="auto"/>
              <w:ind w:firstLine="400" w:firstLineChars="200"/>
              <w:rPr>
                <w:rFonts w:cs="Arial"/>
                <w:color w:val="000000"/>
                <w:sz w:val="20"/>
                <w:szCs w:val="20"/>
              </w:rPr>
            </w:pPr>
            <w:r w:rsidRPr="00A8196B">
              <w:rPr>
                <w:rFonts w:cs="Arial"/>
                <w:color w:val="000000"/>
                <w:sz w:val="20"/>
                <w:szCs w:val="20"/>
              </w:rPr>
              <w:t>Tier II</w:t>
            </w:r>
          </w:p>
        </w:tc>
        <w:tc>
          <w:tcPr>
            <w:tcW w:w="1710" w:type="dxa"/>
            <w:shd w:val="clear" w:color="auto" w:fill="auto"/>
          </w:tcPr>
          <w:p w:rsidR="003C2C15" w:rsidRPr="00A8196B" w:rsidP="00A7023B" w14:paraId="183078FC" w14:textId="5FA472CD">
            <w:pPr>
              <w:tabs>
                <w:tab w:val="decimal" w:pos="1024"/>
              </w:tabs>
              <w:spacing w:after="0" w:line="240" w:lineRule="auto"/>
              <w:rPr>
                <w:rFonts w:cs="Arial"/>
                <w:color w:val="000000"/>
                <w:sz w:val="20"/>
                <w:szCs w:val="20"/>
              </w:rPr>
            </w:pPr>
            <w:r w:rsidRPr="00A8196B">
              <w:rPr>
                <w:rFonts w:cs="Arial"/>
                <w:color w:val="000000"/>
                <w:sz w:val="20"/>
                <w:szCs w:val="20"/>
              </w:rPr>
              <w:t>1</w:t>
            </w:r>
          </w:p>
        </w:tc>
        <w:tc>
          <w:tcPr>
            <w:tcW w:w="1260" w:type="dxa"/>
            <w:shd w:val="clear" w:color="auto" w:fill="auto"/>
          </w:tcPr>
          <w:p w:rsidR="003C2C15" w:rsidRPr="00A8196B" w:rsidP="00A7023B" w14:paraId="169E0BBB" w14:textId="42D5102B">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tcPr>
          <w:p w:rsidR="003C2C15" w:rsidRPr="00A8196B" w:rsidP="00A7023B" w14:paraId="4834B08B" w14:textId="09330D0F">
            <w:pPr>
              <w:tabs>
                <w:tab w:val="decimal" w:pos="1204"/>
              </w:tabs>
              <w:spacing w:after="0" w:line="240" w:lineRule="auto"/>
              <w:rPr>
                <w:rFonts w:cs="Arial"/>
                <w:b/>
                <w:color w:val="000000"/>
                <w:sz w:val="20"/>
                <w:szCs w:val="20"/>
              </w:rPr>
            </w:pPr>
            <w:r w:rsidRPr="00A8196B">
              <w:rPr>
                <w:rFonts w:cs="Arial"/>
                <w:b/>
                <w:color w:val="000000"/>
                <w:sz w:val="20"/>
                <w:szCs w:val="20"/>
              </w:rPr>
              <w:t>$6,800</w:t>
            </w:r>
          </w:p>
        </w:tc>
      </w:tr>
      <w:tr w14:paraId="0DDE4A07"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5BD46DCB" w14:textId="77777777">
            <w:pPr>
              <w:spacing w:after="0" w:line="240" w:lineRule="auto"/>
              <w:ind w:firstLine="400" w:firstLineChars="200"/>
              <w:rPr>
                <w:rFonts w:cs="Arial"/>
                <w:color w:val="000000"/>
                <w:sz w:val="20"/>
                <w:szCs w:val="20"/>
              </w:rPr>
            </w:pPr>
            <w:r w:rsidRPr="00A8196B">
              <w:rPr>
                <w:rFonts w:cs="Arial"/>
                <w:color w:val="000000"/>
                <w:sz w:val="20"/>
                <w:szCs w:val="20"/>
              </w:rPr>
              <w:t>Polymer</w:t>
            </w:r>
          </w:p>
        </w:tc>
        <w:tc>
          <w:tcPr>
            <w:tcW w:w="1710" w:type="dxa"/>
            <w:shd w:val="clear" w:color="auto" w:fill="auto"/>
            <w:hideMark/>
          </w:tcPr>
          <w:p w:rsidR="003C2C15" w:rsidRPr="00A8196B" w:rsidP="00A7023B" w14:paraId="7F84F85B" w14:textId="03E954B7">
            <w:pPr>
              <w:tabs>
                <w:tab w:val="decimal" w:pos="1024"/>
              </w:tabs>
              <w:spacing w:after="0" w:line="240" w:lineRule="auto"/>
              <w:rPr>
                <w:rFonts w:cs="Arial"/>
                <w:color w:val="000000"/>
                <w:sz w:val="20"/>
                <w:szCs w:val="20"/>
              </w:rPr>
            </w:pPr>
            <w:r w:rsidRPr="00A8196B">
              <w:rPr>
                <w:rFonts w:cs="Arial"/>
                <w:color w:val="000000"/>
                <w:sz w:val="20"/>
                <w:szCs w:val="20"/>
              </w:rPr>
              <w:t>109</w:t>
            </w:r>
          </w:p>
        </w:tc>
        <w:tc>
          <w:tcPr>
            <w:tcW w:w="1260" w:type="dxa"/>
            <w:shd w:val="clear" w:color="auto" w:fill="auto"/>
            <w:hideMark/>
          </w:tcPr>
          <w:p w:rsidR="003C2C15" w:rsidRPr="00A8196B" w:rsidP="00A7023B" w14:paraId="2B38C5AD" w14:textId="39ABE994">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A7023B" w14:paraId="3C045930" w14:textId="0688AA5B">
            <w:pPr>
              <w:tabs>
                <w:tab w:val="decimal" w:pos="1204"/>
              </w:tabs>
              <w:spacing w:after="0" w:line="240" w:lineRule="auto"/>
              <w:rPr>
                <w:rFonts w:cs="Arial"/>
                <w:b/>
                <w:color w:val="000000"/>
                <w:sz w:val="20"/>
                <w:szCs w:val="20"/>
              </w:rPr>
            </w:pPr>
            <w:r w:rsidRPr="00A8196B">
              <w:rPr>
                <w:rFonts w:cs="Arial"/>
                <w:b/>
                <w:color w:val="000000"/>
                <w:sz w:val="20"/>
                <w:szCs w:val="20"/>
              </w:rPr>
              <w:t>$741,200</w:t>
            </w:r>
          </w:p>
        </w:tc>
      </w:tr>
      <w:tr w14:paraId="7B8D9B85"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23CA9BE0" w14:textId="77777777">
            <w:pPr>
              <w:spacing w:after="0" w:line="240" w:lineRule="auto"/>
              <w:ind w:firstLine="400" w:firstLineChars="200"/>
              <w:rPr>
                <w:rFonts w:cs="Arial"/>
                <w:color w:val="000000"/>
                <w:sz w:val="20"/>
                <w:szCs w:val="20"/>
              </w:rPr>
            </w:pPr>
            <w:r w:rsidRPr="00A8196B">
              <w:rPr>
                <w:rFonts w:cs="Arial"/>
                <w:color w:val="000000"/>
                <w:sz w:val="20"/>
                <w:szCs w:val="20"/>
              </w:rPr>
              <w:t>R&amp;D</w:t>
            </w:r>
          </w:p>
        </w:tc>
        <w:tc>
          <w:tcPr>
            <w:tcW w:w="1710" w:type="dxa"/>
            <w:shd w:val="clear" w:color="auto" w:fill="auto"/>
            <w:hideMark/>
          </w:tcPr>
          <w:p w:rsidR="003C2C15" w:rsidRPr="00A8196B" w:rsidP="00A7023B" w14:paraId="2ECAB618" w14:textId="6981A998">
            <w:pPr>
              <w:tabs>
                <w:tab w:val="decimal" w:pos="1024"/>
              </w:tabs>
              <w:spacing w:after="0" w:line="240" w:lineRule="auto"/>
              <w:rPr>
                <w:rFonts w:cs="Arial"/>
                <w:color w:val="000000"/>
                <w:sz w:val="20"/>
                <w:szCs w:val="20"/>
              </w:rPr>
            </w:pPr>
            <w:r w:rsidRPr="00A8196B">
              <w:rPr>
                <w:rFonts w:cs="Arial"/>
                <w:color w:val="000000"/>
                <w:sz w:val="20"/>
                <w:szCs w:val="20"/>
              </w:rPr>
              <w:t>200</w:t>
            </w:r>
          </w:p>
        </w:tc>
        <w:tc>
          <w:tcPr>
            <w:tcW w:w="1260" w:type="dxa"/>
            <w:shd w:val="clear" w:color="auto" w:fill="auto"/>
            <w:hideMark/>
          </w:tcPr>
          <w:p w:rsidR="003C2C15" w:rsidRPr="00A8196B" w:rsidP="00A7023B" w14:paraId="31B888C4" w14:textId="132CA843">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A7023B" w14:paraId="0F639D13" w14:textId="43FC177C">
            <w:pPr>
              <w:tabs>
                <w:tab w:val="decimal" w:pos="1204"/>
              </w:tabs>
              <w:spacing w:after="0" w:line="240" w:lineRule="auto"/>
              <w:rPr>
                <w:rFonts w:cs="Arial"/>
                <w:b/>
                <w:color w:val="000000"/>
                <w:sz w:val="20"/>
                <w:szCs w:val="20"/>
              </w:rPr>
            </w:pPr>
            <w:r w:rsidRPr="00A8196B">
              <w:rPr>
                <w:rFonts w:cs="Arial"/>
                <w:b/>
                <w:color w:val="000000"/>
                <w:sz w:val="20"/>
                <w:szCs w:val="20"/>
              </w:rPr>
              <w:t>$1,360,000</w:t>
            </w:r>
          </w:p>
        </w:tc>
      </w:tr>
      <w:tr w14:paraId="16440675"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0294314F" w14:textId="77777777">
            <w:pPr>
              <w:spacing w:after="0" w:line="240" w:lineRule="auto"/>
              <w:ind w:firstLine="400" w:firstLineChars="200"/>
              <w:rPr>
                <w:rFonts w:cs="Arial"/>
                <w:color w:val="000000"/>
                <w:sz w:val="20"/>
                <w:szCs w:val="20"/>
              </w:rPr>
            </w:pPr>
            <w:r w:rsidRPr="00A8196B">
              <w:rPr>
                <w:rFonts w:cs="Arial"/>
                <w:color w:val="000000"/>
                <w:sz w:val="20"/>
                <w:szCs w:val="20"/>
              </w:rPr>
              <w:t>Film Articles</w:t>
            </w:r>
          </w:p>
        </w:tc>
        <w:tc>
          <w:tcPr>
            <w:tcW w:w="1710" w:type="dxa"/>
            <w:shd w:val="clear" w:color="auto" w:fill="auto"/>
            <w:hideMark/>
          </w:tcPr>
          <w:p w:rsidR="003C2C15" w:rsidRPr="00A8196B" w:rsidP="00A7023B" w14:paraId="0A345E12" w14:textId="52BC2762">
            <w:pPr>
              <w:tabs>
                <w:tab w:val="decimal" w:pos="1024"/>
              </w:tabs>
              <w:spacing w:after="0" w:line="240" w:lineRule="auto"/>
              <w:rPr>
                <w:rFonts w:cs="Arial"/>
                <w:color w:val="000000"/>
                <w:sz w:val="20"/>
                <w:szCs w:val="20"/>
              </w:rPr>
            </w:pPr>
            <w:r w:rsidRPr="00A8196B">
              <w:rPr>
                <w:rFonts w:cs="Arial"/>
                <w:color w:val="000000"/>
                <w:sz w:val="20"/>
                <w:szCs w:val="20"/>
              </w:rPr>
              <w:t>1</w:t>
            </w:r>
          </w:p>
        </w:tc>
        <w:tc>
          <w:tcPr>
            <w:tcW w:w="1260" w:type="dxa"/>
            <w:shd w:val="clear" w:color="auto" w:fill="auto"/>
            <w:hideMark/>
          </w:tcPr>
          <w:p w:rsidR="003C2C15" w:rsidRPr="00A8196B" w:rsidP="00A7023B" w14:paraId="16099F20" w14:textId="333FCF7C">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A7023B" w14:paraId="0A2A5D25" w14:textId="391DD341">
            <w:pPr>
              <w:tabs>
                <w:tab w:val="decimal" w:pos="1204"/>
              </w:tabs>
              <w:spacing w:after="0" w:line="240" w:lineRule="auto"/>
              <w:rPr>
                <w:rFonts w:cs="Arial"/>
                <w:b/>
                <w:color w:val="000000"/>
                <w:sz w:val="20"/>
                <w:szCs w:val="20"/>
              </w:rPr>
            </w:pPr>
            <w:r w:rsidRPr="00A8196B">
              <w:rPr>
                <w:rFonts w:cs="Arial"/>
                <w:b/>
                <w:color w:val="000000"/>
                <w:sz w:val="20"/>
                <w:szCs w:val="20"/>
              </w:rPr>
              <w:t>$6,800</w:t>
            </w:r>
          </w:p>
        </w:tc>
      </w:tr>
      <w:tr w14:paraId="41F49004"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4AB88691" w14:textId="77777777">
            <w:pPr>
              <w:spacing w:after="0" w:line="240" w:lineRule="auto"/>
              <w:rPr>
                <w:rFonts w:cs="Arial"/>
                <w:color w:val="000000"/>
                <w:sz w:val="20"/>
                <w:szCs w:val="20"/>
                <w:vertAlign w:val="superscript"/>
              </w:rPr>
            </w:pPr>
            <w:r w:rsidRPr="00A8196B">
              <w:rPr>
                <w:rFonts w:cs="Arial"/>
                <w:color w:val="000000"/>
                <w:sz w:val="20"/>
                <w:szCs w:val="20"/>
              </w:rPr>
              <w:t>Bona Fide</w:t>
            </w:r>
            <w:r w:rsidRPr="00A8196B">
              <w:rPr>
                <w:rFonts w:cs="Arial"/>
                <w:color w:val="000000"/>
                <w:sz w:val="20"/>
                <w:szCs w:val="20"/>
                <w:vertAlign w:val="superscript"/>
              </w:rPr>
              <w:t>4</w:t>
            </w:r>
          </w:p>
        </w:tc>
        <w:tc>
          <w:tcPr>
            <w:tcW w:w="1710" w:type="dxa"/>
            <w:shd w:val="clear" w:color="auto" w:fill="auto"/>
            <w:hideMark/>
          </w:tcPr>
          <w:p w:rsidR="003C2C15" w:rsidRPr="00A8196B" w:rsidP="00A7023B" w14:paraId="240F3285" w14:textId="4CE07809">
            <w:pPr>
              <w:tabs>
                <w:tab w:val="decimal" w:pos="1024"/>
              </w:tabs>
              <w:spacing w:after="0" w:line="240" w:lineRule="auto"/>
              <w:rPr>
                <w:rFonts w:cs="Arial"/>
                <w:color w:val="000000"/>
                <w:sz w:val="20"/>
                <w:szCs w:val="20"/>
              </w:rPr>
            </w:pPr>
            <w:r w:rsidRPr="00A8196B">
              <w:rPr>
                <w:rFonts w:cs="Arial"/>
                <w:color w:val="000000"/>
                <w:sz w:val="20"/>
                <w:szCs w:val="20"/>
              </w:rPr>
              <w:t>183</w:t>
            </w:r>
          </w:p>
        </w:tc>
        <w:tc>
          <w:tcPr>
            <w:tcW w:w="1260" w:type="dxa"/>
            <w:shd w:val="clear" w:color="auto" w:fill="auto"/>
            <w:hideMark/>
          </w:tcPr>
          <w:p w:rsidR="003C2C15" w:rsidRPr="00A8196B" w:rsidP="001A16B8" w14:paraId="7611DF32" w14:textId="77777777">
            <w:pPr>
              <w:spacing w:after="0" w:line="240" w:lineRule="auto"/>
              <w:jc w:val="center"/>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1A16B8" w14:paraId="26AC7AED" w14:textId="77777777">
            <w:pPr>
              <w:spacing w:after="0" w:line="240" w:lineRule="auto"/>
              <w:jc w:val="center"/>
              <w:rPr>
                <w:rFonts w:cs="Arial"/>
                <w:b/>
                <w:color w:val="000000"/>
                <w:sz w:val="20"/>
                <w:szCs w:val="20"/>
              </w:rPr>
            </w:pPr>
            <w:r w:rsidRPr="00A8196B">
              <w:rPr>
                <w:rFonts w:cs="Arial"/>
                <w:b/>
                <w:color w:val="000000"/>
                <w:sz w:val="20"/>
                <w:szCs w:val="20"/>
              </w:rPr>
              <w:t>-</w:t>
            </w:r>
          </w:p>
        </w:tc>
      </w:tr>
      <w:tr w14:paraId="290BC00D"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5E45D2F3" w14:textId="77777777">
            <w:pPr>
              <w:spacing w:after="0" w:line="240" w:lineRule="auto"/>
              <w:rPr>
                <w:rFonts w:cs="Arial"/>
                <w:color w:val="000000"/>
                <w:sz w:val="20"/>
                <w:szCs w:val="20"/>
              </w:rPr>
            </w:pPr>
            <w:r w:rsidRPr="00A8196B">
              <w:rPr>
                <w:rFonts w:cs="Arial"/>
                <w:color w:val="000000"/>
                <w:sz w:val="20"/>
                <w:szCs w:val="20"/>
              </w:rPr>
              <w:t>Section 5(e) Orders with Triggered Testing</w:t>
            </w:r>
            <w:r w:rsidRPr="00A8196B">
              <w:rPr>
                <w:rFonts w:cs="Arial"/>
                <w:b/>
                <w:color w:val="000000"/>
                <w:sz w:val="20"/>
                <w:szCs w:val="20"/>
                <w:vertAlign w:val="superscript"/>
              </w:rPr>
              <w:t>4</w:t>
            </w:r>
          </w:p>
        </w:tc>
        <w:tc>
          <w:tcPr>
            <w:tcW w:w="1710" w:type="dxa"/>
            <w:shd w:val="clear" w:color="auto" w:fill="auto"/>
            <w:hideMark/>
          </w:tcPr>
          <w:p w:rsidR="003C2C15" w:rsidRPr="00A8196B" w:rsidP="00A7023B" w14:paraId="37BAAAE4" w14:textId="5A69D5F9">
            <w:pPr>
              <w:tabs>
                <w:tab w:val="decimal" w:pos="1024"/>
              </w:tabs>
              <w:spacing w:after="0" w:line="240" w:lineRule="auto"/>
              <w:rPr>
                <w:rFonts w:cs="Arial"/>
                <w:color w:val="000000"/>
                <w:sz w:val="20"/>
                <w:szCs w:val="20"/>
              </w:rPr>
            </w:pPr>
            <w:r w:rsidRPr="00A8196B">
              <w:rPr>
                <w:rFonts w:cs="Arial"/>
                <w:color w:val="000000"/>
                <w:sz w:val="20"/>
                <w:szCs w:val="20"/>
              </w:rPr>
              <w:t>20</w:t>
            </w:r>
          </w:p>
        </w:tc>
        <w:tc>
          <w:tcPr>
            <w:tcW w:w="1260" w:type="dxa"/>
            <w:shd w:val="clear" w:color="auto" w:fill="auto"/>
            <w:hideMark/>
          </w:tcPr>
          <w:p w:rsidR="003C2C15" w:rsidRPr="00A8196B" w:rsidP="001A16B8" w14:paraId="0F3AB4EA" w14:textId="77777777">
            <w:pPr>
              <w:spacing w:after="0" w:line="240" w:lineRule="auto"/>
              <w:jc w:val="center"/>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1A16B8" w14:paraId="5A3B1E71" w14:textId="77777777">
            <w:pPr>
              <w:spacing w:after="0" w:line="240" w:lineRule="auto"/>
              <w:jc w:val="center"/>
              <w:rPr>
                <w:rFonts w:cs="Arial"/>
                <w:b/>
                <w:color w:val="000000"/>
                <w:sz w:val="20"/>
                <w:szCs w:val="20"/>
              </w:rPr>
            </w:pPr>
            <w:r w:rsidRPr="00A8196B">
              <w:rPr>
                <w:rFonts w:cs="Arial"/>
                <w:b/>
                <w:color w:val="000000"/>
                <w:sz w:val="20"/>
                <w:szCs w:val="20"/>
              </w:rPr>
              <w:t>-</w:t>
            </w:r>
          </w:p>
        </w:tc>
      </w:tr>
      <w:tr w14:paraId="780E27A8"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42D374E2" w14:textId="4E052436">
            <w:pPr>
              <w:spacing w:after="0" w:line="240" w:lineRule="auto"/>
              <w:rPr>
                <w:rFonts w:cs="Arial"/>
                <w:color w:val="000000"/>
                <w:sz w:val="20"/>
                <w:szCs w:val="20"/>
              </w:rPr>
            </w:pPr>
            <w:r w:rsidRPr="00A8196B">
              <w:rPr>
                <w:rFonts w:cs="Arial"/>
                <w:color w:val="000000"/>
                <w:sz w:val="20"/>
                <w:szCs w:val="20"/>
              </w:rPr>
              <w:t>Section 5(e) Orders with Potentially Useful Information/ 5(f) Orders with No Testing</w:t>
            </w:r>
            <w:r w:rsidRPr="00A8196B">
              <w:rPr>
                <w:rFonts w:cs="Arial"/>
                <w:b/>
                <w:color w:val="000000"/>
                <w:sz w:val="20"/>
                <w:szCs w:val="20"/>
                <w:vertAlign w:val="superscript"/>
              </w:rPr>
              <w:t>4</w:t>
            </w:r>
          </w:p>
        </w:tc>
        <w:tc>
          <w:tcPr>
            <w:tcW w:w="1710" w:type="dxa"/>
            <w:shd w:val="clear" w:color="auto" w:fill="auto"/>
            <w:hideMark/>
          </w:tcPr>
          <w:p w:rsidR="003C2C15" w:rsidRPr="00A8196B" w:rsidP="00A7023B" w14:paraId="4537EADA" w14:textId="2942A719">
            <w:pPr>
              <w:tabs>
                <w:tab w:val="decimal" w:pos="1024"/>
              </w:tabs>
              <w:spacing w:after="0" w:line="240" w:lineRule="auto"/>
              <w:rPr>
                <w:rFonts w:cs="Arial"/>
                <w:color w:val="000000"/>
                <w:sz w:val="20"/>
                <w:szCs w:val="20"/>
              </w:rPr>
            </w:pPr>
            <w:r w:rsidRPr="00A8196B">
              <w:rPr>
                <w:rFonts w:cs="Arial"/>
                <w:color w:val="000000"/>
                <w:sz w:val="20"/>
                <w:szCs w:val="20"/>
              </w:rPr>
              <w:t>33</w:t>
            </w:r>
          </w:p>
        </w:tc>
        <w:tc>
          <w:tcPr>
            <w:tcW w:w="1260" w:type="dxa"/>
            <w:shd w:val="clear" w:color="auto" w:fill="auto"/>
            <w:hideMark/>
          </w:tcPr>
          <w:p w:rsidR="003C2C15" w:rsidRPr="00A8196B" w:rsidP="001A16B8" w14:paraId="0D39847D" w14:textId="77777777">
            <w:pPr>
              <w:spacing w:after="0" w:line="240" w:lineRule="auto"/>
              <w:jc w:val="center"/>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1A16B8" w14:paraId="729C7A56" w14:textId="77777777">
            <w:pPr>
              <w:spacing w:after="0" w:line="240" w:lineRule="auto"/>
              <w:jc w:val="center"/>
              <w:rPr>
                <w:rFonts w:cs="Arial"/>
                <w:b/>
                <w:color w:val="000000"/>
                <w:sz w:val="20"/>
                <w:szCs w:val="20"/>
              </w:rPr>
            </w:pPr>
            <w:r w:rsidRPr="00A8196B">
              <w:rPr>
                <w:rFonts w:cs="Arial"/>
                <w:b/>
                <w:color w:val="000000"/>
                <w:sz w:val="20"/>
                <w:szCs w:val="20"/>
              </w:rPr>
              <w:t>-</w:t>
            </w:r>
          </w:p>
        </w:tc>
      </w:tr>
      <w:tr w14:paraId="37B1F813"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52143FF5" w14:textId="77777777">
            <w:pPr>
              <w:spacing w:after="0" w:line="240" w:lineRule="auto"/>
              <w:rPr>
                <w:rFonts w:cs="Arial"/>
                <w:color w:val="000000"/>
                <w:sz w:val="20"/>
                <w:szCs w:val="20"/>
              </w:rPr>
            </w:pPr>
            <w:r w:rsidRPr="00A8196B">
              <w:rPr>
                <w:rFonts w:cs="Arial"/>
                <w:color w:val="000000"/>
                <w:sz w:val="20"/>
                <w:szCs w:val="20"/>
              </w:rPr>
              <w:t>NOC</w:t>
            </w:r>
          </w:p>
        </w:tc>
        <w:tc>
          <w:tcPr>
            <w:tcW w:w="1710" w:type="dxa"/>
            <w:shd w:val="clear" w:color="auto" w:fill="auto"/>
            <w:hideMark/>
          </w:tcPr>
          <w:p w:rsidR="003C2C15" w:rsidRPr="00A8196B" w:rsidP="00A7023B" w14:paraId="6DE67171" w14:textId="7D11244C">
            <w:pPr>
              <w:tabs>
                <w:tab w:val="decimal" w:pos="1024"/>
              </w:tabs>
              <w:spacing w:after="0" w:line="240" w:lineRule="auto"/>
              <w:rPr>
                <w:rFonts w:cs="Arial"/>
                <w:color w:val="000000"/>
                <w:sz w:val="20"/>
                <w:szCs w:val="20"/>
              </w:rPr>
            </w:pPr>
            <w:r w:rsidRPr="00A8196B">
              <w:rPr>
                <w:rFonts w:cs="Arial"/>
                <w:color w:val="000000"/>
                <w:sz w:val="20"/>
                <w:szCs w:val="20"/>
              </w:rPr>
              <w:t>169</w:t>
            </w:r>
          </w:p>
        </w:tc>
        <w:tc>
          <w:tcPr>
            <w:tcW w:w="1260" w:type="dxa"/>
            <w:shd w:val="clear" w:color="auto" w:fill="auto"/>
            <w:hideMark/>
          </w:tcPr>
          <w:p w:rsidR="003C2C15" w:rsidRPr="00A8196B" w:rsidP="00A7023B" w14:paraId="3C9AFB48" w14:textId="320783EA">
            <w:pPr>
              <w:tabs>
                <w:tab w:val="decimal" w:pos="1024"/>
              </w:tabs>
              <w:spacing w:after="0" w:line="240" w:lineRule="auto"/>
              <w:rPr>
                <w:rFonts w:cs="Arial"/>
                <w:color w:val="000000"/>
                <w:sz w:val="20"/>
                <w:szCs w:val="20"/>
              </w:rPr>
            </w:pPr>
            <w:r w:rsidRPr="00A8196B">
              <w:rPr>
                <w:rFonts w:cs="Arial"/>
                <w:color w:val="000000"/>
                <w:sz w:val="20"/>
                <w:szCs w:val="20"/>
              </w:rPr>
              <w:t>$</w:t>
            </w:r>
            <w:r w:rsidRPr="00A8196B" w:rsidR="009E02ED">
              <w:rPr>
                <w:rFonts w:cs="Arial"/>
                <w:color w:val="000000"/>
                <w:sz w:val="20"/>
                <w:szCs w:val="20"/>
              </w:rPr>
              <w:t>7,024</w:t>
            </w:r>
          </w:p>
        </w:tc>
        <w:tc>
          <w:tcPr>
            <w:tcW w:w="1605" w:type="dxa"/>
            <w:shd w:val="clear" w:color="auto" w:fill="auto"/>
            <w:hideMark/>
          </w:tcPr>
          <w:p w:rsidR="003C2C15" w:rsidRPr="00A8196B" w:rsidP="00A7023B" w14:paraId="20A6BD1E" w14:textId="30233CF4">
            <w:pPr>
              <w:tabs>
                <w:tab w:val="decimal" w:pos="1204"/>
              </w:tabs>
              <w:spacing w:after="0" w:line="240" w:lineRule="auto"/>
              <w:rPr>
                <w:rFonts w:cs="Arial"/>
                <w:b/>
                <w:color w:val="000000"/>
                <w:sz w:val="20"/>
                <w:szCs w:val="20"/>
              </w:rPr>
            </w:pPr>
            <w:r w:rsidRPr="00A8196B">
              <w:rPr>
                <w:rFonts w:cs="Arial"/>
                <w:b/>
                <w:color w:val="000000"/>
                <w:sz w:val="20"/>
                <w:szCs w:val="20"/>
              </w:rPr>
              <w:t>$1,</w:t>
            </w:r>
            <w:r w:rsidRPr="00A8196B" w:rsidR="009E02ED">
              <w:rPr>
                <w:rFonts w:cs="Arial"/>
                <w:b/>
                <w:color w:val="000000"/>
                <w:sz w:val="20"/>
                <w:szCs w:val="20"/>
              </w:rPr>
              <w:t>187,056</w:t>
            </w:r>
          </w:p>
        </w:tc>
      </w:tr>
      <w:tr w14:paraId="565CA60C"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4186B204" w14:textId="77777777">
            <w:pPr>
              <w:spacing w:after="0" w:line="240" w:lineRule="auto"/>
              <w:rPr>
                <w:rFonts w:cs="Arial"/>
                <w:color w:val="000000"/>
                <w:sz w:val="20"/>
                <w:szCs w:val="20"/>
                <w:vertAlign w:val="superscript"/>
              </w:rPr>
            </w:pPr>
            <w:r w:rsidRPr="00A8196B">
              <w:rPr>
                <w:rFonts w:cs="Arial"/>
                <w:color w:val="000000"/>
                <w:sz w:val="20"/>
                <w:szCs w:val="20"/>
              </w:rPr>
              <w:t>New CDX Registration</w:t>
            </w:r>
            <w:r w:rsidRPr="00A8196B">
              <w:rPr>
                <w:rFonts w:cs="Arial"/>
                <w:color w:val="000000"/>
                <w:sz w:val="20"/>
                <w:szCs w:val="20"/>
                <w:vertAlign w:val="superscript"/>
              </w:rPr>
              <w:t>4</w:t>
            </w:r>
          </w:p>
        </w:tc>
        <w:tc>
          <w:tcPr>
            <w:tcW w:w="1710" w:type="dxa"/>
            <w:shd w:val="clear" w:color="auto" w:fill="auto"/>
            <w:hideMark/>
          </w:tcPr>
          <w:p w:rsidR="003C2C15" w:rsidRPr="00A8196B" w:rsidP="00A7023B" w14:paraId="6768175F" w14:textId="120EDBF9">
            <w:pPr>
              <w:tabs>
                <w:tab w:val="decimal" w:pos="1024"/>
              </w:tabs>
              <w:spacing w:after="0" w:line="240" w:lineRule="auto"/>
              <w:rPr>
                <w:rFonts w:cs="Arial"/>
                <w:color w:val="000000"/>
                <w:sz w:val="20"/>
                <w:szCs w:val="20"/>
              </w:rPr>
            </w:pPr>
            <w:r w:rsidRPr="00A8196B">
              <w:rPr>
                <w:rFonts w:cs="Arial"/>
                <w:color w:val="000000"/>
                <w:sz w:val="20"/>
                <w:szCs w:val="20"/>
              </w:rPr>
              <w:t>2942</w:t>
            </w:r>
          </w:p>
        </w:tc>
        <w:tc>
          <w:tcPr>
            <w:tcW w:w="1260" w:type="dxa"/>
            <w:shd w:val="clear" w:color="auto" w:fill="auto"/>
            <w:hideMark/>
          </w:tcPr>
          <w:p w:rsidR="003C2C15" w:rsidRPr="00A8196B" w:rsidP="001A16B8" w14:paraId="1F558223" w14:textId="77777777">
            <w:pPr>
              <w:spacing w:after="0" w:line="240" w:lineRule="auto"/>
              <w:jc w:val="center"/>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1A16B8" w14:paraId="2E6E3E66" w14:textId="77777777">
            <w:pPr>
              <w:spacing w:after="0" w:line="240" w:lineRule="auto"/>
              <w:jc w:val="center"/>
              <w:rPr>
                <w:rFonts w:cs="Arial"/>
                <w:b/>
                <w:color w:val="000000"/>
                <w:sz w:val="20"/>
                <w:szCs w:val="20"/>
              </w:rPr>
            </w:pPr>
            <w:r w:rsidRPr="00A8196B">
              <w:rPr>
                <w:rFonts w:cs="Arial"/>
                <w:b/>
                <w:color w:val="000000"/>
                <w:sz w:val="20"/>
                <w:szCs w:val="20"/>
              </w:rPr>
              <w:t>-</w:t>
            </w:r>
          </w:p>
        </w:tc>
      </w:tr>
      <w:tr w14:paraId="0EA48E91"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1A16B8" w14:paraId="3B5AEFC7" w14:textId="77777777">
            <w:pPr>
              <w:spacing w:after="0" w:line="240" w:lineRule="auto"/>
              <w:rPr>
                <w:rFonts w:cs="Arial"/>
                <w:color w:val="000000"/>
                <w:sz w:val="20"/>
                <w:szCs w:val="20"/>
              </w:rPr>
            </w:pPr>
            <w:r w:rsidRPr="00A8196B">
              <w:rPr>
                <w:rFonts w:cs="Arial"/>
                <w:color w:val="000000"/>
                <w:sz w:val="20"/>
                <w:szCs w:val="20"/>
              </w:rPr>
              <w:t>Risk Management</w:t>
            </w:r>
            <w:r w:rsidRPr="00A8196B">
              <w:rPr>
                <w:rFonts w:cs="Arial"/>
                <w:color w:val="000000"/>
                <w:sz w:val="20"/>
                <w:szCs w:val="20"/>
                <w:vertAlign w:val="superscript"/>
              </w:rPr>
              <w:t>5</w:t>
            </w:r>
          </w:p>
        </w:tc>
        <w:tc>
          <w:tcPr>
            <w:tcW w:w="1710" w:type="dxa"/>
            <w:shd w:val="clear" w:color="auto" w:fill="auto"/>
            <w:hideMark/>
          </w:tcPr>
          <w:p w:rsidR="003C2C15" w:rsidRPr="00A8196B" w:rsidP="001A16B8" w14:paraId="2AAD81D5" w14:textId="77777777">
            <w:pPr>
              <w:spacing w:after="0" w:line="240" w:lineRule="auto"/>
              <w:jc w:val="center"/>
              <w:rPr>
                <w:rFonts w:cs="Arial"/>
                <w:color w:val="000000"/>
                <w:sz w:val="20"/>
                <w:szCs w:val="20"/>
              </w:rPr>
            </w:pPr>
            <w:r w:rsidRPr="00A8196B">
              <w:rPr>
                <w:rFonts w:cs="Arial"/>
                <w:color w:val="000000"/>
                <w:sz w:val="20"/>
                <w:szCs w:val="20"/>
              </w:rPr>
              <w:t>-</w:t>
            </w:r>
          </w:p>
        </w:tc>
        <w:tc>
          <w:tcPr>
            <w:tcW w:w="1260" w:type="dxa"/>
            <w:shd w:val="clear" w:color="auto" w:fill="auto"/>
            <w:hideMark/>
          </w:tcPr>
          <w:p w:rsidR="003C2C15" w:rsidRPr="00A8196B" w:rsidP="001A16B8" w14:paraId="5D5A885E" w14:textId="77777777">
            <w:pPr>
              <w:spacing w:after="0" w:line="240" w:lineRule="auto"/>
              <w:jc w:val="center"/>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A7023B" w14:paraId="752E5CA1" w14:textId="5F19A91C">
            <w:pPr>
              <w:tabs>
                <w:tab w:val="decimal" w:pos="1204"/>
              </w:tabs>
              <w:spacing w:after="0" w:line="240" w:lineRule="auto"/>
              <w:rPr>
                <w:rFonts w:cs="Arial"/>
                <w:b/>
                <w:color w:val="000000"/>
                <w:sz w:val="20"/>
                <w:szCs w:val="20"/>
              </w:rPr>
            </w:pPr>
            <w:r w:rsidRPr="00A8196B">
              <w:rPr>
                <w:rFonts w:cs="Arial"/>
                <w:b/>
                <w:color w:val="000000"/>
                <w:sz w:val="20"/>
                <w:szCs w:val="20"/>
              </w:rPr>
              <w:t>$</w:t>
            </w:r>
            <w:r w:rsidRPr="00A8196B" w:rsidR="009E02ED">
              <w:rPr>
                <w:rFonts w:cs="Arial"/>
                <w:b/>
                <w:color w:val="000000"/>
                <w:sz w:val="20"/>
                <w:szCs w:val="20"/>
              </w:rPr>
              <w:t>5,866,000</w:t>
            </w:r>
          </w:p>
        </w:tc>
      </w:tr>
      <w:tr w14:paraId="41A51820" w14:textId="77777777" w:rsidTr="00A7023B">
        <w:tblPrEx>
          <w:tblW w:w="5000" w:type="pct"/>
          <w:tblLayout w:type="fixed"/>
          <w:tblCellMar>
            <w:left w:w="58" w:type="dxa"/>
            <w:right w:w="58" w:type="dxa"/>
          </w:tblCellMar>
          <w:tblLook w:val="04A0"/>
        </w:tblPrEx>
        <w:tc>
          <w:tcPr>
            <w:tcW w:w="7717" w:type="dxa"/>
            <w:gridSpan w:val="3"/>
            <w:shd w:val="clear" w:color="auto" w:fill="auto"/>
            <w:hideMark/>
          </w:tcPr>
          <w:p w:rsidR="003C2C15" w:rsidRPr="00A8196B" w:rsidP="001A16B8" w14:paraId="59FE10BD" w14:textId="77777777">
            <w:pPr>
              <w:spacing w:after="0" w:line="240" w:lineRule="auto"/>
              <w:rPr>
                <w:rFonts w:cs="Arial"/>
                <w:b/>
                <w:color w:val="000000"/>
                <w:sz w:val="20"/>
                <w:szCs w:val="20"/>
              </w:rPr>
            </w:pPr>
            <w:r w:rsidRPr="00A8196B">
              <w:rPr>
                <w:rFonts w:cs="Arial"/>
                <w:b/>
                <w:color w:val="000000"/>
                <w:sz w:val="20"/>
                <w:szCs w:val="20"/>
              </w:rPr>
              <w:t>Total</w:t>
            </w:r>
          </w:p>
        </w:tc>
        <w:tc>
          <w:tcPr>
            <w:tcW w:w="1605" w:type="dxa"/>
            <w:shd w:val="clear" w:color="auto" w:fill="auto"/>
            <w:hideMark/>
          </w:tcPr>
          <w:p w:rsidR="003C2C15" w:rsidRPr="00A8196B" w:rsidP="00A7023B" w14:paraId="02D5081E" w14:textId="4A930C3B">
            <w:pPr>
              <w:tabs>
                <w:tab w:val="decimal" w:pos="1204"/>
              </w:tabs>
              <w:spacing w:after="0" w:line="240" w:lineRule="auto"/>
              <w:rPr>
                <w:rFonts w:cs="Arial"/>
                <w:b/>
                <w:color w:val="000000"/>
                <w:sz w:val="20"/>
                <w:szCs w:val="20"/>
              </w:rPr>
            </w:pPr>
            <w:r w:rsidRPr="00A8196B">
              <w:rPr>
                <w:rFonts w:cs="Arial"/>
                <w:b/>
                <w:color w:val="000000"/>
                <w:sz w:val="20"/>
                <w:szCs w:val="20"/>
              </w:rPr>
              <w:t>$</w:t>
            </w:r>
            <w:r w:rsidR="007A2F55">
              <w:rPr>
                <w:rFonts w:cs="Arial"/>
                <w:b/>
                <w:color w:val="000000"/>
                <w:sz w:val="20"/>
                <w:szCs w:val="20"/>
              </w:rPr>
              <w:t>2</w:t>
            </w:r>
            <w:r w:rsidR="00070890">
              <w:rPr>
                <w:rFonts w:cs="Arial"/>
                <w:b/>
                <w:color w:val="000000"/>
                <w:sz w:val="20"/>
                <w:szCs w:val="20"/>
              </w:rPr>
              <w:t>6</w:t>
            </w:r>
            <w:r w:rsidR="00BA2B4B">
              <w:rPr>
                <w:rFonts w:cs="Arial"/>
                <w:b/>
                <w:color w:val="000000"/>
                <w:sz w:val="20"/>
                <w:szCs w:val="20"/>
              </w:rPr>
              <w:t>,959</w:t>
            </w:r>
            <w:r w:rsidR="007A2F55">
              <w:rPr>
                <w:rFonts w:cs="Arial"/>
                <w:b/>
                <w:color w:val="000000"/>
                <w:sz w:val="20"/>
                <w:szCs w:val="20"/>
              </w:rPr>
              <w:t>,416</w:t>
            </w:r>
          </w:p>
        </w:tc>
      </w:tr>
    </w:tbl>
    <w:p w:rsidR="00C47D6B" w:rsidRPr="00A8196B" w:rsidP="00A7023B" w14:paraId="55E4FB8D" w14:textId="77777777">
      <w:pPr>
        <w:spacing w:after="0" w:line="240" w:lineRule="auto"/>
        <w:rPr>
          <w:vanish/>
          <w:sz w:val="2"/>
          <w:szCs w:val="2"/>
        </w:rPr>
      </w:pPr>
    </w:p>
    <w:tbl>
      <w:tblPr>
        <w:tblW w:w="0" w:type="auto"/>
        <w:tblLayout w:type="fixed"/>
        <w:tblCellMar>
          <w:left w:w="58" w:type="dxa"/>
          <w:right w:w="58" w:type="dxa"/>
        </w:tblCellMar>
        <w:tblLook w:val="04A0"/>
      </w:tblPr>
      <w:tblGrid>
        <w:gridCol w:w="180"/>
        <w:gridCol w:w="9180"/>
      </w:tblGrid>
      <w:tr w14:paraId="2E3B0780" w14:textId="77777777" w:rsidTr="00AC4930">
        <w:tblPrEx>
          <w:tblW w:w="0" w:type="auto"/>
          <w:tblLayout w:type="fixed"/>
          <w:tblCellMar>
            <w:left w:w="58" w:type="dxa"/>
            <w:right w:w="58" w:type="dxa"/>
          </w:tblCellMar>
          <w:tblLook w:val="04A0"/>
        </w:tblPrEx>
        <w:tc>
          <w:tcPr>
            <w:tcW w:w="9360" w:type="dxa"/>
            <w:gridSpan w:val="2"/>
            <w:tcBorders>
              <w:top w:val="nil"/>
              <w:left w:val="nil"/>
              <w:bottom w:val="nil"/>
              <w:right w:val="nil"/>
            </w:tcBorders>
            <w:shd w:val="clear" w:color="auto" w:fill="auto"/>
          </w:tcPr>
          <w:p w:rsidR="00F64E1E" w:rsidRPr="00A8196B" w:rsidP="001A16B8" w14:paraId="0A926BB7" w14:textId="0DD85B49">
            <w:pPr>
              <w:spacing w:after="0" w:line="240" w:lineRule="auto"/>
              <w:rPr>
                <w:b/>
                <w:bCs/>
                <w:color w:val="000000"/>
                <w:sz w:val="18"/>
                <w:szCs w:val="18"/>
              </w:rPr>
            </w:pPr>
            <w:r w:rsidRPr="00A8196B">
              <w:rPr>
                <w:b/>
                <w:bCs/>
                <w:color w:val="000000"/>
                <w:sz w:val="18"/>
                <w:szCs w:val="18"/>
              </w:rPr>
              <w:t>Footnotes</w:t>
            </w:r>
          </w:p>
        </w:tc>
      </w:tr>
      <w:tr w14:paraId="78A2D1D6" w14:textId="43E3FCA5"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hideMark/>
          </w:tcPr>
          <w:p w:rsidR="003C2C15" w:rsidRPr="00A8196B" w:rsidP="001A16B8" w14:paraId="759B6A6D" w14:textId="77777777">
            <w:pPr>
              <w:spacing w:after="0" w:line="240" w:lineRule="auto"/>
              <w:jc w:val="right"/>
              <w:rPr>
                <w:rFonts w:cs="Arial"/>
                <w:color w:val="000000"/>
                <w:sz w:val="20"/>
                <w:szCs w:val="20"/>
              </w:rPr>
            </w:pPr>
            <w:r w:rsidRPr="00A8196B">
              <w:rPr>
                <w:rFonts w:cs="Arial"/>
                <w:color w:val="000000"/>
                <w:sz w:val="20"/>
                <w:szCs w:val="20"/>
                <w:vertAlign w:val="superscript"/>
              </w:rPr>
              <w:t>1</w:t>
            </w:r>
          </w:p>
        </w:tc>
        <w:tc>
          <w:tcPr>
            <w:tcW w:w="9180" w:type="dxa"/>
            <w:tcBorders>
              <w:top w:val="double" w:sz="6" w:space="0" w:color="auto"/>
              <w:left w:val="nil"/>
              <w:bottom w:val="nil"/>
              <w:right w:val="nil"/>
            </w:tcBorders>
            <w:shd w:val="clear" w:color="auto" w:fill="auto"/>
            <w:hideMark/>
          </w:tcPr>
          <w:p w:rsidR="003C2C15" w:rsidRPr="00A8196B" w:rsidP="001A16B8" w14:paraId="664ED088" w14:textId="2F548C70">
            <w:pPr>
              <w:spacing w:after="0" w:line="240" w:lineRule="auto"/>
              <w:rPr>
                <w:rFonts w:cs="Arial"/>
                <w:color w:val="000000"/>
                <w:sz w:val="20"/>
                <w:szCs w:val="20"/>
              </w:rPr>
            </w:pPr>
            <w:r w:rsidRPr="00A8196B">
              <w:rPr>
                <w:color w:val="000000"/>
                <w:sz w:val="18"/>
                <w:szCs w:val="18"/>
              </w:rPr>
              <w:t>Values derived from TSCA User Fees Technical Support Document (2018).</w:t>
            </w:r>
          </w:p>
        </w:tc>
      </w:tr>
      <w:tr w14:paraId="7B52BD69"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hideMark/>
          </w:tcPr>
          <w:p w:rsidR="003C2C15" w:rsidRPr="00A8196B" w:rsidP="001A16B8" w14:paraId="1958F62E" w14:textId="77777777">
            <w:pPr>
              <w:spacing w:after="0" w:line="240" w:lineRule="auto"/>
              <w:jc w:val="right"/>
              <w:rPr>
                <w:rFonts w:cs="Arial"/>
                <w:color w:val="000000"/>
                <w:sz w:val="20"/>
                <w:szCs w:val="20"/>
              </w:rPr>
            </w:pPr>
            <w:r w:rsidRPr="00A8196B">
              <w:rPr>
                <w:rFonts w:cs="Arial"/>
                <w:color w:val="000000"/>
                <w:sz w:val="20"/>
                <w:szCs w:val="20"/>
                <w:vertAlign w:val="superscript"/>
              </w:rPr>
              <w:t>2</w:t>
            </w:r>
          </w:p>
        </w:tc>
        <w:tc>
          <w:tcPr>
            <w:tcW w:w="9180" w:type="dxa"/>
            <w:tcBorders>
              <w:top w:val="nil"/>
              <w:left w:val="nil"/>
              <w:bottom w:val="nil"/>
              <w:right w:val="nil"/>
            </w:tcBorders>
            <w:shd w:val="clear" w:color="auto" w:fill="auto"/>
            <w:hideMark/>
          </w:tcPr>
          <w:p w:rsidR="003C2C15" w:rsidRPr="00A8196B" w:rsidP="001A16B8" w14:paraId="04E90ADF" w14:textId="77777777">
            <w:pPr>
              <w:spacing w:after="0" w:line="240" w:lineRule="auto"/>
              <w:rPr>
                <w:rFonts w:cs="Arial"/>
                <w:color w:val="000000"/>
                <w:sz w:val="18"/>
                <w:szCs w:val="18"/>
              </w:rPr>
            </w:pPr>
            <w:r w:rsidRPr="00A8196B">
              <w:rPr>
                <w:rFonts w:cs="Arial"/>
                <w:color w:val="000000"/>
                <w:sz w:val="18"/>
                <w:szCs w:val="18"/>
              </w:rPr>
              <w:t>Total Agency Cost per type of notice calculated as average cost per notice multiplied by average number of annual responses per type of notice.</w:t>
            </w:r>
          </w:p>
        </w:tc>
      </w:tr>
      <w:tr w14:paraId="60FDAD99"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hideMark/>
          </w:tcPr>
          <w:p w:rsidR="003C2C15" w:rsidRPr="00A8196B" w:rsidP="001A16B8" w14:paraId="30397263" w14:textId="77777777">
            <w:pPr>
              <w:spacing w:after="0" w:line="240" w:lineRule="auto"/>
              <w:jc w:val="right"/>
              <w:rPr>
                <w:rFonts w:cs="Arial"/>
                <w:color w:val="000000"/>
                <w:sz w:val="20"/>
                <w:szCs w:val="20"/>
              </w:rPr>
            </w:pPr>
            <w:r w:rsidRPr="00A8196B">
              <w:rPr>
                <w:rFonts w:cs="Arial"/>
                <w:color w:val="000000"/>
                <w:sz w:val="20"/>
                <w:szCs w:val="20"/>
                <w:vertAlign w:val="superscript"/>
              </w:rPr>
              <w:t>3</w:t>
            </w:r>
          </w:p>
        </w:tc>
        <w:tc>
          <w:tcPr>
            <w:tcW w:w="9180" w:type="dxa"/>
            <w:tcBorders>
              <w:top w:val="nil"/>
              <w:left w:val="nil"/>
              <w:bottom w:val="nil"/>
              <w:right w:val="nil"/>
            </w:tcBorders>
            <w:shd w:val="clear" w:color="auto" w:fill="auto"/>
            <w:hideMark/>
          </w:tcPr>
          <w:p w:rsidR="003C2C15" w:rsidRPr="00A8196B" w:rsidP="001A16B8" w14:paraId="26E60294" w14:textId="12AF420D">
            <w:pPr>
              <w:spacing w:after="0" w:line="240" w:lineRule="auto"/>
              <w:rPr>
                <w:rFonts w:cs="Arial"/>
                <w:color w:val="000000"/>
                <w:sz w:val="18"/>
                <w:szCs w:val="18"/>
              </w:rPr>
            </w:pPr>
            <w:r w:rsidRPr="00A8196B">
              <w:rPr>
                <w:rFonts w:cs="Arial"/>
                <w:color w:val="000000"/>
                <w:sz w:val="18"/>
                <w:szCs w:val="18"/>
              </w:rPr>
              <w:t xml:space="preserve">Average of annual responses of PMN/SNUN/MCAN based on historical activity and are expected to decline because fees were increased by the final rule titled </w:t>
            </w:r>
            <w:r w:rsidRPr="00A8196B">
              <w:rPr>
                <w:rFonts w:cs="Arial"/>
                <w:i/>
                <w:color w:val="000000"/>
                <w:sz w:val="18"/>
                <w:szCs w:val="18"/>
              </w:rPr>
              <w:t>Fees for the Administration of the Toxic Substances Control Act</w:t>
            </w:r>
            <w:r w:rsidRPr="00A8196B">
              <w:rPr>
                <w:rFonts w:cs="Arial"/>
                <w:color w:val="000000"/>
                <w:sz w:val="18"/>
                <w:szCs w:val="18"/>
              </w:rPr>
              <w:t xml:space="preserve"> (2018) (83 F</w:t>
            </w:r>
            <w:r w:rsidRPr="00A8196B" w:rsidR="00F64E1E">
              <w:rPr>
                <w:rFonts w:cs="Arial"/>
                <w:color w:val="000000"/>
                <w:sz w:val="18"/>
                <w:szCs w:val="18"/>
              </w:rPr>
              <w:t>R</w:t>
            </w:r>
            <w:r w:rsidRPr="00A8196B">
              <w:rPr>
                <w:rFonts w:cs="Arial"/>
                <w:color w:val="000000"/>
                <w:sz w:val="18"/>
                <w:szCs w:val="18"/>
              </w:rPr>
              <w:t>. 52694).</w:t>
            </w:r>
          </w:p>
        </w:tc>
      </w:tr>
      <w:tr w14:paraId="608C75A3"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tcPr>
          <w:p w:rsidR="003C2C15" w:rsidRPr="00A8196B" w:rsidP="001A16B8" w14:paraId="7EF9AB82" w14:textId="77777777">
            <w:pPr>
              <w:spacing w:after="0" w:line="240" w:lineRule="auto"/>
              <w:jc w:val="right"/>
              <w:rPr>
                <w:rFonts w:cs="Arial"/>
                <w:color w:val="000000"/>
                <w:sz w:val="20"/>
                <w:szCs w:val="20"/>
                <w:vertAlign w:val="superscript"/>
              </w:rPr>
            </w:pPr>
            <w:r w:rsidRPr="00A8196B">
              <w:rPr>
                <w:rFonts w:cs="Arial"/>
                <w:color w:val="000000"/>
                <w:sz w:val="20"/>
                <w:szCs w:val="20"/>
                <w:vertAlign w:val="superscript"/>
              </w:rPr>
              <w:t>4</w:t>
            </w:r>
          </w:p>
        </w:tc>
        <w:tc>
          <w:tcPr>
            <w:tcW w:w="9180" w:type="dxa"/>
            <w:tcBorders>
              <w:top w:val="nil"/>
              <w:left w:val="nil"/>
              <w:bottom w:val="nil"/>
              <w:right w:val="nil"/>
            </w:tcBorders>
            <w:shd w:val="clear" w:color="auto" w:fill="auto"/>
          </w:tcPr>
          <w:p w:rsidR="003C2C15" w:rsidRPr="00A8196B" w:rsidP="001A16B8" w14:paraId="4B358DC4" w14:textId="77777777">
            <w:pPr>
              <w:spacing w:after="0" w:line="240" w:lineRule="auto"/>
              <w:rPr>
                <w:rFonts w:cs="Arial"/>
                <w:color w:val="000000"/>
                <w:sz w:val="18"/>
                <w:szCs w:val="18"/>
              </w:rPr>
            </w:pPr>
            <w:r w:rsidRPr="00A8196B">
              <w:rPr>
                <w:rFonts w:cs="Arial"/>
                <w:color w:val="000000"/>
                <w:sz w:val="18"/>
                <w:szCs w:val="18"/>
              </w:rPr>
              <w:t>Agency costs associated with review of Bona Fide notices, 5(e) orders, 5(f) orders, and new CDX registrations is included in the average cost per notice for PMNs, SNUNs, MCANs, Exemptions and NOCs, as well as in the total Agency cost associated with Risk Management activities.</w:t>
            </w:r>
          </w:p>
        </w:tc>
      </w:tr>
      <w:tr w14:paraId="1364178D"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hideMark/>
          </w:tcPr>
          <w:p w:rsidR="003C2C15" w:rsidRPr="00A8196B" w:rsidP="001A16B8" w14:paraId="0789DB77" w14:textId="77777777">
            <w:pPr>
              <w:spacing w:after="0" w:line="240" w:lineRule="auto"/>
              <w:jc w:val="right"/>
              <w:rPr>
                <w:rFonts w:cs="Arial"/>
                <w:color w:val="000000"/>
                <w:sz w:val="20"/>
                <w:szCs w:val="20"/>
              </w:rPr>
            </w:pPr>
            <w:r w:rsidRPr="00A8196B">
              <w:rPr>
                <w:rFonts w:cs="Arial"/>
                <w:color w:val="000000"/>
                <w:sz w:val="20"/>
                <w:szCs w:val="20"/>
                <w:vertAlign w:val="superscript"/>
              </w:rPr>
              <w:t>5</w:t>
            </w:r>
          </w:p>
        </w:tc>
        <w:tc>
          <w:tcPr>
            <w:tcW w:w="9180" w:type="dxa"/>
            <w:tcBorders>
              <w:top w:val="nil"/>
              <w:left w:val="nil"/>
              <w:bottom w:val="nil"/>
              <w:right w:val="nil"/>
            </w:tcBorders>
            <w:shd w:val="clear" w:color="auto" w:fill="auto"/>
            <w:hideMark/>
          </w:tcPr>
          <w:p w:rsidR="003C2C15" w:rsidRPr="00A8196B" w:rsidP="001A16B8" w14:paraId="4EB51143" w14:textId="77777777">
            <w:pPr>
              <w:spacing w:after="0" w:line="240" w:lineRule="auto"/>
              <w:rPr>
                <w:rFonts w:cs="Arial"/>
                <w:color w:val="000000"/>
                <w:sz w:val="18"/>
                <w:szCs w:val="18"/>
              </w:rPr>
            </w:pPr>
            <w:r w:rsidRPr="00A8196B">
              <w:rPr>
                <w:rFonts w:cs="Arial"/>
                <w:color w:val="000000"/>
                <w:sz w:val="18"/>
                <w:szCs w:val="18"/>
              </w:rPr>
              <w:t>Includes costs associated with taking regulatory actions under TSCA sections 5(e), 5(f), or 5(g), as well as reviewing data submitted from consent orders.</w:t>
            </w:r>
          </w:p>
        </w:tc>
      </w:tr>
    </w:tbl>
    <w:p w:rsidR="00CA19A2" w:rsidRPr="00A8196B" w:rsidP="00A7023B" w14:paraId="25D06F3D" w14:textId="5F7478CB">
      <w:pPr>
        <w:spacing w:before="240"/>
        <w:rPr>
          <w:rFonts w:cs="Arial"/>
          <w:szCs w:val="24"/>
        </w:rPr>
      </w:pPr>
      <w:r w:rsidRPr="00A8196B">
        <w:rPr>
          <w:rFonts w:cs="Arial"/>
          <w:szCs w:val="24"/>
        </w:rPr>
        <w:t>A significant new use rule (SNUR) on an existing chemical substance is the product of a process that is designed to develop the appropriate information-gathering collection for a substance. This process has three major steps: Chemical Referral, Regulatory Selection, and Regulation Development.</w:t>
      </w:r>
    </w:p>
    <w:p w:rsidR="00CA19A2" w:rsidRPr="00A8196B" w:rsidP="009B2563" w14:paraId="537A2CAD" w14:textId="53EFBEE7">
      <w:pPr>
        <w:rPr>
          <w:rFonts w:cs="Arial"/>
          <w:szCs w:val="24"/>
        </w:rPr>
      </w:pPr>
      <w:r w:rsidRPr="00A8196B">
        <w:rPr>
          <w:rFonts w:cs="Arial"/>
          <w:szCs w:val="24"/>
          <w:u w:val="single"/>
        </w:rPr>
        <w:t>Regulatory Development:</w:t>
      </w:r>
      <w:r w:rsidRPr="00A8196B">
        <w:rPr>
          <w:rFonts w:cs="Arial"/>
          <w:szCs w:val="24"/>
        </w:rPr>
        <w:t xml:space="preserve"> Prior to the development of a rule, the recommended rulemaking approach must be reviewed by the referring office and approved by the Office Director of OPPT. If the recommendation is approved, then the rulemaking process begins.</w:t>
      </w:r>
    </w:p>
    <w:p w:rsidR="00A7023B" w:rsidRPr="00A8196B" w:rsidP="009B2563" w14:paraId="74A3D8F0" w14:textId="77777777">
      <w:pPr>
        <w:rPr>
          <w:rFonts w:cs="Arial"/>
          <w:i/>
          <w:szCs w:val="24"/>
        </w:rPr>
      </w:pPr>
      <w:r w:rsidRPr="00A8196B">
        <w:rPr>
          <w:rFonts w:cs="Arial"/>
          <w:szCs w:val="24"/>
        </w:rPr>
        <w:t xml:space="preserve">An existing chemical SNUR is developed and, if OMB determines that the proposed and/or final rule is a significant regulatory action under Executive Order 12866, the draft rule is submitted to OMB for interagency review under Executive Order 12866 prior to proposing or promulgating the rule in the </w:t>
      </w:r>
      <w:r w:rsidRPr="00A8196B">
        <w:rPr>
          <w:rFonts w:cs="Arial"/>
          <w:i/>
          <w:szCs w:val="24"/>
        </w:rPr>
        <w:t>Federal Register.</w:t>
      </w:r>
    </w:p>
    <w:p w:rsidR="00B41016" w:rsidRPr="00A8196B" w:rsidP="009514FE" w14:paraId="7294D842" w14:textId="25154819">
      <w:pPr>
        <w:spacing w:after="0"/>
        <w:rPr>
          <w:rFonts w:eastAsia="Times New Roman" w:cs="Arial"/>
        </w:rPr>
      </w:pPr>
      <w:r w:rsidRPr="00A8196B">
        <w:rPr>
          <w:rFonts w:cs="Arial"/>
        </w:rPr>
        <w:t xml:space="preserve">EPA’s cost to review and process SNUN submissions is assumed to be represented by its costs for a larger category of similar TSCA section 5 notices that includes SNUNs. On </w:t>
      </w:r>
      <w:r w:rsidRPr="00A8196B" w:rsidR="00703879">
        <w:rPr>
          <w:rFonts w:cs="Arial"/>
        </w:rPr>
        <w:t>December 21, 2020</w:t>
      </w:r>
      <w:r w:rsidRPr="00A8196B">
        <w:rPr>
          <w:rFonts w:cs="Arial"/>
        </w:rPr>
        <w:t xml:space="preserve">, EPA </w:t>
      </w:r>
      <w:r w:rsidRPr="00A8196B" w:rsidR="00703879">
        <w:rPr>
          <w:rFonts w:cs="Arial"/>
        </w:rPr>
        <w:t>proposed revisions to the TSCA Fees Rule</w:t>
      </w:r>
      <w:r w:rsidRPr="00A8196B">
        <w:rPr>
          <w:rFonts w:cs="Arial"/>
        </w:rPr>
        <w:t xml:space="preserve"> under the TSCA, as amended in 2016 by the Frank R. Lautenberg Act Chemical Safety for the 21st Century Act. </w:t>
      </w:r>
    </w:p>
    <w:p w:rsidR="00A7023B" w:rsidP="009514FE" w14:paraId="4347BE6B" w14:textId="33D28CFE">
      <w:pPr>
        <w:pStyle w:val="BodyText"/>
        <w:spacing w:before="240" w:after="200" w:line="276" w:lineRule="auto"/>
        <w:rPr>
          <w:rFonts w:cs="Arial"/>
        </w:rPr>
      </w:pPr>
      <w:r w:rsidRPr="00A8196B">
        <w:rPr>
          <w:rFonts w:cs="Arial"/>
        </w:rPr>
        <w:t>In</w:t>
      </w:r>
      <w:r w:rsidRPr="00A8196B" w:rsidR="00703879">
        <w:rPr>
          <w:rFonts w:cs="Arial"/>
        </w:rPr>
        <w:t xml:space="preserve"> revising</w:t>
      </w:r>
      <w:r w:rsidRPr="00A8196B">
        <w:rPr>
          <w:rFonts w:cs="Arial"/>
        </w:rPr>
        <w:t xml:space="preserve"> the fees, EPA </w:t>
      </w:r>
      <w:r w:rsidRPr="00A8196B" w:rsidR="00703879">
        <w:rPr>
          <w:rFonts w:cs="Arial"/>
        </w:rPr>
        <w:t>re-</w:t>
      </w:r>
      <w:r w:rsidRPr="00A8196B">
        <w:rPr>
          <w:rFonts w:cs="Arial"/>
        </w:rPr>
        <w:t>estimated its total annual costs for processing, reviewing, and making determinations under TSCA section 5 between fiscal years 20</w:t>
      </w:r>
      <w:r w:rsidRPr="00A8196B" w:rsidR="00703879">
        <w:rPr>
          <w:rFonts w:cs="Arial"/>
        </w:rPr>
        <w:t>22</w:t>
      </w:r>
      <w:r w:rsidRPr="00A8196B">
        <w:rPr>
          <w:rFonts w:cs="Arial"/>
        </w:rPr>
        <w:t xml:space="preserve"> and 20</w:t>
      </w:r>
      <w:r w:rsidRPr="00A8196B" w:rsidR="00703879">
        <w:rPr>
          <w:rFonts w:cs="Arial"/>
        </w:rPr>
        <w:t>24</w:t>
      </w:r>
      <w:r w:rsidRPr="00A8196B">
        <w:rPr>
          <w:rFonts w:cs="Arial"/>
        </w:rPr>
        <w:t xml:space="preserve">. </w:t>
      </w:r>
      <w:r w:rsidRPr="00A8196B" w:rsidR="00703879">
        <w:rPr>
          <w:rFonts w:cs="Arial"/>
        </w:rPr>
        <w:t>These estimates were based on EPA payroll data, in contrast to the theoretical estimates put forward in the 2018 TSCA Fees Rule.</w:t>
      </w:r>
      <w:r w:rsidRPr="00A8196B">
        <w:rPr>
          <w:rFonts w:cs="Arial"/>
        </w:rPr>
        <w:t xml:space="preserve"> EPA estimated its direct and indirect costs for reviewing PMNs, SNUNs, Microbial Commercial Activity Notices (MCANs) </w:t>
      </w:r>
      <w:r w:rsidRPr="00A8196B" w:rsidR="00703879">
        <w:rPr>
          <w:rFonts w:cs="Arial"/>
        </w:rPr>
        <w:t xml:space="preserve">and exemptions </w:t>
      </w:r>
      <w:r w:rsidRPr="00A8196B">
        <w:rPr>
          <w:rFonts w:cs="Arial"/>
        </w:rPr>
        <w:t>to be $</w:t>
      </w:r>
      <w:r w:rsidR="00256CDB">
        <w:rPr>
          <w:rFonts w:cs="Arial"/>
        </w:rPr>
        <w:t>21,959,416</w:t>
      </w:r>
      <w:r w:rsidRPr="00A8196B">
        <w:rPr>
          <w:rFonts w:cs="Arial"/>
        </w:rPr>
        <w:t xml:space="preserve"> per year during this period</w:t>
      </w:r>
      <w:r w:rsidRPr="00A8196B" w:rsidR="00703879">
        <w:rPr>
          <w:rFonts w:cs="Arial"/>
        </w:rPr>
        <w:t>. The proposed fee rule of 2020 did not provide a cost estimate per PMN, SNUN, MCAN, or exemption, as was present in the 2018 TSCA fees rule. In order to estimate the cost per PMN</w:t>
      </w:r>
      <w:r w:rsidRPr="00A8196B" w:rsidR="005353DB">
        <w:rPr>
          <w:rFonts w:cs="Arial"/>
        </w:rPr>
        <w:t>, SNUN, MCAN, and exemption in this document, we inflate the value of $4</w:t>
      </w:r>
      <w:r w:rsidR="007C756D">
        <w:rPr>
          <w:rFonts w:cs="Arial"/>
        </w:rPr>
        <w:t>9,610</w:t>
      </w:r>
      <w:r w:rsidRPr="00A8196B" w:rsidR="005353DB">
        <w:rPr>
          <w:rFonts w:cs="Arial"/>
        </w:rPr>
        <w:t xml:space="preserve"> (per PMN, SNUN, and MCAN), and the value of $</w:t>
      </w:r>
      <w:r w:rsidR="007C756D">
        <w:rPr>
          <w:rFonts w:cs="Arial"/>
        </w:rPr>
        <w:t>6</w:t>
      </w:r>
      <w:r w:rsidR="00B762C3">
        <w:rPr>
          <w:rFonts w:cs="Arial"/>
        </w:rPr>
        <w:t>,800</w:t>
      </w:r>
      <w:r w:rsidRPr="00A8196B" w:rsidR="005353DB">
        <w:rPr>
          <w:rFonts w:cs="Arial"/>
        </w:rPr>
        <w:t xml:space="preserve"> (per exemption) by a factor of 1.21</w:t>
      </w:r>
      <w:r>
        <w:rPr>
          <w:rStyle w:val="FootnoteReference"/>
          <w:rFonts w:cs="Arial"/>
        </w:rPr>
        <w:footnoteReference w:id="8"/>
      </w:r>
      <w:r w:rsidRPr="00A8196B">
        <w:rPr>
          <w:rFonts w:cs="Arial"/>
        </w:rPr>
        <w:t>This yields an average Agency cost of approximately $</w:t>
      </w:r>
      <w:r w:rsidR="00397110">
        <w:rPr>
          <w:rFonts w:cs="Arial"/>
        </w:rPr>
        <w:t>60,</w:t>
      </w:r>
      <w:r w:rsidR="004D1445">
        <w:rPr>
          <w:rFonts w:cs="Arial"/>
        </w:rPr>
        <w:t>028</w:t>
      </w:r>
      <w:r w:rsidRPr="00A8196B">
        <w:rPr>
          <w:rFonts w:cs="Arial"/>
        </w:rPr>
        <w:t xml:space="preserve"> apiece for reviewing and processing PMNs, SNUNs, and MCANs.</w:t>
      </w:r>
      <w:r>
        <w:rPr>
          <w:rStyle w:val="FootnoteReference"/>
          <w:rFonts w:eastAsiaTheme="majorEastAsia" w:cs="Arial"/>
        </w:rPr>
        <w:footnoteReference w:id="9"/>
      </w:r>
      <w:r w:rsidRPr="00A8196B">
        <w:rPr>
          <w:rFonts w:cs="Arial"/>
        </w:rPr>
        <w:t xml:space="preserve"> Thus, processing and reviewing any SNUNs submitted due to this SNUR is also expected to cost EPA approximately $</w:t>
      </w:r>
      <w:r w:rsidR="004D1445">
        <w:rPr>
          <w:rFonts w:cs="Arial"/>
        </w:rPr>
        <w:t>60,</w:t>
      </w:r>
      <w:r w:rsidR="006320D0">
        <w:rPr>
          <w:rFonts w:cs="Arial"/>
        </w:rPr>
        <w:t>028</w:t>
      </w:r>
      <w:r w:rsidRPr="00A8196B">
        <w:rPr>
          <w:rFonts w:cs="Arial"/>
        </w:rPr>
        <w:t>.</w:t>
      </w:r>
      <w:r w:rsidRPr="00A8196B" w:rsidR="009E02ED">
        <w:rPr>
          <w:rFonts w:cs="Arial"/>
        </w:rPr>
        <w:t xml:space="preserve"> The reviewing of exemptions is expected to cost EPA approximately $</w:t>
      </w:r>
      <w:r w:rsidR="006320D0">
        <w:rPr>
          <w:rFonts w:cs="Arial"/>
        </w:rPr>
        <w:t>8,228</w:t>
      </w:r>
      <w:r w:rsidRPr="00A8196B" w:rsidR="009E02ED">
        <w:rPr>
          <w:rFonts w:cs="Arial"/>
        </w:rPr>
        <w:t>.</w:t>
      </w:r>
    </w:p>
    <w:p w:rsidR="00F60E95" w:rsidRPr="00F60E95" w:rsidP="00F60E95" w14:paraId="522D786D" w14:textId="0A97BE8E">
      <w:pPr>
        <w:spacing w:before="240"/>
        <w:rPr>
          <w:rFonts w:cs="Arial"/>
          <w:b/>
          <w:bCs/>
        </w:rPr>
      </w:pPr>
      <w:r w:rsidRPr="00F60E95">
        <w:rPr>
          <w:rFonts w:cs="Arial"/>
          <w:b/>
          <w:bCs/>
        </w:rPr>
        <w:t>Incremental Change in Agency Costs</w:t>
      </w:r>
    </w:p>
    <w:p w:rsidR="00F60E95" w:rsidRPr="00A8196B" w:rsidP="00F60E95" w14:paraId="0E84A390" w14:textId="1F8B1FA3">
      <w:pPr>
        <w:spacing w:before="240"/>
        <w:rPr>
          <w:rFonts w:cs="Arial"/>
        </w:rPr>
      </w:pPr>
      <w:r w:rsidRPr="00A8196B">
        <w:rPr>
          <w:rFonts w:cs="Arial"/>
        </w:rPr>
        <w:t>The Agency costs associated with this</w:t>
      </w:r>
      <w:r>
        <w:rPr>
          <w:rFonts w:cs="Arial"/>
        </w:rPr>
        <w:t xml:space="preserve"> update</w:t>
      </w:r>
      <w:r w:rsidRPr="00A8196B">
        <w:rPr>
          <w:rFonts w:cs="Arial"/>
        </w:rPr>
        <w:t xml:space="preserve"> information collection are estimated to total </w:t>
      </w:r>
      <w:r>
        <w:rPr>
          <w:rFonts w:cs="Arial"/>
        </w:rPr>
        <w:t xml:space="preserve">a cost </w:t>
      </w:r>
      <w:r w:rsidR="00407122">
        <w:rPr>
          <w:rFonts w:cs="Arial"/>
        </w:rPr>
        <w:t xml:space="preserve">increase of $4,801,937 </w:t>
      </w:r>
      <w:r w:rsidRPr="00A8196B">
        <w:rPr>
          <w:rFonts w:cs="Arial"/>
        </w:rPr>
        <w:t xml:space="preserve">(Table </w:t>
      </w:r>
      <w:r>
        <w:rPr>
          <w:rFonts w:cs="Arial"/>
        </w:rPr>
        <w:t>27</w:t>
      </w:r>
      <w:r w:rsidRPr="00A8196B">
        <w:rPr>
          <w:rFonts w:cs="Arial"/>
        </w:rPr>
        <w:t>). Costs to the government include: (1) review of the chemical substance or significant new use under the conditions of use (circumstances under which the chemical is intended, known or reasonably foreseen to be manufactured, processed, distributed in commerce, used, or disposed of), (2) making a final determination on the chemical substance under TSCA section 5(a)(3), and (3) as appropriate, taking regulatory action under TSCA sections 5(e), 5(f) or 5(g).</w:t>
      </w:r>
    </w:p>
    <w:p w:rsidR="00F60E95" w:rsidRPr="00A8196B" w:rsidP="00F60E95" w14:paraId="118381A4" w14:textId="77777777">
      <w:pPr>
        <w:rPr>
          <w:rFonts w:cs="Arial"/>
        </w:rPr>
      </w:pPr>
      <w:r w:rsidRPr="00A8196B">
        <w:rPr>
          <w:rFonts w:cs="Arial"/>
        </w:rPr>
        <w:t xml:space="preserve">The provisions of TSCA, as amended, result in additional TSCA section 5 Agency costs that arise primarily from the requirement to review the intended, known or reasonably foreseen activities associated with the chemical, from the requirement to make an affirmative risk determination, and from development of significant new use rules (SNURs) and orders that result from our analysis and findings under TSCA, as amended. Therefore, the Agency used the cost estimates from prior experience and prior versions of this ICR as a starting point and then added estimates for the costs of these additional responsibilities to calculate the Agency’s program costs associated with TSCA section 5 as part of the final rule: </w:t>
      </w:r>
      <w:r w:rsidRPr="00A8196B">
        <w:rPr>
          <w:rFonts w:cs="Arial"/>
          <w:i/>
        </w:rPr>
        <w:t>Fees for the Administration of the Toxic Substances Control Act</w:t>
      </w:r>
      <w:r w:rsidRPr="00A8196B">
        <w:rPr>
          <w:rFonts w:cs="Arial"/>
        </w:rPr>
        <w:t xml:space="preserve"> (83 Fed. Reg. 52694) (2018).</w:t>
      </w:r>
    </w:p>
    <w:p w:rsidR="00F60E95" w:rsidRPr="00A8196B" w:rsidP="00F60E95" w14:paraId="7D111823" w14:textId="77777777">
      <w:r w:rsidRPr="00A8196B">
        <w:rPr>
          <w:rFonts w:cs="Arial"/>
        </w:rPr>
        <w:t>Agency cost estimates include the costs of processing, reviewing, and making determinations, and the Agency’s costs of taking any regulatory action, such as with a SNUR or a consent order. Costs of reviewing any data that is submitted to the Agency as a result of an order is also included. Agency cost estimates for administering TSCA section 5 also include the costs associated with processing and retaining records related to NOCs. NOC costs also include the cost of registering the chemical with the Chemical Abstracts Service (CAS). These estimates of average cost per notice are based on projected FTE and extramural support needed for these actions divided by the number of notices the Agency assumes will be received each year once fees are in place. Total Agency cost estimates are then calculated as average cost per notice multiplied by the average number of notices estimated in section 6(b) of this ICR.</w:t>
      </w:r>
    </w:p>
    <w:tbl>
      <w:tblPr>
        <w:tblW w:w="9805" w:type="dxa"/>
        <w:tblInd w:w="5" w:type="dxa"/>
        <w:tblLayout w:type="fixed"/>
        <w:tblLook w:val="04A0"/>
      </w:tblPr>
      <w:tblGrid>
        <w:gridCol w:w="1344"/>
        <w:gridCol w:w="1025"/>
        <w:gridCol w:w="1316"/>
        <w:gridCol w:w="1240"/>
        <w:gridCol w:w="1191"/>
        <w:gridCol w:w="1145"/>
        <w:gridCol w:w="1099"/>
        <w:gridCol w:w="1445"/>
      </w:tblGrid>
      <w:tr w14:paraId="5801601E" w14:textId="77777777" w:rsidTr="003A39CF">
        <w:tblPrEx>
          <w:tblW w:w="9805" w:type="dxa"/>
          <w:tblInd w:w="5" w:type="dxa"/>
          <w:tblLayout w:type="fixed"/>
          <w:tblLook w:val="04A0"/>
        </w:tblPrEx>
        <w:trPr>
          <w:trHeight w:val="290"/>
        </w:trPr>
        <w:tc>
          <w:tcPr>
            <w:tcW w:w="1344" w:type="dxa"/>
            <w:vMerge w:val="restart"/>
            <w:tcBorders>
              <w:top w:val="single" w:sz="4" w:space="0" w:color="auto"/>
              <w:left w:val="single" w:sz="4" w:space="0" w:color="auto"/>
              <w:bottom w:val="single" w:sz="4" w:space="0" w:color="000000"/>
              <w:right w:val="single" w:sz="4" w:space="0" w:color="auto"/>
            </w:tcBorders>
            <w:shd w:val="clear" w:color="000000" w:fill="48A9C5"/>
            <w:vAlign w:val="center"/>
            <w:hideMark/>
          </w:tcPr>
          <w:p w:rsidR="00F60E95" w:rsidRPr="00153C3B" w:rsidP="003A39CF" w14:paraId="13D7F353" w14:textId="341ED22E">
            <w:pPr>
              <w:spacing w:after="0"/>
              <w:rPr>
                <w:rFonts w:ascii="Arial Narrow" w:hAnsi="Arial Narrow" w:cs="Calibri"/>
                <w:b/>
                <w:bCs/>
                <w:color w:val="FFFFFF"/>
                <w:sz w:val="20"/>
              </w:rPr>
            </w:pPr>
            <w:r w:rsidRPr="002434C0">
              <w:rPr>
                <w:b/>
                <w:bCs/>
              </w:rPr>
              <w:t xml:space="preserve">Table </w:t>
            </w:r>
            <w:r>
              <w:rPr>
                <w:b/>
                <w:bCs/>
              </w:rPr>
              <w:t>27</w:t>
            </w:r>
            <w:r w:rsidRPr="002434C0">
              <w:rPr>
                <w:b/>
                <w:bCs/>
              </w:rPr>
              <w:t>:</w:t>
            </w:r>
            <w:r w:rsidRPr="00A8196B">
              <w:t xml:space="preserve"> </w:t>
            </w:r>
            <w:r w:rsidRPr="005A27CE">
              <w:rPr>
                <w:sz w:val="22"/>
                <w:szCs w:val="20"/>
              </w:rPr>
              <w:t xml:space="preserve">Total Agency Cost Calculation </w:t>
            </w:r>
          </w:p>
        </w:tc>
        <w:tc>
          <w:tcPr>
            <w:tcW w:w="2341" w:type="dxa"/>
            <w:gridSpan w:val="2"/>
            <w:tcBorders>
              <w:top w:val="single" w:sz="4" w:space="0" w:color="auto"/>
              <w:left w:val="nil"/>
              <w:bottom w:val="single" w:sz="4" w:space="0" w:color="auto"/>
              <w:right w:val="single" w:sz="4" w:space="0" w:color="000000"/>
            </w:tcBorders>
            <w:shd w:val="clear" w:color="000000" w:fill="48A9C5"/>
            <w:vAlign w:val="center"/>
            <w:hideMark/>
          </w:tcPr>
          <w:p w:rsidR="00F60E95" w:rsidRPr="00153C3B" w:rsidP="003A39CF" w14:paraId="5E9E6D53"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Baseline</w:t>
            </w:r>
          </w:p>
        </w:tc>
        <w:tc>
          <w:tcPr>
            <w:tcW w:w="2431" w:type="dxa"/>
            <w:gridSpan w:val="2"/>
            <w:tcBorders>
              <w:top w:val="single" w:sz="4" w:space="0" w:color="auto"/>
              <w:left w:val="nil"/>
              <w:bottom w:val="single" w:sz="4" w:space="0" w:color="auto"/>
              <w:right w:val="single" w:sz="4" w:space="0" w:color="000000"/>
            </w:tcBorders>
            <w:shd w:val="clear" w:color="000000" w:fill="48A9C5"/>
            <w:vAlign w:val="center"/>
            <w:hideMark/>
          </w:tcPr>
          <w:p w:rsidR="00F60E95" w:rsidRPr="00153C3B" w:rsidP="003A39CF" w14:paraId="7ED4EF80"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Post-Rule</w:t>
            </w:r>
          </w:p>
        </w:tc>
        <w:tc>
          <w:tcPr>
            <w:tcW w:w="3689" w:type="dxa"/>
            <w:gridSpan w:val="3"/>
            <w:tcBorders>
              <w:top w:val="single" w:sz="4" w:space="0" w:color="auto"/>
              <w:left w:val="nil"/>
              <w:bottom w:val="single" w:sz="4" w:space="0" w:color="auto"/>
              <w:right w:val="single" w:sz="4" w:space="0" w:color="000000"/>
            </w:tcBorders>
            <w:shd w:val="clear" w:color="000000" w:fill="48A9C5"/>
            <w:vAlign w:val="center"/>
            <w:hideMark/>
          </w:tcPr>
          <w:p w:rsidR="00F60E95" w:rsidRPr="00153C3B" w:rsidP="003A39CF" w14:paraId="49F50659"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Change</w:t>
            </w:r>
          </w:p>
        </w:tc>
      </w:tr>
      <w:tr w14:paraId="13EA3486" w14:textId="77777777" w:rsidTr="003A39CF">
        <w:tblPrEx>
          <w:tblW w:w="9805" w:type="dxa"/>
          <w:tblInd w:w="5" w:type="dxa"/>
          <w:tblLayout w:type="fixed"/>
          <w:tblLook w:val="04A0"/>
        </w:tblPrEx>
        <w:trPr>
          <w:trHeight w:val="570"/>
        </w:trPr>
        <w:tc>
          <w:tcPr>
            <w:tcW w:w="1344" w:type="dxa"/>
            <w:vMerge/>
            <w:tcBorders>
              <w:top w:val="single" w:sz="4" w:space="0" w:color="auto"/>
              <w:left w:val="single" w:sz="4" w:space="0" w:color="auto"/>
              <w:bottom w:val="single" w:sz="4" w:space="0" w:color="000000"/>
              <w:right w:val="single" w:sz="4" w:space="0" w:color="auto"/>
            </w:tcBorders>
            <w:vAlign w:val="center"/>
            <w:hideMark/>
          </w:tcPr>
          <w:p w:rsidR="00F60E95" w:rsidRPr="00153C3B" w:rsidP="003A39CF" w14:paraId="47D14C4B" w14:textId="77777777">
            <w:pPr>
              <w:spacing w:after="0"/>
              <w:rPr>
                <w:rFonts w:ascii="Arial Narrow" w:hAnsi="Arial Narrow" w:cs="Calibri"/>
                <w:b/>
                <w:bCs/>
                <w:color w:val="FFFFFF"/>
                <w:sz w:val="20"/>
              </w:rPr>
            </w:pPr>
          </w:p>
        </w:tc>
        <w:tc>
          <w:tcPr>
            <w:tcW w:w="1025" w:type="dxa"/>
            <w:tcBorders>
              <w:top w:val="nil"/>
              <w:left w:val="nil"/>
              <w:bottom w:val="single" w:sz="4" w:space="0" w:color="auto"/>
              <w:right w:val="single" w:sz="4" w:space="0" w:color="auto"/>
            </w:tcBorders>
            <w:shd w:val="clear" w:color="000000" w:fill="48A9C5"/>
            <w:vAlign w:val="center"/>
            <w:hideMark/>
          </w:tcPr>
          <w:p w:rsidR="00F60E95" w:rsidRPr="00153C3B" w:rsidP="003A39CF" w14:paraId="4368BA94"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Average Annual Number of Notices</w:t>
            </w:r>
          </w:p>
        </w:tc>
        <w:tc>
          <w:tcPr>
            <w:tcW w:w="1316" w:type="dxa"/>
            <w:tcBorders>
              <w:top w:val="nil"/>
              <w:left w:val="nil"/>
              <w:bottom w:val="single" w:sz="4" w:space="0" w:color="auto"/>
              <w:right w:val="single" w:sz="4" w:space="0" w:color="auto"/>
            </w:tcBorders>
            <w:shd w:val="clear" w:color="000000" w:fill="48A9C5"/>
            <w:vAlign w:val="center"/>
            <w:hideMark/>
          </w:tcPr>
          <w:p w:rsidR="00F60E95" w:rsidRPr="00153C3B" w:rsidP="003A39CF" w14:paraId="23CA97BC"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Per-Notice Cost (2021$)</w:t>
            </w:r>
          </w:p>
        </w:tc>
        <w:tc>
          <w:tcPr>
            <w:tcW w:w="1240" w:type="dxa"/>
            <w:tcBorders>
              <w:top w:val="nil"/>
              <w:left w:val="nil"/>
              <w:bottom w:val="single" w:sz="4" w:space="0" w:color="auto"/>
              <w:right w:val="single" w:sz="4" w:space="0" w:color="auto"/>
            </w:tcBorders>
            <w:shd w:val="clear" w:color="000000" w:fill="48A9C5"/>
            <w:vAlign w:val="center"/>
            <w:hideMark/>
          </w:tcPr>
          <w:p w:rsidR="00F60E95" w:rsidRPr="00153C3B" w:rsidP="003A39CF" w14:paraId="2E2BC437"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Average Annual Number of Notices</w:t>
            </w:r>
          </w:p>
        </w:tc>
        <w:tc>
          <w:tcPr>
            <w:tcW w:w="1191" w:type="dxa"/>
            <w:tcBorders>
              <w:top w:val="nil"/>
              <w:left w:val="nil"/>
              <w:bottom w:val="single" w:sz="4" w:space="0" w:color="auto"/>
              <w:right w:val="single" w:sz="4" w:space="0" w:color="auto"/>
            </w:tcBorders>
            <w:shd w:val="clear" w:color="000000" w:fill="48A9C5"/>
            <w:vAlign w:val="center"/>
            <w:hideMark/>
          </w:tcPr>
          <w:p w:rsidR="00F60E95" w:rsidRPr="00976280" w:rsidP="003A39CF" w14:paraId="60133F4E" w14:textId="374972D4">
            <w:pPr>
              <w:spacing w:after="0"/>
              <w:jc w:val="center"/>
              <w:rPr>
                <w:rFonts w:ascii="Arial Narrow" w:hAnsi="Arial Narrow" w:cs="Calibri"/>
                <w:b/>
                <w:bCs/>
                <w:color w:val="FFFFFF"/>
                <w:sz w:val="20"/>
                <w:vertAlign w:val="superscript"/>
              </w:rPr>
            </w:pPr>
            <w:r w:rsidRPr="00153C3B">
              <w:rPr>
                <w:rFonts w:ascii="Arial Narrow" w:hAnsi="Arial Narrow" w:cs="Calibri"/>
                <w:b/>
                <w:bCs/>
                <w:color w:val="FFFFFF"/>
                <w:sz w:val="20"/>
              </w:rPr>
              <w:t>Per-Notice Cost (2021$)</w:t>
            </w:r>
          </w:p>
        </w:tc>
        <w:tc>
          <w:tcPr>
            <w:tcW w:w="1145" w:type="dxa"/>
            <w:tcBorders>
              <w:top w:val="nil"/>
              <w:left w:val="nil"/>
              <w:bottom w:val="single" w:sz="4" w:space="0" w:color="auto"/>
              <w:right w:val="single" w:sz="4" w:space="0" w:color="auto"/>
            </w:tcBorders>
            <w:shd w:val="clear" w:color="000000" w:fill="48A9C5"/>
            <w:vAlign w:val="center"/>
            <w:hideMark/>
          </w:tcPr>
          <w:p w:rsidR="00F60E95" w:rsidRPr="00153C3B" w:rsidP="003A39CF" w14:paraId="5D707E8F"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Average Annual Number of Notices</w:t>
            </w:r>
          </w:p>
        </w:tc>
        <w:tc>
          <w:tcPr>
            <w:tcW w:w="1099" w:type="dxa"/>
            <w:tcBorders>
              <w:top w:val="nil"/>
              <w:left w:val="nil"/>
              <w:bottom w:val="single" w:sz="4" w:space="0" w:color="auto"/>
              <w:right w:val="single" w:sz="4" w:space="0" w:color="auto"/>
            </w:tcBorders>
            <w:shd w:val="clear" w:color="000000" w:fill="48A9C5"/>
            <w:vAlign w:val="center"/>
            <w:hideMark/>
          </w:tcPr>
          <w:p w:rsidR="00F60E95" w:rsidRPr="00153C3B" w:rsidP="003A39CF" w14:paraId="3FB40B04"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Per-Notice Cost (2021$)</w:t>
            </w:r>
          </w:p>
        </w:tc>
        <w:tc>
          <w:tcPr>
            <w:tcW w:w="1445" w:type="dxa"/>
            <w:tcBorders>
              <w:top w:val="nil"/>
              <w:left w:val="nil"/>
              <w:bottom w:val="single" w:sz="4" w:space="0" w:color="auto"/>
              <w:right w:val="single" w:sz="4" w:space="0" w:color="auto"/>
            </w:tcBorders>
            <w:shd w:val="clear" w:color="000000" w:fill="48A9C5"/>
            <w:vAlign w:val="center"/>
            <w:hideMark/>
          </w:tcPr>
          <w:p w:rsidR="00F60E95" w:rsidRPr="00153C3B" w:rsidP="003A39CF" w14:paraId="791774D6" w14:textId="77777777">
            <w:pPr>
              <w:spacing w:after="0"/>
              <w:jc w:val="center"/>
              <w:rPr>
                <w:rFonts w:ascii="Arial Narrow" w:hAnsi="Arial Narrow" w:cs="Calibri"/>
                <w:b/>
                <w:bCs/>
                <w:color w:val="FFFFFF"/>
                <w:sz w:val="20"/>
              </w:rPr>
            </w:pPr>
            <w:r w:rsidRPr="00153C3B">
              <w:rPr>
                <w:rFonts w:ascii="Arial Narrow" w:hAnsi="Arial Narrow" w:cs="Calibri"/>
                <w:b/>
                <w:bCs/>
                <w:color w:val="FFFFFF"/>
                <w:sz w:val="20"/>
              </w:rPr>
              <w:t>Total Agency Cost (2021$)</w:t>
            </w:r>
          </w:p>
        </w:tc>
      </w:tr>
      <w:tr w14:paraId="77182ECE" w14:textId="77777777" w:rsidTr="003A39CF">
        <w:tblPrEx>
          <w:tblW w:w="9805" w:type="dxa"/>
          <w:tblInd w:w="5" w:type="dxa"/>
          <w:tblLayout w:type="fixed"/>
          <w:tblLook w:val="04A0"/>
        </w:tblPrEx>
        <w:trPr>
          <w:trHeight w:val="29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F60E95" w:rsidRPr="00153C3B" w:rsidP="003A39CF" w14:paraId="1AEDB90C" w14:textId="77777777">
            <w:pPr>
              <w:spacing w:after="0"/>
              <w:rPr>
                <w:color w:val="000000"/>
                <w:sz w:val="20"/>
              </w:rPr>
            </w:pPr>
            <w:r w:rsidRPr="00153C3B">
              <w:rPr>
                <w:color w:val="000000"/>
                <w:sz w:val="20"/>
              </w:rPr>
              <w:t>PMN</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E95" w:rsidRPr="00153C3B" w:rsidP="003A39CF" w14:paraId="2CE0B5F6" w14:textId="17C6F4DA">
            <w:pPr>
              <w:spacing w:after="0"/>
              <w:jc w:val="right"/>
              <w:rPr>
                <w:color w:val="000000"/>
                <w:sz w:val="20"/>
              </w:rPr>
            </w:pPr>
            <w:r>
              <w:rPr>
                <w:color w:val="000000"/>
                <w:sz w:val="20"/>
              </w:rPr>
              <w:t>289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60E95" w:rsidRPr="00153C3B" w:rsidP="003A39CF" w14:paraId="43B16579" w14:textId="46AC0DC3">
            <w:pPr>
              <w:spacing w:after="0"/>
              <w:jc w:val="right"/>
              <w:rPr>
                <w:color w:val="000000"/>
                <w:sz w:val="20"/>
              </w:rPr>
            </w:pPr>
            <w:r>
              <w:rPr>
                <w:color w:val="000000"/>
                <w:sz w:val="20"/>
              </w:rPr>
              <w:t>$</w:t>
            </w:r>
            <w:r w:rsidR="00CA23FB">
              <w:rPr>
                <w:color w:val="000000"/>
                <w:sz w:val="20"/>
              </w:rPr>
              <w:t>49,610</w:t>
            </w:r>
            <w:r>
              <w:rPr>
                <w:color w:val="000000"/>
                <w:sz w:val="20"/>
              </w:rPr>
              <w:t xml:space="preserve">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F60E95" w:rsidRPr="00153C3B" w:rsidP="003A39CF" w14:paraId="078EBB43" w14:textId="5198BF04">
            <w:pPr>
              <w:spacing w:after="0"/>
              <w:jc w:val="right"/>
              <w:rPr>
                <w:color w:val="000000"/>
                <w:sz w:val="20"/>
              </w:rPr>
            </w:pPr>
            <w:r>
              <w:rPr>
                <w:color w:val="000000"/>
                <w:sz w:val="20"/>
              </w:rPr>
              <w:t>301</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rsidR="00F60E95" w:rsidRPr="00153C3B" w:rsidP="003A39CF" w14:paraId="09B2A6D3" w14:textId="6BE4D9BD">
            <w:pPr>
              <w:spacing w:after="0"/>
              <w:jc w:val="right"/>
              <w:rPr>
                <w:color w:val="000000"/>
                <w:sz w:val="20"/>
              </w:rPr>
            </w:pPr>
            <w:r>
              <w:rPr>
                <w:color w:val="000000"/>
                <w:sz w:val="20"/>
              </w:rPr>
              <w:t>$</w:t>
            </w:r>
            <w:r w:rsidR="007C42C6">
              <w:rPr>
                <w:color w:val="000000"/>
                <w:sz w:val="20"/>
              </w:rPr>
              <w:t>60,028</w:t>
            </w:r>
            <w:r>
              <w:rPr>
                <w:color w:val="000000"/>
                <w:sz w:val="20"/>
              </w:rPr>
              <w:t xml:space="preserve"> </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F60E95" w:rsidRPr="00153C3B" w:rsidP="003A39CF" w14:paraId="25B6A9F2" w14:textId="458206F8">
            <w:pPr>
              <w:spacing w:after="0"/>
              <w:jc w:val="right"/>
              <w:rPr>
                <w:color w:val="000000"/>
                <w:sz w:val="20"/>
              </w:rPr>
            </w:pPr>
            <w:r>
              <w:rPr>
                <w:color w:val="000000"/>
                <w:sz w:val="20"/>
              </w:rPr>
              <w:t>12</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681CD0" w:rsidRPr="005A27CE" w:rsidP="00326C82" w14:paraId="6BA272B7" w14:textId="285233BC">
            <w:pPr>
              <w:spacing w:after="0"/>
              <w:jc w:val="right"/>
              <w:rPr>
                <w:color w:val="FF0000"/>
                <w:sz w:val="20"/>
              </w:rPr>
            </w:pPr>
            <w:r w:rsidRPr="005A27CE">
              <w:rPr>
                <w:sz w:val="20"/>
              </w:rPr>
              <w:t>$10,418</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F60E95" w:rsidRPr="005A27CE" w:rsidP="003A39CF" w14:paraId="5217D376" w14:textId="74976C64">
            <w:pPr>
              <w:spacing w:after="0"/>
              <w:jc w:val="right"/>
              <w:rPr>
                <w:sz w:val="20"/>
              </w:rPr>
            </w:pPr>
            <w:r>
              <w:rPr>
                <w:sz w:val="20"/>
              </w:rPr>
              <w:t>$3,731,168</w:t>
            </w:r>
          </w:p>
        </w:tc>
      </w:tr>
      <w:tr w14:paraId="38FAECA1" w14:textId="77777777" w:rsidTr="003A39CF">
        <w:tblPrEx>
          <w:tblW w:w="9805" w:type="dxa"/>
          <w:tblInd w:w="5" w:type="dxa"/>
          <w:tblLayout w:type="fixed"/>
          <w:tblLook w:val="04A0"/>
        </w:tblPrEx>
        <w:trPr>
          <w:trHeight w:val="29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F60E95" w:rsidRPr="00153C3B" w:rsidP="003A39CF" w14:paraId="75C885FA" w14:textId="77777777">
            <w:pPr>
              <w:spacing w:after="0"/>
              <w:rPr>
                <w:color w:val="000000"/>
                <w:sz w:val="20"/>
              </w:rPr>
            </w:pPr>
            <w:r w:rsidRPr="00153C3B">
              <w:rPr>
                <w:color w:val="000000"/>
                <w:sz w:val="20"/>
              </w:rPr>
              <w:t>SNUN</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F60E95" w:rsidRPr="00153C3B" w:rsidP="003A39CF" w14:paraId="28C8AC73" w14:textId="702621E6">
            <w:pPr>
              <w:spacing w:after="0"/>
              <w:jc w:val="right"/>
              <w:rPr>
                <w:color w:val="000000"/>
                <w:sz w:val="20"/>
              </w:rPr>
            </w:pPr>
            <w:r>
              <w:rPr>
                <w:color w:val="000000"/>
                <w:sz w:val="20"/>
              </w:rPr>
              <w:t>13</w:t>
            </w:r>
          </w:p>
        </w:tc>
        <w:tc>
          <w:tcPr>
            <w:tcW w:w="1316" w:type="dxa"/>
            <w:tcBorders>
              <w:top w:val="nil"/>
              <w:left w:val="nil"/>
              <w:bottom w:val="single" w:sz="4" w:space="0" w:color="auto"/>
              <w:right w:val="single" w:sz="4" w:space="0" w:color="auto"/>
            </w:tcBorders>
            <w:shd w:val="clear" w:color="auto" w:fill="auto"/>
            <w:noWrap/>
            <w:vAlign w:val="center"/>
            <w:hideMark/>
          </w:tcPr>
          <w:p w:rsidR="00F60E95" w:rsidRPr="00153C3B" w:rsidP="003A39CF" w14:paraId="358C8F85" w14:textId="01EF7237">
            <w:pPr>
              <w:spacing w:after="0"/>
              <w:jc w:val="right"/>
              <w:rPr>
                <w:color w:val="000000"/>
                <w:sz w:val="20"/>
              </w:rPr>
            </w:pPr>
            <w:r>
              <w:rPr>
                <w:color w:val="000000"/>
                <w:sz w:val="20"/>
              </w:rPr>
              <w:t>$49,610</w:t>
            </w:r>
          </w:p>
        </w:tc>
        <w:tc>
          <w:tcPr>
            <w:tcW w:w="1240" w:type="dxa"/>
            <w:tcBorders>
              <w:top w:val="nil"/>
              <w:left w:val="nil"/>
              <w:bottom w:val="single" w:sz="4" w:space="0" w:color="auto"/>
              <w:right w:val="single" w:sz="4" w:space="0" w:color="auto"/>
            </w:tcBorders>
            <w:shd w:val="clear" w:color="auto" w:fill="auto"/>
            <w:noWrap/>
            <w:vAlign w:val="center"/>
            <w:hideMark/>
          </w:tcPr>
          <w:p w:rsidR="00F60E95" w:rsidRPr="00153C3B" w:rsidP="003A39CF" w14:paraId="6C6AAFB0" w14:textId="59FD4C9F">
            <w:pPr>
              <w:spacing w:after="0"/>
              <w:jc w:val="right"/>
              <w:rPr>
                <w:color w:val="000000"/>
                <w:sz w:val="20"/>
              </w:rPr>
            </w:pPr>
            <w:r>
              <w:rPr>
                <w:color w:val="000000"/>
                <w:sz w:val="20"/>
              </w:rPr>
              <w:t>13</w:t>
            </w:r>
          </w:p>
        </w:tc>
        <w:tc>
          <w:tcPr>
            <w:tcW w:w="1191" w:type="dxa"/>
            <w:tcBorders>
              <w:top w:val="nil"/>
              <w:left w:val="nil"/>
              <w:bottom w:val="single" w:sz="4" w:space="0" w:color="auto"/>
              <w:right w:val="single" w:sz="4" w:space="0" w:color="auto"/>
            </w:tcBorders>
            <w:shd w:val="clear" w:color="auto" w:fill="auto"/>
            <w:noWrap/>
            <w:vAlign w:val="center"/>
            <w:hideMark/>
          </w:tcPr>
          <w:p w:rsidR="00F60E95" w:rsidRPr="00153C3B" w:rsidP="003A39CF" w14:paraId="53E2F2FD" w14:textId="657142C8">
            <w:pPr>
              <w:spacing w:after="0"/>
              <w:jc w:val="right"/>
              <w:rPr>
                <w:color w:val="000000"/>
                <w:sz w:val="20"/>
              </w:rPr>
            </w:pPr>
            <w:r>
              <w:rPr>
                <w:color w:val="000000"/>
                <w:sz w:val="20"/>
              </w:rPr>
              <w:t>$60,028</w:t>
            </w:r>
          </w:p>
        </w:tc>
        <w:tc>
          <w:tcPr>
            <w:tcW w:w="1145" w:type="dxa"/>
            <w:tcBorders>
              <w:top w:val="nil"/>
              <w:left w:val="nil"/>
              <w:bottom w:val="single" w:sz="4" w:space="0" w:color="auto"/>
              <w:right w:val="single" w:sz="4" w:space="0" w:color="auto"/>
            </w:tcBorders>
            <w:shd w:val="clear" w:color="auto" w:fill="auto"/>
            <w:noWrap/>
            <w:vAlign w:val="center"/>
            <w:hideMark/>
          </w:tcPr>
          <w:p w:rsidR="00F60E95" w:rsidRPr="00153C3B" w:rsidP="003A39CF" w14:paraId="4490BE15" w14:textId="77777777">
            <w:pPr>
              <w:spacing w:after="0"/>
              <w:jc w:val="right"/>
              <w:rPr>
                <w:color w:val="000000"/>
                <w:sz w:val="20"/>
              </w:rPr>
            </w:pPr>
            <w:r>
              <w:rPr>
                <w:color w:val="000000"/>
                <w:sz w:val="20"/>
              </w:rPr>
              <w:t>0</w:t>
            </w:r>
          </w:p>
        </w:tc>
        <w:tc>
          <w:tcPr>
            <w:tcW w:w="1099" w:type="dxa"/>
            <w:tcBorders>
              <w:top w:val="nil"/>
              <w:left w:val="nil"/>
              <w:bottom w:val="single" w:sz="4" w:space="0" w:color="auto"/>
              <w:right w:val="single" w:sz="4" w:space="0" w:color="auto"/>
            </w:tcBorders>
            <w:shd w:val="clear" w:color="auto" w:fill="auto"/>
            <w:noWrap/>
            <w:vAlign w:val="center"/>
            <w:hideMark/>
          </w:tcPr>
          <w:p w:rsidR="00F60E95" w:rsidRPr="00153C3B" w:rsidP="003A39CF" w14:paraId="7FD9143A" w14:textId="451BED64">
            <w:pPr>
              <w:spacing w:after="0"/>
              <w:jc w:val="right"/>
              <w:rPr>
                <w:color w:val="000000"/>
                <w:sz w:val="20"/>
              </w:rPr>
            </w:pPr>
            <w:r w:rsidRPr="00F20FF8">
              <w:rPr>
                <w:sz w:val="20"/>
              </w:rPr>
              <w:t>$10,418</w:t>
            </w:r>
          </w:p>
        </w:tc>
        <w:tc>
          <w:tcPr>
            <w:tcW w:w="1445" w:type="dxa"/>
            <w:tcBorders>
              <w:top w:val="nil"/>
              <w:left w:val="nil"/>
              <w:bottom w:val="single" w:sz="4" w:space="0" w:color="auto"/>
              <w:right w:val="single" w:sz="4" w:space="0" w:color="auto"/>
            </w:tcBorders>
            <w:shd w:val="clear" w:color="auto" w:fill="auto"/>
            <w:noWrap/>
            <w:vAlign w:val="center"/>
            <w:hideMark/>
          </w:tcPr>
          <w:p w:rsidR="00F60E95" w:rsidRPr="005A27CE" w:rsidP="003A39CF" w14:paraId="45E9E4CA" w14:textId="5B6EDD08">
            <w:pPr>
              <w:spacing w:after="0"/>
              <w:jc w:val="right"/>
              <w:rPr>
                <w:sz w:val="20"/>
              </w:rPr>
            </w:pPr>
            <w:r>
              <w:rPr>
                <w:sz w:val="20"/>
              </w:rPr>
              <w:t>135,435</w:t>
            </w:r>
          </w:p>
        </w:tc>
      </w:tr>
      <w:tr w14:paraId="55D07B1F" w14:textId="77777777" w:rsidTr="003A39CF">
        <w:tblPrEx>
          <w:tblW w:w="9805" w:type="dxa"/>
          <w:tblInd w:w="5" w:type="dxa"/>
          <w:tblLayout w:type="fixed"/>
          <w:tblLook w:val="04A0"/>
        </w:tblPrEx>
        <w:trPr>
          <w:trHeight w:val="290"/>
        </w:trPr>
        <w:tc>
          <w:tcPr>
            <w:tcW w:w="1344" w:type="dxa"/>
            <w:tcBorders>
              <w:top w:val="nil"/>
              <w:left w:val="single" w:sz="4" w:space="0" w:color="auto"/>
              <w:bottom w:val="single" w:sz="4" w:space="0" w:color="auto"/>
              <w:right w:val="single" w:sz="4" w:space="0" w:color="auto"/>
            </w:tcBorders>
            <w:shd w:val="clear" w:color="auto" w:fill="auto"/>
            <w:vAlign w:val="center"/>
          </w:tcPr>
          <w:p w:rsidR="00435494" w:rsidRPr="00153C3B" w:rsidP="00435494" w14:paraId="7669017F" w14:textId="17069637">
            <w:pPr>
              <w:spacing w:after="0"/>
              <w:rPr>
                <w:color w:val="000000"/>
                <w:sz w:val="20"/>
              </w:rPr>
            </w:pPr>
            <w:r>
              <w:rPr>
                <w:color w:val="000000"/>
                <w:sz w:val="20"/>
              </w:rPr>
              <w:t>MCAN</w:t>
            </w:r>
          </w:p>
        </w:tc>
        <w:tc>
          <w:tcPr>
            <w:tcW w:w="1025" w:type="dxa"/>
            <w:tcBorders>
              <w:top w:val="nil"/>
              <w:left w:val="single" w:sz="4" w:space="0" w:color="auto"/>
              <w:bottom w:val="single" w:sz="4" w:space="0" w:color="auto"/>
              <w:right w:val="single" w:sz="4" w:space="0" w:color="auto"/>
            </w:tcBorders>
            <w:shd w:val="clear" w:color="auto" w:fill="auto"/>
            <w:noWrap/>
            <w:vAlign w:val="center"/>
          </w:tcPr>
          <w:p w:rsidR="00435494" w:rsidP="00435494" w14:paraId="356B4B7D" w14:textId="4C45E8F8">
            <w:pPr>
              <w:spacing w:after="0"/>
              <w:jc w:val="right"/>
              <w:rPr>
                <w:color w:val="000000"/>
                <w:sz w:val="20"/>
              </w:rPr>
            </w:pPr>
            <w:r>
              <w:rPr>
                <w:color w:val="000000"/>
                <w:sz w:val="20"/>
              </w:rPr>
              <w:t>14</w:t>
            </w:r>
          </w:p>
        </w:tc>
        <w:tc>
          <w:tcPr>
            <w:tcW w:w="1316" w:type="dxa"/>
            <w:tcBorders>
              <w:top w:val="nil"/>
              <w:left w:val="nil"/>
              <w:bottom w:val="single" w:sz="4" w:space="0" w:color="auto"/>
              <w:right w:val="single" w:sz="4" w:space="0" w:color="auto"/>
            </w:tcBorders>
            <w:shd w:val="clear" w:color="auto" w:fill="auto"/>
            <w:noWrap/>
            <w:vAlign w:val="center"/>
          </w:tcPr>
          <w:p w:rsidR="00435494" w:rsidP="00435494" w14:paraId="703BD90B" w14:textId="1C318BEC">
            <w:pPr>
              <w:spacing w:after="0"/>
              <w:jc w:val="right"/>
              <w:rPr>
                <w:color w:val="000000"/>
                <w:sz w:val="20"/>
              </w:rPr>
            </w:pPr>
            <w:r>
              <w:rPr>
                <w:color w:val="000000"/>
                <w:sz w:val="20"/>
              </w:rPr>
              <w:t>$49,610</w:t>
            </w:r>
          </w:p>
        </w:tc>
        <w:tc>
          <w:tcPr>
            <w:tcW w:w="1240" w:type="dxa"/>
            <w:tcBorders>
              <w:top w:val="nil"/>
              <w:left w:val="nil"/>
              <w:bottom w:val="single" w:sz="4" w:space="0" w:color="auto"/>
              <w:right w:val="single" w:sz="4" w:space="0" w:color="auto"/>
            </w:tcBorders>
            <w:shd w:val="clear" w:color="auto" w:fill="auto"/>
            <w:noWrap/>
            <w:vAlign w:val="center"/>
          </w:tcPr>
          <w:p w:rsidR="00435494" w:rsidP="00435494" w14:paraId="430264A5" w14:textId="2385CAB4">
            <w:pPr>
              <w:spacing w:after="0"/>
              <w:jc w:val="right"/>
              <w:rPr>
                <w:color w:val="000000"/>
                <w:sz w:val="20"/>
              </w:rPr>
            </w:pPr>
            <w:r>
              <w:rPr>
                <w:color w:val="000000"/>
                <w:sz w:val="20"/>
              </w:rPr>
              <w:t>1</w:t>
            </w:r>
            <w:r w:rsidR="005406E9">
              <w:rPr>
                <w:color w:val="000000"/>
                <w:sz w:val="20"/>
              </w:rPr>
              <w:t>4</w:t>
            </w:r>
          </w:p>
        </w:tc>
        <w:tc>
          <w:tcPr>
            <w:tcW w:w="1191" w:type="dxa"/>
            <w:tcBorders>
              <w:top w:val="nil"/>
              <w:left w:val="nil"/>
              <w:bottom w:val="single" w:sz="4" w:space="0" w:color="auto"/>
              <w:right w:val="single" w:sz="4" w:space="0" w:color="auto"/>
            </w:tcBorders>
            <w:shd w:val="clear" w:color="auto" w:fill="auto"/>
            <w:noWrap/>
            <w:vAlign w:val="center"/>
          </w:tcPr>
          <w:p w:rsidR="00435494" w:rsidP="00435494" w14:paraId="4DDBEC47" w14:textId="0DF466FC">
            <w:pPr>
              <w:spacing w:after="0"/>
              <w:jc w:val="right"/>
              <w:rPr>
                <w:color w:val="000000"/>
                <w:sz w:val="20"/>
              </w:rPr>
            </w:pPr>
            <w:r>
              <w:rPr>
                <w:color w:val="000000"/>
                <w:sz w:val="20"/>
              </w:rPr>
              <w:t>$60,028</w:t>
            </w:r>
          </w:p>
        </w:tc>
        <w:tc>
          <w:tcPr>
            <w:tcW w:w="1145" w:type="dxa"/>
            <w:tcBorders>
              <w:top w:val="nil"/>
              <w:left w:val="nil"/>
              <w:bottom w:val="single" w:sz="4" w:space="0" w:color="auto"/>
              <w:right w:val="single" w:sz="4" w:space="0" w:color="auto"/>
            </w:tcBorders>
            <w:shd w:val="clear" w:color="auto" w:fill="auto"/>
            <w:noWrap/>
            <w:vAlign w:val="center"/>
          </w:tcPr>
          <w:p w:rsidR="00435494" w:rsidP="00435494" w14:paraId="09042D92" w14:textId="741F8CBD">
            <w:pPr>
              <w:spacing w:after="0"/>
              <w:jc w:val="right"/>
              <w:rPr>
                <w:color w:val="000000"/>
                <w:sz w:val="20"/>
              </w:rPr>
            </w:pPr>
            <w:r>
              <w:rPr>
                <w:color w:val="000000"/>
                <w:sz w:val="20"/>
              </w:rPr>
              <w:t>0</w:t>
            </w:r>
          </w:p>
        </w:tc>
        <w:tc>
          <w:tcPr>
            <w:tcW w:w="1099" w:type="dxa"/>
            <w:tcBorders>
              <w:top w:val="nil"/>
              <w:left w:val="nil"/>
              <w:bottom w:val="single" w:sz="4" w:space="0" w:color="auto"/>
              <w:right w:val="single" w:sz="4" w:space="0" w:color="auto"/>
            </w:tcBorders>
            <w:shd w:val="clear" w:color="auto" w:fill="auto"/>
            <w:noWrap/>
            <w:vAlign w:val="center"/>
          </w:tcPr>
          <w:p w:rsidR="00435494" w:rsidRPr="00F20FF8" w:rsidP="00435494" w14:paraId="00550259" w14:textId="79671B87">
            <w:pPr>
              <w:spacing w:after="0"/>
              <w:jc w:val="right"/>
              <w:rPr>
                <w:sz w:val="20"/>
              </w:rPr>
            </w:pPr>
            <w:r w:rsidRPr="00F20FF8">
              <w:rPr>
                <w:sz w:val="20"/>
              </w:rPr>
              <w:t>$10,418</w:t>
            </w:r>
          </w:p>
        </w:tc>
        <w:tc>
          <w:tcPr>
            <w:tcW w:w="1445" w:type="dxa"/>
            <w:tcBorders>
              <w:top w:val="nil"/>
              <w:left w:val="nil"/>
              <w:bottom w:val="single" w:sz="4" w:space="0" w:color="auto"/>
              <w:right w:val="single" w:sz="4" w:space="0" w:color="auto"/>
            </w:tcBorders>
            <w:shd w:val="clear" w:color="auto" w:fill="auto"/>
            <w:noWrap/>
            <w:vAlign w:val="center"/>
          </w:tcPr>
          <w:p w:rsidR="00435494" w:rsidRPr="00435494" w:rsidP="00435494" w14:paraId="5847CEAC" w14:textId="5E22CC31">
            <w:pPr>
              <w:spacing w:after="0"/>
              <w:jc w:val="right"/>
              <w:rPr>
                <w:sz w:val="20"/>
              </w:rPr>
            </w:pPr>
            <w:r>
              <w:rPr>
                <w:sz w:val="20"/>
              </w:rPr>
              <w:t>$145,853</w:t>
            </w:r>
          </w:p>
        </w:tc>
      </w:tr>
      <w:tr w14:paraId="3139D412" w14:textId="77777777" w:rsidTr="003A39CF">
        <w:tblPrEx>
          <w:tblW w:w="9805" w:type="dxa"/>
          <w:tblInd w:w="5" w:type="dxa"/>
          <w:tblLayout w:type="fixed"/>
          <w:tblLook w:val="04A0"/>
        </w:tblPrEx>
        <w:trPr>
          <w:trHeight w:val="290"/>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494" w:rsidRPr="00153C3B" w:rsidP="00435494" w14:paraId="0D54AEC3" w14:textId="77777777">
            <w:pPr>
              <w:spacing w:after="0"/>
              <w:rPr>
                <w:color w:val="000000"/>
                <w:sz w:val="20"/>
              </w:rPr>
            </w:pPr>
            <w:r>
              <w:rPr>
                <w:color w:val="000000"/>
                <w:sz w:val="20"/>
              </w:rPr>
              <w:t>LVE/LoREX (non-PFAS)</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435494" w:rsidRPr="00153C3B" w:rsidP="00435494" w14:paraId="04C13341" w14:textId="47227597">
            <w:pPr>
              <w:spacing w:after="0"/>
              <w:jc w:val="right"/>
              <w:rPr>
                <w:color w:val="000000"/>
                <w:sz w:val="20"/>
              </w:rPr>
            </w:pPr>
            <w:r>
              <w:rPr>
                <w:color w:val="000000"/>
                <w:sz w:val="20"/>
              </w:rPr>
              <w:t>293</w:t>
            </w:r>
          </w:p>
        </w:tc>
        <w:tc>
          <w:tcPr>
            <w:tcW w:w="1316"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02D7F1E0" w14:textId="1005FB19">
            <w:pPr>
              <w:spacing w:after="0"/>
              <w:jc w:val="right"/>
              <w:rPr>
                <w:color w:val="000000"/>
                <w:sz w:val="20"/>
              </w:rPr>
            </w:pPr>
            <w:r>
              <w:rPr>
                <w:color w:val="000000"/>
                <w:sz w:val="20"/>
              </w:rPr>
              <w:t xml:space="preserve">$6,800 </w:t>
            </w:r>
          </w:p>
        </w:tc>
        <w:tc>
          <w:tcPr>
            <w:tcW w:w="1240"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3166C6C3" w14:textId="507EAE5F">
            <w:pPr>
              <w:spacing w:after="0"/>
              <w:jc w:val="right"/>
              <w:rPr>
                <w:color w:val="000000"/>
                <w:sz w:val="20"/>
              </w:rPr>
            </w:pPr>
            <w:r>
              <w:rPr>
                <w:color w:val="000000"/>
                <w:sz w:val="20"/>
              </w:rPr>
              <w:t>293</w:t>
            </w:r>
          </w:p>
        </w:tc>
        <w:tc>
          <w:tcPr>
            <w:tcW w:w="1191"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4EE3FD02" w14:textId="26F44682">
            <w:pPr>
              <w:spacing w:after="0"/>
              <w:jc w:val="right"/>
              <w:rPr>
                <w:color w:val="000000"/>
                <w:sz w:val="20"/>
              </w:rPr>
            </w:pPr>
            <w:r>
              <w:rPr>
                <w:color w:val="000000"/>
                <w:sz w:val="20"/>
              </w:rPr>
              <w:t>8,228</w:t>
            </w:r>
          </w:p>
        </w:tc>
        <w:tc>
          <w:tcPr>
            <w:tcW w:w="1145"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1B6E223A" w14:textId="77777777">
            <w:pPr>
              <w:spacing w:after="0"/>
              <w:jc w:val="right"/>
              <w:rPr>
                <w:color w:val="000000"/>
                <w:sz w:val="20"/>
              </w:rPr>
            </w:pPr>
            <w:r>
              <w:rPr>
                <w:color w:val="000000"/>
                <w:sz w:val="20"/>
              </w:rPr>
              <w:t>0</w:t>
            </w:r>
          </w:p>
        </w:tc>
        <w:tc>
          <w:tcPr>
            <w:tcW w:w="1099"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6B23BF25" w14:textId="0441B475">
            <w:pPr>
              <w:spacing w:after="0"/>
              <w:jc w:val="right"/>
              <w:rPr>
                <w:color w:val="000000"/>
                <w:sz w:val="20"/>
              </w:rPr>
            </w:pPr>
            <w:r w:rsidRPr="00F20FF8">
              <w:rPr>
                <w:sz w:val="20"/>
              </w:rPr>
              <w:t>$1</w:t>
            </w:r>
            <w:r>
              <w:rPr>
                <w:sz w:val="20"/>
              </w:rPr>
              <w:t>,428</w:t>
            </w:r>
          </w:p>
        </w:tc>
        <w:tc>
          <w:tcPr>
            <w:tcW w:w="1445" w:type="dxa"/>
            <w:tcBorders>
              <w:top w:val="nil"/>
              <w:left w:val="nil"/>
              <w:bottom w:val="single" w:sz="4" w:space="0" w:color="auto"/>
              <w:right w:val="single" w:sz="4" w:space="0" w:color="auto"/>
            </w:tcBorders>
            <w:shd w:val="clear" w:color="auto" w:fill="auto"/>
            <w:noWrap/>
            <w:vAlign w:val="center"/>
            <w:hideMark/>
          </w:tcPr>
          <w:p w:rsidR="00435494" w:rsidRPr="005A27CE" w:rsidP="00435494" w14:paraId="5568D17F" w14:textId="67B4AE10">
            <w:pPr>
              <w:spacing w:after="0"/>
              <w:jc w:val="right"/>
              <w:rPr>
                <w:sz w:val="20"/>
              </w:rPr>
            </w:pPr>
            <w:r>
              <w:rPr>
                <w:sz w:val="20"/>
              </w:rPr>
              <w:t>$418,404</w:t>
            </w:r>
          </w:p>
        </w:tc>
      </w:tr>
      <w:tr w14:paraId="5ADD2513" w14:textId="77777777" w:rsidTr="003A39CF">
        <w:tblPrEx>
          <w:tblW w:w="9805" w:type="dxa"/>
          <w:tblInd w:w="5" w:type="dxa"/>
          <w:tblLayout w:type="fixed"/>
          <w:tblLook w:val="04A0"/>
        </w:tblPrEx>
        <w:trPr>
          <w:trHeight w:val="290"/>
        </w:trPr>
        <w:tc>
          <w:tcPr>
            <w:tcW w:w="1344" w:type="dxa"/>
            <w:tcBorders>
              <w:top w:val="nil"/>
              <w:left w:val="single" w:sz="4" w:space="0" w:color="auto"/>
              <w:bottom w:val="single" w:sz="4" w:space="0" w:color="auto"/>
              <w:right w:val="single" w:sz="4" w:space="0" w:color="auto"/>
            </w:tcBorders>
            <w:shd w:val="clear" w:color="auto" w:fill="auto"/>
            <w:vAlign w:val="center"/>
          </w:tcPr>
          <w:p w:rsidR="00435494" w:rsidRPr="00153C3B" w:rsidP="00435494" w14:paraId="128995B3" w14:textId="77777777">
            <w:pPr>
              <w:spacing w:after="0"/>
              <w:rPr>
                <w:color w:val="000000"/>
                <w:sz w:val="20"/>
              </w:rPr>
            </w:pPr>
            <w:r>
              <w:rPr>
                <w:color w:val="000000"/>
                <w:sz w:val="20"/>
              </w:rPr>
              <w:t>LVE/LoREX (PFAS)</w:t>
            </w:r>
          </w:p>
        </w:tc>
        <w:tc>
          <w:tcPr>
            <w:tcW w:w="1025" w:type="dxa"/>
            <w:tcBorders>
              <w:top w:val="nil"/>
              <w:left w:val="single" w:sz="4" w:space="0" w:color="auto"/>
              <w:bottom w:val="single" w:sz="4" w:space="0" w:color="auto"/>
              <w:right w:val="single" w:sz="4" w:space="0" w:color="auto"/>
            </w:tcBorders>
            <w:shd w:val="clear" w:color="auto" w:fill="auto"/>
            <w:noWrap/>
            <w:vAlign w:val="center"/>
          </w:tcPr>
          <w:p w:rsidR="00435494" w:rsidP="00435494" w14:paraId="4340C1BA" w14:textId="77777777">
            <w:pPr>
              <w:spacing w:after="0"/>
              <w:jc w:val="right"/>
              <w:rPr>
                <w:color w:val="000000"/>
                <w:sz w:val="20"/>
              </w:rPr>
            </w:pPr>
            <w:r>
              <w:rPr>
                <w:color w:val="000000"/>
                <w:sz w:val="20"/>
              </w:rPr>
              <w:t>12</w:t>
            </w:r>
          </w:p>
        </w:tc>
        <w:tc>
          <w:tcPr>
            <w:tcW w:w="1316" w:type="dxa"/>
            <w:tcBorders>
              <w:top w:val="nil"/>
              <w:left w:val="nil"/>
              <w:bottom w:val="single" w:sz="4" w:space="0" w:color="auto"/>
              <w:right w:val="single" w:sz="4" w:space="0" w:color="auto"/>
            </w:tcBorders>
            <w:shd w:val="clear" w:color="auto" w:fill="auto"/>
            <w:noWrap/>
            <w:vAlign w:val="center"/>
          </w:tcPr>
          <w:p w:rsidR="00435494" w:rsidP="00435494" w14:paraId="2654E446" w14:textId="1986998B">
            <w:pPr>
              <w:spacing w:after="0"/>
              <w:jc w:val="right"/>
              <w:rPr>
                <w:color w:val="000000"/>
                <w:sz w:val="20"/>
              </w:rPr>
            </w:pPr>
            <w:r>
              <w:rPr>
                <w:color w:val="000000"/>
                <w:sz w:val="20"/>
              </w:rPr>
              <w:t>$6,800</w:t>
            </w:r>
          </w:p>
        </w:tc>
        <w:tc>
          <w:tcPr>
            <w:tcW w:w="1240" w:type="dxa"/>
            <w:tcBorders>
              <w:top w:val="nil"/>
              <w:left w:val="nil"/>
              <w:bottom w:val="single" w:sz="4" w:space="0" w:color="auto"/>
              <w:right w:val="single" w:sz="4" w:space="0" w:color="auto"/>
            </w:tcBorders>
            <w:shd w:val="clear" w:color="auto" w:fill="auto"/>
            <w:noWrap/>
            <w:vAlign w:val="center"/>
          </w:tcPr>
          <w:p w:rsidR="00435494" w:rsidP="00435494" w14:paraId="21C613E5" w14:textId="5BBD3B64">
            <w:pPr>
              <w:spacing w:after="0"/>
              <w:jc w:val="right"/>
              <w:rPr>
                <w:color w:val="000000"/>
                <w:sz w:val="20"/>
              </w:rPr>
            </w:pPr>
            <w:r>
              <w:rPr>
                <w:color w:val="000000"/>
                <w:sz w:val="20"/>
              </w:rPr>
              <w:t>0</w:t>
            </w:r>
          </w:p>
        </w:tc>
        <w:tc>
          <w:tcPr>
            <w:tcW w:w="1191" w:type="dxa"/>
            <w:tcBorders>
              <w:top w:val="nil"/>
              <w:left w:val="nil"/>
              <w:bottom w:val="single" w:sz="4" w:space="0" w:color="auto"/>
              <w:right w:val="single" w:sz="4" w:space="0" w:color="auto"/>
            </w:tcBorders>
            <w:shd w:val="clear" w:color="auto" w:fill="auto"/>
            <w:noWrap/>
            <w:vAlign w:val="center"/>
          </w:tcPr>
          <w:p w:rsidR="00435494" w:rsidP="00435494" w14:paraId="46F5F016" w14:textId="059C59A0">
            <w:pPr>
              <w:spacing w:after="0"/>
              <w:jc w:val="right"/>
              <w:rPr>
                <w:color w:val="000000"/>
                <w:sz w:val="20"/>
              </w:rPr>
            </w:pPr>
            <w:r>
              <w:rPr>
                <w:color w:val="000000"/>
                <w:sz w:val="20"/>
              </w:rPr>
              <w:t>8,228</w:t>
            </w:r>
          </w:p>
        </w:tc>
        <w:tc>
          <w:tcPr>
            <w:tcW w:w="1145" w:type="dxa"/>
            <w:tcBorders>
              <w:top w:val="nil"/>
              <w:left w:val="nil"/>
              <w:bottom w:val="single" w:sz="4" w:space="0" w:color="auto"/>
              <w:right w:val="single" w:sz="4" w:space="0" w:color="auto"/>
            </w:tcBorders>
            <w:shd w:val="clear" w:color="auto" w:fill="auto"/>
            <w:noWrap/>
            <w:vAlign w:val="center"/>
          </w:tcPr>
          <w:p w:rsidR="00435494" w:rsidP="00435494" w14:paraId="64086929" w14:textId="5A2710FC">
            <w:pPr>
              <w:spacing w:after="0"/>
              <w:jc w:val="right"/>
              <w:rPr>
                <w:color w:val="000000"/>
                <w:sz w:val="20"/>
              </w:rPr>
            </w:pPr>
            <w:r>
              <w:rPr>
                <w:color w:val="000000"/>
                <w:sz w:val="20"/>
              </w:rPr>
              <w:t>(12)</w:t>
            </w:r>
          </w:p>
        </w:tc>
        <w:tc>
          <w:tcPr>
            <w:tcW w:w="1099" w:type="dxa"/>
            <w:tcBorders>
              <w:top w:val="nil"/>
              <w:left w:val="nil"/>
              <w:bottom w:val="single" w:sz="4" w:space="0" w:color="auto"/>
              <w:right w:val="single" w:sz="4" w:space="0" w:color="auto"/>
            </w:tcBorders>
            <w:shd w:val="clear" w:color="auto" w:fill="auto"/>
            <w:noWrap/>
            <w:vAlign w:val="center"/>
          </w:tcPr>
          <w:p w:rsidR="00435494" w:rsidRPr="00CF085A" w:rsidP="00435494" w14:paraId="31B73CB0" w14:textId="27C386CA">
            <w:pPr>
              <w:spacing w:after="0"/>
              <w:jc w:val="right"/>
              <w:rPr>
                <w:sz w:val="20"/>
              </w:rPr>
            </w:pPr>
            <w:r>
              <w:rPr>
                <w:sz w:val="20"/>
              </w:rPr>
              <w:t>0</w:t>
            </w:r>
          </w:p>
        </w:tc>
        <w:tc>
          <w:tcPr>
            <w:tcW w:w="1445" w:type="dxa"/>
            <w:tcBorders>
              <w:top w:val="nil"/>
              <w:left w:val="nil"/>
              <w:bottom w:val="single" w:sz="4" w:space="0" w:color="auto"/>
              <w:right w:val="single" w:sz="4" w:space="0" w:color="auto"/>
            </w:tcBorders>
            <w:shd w:val="clear" w:color="auto" w:fill="auto"/>
            <w:noWrap/>
            <w:vAlign w:val="center"/>
          </w:tcPr>
          <w:p w:rsidR="00435494" w:rsidRPr="008B4B40" w:rsidP="00435494" w14:paraId="5D9FE9E7" w14:textId="1316B4CC">
            <w:pPr>
              <w:spacing w:after="0"/>
              <w:jc w:val="right"/>
              <w:rPr>
                <w:sz w:val="20"/>
              </w:rPr>
            </w:pPr>
            <w:r>
              <w:rPr>
                <w:sz w:val="20"/>
              </w:rPr>
              <w:t>($81,600)</w:t>
            </w:r>
            <w:r w:rsidRPr="008B4B40">
              <w:rPr>
                <w:sz w:val="20"/>
              </w:rPr>
              <w:t xml:space="preserve"> </w:t>
            </w:r>
          </w:p>
        </w:tc>
      </w:tr>
      <w:tr w14:paraId="29B27B15" w14:textId="77777777" w:rsidTr="003A39CF">
        <w:tblPrEx>
          <w:tblW w:w="9805" w:type="dxa"/>
          <w:tblInd w:w="5" w:type="dxa"/>
          <w:tblLayout w:type="fixed"/>
          <w:tblLook w:val="04A0"/>
        </w:tblPrEx>
        <w:trPr>
          <w:trHeight w:val="29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435494" w:rsidRPr="00153C3B" w:rsidP="00435494" w14:paraId="70E421CA" w14:textId="77777777">
            <w:pPr>
              <w:spacing w:after="0"/>
              <w:rPr>
                <w:color w:val="000000"/>
                <w:sz w:val="20"/>
              </w:rPr>
            </w:pPr>
            <w:r w:rsidRPr="00153C3B">
              <w:rPr>
                <w:color w:val="000000"/>
                <w:sz w:val="20"/>
              </w:rPr>
              <w:t>TME</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435494" w:rsidRPr="00153C3B" w:rsidP="00435494" w14:paraId="7AF1450E" w14:textId="6922BF89">
            <w:pPr>
              <w:spacing w:after="0"/>
              <w:jc w:val="right"/>
              <w:rPr>
                <w:color w:val="000000"/>
                <w:sz w:val="20"/>
              </w:rPr>
            </w:pPr>
            <w:r>
              <w:rPr>
                <w:color w:val="000000"/>
                <w:sz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14F321E6" w14:textId="77777777">
            <w:pPr>
              <w:spacing w:after="0"/>
              <w:jc w:val="right"/>
              <w:rPr>
                <w:color w:val="000000"/>
                <w:sz w:val="20"/>
              </w:rPr>
            </w:pPr>
            <w:r>
              <w:rPr>
                <w:color w:val="000000"/>
                <w:sz w:val="20"/>
              </w:rPr>
              <w:t xml:space="preserve">$5,622 </w:t>
            </w:r>
          </w:p>
        </w:tc>
        <w:tc>
          <w:tcPr>
            <w:tcW w:w="1240"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4E68391D" w14:textId="751AEB45">
            <w:pPr>
              <w:spacing w:after="0"/>
              <w:jc w:val="right"/>
              <w:rPr>
                <w:color w:val="000000"/>
                <w:sz w:val="20"/>
              </w:rPr>
            </w:pPr>
            <w:r>
              <w:rPr>
                <w:color w:val="000000"/>
                <w:sz w:val="20"/>
              </w:rPr>
              <w:t>0</w:t>
            </w:r>
          </w:p>
        </w:tc>
        <w:tc>
          <w:tcPr>
            <w:tcW w:w="1191"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0F63EF18" w14:textId="77777777">
            <w:pPr>
              <w:spacing w:after="0"/>
              <w:jc w:val="right"/>
              <w:rPr>
                <w:color w:val="000000"/>
                <w:sz w:val="20"/>
              </w:rPr>
            </w:pPr>
            <w:r>
              <w:rPr>
                <w:color w:val="000000"/>
                <w:sz w:val="20"/>
              </w:rPr>
              <w:t xml:space="preserve">$5,060 </w:t>
            </w:r>
          </w:p>
        </w:tc>
        <w:tc>
          <w:tcPr>
            <w:tcW w:w="1145"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07D8323B" w14:textId="77777777">
            <w:pPr>
              <w:spacing w:after="0"/>
              <w:jc w:val="right"/>
              <w:rPr>
                <w:color w:val="000000"/>
                <w:sz w:val="20"/>
              </w:rPr>
            </w:pPr>
            <w:r>
              <w:rPr>
                <w:color w:val="000000"/>
                <w:sz w:val="20"/>
              </w:rPr>
              <w:t>0</w:t>
            </w:r>
          </w:p>
        </w:tc>
        <w:tc>
          <w:tcPr>
            <w:tcW w:w="1099"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0C0BB1FE" w14:textId="24C0A39D">
            <w:pPr>
              <w:spacing w:after="0"/>
              <w:jc w:val="right"/>
              <w:rPr>
                <w:color w:val="000000"/>
                <w:sz w:val="20"/>
              </w:rPr>
            </w:pPr>
            <w:r w:rsidRPr="005A27CE">
              <w:rPr>
                <w:sz w:val="20"/>
              </w:rPr>
              <w:t>0</w:t>
            </w:r>
          </w:p>
        </w:tc>
        <w:tc>
          <w:tcPr>
            <w:tcW w:w="1445" w:type="dxa"/>
            <w:tcBorders>
              <w:top w:val="nil"/>
              <w:left w:val="nil"/>
              <w:bottom w:val="single" w:sz="4" w:space="0" w:color="auto"/>
              <w:right w:val="single" w:sz="4" w:space="0" w:color="auto"/>
            </w:tcBorders>
            <w:shd w:val="clear" w:color="auto" w:fill="auto"/>
            <w:noWrap/>
            <w:vAlign w:val="center"/>
            <w:hideMark/>
          </w:tcPr>
          <w:p w:rsidR="00435494" w:rsidRPr="005A27CE" w:rsidP="00435494" w14:paraId="37B8055C" w14:textId="0D518718">
            <w:pPr>
              <w:spacing w:after="0"/>
              <w:jc w:val="right"/>
              <w:rPr>
                <w:sz w:val="20"/>
              </w:rPr>
            </w:pPr>
            <w:r>
              <w:rPr>
                <w:sz w:val="20"/>
              </w:rPr>
              <w:t>0</w:t>
            </w:r>
          </w:p>
        </w:tc>
      </w:tr>
      <w:tr w14:paraId="5A8B90A7" w14:textId="77777777" w:rsidTr="003A39CF">
        <w:tblPrEx>
          <w:tblW w:w="9805" w:type="dxa"/>
          <w:tblInd w:w="5" w:type="dxa"/>
          <w:tblLayout w:type="fixed"/>
          <w:tblLook w:val="04A0"/>
        </w:tblPrEx>
        <w:trPr>
          <w:trHeight w:val="29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435494" w:rsidRPr="00153C3B" w:rsidP="00435494" w14:paraId="3F28943E" w14:textId="77777777">
            <w:pPr>
              <w:spacing w:after="0"/>
              <w:rPr>
                <w:b/>
                <w:bCs/>
                <w:color w:val="000000"/>
                <w:sz w:val="20"/>
              </w:rPr>
            </w:pPr>
            <w:r w:rsidRPr="00153C3B">
              <w:rPr>
                <w:b/>
                <w:bCs/>
                <w:color w:val="000000"/>
                <w:sz w:val="20"/>
              </w:rPr>
              <w:t>Total</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435494" w:rsidRPr="00153C3B" w:rsidP="00435494" w14:paraId="12CBF088" w14:textId="0BB85B05">
            <w:pPr>
              <w:spacing w:after="0"/>
              <w:jc w:val="right"/>
              <w:rPr>
                <w:b/>
                <w:bCs/>
                <w:color w:val="000000"/>
                <w:sz w:val="20"/>
              </w:rPr>
            </w:pPr>
            <w:r>
              <w:rPr>
                <w:b/>
                <w:bCs/>
                <w:color w:val="000000"/>
                <w:sz w:val="20"/>
              </w:rPr>
              <w:t>607</w:t>
            </w:r>
          </w:p>
        </w:tc>
        <w:tc>
          <w:tcPr>
            <w:tcW w:w="1316"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34D75B5D" w14:textId="77777777">
            <w:pPr>
              <w:spacing w:after="0"/>
              <w:jc w:val="right"/>
              <w:rPr>
                <w:rFonts w:ascii="Calibri" w:hAnsi="Calibri" w:cs="Calibri"/>
                <w:color w:val="000000"/>
              </w:rPr>
            </w:pPr>
            <w:r>
              <w:rPr>
                <w:rFonts w:ascii="Calibri" w:hAnsi="Calibri" w:cs="Calibri"/>
                <w:color w:val="000000"/>
              </w:rPr>
              <w:t>-</w:t>
            </w:r>
          </w:p>
        </w:tc>
        <w:tc>
          <w:tcPr>
            <w:tcW w:w="1240"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44D8BCFA" w14:textId="3A88843E">
            <w:pPr>
              <w:spacing w:after="0"/>
              <w:jc w:val="right"/>
              <w:rPr>
                <w:b/>
                <w:bCs/>
                <w:color w:val="000000"/>
                <w:sz w:val="20"/>
              </w:rPr>
            </w:pPr>
            <w:r>
              <w:rPr>
                <w:b/>
                <w:bCs/>
                <w:color w:val="000000"/>
                <w:sz w:val="20"/>
              </w:rPr>
              <w:t>607</w:t>
            </w:r>
          </w:p>
        </w:tc>
        <w:tc>
          <w:tcPr>
            <w:tcW w:w="1191"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49D69385" w14:textId="77777777">
            <w:pPr>
              <w:spacing w:after="0"/>
              <w:jc w:val="right"/>
              <w:rPr>
                <w:rFonts w:ascii="Calibri" w:hAnsi="Calibri" w:cs="Calibri"/>
                <w:color w:val="000000"/>
              </w:rPr>
            </w:pPr>
            <w:r>
              <w:rPr>
                <w:rFonts w:ascii="Calibri" w:hAnsi="Calibri" w:cs="Calibri"/>
                <w:color w:val="000000"/>
              </w:rPr>
              <w:t>-</w:t>
            </w:r>
          </w:p>
        </w:tc>
        <w:tc>
          <w:tcPr>
            <w:tcW w:w="1145"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47E620D8" w14:textId="77777777">
            <w:pPr>
              <w:spacing w:after="0"/>
              <w:jc w:val="right"/>
              <w:rPr>
                <w:b/>
                <w:bCs/>
                <w:color w:val="000000"/>
                <w:sz w:val="20"/>
              </w:rPr>
            </w:pPr>
            <w:r>
              <w:rPr>
                <w:b/>
                <w:bCs/>
                <w:color w:val="000000"/>
                <w:sz w:val="20"/>
              </w:rPr>
              <w:t>0</w:t>
            </w:r>
          </w:p>
        </w:tc>
        <w:tc>
          <w:tcPr>
            <w:tcW w:w="1099" w:type="dxa"/>
            <w:tcBorders>
              <w:top w:val="nil"/>
              <w:left w:val="nil"/>
              <w:bottom w:val="single" w:sz="4" w:space="0" w:color="auto"/>
              <w:right w:val="single" w:sz="4" w:space="0" w:color="auto"/>
            </w:tcBorders>
            <w:shd w:val="clear" w:color="auto" w:fill="auto"/>
            <w:noWrap/>
            <w:vAlign w:val="center"/>
            <w:hideMark/>
          </w:tcPr>
          <w:p w:rsidR="00435494" w:rsidRPr="00153C3B" w:rsidP="00435494" w14:paraId="6286DBE7" w14:textId="77777777">
            <w:pPr>
              <w:spacing w:after="0"/>
              <w:jc w:val="right"/>
              <w:rPr>
                <w:rFonts w:ascii="Calibri" w:hAnsi="Calibri" w:cs="Calibri"/>
                <w:color w:val="000000"/>
              </w:rPr>
            </w:pPr>
            <w:r>
              <w:rPr>
                <w:rFonts w:ascii="Calibri" w:hAnsi="Calibri" w:cs="Calibri"/>
                <w:color w:val="000000"/>
              </w:rPr>
              <w:t>-</w:t>
            </w:r>
          </w:p>
        </w:tc>
        <w:tc>
          <w:tcPr>
            <w:tcW w:w="1445" w:type="dxa"/>
            <w:tcBorders>
              <w:top w:val="nil"/>
              <w:left w:val="nil"/>
              <w:bottom w:val="single" w:sz="4" w:space="0" w:color="auto"/>
              <w:right w:val="single" w:sz="4" w:space="0" w:color="auto"/>
            </w:tcBorders>
            <w:shd w:val="clear" w:color="auto" w:fill="auto"/>
            <w:noWrap/>
            <w:vAlign w:val="center"/>
            <w:hideMark/>
          </w:tcPr>
          <w:p w:rsidR="00435494" w:rsidRPr="005A27CE" w:rsidP="00435494" w14:paraId="6AAF1A29" w14:textId="2246058F">
            <w:pPr>
              <w:spacing w:after="0"/>
              <w:jc w:val="right"/>
              <w:rPr>
                <w:b/>
                <w:bCs/>
                <w:sz w:val="20"/>
              </w:rPr>
            </w:pPr>
            <w:r>
              <w:rPr>
                <w:b/>
                <w:bCs/>
                <w:sz w:val="20"/>
              </w:rPr>
              <w:t>$4,801,937</w:t>
            </w:r>
          </w:p>
        </w:tc>
      </w:tr>
    </w:tbl>
    <w:p w:rsidR="00F60E95" w:rsidRPr="00F60E95" w:rsidP="00F60E95" w14:paraId="4F82BB7D" w14:textId="77777777"/>
    <w:p w:rsidR="00BD1BAB" w:rsidP="00F60E95" w14:paraId="3AB88F5C" w14:textId="0374B8ED">
      <w:pPr>
        <w:pStyle w:val="Heading2"/>
      </w:pPr>
      <w:r w:rsidRPr="00A8196B">
        <w:t>1</w:t>
      </w:r>
      <w:r w:rsidRPr="00A8196B" w:rsidR="00377C64">
        <w:t>5</w:t>
      </w:r>
      <w:r w:rsidRPr="00A8196B">
        <w:t xml:space="preserve">. </w:t>
      </w:r>
      <w:r w:rsidRPr="00A8196B" w:rsidR="003D09E2">
        <w:t xml:space="preserve">Explain the reasons for any program changes or adjustments reported in </w:t>
      </w:r>
      <w:r w:rsidRPr="00A8196B" w:rsidR="007F3A69">
        <w:t>hour or cost burden</w:t>
      </w:r>
      <w:r w:rsidRPr="00A8196B" w:rsidR="003D09E2">
        <w:t>.</w:t>
      </w:r>
    </w:p>
    <w:p w:rsidR="004720A6" w:rsidP="004720A6" w14:paraId="4E0E0EEB" w14:textId="0C3C4159">
      <w:pPr>
        <w:pStyle w:val="BodyTextFirstIndent"/>
        <w:spacing w:after="200" w:line="276" w:lineRule="auto"/>
      </w:pPr>
      <w:r w:rsidRPr="00A8196B">
        <w:t>Th</w:t>
      </w:r>
      <w:r>
        <w:t xml:space="preserve">e change in </w:t>
      </w:r>
      <w:r w:rsidR="00946A5E">
        <w:t xml:space="preserve">estimate as a result of the proposed rule which updates </w:t>
      </w:r>
      <w:r w:rsidRPr="00760869">
        <w:t>the new chemicals procedural regulations at 40 CFR Parts 720, 721, 723, and 725</w:t>
      </w:r>
      <w:r w:rsidR="00946A5E">
        <w:t xml:space="preserve">. </w:t>
      </w:r>
      <w:r w:rsidRPr="00760869">
        <w:t xml:space="preserve">The amendments included under this </w:t>
      </w:r>
      <w:r>
        <w:t>new chemicals procedural rule</w:t>
      </w:r>
      <w:r w:rsidRPr="00760869">
        <w:t xml:space="preserve"> cover several goals, including in part to align the regulatory text with the amendments to TSCA’s new chemical review</w:t>
      </w:r>
      <w:r>
        <w:t xml:space="preserve"> provisions</w:t>
      </w:r>
      <w:r w:rsidRPr="00760869">
        <w:t xml:space="preserve"> contained in the Frank R. Lautenberg Chemical Safety for the 21st Century Act, enacted on June 22, 2016</w:t>
      </w:r>
      <w:r>
        <w:t xml:space="preserve"> </w:t>
      </w:r>
      <w:r w:rsidRPr="00760869">
        <w:t>(15 U.S.C. 2604); increase the quality of information initially submitted in new chemicals notices, to reduce the need to update risk assessments if new information is received later in the process, and, ultimately, to reduce the length of time that new chemicals are under review for notices submitted under TSCA section 5(a)(1); and to update the regulations for low volume exemptions (LVEs) and low release and exposure exemptions (LoREXs) to make perfluoroalkyl and polyfluoroalkyl substances (PFAS) ineligible for these exemptions</w:t>
      </w:r>
      <w:r>
        <w:t xml:space="preserve"> and to</w:t>
      </w:r>
      <w:r w:rsidRPr="00C33C1D">
        <w:rPr>
          <w:rFonts w:cs="Arial"/>
        </w:rPr>
        <w:t xml:space="preserve"> codify the ineligibility for </w:t>
      </w:r>
      <w:r>
        <w:rPr>
          <w:rFonts w:cs="Arial"/>
        </w:rPr>
        <w:t xml:space="preserve">these </w:t>
      </w:r>
      <w:r w:rsidRPr="00C33C1D">
        <w:rPr>
          <w:rFonts w:cs="Arial"/>
        </w:rPr>
        <w:t xml:space="preserve">exemptions of </w:t>
      </w:r>
      <w:r>
        <w:rPr>
          <w:rFonts w:cs="Arial"/>
        </w:rPr>
        <w:t xml:space="preserve">certain </w:t>
      </w:r>
      <w:r>
        <w:t>persistent, bioaccumulative, and toxic (</w:t>
      </w:r>
      <w:r w:rsidRPr="00C33C1D">
        <w:rPr>
          <w:rFonts w:cs="Arial"/>
        </w:rPr>
        <w:t>PBT</w:t>
      </w:r>
      <w:r>
        <w:rPr>
          <w:rFonts w:cs="Arial"/>
        </w:rPr>
        <w:t>) chemical substance</w:t>
      </w:r>
      <w:r w:rsidRPr="00C33C1D">
        <w:rPr>
          <w:rFonts w:cs="Arial"/>
        </w:rPr>
        <w:t>s as described in EPA’s 1999 PBT policy</w:t>
      </w:r>
      <w:r w:rsidRPr="00760869">
        <w:t xml:space="preserve">. </w:t>
      </w:r>
    </w:p>
    <w:p w:rsidR="00946A5E" w:rsidP="004720A6" w14:paraId="76743FAA" w14:textId="7778287F">
      <w:pPr>
        <w:pStyle w:val="BodyTextFirstIndent"/>
        <w:spacing w:after="200" w:line="276" w:lineRule="auto"/>
      </w:pPr>
      <w:r>
        <w:t>Table 29. Summary of Burden Changes</w:t>
      </w:r>
    </w:p>
    <w:tbl>
      <w:tblPr>
        <w:tblStyle w:val="TableGrid"/>
        <w:tblW w:w="0" w:type="auto"/>
        <w:tblLook w:val="04A0"/>
      </w:tblPr>
      <w:tblGrid>
        <w:gridCol w:w="2492"/>
        <w:gridCol w:w="2346"/>
        <w:gridCol w:w="2458"/>
        <w:gridCol w:w="2054"/>
      </w:tblGrid>
      <w:tr w14:paraId="099BA00F" w14:textId="51C0FAE6" w:rsidTr="00946A5E">
        <w:tblPrEx>
          <w:tblW w:w="0" w:type="auto"/>
          <w:tblLook w:val="04A0"/>
        </w:tblPrEx>
        <w:tc>
          <w:tcPr>
            <w:tcW w:w="2492" w:type="dxa"/>
          </w:tcPr>
          <w:p w:rsidR="00946A5E" w:rsidRPr="003C45AD" w:rsidP="004720A6" w14:paraId="66D9047F" w14:textId="77777777">
            <w:pPr>
              <w:pStyle w:val="BodyTextFirstIndent"/>
              <w:spacing w:after="200" w:line="276" w:lineRule="auto"/>
              <w:rPr>
                <w:b/>
                <w:bCs/>
                <w:sz w:val="20"/>
              </w:rPr>
            </w:pPr>
          </w:p>
        </w:tc>
        <w:tc>
          <w:tcPr>
            <w:tcW w:w="2346" w:type="dxa"/>
          </w:tcPr>
          <w:p w:rsidR="00946A5E" w:rsidRPr="003C45AD" w:rsidP="004720A6" w14:paraId="2E8E76F2" w14:textId="0391F06C">
            <w:pPr>
              <w:pStyle w:val="BodyTextFirstIndent"/>
              <w:spacing w:after="200" w:line="276" w:lineRule="auto"/>
              <w:rPr>
                <w:b/>
                <w:bCs/>
                <w:sz w:val="20"/>
              </w:rPr>
            </w:pPr>
            <w:r w:rsidRPr="003C45AD">
              <w:rPr>
                <w:b/>
                <w:bCs/>
                <w:sz w:val="20"/>
              </w:rPr>
              <w:t xml:space="preserve">Current ICR </w:t>
            </w:r>
          </w:p>
        </w:tc>
        <w:tc>
          <w:tcPr>
            <w:tcW w:w="2458" w:type="dxa"/>
          </w:tcPr>
          <w:p w:rsidR="00946A5E" w:rsidRPr="003C45AD" w:rsidP="004720A6" w14:paraId="2A75F097" w14:textId="0EF46D36">
            <w:pPr>
              <w:pStyle w:val="BodyTextFirstIndent"/>
              <w:spacing w:after="200" w:line="276" w:lineRule="auto"/>
              <w:rPr>
                <w:b/>
                <w:bCs/>
                <w:sz w:val="20"/>
              </w:rPr>
            </w:pPr>
            <w:r w:rsidRPr="003C45AD">
              <w:rPr>
                <w:b/>
                <w:bCs/>
                <w:sz w:val="20"/>
              </w:rPr>
              <w:t xml:space="preserve">Previously Approved ICR </w:t>
            </w:r>
          </w:p>
        </w:tc>
        <w:tc>
          <w:tcPr>
            <w:tcW w:w="2054" w:type="dxa"/>
          </w:tcPr>
          <w:p w:rsidR="00946A5E" w:rsidRPr="003C45AD" w:rsidP="004720A6" w14:paraId="73663B5E" w14:textId="6445FD0B">
            <w:pPr>
              <w:pStyle w:val="BodyTextFirstIndent"/>
              <w:spacing w:after="200" w:line="276" w:lineRule="auto"/>
              <w:rPr>
                <w:b/>
                <w:bCs/>
                <w:sz w:val="20"/>
              </w:rPr>
            </w:pPr>
            <w:r w:rsidRPr="003C45AD">
              <w:rPr>
                <w:b/>
                <w:bCs/>
                <w:sz w:val="20"/>
              </w:rPr>
              <w:t xml:space="preserve">Change in Burden </w:t>
            </w:r>
          </w:p>
        </w:tc>
      </w:tr>
      <w:tr w14:paraId="4C20D1C5" w14:textId="6A7BD532" w:rsidTr="00946A5E">
        <w:tblPrEx>
          <w:tblW w:w="0" w:type="auto"/>
          <w:tblLook w:val="04A0"/>
        </w:tblPrEx>
        <w:tc>
          <w:tcPr>
            <w:tcW w:w="2492" w:type="dxa"/>
          </w:tcPr>
          <w:p w:rsidR="00946A5E" w:rsidRPr="003C45AD" w:rsidP="004720A6" w14:paraId="325812B4" w14:textId="291C4CDB">
            <w:pPr>
              <w:pStyle w:val="BodyTextFirstIndent"/>
              <w:spacing w:after="200" w:line="276" w:lineRule="auto"/>
              <w:rPr>
                <w:b/>
                <w:bCs/>
                <w:sz w:val="20"/>
              </w:rPr>
            </w:pPr>
            <w:r w:rsidRPr="003C45AD">
              <w:rPr>
                <w:b/>
                <w:bCs/>
                <w:sz w:val="20"/>
              </w:rPr>
              <w:t xml:space="preserve">Responses </w:t>
            </w:r>
          </w:p>
        </w:tc>
        <w:tc>
          <w:tcPr>
            <w:tcW w:w="2346" w:type="dxa"/>
          </w:tcPr>
          <w:p w:rsidR="00946A5E" w:rsidRPr="005D079D" w:rsidP="004720A6" w14:paraId="77D24028" w14:textId="1F49C914">
            <w:pPr>
              <w:pStyle w:val="BodyTextFirstIndent"/>
              <w:spacing w:after="200" w:line="276" w:lineRule="auto"/>
              <w:rPr>
                <w:sz w:val="20"/>
              </w:rPr>
            </w:pPr>
            <w:r w:rsidRPr="005D079D">
              <w:rPr>
                <w:sz w:val="20"/>
              </w:rPr>
              <w:t>4286</w:t>
            </w:r>
          </w:p>
        </w:tc>
        <w:tc>
          <w:tcPr>
            <w:tcW w:w="2458" w:type="dxa"/>
          </w:tcPr>
          <w:p w:rsidR="00946A5E" w:rsidRPr="005D079D" w:rsidP="004720A6" w14:paraId="57F42448" w14:textId="5F9B6524">
            <w:pPr>
              <w:pStyle w:val="BodyTextFirstIndent"/>
              <w:spacing w:after="200" w:line="276" w:lineRule="auto"/>
              <w:rPr>
                <w:sz w:val="20"/>
              </w:rPr>
            </w:pPr>
            <w:r w:rsidRPr="005D079D">
              <w:rPr>
                <w:sz w:val="20"/>
              </w:rPr>
              <w:t>4286</w:t>
            </w:r>
          </w:p>
        </w:tc>
        <w:tc>
          <w:tcPr>
            <w:tcW w:w="2054" w:type="dxa"/>
          </w:tcPr>
          <w:p w:rsidR="00946A5E" w:rsidRPr="005D079D" w:rsidP="004720A6" w14:paraId="2BAEE104" w14:textId="46E19715">
            <w:pPr>
              <w:pStyle w:val="BodyTextFirstIndent"/>
              <w:spacing w:after="200" w:line="276" w:lineRule="auto"/>
              <w:rPr>
                <w:sz w:val="20"/>
              </w:rPr>
            </w:pPr>
            <w:r w:rsidRPr="005D079D">
              <w:rPr>
                <w:sz w:val="20"/>
              </w:rPr>
              <w:t>-</w:t>
            </w:r>
          </w:p>
        </w:tc>
      </w:tr>
      <w:tr w14:paraId="5EDBBC51" w14:textId="1A21ECF9" w:rsidTr="00946A5E">
        <w:tblPrEx>
          <w:tblW w:w="0" w:type="auto"/>
          <w:tblLook w:val="04A0"/>
        </w:tblPrEx>
        <w:tc>
          <w:tcPr>
            <w:tcW w:w="2492" w:type="dxa"/>
          </w:tcPr>
          <w:p w:rsidR="00946A5E" w:rsidRPr="003C45AD" w:rsidP="004720A6" w14:paraId="51E6DD53" w14:textId="57AA455B">
            <w:pPr>
              <w:pStyle w:val="BodyTextFirstIndent"/>
              <w:spacing w:after="200" w:line="276" w:lineRule="auto"/>
              <w:rPr>
                <w:b/>
                <w:bCs/>
                <w:sz w:val="20"/>
              </w:rPr>
            </w:pPr>
            <w:r w:rsidRPr="003C45AD">
              <w:rPr>
                <w:b/>
                <w:bCs/>
                <w:sz w:val="20"/>
              </w:rPr>
              <w:t xml:space="preserve">Burden Hours </w:t>
            </w:r>
          </w:p>
        </w:tc>
        <w:tc>
          <w:tcPr>
            <w:tcW w:w="2346" w:type="dxa"/>
          </w:tcPr>
          <w:p w:rsidR="00946A5E" w:rsidRPr="005D079D" w:rsidP="004720A6" w14:paraId="20C58EDF" w14:textId="1EA40985">
            <w:pPr>
              <w:pStyle w:val="BodyTextFirstIndent"/>
              <w:spacing w:after="200" w:line="276" w:lineRule="auto"/>
              <w:rPr>
                <w:sz w:val="20"/>
              </w:rPr>
            </w:pPr>
            <w:r w:rsidRPr="005D079D">
              <w:rPr>
                <w:sz w:val="20"/>
              </w:rPr>
              <w:t>131,</w:t>
            </w:r>
            <w:r w:rsidR="00DB4D66">
              <w:rPr>
                <w:sz w:val="20"/>
              </w:rPr>
              <w:t>233</w:t>
            </w:r>
          </w:p>
        </w:tc>
        <w:tc>
          <w:tcPr>
            <w:tcW w:w="2458" w:type="dxa"/>
          </w:tcPr>
          <w:p w:rsidR="00946A5E" w:rsidRPr="005D079D" w:rsidP="004720A6" w14:paraId="5606D30F" w14:textId="2021FAA6">
            <w:pPr>
              <w:pStyle w:val="BodyTextFirstIndent"/>
              <w:spacing w:after="200" w:line="276" w:lineRule="auto"/>
              <w:rPr>
                <w:sz w:val="20"/>
              </w:rPr>
            </w:pPr>
            <w:r w:rsidRPr="005D079D">
              <w:rPr>
                <w:sz w:val="20"/>
              </w:rPr>
              <w:t>136,292</w:t>
            </w:r>
          </w:p>
        </w:tc>
        <w:tc>
          <w:tcPr>
            <w:tcW w:w="2054" w:type="dxa"/>
          </w:tcPr>
          <w:p w:rsidR="00946A5E" w:rsidRPr="005D079D" w:rsidP="004720A6" w14:paraId="228CDE6E" w14:textId="160DF2B5">
            <w:pPr>
              <w:pStyle w:val="BodyTextFirstIndent"/>
              <w:spacing w:after="200" w:line="276" w:lineRule="auto"/>
              <w:rPr>
                <w:sz w:val="20"/>
              </w:rPr>
            </w:pPr>
            <w:r w:rsidRPr="005D079D">
              <w:rPr>
                <w:sz w:val="20"/>
              </w:rPr>
              <w:t>(</w:t>
            </w:r>
            <w:r w:rsidR="004970C2">
              <w:rPr>
                <w:rFonts w:cs="Arial"/>
                <w:sz w:val="20"/>
              </w:rPr>
              <w:t>5,058</w:t>
            </w:r>
            <w:r w:rsidRPr="005D079D">
              <w:rPr>
                <w:rFonts w:cs="Arial"/>
                <w:sz w:val="20"/>
              </w:rPr>
              <w:t>)</w:t>
            </w:r>
          </w:p>
        </w:tc>
      </w:tr>
      <w:tr w14:paraId="4D31E4CE" w14:textId="77777777" w:rsidTr="005D079D">
        <w:tblPrEx>
          <w:tblW w:w="0" w:type="auto"/>
          <w:tblLook w:val="04A0"/>
        </w:tblPrEx>
        <w:tc>
          <w:tcPr>
            <w:tcW w:w="2492" w:type="dxa"/>
          </w:tcPr>
          <w:p w:rsidR="003B5889" w:rsidRPr="00247FDB" w:rsidP="003B5889" w14:paraId="31C40C9E" w14:textId="44FBF77F">
            <w:pPr>
              <w:pStyle w:val="BodyTextFirstIndent"/>
              <w:spacing w:after="200" w:line="276" w:lineRule="auto"/>
              <w:rPr>
                <w:b/>
                <w:bCs/>
                <w:sz w:val="20"/>
              </w:rPr>
            </w:pPr>
            <w:r w:rsidRPr="00247FDB">
              <w:rPr>
                <w:b/>
                <w:bCs/>
                <w:sz w:val="20"/>
              </w:rPr>
              <w:t>Agency Costs</w:t>
            </w:r>
          </w:p>
        </w:tc>
        <w:tc>
          <w:tcPr>
            <w:tcW w:w="2346" w:type="dxa"/>
          </w:tcPr>
          <w:p w:rsidR="003B5889" w:rsidRPr="00247FDB" w:rsidP="003B5889" w14:paraId="4924E39D" w14:textId="3024D6DB">
            <w:pPr>
              <w:pStyle w:val="BodyTextFirstIndent"/>
              <w:spacing w:after="200" w:line="276" w:lineRule="auto"/>
              <w:rPr>
                <w:sz w:val="20"/>
              </w:rPr>
            </w:pPr>
            <w:r w:rsidRPr="005A27CE">
              <w:rPr>
                <w:sz w:val="20"/>
              </w:rPr>
              <w:t>$</w:t>
            </w:r>
            <w:r w:rsidRPr="005A27CE" w:rsidR="00247FDB">
              <w:rPr>
                <w:sz w:val="20"/>
              </w:rPr>
              <w:t>31,761,353</w:t>
            </w:r>
          </w:p>
        </w:tc>
        <w:tc>
          <w:tcPr>
            <w:tcW w:w="2458" w:type="dxa"/>
            <w:shd w:val="clear" w:color="auto" w:fill="auto"/>
          </w:tcPr>
          <w:p w:rsidR="003B5889" w:rsidRPr="00247FDB" w:rsidP="003B5889" w14:paraId="273CCC30" w14:textId="105365E1">
            <w:pPr>
              <w:pStyle w:val="BodyTextFirstIndent"/>
              <w:spacing w:after="200" w:line="276" w:lineRule="auto"/>
              <w:rPr>
                <w:sz w:val="20"/>
              </w:rPr>
            </w:pPr>
            <w:r w:rsidRPr="005A27CE">
              <w:rPr>
                <w:sz w:val="20"/>
              </w:rPr>
              <w:t>$2</w:t>
            </w:r>
            <w:r w:rsidR="009A05A2">
              <w:rPr>
                <w:sz w:val="20"/>
              </w:rPr>
              <w:t>6,959</w:t>
            </w:r>
            <w:r w:rsidRPr="005A27CE">
              <w:rPr>
                <w:sz w:val="20"/>
              </w:rPr>
              <w:t>,416</w:t>
            </w:r>
          </w:p>
        </w:tc>
        <w:tc>
          <w:tcPr>
            <w:tcW w:w="2054" w:type="dxa"/>
          </w:tcPr>
          <w:p w:rsidR="003B5889" w:rsidRPr="00247FDB" w:rsidP="003B5889" w14:paraId="62721238" w14:textId="6A7825CD">
            <w:pPr>
              <w:pStyle w:val="BodyTextFirstIndent"/>
              <w:spacing w:after="200" w:line="276" w:lineRule="auto"/>
              <w:rPr>
                <w:sz w:val="20"/>
              </w:rPr>
            </w:pPr>
            <w:r w:rsidRPr="005A27CE">
              <w:rPr>
                <w:sz w:val="20"/>
              </w:rPr>
              <w:t>4,801,937</w:t>
            </w:r>
          </w:p>
        </w:tc>
      </w:tr>
    </w:tbl>
    <w:p w:rsidR="004720A6" w:rsidRPr="004720A6" w:rsidP="004720A6" w14:paraId="2FE70DED" w14:textId="77777777">
      <w:pPr>
        <w:rPr>
          <w:lang w:bidi="en-US"/>
        </w:rPr>
      </w:pPr>
    </w:p>
    <w:p w:rsidR="00A640A9" w:rsidRPr="00A8196B" w:rsidP="004720A6" w14:paraId="67020DB0" w14:textId="71D953C3">
      <w:pPr>
        <w:pStyle w:val="Heading2"/>
      </w:pPr>
      <w:r w:rsidRPr="00A8196B">
        <w:t>1</w:t>
      </w:r>
      <w:r w:rsidRPr="00A8196B" w:rsidR="00377C64">
        <w:t>6</w:t>
      </w:r>
      <w:r w:rsidRPr="00A8196B">
        <w:t xml:space="preserve">. </w:t>
      </w:r>
      <w:r w:rsidRPr="00A8196B" w:rsidR="00D278E1">
        <w:t>For collections whose results will be published, outline the plans for tabulation and publication.</w:t>
      </w:r>
      <w:r w:rsidRPr="00A8196B" w:rsidR="007F3A69">
        <w:t xml:space="preserve"> Address any complex analytical techniques that will be used. Provide the time schedule for the entire project, including beginning and ending dates of the collection of information, completion of report, publication dates, and other actions.</w:t>
      </w:r>
    </w:p>
    <w:p w:rsidR="00A7023B" w:rsidRPr="00A8196B" w:rsidP="00CA19A2" w14:paraId="13342F71" w14:textId="758C2703">
      <w:pPr>
        <w:rPr>
          <w:lang w:bidi="en-US"/>
        </w:rPr>
      </w:pPr>
      <w:r w:rsidRPr="00A8196B">
        <w:rPr>
          <w:lang w:bidi="en-US"/>
        </w:rPr>
        <w:t>Not applicable.</w:t>
      </w:r>
      <w:r w:rsidRPr="00A8196B" w:rsidR="00882784">
        <w:rPr>
          <w:lang w:bidi="en-US"/>
        </w:rPr>
        <w:t xml:space="preserve"> </w:t>
      </w:r>
    </w:p>
    <w:p w:rsidR="00D278E1" w:rsidRPr="00A8196B" w:rsidP="00B04B5F" w14:paraId="3C058E98" w14:textId="461E4B1B">
      <w:pPr>
        <w:pStyle w:val="Heading2"/>
        <w:ind w:firstLine="0"/>
      </w:pPr>
      <w:r w:rsidRPr="00A8196B">
        <w:t>1</w:t>
      </w:r>
      <w:r w:rsidRPr="00A8196B" w:rsidR="00377C64">
        <w:t>7</w:t>
      </w:r>
      <w:r w:rsidRPr="00A8196B">
        <w:t xml:space="preserve">. </w:t>
      </w:r>
      <w:r w:rsidRPr="00A8196B" w:rsidR="00A640A9">
        <w:t>If</w:t>
      </w:r>
      <w:r w:rsidRPr="00A8196B">
        <w:t xml:space="preserve"> seeking approval to not display the expiration date for OMB approval of the information collection, explain the reasons why display would be inappropriate.</w:t>
      </w:r>
    </w:p>
    <w:p w:rsidR="00A7023B" w:rsidRPr="00A8196B" w:rsidP="00DD4208" w14:paraId="7ADE295A" w14:textId="4B4A1ECB">
      <w:pPr>
        <w:rPr>
          <w:lang w:bidi="en-US"/>
        </w:rPr>
      </w:pPr>
      <w:r w:rsidRPr="00A8196B">
        <w:rPr>
          <w:lang w:bidi="en-US"/>
        </w:rPr>
        <w:t>Approved previously, when EPA adopted a fully electronic reporting environment, there are no changes in the activities or reporting tool that warrant reconsideration</w:t>
      </w:r>
      <w:r w:rsidRPr="00A8196B" w:rsidR="00DD4208">
        <w:rPr>
          <w:lang w:bidi="en-US"/>
        </w:rPr>
        <w:t>.</w:t>
      </w:r>
    </w:p>
    <w:p w:rsidR="005D6FB8" w:rsidRPr="00A8196B" w:rsidP="00377C64" w14:paraId="380B6953" w14:textId="4A92C00A">
      <w:pPr>
        <w:pStyle w:val="Heading2"/>
        <w:ind w:firstLine="0"/>
      </w:pPr>
      <w:r w:rsidRPr="00A8196B">
        <w:t xml:space="preserve">18. </w:t>
      </w:r>
      <w:r w:rsidRPr="00A8196B" w:rsidR="00D278E1">
        <w:t xml:space="preserve">Explain each exception to the certification statement identified in </w:t>
      </w:r>
      <w:r w:rsidRPr="00A8196B" w:rsidR="007F3A69">
        <w:t>“Certification for Paperwork Reduction Act Submissions.”</w:t>
      </w:r>
    </w:p>
    <w:p w:rsidR="00495623" w:rsidRPr="00A8196B" w:rsidP="00495623" w14:paraId="0EA4F62B" w14:textId="77777777">
      <w:pPr>
        <w:rPr>
          <w:lang w:bidi="en-US"/>
        </w:rPr>
      </w:pPr>
      <w:bookmarkStart w:id="58" w:name="_Hlk85093343"/>
      <w:r w:rsidRPr="00A8196B">
        <w:rPr>
          <w:lang w:bidi="en-US"/>
        </w:rPr>
        <w:t>EPA does not request an exception to the certification of this information collection.</w:t>
      </w:r>
      <w:bookmarkEnd w:id="58"/>
    </w:p>
    <w:p w:rsidR="0026304B" w:rsidRPr="00A8196B" w:rsidP="00495623" w14:paraId="6054E19E" w14:textId="379CB3A6">
      <w:pPr>
        <w:pStyle w:val="Heading1"/>
      </w:pPr>
      <w:r w:rsidRPr="00A8196B">
        <w:rPr>
          <w:caps w:val="0"/>
        </w:rPr>
        <w:t>SUPPLEMENTAL INFORMATION</w:t>
      </w:r>
    </w:p>
    <w:p w:rsidR="004D499D" w:rsidRPr="00A8196B" w:rsidP="003639B3" w14:paraId="6C54CF92" w14:textId="0F23741C">
      <w:pPr>
        <w:rPr>
          <w:szCs w:val="24"/>
          <w:u w:val="single"/>
        </w:rPr>
      </w:pPr>
      <w:r w:rsidRPr="00A8196B">
        <w:rPr>
          <w:szCs w:val="24"/>
          <w:u w:val="single"/>
        </w:rPr>
        <w:t>PRA Burden Statement for Collection Instruments:</w:t>
      </w:r>
    </w:p>
    <w:p w:rsidR="0042277D" w:rsidRPr="00A8196B" w:rsidP="003639B3" w14:paraId="096AF008" w14:textId="3C0DDAA1">
      <w:pPr>
        <w:rPr>
          <w:szCs w:val="24"/>
        </w:rPr>
      </w:pPr>
      <w:r w:rsidRPr="00A8196B">
        <w:rPr>
          <w:szCs w:val="24"/>
        </w:rPr>
        <w:t>This collection of information is approved by OMB under the Paperwork Reduction Act, 44 U.S.C. 3501 et seq.</w:t>
      </w:r>
      <w:r w:rsidRPr="00A8196B" w:rsidR="00882784">
        <w:rPr>
          <w:szCs w:val="24"/>
        </w:rPr>
        <w:t xml:space="preserve">, and assigned </w:t>
      </w:r>
      <w:r w:rsidRPr="00A8196B">
        <w:rPr>
          <w:szCs w:val="24"/>
        </w:rPr>
        <w:t xml:space="preserve">OMB Control No. </w:t>
      </w:r>
      <w:r w:rsidRPr="00A8196B" w:rsidR="00FA1E9F">
        <w:rPr>
          <w:szCs w:val="24"/>
        </w:rPr>
        <w:t>2070</w:t>
      </w:r>
      <w:r w:rsidRPr="00A8196B">
        <w:rPr>
          <w:szCs w:val="24"/>
        </w:rPr>
        <w:t>-</w:t>
      </w:r>
      <w:r w:rsidRPr="00A8196B" w:rsidR="00C02215">
        <w:rPr>
          <w:szCs w:val="24"/>
        </w:rPr>
        <w:t>0038</w:t>
      </w:r>
      <w:r w:rsidRPr="00A8196B">
        <w:rPr>
          <w:szCs w:val="24"/>
        </w:rPr>
        <w:t>. Responses to this collection of information are mandatory for certain persons</w:t>
      </w:r>
      <w:r w:rsidRPr="00A8196B" w:rsidR="004D499D">
        <w:rPr>
          <w:szCs w:val="24"/>
        </w:rPr>
        <w:t xml:space="preserve"> who engage in the covered activities</w:t>
      </w:r>
      <w:r w:rsidRPr="00A8196B">
        <w:rPr>
          <w:szCs w:val="24"/>
        </w:rPr>
        <w:t xml:space="preserve"> as specified </w:t>
      </w:r>
      <w:r w:rsidRPr="00A8196B" w:rsidR="004D499D">
        <w:rPr>
          <w:szCs w:val="24"/>
        </w:rPr>
        <w:t>in section 5 of the Toxic Substances Control Act and EPA implementing regulations (</w:t>
      </w:r>
      <w:r w:rsidRPr="00A8196B">
        <w:rPr>
          <w:szCs w:val="24"/>
        </w:rPr>
        <w:t xml:space="preserve">40 CFR </w:t>
      </w:r>
      <w:r w:rsidRPr="00A8196B" w:rsidR="004D499D">
        <w:rPr>
          <w:szCs w:val="24"/>
        </w:rPr>
        <w:t xml:space="preserve">parts </w:t>
      </w:r>
      <w:r w:rsidRPr="00A8196B">
        <w:rPr>
          <w:szCs w:val="24"/>
        </w:rPr>
        <w:t>72</w:t>
      </w:r>
      <w:r w:rsidRPr="00A8196B" w:rsidR="004D499D">
        <w:rPr>
          <w:szCs w:val="24"/>
        </w:rPr>
        <w:t>0</w:t>
      </w:r>
      <w:r w:rsidRPr="00A8196B">
        <w:rPr>
          <w:szCs w:val="24"/>
        </w:rPr>
        <w:t xml:space="preserve"> </w:t>
      </w:r>
      <w:r w:rsidRPr="00A8196B" w:rsidR="004D499D">
        <w:rPr>
          <w:szCs w:val="24"/>
        </w:rPr>
        <w:t xml:space="preserve">through </w:t>
      </w:r>
      <w:r w:rsidRPr="00A8196B">
        <w:rPr>
          <w:szCs w:val="24"/>
        </w:rPr>
        <w:t>725</w:t>
      </w:r>
      <w:r w:rsidRPr="00A8196B" w:rsidR="004D499D">
        <w:rPr>
          <w:szCs w:val="24"/>
        </w:rPr>
        <w:t>)</w:t>
      </w:r>
      <w:r w:rsidRPr="00A8196B">
        <w:rPr>
          <w:szCs w:val="24"/>
        </w:rPr>
        <w:t>. An agency may not conduct or sponsor, and a person is not required to respond to, a collection of information unless it displays a currently valid OMB control number. The public reporting and recordkeeping burden for this collection of information</w:t>
      </w:r>
      <w:r w:rsidRPr="00A8196B" w:rsidR="00882784">
        <w:rPr>
          <w:szCs w:val="24"/>
        </w:rPr>
        <w:t>, which varies based on the activity,</w:t>
      </w:r>
      <w:r w:rsidRPr="00A8196B">
        <w:rPr>
          <w:szCs w:val="24"/>
        </w:rPr>
        <w:t xml:space="preserve"> is estimated to be between </w:t>
      </w:r>
      <w:r w:rsidR="00136B67">
        <w:rPr>
          <w:b/>
          <w:szCs w:val="24"/>
        </w:rPr>
        <w:t>17</w:t>
      </w:r>
      <w:r w:rsidRPr="00A8196B">
        <w:rPr>
          <w:b/>
          <w:szCs w:val="24"/>
        </w:rPr>
        <w:t xml:space="preserve"> to </w:t>
      </w:r>
      <w:r w:rsidRPr="00A8196B" w:rsidR="00136B67">
        <w:rPr>
          <w:b/>
          <w:szCs w:val="24"/>
        </w:rPr>
        <w:t>52</w:t>
      </w:r>
      <w:r w:rsidR="00136B67">
        <w:rPr>
          <w:b/>
          <w:szCs w:val="24"/>
        </w:rPr>
        <w:t>6</w:t>
      </w:r>
      <w:r w:rsidRPr="00A8196B">
        <w:rPr>
          <w:b/>
          <w:szCs w:val="24"/>
        </w:rPr>
        <w:t xml:space="preserve"> hours per response</w:t>
      </w:r>
      <w:r w:rsidRPr="00A8196B">
        <w:rPr>
          <w:szCs w:val="24"/>
        </w:rPr>
        <w:t xml:space="preserve">. Send comments on the Agency’s need for this information, the accuracy of the provided burden estimates and any suggested methods for minimizing respondent burden to the </w:t>
      </w:r>
      <w:r w:rsidRPr="00A8196B" w:rsidR="004D499D">
        <w:rPr>
          <w:szCs w:val="24"/>
        </w:rPr>
        <w:t xml:space="preserve">Director of the </w:t>
      </w:r>
      <w:r w:rsidRPr="00A8196B">
        <w:rPr>
          <w:szCs w:val="24"/>
        </w:rPr>
        <w:t>Regulatory Support Division</w:t>
      </w:r>
      <w:r w:rsidRPr="00A8196B" w:rsidR="004D499D">
        <w:rPr>
          <w:szCs w:val="24"/>
        </w:rPr>
        <w:t>, Office of Mission Support</w:t>
      </w:r>
      <w:r w:rsidRPr="00A8196B">
        <w:rPr>
          <w:szCs w:val="24"/>
        </w:rPr>
        <w:t>, U.S. Environmental Protection Agency (2821T), 1200 Pennsylvania Ave., NW, Washington, D.C. 20460.</w:t>
      </w:r>
      <w:r w:rsidRPr="00A8196B" w:rsidR="004E6EE2">
        <w:rPr>
          <w:szCs w:val="24"/>
        </w:rPr>
        <w:t xml:space="preserve"> </w:t>
      </w:r>
      <w:r w:rsidRPr="00A8196B">
        <w:rPr>
          <w:szCs w:val="24"/>
        </w:rPr>
        <w:t>Include the OMB control number in any correspondence. Do not send the completed form to this address.</w:t>
      </w:r>
    </w:p>
    <w:p w:rsidR="00306C11" w:rsidRPr="00A8196B" w:rsidP="00306C11" w14:paraId="1890058C" w14:textId="67E8B3C8">
      <w:pPr>
        <w:numPr>
          <w:ilvl w:val="12"/>
          <w:numId w:val="0"/>
        </w:numPr>
        <w:rPr>
          <w:color w:val="0F0F0F"/>
          <w:szCs w:val="24"/>
        </w:rPr>
      </w:pPr>
      <w:r w:rsidRPr="00A8196B">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A8196B">
        <w:rPr>
          <w:szCs w:val="24"/>
        </w:rPr>
        <w:t>Number EPA-HQ-OPPT-</w:t>
      </w:r>
      <w:r w:rsidRPr="00A8196B">
        <w:rPr>
          <w:rFonts w:cs="Arial"/>
          <w:szCs w:val="24"/>
        </w:rPr>
        <w:t>2021-0</w:t>
      </w:r>
      <w:r w:rsidRPr="00A8196B" w:rsidR="00C02215">
        <w:rPr>
          <w:rFonts w:cs="Arial"/>
          <w:szCs w:val="24"/>
        </w:rPr>
        <w:t>660</w:t>
      </w:r>
      <w:r w:rsidRPr="00A8196B">
        <w:rPr>
          <w:szCs w:val="24"/>
        </w:rPr>
        <w:t xml:space="preserve">, </w:t>
      </w:r>
      <w:bookmarkStart w:id="59" w:name="_Hlk80705102"/>
      <w:r w:rsidRPr="00A8196B">
        <w:rPr>
          <w:szCs w:val="24"/>
        </w:rPr>
        <w:t xml:space="preserve">which </w:t>
      </w:r>
      <w:r w:rsidRPr="00A8196B">
        <w:rPr>
          <w:color w:val="0F0F0F"/>
          <w:szCs w:val="24"/>
        </w:rPr>
        <w:t xml:space="preserve">is available at </w:t>
      </w:r>
      <w:hyperlink r:id="rId14" w:history="1">
        <w:r w:rsidRPr="00A8196B">
          <w:rPr>
            <w:rStyle w:val="Hyperlink"/>
            <w:szCs w:val="24"/>
          </w:rPr>
          <w:t>http://www.regulations.gov</w:t>
        </w:r>
      </w:hyperlink>
      <w:r w:rsidRPr="00A8196B">
        <w:rPr>
          <w:rStyle w:val="Hyperlink"/>
          <w:szCs w:val="24"/>
        </w:rPr>
        <w:t>.</w:t>
      </w:r>
      <w:r w:rsidRPr="00A8196B">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306C11" w:rsidRPr="00A8196B" w:rsidP="00306C11" w14:paraId="68318D0B" w14:textId="77777777">
      <w:r w:rsidRPr="00A8196B">
        <w:rPr>
          <w:color w:val="0F0F0F"/>
          <w:szCs w:val="24"/>
        </w:rPr>
        <w:t xml:space="preserve">You can also provide comments to the Office of Information and Regulatory Affairs, Office of Management and Budget </w:t>
      </w:r>
      <w:r w:rsidRPr="00A8196B">
        <w:t xml:space="preserve">via </w:t>
      </w:r>
      <w:hyperlink r:id="rId15" w:history="1">
        <w:r w:rsidRPr="00A8196B">
          <w:rPr>
            <w:rStyle w:val="Hyperlink"/>
          </w:rPr>
          <w:t>http://www.reginfo.gov/public/do/PRAMain</w:t>
        </w:r>
      </w:hyperlink>
      <w:r w:rsidRPr="00A8196B">
        <w:t>. Find this particular information collection by selecting ‘‘Currently under 30-day Review—Open for Public Comments’’ or by using the search function.</w:t>
      </w:r>
    </w:p>
    <w:p w:rsidR="00306C11" w:rsidRPr="00A8196B" w:rsidP="00306C11" w14:paraId="4FFCE03F" w14:textId="77777777">
      <w:r w:rsidRPr="00A8196B">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306C11" w:rsidRPr="00A8196B" w:rsidP="00306C11" w14:paraId="3333B764" w14:textId="35D257FE">
      <w:bookmarkStart w:id="60" w:name="_Hlk79500589"/>
      <w:r w:rsidRPr="00A8196B">
        <w:t xml:space="preserve">For </w:t>
      </w:r>
      <w:r w:rsidRPr="00A8196B" w:rsidR="00882784">
        <w:t>additional i</w:t>
      </w:r>
      <w:r w:rsidRPr="00A8196B">
        <w:t>nformation on EPA/DC services</w:t>
      </w:r>
      <w:r w:rsidRPr="00A8196B" w:rsidR="00882784">
        <w:t>, instructions for commenting</w:t>
      </w:r>
      <w:r w:rsidRPr="00A8196B">
        <w:t xml:space="preserve"> and docket access, visit </w:t>
      </w:r>
      <w:r w:rsidRPr="00A8196B">
        <w:rPr>
          <w:rStyle w:val="Hyperlink"/>
        </w:rPr>
        <w:t>https://www.epa.gov/dockets</w:t>
      </w:r>
      <w:r w:rsidRPr="00A8196B">
        <w:t>.</w:t>
      </w:r>
      <w:bookmarkEnd w:id="59"/>
      <w:bookmarkEnd w:id="60"/>
    </w:p>
    <w:p w:rsidR="00A640A9" w:rsidRPr="00A8196B" w:rsidP="002059F4" w14:paraId="4CFB748D" w14:textId="76FA4C79">
      <w:pPr>
        <w:pStyle w:val="Heading1"/>
      </w:pPr>
      <w:r w:rsidRPr="00A8196B">
        <w:rPr>
          <w:caps w:val="0"/>
        </w:rPr>
        <w:t>LIST OF ATTACHMENTS</w:t>
      </w:r>
    </w:p>
    <w:p w:rsidR="0026304B" w:rsidRPr="00A8196B" w:rsidP="0026304B" w14:paraId="4BA9D995" w14:textId="409508EB">
      <w:pPr>
        <w:rPr>
          <w:lang w:bidi="en-US"/>
        </w:rPr>
      </w:pPr>
      <w:r w:rsidRPr="00A8196B">
        <w:rPr>
          <w:lang w:bidi="en-US"/>
        </w:rPr>
        <w:t xml:space="preserve">The attachments listed below can be found in the docket for this ICR or by using the hyperlink that is provided in the list below. The docket for this ICR is accessible electronically through </w:t>
      </w:r>
      <w:hyperlink r:id="rId16" w:history="1">
        <w:r w:rsidRPr="00A8196B">
          <w:rPr>
            <w:rStyle w:val="Hyperlink"/>
          </w:rPr>
          <w:t>http://www.regulations.gov</w:t>
        </w:r>
      </w:hyperlink>
      <w:r w:rsidRPr="00A8196B">
        <w:rPr>
          <w:lang w:bidi="en-US"/>
        </w:rPr>
        <w:t xml:space="preserve"> using Docket ID Number: </w:t>
      </w:r>
      <w:r w:rsidRPr="00A8196B">
        <w:rPr>
          <w:rFonts w:cs="Arial"/>
          <w:szCs w:val="24"/>
        </w:rPr>
        <w:t>EPA-HQ-</w:t>
      </w:r>
      <w:r w:rsidRPr="00A8196B" w:rsidR="00E91639">
        <w:rPr>
          <w:rFonts w:cs="Arial"/>
          <w:szCs w:val="24"/>
        </w:rPr>
        <w:t>OPPT</w:t>
      </w:r>
      <w:r w:rsidRPr="00A8196B">
        <w:rPr>
          <w:rFonts w:cs="Arial"/>
          <w:szCs w:val="24"/>
        </w:rPr>
        <w:t>-</w:t>
      </w:r>
      <w:r w:rsidRPr="00A8196B" w:rsidR="00E91639">
        <w:rPr>
          <w:rFonts w:cs="Arial"/>
          <w:szCs w:val="24"/>
        </w:rPr>
        <w:t>20</w:t>
      </w:r>
      <w:r w:rsidRPr="00A8196B" w:rsidR="002E7F58">
        <w:rPr>
          <w:rFonts w:cs="Arial"/>
          <w:szCs w:val="24"/>
        </w:rPr>
        <w:t>21-</w:t>
      </w:r>
      <w:r w:rsidRPr="00A8196B" w:rsidR="00D0206E">
        <w:rPr>
          <w:rFonts w:cs="Arial"/>
          <w:szCs w:val="24"/>
        </w:rPr>
        <w:t>0660</w:t>
      </w:r>
      <w:r w:rsidRPr="00A8196B">
        <w:rPr>
          <w:lang w:bidi="en-US"/>
        </w:rPr>
        <w:t>.</w:t>
      </w:r>
    </w:p>
    <w:tbl>
      <w:tblPr>
        <w:tblStyle w:val="TableGrid"/>
        <w:tblW w:w="0" w:type="auto"/>
        <w:tblLook w:val="04A0"/>
      </w:tblPr>
      <w:tblGrid>
        <w:gridCol w:w="670"/>
        <w:gridCol w:w="8680"/>
      </w:tblGrid>
      <w:tr w14:paraId="3C28984B" w14:textId="77777777" w:rsidTr="00E91639">
        <w:tblPrEx>
          <w:tblW w:w="0" w:type="auto"/>
          <w:tblLook w:val="04A0"/>
        </w:tblPrEx>
        <w:tc>
          <w:tcPr>
            <w:tcW w:w="670" w:type="dxa"/>
          </w:tcPr>
          <w:p w:rsidR="0026304B" w:rsidRPr="00A8196B" w:rsidP="0026304B" w14:paraId="20CF178A" w14:textId="5677487C">
            <w:pPr>
              <w:widowControl w:val="0"/>
              <w:spacing w:before="40" w:after="40" w:line="240" w:lineRule="auto"/>
              <w:rPr>
                <w:b/>
                <w:bCs/>
                <w:lang w:bidi="en-US"/>
              </w:rPr>
            </w:pPr>
            <w:r w:rsidRPr="00A8196B">
              <w:rPr>
                <w:b/>
                <w:bCs/>
                <w:lang w:bidi="en-US"/>
              </w:rPr>
              <w:t>Ref.</w:t>
            </w:r>
          </w:p>
        </w:tc>
        <w:tc>
          <w:tcPr>
            <w:tcW w:w="8680" w:type="dxa"/>
          </w:tcPr>
          <w:p w:rsidR="0026304B" w:rsidRPr="00A8196B" w:rsidP="0026304B" w14:paraId="43C6C962" w14:textId="6903425E">
            <w:pPr>
              <w:widowControl w:val="0"/>
              <w:spacing w:before="40" w:after="40" w:line="240" w:lineRule="auto"/>
              <w:rPr>
                <w:b/>
                <w:bCs/>
                <w:lang w:bidi="en-US"/>
              </w:rPr>
            </w:pPr>
            <w:r w:rsidRPr="00A8196B">
              <w:rPr>
                <w:b/>
                <w:bCs/>
                <w:lang w:bidi="en-US"/>
              </w:rPr>
              <w:t xml:space="preserve">Title </w:t>
            </w:r>
          </w:p>
        </w:tc>
      </w:tr>
      <w:tr w14:paraId="653EF079" w14:textId="77777777" w:rsidTr="00E91639">
        <w:tblPrEx>
          <w:tblW w:w="0" w:type="auto"/>
          <w:tblLook w:val="04A0"/>
        </w:tblPrEx>
        <w:tc>
          <w:tcPr>
            <w:tcW w:w="670" w:type="dxa"/>
          </w:tcPr>
          <w:p w:rsidR="0026304B" w:rsidRPr="00A8196B" w:rsidP="0026304B" w14:paraId="244D5D03" w14:textId="3D501ABF">
            <w:pPr>
              <w:widowControl w:val="0"/>
              <w:spacing w:before="40" w:after="40" w:line="240" w:lineRule="auto"/>
              <w:rPr>
                <w:lang w:bidi="en-US"/>
              </w:rPr>
            </w:pPr>
            <w:r w:rsidRPr="00A8196B">
              <w:rPr>
                <w:lang w:bidi="en-US"/>
              </w:rPr>
              <w:t>1.</w:t>
            </w:r>
          </w:p>
        </w:tc>
        <w:tc>
          <w:tcPr>
            <w:tcW w:w="8680" w:type="dxa"/>
          </w:tcPr>
          <w:p w:rsidR="0026304B" w:rsidRPr="00A8196B" w:rsidP="0026304B" w14:paraId="46F5F82F" w14:textId="14092DA6">
            <w:pPr>
              <w:widowControl w:val="0"/>
              <w:spacing w:before="40" w:after="40" w:line="240" w:lineRule="auto"/>
              <w:rPr>
                <w:lang w:bidi="en-US"/>
              </w:rPr>
            </w:pPr>
            <w:r w:rsidRPr="00A8196B">
              <w:rPr>
                <w:lang w:bidi="en-US"/>
              </w:rPr>
              <w:t>Statutory Authority</w:t>
            </w:r>
            <w:r w:rsidRPr="00A8196B" w:rsidR="00CA19A2">
              <w:rPr>
                <w:lang w:bidi="en-US"/>
              </w:rPr>
              <w:t xml:space="preserve"> – </w:t>
            </w:r>
            <w:r w:rsidRPr="00A8196B" w:rsidR="004D499D">
              <w:rPr>
                <w:lang w:bidi="en-US"/>
              </w:rPr>
              <w:t xml:space="preserve">TSCA Section 5, </w:t>
            </w:r>
            <w:hyperlink r:id="rId17" w:history="1">
              <w:r w:rsidRPr="00A8196B" w:rsidR="00110AEE">
                <w:rPr>
                  <w:rStyle w:val="Hyperlink"/>
                  <w:lang w:bidi="en-US"/>
                </w:rPr>
                <w:t>15 U.S.C. 2406</w:t>
              </w:r>
            </w:hyperlink>
            <w:r w:rsidRPr="00A8196B" w:rsidR="00110AEE">
              <w:rPr>
                <w:lang w:bidi="en-US"/>
              </w:rPr>
              <w:t xml:space="preserve">  </w:t>
            </w:r>
          </w:p>
        </w:tc>
      </w:tr>
      <w:tr w14:paraId="5BBC1B5F" w14:textId="77777777" w:rsidTr="00E91639">
        <w:tblPrEx>
          <w:tblW w:w="0" w:type="auto"/>
          <w:tblLook w:val="04A0"/>
        </w:tblPrEx>
        <w:tc>
          <w:tcPr>
            <w:tcW w:w="670" w:type="dxa"/>
          </w:tcPr>
          <w:p w:rsidR="00B1352E" w:rsidRPr="00A8196B" w:rsidP="0026304B" w14:paraId="2DB440ED" w14:textId="078D2013">
            <w:pPr>
              <w:widowControl w:val="0"/>
              <w:spacing w:before="40" w:after="40" w:line="240" w:lineRule="auto"/>
              <w:rPr>
                <w:lang w:bidi="en-US"/>
              </w:rPr>
            </w:pPr>
            <w:r w:rsidRPr="00A8196B">
              <w:rPr>
                <w:lang w:bidi="en-US"/>
              </w:rPr>
              <w:t>2.</w:t>
            </w:r>
          </w:p>
        </w:tc>
        <w:tc>
          <w:tcPr>
            <w:tcW w:w="8680" w:type="dxa"/>
          </w:tcPr>
          <w:p w:rsidR="004B09DB" w:rsidRPr="00A8196B" w:rsidP="0026304B" w14:paraId="794867E1" w14:textId="14357012">
            <w:pPr>
              <w:widowControl w:val="0"/>
              <w:spacing w:before="40" w:after="40" w:line="240" w:lineRule="auto"/>
              <w:rPr>
                <w:lang w:bidi="en-US"/>
              </w:rPr>
            </w:pPr>
            <w:r w:rsidRPr="00A8196B">
              <w:rPr>
                <w:lang w:bidi="en-US"/>
              </w:rPr>
              <w:t>Implementing Regulation</w:t>
            </w:r>
            <w:r w:rsidRPr="00A8196B">
              <w:rPr>
                <w:lang w:bidi="en-US"/>
              </w:rPr>
              <w:t>s</w:t>
            </w:r>
            <w:r w:rsidRPr="00A8196B" w:rsidR="007F79E3">
              <w:rPr>
                <w:lang w:bidi="en-US"/>
              </w:rPr>
              <w:t xml:space="preserve"> </w:t>
            </w:r>
            <w:r w:rsidRPr="00A8196B" w:rsidR="007F79E3">
              <w:t>in Title 40 of the CFR</w:t>
            </w:r>
            <w:r w:rsidRPr="00A8196B" w:rsidR="004D499D">
              <w:t xml:space="preserve"> (links to eCFR)</w:t>
            </w:r>
            <w:r w:rsidRPr="00A8196B">
              <w:rPr>
                <w:lang w:bidi="en-US"/>
              </w:rPr>
              <w:t xml:space="preserve">: </w:t>
            </w:r>
          </w:p>
          <w:p w:rsidR="007F79E3" w:rsidRPr="00A8196B" w:rsidP="0026304B" w14:paraId="373CBBF6" w14:textId="7A4565EC">
            <w:pPr>
              <w:widowControl w:val="0"/>
              <w:spacing w:before="40" w:after="40" w:line="240" w:lineRule="auto"/>
              <w:rPr>
                <w:lang w:bidi="en-US"/>
              </w:rPr>
            </w:pPr>
            <w:r w:rsidRPr="00A8196B">
              <w:rPr>
                <w:lang w:bidi="en-US"/>
              </w:rPr>
              <w:t xml:space="preserve">– </w:t>
            </w:r>
            <w:hyperlink r:id="rId18" w:history="1">
              <w:r w:rsidRPr="00A8196B">
                <w:rPr>
                  <w:rStyle w:val="Hyperlink"/>
                  <w:lang w:bidi="en-US"/>
                </w:rPr>
                <w:t>4</w:t>
              </w:r>
              <w:r w:rsidRPr="00A8196B">
                <w:rPr>
                  <w:rStyle w:val="Hyperlink"/>
                </w:rPr>
                <w:t>0 CFR part 720</w:t>
              </w:r>
            </w:hyperlink>
            <w:r w:rsidRPr="00A8196B">
              <w:t xml:space="preserve"> - Premanufacture Notification</w:t>
            </w:r>
          </w:p>
          <w:p w:rsidR="007F79E3" w:rsidRPr="00A8196B" w:rsidP="007F79E3" w14:paraId="7CBD6800" w14:textId="611915B7">
            <w:pPr>
              <w:widowControl w:val="0"/>
              <w:spacing w:before="40" w:after="40" w:line="240" w:lineRule="auto"/>
              <w:rPr>
                <w:lang w:bidi="en-US"/>
              </w:rPr>
            </w:pPr>
            <w:r w:rsidRPr="00A8196B">
              <w:rPr>
                <w:lang w:bidi="en-US"/>
              </w:rPr>
              <w:t xml:space="preserve">– </w:t>
            </w:r>
            <w:hyperlink r:id="rId19" w:history="1">
              <w:r w:rsidRPr="00A8196B">
                <w:rPr>
                  <w:rStyle w:val="Hyperlink"/>
                </w:rPr>
                <w:t>40 CFR part 721</w:t>
              </w:r>
            </w:hyperlink>
            <w:r w:rsidRPr="00A8196B">
              <w:t xml:space="preserve"> </w:t>
            </w:r>
            <w:r w:rsidRPr="00A8196B" w:rsidR="00400692">
              <w:rPr>
                <w:lang w:bidi="en-US"/>
              </w:rPr>
              <w:t>(Subpart A through D)</w:t>
            </w:r>
            <w:r w:rsidRPr="00A8196B" w:rsidR="004759A7">
              <w:rPr>
                <w:lang w:bidi="en-US"/>
              </w:rPr>
              <w:t xml:space="preserve"> </w:t>
            </w:r>
            <w:r w:rsidRPr="00A8196B">
              <w:rPr>
                <w:lang w:bidi="en-US"/>
              </w:rPr>
              <w:t>– Significant New Uses of Chemical Substances</w:t>
            </w:r>
          </w:p>
          <w:p w:rsidR="007F79E3" w:rsidRPr="00A8196B" w:rsidP="007F79E3" w14:paraId="7C0C49BB" w14:textId="1E894AC1">
            <w:pPr>
              <w:widowControl w:val="0"/>
              <w:spacing w:before="40" w:after="40" w:line="240" w:lineRule="auto"/>
            </w:pPr>
            <w:r w:rsidRPr="00A8196B">
              <w:rPr>
                <w:lang w:bidi="en-US"/>
              </w:rPr>
              <w:t xml:space="preserve">– </w:t>
            </w:r>
            <w:hyperlink r:id="rId20" w:history="1">
              <w:r w:rsidRPr="00A8196B">
                <w:rPr>
                  <w:rStyle w:val="Hyperlink"/>
                  <w:lang w:bidi="en-US"/>
                </w:rPr>
                <w:t xml:space="preserve">40 CFR </w:t>
              </w:r>
              <w:r w:rsidRPr="00A8196B" w:rsidR="004D499D">
                <w:rPr>
                  <w:rStyle w:val="Hyperlink"/>
                  <w:lang w:bidi="en-US"/>
                </w:rPr>
                <w:t xml:space="preserve">part </w:t>
              </w:r>
              <w:r w:rsidRPr="00A8196B">
                <w:rPr>
                  <w:rStyle w:val="Hyperlink"/>
                  <w:lang w:bidi="en-US"/>
                </w:rPr>
                <w:t>723</w:t>
              </w:r>
            </w:hyperlink>
            <w:r w:rsidRPr="00A8196B">
              <w:rPr>
                <w:lang w:bidi="en-US"/>
              </w:rPr>
              <w:t xml:space="preserve"> - </w:t>
            </w:r>
            <w:r w:rsidRPr="00A8196B" w:rsidR="004D499D">
              <w:rPr>
                <w:lang w:bidi="en-US"/>
              </w:rPr>
              <w:t>Premanufacture Notification Exemptions</w:t>
            </w:r>
          </w:p>
          <w:p w:rsidR="00B1352E" w:rsidRPr="00A8196B" w:rsidP="0026304B" w14:paraId="772B85E2" w14:textId="545E6046">
            <w:pPr>
              <w:widowControl w:val="0"/>
              <w:spacing w:before="40" w:after="40" w:line="240" w:lineRule="auto"/>
              <w:rPr>
                <w:lang w:bidi="en-US"/>
              </w:rPr>
            </w:pPr>
            <w:r w:rsidRPr="00A8196B">
              <w:rPr>
                <w:lang w:bidi="en-US"/>
              </w:rPr>
              <w:t xml:space="preserve">– </w:t>
            </w:r>
            <w:hyperlink r:id="rId21" w:history="1">
              <w:r w:rsidRPr="00A8196B" w:rsidR="0042277D">
                <w:rPr>
                  <w:rStyle w:val="Hyperlink"/>
                  <w:lang w:bidi="en-US"/>
                </w:rPr>
                <w:t xml:space="preserve">40 CFR </w:t>
              </w:r>
              <w:r w:rsidRPr="00A8196B">
                <w:rPr>
                  <w:rStyle w:val="Hyperlink"/>
                  <w:lang w:bidi="en-US"/>
                </w:rPr>
                <w:t xml:space="preserve">part </w:t>
              </w:r>
              <w:r w:rsidRPr="00A8196B" w:rsidR="0042277D">
                <w:rPr>
                  <w:rStyle w:val="Hyperlink"/>
                  <w:lang w:bidi="en-US"/>
                </w:rPr>
                <w:t>725</w:t>
              </w:r>
            </w:hyperlink>
            <w:r w:rsidRPr="00A8196B" w:rsidR="0042277D">
              <w:rPr>
                <w:lang w:bidi="en-US"/>
              </w:rPr>
              <w:t xml:space="preserve"> </w:t>
            </w:r>
            <w:r w:rsidRPr="00A8196B" w:rsidR="004B09DB">
              <w:rPr>
                <w:lang w:bidi="en-US"/>
              </w:rPr>
              <w:t>-</w:t>
            </w:r>
            <w:r w:rsidRPr="00A8196B" w:rsidR="004B09DB">
              <w:t xml:space="preserve"> Reporting Requirements </w:t>
            </w:r>
            <w:r w:rsidRPr="00A8196B">
              <w:t>a</w:t>
            </w:r>
            <w:r w:rsidRPr="00A8196B" w:rsidR="004B09DB">
              <w:t xml:space="preserve">nd Review Processes </w:t>
            </w:r>
            <w:r w:rsidRPr="00A8196B">
              <w:t>f</w:t>
            </w:r>
            <w:r w:rsidRPr="00A8196B" w:rsidR="004B09DB">
              <w:t>or Microorganisms</w:t>
            </w:r>
          </w:p>
        </w:tc>
      </w:tr>
      <w:tr w14:paraId="6F71DBA5" w14:textId="77777777" w:rsidTr="00E91639">
        <w:tblPrEx>
          <w:tblW w:w="0" w:type="auto"/>
          <w:tblLook w:val="04A0"/>
        </w:tblPrEx>
        <w:tc>
          <w:tcPr>
            <w:tcW w:w="670" w:type="dxa"/>
          </w:tcPr>
          <w:p w:rsidR="00110AEE" w:rsidRPr="00A8196B" w:rsidP="0026304B" w14:paraId="3677ACCF" w14:textId="71DDD117">
            <w:pPr>
              <w:widowControl w:val="0"/>
              <w:spacing w:before="40" w:after="40" w:line="240" w:lineRule="auto"/>
              <w:rPr>
                <w:lang w:bidi="en-US"/>
              </w:rPr>
            </w:pPr>
            <w:r w:rsidRPr="00A8196B">
              <w:rPr>
                <w:lang w:bidi="en-US"/>
              </w:rPr>
              <w:t xml:space="preserve">3. </w:t>
            </w:r>
          </w:p>
        </w:tc>
        <w:tc>
          <w:tcPr>
            <w:tcW w:w="8680" w:type="dxa"/>
          </w:tcPr>
          <w:p w:rsidR="00110AEE" w:rsidRPr="00A8196B" w:rsidP="0026304B" w14:paraId="282D5DBD" w14:textId="7DDD1898">
            <w:pPr>
              <w:widowControl w:val="0"/>
              <w:spacing w:before="40" w:after="40" w:line="240" w:lineRule="auto"/>
              <w:rPr>
                <w:lang w:bidi="en-US"/>
              </w:rPr>
            </w:pPr>
            <w:hyperlink r:id="rId22" w:history="1">
              <w:r w:rsidRPr="00A8196B" w:rsidR="00400692">
                <w:rPr>
                  <w:rStyle w:val="Hyperlink"/>
                </w:rPr>
                <w:t xml:space="preserve">Instruction Manual for Reporting under the TSCA §5 New Chemicals Program </w:t>
              </w:r>
            </w:hyperlink>
          </w:p>
        </w:tc>
      </w:tr>
      <w:tr w14:paraId="7FF6768B" w14:textId="77777777" w:rsidTr="009514FE">
        <w:tblPrEx>
          <w:tblW w:w="0" w:type="auto"/>
          <w:tblLook w:val="04A0"/>
        </w:tblPrEx>
        <w:tc>
          <w:tcPr>
            <w:tcW w:w="670" w:type="dxa"/>
          </w:tcPr>
          <w:p w:rsidR="00110AEE" w:rsidRPr="00A8196B" w:rsidP="0026304B" w14:paraId="42E9796E" w14:textId="0C13E53F">
            <w:pPr>
              <w:widowControl w:val="0"/>
              <w:spacing w:before="40" w:after="40" w:line="240" w:lineRule="auto"/>
              <w:rPr>
                <w:lang w:bidi="en-US"/>
              </w:rPr>
            </w:pPr>
            <w:r w:rsidRPr="00A8196B">
              <w:rPr>
                <w:lang w:bidi="en-US"/>
              </w:rPr>
              <w:t xml:space="preserve">4. </w:t>
            </w:r>
          </w:p>
        </w:tc>
        <w:tc>
          <w:tcPr>
            <w:tcW w:w="8680" w:type="dxa"/>
          </w:tcPr>
          <w:p w:rsidR="00110AEE" w:rsidRPr="00A8196B" w:rsidP="0026304B" w14:paraId="11E45751" w14:textId="215557B7">
            <w:pPr>
              <w:widowControl w:val="0"/>
              <w:spacing w:before="40" w:after="40" w:line="240" w:lineRule="auto"/>
              <w:rPr>
                <w:lang w:bidi="en-US"/>
              </w:rPr>
            </w:pPr>
            <w:hyperlink r:id="rId23" w:history="1">
              <w:r w:rsidRPr="00A8196B" w:rsidR="001A16B8">
                <w:rPr>
                  <w:rStyle w:val="Hyperlink"/>
                </w:rPr>
                <w:t>Guidelines for Selection, Configuration, and Use of Transport Layer Security (TLS) Implementations, (A</w:t>
              </w:r>
              <w:r w:rsidRPr="00A8196B" w:rsidR="00672978">
                <w:rPr>
                  <w:rStyle w:val="Hyperlink"/>
                </w:rPr>
                <w:t>ugust</w:t>
              </w:r>
              <w:r w:rsidRPr="00A8196B" w:rsidR="004D499D">
                <w:rPr>
                  <w:rStyle w:val="Hyperlink"/>
                </w:rPr>
                <w:t xml:space="preserve"> </w:t>
              </w:r>
              <w:r w:rsidRPr="00A8196B" w:rsidR="001A16B8">
                <w:rPr>
                  <w:rStyle w:val="Hyperlink"/>
                </w:rPr>
                <w:t>201</w:t>
              </w:r>
              <w:r w:rsidRPr="00A8196B" w:rsidR="00672978">
                <w:rPr>
                  <w:rStyle w:val="Hyperlink"/>
                </w:rPr>
                <w:t>9</w:t>
              </w:r>
              <w:r w:rsidRPr="00A8196B" w:rsidR="001A16B8">
                <w:rPr>
                  <w:rStyle w:val="Hyperlink"/>
                </w:rPr>
                <w:t>)</w:t>
              </w:r>
            </w:hyperlink>
          </w:p>
        </w:tc>
      </w:tr>
      <w:tr w14:paraId="5B272260" w14:textId="77777777" w:rsidTr="009514FE">
        <w:tblPrEx>
          <w:tblW w:w="0" w:type="auto"/>
          <w:tblLook w:val="04A0"/>
        </w:tblPrEx>
        <w:tc>
          <w:tcPr>
            <w:tcW w:w="670" w:type="dxa"/>
          </w:tcPr>
          <w:p w:rsidR="00AB70CB" w:rsidRPr="00A8196B" w:rsidP="0026304B" w14:paraId="20D997C5" w14:textId="4849C925">
            <w:pPr>
              <w:widowControl w:val="0"/>
              <w:spacing w:before="40" w:after="40" w:line="240" w:lineRule="auto"/>
              <w:rPr>
                <w:lang w:bidi="en-US"/>
              </w:rPr>
            </w:pPr>
            <w:r w:rsidRPr="00A8196B">
              <w:rPr>
                <w:lang w:bidi="en-US"/>
              </w:rPr>
              <w:t xml:space="preserve">5. </w:t>
            </w:r>
          </w:p>
        </w:tc>
        <w:tc>
          <w:tcPr>
            <w:tcW w:w="8680" w:type="dxa"/>
          </w:tcPr>
          <w:p w:rsidR="00AB70CB" w:rsidRPr="00A8196B" w:rsidP="0026304B" w14:paraId="56A0353C" w14:textId="5335242D">
            <w:pPr>
              <w:widowControl w:val="0"/>
              <w:spacing w:before="40" w:after="40" w:line="240" w:lineRule="auto"/>
            </w:pPr>
            <w:hyperlink r:id="rId24" w:history="1">
              <w:r w:rsidRPr="00A8196B" w:rsidR="00400692">
                <w:rPr>
                  <w:rStyle w:val="Hyperlink"/>
                </w:rPr>
                <w:t xml:space="preserve">Points to Consider When Preparing TSCA New Chemical Notifications </w:t>
              </w:r>
            </w:hyperlink>
          </w:p>
        </w:tc>
      </w:tr>
      <w:tr w14:paraId="7C0F04E7" w14:textId="77777777" w:rsidTr="009514FE">
        <w:tblPrEx>
          <w:tblW w:w="0" w:type="auto"/>
          <w:tblLook w:val="04A0"/>
        </w:tblPrEx>
        <w:tc>
          <w:tcPr>
            <w:tcW w:w="670" w:type="dxa"/>
          </w:tcPr>
          <w:p w:rsidR="00C3038D" w:rsidRPr="00A8196B" w:rsidP="0026304B" w14:paraId="294523F9" w14:textId="7E78F516">
            <w:pPr>
              <w:widowControl w:val="0"/>
              <w:spacing w:before="40" w:after="40" w:line="240" w:lineRule="auto"/>
              <w:rPr>
                <w:lang w:bidi="en-US"/>
              </w:rPr>
            </w:pPr>
            <w:r w:rsidRPr="00A8196B">
              <w:rPr>
                <w:lang w:bidi="en-US"/>
              </w:rPr>
              <w:t>6.</w:t>
            </w:r>
          </w:p>
        </w:tc>
        <w:tc>
          <w:tcPr>
            <w:tcW w:w="8680" w:type="dxa"/>
          </w:tcPr>
          <w:p w:rsidR="00C3038D" w:rsidRPr="00A8196B" w:rsidP="0026304B" w14:paraId="5C81D681" w14:textId="60991758">
            <w:pPr>
              <w:widowControl w:val="0"/>
              <w:spacing w:before="40" w:after="40" w:line="240" w:lineRule="auto"/>
            </w:pPr>
            <w:r w:rsidRPr="00A8196B">
              <w:t>EP</w:t>
            </w:r>
            <w:r w:rsidRPr="00A8196B" w:rsidR="00CC58F0">
              <w:t>A</w:t>
            </w:r>
            <w:r w:rsidRPr="00A8196B">
              <w:t xml:space="preserve"> </w:t>
            </w:r>
            <w:r w:rsidRPr="00A8196B">
              <w:t>F</w:t>
            </w:r>
            <w:r w:rsidRPr="00A8196B">
              <w:t>orm</w:t>
            </w:r>
            <w:r w:rsidRPr="00A8196B">
              <w:t xml:space="preserve"> 7710-25</w:t>
            </w:r>
            <w:r w:rsidRPr="00A8196B" w:rsidR="004D499D">
              <w:t xml:space="preserve"> (Fillable on-line in CDX</w:t>
            </w:r>
            <w:r w:rsidRPr="00A8196B" w:rsidR="00057B7A">
              <w:t xml:space="preserve"> PMN</w:t>
            </w:r>
            <w:r w:rsidRPr="00A8196B" w:rsidR="004D499D">
              <w:t>)</w:t>
            </w:r>
          </w:p>
        </w:tc>
      </w:tr>
      <w:tr w14:paraId="14BA1DFB" w14:textId="77777777" w:rsidTr="009514FE">
        <w:tblPrEx>
          <w:tblW w:w="0" w:type="auto"/>
          <w:tblLook w:val="04A0"/>
        </w:tblPrEx>
        <w:tc>
          <w:tcPr>
            <w:tcW w:w="670" w:type="dxa"/>
          </w:tcPr>
          <w:p w:rsidR="00306C11" w:rsidRPr="00A8196B" w:rsidP="0026304B" w14:paraId="670F3FCB" w14:textId="702CC325">
            <w:pPr>
              <w:widowControl w:val="0"/>
              <w:spacing w:before="40" w:after="40" w:line="240" w:lineRule="auto"/>
              <w:rPr>
                <w:lang w:bidi="en-US"/>
              </w:rPr>
            </w:pPr>
            <w:r w:rsidRPr="00A8196B">
              <w:rPr>
                <w:lang w:bidi="en-US"/>
              </w:rPr>
              <w:t>7.</w:t>
            </w:r>
          </w:p>
        </w:tc>
        <w:tc>
          <w:tcPr>
            <w:tcW w:w="8680" w:type="dxa"/>
          </w:tcPr>
          <w:p w:rsidR="00306C11" w:rsidRPr="00A8196B" w:rsidP="0026304B" w14:paraId="4F0F303B" w14:textId="1C5B6B46">
            <w:pPr>
              <w:widowControl w:val="0"/>
              <w:spacing w:before="40" w:after="40" w:line="240" w:lineRule="auto"/>
              <w:rPr>
                <w:szCs w:val="24"/>
              </w:rPr>
            </w:pPr>
            <w:r w:rsidRPr="00A8196B">
              <w:rPr>
                <w:rFonts w:cs="Arial"/>
                <w:color w:val="000000"/>
                <w:szCs w:val="24"/>
                <w:shd w:val="clear" w:color="auto" w:fill="FFFFFF"/>
              </w:rPr>
              <w:t xml:space="preserve">EPA Form 6300-07 </w:t>
            </w:r>
            <w:r w:rsidRPr="00A8196B">
              <w:rPr>
                <w:rFonts w:cs="Arial"/>
                <w:szCs w:val="24"/>
              </w:rPr>
              <w:t xml:space="preserve">(Fillable on-line in CDX BioTech) </w:t>
            </w:r>
          </w:p>
        </w:tc>
      </w:tr>
      <w:tr w14:paraId="301CAAED" w14:textId="77777777" w:rsidTr="009514FE">
        <w:tblPrEx>
          <w:tblW w:w="0" w:type="auto"/>
          <w:tblLook w:val="04A0"/>
        </w:tblPrEx>
        <w:tc>
          <w:tcPr>
            <w:tcW w:w="670" w:type="dxa"/>
          </w:tcPr>
          <w:p w:rsidR="00306C11" w:rsidRPr="00A8196B" w:rsidP="0026304B" w14:paraId="4B62C90C" w14:textId="41A4FD74">
            <w:pPr>
              <w:widowControl w:val="0"/>
              <w:spacing w:before="40" w:after="40" w:line="240" w:lineRule="auto"/>
              <w:rPr>
                <w:lang w:bidi="en-US"/>
              </w:rPr>
            </w:pPr>
            <w:r w:rsidRPr="00A8196B">
              <w:rPr>
                <w:lang w:bidi="en-US"/>
              </w:rPr>
              <w:t xml:space="preserve">8. </w:t>
            </w:r>
          </w:p>
        </w:tc>
        <w:tc>
          <w:tcPr>
            <w:tcW w:w="8680" w:type="dxa"/>
          </w:tcPr>
          <w:p w:rsidR="00306C11" w:rsidRPr="00A8196B" w:rsidP="0026304B" w14:paraId="27C79E9D" w14:textId="27BDC74C">
            <w:pPr>
              <w:widowControl w:val="0"/>
              <w:spacing w:before="40" w:after="40" w:line="240" w:lineRule="auto"/>
              <w:rPr>
                <w:szCs w:val="24"/>
              </w:rPr>
            </w:pPr>
            <w:r w:rsidRPr="00A8196B">
              <w:rPr>
                <w:rFonts w:cs="Arial"/>
                <w:color w:val="000000"/>
                <w:szCs w:val="24"/>
                <w:shd w:val="clear" w:color="auto" w:fill="FFFFFF"/>
              </w:rPr>
              <w:t>EPA Form 7710-56 (Fillable on-line in CDX Notice of Commencement)</w:t>
            </w:r>
          </w:p>
        </w:tc>
      </w:tr>
      <w:tr w14:paraId="28337E71" w14:textId="77777777" w:rsidTr="009514FE">
        <w:tblPrEx>
          <w:tblW w:w="0" w:type="auto"/>
          <w:tblLook w:val="04A0"/>
        </w:tblPrEx>
        <w:tc>
          <w:tcPr>
            <w:tcW w:w="670" w:type="dxa"/>
          </w:tcPr>
          <w:p w:rsidR="00702291" w:rsidRPr="00A8196B" w:rsidP="0026304B" w14:paraId="1759DF7B" w14:textId="0F23B8C5">
            <w:pPr>
              <w:widowControl w:val="0"/>
              <w:spacing w:before="40" w:after="40" w:line="240" w:lineRule="auto"/>
              <w:rPr>
                <w:lang w:bidi="en-US"/>
              </w:rPr>
            </w:pPr>
            <w:r w:rsidRPr="00A8196B">
              <w:rPr>
                <w:lang w:bidi="en-US"/>
              </w:rPr>
              <w:t>9</w:t>
            </w:r>
            <w:r w:rsidRPr="00A8196B">
              <w:rPr>
                <w:lang w:bidi="en-US"/>
              </w:rPr>
              <w:t xml:space="preserve">. </w:t>
            </w:r>
          </w:p>
        </w:tc>
        <w:tc>
          <w:tcPr>
            <w:tcW w:w="8680" w:type="dxa"/>
          </w:tcPr>
          <w:p w:rsidR="001171B4" w:rsidRPr="00A8196B" w:rsidP="0026304B" w14:paraId="6DDF3CFC" w14:textId="6DE26F1B">
            <w:pPr>
              <w:widowControl w:val="0"/>
              <w:spacing w:before="40" w:after="40" w:line="240" w:lineRule="auto"/>
              <w:rPr>
                <w:rFonts w:cs="Arial"/>
                <w:iCs/>
              </w:rPr>
            </w:pPr>
            <w:r w:rsidRPr="00A8196B">
              <w:rPr>
                <w:rFonts w:cs="Arial"/>
                <w:iCs/>
              </w:rPr>
              <w:t>Wage</w:t>
            </w:r>
            <w:r w:rsidRPr="00A8196B" w:rsidR="00A537A3">
              <w:rPr>
                <w:rFonts w:cs="Arial"/>
                <w:iCs/>
              </w:rPr>
              <w:t xml:space="preserve"> </w:t>
            </w:r>
            <w:r w:rsidRPr="00A8196B" w:rsidR="00DB5BDD">
              <w:rPr>
                <w:rFonts w:cs="Arial"/>
                <w:iCs/>
              </w:rPr>
              <w:t xml:space="preserve">Rates </w:t>
            </w:r>
          </w:p>
        </w:tc>
      </w:tr>
      <w:tr w14:paraId="18090AA2" w14:textId="77777777" w:rsidTr="009514FE">
        <w:tblPrEx>
          <w:tblW w:w="0" w:type="auto"/>
          <w:tblLook w:val="04A0"/>
        </w:tblPrEx>
        <w:tc>
          <w:tcPr>
            <w:tcW w:w="670" w:type="dxa"/>
          </w:tcPr>
          <w:p w:rsidR="001171B4" w:rsidRPr="00A8196B" w:rsidP="0026304B" w14:paraId="21816E0F" w14:textId="4E8A2994">
            <w:pPr>
              <w:widowControl w:val="0"/>
              <w:spacing w:before="40" w:after="40" w:line="240" w:lineRule="auto"/>
              <w:rPr>
                <w:lang w:bidi="en-US"/>
              </w:rPr>
            </w:pPr>
            <w:r w:rsidRPr="00A8196B">
              <w:rPr>
                <w:lang w:bidi="en-US"/>
              </w:rPr>
              <w:t xml:space="preserve">10 </w:t>
            </w:r>
          </w:p>
        </w:tc>
        <w:tc>
          <w:tcPr>
            <w:tcW w:w="8680" w:type="dxa"/>
          </w:tcPr>
          <w:p w:rsidR="001171B4" w:rsidRPr="00A8196B" w:rsidP="0026304B" w14:paraId="7D67F403" w14:textId="17DF5AA2">
            <w:pPr>
              <w:widowControl w:val="0"/>
              <w:spacing w:before="40" w:after="40" w:line="240" w:lineRule="auto"/>
              <w:rPr>
                <w:rFonts w:cs="Arial"/>
                <w:iCs/>
              </w:rPr>
            </w:pPr>
            <w:r>
              <w:rPr>
                <w:rFonts w:cs="Arial"/>
                <w:iCs/>
              </w:rPr>
              <w:t>Screenshots for Amendments to the EPA Forms 7710-25, 6300-07, and 7710-56</w:t>
            </w:r>
          </w:p>
        </w:tc>
      </w:tr>
    </w:tbl>
    <w:p w:rsidR="00CA19A2" w:rsidRPr="00A8196B" w:rsidP="00F75C07" w14:paraId="321B47A5" w14:textId="6F1153B3">
      <w:pPr>
        <w:keepNext/>
        <w:pageBreakBefore/>
        <w:tabs>
          <w:tab w:val="center" w:pos="4725"/>
          <w:tab w:val="left" w:pos="5040"/>
          <w:tab w:val="left" w:pos="5760"/>
          <w:tab w:val="left" w:pos="6480"/>
          <w:tab w:val="left" w:pos="6999"/>
          <w:tab w:val="left" w:pos="7179"/>
          <w:tab w:val="left" w:pos="7920"/>
          <w:tab w:val="left" w:pos="8640"/>
        </w:tabs>
      </w:pPr>
      <w:r w:rsidRPr="00A8196B">
        <w:rPr>
          <w:b/>
          <w:u w:val="single"/>
        </w:rPr>
        <w:t>REFERENCES</w:t>
      </w:r>
    </w:p>
    <w:p w:rsidR="00CA19A2" w:rsidRPr="00A8196B" w:rsidP="008C16F4" w14:paraId="5B984CCC" w14:textId="77777777">
      <w:pPr>
        <w:autoSpaceDE w:val="0"/>
        <w:autoSpaceDN w:val="0"/>
        <w:ind w:left="360" w:hanging="360"/>
        <w:rPr>
          <w:rFonts w:cs="Arial"/>
        </w:rPr>
      </w:pPr>
      <w:r w:rsidRPr="00A8196B">
        <w:rPr>
          <w:rFonts w:cs="Arial"/>
          <w:spacing w:val="-2"/>
        </w:rPr>
        <w:t xml:space="preserve">BLS, 2006. U.S. Bureau of Labor </w:t>
      </w:r>
      <w:r w:rsidRPr="00A8196B">
        <w:rPr>
          <w:rFonts w:cs="Arial"/>
        </w:rPr>
        <w:t>Statistics</w:t>
      </w:r>
      <w:r w:rsidRPr="00A8196B">
        <w:rPr>
          <w:rFonts w:cs="Arial"/>
          <w:spacing w:val="-2"/>
        </w:rPr>
        <w:t>,</w:t>
      </w:r>
      <w:r w:rsidRPr="00A8196B">
        <w:rPr>
          <w:rFonts w:cs="Arial"/>
        </w:rPr>
        <w:t xml:space="preserve"> </w:t>
      </w:r>
      <w:r w:rsidRPr="00A8196B">
        <w:rPr>
          <w:rFonts w:cs="Arial"/>
          <w:i/>
        </w:rPr>
        <w:t xml:space="preserve">Employment Cost Index News Release Text: Employment Cost Index, March 2006 </w:t>
      </w:r>
      <w:r w:rsidRPr="00A8196B">
        <w:rPr>
          <w:rFonts w:cs="Arial"/>
        </w:rPr>
        <w:t xml:space="preserve">(April 28, 2006), at </w:t>
      </w:r>
      <w:hyperlink r:id="rId25" w:history="1">
        <w:r w:rsidRPr="00A8196B">
          <w:rPr>
            <w:rFonts w:cs="Arial"/>
            <w:i/>
            <w:color w:val="0000FF"/>
            <w:u w:val="single"/>
          </w:rPr>
          <w:t>http://www.bls.gov</w:t>
        </w:r>
      </w:hyperlink>
      <w:r w:rsidRPr="00A8196B">
        <w:rPr>
          <w:rFonts w:cs="Arial"/>
          <w:u w:val="single"/>
        </w:rPr>
        <w:t>.</w:t>
      </w:r>
    </w:p>
    <w:p w:rsidR="00A7023B" w:rsidRPr="00A8196B" w:rsidP="00110AEE" w14:paraId="723D01F3" w14:textId="77777777">
      <w:pPr>
        <w:autoSpaceDE w:val="0"/>
        <w:autoSpaceDN w:val="0"/>
        <w:ind w:left="360" w:hanging="360"/>
        <w:rPr>
          <w:rFonts w:cs="Arial"/>
        </w:rPr>
      </w:pPr>
      <w:r w:rsidRPr="00A8196B">
        <w:rPr>
          <w:rFonts w:cs="Arial"/>
          <w:bCs/>
        </w:rPr>
        <w:t xml:space="preserve">BLS, 2018. U.S. Bureau of Labor Statistics. “Employer Costs for Employee Compensation Supplementary Tables: December 2006 – December 2017” Accessed </w:t>
      </w:r>
      <w:r w:rsidRPr="00A8196B">
        <w:rPr>
          <w:rFonts w:cs="Arial"/>
        </w:rPr>
        <w:t>March 26, 2018</w:t>
      </w:r>
      <w:r w:rsidRPr="00A8196B">
        <w:rPr>
          <w:rFonts w:cs="Arial"/>
          <w:bCs/>
        </w:rPr>
        <w:t xml:space="preserve">. </w:t>
      </w:r>
      <w:hyperlink r:id="rId26" w:history="1">
        <w:r w:rsidRPr="00A8196B">
          <w:rPr>
            <w:rStyle w:val="Hyperlink"/>
            <w:rFonts w:cs="Arial"/>
          </w:rPr>
          <w:t>https://www.bls.gov/web/ecec/ecsuphst.pdf</w:t>
        </w:r>
      </w:hyperlink>
    </w:p>
    <w:p w:rsidR="00CA19A2" w:rsidRPr="00A8196B" w:rsidP="00CA19A2" w14:paraId="118024EC" w14:textId="6B929A79">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spacing w:after="240"/>
        <w:ind w:left="339" w:hanging="339"/>
        <w:rPr>
          <w:rFonts w:cs="Arial"/>
        </w:rPr>
      </w:pPr>
      <w:r w:rsidRPr="00A8196B">
        <w:rPr>
          <w:rFonts w:cs="Arial"/>
        </w:rPr>
        <w:t xml:space="preserve">EPA, 1994. U.S. EPA, Office of Pollution Prevention and Toxics Regulatory Impacts Branch. </w:t>
      </w:r>
      <w:r w:rsidRPr="00A8196B">
        <w:rPr>
          <w:rFonts w:cs="Arial"/>
          <w:i/>
          <w:iCs/>
        </w:rPr>
        <w:t>Regulatory Impact Analysis of Amendments to Regulations for TSCA Section 5 Premanufacture Notifications</w:t>
      </w:r>
      <w:r w:rsidRPr="00A8196B">
        <w:rPr>
          <w:rFonts w:cs="Arial"/>
        </w:rPr>
        <w:t>. Washington, DC: U.S. EPA/OPPT/EETD/RIB, September 9, 1994.</w:t>
      </w:r>
    </w:p>
    <w:p w:rsidR="00CA19A2" w:rsidRPr="00A8196B" w:rsidP="00CA19A2" w14:paraId="7C151F5D" w14:textId="77777777">
      <w:pPr>
        <w:pStyle w:val="Reference"/>
        <w:spacing w:after="240"/>
        <w:rPr>
          <w:rFonts w:ascii="Arial" w:hAnsi="Arial" w:cs="Arial"/>
          <w:color w:val="auto"/>
          <w:sz w:val="24"/>
        </w:rPr>
      </w:pPr>
      <w:r w:rsidRPr="00A8196B">
        <w:rPr>
          <w:rFonts w:ascii="Arial" w:hAnsi="Arial" w:cs="Arial"/>
          <w:color w:val="auto"/>
          <w:spacing w:val="-2"/>
          <w:sz w:val="24"/>
        </w:rPr>
        <w:t>EPA, 2002a. U.S. EPA, Office of Pollution Prevention and Toxics, Economic and Policy Analysis</w:t>
      </w:r>
      <w:r w:rsidRPr="00A8196B">
        <w:rPr>
          <w:rFonts w:ascii="Arial" w:hAnsi="Arial" w:cs="Arial"/>
          <w:color w:val="auto"/>
          <w:sz w:val="24"/>
        </w:rPr>
        <w:t xml:space="preserve"> Branch. </w:t>
      </w:r>
      <w:r w:rsidRPr="00A8196B">
        <w:rPr>
          <w:rFonts w:ascii="Arial" w:hAnsi="Arial" w:cs="Arial"/>
          <w:i/>
          <w:color w:val="auto"/>
          <w:sz w:val="24"/>
        </w:rPr>
        <w:t xml:space="preserve">Revised Economic Analysis for the Amended Inventory Update Rule: Final Report. </w:t>
      </w:r>
      <w:r w:rsidRPr="00A8196B">
        <w:rPr>
          <w:rFonts w:ascii="Arial" w:hAnsi="Arial" w:cs="Arial"/>
          <w:color w:val="auto"/>
          <w:sz w:val="24"/>
        </w:rPr>
        <w:t>Washington, DC. August 2002.</w:t>
      </w:r>
    </w:p>
    <w:p w:rsidR="00CA19A2" w:rsidRPr="00A8196B" w:rsidP="00CA19A2" w14:paraId="51612460" w14:textId="77777777">
      <w:pPr>
        <w:pStyle w:val="Reference"/>
        <w:spacing w:after="240"/>
        <w:rPr>
          <w:rFonts w:ascii="Arial" w:hAnsi="Arial" w:cs="Arial"/>
          <w:color w:val="auto"/>
          <w:sz w:val="24"/>
        </w:rPr>
      </w:pPr>
      <w:r w:rsidRPr="00A8196B">
        <w:rPr>
          <w:rFonts w:ascii="Arial" w:hAnsi="Arial" w:cs="Arial"/>
          <w:color w:val="auto"/>
          <w:spacing w:val="-2"/>
          <w:sz w:val="24"/>
        </w:rPr>
        <w:t xml:space="preserve">EPA, 2002b. </w:t>
      </w:r>
      <w:r w:rsidRPr="00A8196B">
        <w:rPr>
          <w:rFonts w:ascii="Arial" w:hAnsi="Arial" w:cs="Arial"/>
          <w:color w:val="auto"/>
          <w:sz w:val="24"/>
        </w:rPr>
        <w:t xml:space="preserve">U.S. EPA, Office of Pollution Prevention and Toxics, Economic and Policy Analysis Branch, </w:t>
      </w:r>
      <w:r w:rsidRPr="00A8196B">
        <w:rPr>
          <w:rFonts w:ascii="Arial" w:hAnsi="Arial" w:cs="Arial"/>
          <w:i/>
          <w:color w:val="auto"/>
          <w:spacing w:val="-2"/>
          <w:sz w:val="24"/>
        </w:rPr>
        <w:t xml:space="preserve">Wage Rates for Economic Analysis of the Toxics Release Inventory Program. </w:t>
      </w:r>
      <w:r w:rsidRPr="00A8196B">
        <w:rPr>
          <w:rFonts w:ascii="Arial" w:hAnsi="Arial" w:cs="Arial"/>
          <w:color w:val="auto"/>
          <w:sz w:val="24"/>
        </w:rPr>
        <w:t>Washington, DC: June 10, 2002.</w:t>
      </w:r>
    </w:p>
    <w:p w:rsidR="00CA19A2" w:rsidRPr="00A8196B" w:rsidP="00CA19A2" w14:paraId="16BD5ECE" w14:textId="77777777">
      <w:pPr>
        <w:pStyle w:val="Reference"/>
        <w:spacing w:after="240"/>
        <w:rPr>
          <w:rFonts w:ascii="Arial" w:hAnsi="Arial" w:cs="Arial"/>
          <w:color w:val="auto"/>
          <w:sz w:val="24"/>
        </w:rPr>
      </w:pPr>
      <w:r w:rsidRPr="00A8196B">
        <w:rPr>
          <w:rFonts w:ascii="Arial" w:hAnsi="Arial" w:cs="Arial"/>
          <w:color w:val="auto"/>
          <w:sz w:val="24"/>
        </w:rPr>
        <w:t xml:space="preserve">EPA, 2007. U.S. EPA Office of Pollution Prevention and Toxics, </w:t>
      </w:r>
      <w:r w:rsidRPr="00A8196B">
        <w:rPr>
          <w:rFonts w:ascii="Arial" w:hAnsi="Arial" w:cs="Arial"/>
          <w:i/>
          <w:color w:val="auto"/>
          <w:sz w:val="24"/>
        </w:rPr>
        <w:t>Supporting Statement for</w:t>
      </w:r>
      <w:r w:rsidRPr="00A8196B">
        <w:rPr>
          <w:rFonts w:ascii="Arial" w:hAnsi="Arial" w:cs="Arial"/>
          <w:color w:val="auto"/>
          <w:sz w:val="24"/>
        </w:rPr>
        <w:t xml:space="preserve"> </w:t>
      </w:r>
      <w:r w:rsidRPr="00A8196B">
        <w:rPr>
          <w:rFonts w:ascii="Arial" w:hAnsi="Arial" w:cs="Arial"/>
          <w:i/>
          <w:color w:val="auto"/>
          <w:sz w:val="24"/>
        </w:rPr>
        <w:t xml:space="preserve">Information Collection Request: Pre-Manufacture Review Reporting and Exemption Requirements for New Chemical Substances and Significant New Use Reporting Requirements for Chemical Substances. </w:t>
      </w:r>
      <w:r w:rsidRPr="00A8196B">
        <w:rPr>
          <w:rFonts w:ascii="Arial" w:hAnsi="Arial" w:cs="Arial"/>
          <w:color w:val="auto"/>
          <w:sz w:val="24"/>
        </w:rPr>
        <w:t>OMB Control Number 2070-0012, EPA Tracking Number 0574.13, December 11, 2007.</w:t>
      </w:r>
    </w:p>
    <w:p w:rsidR="00CA19A2" w:rsidRPr="00A8196B" w:rsidP="00CA19A2" w14:paraId="79EAB5D6" w14:textId="77777777">
      <w:pPr>
        <w:pStyle w:val="Reference"/>
        <w:spacing w:after="240"/>
        <w:rPr>
          <w:rFonts w:ascii="Arial" w:hAnsi="Arial" w:cs="Arial"/>
          <w:color w:val="auto"/>
          <w:sz w:val="24"/>
        </w:rPr>
      </w:pPr>
      <w:r w:rsidRPr="00A8196B">
        <w:rPr>
          <w:rFonts w:ascii="Arial" w:hAnsi="Arial" w:cs="Arial"/>
          <w:color w:val="auto"/>
          <w:sz w:val="24"/>
        </w:rPr>
        <w:t>EPA, 2009a. U.S. EPA, Office of Pollution Prevention and Toxics, Economic and Policy Analysis Branch</w:t>
      </w:r>
      <w:r w:rsidRPr="00A8196B">
        <w:rPr>
          <w:rFonts w:ascii="Arial" w:hAnsi="Arial" w:cs="Arial"/>
          <w:i/>
          <w:color w:val="auto"/>
          <w:sz w:val="24"/>
        </w:rPr>
        <w:t>. Economic Analysis of the Premanufacture Notification Electronic Reporting Final Rule</w:t>
      </w:r>
      <w:r w:rsidRPr="00A8196B">
        <w:rPr>
          <w:rFonts w:ascii="Arial" w:hAnsi="Arial" w:cs="Arial"/>
          <w:color w:val="auto"/>
          <w:sz w:val="24"/>
        </w:rPr>
        <w:t xml:space="preserve">. </w:t>
      </w:r>
      <w:r w:rsidRPr="00A8196B">
        <w:rPr>
          <w:rFonts w:ascii="Arial" w:hAnsi="Arial" w:cs="Arial"/>
          <w:bCs/>
          <w:color w:val="auto"/>
          <w:sz w:val="24"/>
        </w:rPr>
        <w:t>(EPA-HQ-OPPT-2008-0296)</w:t>
      </w:r>
      <w:r w:rsidRPr="00A8196B">
        <w:rPr>
          <w:rFonts w:ascii="Arial" w:hAnsi="Arial" w:cs="Arial"/>
          <w:color w:val="auto"/>
          <w:sz w:val="24"/>
        </w:rPr>
        <w:t>. July 13, 2009</w:t>
      </w:r>
    </w:p>
    <w:p w:rsidR="00CA19A2" w:rsidRPr="00A8196B" w:rsidP="00CA19A2" w14:paraId="3C4ECB01" w14:textId="77777777">
      <w:pPr>
        <w:pStyle w:val="Reference"/>
        <w:spacing w:after="240"/>
        <w:rPr>
          <w:rFonts w:ascii="Arial" w:hAnsi="Arial" w:cs="Arial"/>
          <w:color w:val="auto"/>
          <w:sz w:val="24"/>
        </w:rPr>
      </w:pPr>
      <w:r w:rsidRPr="00A8196B">
        <w:rPr>
          <w:rFonts w:ascii="Arial" w:hAnsi="Arial" w:cs="Arial"/>
          <w:color w:val="auto"/>
          <w:spacing w:val="-2"/>
          <w:sz w:val="24"/>
        </w:rPr>
        <w:t>EPA, 2009b. U.S. EPA, Office of Pollution Prevention and Toxics</w:t>
      </w:r>
      <w:r w:rsidRPr="00A8196B">
        <w:rPr>
          <w:rFonts w:ascii="Arial" w:hAnsi="Arial" w:cs="Arial"/>
          <w:i/>
          <w:color w:val="auto"/>
          <w:sz w:val="24"/>
        </w:rPr>
        <w:t xml:space="preserve"> ICR No. 118.09.</w:t>
      </w:r>
      <w:r w:rsidRPr="00A8196B">
        <w:rPr>
          <w:rFonts w:ascii="Arial" w:hAnsi="Arial" w:cs="Arial"/>
          <w:color w:val="auto"/>
          <w:sz w:val="24"/>
        </w:rPr>
        <w:t xml:space="preserve"> </w:t>
      </w:r>
      <w:r w:rsidRPr="00A8196B">
        <w:rPr>
          <w:rFonts w:ascii="Arial" w:hAnsi="Arial" w:cs="Arial"/>
          <w:i/>
          <w:color w:val="auto"/>
          <w:sz w:val="24"/>
        </w:rPr>
        <w:t>[Information Collection Request for] TSCA Section 5(a)(2) Significant New Use Rules for Existing Chemicals (Renewal). Supporting Statement for a Request for OMB Review under the Paperwork Reduction Act</w:t>
      </w:r>
      <w:r w:rsidRPr="00A8196B">
        <w:rPr>
          <w:rFonts w:ascii="Arial" w:hAnsi="Arial" w:cs="Arial"/>
          <w:color w:val="auto"/>
          <w:sz w:val="24"/>
        </w:rPr>
        <w:t>, February 6, 2009.</w:t>
      </w:r>
    </w:p>
    <w:p w:rsidR="00907300" w:rsidRPr="00A8196B" w:rsidP="0026304B" w14:paraId="3CD09130" w14:textId="77777777">
      <w:pPr>
        <w:rPr>
          <w:lang w:bidi="en-US"/>
        </w:rPr>
        <w:sectPr w:rsidSect="000F68A9">
          <w:pgSz w:w="12240" w:h="15840"/>
          <w:pgMar w:top="1440" w:right="1440" w:bottom="1440" w:left="1440" w:header="720" w:footer="720" w:gutter="0"/>
          <w:cols w:space="720"/>
          <w:titlePg/>
          <w:docGrid w:linePitch="360"/>
        </w:sectPr>
      </w:pPr>
    </w:p>
    <w:tbl>
      <w:tblPr>
        <w:tblW w:w="5000" w:type="pct"/>
        <w:tblLayout w:type="fixed"/>
        <w:tblCellMar>
          <w:left w:w="58" w:type="dxa"/>
          <w:right w:w="58" w:type="dxa"/>
        </w:tblCellMar>
        <w:tblLook w:val="04A0"/>
      </w:tblPr>
      <w:tblGrid>
        <w:gridCol w:w="2168"/>
        <w:gridCol w:w="684"/>
        <w:gridCol w:w="594"/>
        <w:gridCol w:w="755"/>
        <w:gridCol w:w="665"/>
        <w:gridCol w:w="684"/>
        <w:gridCol w:w="594"/>
        <w:gridCol w:w="755"/>
        <w:gridCol w:w="594"/>
        <w:gridCol w:w="684"/>
        <w:gridCol w:w="594"/>
        <w:gridCol w:w="755"/>
        <w:gridCol w:w="665"/>
        <w:gridCol w:w="684"/>
        <w:gridCol w:w="665"/>
        <w:gridCol w:w="755"/>
        <w:gridCol w:w="665"/>
      </w:tblGrid>
      <w:tr w14:paraId="439BFAF7" w14:textId="77777777" w:rsidTr="007357FC">
        <w:tblPrEx>
          <w:tblW w:w="5000" w:type="pct"/>
          <w:tblLayout w:type="fixed"/>
          <w:tblCellMar>
            <w:left w:w="58" w:type="dxa"/>
            <w:right w:w="58" w:type="dxa"/>
          </w:tblCellMar>
          <w:tblLook w:val="04A0"/>
        </w:tblPrEx>
        <w:trPr>
          <w:tblHeader/>
        </w:trPr>
        <w:tc>
          <w:tcPr>
            <w:tcW w:w="14400" w:type="dxa"/>
            <w:gridSpan w:val="17"/>
            <w:tcBorders>
              <w:top w:val="nil"/>
              <w:left w:val="nil"/>
              <w:bottom w:val="double" w:sz="6" w:space="0" w:color="auto"/>
              <w:right w:val="nil"/>
            </w:tcBorders>
            <w:shd w:val="clear" w:color="auto" w:fill="auto"/>
            <w:hideMark/>
          </w:tcPr>
          <w:p w:rsidR="00BB0A8E" w:rsidRPr="00A8196B" w:rsidP="0042178D" w14:paraId="00F49F9D" w14:textId="0D3AFCA7">
            <w:pPr>
              <w:pStyle w:val="Caption"/>
              <w:rPr>
                <w:bCs/>
                <w:color w:val="000000"/>
                <w:szCs w:val="22"/>
              </w:rPr>
            </w:pPr>
            <w:r w:rsidRPr="00A8196B">
              <w:rPr>
                <w:noProof/>
              </w:rPr>
              <w:t>Appendix</w:t>
            </w:r>
            <w:r w:rsidRPr="00A8196B">
              <w:t>. Reference PMN Submission Labor Time Estimates (Hours per Response)</w:t>
            </w:r>
          </w:p>
        </w:tc>
      </w:tr>
      <w:tr w14:paraId="3A776C3E" w14:textId="77777777" w:rsidTr="00F75C07">
        <w:tblPrEx>
          <w:tblW w:w="5000" w:type="pct"/>
          <w:tblLayout w:type="fixed"/>
          <w:tblCellMar>
            <w:left w:w="58" w:type="dxa"/>
            <w:right w:w="58" w:type="dxa"/>
          </w:tblCellMar>
          <w:tblLook w:val="04A0"/>
        </w:tblPrEx>
        <w:trPr>
          <w:tblHeader/>
        </w:trPr>
        <w:tc>
          <w:tcPr>
            <w:tcW w:w="2444" w:type="dxa"/>
            <w:vMerge w:val="restart"/>
            <w:tcBorders>
              <w:top w:val="double" w:sz="6" w:space="0" w:color="auto"/>
              <w:left w:val="double" w:sz="6" w:space="0" w:color="auto"/>
              <w:bottom w:val="single" w:sz="4" w:space="0" w:color="000000"/>
              <w:right w:val="single" w:sz="8" w:space="0" w:color="auto"/>
            </w:tcBorders>
            <w:shd w:val="clear" w:color="auto" w:fill="auto"/>
            <w:hideMark/>
          </w:tcPr>
          <w:p w:rsidR="00BB0A8E" w:rsidRPr="00A8196B" w:rsidP="00F75C07" w14:paraId="51F7A0A9" w14:textId="77777777">
            <w:pPr>
              <w:spacing w:after="0" w:line="240" w:lineRule="auto"/>
              <w:jc w:val="center"/>
              <w:rPr>
                <w:b/>
                <w:color w:val="000000"/>
                <w:sz w:val="14"/>
                <w:szCs w:val="14"/>
              </w:rPr>
            </w:pPr>
            <w:r w:rsidRPr="00A8196B">
              <w:rPr>
                <w:b/>
                <w:color w:val="000000"/>
                <w:sz w:val="14"/>
                <w:szCs w:val="14"/>
              </w:rPr>
              <w:t>Activity Description</w:t>
            </w:r>
          </w:p>
        </w:tc>
        <w:tc>
          <w:tcPr>
            <w:tcW w:w="2989" w:type="dxa"/>
            <w:gridSpan w:val="4"/>
            <w:tcBorders>
              <w:top w:val="double" w:sz="6" w:space="0" w:color="auto"/>
              <w:left w:val="nil"/>
              <w:bottom w:val="single" w:sz="4" w:space="0" w:color="auto"/>
              <w:right w:val="single" w:sz="8" w:space="0" w:color="000000"/>
            </w:tcBorders>
            <w:shd w:val="clear" w:color="auto" w:fill="auto"/>
            <w:hideMark/>
          </w:tcPr>
          <w:p w:rsidR="00BB0A8E" w:rsidRPr="00A8196B" w:rsidP="00F75C07" w14:paraId="23DB4AEA" w14:textId="77777777">
            <w:pPr>
              <w:spacing w:after="0" w:line="240" w:lineRule="auto"/>
              <w:jc w:val="center"/>
              <w:rPr>
                <w:b/>
                <w:color w:val="000000"/>
                <w:sz w:val="14"/>
                <w:szCs w:val="14"/>
              </w:rPr>
            </w:pPr>
            <w:r w:rsidRPr="00A8196B">
              <w:rPr>
                <w:b/>
                <w:color w:val="000000"/>
                <w:sz w:val="14"/>
                <w:szCs w:val="14"/>
              </w:rPr>
              <w:t>1994 RIA Averages</w:t>
            </w:r>
          </w:p>
        </w:tc>
        <w:tc>
          <w:tcPr>
            <w:tcW w:w="2909" w:type="dxa"/>
            <w:gridSpan w:val="4"/>
            <w:tcBorders>
              <w:top w:val="double" w:sz="6" w:space="0" w:color="auto"/>
              <w:left w:val="nil"/>
              <w:bottom w:val="single" w:sz="4" w:space="0" w:color="auto"/>
              <w:right w:val="single" w:sz="8" w:space="0" w:color="000000"/>
            </w:tcBorders>
            <w:shd w:val="clear" w:color="auto" w:fill="auto"/>
            <w:hideMark/>
          </w:tcPr>
          <w:p w:rsidR="00BB0A8E" w:rsidRPr="00A8196B" w:rsidP="00F75C07" w14:paraId="2ED5AC7B" w14:textId="77777777">
            <w:pPr>
              <w:spacing w:after="0" w:line="240" w:lineRule="auto"/>
              <w:jc w:val="center"/>
              <w:rPr>
                <w:b/>
                <w:color w:val="000000"/>
                <w:sz w:val="14"/>
                <w:szCs w:val="14"/>
              </w:rPr>
            </w:pPr>
            <w:r w:rsidRPr="00A8196B">
              <w:rPr>
                <w:b/>
                <w:color w:val="000000"/>
                <w:sz w:val="14"/>
                <w:szCs w:val="14"/>
              </w:rPr>
              <w:t>2009 EA</w:t>
            </w:r>
          </w:p>
        </w:tc>
        <w:tc>
          <w:tcPr>
            <w:tcW w:w="2989" w:type="dxa"/>
            <w:gridSpan w:val="4"/>
            <w:tcBorders>
              <w:top w:val="double" w:sz="6" w:space="0" w:color="auto"/>
              <w:left w:val="nil"/>
              <w:bottom w:val="single" w:sz="4" w:space="0" w:color="auto"/>
              <w:right w:val="single" w:sz="8" w:space="0" w:color="000000"/>
            </w:tcBorders>
            <w:shd w:val="clear" w:color="auto" w:fill="auto"/>
            <w:hideMark/>
          </w:tcPr>
          <w:p w:rsidR="00BB0A8E" w:rsidRPr="00A8196B" w:rsidP="00F75C07" w14:paraId="5646AA5F" w14:textId="77777777">
            <w:pPr>
              <w:spacing w:after="0" w:line="240" w:lineRule="auto"/>
              <w:jc w:val="center"/>
              <w:rPr>
                <w:b/>
                <w:color w:val="000000"/>
                <w:sz w:val="14"/>
                <w:szCs w:val="14"/>
              </w:rPr>
            </w:pPr>
            <w:r w:rsidRPr="00A8196B">
              <w:rPr>
                <w:b/>
                <w:color w:val="000000"/>
                <w:sz w:val="14"/>
                <w:szCs w:val="14"/>
              </w:rPr>
              <w:t>2016 TSCA CBI Substantiation</w:t>
            </w:r>
          </w:p>
        </w:tc>
        <w:tc>
          <w:tcPr>
            <w:tcW w:w="3069" w:type="dxa"/>
            <w:gridSpan w:val="4"/>
            <w:tcBorders>
              <w:top w:val="double" w:sz="6" w:space="0" w:color="auto"/>
              <w:left w:val="nil"/>
              <w:bottom w:val="single" w:sz="4" w:space="0" w:color="auto"/>
              <w:right w:val="double" w:sz="6" w:space="0" w:color="auto"/>
            </w:tcBorders>
            <w:shd w:val="clear" w:color="auto" w:fill="auto"/>
            <w:hideMark/>
          </w:tcPr>
          <w:p w:rsidR="00BB0A8E" w:rsidRPr="00A8196B" w:rsidP="00F75C07" w14:paraId="7002E77C" w14:textId="77777777">
            <w:pPr>
              <w:spacing w:after="0" w:line="240" w:lineRule="auto"/>
              <w:jc w:val="center"/>
              <w:rPr>
                <w:b/>
                <w:color w:val="000000"/>
                <w:sz w:val="14"/>
                <w:szCs w:val="14"/>
              </w:rPr>
            </w:pPr>
            <w:r w:rsidRPr="00A8196B">
              <w:rPr>
                <w:b/>
                <w:color w:val="000000"/>
                <w:sz w:val="14"/>
                <w:szCs w:val="14"/>
              </w:rPr>
              <w:t>Additional Notice Preparation</w:t>
            </w:r>
          </w:p>
        </w:tc>
      </w:tr>
      <w:tr w14:paraId="7633828A" w14:textId="77777777" w:rsidTr="00F75C07">
        <w:tblPrEx>
          <w:tblW w:w="5000" w:type="pct"/>
          <w:tblLayout w:type="fixed"/>
          <w:tblCellMar>
            <w:left w:w="58" w:type="dxa"/>
            <w:right w:w="58" w:type="dxa"/>
          </w:tblCellMar>
          <w:tblLook w:val="04A0"/>
        </w:tblPrEx>
        <w:trPr>
          <w:tblHeader/>
        </w:trPr>
        <w:tc>
          <w:tcPr>
            <w:tcW w:w="2444" w:type="dxa"/>
            <w:vMerge/>
            <w:tcBorders>
              <w:top w:val="double" w:sz="6" w:space="0" w:color="auto"/>
              <w:left w:val="double" w:sz="6" w:space="0" w:color="auto"/>
              <w:bottom w:val="single" w:sz="4" w:space="0" w:color="000000"/>
              <w:right w:val="single" w:sz="8" w:space="0" w:color="auto"/>
            </w:tcBorders>
            <w:hideMark/>
          </w:tcPr>
          <w:p w:rsidR="00BB0A8E" w:rsidRPr="00A8196B" w:rsidP="00F75C07" w14:paraId="12806B74" w14:textId="77777777">
            <w:pPr>
              <w:spacing w:after="0" w:line="240" w:lineRule="auto"/>
              <w:rPr>
                <w:b/>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3A70E51" w14:textId="77777777">
            <w:pPr>
              <w:spacing w:after="0" w:line="240" w:lineRule="auto"/>
              <w:jc w:val="center"/>
              <w:rPr>
                <w:b/>
                <w:color w:val="000000"/>
                <w:sz w:val="14"/>
                <w:szCs w:val="14"/>
              </w:rPr>
            </w:pPr>
            <w:r w:rsidRPr="00A8196B">
              <w:rPr>
                <w:b/>
                <w:color w:val="000000"/>
                <w:sz w:val="14"/>
                <w:szCs w:val="14"/>
              </w:rPr>
              <w:t>Clerical</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ADD16B7" w14:textId="77777777">
            <w:pPr>
              <w:spacing w:after="0" w:line="240" w:lineRule="auto"/>
              <w:jc w:val="center"/>
              <w:rPr>
                <w:b/>
                <w:color w:val="000000"/>
                <w:sz w:val="14"/>
                <w:szCs w:val="14"/>
              </w:rPr>
            </w:pPr>
            <w:r w:rsidRPr="00A8196B">
              <w:rPr>
                <w:b/>
                <w:color w:val="000000"/>
                <w:sz w:val="14"/>
                <w:szCs w:val="14"/>
              </w:rPr>
              <w:t>Tech.</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EBD236D" w14:textId="77777777">
            <w:pPr>
              <w:spacing w:after="0" w:line="240" w:lineRule="auto"/>
              <w:jc w:val="center"/>
              <w:rPr>
                <w:b/>
                <w:color w:val="000000"/>
                <w:sz w:val="14"/>
                <w:szCs w:val="14"/>
              </w:rPr>
            </w:pPr>
            <w:r w:rsidRPr="00A8196B">
              <w:rPr>
                <w:b/>
                <w:color w:val="000000"/>
                <w:sz w:val="14"/>
                <w:szCs w:val="14"/>
              </w:rPr>
              <w:t>Manager</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904E83D" w14:textId="77777777">
            <w:pPr>
              <w:spacing w:after="0" w:line="240" w:lineRule="auto"/>
              <w:jc w:val="center"/>
              <w:rPr>
                <w:b/>
                <w:color w:val="000000"/>
                <w:sz w:val="14"/>
                <w:szCs w:val="14"/>
              </w:rPr>
            </w:pPr>
            <w:r w:rsidRPr="00A8196B">
              <w:rPr>
                <w:b/>
                <w:color w:val="000000"/>
                <w:sz w:val="14"/>
                <w:szCs w:val="14"/>
              </w:rPr>
              <w:t>Total</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C4E2542" w14:textId="77777777">
            <w:pPr>
              <w:spacing w:after="0" w:line="240" w:lineRule="auto"/>
              <w:jc w:val="center"/>
              <w:rPr>
                <w:b/>
                <w:color w:val="000000"/>
                <w:sz w:val="14"/>
                <w:szCs w:val="14"/>
              </w:rPr>
            </w:pPr>
            <w:r w:rsidRPr="00A8196B">
              <w:rPr>
                <w:b/>
                <w:color w:val="000000"/>
                <w:sz w:val="14"/>
                <w:szCs w:val="14"/>
              </w:rPr>
              <w:t>Clerical</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CF81831" w14:textId="77777777">
            <w:pPr>
              <w:spacing w:after="0" w:line="240" w:lineRule="auto"/>
              <w:jc w:val="center"/>
              <w:rPr>
                <w:b/>
                <w:color w:val="000000"/>
                <w:sz w:val="14"/>
                <w:szCs w:val="14"/>
              </w:rPr>
            </w:pPr>
            <w:r w:rsidRPr="00A8196B">
              <w:rPr>
                <w:b/>
                <w:color w:val="000000"/>
                <w:sz w:val="14"/>
                <w:szCs w:val="14"/>
              </w:rPr>
              <w:t>Tech.</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4C4C0A7" w14:textId="77777777">
            <w:pPr>
              <w:spacing w:after="0" w:line="240" w:lineRule="auto"/>
              <w:jc w:val="center"/>
              <w:rPr>
                <w:b/>
                <w:color w:val="000000"/>
                <w:sz w:val="14"/>
                <w:szCs w:val="14"/>
              </w:rPr>
            </w:pPr>
            <w:r w:rsidRPr="00A8196B">
              <w:rPr>
                <w:b/>
                <w:color w:val="000000"/>
                <w:sz w:val="14"/>
                <w:szCs w:val="14"/>
              </w:rPr>
              <w:t>Manager</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3B1FB0FE" w14:textId="77777777">
            <w:pPr>
              <w:spacing w:after="0" w:line="240" w:lineRule="auto"/>
              <w:jc w:val="center"/>
              <w:rPr>
                <w:b/>
                <w:color w:val="000000"/>
                <w:sz w:val="14"/>
                <w:szCs w:val="14"/>
              </w:rPr>
            </w:pPr>
            <w:r w:rsidRPr="00A8196B">
              <w:rPr>
                <w:b/>
                <w:color w:val="000000"/>
                <w:sz w:val="14"/>
                <w:szCs w:val="14"/>
              </w:rPr>
              <w:t>Total</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9D5D085" w14:textId="77777777">
            <w:pPr>
              <w:spacing w:after="0" w:line="240" w:lineRule="auto"/>
              <w:jc w:val="center"/>
              <w:rPr>
                <w:b/>
                <w:color w:val="000000"/>
                <w:sz w:val="14"/>
                <w:szCs w:val="14"/>
              </w:rPr>
            </w:pPr>
            <w:r w:rsidRPr="00A8196B">
              <w:rPr>
                <w:b/>
                <w:color w:val="000000"/>
                <w:sz w:val="14"/>
                <w:szCs w:val="14"/>
              </w:rPr>
              <w:t>Clerical</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AAD6CC3" w14:textId="77777777">
            <w:pPr>
              <w:spacing w:after="0" w:line="240" w:lineRule="auto"/>
              <w:jc w:val="center"/>
              <w:rPr>
                <w:b/>
                <w:color w:val="000000"/>
                <w:sz w:val="14"/>
                <w:szCs w:val="14"/>
              </w:rPr>
            </w:pPr>
            <w:r w:rsidRPr="00A8196B">
              <w:rPr>
                <w:b/>
                <w:color w:val="000000"/>
                <w:sz w:val="14"/>
                <w:szCs w:val="14"/>
              </w:rPr>
              <w:t>Tech.</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A3244A3" w14:textId="77777777">
            <w:pPr>
              <w:spacing w:after="0" w:line="240" w:lineRule="auto"/>
              <w:jc w:val="center"/>
              <w:rPr>
                <w:b/>
                <w:color w:val="000000"/>
                <w:sz w:val="14"/>
                <w:szCs w:val="14"/>
              </w:rPr>
            </w:pPr>
            <w:r w:rsidRPr="00A8196B">
              <w:rPr>
                <w:b/>
                <w:color w:val="000000"/>
                <w:sz w:val="14"/>
                <w:szCs w:val="14"/>
              </w:rPr>
              <w:t>Manager</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5800C36" w14:textId="77777777">
            <w:pPr>
              <w:spacing w:after="0" w:line="240" w:lineRule="auto"/>
              <w:jc w:val="center"/>
              <w:rPr>
                <w:b/>
                <w:color w:val="000000"/>
                <w:sz w:val="14"/>
                <w:szCs w:val="14"/>
              </w:rPr>
            </w:pPr>
            <w:r w:rsidRPr="00A8196B">
              <w:rPr>
                <w:b/>
                <w:color w:val="000000"/>
                <w:sz w:val="14"/>
                <w:szCs w:val="14"/>
              </w:rPr>
              <w:t>Total</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C615C25" w14:textId="77777777">
            <w:pPr>
              <w:spacing w:after="0" w:line="240" w:lineRule="auto"/>
              <w:jc w:val="center"/>
              <w:rPr>
                <w:b/>
                <w:color w:val="000000"/>
                <w:sz w:val="14"/>
                <w:szCs w:val="14"/>
              </w:rPr>
            </w:pPr>
            <w:r w:rsidRPr="00A8196B">
              <w:rPr>
                <w:b/>
                <w:color w:val="000000"/>
                <w:sz w:val="14"/>
                <w:szCs w:val="14"/>
              </w:rPr>
              <w:t>Clerical</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2E18B9D4" w14:textId="77777777">
            <w:pPr>
              <w:spacing w:after="0" w:line="240" w:lineRule="auto"/>
              <w:jc w:val="center"/>
              <w:rPr>
                <w:b/>
                <w:color w:val="000000"/>
                <w:sz w:val="14"/>
                <w:szCs w:val="14"/>
              </w:rPr>
            </w:pPr>
            <w:r w:rsidRPr="00A8196B">
              <w:rPr>
                <w:b/>
                <w:color w:val="000000"/>
                <w:sz w:val="14"/>
                <w:szCs w:val="14"/>
              </w:rPr>
              <w:t>Tech.</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59DD150" w14:textId="77777777">
            <w:pPr>
              <w:spacing w:after="0" w:line="240" w:lineRule="auto"/>
              <w:jc w:val="center"/>
              <w:rPr>
                <w:b/>
                <w:color w:val="000000"/>
                <w:sz w:val="14"/>
                <w:szCs w:val="14"/>
              </w:rPr>
            </w:pPr>
            <w:r w:rsidRPr="00A8196B">
              <w:rPr>
                <w:b/>
                <w:color w:val="000000"/>
                <w:sz w:val="14"/>
                <w:szCs w:val="14"/>
              </w:rPr>
              <w:t>Manager</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2738EA1" w14:textId="77777777">
            <w:pPr>
              <w:spacing w:after="0" w:line="240" w:lineRule="auto"/>
              <w:jc w:val="center"/>
              <w:rPr>
                <w:b/>
                <w:color w:val="000000"/>
                <w:sz w:val="14"/>
                <w:szCs w:val="14"/>
              </w:rPr>
            </w:pPr>
            <w:r w:rsidRPr="00A8196B">
              <w:rPr>
                <w:b/>
                <w:color w:val="000000"/>
                <w:sz w:val="14"/>
                <w:szCs w:val="14"/>
              </w:rPr>
              <w:t>Total</w:t>
            </w:r>
          </w:p>
        </w:tc>
      </w:tr>
      <w:tr w14:paraId="1E1ED2A4" w14:textId="77777777" w:rsidTr="007357FC">
        <w:tblPrEx>
          <w:tblW w:w="5000" w:type="pct"/>
          <w:tblLayout w:type="fixed"/>
          <w:tblCellMar>
            <w:left w:w="58" w:type="dxa"/>
            <w:right w:w="58" w:type="dxa"/>
          </w:tblCellMar>
          <w:tblLook w:val="04A0"/>
        </w:tblPrEx>
        <w:trPr>
          <w:tblHeader/>
        </w:trPr>
        <w:tc>
          <w:tcPr>
            <w:tcW w:w="2444" w:type="dxa"/>
            <w:vMerge/>
            <w:tcBorders>
              <w:top w:val="double" w:sz="6" w:space="0" w:color="auto"/>
              <w:left w:val="double" w:sz="6" w:space="0" w:color="auto"/>
              <w:bottom w:val="double" w:sz="6" w:space="0" w:color="auto"/>
              <w:right w:val="single" w:sz="8" w:space="0" w:color="auto"/>
            </w:tcBorders>
            <w:hideMark/>
          </w:tcPr>
          <w:p w:rsidR="00BB0A8E" w:rsidRPr="00A8196B" w:rsidP="00F75C07" w14:paraId="3123CFFC" w14:textId="77777777">
            <w:pPr>
              <w:spacing w:after="0" w:line="240" w:lineRule="auto"/>
              <w:rPr>
                <w:b/>
                <w:color w:val="000000"/>
                <w:sz w:val="14"/>
                <w:szCs w:val="14"/>
              </w:rPr>
            </w:pPr>
          </w:p>
        </w:tc>
        <w:tc>
          <w:tcPr>
            <w:tcW w:w="2989" w:type="dxa"/>
            <w:gridSpan w:val="4"/>
            <w:tcBorders>
              <w:top w:val="single" w:sz="4" w:space="0" w:color="auto"/>
              <w:left w:val="nil"/>
              <w:bottom w:val="double" w:sz="6" w:space="0" w:color="auto"/>
              <w:right w:val="single" w:sz="8" w:space="0" w:color="000000"/>
            </w:tcBorders>
            <w:shd w:val="clear" w:color="auto" w:fill="auto"/>
            <w:hideMark/>
          </w:tcPr>
          <w:p w:rsidR="00BB0A8E" w:rsidRPr="00A8196B" w:rsidP="00F75C07" w14:paraId="45EEC718" w14:textId="77777777">
            <w:pPr>
              <w:spacing w:after="0" w:line="240" w:lineRule="auto"/>
              <w:jc w:val="center"/>
              <w:rPr>
                <w:b/>
                <w:color w:val="000000"/>
                <w:sz w:val="14"/>
                <w:szCs w:val="14"/>
              </w:rPr>
            </w:pPr>
            <w:r w:rsidRPr="00A8196B">
              <w:rPr>
                <w:b/>
                <w:color w:val="000000"/>
                <w:sz w:val="14"/>
                <w:szCs w:val="14"/>
              </w:rPr>
              <w:t>Average</w:t>
            </w:r>
          </w:p>
        </w:tc>
        <w:tc>
          <w:tcPr>
            <w:tcW w:w="2909" w:type="dxa"/>
            <w:gridSpan w:val="4"/>
            <w:tcBorders>
              <w:top w:val="single" w:sz="4" w:space="0" w:color="auto"/>
              <w:left w:val="nil"/>
              <w:bottom w:val="double" w:sz="6" w:space="0" w:color="auto"/>
              <w:right w:val="single" w:sz="8" w:space="0" w:color="000000"/>
            </w:tcBorders>
            <w:shd w:val="clear" w:color="auto" w:fill="auto"/>
            <w:hideMark/>
          </w:tcPr>
          <w:p w:rsidR="00BB0A8E" w:rsidRPr="00A8196B" w:rsidP="00F75C07" w14:paraId="7458C7AC" w14:textId="77777777">
            <w:pPr>
              <w:spacing w:after="0" w:line="240" w:lineRule="auto"/>
              <w:jc w:val="center"/>
              <w:rPr>
                <w:b/>
                <w:color w:val="000000"/>
                <w:sz w:val="14"/>
                <w:szCs w:val="14"/>
              </w:rPr>
            </w:pPr>
            <w:r w:rsidRPr="00A8196B">
              <w:rPr>
                <w:b/>
                <w:color w:val="000000"/>
                <w:sz w:val="14"/>
                <w:szCs w:val="14"/>
              </w:rPr>
              <w:t>Total</w:t>
            </w:r>
          </w:p>
        </w:tc>
        <w:tc>
          <w:tcPr>
            <w:tcW w:w="2989" w:type="dxa"/>
            <w:gridSpan w:val="4"/>
            <w:tcBorders>
              <w:top w:val="single" w:sz="4" w:space="0" w:color="auto"/>
              <w:left w:val="nil"/>
              <w:bottom w:val="double" w:sz="6" w:space="0" w:color="auto"/>
              <w:right w:val="single" w:sz="8" w:space="0" w:color="000000"/>
            </w:tcBorders>
            <w:shd w:val="clear" w:color="auto" w:fill="auto"/>
            <w:hideMark/>
          </w:tcPr>
          <w:p w:rsidR="00BB0A8E" w:rsidRPr="00A8196B" w:rsidP="00F75C07" w14:paraId="0CF0F72A" w14:textId="77777777">
            <w:pPr>
              <w:spacing w:after="0" w:line="240" w:lineRule="auto"/>
              <w:jc w:val="center"/>
              <w:rPr>
                <w:b/>
                <w:color w:val="000000"/>
                <w:sz w:val="14"/>
                <w:szCs w:val="14"/>
              </w:rPr>
            </w:pPr>
            <w:r w:rsidRPr="00A8196B">
              <w:rPr>
                <w:b/>
                <w:color w:val="000000"/>
                <w:sz w:val="14"/>
                <w:szCs w:val="14"/>
              </w:rPr>
              <w:t>Total</w:t>
            </w:r>
          </w:p>
        </w:tc>
        <w:tc>
          <w:tcPr>
            <w:tcW w:w="3069" w:type="dxa"/>
            <w:gridSpan w:val="4"/>
            <w:tcBorders>
              <w:top w:val="single" w:sz="4" w:space="0" w:color="auto"/>
              <w:left w:val="nil"/>
              <w:bottom w:val="double" w:sz="6" w:space="0" w:color="auto"/>
              <w:right w:val="double" w:sz="6" w:space="0" w:color="auto"/>
            </w:tcBorders>
            <w:shd w:val="clear" w:color="auto" w:fill="auto"/>
            <w:hideMark/>
          </w:tcPr>
          <w:p w:rsidR="00BB0A8E" w:rsidRPr="00A8196B" w:rsidP="00F75C07" w14:paraId="1346CC78" w14:textId="77777777">
            <w:pPr>
              <w:spacing w:after="0" w:line="240" w:lineRule="auto"/>
              <w:jc w:val="center"/>
              <w:rPr>
                <w:b/>
                <w:color w:val="000000"/>
                <w:sz w:val="14"/>
                <w:szCs w:val="14"/>
              </w:rPr>
            </w:pPr>
            <w:r w:rsidRPr="00A8196B">
              <w:rPr>
                <w:b/>
                <w:color w:val="000000"/>
                <w:sz w:val="14"/>
                <w:szCs w:val="14"/>
              </w:rPr>
              <w:t>Total</w:t>
            </w:r>
          </w:p>
        </w:tc>
      </w:tr>
      <w:tr w14:paraId="16240EF7" w14:textId="77777777" w:rsidTr="007357FC">
        <w:tblPrEx>
          <w:tblW w:w="5000" w:type="pct"/>
          <w:tblLayout w:type="fixed"/>
          <w:tblCellMar>
            <w:left w:w="58" w:type="dxa"/>
            <w:right w:w="58" w:type="dxa"/>
          </w:tblCellMar>
          <w:tblLook w:val="04A0"/>
        </w:tblPrEx>
        <w:tc>
          <w:tcPr>
            <w:tcW w:w="14400" w:type="dxa"/>
            <w:gridSpan w:val="17"/>
            <w:tcBorders>
              <w:top w:val="double" w:sz="6" w:space="0" w:color="auto"/>
              <w:left w:val="double" w:sz="6" w:space="0" w:color="auto"/>
              <w:bottom w:val="single" w:sz="4" w:space="0" w:color="auto"/>
              <w:right w:val="double" w:sz="6" w:space="0" w:color="auto"/>
            </w:tcBorders>
            <w:shd w:val="clear" w:color="auto" w:fill="auto"/>
            <w:hideMark/>
          </w:tcPr>
          <w:p w:rsidR="00BB0A8E" w:rsidRPr="00A8196B" w:rsidP="00F75C07" w14:paraId="1F839627" w14:textId="77777777">
            <w:pPr>
              <w:spacing w:after="0" w:line="240" w:lineRule="auto"/>
              <w:rPr>
                <w:b/>
                <w:color w:val="000000"/>
                <w:sz w:val="14"/>
                <w:szCs w:val="14"/>
              </w:rPr>
            </w:pPr>
            <w:r w:rsidRPr="00A8196B">
              <w:rPr>
                <w:b/>
                <w:color w:val="000000"/>
                <w:sz w:val="14"/>
                <w:szCs w:val="14"/>
              </w:rPr>
              <w:t>Costs Based on 1994 RIA</w:t>
            </w:r>
          </w:p>
        </w:tc>
      </w:tr>
      <w:tr w14:paraId="28959011"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05EE76F" w14:textId="77777777">
            <w:pPr>
              <w:spacing w:after="0" w:line="240" w:lineRule="auto"/>
              <w:rPr>
                <w:color w:val="000000"/>
                <w:sz w:val="14"/>
                <w:szCs w:val="14"/>
              </w:rPr>
            </w:pPr>
            <w:r w:rsidRPr="00A8196B">
              <w:rPr>
                <w:color w:val="000000"/>
                <w:sz w:val="14"/>
                <w:szCs w:val="14"/>
              </w:rPr>
              <w:t>General Instructions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3E14EA9" w14:textId="77777777">
            <w:pPr>
              <w:spacing w:after="0" w:line="240" w:lineRule="auto"/>
              <w:jc w:val="right"/>
              <w:rPr>
                <w:color w:val="000000"/>
                <w:sz w:val="14"/>
                <w:szCs w:val="14"/>
              </w:rPr>
            </w:pPr>
            <w:r w:rsidRPr="00A8196B">
              <w:rPr>
                <w:color w:val="000000"/>
                <w:sz w:val="14"/>
                <w:szCs w:val="14"/>
              </w:rPr>
              <w:t>2.250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5939239"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95D5AFE" w14:textId="77777777">
            <w:pPr>
              <w:spacing w:after="0" w:line="240" w:lineRule="auto"/>
              <w:jc w:val="right"/>
              <w:rPr>
                <w:color w:val="000000"/>
                <w:sz w:val="14"/>
                <w:szCs w:val="14"/>
              </w:rPr>
            </w:pPr>
            <w:r w:rsidRPr="00A8196B">
              <w:rPr>
                <w:color w:val="000000"/>
                <w:sz w:val="14"/>
                <w:szCs w:val="14"/>
              </w:rPr>
              <w:t>3.500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D788449" w14:textId="77777777">
            <w:pPr>
              <w:spacing w:after="0" w:line="240" w:lineRule="auto"/>
              <w:jc w:val="right"/>
              <w:rPr>
                <w:color w:val="000000"/>
                <w:sz w:val="14"/>
                <w:szCs w:val="14"/>
              </w:rPr>
            </w:pPr>
            <w:r w:rsidRPr="00A8196B">
              <w:rPr>
                <w:color w:val="000000"/>
                <w:sz w:val="14"/>
                <w:szCs w:val="14"/>
              </w:rPr>
              <w:t>7.500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377BF54"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3F3FF69"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29A4FC3" w14:textId="77777777">
            <w:pPr>
              <w:spacing w:after="0" w:line="240" w:lineRule="auto"/>
              <w:jc w:val="right"/>
              <w:rPr>
                <w:color w:val="000000"/>
                <w:sz w:val="14"/>
                <w:szCs w:val="14"/>
              </w:rPr>
            </w:pPr>
            <w:r w:rsidRPr="00A8196B">
              <w:rPr>
                <w:color w:val="000000"/>
                <w:sz w:val="14"/>
                <w:szCs w:val="14"/>
              </w:rPr>
              <w:t>3.500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04F2C5E8" w14:textId="77777777">
            <w:pPr>
              <w:spacing w:after="0" w:line="240" w:lineRule="auto"/>
              <w:jc w:val="right"/>
              <w:rPr>
                <w:color w:val="000000"/>
                <w:sz w:val="14"/>
                <w:szCs w:val="14"/>
              </w:rPr>
            </w:pPr>
            <w:r w:rsidRPr="00A8196B">
              <w:rPr>
                <w:color w:val="000000"/>
                <w:sz w:val="14"/>
                <w:szCs w:val="14"/>
              </w:rPr>
              <w:t>5.250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09F157E"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208762A"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9A9F89C" w14:textId="77777777">
            <w:pPr>
              <w:spacing w:after="0" w:line="240" w:lineRule="auto"/>
              <w:jc w:val="right"/>
              <w:rPr>
                <w:color w:val="000000"/>
                <w:sz w:val="14"/>
                <w:szCs w:val="14"/>
              </w:rPr>
            </w:pPr>
            <w:r w:rsidRPr="00A8196B">
              <w:rPr>
                <w:color w:val="000000"/>
                <w:sz w:val="14"/>
                <w:szCs w:val="14"/>
              </w:rPr>
              <w:t>3.500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8B339DC" w14:textId="77777777">
            <w:pPr>
              <w:spacing w:after="0" w:line="240" w:lineRule="auto"/>
              <w:jc w:val="right"/>
              <w:rPr>
                <w:color w:val="000000"/>
                <w:sz w:val="14"/>
                <w:szCs w:val="14"/>
              </w:rPr>
            </w:pPr>
            <w:r w:rsidRPr="00A8196B">
              <w:rPr>
                <w:color w:val="000000"/>
                <w:sz w:val="14"/>
                <w:szCs w:val="14"/>
              </w:rPr>
              <w:t>5.250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EBF87D0"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34C9F6B4"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30A1D73" w14:textId="77777777">
            <w:pPr>
              <w:spacing w:after="0" w:line="240" w:lineRule="auto"/>
              <w:jc w:val="right"/>
              <w:rPr>
                <w:color w:val="000000"/>
                <w:sz w:val="14"/>
                <w:szCs w:val="14"/>
              </w:rPr>
            </w:pPr>
            <w:r w:rsidRPr="00A8196B">
              <w:rPr>
                <w:color w:val="000000"/>
                <w:sz w:val="14"/>
                <w:szCs w:val="14"/>
              </w:rPr>
              <w:t>3.500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7618983F" w14:textId="77777777">
            <w:pPr>
              <w:spacing w:after="0" w:line="240" w:lineRule="auto"/>
              <w:jc w:val="right"/>
              <w:rPr>
                <w:color w:val="000000"/>
                <w:sz w:val="14"/>
                <w:szCs w:val="14"/>
              </w:rPr>
            </w:pPr>
            <w:r w:rsidRPr="00A8196B">
              <w:rPr>
                <w:color w:val="000000"/>
                <w:sz w:val="14"/>
                <w:szCs w:val="14"/>
              </w:rPr>
              <w:t>5.250</w:t>
            </w:r>
          </w:p>
        </w:tc>
      </w:tr>
      <w:tr w14:paraId="64C58249"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CC4944D" w14:textId="77777777">
            <w:pPr>
              <w:spacing w:after="0" w:line="240" w:lineRule="auto"/>
              <w:rPr>
                <w:color w:val="000000"/>
                <w:sz w:val="14"/>
                <w:szCs w:val="14"/>
              </w:rPr>
            </w:pPr>
            <w:r w:rsidRPr="00A8196B">
              <w:rPr>
                <w:color w:val="000000"/>
                <w:sz w:val="14"/>
                <w:szCs w:val="14"/>
              </w:rPr>
              <w:t>Certification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C7A0352" w14:textId="2E0796E4">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FDE4738" w14:textId="7434848A">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D5EEE83" w14:textId="77777777">
            <w:pPr>
              <w:spacing w:after="0" w:line="240" w:lineRule="auto"/>
              <w:jc w:val="right"/>
              <w:rPr>
                <w:color w:val="000000"/>
                <w:sz w:val="14"/>
                <w:szCs w:val="14"/>
              </w:rPr>
            </w:pPr>
            <w:r w:rsidRPr="00A8196B">
              <w:rPr>
                <w:color w:val="000000"/>
                <w:sz w:val="14"/>
                <w:szCs w:val="14"/>
              </w:rPr>
              <w:t>0.500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DF0CFCA"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A6034B4" w14:textId="1DCD8890">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7D29956" w14:textId="70FCBB79">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55137B5" w14:textId="77777777">
            <w:pPr>
              <w:spacing w:after="0" w:line="240" w:lineRule="auto"/>
              <w:jc w:val="right"/>
              <w:rPr>
                <w:color w:val="000000"/>
                <w:sz w:val="14"/>
                <w:szCs w:val="14"/>
              </w:rPr>
            </w:pPr>
            <w:r w:rsidRPr="00A8196B">
              <w:rPr>
                <w:color w:val="000000"/>
                <w:sz w:val="14"/>
                <w:szCs w:val="14"/>
              </w:rPr>
              <w:t>0.500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7D2EED3"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220E6D9" w14:textId="2AB115E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344F6A3" w14:textId="66A13B91">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7B6A2F5" w14:textId="77777777">
            <w:pPr>
              <w:spacing w:after="0" w:line="240" w:lineRule="auto"/>
              <w:jc w:val="right"/>
              <w:rPr>
                <w:color w:val="000000"/>
                <w:sz w:val="14"/>
                <w:szCs w:val="14"/>
              </w:rPr>
            </w:pPr>
            <w:r w:rsidRPr="00A8196B">
              <w:rPr>
                <w:color w:val="000000"/>
                <w:sz w:val="14"/>
                <w:szCs w:val="14"/>
              </w:rPr>
              <w:t>0.500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4965F62"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7D5E5EE" w14:textId="527719EB">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23E29F33" w14:textId="3E2A29F5">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80222CC" w14:textId="77777777">
            <w:pPr>
              <w:spacing w:after="0" w:line="240" w:lineRule="auto"/>
              <w:jc w:val="right"/>
              <w:rPr>
                <w:color w:val="000000"/>
                <w:sz w:val="14"/>
                <w:szCs w:val="14"/>
              </w:rPr>
            </w:pPr>
            <w:r w:rsidRPr="00A8196B">
              <w:rPr>
                <w:color w:val="000000"/>
                <w:sz w:val="14"/>
                <w:szCs w:val="14"/>
              </w:rPr>
              <w:t>0.500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4FDB997" w14:textId="77777777">
            <w:pPr>
              <w:spacing w:after="0" w:line="240" w:lineRule="auto"/>
              <w:jc w:val="right"/>
              <w:rPr>
                <w:color w:val="000000"/>
                <w:sz w:val="14"/>
                <w:szCs w:val="14"/>
              </w:rPr>
            </w:pPr>
            <w:r w:rsidRPr="00A8196B">
              <w:rPr>
                <w:color w:val="000000"/>
                <w:sz w:val="14"/>
                <w:szCs w:val="14"/>
              </w:rPr>
              <w:t>0.500</w:t>
            </w:r>
          </w:p>
        </w:tc>
      </w:tr>
      <w:tr w14:paraId="2F02D4CB"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8241FB6" w14:textId="77777777">
            <w:pPr>
              <w:spacing w:after="0" w:line="240" w:lineRule="auto"/>
              <w:rPr>
                <w:color w:val="000000"/>
                <w:sz w:val="14"/>
                <w:szCs w:val="14"/>
              </w:rPr>
            </w:pPr>
            <w:r w:rsidRPr="00A8196B">
              <w:rPr>
                <w:color w:val="000000"/>
                <w:sz w:val="14"/>
                <w:szCs w:val="14"/>
              </w:rPr>
              <w:t>I. General Information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CE13FE3" w14:textId="729870D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85CDF34" w14:textId="5D2D19CE">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DEB8B8F" w14:textId="2643D4DF">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055B33C" w14:textId="134A2B1B">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2C9C6CF" w14:textId="1F647836">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1DCCE03" w14:textId="6C647B71">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ED828A0" w14:textId="65E0975C">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659B4C4D" w14:textId="741B8141">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1CB1F6F" w14:textId="5E3A9CD6">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881A9A9" w14:textId="099FB242">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156850B" w14:textId="4E8652C3">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F3AF03B" w14:textId="1221D2F1">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31EDD3B" w14:textId="36A621B2">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7219D315" w14:textId="1E6781B5">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3C3C4BD" w14:textId="03E7C0A5">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685F6717" w14:textId="6CD61CC8">
            <w:pPr>
              <w:spacing w:after="0" w:line="240" w:lineRule="auto"/>
              <w:jc w:val="right"/>
              <w:rPr>
                <w:color w:val="000000"/>
                <w:sz w:val="14"/>
                <w:szCs w:val="14"/>
              </w:rPr>
            </w:pPr>
          </w:p>
        </w:tc>
      </w:tr>
      <w:tr w14:paraId="00FCF92B"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1AAA37C1" w14:textId="77777777">
            <w:pPr>
              <w:spacing w:after="0" w:line="240" w:lineRule="auto"/>
              <w:rPr>
                <w:color w:val="000000"/>
                <w:sz w:val="14"/>
                <w:szCs w:val="14"/>
              </w:rPr>
            </w:pPr>
            <w:r w:rsidRPr="00A8196B">
              <w:rPr>
                <w:color w:val="000000"/>
                <w:sz w:val="14"/>
                <w:szCs w:val="14"/>
              </w:rPr>
              <w:t>A. Submitter Information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F29AFF2" w14:textId="6D1B1040">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D4F9FAB" w14:textId="424B6129">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2AD4B47" w14:textId="60DB29C0">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D2D8256" w14:textId="52DD8C02">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5EE0924" w14:textId="1850F9BA">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7E18A22" w14:textId="7589159B">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27D3550" w14:textId="270ECEA0">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3872F463" w14:textId="7E199894">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D1647E4" w14:textId="36FF5868">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AD0CC12" w14:textId="7CEF6452">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731AB00" w14:textId="06E89621">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779FE62" w14:textId="23D418AD">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E20D834" w14:textId="1AC37087">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4D134497" w14:textId="56C0B00D">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73B3EE0" w14:textId="392EC7BA">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36E81867" w14:textId="52B0FEB7">
            <w:pPr>
              <w:spacing w:after="0" w:line="240" w:lineRule="auto"/>
              <w:jc w:val="right"/>
              <w:rPr>
                <w:color w:val="000000"/>
                <w:sz w:val="14"/>
                <w:szCs w:val="14"/>
              </w:rPr>
            </w:pPr>
          </w:p>
        </w:tc>
      </w:tr>
      <w:tr w14:paraId="75EB934D"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3EFA09F" w14:textId="77777777">
            <w:pPr>
              <w:spacing w:after="0" w:line="240" w:lineRule="auto"/>
              <w:rPr>
                <w:color w:val="000000"/>
                <w:sz w:val="14"/>
                <w:szCs w:val="14"/>
              </w:rPr>
            </w:pPr>
            <w:r w:rsidRPr="00A8196B">
              <w:rPr>
                <w:color w:val="000000"/>
                <w:sz w:val="14"/>
                <w:szCs w:val="14"/>
              </w:rPr>
              <w:t>B. Chemical Identity Info</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AF19782" w14:textId="77777777">
            <w:pPr>
              <w:spacing w:after="0" w:line="240" w:lineRule="auto"/>
              <w:jc w:val="right"/>
              <w:rPr>
                <w:color w:val="000000"/>
                <w:sz w:val="14"/>
                <w:szCs w:val="14"/>
              </w:rPr>
            </w:pPr>
            <w:r w:rsidRPr="00A8196B">
              <w:rPr>
                <w:color w:val="000000"/>
                <w:sz w:val="14"/>
                <w:szCs w:val="14"/>
              </w:rPr>
              <w:t>1.750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14E077D" w14:textId="77777777">
            <w:pPr>
              <w:spacing w:after="0" w:line="240" w:lineRule="auto"/>
              <w:jc w:val="right"/>
              <w:rPr>
                <w:color w:val="000000"/>
                <w:sz w:val="14"/>
                <w:szCs w:val="14"/>
              </w:rPr>
            </w:pPr>
            <w:r w:rsidRPr="00A8196B">
              <w:rPr>
                <w:color w:val="000000"/>
                <w:sz w:val="14"/>
                <w:szCs w:val="14"/>
              </w:rPr>
              <w:t>4.500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98215DF" w14:textId="77777777">
            <w:pPr>
              <w:spacing w:after="0" w:line="240" w:lineRule="auto"/>
              <w:jc w:val="right"/>
              <w:rPr>
                <w:color w:val="000000"/>
                <w:sz w:val="14"/>
                <w:szCs w:val="14"/>
              </w:rPr>
            </w:pPr>
            <w:r w:rsidRPr="00A8196B">
              <w:rPr>
                <w:color w:val="000000"/>
                <w:sz w:val="14"/>
                <w:szCs w:val="14"/>
              </w:rPr>
              <w:t>1.000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3E8DEADF" w14:textId="77777777">
            <w:pPr>
              <w:spacing w:after="0" w:line="240" w:lineRule="auto"/>
              <w:jc w:val="right"/>
              <w:rPr>
                <w:color w:val="000000"/>
                <w:sz w:val="14"/>
                <w:szCs w:val="14"/>
              </w:rPr>
            </w:pPr>
            <w:r w:rsidRPr="00A8196B">
              <w:rPr>
                <w:color w:val="000000"/>
                <w:sz w:val="14"/>
                <w:szCs w:val="14"/>
              </w:rPr>
              <w:t>7.250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5784533"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203ADB6" w14:textId="77777777">
            <w:pPr>
              <w:spacing w:after="0" w:line="240" w:lineRule="auto"/>
              <w:jc w:val="right"/>
              <w:rPr>
                <w:color w:val="000000"/>
                <w:sz w:val="14"/>
                <w:szCs w:val="14"/>
              </w:rPr>
            </w:pPr>
            <w:r w:rsidRPr="00A8196B">
              <w:rPr>
                <w:color w:val="000000"/>
                <w:sz w:val="14"/>
                <w:szCs w:val="14"/>
              </w:rPr>
              <w:t>4.500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22C0671" w14:textId="77777777">
            <w:pPr>
              <w:spacing w:after="0" w:line="240" w:lineRule="auto"/>
              <w:jc w:val="right"/>
              <w:rPr>
                <w:color w:val="000000"/>
                <w:sz w:val="14"/>
                <w:szCs w:val="14"/>
              </w:rPr>
            </w:pPr>
            <w:r w:rsidRPr="00A8196B">
              <w:rPr>
                <w:color w:val="000000"/>
                <w:sz w:val="14"/>
                <w:szCs w:val="14"/>
              </w:rPr>
              <w:t>1.000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1E000966" w14:textId="77777777">
            <w:pPr>
              <w:spacing w:after="0" w:line="240" w:lineRule="auto"/>
              <w:jc w:val="right"/>
              <w:rPr>
                <w:color w:val="000000"/>
                <w:sz w:val="14"/>
                <w:szCs w:val="14"/>
              </w:rPr>
            </w:pPr>
            <w:r w:rsidRPr="00A8196B">
              <w:rPr>
                <w:color w:val="000000"/>
                <w:sz w:val="14"/>
                <w:szCs w:val="14"/>
              </w:rPr>
              <w:t>5.500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2755AB6"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B25A49F" w14:textId="77777777">
            <w:pPr>
              <w:spacing w:after="0" w:line="240" w:lineRule="auto"/>
              <w:jc w:val="right"/>
              <w:rPr>
                <w:color w:val="000000"/>
                <w:sz w:val="14"/>
                <w:szCs w:val="14"/>
              </w:rPr>
            </w:pPr>
            <w:r w:rsidRPr="00A8196B">
              <w:rPr>
                <w:color w:val="000000"/>
                <w:sz w:val="14"/>
                <w:szCs w:val="14"/>
              </w:rPr>
              <w:t>4.500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E2963EC" w14:textId="77777777">
            <w:pPr>
              <w:spacing w:after="0" w:line="240" w:lineRule="auto"/>
              <w:jc w:val="right"/>
              <w:rPr>
                <w:color w:val="000000"/>
                <w:sz w:val="14"/>
                <w:szCs w:val="14"/>
              </w:rPr>
            </w:pPr>
            <w:r w:rsidRPr="00A8196B">
              <w:rPr>
                <w:color w:val="000000"/>
                <w:sz w:val="14"/>
                <w:szCs w:val="14"/>
              </w:rPr>
              <w:t>1.000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34EB1E64" w14:textId="77777777">
            <w:pPr>
              <w:spacing w:after="0" w:line="240" w:lineRule="auto"/>
              <w:jc w:val="right"/>
              <w:rPr>
                <w:color w:val="000000"/>
                <w:sz w:val="14"/>
                <w:szCs w:val="14"/>
              </w:rPr>
            </w:pPr>
            <w:r w:rsidRPr="00A8196B">
              <w:rPr>
                <w:color w:val="000000"/>
                <w:sz w:val="14"/>
                <w:szCs w:val="14"/>
              </w:rPr>
              <w:t>5.500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AF9AB02"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17224CE9" w14:textId="77777777">
            <w:pPr>
              <w:spacing w:after="0" w:line="240" w:lineRule="auto"/>
              <w:jc w:val="right"/>
              <w:rPr>
                <w:color w:val="000000"/>
                <w:sz w:val="14"/>
                <w:szCs w:val="14"/>
              </w:rPr>
            </w:pPr>
            <w:r w:rsidRPr="00A8196B">
              <w:rPr>
                <w:color w:val="000000"/>
                <w:sz w:val="14"/>
                <w:szCs w:val="14"/>
              </w:rPr>
              <w:t>4.500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9ED50AD" w14:textId="77777777">
            <w:pPr>
              <w:spacing w:after="0" w:line="240" w:lineRule="auto"/>
              <w:jc w:val="right"/>
              <w:rPr>
                <w:color w:val="000000"/>
                <w:sz w:val="14"/>
                <w:szCs w:val="14"/>
              </w:rPr>
            </w:pPr>
            <w:r w:rsidRPr="00A8196B">
              <w:rPr>
                <w:color w:val="000000"/>
                <w:sz w:val="14"/>
                <w:szCs w:val="14"/>
              </w:rPr>
              <w:t>1.000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403CC202" w14:textId="77777777">
            <w:pPr>
              <w:spacing w:after="0" w:line="240" w:lineRule="auto"/>
              <w:jc w:val="right"/>
              <w:rPr>
                <w:color w:val="000000"/>
                <w:sz w:val="14"/>
                <w:szCs w:val="14"/>
              </w:rPr>
            </w:pPr>
            <w:r w:rsidRPr="00A8196B">
              <w:rPr>
                <w:color w:val="000000"/>
                <w:sz w:val="14"/>
                <w:szCs w:val="14"/>
              </w:rPr>
              <w:t>5.500</w:t>
            </w:r>
          </w:p>
        </w:tc>
      </w:tr>
      <w:tr w14:paraId="357EB55F"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97EE33C" w14:textId="77777777">
            <w:pPr>
              <w:spacing w:after="0" w:line="240" w:lineRule="auto"/>
              <w:rPr>
                <w:color w:val="000000"/>
                <w:sz w:val="14"/>
                <w:szCs w:val="14"/>
              </w:rPr>
            </w:pPr>
            <w:r w:rsidRPr="00A8196B">
              <w:rPr>
                <w:color w:val="000000"/>
                <w:sz w:val="14"/>
                <w:szCs w:val="14"/>
              </w:rPr>
              <w:t>1. Impurities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3E07526" w14:textId="6B288BA5">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4FB126B"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EFE3DA7" w14:textId="0D8218A1">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A902501"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6E88297" w14:textId="52F78A51">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0E68BA3"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787A935" w14:textId="7D82173E">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3A732A8D"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F3423F5" w14:textId="02C2B338">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E546BCF"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7B8BD24" w14:textId="02620B0B">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53CD8DC"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A582E09" w14:textId="064E521C">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03EAFF5E"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953626F" w14:textId="05B0ADA0">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3EF41963" w14:textId="77777777">
            <w:pPr>
              <w:spacing w:after="0" w:line="240" w:lineRule="auto"/>
              <w:jc w:val="right"/>
              <w:rPr>
                <w:color w:val="000000"/>
                <w:sz w:val="14"/>
                <w:szCs w:val="14"/>
              </w:rPr>
            </w:pPr>
            <w:r w:rsidRPr="00A8196B">
              <w:rPr>
                <w:color w:val="000000"/>
                <w:sz w:val="14"/>
                <w:szCs w:val="14"/>
              </w:rPr>
              <w:t>0.500</w:t>
            </w:r>
          </w:p>
        </w:tc>
      </w:tr>
      <w:tr w14:paraId="76CDCDB9"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5900BF26" w14:textId="77777777">
            <w:pPr>
              <w:spacing w:after="0" w:line="240" w:lineRule="auto"/>
              <w:rPr>
                <w:color w:val="000000"/>
                <w:sz w:val="14"/>
                <w:szCs w:val="14"/>
              </w:rPr>
            </w:pPr>
            <w:r w:rsidRPr="00A8196B">
              <w:rPr>
                <w:color w:val="000000"/>
                <w:sz w:val="14"/>
                <w:szCs w:val="14"/>
              </w:rPr>
              <w:t>2.  Synonyms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CB1F325" w14:textId="66017A79">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1C979DB"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9548EDD" w14:textId="61C4728B">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BF998FD" w14:textId="77777777">
            <w:pPr>
              <w:spacing w:after="0" w:line="240" w:lineRule="auto"/>
              <w:jc w:val="right"/>
              <w:rPr>
                <w:color w:val="000000"/>
                <w:sz w:val="14"/>
                <w:szCs w:val="14"/>
              </w:rPr>
            </w:pPr>
            <w:r w:rsidRPr="00A8196B">
              <w:rPr>
                <w:color w:val="000000"/>
                <w:sz w:val="14"/>
                <w:szCs w:val="14"/>
              </w:rPr>
              <w:t>0.250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16F008B" w14:textId="486B1F61">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A74BE25"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BAF6FA0" w14:textId="509FA0C2">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45A3354" w14:textId="77777777">
            <w:pPr>
              <w:spacing w:after="0" w:line="240" w:lineRule="auto"/>
              <w:jc w:val="right"/>
              <w:rPr>
                <w:color w:val="000000"/>
                <w:sz w:val="14"/>
                <w:szCs w:val="14"/>
              </w:rPr>
            </w:pPr>
            <w:r w:rsidRPr="00A8196B">
              <w:rPr>
                <w:color w:val="000000"/>
                <w:sz w:val="14"/>
                <w:szCs w:val="14"/>
              </w:rPr>
              <w:t>0.250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36FEE11" w14:textId="16E7081F">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80CBFC4"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C25A7E1" w14:textId="382F5857">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BA64F3C" w14:textId="77777777">
            <w:pPr>
              <w:spacing w:after="0" w:line="240" w:lineRule="auto"/>
              <w:jc w:val="right"/>
              <w:rPr>
                <w:color w:val="000000"/>
                <w:sz w:val="14"/>
                <w:szCs w:val="14"/>
              </w:rPr>
            </w:pPr>
            <w:r w:rsidRPr="00A8196B">
              <w:rPr>
                <w:color w:val="000000"/>
                <w:sz w:val="14"/>
                <w:szCs w:val="14"/>
              </w:rPr>
              <w:t>0.250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63A8B3D" w14:textId="0B5CDB99">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5EFC5FDA"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2F60CFC" w14:textId="046135D5">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045CCA69" w14:textId="77777777">
            <w:pPr>
              <w:spacing w:after="0" w:line="240" w:lineRule="auto"/>
              <w:jc w:val="right"/>
              <w:rPr>
                <w:color w:val="000000"/>
                <w:sz w:val="14"/>
                <w:szCs w:val="14"/>
              </w:rPr>
            </w:pPr>
            <w:r w:rsidRPr="00A8196B">
              <w:rPr>
                <w:color w:val="000000"/>
                <w:sz w:val="14"/>
                <w:szCs w:val="14"/>
              </w:rPr>
              <w:t>0.250</w:t>
            </w:r>
          </w:p>
        </w:tc>
      </w:tr>
      <w:tr w14:paraId="4F3CE89D"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505A1928" w14:textId="77777777">
            <w:pPr>
              <w:spacing w:after="0" w:line="240" w:lineRule="auto"/>
              <w:rPr>
                <w:color w:val="000000"/>
                <w:sz w:val="14"/>
                <w:szCs w:val="14"/>
              </w:rPr>
            </w:pPr>
            <w:r w:rsidRPr="00A8196B">
              <w:rPr>
                <w:color w:val="000000"/>
                <w:sz w:val="14"/>
                <w:szCs w:val="14"/>
              </w:rPr>
              <w:t>3. Trade Identification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B84038D" w14:textId="205AD72A">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28900E8"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CF47F19" w14:textId="57FD353B">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ABCD27A" w14:textId="77777777">
            <w:pPr>
              <w:spacing w:after="0" w:line="240" w:lineRule="auto"/>
              <w:jc w:val="right"/>
              <w:rPr>
                <w:color w:val="000000"/>
                <w:sz w:val="14"/>
                <w:szCs w:val="14"/>
              </w:rPr>
            </w:pPr>
            <w:r w:rsidRPr="00A8196B">
              <w:rPr>
                <w:color w:val="000000"/>
                <w:sz w:val="14"/>
                <w:szCs w:val="14"/>
              </w:rPr>
              <w:t>0.250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8E36E7C" w14:textId="27F0038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8124E8F"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15C90AD" w14:textId="3DC35B5B">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472716B0" w14:textId="77777777">
            <w:pPr>
              <w:spacing w:after="0" w:line="240" w:lineRule="auto"/>
              <w:jc w:val="right"/>
              <w:rPr>
                <w:color w:val="000000"/>
                <w:sz w:val="14"/>
                <w:szCs w:val="14"/>
              </w:rPr>
            </w:pPr>
            <w:r w:rsidRPr="00A8196B">
              <w:rPr>
                <w:color w:val="000000"/>
                <w:sz w:val="14"/>
                <w:szCs w:val="14"/>
              </w:rPr>
              <w:t>0.250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19E2F9C" w14:textId="0A9496B1">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C954D0F"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6BA2D0A" w14:textId="0165B59C">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F5EA463" w14:textId="77777777">
            <w:pPr>
              <w:spacing w:after="0" w:line="240" w:lineRule="auto"/>
              <w:jc w:val="right"/>
              <w:rPr>
                <w:color w:val="000000"/>
                <w:sz w:val="14"/>
                <w:szCs w:val="14"/>
              </w:rPr>
            </w:pPr>
            <w:r w:rsidRPr="00A8196B">
              <w:rPr>
                <w:color w:val="000000"/>
                <w:sz w:val="14"/>
                <w:szCs w:val="14"/>
              </w:rPr>
              <w:t>0.250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CD535F2" w14:textId="35F4C2B7">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6A833F6E" w14:textId="77777777">
            <w:pPr>
              <w:spacing w:after="0" w:line="240" w:lineRule="auto"/>
              <w:jc w:val="right"/>
              <w:rPr>
                <w:color w:val="000000"/>
                <w:sz w:val="14"/>
                <w:szCs w:val="14"/>
              </w:rPr>
            </w:pPr>
            <w:r w:rsidRPr="00A8196B">
              <w:rPr>
                <w:color w:val="000000"/>
                <w:sz w:val="14"/>
                <w:szCs w:val="14"/>
              </w:rPr>
              <w:t>0.250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82559D8" w14:textId="09DEC44C">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5BF4891C" w14:textId="77777777">
            <w:pPr>
              <w:spacing w:after="0" w:line="240" w:lineRule="auto"/>
              <w:jc w:val="right"/>
              <w:rPr>
                <w:color w:val="000000"/>
                <w:sz w:val="14"/>
                <w:szCs w:val="14"/>
              </w:rPr>
            </w:pPr>
            <w:r w:rsidRPr="00A8196B">
              <w:rPr>
                <w:color w:val="000000"/>
                <w:sz w:val="14"/>
                <w:szCs w:val="14"/>
              </w:rPr>
              <w:t>0.250</w:t>
            </w:r>
          </w:p>
        </w:tc>
      </w:tr>
      <w:tr w14:paraId="4DA3E41C"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EB4A906" w14:textId="77777777">
            <w:pPr>
              <w:spacing w:after="0" w:line="240" w:lineRule="auto"/>
              <w:rPr>
                <w:color w:val="000000"/>
                <w:sz w:val="14"/>
                <w:szCs w:val="14"/>
              </w:rPr>
            </w:pPr>
            <w:r w:rsidRPr="00A8196B">
              <w:rPr>
                <w:color w:val="000000"/>
                <w:sz w:val="14"/>
                <w:szCs w:val="14"/>
              </w:rPr>
              <w:t>4. Generic Chemical Name</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3C52ACA" w14:textId="421D401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E075887"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ADC2861" w14:textId="772FCFAC">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B05FC4F"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FAD5231" w14:textId="003EF139">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737066D"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4FE81A1" w14:textId="09B8D560">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02BFC50D"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1F722BF" w14:textId="12DE8A2A">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0FCB482"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9A5B5C6" w14:textId="7E67174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353B188A"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7293508" w14:textId="53F5124A">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42E45803"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D113857" w14:textId="7BCB7D1E">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28AB45DC" w14:textId="77777777">
            <w:pPr>
              <w:spacing w:after="0" w:line="240" w:lineRule="auto"/>
              <w:jc w:val="right"/>
              <w:rPr>
                <w:color w:val="000000"/>
                <w:sz w:val="14"/>
                <w:szCs w:val="14"/>
              </w:rPr>
            </w:pPr>
            <w:r w:rsidRPr="00A8196B">
              <w:rPr>
                <w:color w:val="000000"/>
                <w:sz w:val="14"/>
                <w:szCs w:val="14"/>
              </w:rPr>
              <w:t>0.500</w:t>
            </w:r>
          </w:p>
        </w:tc>
      </w:tr>
      <w:tr w14:paraId="4F990254"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2372E230" w14:textId="77777777">
            <w:pPr>
              <w:spacing w:after="0" w:line="240" w:lineRule="auto"/>
              <w:rPr>
                <w:color w:val="000000"/>
                <w:sz w:val="14"/>
                <w:szCs w:val="14"/>
              </w:rPr>
            </w:pPr>
            <w:r w:rsidRPr="00A8196B">
              <w:rPr>
                <w:color w:val="000000"/>
                <w:sz w:val="14"/>
                <w:szCs w:val="14"/>
              </w:rPr>
              <w:t>5. Byproducts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95C0104" w14:textId="488BD8BE">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99FA50F"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C8C0989" w14:textId="3806B9C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356CBD9"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3D72012" w14:textId="7511EF71">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EF61D05"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2C4116C" w14:textId="4C1BAE52">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6DD3673"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F7EA7EE" w14:textId="5CFB6BC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8FD1A40"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0E4B2FB" w14:textId="3461E7DD">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0B34E0F" w14:textId="77777777">
            <w:pPr>
              <w:spacing w:after="0" w:line="240" w:lineRule="auto"/>
              <w:jc w:val="right"/>
              <w:rPr>
                <w:color w:val="000000"/>
                <w:sz w:val="14"/>
                <w:szCs w:val="14"/>
              </w:rPr>
            </w:pPr>
            <w:r w:rsidRPr="00A8196B">
              <w:rPr>
                <w:color w:val="000000"/>
                <w:sz w:val="14"/>
                <w:szCs w:val="14"/>
              </w:rPr>
              <w:t>0.500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9C64720" w14:textId="2B08E2D3">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56A380DF" w14:textId="77777777">
            <w:pPr>
              <w:spacing w:after="0" w:line="240" w:lineRule="auto"/>
              <w:jc w:val="right"/>
              <w:rPr>
                <w:color w:val="000000"/>
                <w:sz w:val="14"/>
                <w:szCs w:val="14"/>
              </w:rPr>
            </w:pPr>
            <w:r w:rsidRPr="00A8196B">
              <w:rPr>
                <w:color w:val="000000"/>
                <w:sz w:val="14"/>
                <w:szCs w:val="14"/>
              </w:rPr>
              <w:t>0.500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993DA94" w14:textId="0EF294D1">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8354B5E" w14:textId="77777777">
            <w:pPr>
              <w:spacing w:after="0" w:line="240" w:lineRule="auto"/>
              <w:jc w:val="right"/>
              <w:rPr>
                <w:color w:val="000000"/>
                <w:sz w:val="14"/>
                <w:szCs w:val="14"/>
              </w:rPr>
            </w:pPr>
            <w:r w:rsidRPr="00A8196B">
              <w:rPr>
                <w:color w:val="000000"/>
                <w:sz w:val="14"/>
                <w:szCs w:val="14"/>
              </w:rPr>
              <w:t>0.500</w:t>
            </w:r>
          </w:p>
        </w:tc>
      </w:tr>
      <w:tr w14:paraId="5576BB99"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3BFB3EA9" w14:textId="77777777">
            <w:pPr>
              <w:spacing w:after="0" w:line="240" w:lineRule="auto"/>
              <w:rPr>
                <w:color w:val="000000"/>
                <w:sz w:val="14"/>
                <w:szCs w:val="14"/>
              </w:rPr>
            </w:pPr>
            <w:r w:rsidRPr="00A8196B">
              <w:rPr>
                <w:color w:val="000000"/>
                <w:sz w:val="14"/>
                <w:szCs w:val="14"/>
              </w:rPr>
              <w:t>C. Production, Import, and Use Information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09FB3AF" w14:textId="77777777">
            <w:pPr>
              <w:spacing w:after="0" w:line="240" w:lineRule="auto"/>
              <w:jc w:val="right"/>
              <w:rPr>
                <w:color w:val="000000"/>
                <w:sz w:val="14"/>
                <w:szCs w:val="14"/>
              </w:rPr>
            </w:pPr>
            <w:r w:rsidRPr="00A8196B">
              <w:rPr>
                <w:color w:val="000000"/>
                <w:sz w:val="14"/>
                <w:szCs w:val="14"/>
              </w:rPr>
              <w:t>1.500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9BD15B1" w14:textId="0B43D971">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5F60E53" w14:textId="77777777">
            <w:pPr>
              <w:spacing w:after="0" w:line="240" w:lineRule="auto"/>
              <w:jc w:val="right"/>
              <w:rPr>
                <w:color w:val="000000"/>
                <w:sz w:val="14"/>
                <w:szCs w:val="14"/>
              </w:rPr>
            </w:pPr>
            <w:r w:rsidRPr="00A8196B">
              <w:rPr>
                <w:color w:val="000000"/>
                <w:sz w:val="14"/>
                <w:szCs w:val="14"/>
              </w:rPr>
              <w:t>2.500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B907D11" w14:textId="77777777">
            <w:pPr>
              <w:spacing w:after="0" w:line="240" w:lineRule="auto"/>
              <w:jc w:val="right"/>
              <w:rPr>
                <w:color w:val="000000"/>
                <w:sz w:val="14"/>
                <w:szCs w:val="14"/>
              </w:rPr>
            </w:pPr>
            <w:r w:rsidRPr="00A8196B">
              <w:rPr>
                <w:color w:val="000000"/>
                <w:sz w:val="14"/>
                <w:szCs w:val="14"/>
              </w:rPr>
              <w:t>4.000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11AB2C4"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848EEE1" w14:textId="44F96A6A">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1011A3D" w14:textId="77777777">
            <w:pPr>
              <w:spacing w:after="0" w:line="240" w:lineRule="auto"/>
              <w:jc w:val="right"/>
              <w:rPr>
                <w:color w:val="000000"/>
                <w:sz w:val="14"/>
                <w:szCs w:val="14"/>
              </w:rPr>
            </w:pPr>
            <w:r w:rsidRPr="00A8196B">
              <w:rPr>
                <w:color w:val="000000"/>
                <w:sz w:val="14"/>
                <w:szCs w:val="14"/>
              </w:rPr>
              <w:t>2.500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2584A3D" w14:textId="77777777">
            <w:pPr>
              <w:spacing w:after="0" w:line="240" w:lineRule="auto"/>
              <w:jc w:val="right"/>
              <w:rPr>
                <w:color w:val="000000"/>
                <w:sz w:val="14"/>
                <w:szCs w:val="14"/>
              </w:rPr>
            </w:pPr>
            <w:r w:rsidRPr="00A8196B">
              <w:rPr>
                <w:color w:val="000000"/>
                <w:sz w:val="14"/>
                <w:szCs w:val="14"/>
              </w:rPr>
              <w:t>2.500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024C2DB"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D540F7C" w14:textId="2F743E59">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CE2C18D" w14:textId="77777777">
            <w:pPr>
              <w:spacing w:after="0" w:line="240" w:lineRule="auto"/>
              <w:jc w:val="right"/>
              <w:rPr>
                <w:color w:val="000000"/>
                <w:sz w:val="14"/>
                <w:szCs w:val="14"/>
              </w:rPr>
            </w:pPr>
            <w:r w:rsidRPr="00A8196B">
              <w:rPr>
                <w:color w:val="000000"/>
                <w:sz w:val="14"/>
                <w:szCs w:val="14"/>
              </w:rPr>
              <w:t>2.500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2283AF1" w14:textId="77777777">
            <w:pPr>
              <w:spacing w:after="0" w:line="240" w:lineRule="auto"/>
              <w:jc w:val="right"/>
              <w:rPr>
                <w:color w:val="000000"/>
                <w:sz w:val="14"/>
                <w:szCs w:val="14"/>
              </w:rPr>
            </w:pPr>
            <w:r w:rsidRPr="00A8196B">
              <w:rPr>
                <w:color w:val="000000"/>
                <w:sz w:val="14"/>
                <w:szCs w:val="14"/>
              </w:rPr>
              <w:t>2.500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C6A0365"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3A111D59" w14:textId="1988AE02">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D9FA949" w14:textId="77777777">
            <w:pPr>
              <w:spacing w:after="0" w:line="240" w:lineRule="auto"/>
              <w:jc w:val="right"/>
              <w:rPr>
                <w:color w:val="000000"/>
                <w:sz w:val="14"/>
                <w:szCs w:val="14"/>
              </w:rPr>
            </w:pPr>
            <w:r w:rsidRPr="00A8196B">
              <w:rPr>
                <w:color w:val="000000"/>
                <w:sz w:val="14"/>
                <w:szCs w:val="14"/>
              </w:rPr>
              <w:t>2.500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312E3A13" w14:textId="77777777">
            <w:pPr>
              <w:spacing w:after="0" w:line="240" w:lineRule="auto"/>
              <w:jc w:val="right"/>
              <w:rPr>
                <w:color w:val="000000"/>
                <w:sz w:val="14"/>
                <w:szCs w:val="14"/>
              </w:rPr>
            </w:pPr>
            <w:r w:rsidRPr="00A8196B">
              <w:rPr>
                <w:color w:val="000000"/>
                <w:sz w:val="14"/>
                <w:szCs w:val="14"/>
              </w:rPr>
              <w:t>2.500</w:t>
            </w:r>
          </w:p>
        </w:tc>
      </w:tr>
      <w:tr w14:paraId="33A5ADB4"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4707CE79" w14:textId="77777777">
            <w:pPr>
              <w:spacing w:after="0" w:line="240" w:lineRule="auto"/>
              <w:rPr>
                <w:color w:val="000000"/>
                <w:sz w:val="14"/>
                <w:szCs w:val="14"/>
              </w:rPr>
            </w:pPr>
            <w:r w:rsidRPr="00A8196B">
              <w:rPr>
                <w:color w:val="000000"/>
                <w:sz w:val="14"/>
                <w:szCs w:val="14"/>
              </w:rPr>
              <w:t>1. Production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188D565" w14:textId="2B8835C1">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96F4A93"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D8CBCCC" w14:textId="2382FB57">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B33BE52"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B190BF4" w14:textId="72F1045B">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AEC8A60"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F854CBC" w14:textId="23410967">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7DD8331"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7FEBFCC" w14:textId="11126F17">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310DC84"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8E85A8B" w14:textId="0B3C8174">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4E64EE1"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26CEA0D" w14:textId="2B3EE62E">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375BC62C"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6CE4A78" w14:textId="27113E8A">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430BB82F" w14:textId="77777777">
            <w:pPr>
              <w:spacing w:after="0" w:line="240" w:lineRule="auto"/>
              <w:jc w:val="right"/>
              <w:rPr>
                <w:color w:val="000000"/>
                <w:sz w:val="14"/>
                <w:szCs w:val="14"/>
              </w:rPr>
            </w:pPr>
            <w:r w:rsidRPr="00A8196B">
              <w:rPr>
                <w:color w:val="000000"/>
                <w:sz w:val="14"/>
                <w:szCs w:val="14"/>
              </w:rPr>
              <w:t>1.000</w:t>
            </w:r>
          </w:p>
        </w:tc>
      </w:tr>
      <w:tr w14:paraId="532DA17C"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7605A8EE" w14:textId="77777777">
            <w:pPr>
              <w:spacing w:after="0" w:line="240" w:lineRule="auto"/>
              <w:rPr>
                <w:color w:val="000000"/>
                <w:sz w:val="14"/>
                <w:szCs w:val="14"/>
              </w:rPr>
            </w:pPr>
            <w:r w:rsidRPr="00A8196B">
              <w:rPr>
                <w:color w:val="000000"/>
                <w:sz w:val="14"/>
                <w:szCs w:val="14"/>
              </w:rPr>
              <w:t>2. Use Information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22EAACC" w14:textId="5B990714">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35B2328" w14:textId="77777777">
            <w:pPr>
              <w:spacing w:after="0" w:line="240" w:lineRule="auto"/>
              <w:jc w:val="right"/>
              <w:rPr>
                <w:color w:val="000000"/>
                <w:sz w:val="14"/>
                <w:szCs w:val="14"/>
              </w:rPr>
            </w:pPr>
            <w:r w:rsidRPr="00A8196B">
              <w:rPr>
                <w:color w:val="000000"/>
                <w:sz w:val="14"/>
                <w:szCs w:val="14"/>
              </w:rPr>
              <w:t>3.000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A60A793" w14:textId="18B1670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909776A" w14:textId="77777777">
            <w:pPr>
              <w:spacing w:after="0" w:line="240" w:lineRule="auto"/>
              <w:jc w:val="right"/>
              <w:rPr>
                <w:color w:val="000000"/>
                <w:sz w:val="14"/>
                <w:szCs w:val="14"/>
              </w:rPr>
            </w:pPr>
            <w:r w:rsidRPr="00A8196B">
              <w:rPr>
                <w:color w:val="000000"/>
                <w:sz w:val="14"/>
                <w:szCs w:val="14"/>
              </w:rPr>
              <w:t>3.000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B36DC25" w14:textId="68CA4C6F">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2A871F3" w14:textId="77777777">
            <w:pPr>
              <w:spacing w:after="0" w:line="240" w:lineRule="auto"/>
              <w:jc w:val="right"/>
              <w:rPr>
                <w:color w:val="000000"/>
                <w:sz w:val="14"/>
                <w:szCs w:val="14"/>
              </w:rPr>
            </w:pPr>
            <w:r w:rsidRPr="00A8196B">
              <w:rPr>
                <w:color w:val="000000"/>
                <w:sz w:val="14"/>
                <w:szCs w:val="14"/>
              </w:rPr>
              <w:t>3.000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3285085" w14:textId="33E336CF">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3CA5BE9B" w14:textId="77777777">
            <w:pPr>
              <w:spacing w:after="0" w:line="240" w:lineRule="auto"/>
              <w:jc w:val="right"/>
              <w:rPr>
                <w:color w:val="000000"/>
                <w:sz w:val="14"/>
                <w:szCs w:val="14"/>
              </w:rPr>
            </w:pPr>
            <w:r w:rsidRPr="00A8196B">
              <w:rPr>
                <w:color w:val="000000"/>
                <w:sz w:val="14"/>
                <w:szCs w:val="14"/>
              </w:rPr>
              <w:t>3.000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D8E144E" w14:textId="2EBA8009">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EADD692" w14:textId="77777777">
            <w:pPr>
              <w:spacing w:after="0" w:line="240" w:lineRule="auto"/>
              <w:jc w:val="right"/>
              <w:rPr>
                <w:color w:val="000000"/>
                <w:sz w:val="14"/>
                <w:szCs w:val="14"/>
              </w:rPr>
            </w:pPr>
            <w:r w:rsidRPr="00A8196B">
              <w:rPr>
                <w:color w:val="000000"/>
                <w:sz w:val="14"/>
                <w:szCs w:val="14"/>
              </w:rPr>
              <w:t>3.000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E0D5789" w14:textId="43CEB522">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0E3FAF6" w14:textId="77777777">
            <w:pPr>
              <w:spacing w:after="0" w:line="240" w:lineRule="auto"/>
              <w:jc w:val="right"/>
              <w:rPr>
                <w:color w:val="000000"/>
                <w:sz w:val="14"/>
                <w:szCs w:val="14"/>
              </w:rPr>
            </w:pPr>
            <w:r w:rsidRPr="00A8196B">
              <w:rPr>
                <w:color w:val="000000"/>
                <w:sz w:val="14"/>
                <w:szCs w:val="14"/>
              </w:rPr>
              <w:t>3.000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51F8130" w14:textId="6C07A759">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04ABF5C4" w14:textId="77777777">
            <w:pPr>
              <w:spacing w:after="0" w:line="240" w:lineRule="auto"/>
              <w:jc w:val="right"/>
              <w:rPr>
                <w:color w:val="000000"/>
                <w:sz w:val="14"/>
                <w:szCs w:val="14"/>
              </w:rPr>
            </w:pPr>
            <w:r w:rsidRPr="00A8196B">
              <w:rPr>
                <w:color w:val="000000"/>
                <w:sz w:val="14"/>
                <w:szCs w:val="14"/>
              </w:rPr>
              <w:t>3.000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400262F" w14:textId="7CAC04E7">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24C5CBF1" w14:textId="77777777">
            <w:pPr>
              <w:spacing w:after="0" w:line="240" w:lineRule="auto"/>
              <w:jc w:val="right"/>
              <w:rPr>
                <w:color w:val="000000"/>
                <w:sz w:val="14"/>
                <w:szCs w:val="14"/>
              </w:rPr>
            </w:pPr>
            <w:r w:rsidRPr="00A8196B">
              <w:rPr>
                <w:color w:val="000000"/>
                <w:sz w:val="14"/>
                <w:szCs w:val="14"/>
              </w:rPr>
              <w:t>3.000</w:t>
            </w:r>
          </w:p>
        </w:tc>
      </w:tr>
      <w:tr w14:paraId="01C7ADAD"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1898F016" w14:textId="77777777">
            <w:pPr>
              <w:spacing w:after="0" w:line="240" w:lineRule="auto"/>
              <w:rPr>
                <w:color w:val="000000"/>
                <w:sz w:val="14"/>
                <w:szCs w:val="14"/>
              </w:rPr>
            </w:pPr>
            <w:r w:rsidRPr="00A8196B">
              <w:rPr>
                <w:color w:val="000000"/>
                <w:sz w:val="14"/>
                <w:szCs w:val="14"/>
              </w:rPr>
              <w:t>3. Hazard Information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E3F2DE5" w14:textId="6E45109F">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8D082FC" w14:textId="77777777">
            <w:pPr>
              <w:spacing w:after="0" w:line="240" w:lineRule="auto"/>
              <w:jc w:val="right"/>
              <w:rPr>
                <w:color w:val="000000"/>
                <w:sz w:val="14"/>
                <w:szCs w:val="14"/>
              </w:rPr>
            </w:pPr>
            <w:r w:rsidRPr="00A8196B">
              <w:rPr>
                <w:color w:val="000000"/>
                <w:sz w:val="14"/>
                <w:szCs w:val="14"/>
              </w:rPr>
              <w:t>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23DBA64" w14:textId="6A9B839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52454AF" w14:textId="77777777">
            <w:pPr>
              <w:spacing w:after="0" w:line="240" w:lineRule="auto"/>
              <w:jc w:val="right"/>
              <w:rPr>
                <w:color w:val="000000"/>
                <w:sz w:val="14"/>
                <w:szCs w:val="14"/>
              </w:rPr>
            </w:pPr>
            <w:r w:rsidRPr="00A8196B">
              <w:rPr>
                <w:color w:val="000000"/>
                <w:sz w:val="14"/>
                <w:szCs w:val="14"/>
              </w:rPr>
              <w:t>3.500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DD1ACEB" w14:textId="6B144458">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FE38A10" w14:textId="77777777">
            <w:pPr>
              <w:spacing w:after="0" w:line="240" w:lineRule="auto"/>
              <w:jc w:val="right"/>
              <w:rPr>
                <w:color w:val="000000"/>
                <w:sz w:val="14"/>
                <w:szCs w:val="14"/>
              </w:rPr>
            </w:pPr>
            <w:r w:rsidRPr="00A8196B">
              <w:rPr>
                <w:color w:val="000000"/>
                <w:sz w:val="14"/>
                <w:szCs w:val="14"/>
              </w:rPr>
              <w:t>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73467B8" w14:textId="038ED3EA">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407BEADD" w14:textId="77777777">
            <w:pPr>
              <w:spacing w:after="0" w:line="240" w:lineRule="auto"/>
              <w:jc w:val="right"/>
              <w:rPr>
                <w:color w:val="000000"/>
                <w:sz w:val="14"/>
                <w:szCs w:val="14"/>
              </w:rPr>
            </w:pPr>
            <w:r w:rsidRPr="00A8196B">
              <w:rPr>
                <w:color w:val="000000"/>
                <w:sz w:val="14"/>
                <w:szCs w:val="14"/>
              </w:rPr>
              <w:t>3.500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CEE0523" w14:textId="196479DF">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247FC4A" w14:textId="77777777">
            <w:pPr>
              <w:spacing w:after="0" w:line="240" w:lineRule="auto"/>
              <w:jc w:val="right"/>
              <w:rPr>
                <w:color w:val="000000"/>
                <w:sz w:val="14"/>
                <w:szCs w:val="14"/>
              </w:rPr>
            </w:pPr>
            <w:r w:rsidRPr="00A8196B">
              <w:rPr>
                <w:color w:val="000000"/>
                <w:sz w:val="14"/>
                <w:szCs w:val="14"/>
              </w:rPr>
              <w:t>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EA65E01" w14:textId="3EA42CE3">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F710BE7" w14:textId="77777777">
            <w:pPr>
              <w:spacing w:after="0" w:line="240" w:lineRule="auto"/>
              <w:jc w:val="right"/>
              <w:rPr>
                <w:color w:val="000000"/>
                <w:sz w:val="14"/>
                <w:szCs w:val="14"/>
              </w:rPr>
            </w:pPr>
            <w:r w:rsidRPr="00A8196B">
              <w:rPr>
                <w:color w:val="000000"/>
                <w:sz w:val="14"/>
                <w:szCs w:val="14"/>
              </w:rPr>
              <w:t>3.500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EE28EF5" w14:textId="3B5AE83E">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34933887" w14:textId="77777777">
            <w:pPr>
              <w:spacing w:after="0" w:line="240" w:lineRule="auto"/>
              <w:jc w:val="right"/>
              <w:rPr>
                <w:color w:val="000000"/>
                <w:sz w:val="14"/>
                <w:szCs w:val="14"/>
              </w:rPr>
            </w:pPr>
            <w:r w:rsidRPr="00A8196B">
              <w:rPr>
                <w:color w:val="000000"/>
                <w:sz w:val="14"/>
                <w:szCs w:val="14"/>
              </w:rPr>
              <w:t>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EEC5F9F" w14:textId="298C5BF4">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D1D22AB" w14:textId="77777777">
            <w:pPr>
              <w:spacing w:after="0" w:line="240" w:lineRule="auto"/>
              <w:jc w:val="right"/>
              <w:rPr>
                <w:color w:val="000000"/>
                <w:sz w:val="14"/>
                <w:szCs w:val="14"/>
              </w:rPr>
            </w:pPr>
            <w:r w:rsidRPr="00A8196B">
              <w:rPr>
                <w:color w:val="000000"/>
                <w:sz w:val="14"/>
                <w:szCs w:val="14"/>
              </w:rPr>
              <w:t>3.500</w:t>
            </w:r>
          </w:p>
        </w:tc>
      </w:tr>
      <w:tr w14:paraId="3A5BB422"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45E781F" w14:textId="77777777">
            <w:pPr>
              <w:spacing w:after="0" w:line="240" w:lineRule="auto"/>
              <w:rPr>
                <w:color w:val="000000"/>
                <w:sz w:val="14"/>
                <w:szCs w:val="14"/>
              </w:rPr>
            </w:pPr>
            <w:r w:rsidRPr="00A8196B">
              <w:rPr>
                <w:color w:val="000000"/>
                <w:sz w:val="14"/>
                <w:szCs w:val="14"/>
              </w:rPr>
              <w:t>II. Human Exposure</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73338E6" w14:textId="77777777">
            <w:pPr>
              <w:spacing w:after="0" w:line="240" w:lineRule="auto"/>
              <w:jc w:val="right"/>
              <w:rPr>
                <w:color w:val="000000"/>
                <w:sz w:val="14"/>
                <w:szCs w:val="14"/>
              </w:rPr>
            </w:pPr>
            <w:r w:rsidRPr="00A8196B">
              <w:rPr>
                <w:color w:val="000000"/>
                <w:sz w:val="14"/>
                <w:szCs w:val="14"/>
              </w:rPr>
              <w:t>3.000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31A8ECC" w14:textId="08B079C8">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CE4E746" w14:textId="77777777">
            <w:pPr>
              <w:spacing w:after="0" w:line="240" w:lineRule="auto"/>
              <w:jc w:val="right"/>
              <w:rPr>
                <w:color w:val="000000"/>
                <w:sz w:val="14"/>
                <w:szCs w:val="14"/>
              </w:rPr>
            </w:pPr>
            <w:r w:rsidRPr="00A8196B">
              <w:rPr>
                <w:color w:val="000000"/>
                <w:sz w:val="14"/>
                <w:szCs w:val="14"/>
              </w:rPr>
              <w:t>6.500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48946FE" w14:textId="77777777">
            <w:pPr>
              <w:spacing w:after="0" w:line="240" w:lineRule="auto"/>
              <w:jc w:val="right"/>
              <w:rPr>
                <w:color w:val="000000"/>
                <w:sz w:val="14"/>
                <w:szCs w:val="14"/>
              </w:rPr>
            </w:pPr>
            <w:r w:rsidRPr="00A8196B">
              <w:rPr>
                <w:color w:val="000000"/>
                <w:sz w:val="14"/>
                <w:szCs w:val="14"/>
              </w:rPr>
              <w:t>9.500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1753A98"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955952A" w14:textId="753CB4D6">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3482BB9" w14:textId="77777777">
            <w:pPr>
              <w:spacing w:after="0" w:line="240" w:lineRule="auto"/>
              <w:jc w:val="right"/>
              <w:rPr>
                <w:color w:val="000000"/>
                <w:sz w:val="14"/>
                <w:szCs w:val="14"/>
              </w:rPr>
            </w:pPr>
            <w:r w:rsidRPr="00A8196B">
              <w:rPr>
                <w:color w:val="000000"/>
                <w:sz w:val="14"/>
                <w:szCs w:val="14"/>
              </w:rPr>
              <w:t>6.500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12C22C48" w14:textId="77777777">
            <w:pPr>
              <w:spacing w:after="0" w:line="240" w:lineRule="auto"/>
              <w:jc w:val="right"/>
              <w:rPr>
                <w:color w:val="000000"/>
                <w:sz w:val="14"/>
                <w:szCs w:val="14"/>
              </w:rPr>
            </w:pPr>
            <w:r w:rsidRPr="00A8196B">
              <w:rPr>
                <w:color w:val="000000"/>
                <w:sz w:val="14"/>
                <w:szCs w:val="14"/>
              </w:rPr>
              <w:t>6.500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E2971FD"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706DAB7" w14:textId="34F26503">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D017639" w14:textId="77777777">
            <w:pPr>
              <w:spacing w:after="0" w:line="240" w:lineRule="auto"/>
              <w:jc w:val="right"/>
              <w:rPr>
                <w:color w:val="000000"/>
                <w:sz w:val="14"/>
                <w:szCs w:val="14"/>
              </w:rPr>
            </w:pPr>
            <w:r w:rsidRPr="00A8196B">
              <w:rPr>
                <w:color w:val="000000"/>
                <w:sz w:val="14"/>
                <w:szCs w:val="14"/>
              </w:rPr>
              <w:t>6.500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C213714" w14:textId="77777777">
            <w:pPr>
              <w:spacing w:after="0" w:line="240" w:lineRule="auto"/>
              <w:jc w:val="right"/>
              <w:rPr>
                <w:color w:val="000000"/>
                <w:sz w:val="14"/>
                <w:szCs w:val="14"/>
              </w:rPr>
            </w:pPr>
            <w:r w:rsidRPr="00A8196B">
              <w:rPr>
                <w:color w:val="000000"/>
                <w:sz w:val="14"/>
                <w:szCs w:val="14"/>
              </w:rPr>
              <w:t>6.500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14AFA52"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5471DF99" w14:textId="5219F3E3">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F9BD92F" w14:textId="77777777">
            <w:pPr>
              <w:spacing w:after="0" w:line="240" w:lineRule="auto"/>
              <w:jc w:val="right"/>
              <w:rPr>
                <w:color w:val="000000"/>
                <w:sz w:val="14"/>
                <w:szCs w:val="14"/>
              </w:rPr>
            </w:pPr>
            <w:r w:rsidRPr="00A8196B">
              <w:rPr>
                <w:color w:val="000000"/>
                <w:sz w:val="14"/>
                <w:szCs w:val="14"/>
              </w:rPr>
              <w:t>6.500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08E7A96F" w14:textId="77777777">
            <w:pPr>
              <w:spacing w:after="0" w:line="240" w:lineRule="auto"/>
              <w:jc w:val="right"/>
              <w:rPr>
                <w:color w:val="000000"/>
                <w:sz w:val="14"/>
                <w:szCs w:val="14"/>
              </w:rPr>
            </w:pPr>
            <w:r w:rsidRPr="00A8196B">
              <w:rPr>
                <w:color w:val="000000"/>
                <w:sz w:val="14"/>
                <w:szCs w:val="14"/>
              </w:rPr>
              <w:t>6.500</w:t>
            </w:r>
          </w:p>
        </w:tc>
      </w:tr>
      <w:tr w14:paraId="4424BE2D"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B1A47A7" w14:textId="77777777">
            <w:pPr>
              <w:spacing w:after="0" w:line="240" w:lineRule="auto"/>
              <w:rPr>
                <w:color w:val="000000"/>
                <w:sz w:val="14"/>
                <w:szCs w:val="14"/>
              </w:rPr>
            </w:pPr>
            <w:r w:rsidRPr="00A8196B">
              <w:rPr>
                <w:color w:val="000000"/>
                <w:sz w:val="14"/>
                <w:szCs w:val="14"/>
              </w:rPr>
              <w:t>A. Ind. Sites Controlled by the Submitter</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A3BC08F" w14:textId="48AE3676">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1572790" w14:textId="5E6C3564">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7956B38" w14:textId="78492613">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A3F2E1F" w14:textId="2946A48F">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4D90886" w14:textId="1623CCF5">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528A512" w14:textId="767A7FA8">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3515358" w14:textId="54805A20">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71F72C76" w14:textId="5B0E4E79">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2718E60" w14:textId="4EE5516C">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96FB4BE" w14:textId="4E71716D">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D75BBE2" w14:textId="71195097">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8B5A54C" w14:textId="7335A391">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B930012" w14:textId="6BD0F579">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11767381" w14:textId="4A661047">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839E1DA" w14:textId="488B4E3B">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2F9A0E56" w14:textId="2345107E">
            <w:pPr>
              <w:spacing w:after="0" w:line="240" w:lineRule="auto"/>
              <w:jc w:val="right"/>
              <w:rPr>
                <w:color w:val="000000"/>
                <w:sz w:val="14"/>
                <w:szCs w:val="14"/>
              </w:rPr>
            </w:pPr>
          </w:p>
        </w:tc>
      </w:tr>
      <w:tr w14:paraId="65672AFE"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50A0A262" w14:textId="77777777">
            <w:pPr>
              <w:spacing w:after="0" w:line="240" w:lineRule="auto"/>
              <w:rPr>
                <w:color w:val="000000"/>
                <w:sz w:val="14"/>
                <w:szCs w:val="14"/>
              </w:rPr>
            </w:pPr>
            <w:r w:rsidRPr="00A8196B">
              <w:rPr>
                <w:color w:val="000000"/>
                <w:sz w:val="14"/>
                <w:szCs w:val="14"/>
              </w:rPr>
              <w:t>1. Operation Description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D8261DE" w14:textId="2B966A3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DF15A70" w14:textId="4474D163">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F275DE5" w14:textId="509198E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449E08C" w14:textId="7CA3E33B">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1384A35" w14:textId="36513E4D">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7838395" w14:textId="65CFF127">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B5BCB0A" w14:textId="7563558F">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4B8910C1" w14:textId="7ED63A78">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45498F3" w14:textId="7B8E009B">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C7C7E24" w14:textId="11BA339F">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EFFF913" w14:textId="2F5B113C">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D035179" w14:textId="53B106A8">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3598DA9" w14:textId="49594F65">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0D9C6C3B" w14:textId="0247B2E8">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4F0D31F" w14:textId="13A72043">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65E0353C" w14:textId="0D8D63BE">
            <w:pPr>
              <w:spacing w:after="0" w:line="240" w:lineRule="auto"/>
              <w:jc w:val="right"/>
              <w:rPr>
                <w:color w:val="000000"/>
                <w:sz w:val="14"/>
                <w:szCs w:val="14"/>
              </w:rPr>
            </w:pPr>
          </w:p>
        </w:tc>
      </w:tr>
      <w:tr w14:paraId="08C0D1A7"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41E93734" w14:textId="77777777">
            <w:pPr>
              <w:spacing w:after="0" w:line="240" w:lineRule="auto"/>
              <w:rPr>
                <w:color w:val="000000"/>
                <w:sz w:val="14"/>
                <w:szCs w:val="14"/>
              </w:rPr>
            </w:pPr>
            <w:r w:rsidRPr="00A8196B">
              <w:rPr>
                <w:color w:val="000000"/>
                <w:sz w:val="14"/>
                <w:szCs w:val="14"/>
              </w:rPr>
              <w:t>a. Identity</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AF79312" w14:textId="04381963">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6D1D075"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A371E2C" w14:textId="7732A8A1">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F8D7FFC"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273C601" w14:textId="6D7C152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E7FFDF0"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F3DB767" w14:textId="4C43A1E0">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0DB1D4BF"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A3B4D32" w14:textId="59A5F733">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00D5EA4"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BF48D93" w14:textId="4F093DC9">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FE80BA1"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4130769" w14:textId="30943531">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491044E0"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02F1746" w14:textId="40C9653A">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799CA05C" w14:textId="77777777">
            <w:pPr>
              <w:spacing w:after="0" w:line="240" w:lineRule="auto"/>
              <w:jc w:val="right"/>
              <w:rPr>
                <w:color w:val="000000"/>
                <w:sz w:val="14"/>
                <w:szCs w:val="14"/>
              </w:rPr>
            </w:pPr>
            <w:r w:rsidRPr="00A8196B">
              <w:rPr>
                <w:color w:val="000000"/>
                <w:sz w:val="14"/>
                <w:szCs w:val="14"/>
              </w:rPr>
              <w:t>1.000</w:t>
            </w:r>
          </w:p>
        </w:tc>
      </w:tr>
      <w:tr w14:paraId="6856C940"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8379A41" w14:textId="77777777">
            <w:pPr>
              <w:spacing w:after="0" w:line="240" w:lineRule="auto"/>
              <w:rPr>
                <w:color w:val="000000"/>
                <w:sz w:val="14"/>
                <w:szCs w:val="14"/>
              </w:rPr>
            </w:pPr>
            <w:r w:rsidRPr="00A8196B">
              <w:rPr>
                <w:color w:val="000000"/>
                <w:sz w:val="14"/>
                <w:szCs w:val="14"/>
              </w:rPr>
              <w:t>b. Type of Operation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8259E5C" w14:textId="093D4667">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638F4BC"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2118473" w14:textId="0EC29937">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512F371"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311EA5B" w14:textId="5A7C8482">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158504B"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40D1FAB" w14:textId="75F44B89">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684B578"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C3287F9" w14:textId="3802BE95">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9972AF5"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757C821" w14:textId="5C561EB0">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DA56CA3" w14:textId="77777777">
            <w:pPr>
              <w:spacing w:after="0" w:line="240" w:lineRule="auto"/>
              <w:jc w:val="right"/>
              <w:rPr>
                <w:color w:val="000000"/>
                <w:sz w:val="14"/>
                <w:szCs w:val="14"/>
              </w:rPr>
            </w:pPr>
            <w:r w:rsidRPr="00A8196B">
              <w:rPr>
                <w:color w:val="000000"/>
                <w:sz w:val="14"/>
                <w:szCs w:val="14"/>
              </w:rPr>
              <w:t>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E456A1B" w14:textId="6EE4277E">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68044CD2" w14:textId="77777777">
            <w:pPr>
              <w:spacing w:after="0" w:line="240" w:lineRule="auto"/>
              <w:jc w:val="right"/>
              <w:rPr>
                <w:color w:val="000000"/>
                <w:sz w:val="14"/>
                <w:szCs w:val="14"/>
              </w:rPr>
            </w:pPr>
            <w:r w:rsidRPr="00A8196B">
              <w:rPr>
                <w:color w:val="000000"/>
                <w:sz w:val="14"/>
                <w:szCs w:val="14"/>
              </w:rPr>
              <w:t>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8040B47" w14:textId="41CBF9A5">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E31675B" w14:textId="77777777">
            <w:pPr>
              <w:spacing w:after="0" w:line="240" w:lineRule="auto"/>
              <w:jc w:val="right"/>
              <w:rPr>
                <w:color w:val="000000"/>
                <w:sz w:val="14"/>
                <w:szCs w:val="14"/>
              </w:rPr>
            </w:pPr>
            <w:r w:rsidRPr="00A8196B">
              <w:rPr>
                <w:color w:val="000000"/>
                <w:sz w:val="14"/>
                <w:szCs w:val="14"/>
              </w:rPr>
              <w:t>1.000</w:t>
            </w:r>
          </w:p>
        </w:tc>
      </w:tr>
      <w:tr w14:paraId="2D66FF70"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473891E" w14:textId="77777777">
            <w:pPr>
              <w:spacing w:after="0" w:line="240" w:lineRule="auto"/>
              <w:rPr>
                <w:color w:val="000000"/>
                <w:sz w:val="14"/>
                <w:szCs w:val="14"/>
              </w:rPr>
            </w:pPr>
            <w:r w:rsidRPr="00A8196B">
              <w:rPr>
                <w:color w:val="000000"/>
                <w:sz w:val="14"/>
                <w:szCs w:val="14"/>
              </w:rPr>
              <w:t>c. Amount and Duration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F60412E" w14:textId="493505EF">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AB15029" w14:textId="77777777">
            <w:pPr>
              <w:spacing w:after="0" w:line="240" w:lineRule="auto"/>
              <w:jc w:val="right"/>
              <w:rPr>
                <w:color w:val="000000"/>
                <w:sz w:val="14"/>
                <w:szCs w:val="14"/>
              </w:rPr>
            </w:pPr>
            <w:r w:rsidRPr="00A8196B">
              <w:rPr>
                <w:color w:val="000000"/>
                <w:sz w:val="14"/>
                <w:szCs w:val="14"/>
              </w:rPr>
              <w:t>2.000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F5D158E" w14:textId="1231773F">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110A834" w14:textId="77777777">
            <w:pPr>
              <w:spacing w:after="0" w:line="240" w:lineRule="auto"/>
              <w:jc w:val="right"/>
              <w:rPr>
                <w:color w:val="000000"/>
                <w:sz w:val="14"/>
                <w:szCs w:val="14"/>
              </w:rPr>
            </w:pPr>
            <w:r w:rsidRPr="00A8196B">
              <w:rPr>
                <w:color w:val="000000"/>
                <w:sz w:val="14"/>
                <w:szCs w:val="14"/>
              </w:rPr>
              <w:t>2.000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7118E89" w14:textId="0EB86210">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795E7BA" w14:textId="77777777">
            <w:pPr>
              <w:spacing w:after="0" w:line="240" w:lineRule="auto"/>
              <w:jc w:val="right"/>
              <w:rPr>
                <w:color w:val="000000"/>
                <w:sz w:val="14"/>
                <w:szCs w:val="14"/>
              </w:rPr>
            </w:pPr>
            <w:r w:rsidRPr="00A8196B">
              <w:rPr>
                <w:color w:val="000000"/>
                <w:sz w:val="14"/>
                <w:szCs w:val="14"/>
              </w:rPr>
              <w:t>2.000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CE788C2" w14:textId="5296BFCD">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0976718B" w14:textId="77777777">
            <w:pPr>
              <w:spacing w:after="0" w:line="240" w:lineRule="auto"/>
              <w:jc w:val="right"/>
              <w:rPr>
                <w:color w:val="000000"/>
                <w:sz w:val="14"/>
                <w:szCs w:val="14"/>
              </w:rPr>
            </w:pPr>
            <w:r w:rsidRPr="00A8196B">
              <w:rPr>
                <w:color w:val="000000"/>
                <w:sz w:val="14"/>
                <w:szCs w:val="14"/>
              </w:rPr>
              <w:t>2.000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FEE86BD" w14:textId="7C48F9F4">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CB3BEB4" w14:textId="77777777">
            <w:pPr>
              <w:spacing w:after="0" w:line="240" w:lineRule="auto"/>
              <w:jc w:val="right"/>
              <w:rPr>
                <w:color w:val="000000"/>
                <w:sz w:val="14"/>
                <w:szCs w:val="14"/>
              </w:rPr>
            </w:pPr>
            <w:r w:rsidRPr="00A8196B">
              <w:rPr>
                <w:color w:val="000000"/>
                <w:sz w:val="14"/>
                <w:szCs w:val="14"/>
              </w:rPr>
              <w:t>2.000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6A7C227" w14:textId="16AA07B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CD025F0" w14:textId="77777777">
            <w:pPr>
              <w:spacing w:after="0" w:line="240" w:lineRule="auto"/>
              <w:jc w:val="right"/>
              <w:rPr>
                <w:color w:val="000000"/>
                <w:sz w:val="14"/>
                <w:szCs w:val="14"/>
              </w:rPr>
            </w:pPr>
            <w:r w:rsidRPr="00A8196B">
              <w:rPr>
                <w:color w:val="000000"/>
                <w:sz w:val="14"/>
                <w:szCs w:val="14"/>
              </w:rPr>
              <w:t>2.000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84C44E0" w14:textId="13F6DDE9">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60FB134C" w14:textId="77777777">
            <w:pPr>
              <w:spacing w:after="0" w:line="240" w:lineRule="auto"/>
              <w:jc w:val="right"/>
              <w:rPr>
                <w:color w:val="000000"/>
                <w:sz w:val="14"/>
                <w:szCs w:val="14"/>
              </w:rPr>
            </w:pPr>
            <w:r w:rsidRPr="00A8196B">
              <w:rPr>
                <w:color w:val="000000"/>
                <w:sz w:val="14"/>
                <w:szCs w:val="14"/>
              </w:rPr>
              <w:t>2.000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B204738" w14:textId="00ABF2BD">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4058E571" w14:textId="77777777">
            <w:pPr>
              <w:spacing w:after="0" w:line="240" w:lineRule="auto"/>
              <w:jc w:val="right"/>
              <w:rPr>
                <w:color w:val="000000"/>
                <w:sz w:val="14"/>
                <w:szCs w:val="14"/>
              </w:rPr>
            </w:pPr>
            <w:r w:rsidRPr="00A8196B">
              <w:rPr>
                <w:color w:val="000000"/>
                <w:sz w:val="14"/>
                <w:szCs w:val="14"/>
              </w:rPr>
              <w:t>2.000</w:t>
            </w:r>
          </w:p>
        </w:tc>
      </w:tr>
      <w:tr w14:paraId="5FE59913"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36227EE" w14:textId="77777777">
            <w:pPr>
              <w:spacing w:after="0" w:line="240" w:lineRule="auto"/>
              <w:rPr>
                <w:color w:val="000000"/>
                <w:sz w:val="14"/>
                <w:szCs w:val="14"/>
              </w:rPr>
            </w:pPr>
            <w:r w:rsidRPr="00A8196B">
              <w:rPr>
                <w:color w:val="000000"/>
                <w:sz w:val="14"/>
                <w:szCs w:val="14"/>
              </w:rPr>
              <w:t>d. Process Description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7A2B0CC" w14:textId="5F8BEDE3">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7656C0F"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8EF4F26" w14:textId="16320445">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2FBC1429" w14:textId="77777777">
            <w:pPr>
              <w:spacing w:after="0" w:line="240" w:lineRule="auto"/>
              <w:jc w:val="right"/>
              <w:rPr>
                <w:color w:val="000000"/>
                <w:sz w:val="14"/>
                <w:szCs w:val="14"/>
              </w:rPr>
            </w:pPr>
            <w:r w:rsidRPr="00A8196B">
              <w:rPr>
                <w:color w:val="000000"/>
                <w:sz w:val="14"/>
                <w:szCs w:val="14"/>
              </w:rPr>
              <w:t>11.000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D5E3AF1" w14:textId="17DA921A">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308056C"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5C4B9DA" w14:textId="3723AA6A">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471AD430" w14:textId="77777777">
            <w:pPr>
              <w:spacing w:after="0" w:line="240" w:lineRule="auto"/>
              <w:jc w:val="right"/>
              <w:rPr>
                <w:color w:val="000000"/>
                <w:sz w:val="14"/>
                <w:szCs w:val="14"/>
              </w:rPr>
            </w:pPr>
            <w:r w:rsidRPr="00A8196B">
              <w:rPr>
                <w:color w:val="000000"/>
                <w:sz w:val="14"/>
                <w:szCs w:val="14"/>
              </w:rPr>
              <w:t>11.000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B4B06CF" w14:textId="6E4D7C79">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8511714"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9EF390D" w14:textId="2DAD113D">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96C78F3" w14:textId="77777777">
            <w:pPr>
              <w:spacing w:after="0" w:line="240" w:lineRule="auto"/>
              <w:jc w:val="right"/>
              <w:rPr>
                <w:color w:val="000000"/>
                <w:sz w:val="14"/>
                <w:szCs w:val="14"/>
              </w:rPr>
            </w:pPr>
            <w:r w:rsidRPr="00A8196B">
              <w:rPr>
                <w:color w:val="000000"/>
                <w:sz w:val="14"/>
                <w:szCs w:val="14"/>
              </w:rPr>
              <w:t>11.000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168B1DC" w14:textId="637B1E8F">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487C0583"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8EC3C18" w14:textId="05504625">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79CA45D3" w14:textId="77777777">
            <w:pPr>
              <w:spacing w:after="0" w:line="240" w:lineRule="auto"/>
              <w:jc w:val="right"/>
              <w:rPr>
                <w:color w:val="000000"/>
                <w:sz w:val="14"/>
                <w:szCs w:val="14"/>
              </w:rPr>
            </w:pPr>
            <w:r w:rsidRPr="00A8196B">
              <w:rPr>
                <w:color w:val="000000"/>
                <w:sz w:val="14"/>
                <w:szCs w:val="14"/>
              </w:rPr>
              <w:t>11.000</w:t>
            </w:r>
          </w:p>
        </w:tc>
      </w:tr>
      <w:tr w14:paraId="5069C6FB"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62E5DA0" w14:textId="77777777">
            <w:pPr>
              <w:spacing w:after="0" w:line="240" w:lineRule="auto"/>
              <w:rPr>
                <w:color w:val="000000"/>
                <w:sz w:val="14"/>
                <w:szCs w:val="14"/>
              </w:rPr>
            </w:pPr>
            <w:r w:rsidRPr="00A8196B">
              <w:rPr>
                <w:color w:val="000000"/>
                <w:sz w:val="14"/>
                <w:szCs w:val="14"/>
              </w:rPr>
              <w:t>2. Occupational Exposure</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BCA6FEF" w14:textId="739FA605">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034EF20" w14:textId="77777777">
            <w:pPr>
              <w:spacing w:after="0" w:line="240" w:lineRule="auto"/>
              <w:jc w:val="right"/>
              <w:rPr>
                <w:color w:val="000000"/>
                <w:sz w:val="14"/>
                <w:szCs w:val="14"/>
              </w:rPr>
            </w:pPr>
            <w:r w:rsidRPr="00A8196B">
              <w:rPr>
                <w:color w:val="000000"/>
                <w:sz w:val="14"/>
                <w:szCs w:val="14"/>
              </w:rPr>
              <w:t>13.500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9C68D84" w14:textId="4EB110F1">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12FFA91" w14:textId="77777777">
            <w:pPr>
              <w:spacing w:after="0" w:line="240" w:lineRule="auto"/>
              <w:jc w:val="right"/>
              <w:rPr>
                <w:color w:val="000000"/>
                <w:sz w:val="14"/>
                <w:szCs w:val="14"/>
              </w:rPr>
            </w:pPr>
            <w:r w:rsidRPr="00A8196B">
              <w:rPr>
                <w:color w:val="000000"/>
                <w:sz w:val="14"/>
                <w:szCs w:val="14"/>
              </w:rPr>
              <w:t>13.500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8AC3896" w14:textId="79E3C297">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20396E6" w14:textId="77777777">
            <w:pPr>
              <w:spacing w:after="0" w:line="240" w:lineRule="auto"/>
              <w:jc w:val="right"/>
              <w:rPr>
                <w:color w:val="000000"/>
                <w:sz w:val="14"/>
                <w:szCs w:val="14"/>
              </w:rPr>
            </w:pPr>
            <w:r w:rsidRPr="00A8196B">
              <w:rPr>
                <w:color w:val="000000"/>
                <w:sz w:val="14"/>
                <w:szCs w:val="14"/>
              </w:rPr>
              <w:t>13.500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EC0FB0B" w14:textId="31AD2147">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1C6B8C12" w14:textId="77777777">
            <w:pPr>
              <w:spacing w:after="0" w:line="240" w:lineRule="auto"/>
              <w:jc w:val="right"/>
              <w:rPr>
                <w:color w:val="000000"/>
                <w:sz w:val="14"/>
                <w:szCs w:val="14"/>
              </w:rPr>
            </w:pPr>
            <w:r w:rsidRPr="00A8196B">
              <w:rPr>
                <w:color w:val="000000"/>
                <w:sz w:val="14"/>
                <w:szCs w:val="14"/>
              </w:rPr>
              <w:t>13.500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4E9556B" w14:textId="59E27589">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67EE3A1" w14:textId="77777777">
            <w:pPr>
              <w:spacing w:after="0" w:line="240" w:lineRule="auto"/>
              <w:jc w:val="right"/>
              <w:rPr>
                <w:color w:val="000000"/>
                <w:sz w:val="14"/>
                <w:szCs w:val="14"/>
              </w:rPr>
            </w:pPr>
            <w:r w:rsidRPr="00A8196B">
              <w:rPr>
                <w:color w:val="000000"/>
                <w:sz w:val="14"/>
                <w:szCs w:val="14"/>
              </w:rPr>
              <w:t>13.500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CEF77B3" w14:textId="5FC3F351">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9CFCA31" w14:textId="77777777">
            <w:pPr>
              <w:spacing w:after="0" w:line="240" w:lineRule="auto"/>
              <w:jc w:val="right"/>
              <w:rPr>
                <w:color w:val="000000"/>
                <w:sz w:val="14"/>
                <w:szCs w:val="14"/>
              </w:rPr>
            </w:pPr>
            <w:r w:rsidRPr="00A8196B">
              <w:rPr>
                <w:color w:val="000000"/>
                <w:sz w:val="14"/>
                <w:szCs w:val="14"/>
              </w:rPr>
              <w:t>13.500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38CB489" w14:textId="7B5A4F80">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37F6B3A0" w14:textId="77777777">
            <w:pPr>
              <w:spacing w:after="0" w:line="240" w:lineRule="auto"/>
              <w:jc w:val="right"/>
              <w:rPr>
                <w:color w:val="000000"/>
                <w:sz w:val="14"/>
                <w:szCs w:val="14"/>
              </w:rPr>
            </w:pPr>
            <w:r w:rsidRPr="00A8196B">
              <w:rPr>
                <w:color w:val="000000"/>
                <w:sz w:val="14"/>
                <w:szCs w:val="14"/>
              </w:rPr>
              <w:t>13.500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E55E263" w14:textId="52A8E2FA">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0FDA9A9A" w14:textId="77777777">
            <w:pPr>
              <w:spacing w:after="0" w:line="240" w:lineRule="auto"/>
              <w:jc w:val="right"/>
              <w:rPr>
                <w:color w:val="000000"/>
                <w:sz w:val="14"/>
                <w:szCs w:val="14"/>
              </w:rPr>
            </w:pPr>
            <w:r w:rsidRPr="00A8196B">
              <w:rPr>
                <w:color w:val="000000"/>
                <w:sz w:val="14"/>
                <w:szCs w:val="14"/>
              </w:rPr>
              <w:t>13.500</w:t>
            </w:r>
          </w:p>
        </w:tc>
      </w:tr>
      <w:tr w14:paraId="60E6D02A"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5037E81" w14:textId="77777777">
            <w:pPr>
              <w:spacing w:after="0" w:line="240" w:lineRule="auto"/>
              <w:rPr>
                <w:color w:val="000000"/>
                <w:sz w:val="14"/>
                <w:szCs w:val="14"/>
              </w:rPr>
            </w:pPr>
            <w:r w:rsidRPr="00A8196B">
              <w:rPr>
                <w:color w:val="000000"/>
                <w:sz w:val="14"/>
                <w:szCs w:val="14"/>
              </w:rPr>
              <w:t>3. Environmental Release and Disposal</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218BCE1" w14:textId="341865DD">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A12EF69" w14:textId="77777777">
            <w:pPr>
              <w:spacing w:after="0" w:line="240" w:lineRule="auto"/>
              <w:jc w:val="right"/>
              <w:rPr>
                <w:color w:val="000000"/>
                <w:sz w:val="14"/>
                <w:szCs w:val="14"/>
              </w:rPr>
            </w:pPr>
            <w:r w:rsidRPr="00A8196B">
              <w:rPr>
                <w:color w:val="000000"/>
                <w:sz w:val="14"/>
                <w:szCs w:val="14"/>
              </w:rPr>
              <w:t>9.500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37769BD" w14:textId="2708AF5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7201BEE" w14:textId="77777777">
            <w:pPr>
              <w:spacing w:after="0" w:line="240" w:lineRule="auto"/>
              <w:jc w:val="right"/>
              <w:rPr>
                <w:color w:val="000000"/>
                <w:sz w:val="14"/>
                <w:szCs w:val="14"/>
              </w:rPr>
            </w:pPr>
            <w:r w:rsidRPr="00A8196B">
              <w:rPr>
                <w:color w:val="000000"/>
                <w:sz w:val="14"/>
                <w:szCs w:val="14"/>
              </w:rPr>
              <w:t>9.500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5DC29A4" w14:textId="133B9791">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A364A8D" w14:textId="77777777">
            <w:pPr>
              <w:spacing w:after="0" w:line="240" w:lineRule="auto"/>
              <w:jc w:val="right"/>
              <w:rPr>
                <w:color w:val="000000"/>
                <w:sz w:val="14"/>
                <w:szCs w:val="14"/>
              </w:rPr>
            </w:pPr>
            <w:r w:rsidRPr="00A8196B">
              <w:rPr>
                <w:color w:val="000000"/>
                <w:sz w:val="14"/>
                <w:szCs w:val="14"/>
              </w:rPr>
              <w:t>9.500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FD6D21E" w14:textId="70324BEC">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6F47D35D" w14:textId="77777777">
            <w:pPr>
              <w:spacing w:after="0" w:line="240" w:lineRule="auto"/>
              <w:jc w:val="right"/>
              <w:rPr>
                <w:color w:val="000000"/>
                <w:sz w:val="14"/>
                <w:szCs w:val="14"/>
              </w:rPr>
            </w:pPr>
            <w:r w:rsidRPr="00A8196B">
              <w:rPr>
                <w:color w:val="000000"/>
                <w:sz w:val="14"/>
                <w:szCs w:val="14"/>
              </w:rPr>
              <w:t>9.500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1848A67" w14:textId="54978A0E">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4BE4F62" w14:textId="77777777">
            <w:pPr>
              <w:spacing w:after="0" w:line="240" w:lineRule="auto"/>
              <w:jc w:val="right"/>
              <w:rPr>
                <w:color w:val="000000"/>
                <w:sz w:val="14"/>
                <w:szCs w:val="14"/>
              </w:rPr>
            </w:pPr>
            <w:r w:rsidRPr="00A8196B">
              <w:rPr>
                <w:color w:val="000000"/>
                <w:sz w:val="14"/>
                <w:szCs w:val="14"/>
              </w:rPr>
              <w:t>9.500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3F844C2" w14:textId="54981586">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6729E5D" w14:textId="77777777">
            <w:pPr>
              <w:spacing w:after="0" w:line="240" w:lineRule="auto"/>
              <w:jc w:val="right"/>
              <w:rPr>
                <w:color w:val="000000"/>
                <w:sz w:val="14"/>
                <w:szCs w:val="14"/>
              </w:rPr>
            </w:pPr>
            <w:r w:rsidRPr="00A8196B">
              <w:rPr>
                <w:color w:val="000000"/>
                <w:sz w:val="14"/>
                <w:szCs w:val="14"/>
              </w:rPr>
              <w:t>9.500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6325876" w14:textId="697E98BC">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74787850" w14:textId="77777777">
            <w:pPr>
              <w:spacing w:after="0" w:line="240" w:lineRule="auto"/>
              <w:jc w:val="right"/>
              <w:rPr>
                <w:color w:val="000000"/>
                <w:sz w:val="14"/>
                <w:szCs w:val="14"/>
              </w:rPr>
            </w:pPr>
            <w:r w:rsidRPr="00A8196B">
              <w:rPr>
                <w:color w:val="000000"/>
                <w:sz w:val="14"/>
                <w:szCs w:val="14"/>
              </w:rPr>
              <w:t>9.500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CAC7FE9" w14:textId="38B64315">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0B3E863" w14:textId="77777777">
            <w:pPr>
              <w:spacing w:after="0" w:line="240" w:lineRule="auto"/>
              <w:jc w:val="right"/>
              <w:rPr>
                <w:color w:val="000000"/>
                <w:sz w:val="14"/>
                <w:szCs w:val="14"/>
              </w:rPr>
            </w:pPr>
            <w:r w:rsidRPr="00A8196B">
              <w:rPr>
                <w:color w:val="000000"/>
                <w:sz w:val="14"/>
                <w:szCs w:val="14"/>
              </w:rPr>
              <w:t>9.500</w:t>
            </w:r>
          </w:p>
        </w:tc>
      </w:tr>
      <w:tr w14:paraId="7E48BC62"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11CCCFED" w14:textId="77777777">
            <w:pPr>
              <w:spacing w:after="0" w:line="240" w:lineRule="auto"/>
              <w:rPr>
                <w:color w:val="000000"/>
                <w:sz w:val="14"/>
                <w:szCs w:val="14"/>
              </w:rPr>
            </w:pPr>
            <w:r w:rsidRPr="00A8196B">
              <w:rPr>
                <w:color w:val="000000"/>
                <w:sz w:val="14"/>
                <w:szCs w:val="14"/>
              </w:rPr>
              <w:t>B. Industrial Sites Controlled by Others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9516374" w14:textId="77777777">
            <w:pPr>
              <w:spacing w:after="0" w:line="240" w:lineRule="auto"/>
              <w:jc w:val="right"/>
              <w:rPr>
                <w:color w:val="000000"/>
                <w:sz w:val="14"/>
                <w:szCs w:val="14"/>
              </w:rPr>
            </w:pPr>
            <w:r w:rsidRPr="00A8196B">
              <w:rPr>
                <w:color w:val="000000"/>
                <w:sz w:val="14"/>
                <w:szCs w:val="14"/>
              </w:rPr>
              <w:t>2.000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261475C"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8FB75C1" w14:textId="77777777">
            <w:pPr>
              <w:spacing w:after="0" w:line="240" w:lineRule="auto"/>
              <w:jc w:val="right"/>
              <w:rPr>
                <w:color w:val="000000"/>
                <w:sz w:val="14"/>
                <w:szCs w:val="14"/>
              </w:rPr>
            </w:pPr>
            <w:r w:rsidRPr="00A8196B">
              <w:rPr>
                <w:color w:val="000000"/>
                <w:sz w:val="14"/>
                <w:szCs w:val="14"/>
              </w:rPr>
              <w:t>2.250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1E14514" w14:textId="77777777">
            <w:pPr>
              <w:spacing w:after="0" w:line="240" w:lineRule="auto"/>
              <w:jc w:val="right"/>
              <w:rPr>
                <w:color w:val="000000"/>
                <w:sz w:val="14"/>
                <w:szCs w:val="14"/>
              </w:rPr>
            </w:pPr>
            <w:r w:rsidRPr="00A8196B">
              <w:rPr>
                <w:color w:val="000000"/>
                <w:sz w:val="14"/>
                <w:szCs w:val="14"/>
              </w:rPr>
              <w:t>15.250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A23F38C"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0430F2F"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7AA694D" w14:textId="77777777">
            <w:pPr>
              <w:spacing w:after="0" w:line="240" w:lineRule="auto"/>
              <w:jc w:val="right"/>
              <w:rPr>
                <w:color w:val="000000"/>
                <w:sz w:val="14"/>
                <w:szCs w:val="14"/>
              </w:rPr>
            </w:pPr>
            <w:r w:rsidRPr="00A8196B">
              <w:rPr>
                <w:color w:val="000000"/>
                <w:sz w:val="14"/>
                <w:szCs w:val="14"/>
              </w:rPr>
              <w:t>2.250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F965FAD" w14:textId="77777777">
            <w:pPr>
              <w:spacing w:after="0" w:line="240" w:lineRule="auto"/>
              <w:jc w:val="right"/>
              <w:rPr>
                <w:color w:val="000000"/>
                <w:sz w:val="14"/>
                <w:szCs w:val="14"/>
              </w:rPr>
            </w:pPr>
            <w:r w:rsidRPr="00A8196B">
              <w:rPr>
                <w:color w:val="000000"/>
                <w:sz w:val="14"/>
                <w:szCs w:val="14"/>
              </w:rPr>
              <w:t>13.250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6E14C3C"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C367235"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FC86858" w14:textId="77777777">
            <w:pPr>
              <w:spacing w:after="0" w:line="240" w:lineRule="auto"/>
              <w:jc w:val="right"/>
              <w:rPr>
                <w:color w:val="000000"/>
                <w:sz w:val="14"/>
                <w:szCs w:val="14"/>
              </w:rPr>
            </w:pPr>
            <w:r w:rsidRPr="00A8196B">
              <w:rPr>
                <w:color w:val="000000"/>
                <w:sz w:val="14"/>
                <w:szCs w:val="14"/>
              </w:rPr>
              <w:t>2.250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657D301" w14:textId="77777777">
            <w:pPr>
              <w:spacing w:after="0" w:line="240" w:lineRule="auto"/>
              <w:jc w:val="right"/>
              <w:rPr>
                <w:color w:val="000000"/>
                <w:sz w:val="14"/>
                <w:szCs w:val="14"/>
              </w:rPr>
            </w:pPr>
            <w:r w:rsidRPr="00A8196B">
              <w:rPr>
                <w:color w:val="000000"/>
                <w:sz w:val="14"/>
                <w:szCs w:val="14"/>
              </w:rPr>
              <w:t>13.250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246C1CE"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6F85B9A6" w14:textId="77777777">
            <w:pPr>
              <w:spacing w:after="0" w:line="240" w:lineRule="auto"/>
              <w:jc w:val="right"/>
              <w:rPr>
                <w:color w:val="000000"/>
                <w:sz w:val="14"/>
                <w:szCs w:val="14"/>
              </w:rPr>
            </w:pPr>
            <w:r w:rsidRPr="00A8196B">
              <w:rPr>
                <w:color w:val="000000"/>
                <w:sz w:val="14"/>
                <w:szCs w:val="14"/>
              </w:rPr>
              <w:t>11.000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8300FE3" w14:textId="77777777">
            <w:pPr>
              <w:spacing w:after="0" w:line="240" w:lineRule="auto"/>
              <w:jc w:val="right"/>
              <w:rPr>
                <w:color w:val="000000"/>
                <w:sz w:val="14"/>
                <w:szCs w:val="14"/>
              </w:rPr>
            </w:pPr>
            <w:r w:rsidRPr="00A8196B">
              <w:rPr>
                <w:color w:val="000000"/>
                <w:sz w:val="14"/>
                <w:szCs w:val="14"/>
              </w:rPr>
              <w:t>2.250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66DE6EAC" w14:textId="77777777">
            <w:pPr>
              <w:spacing w:after="0" w:line="240" w:lineRule="auto"/>
              <w:jc w:val="right"/>
              <w:rPr>
                <w:color w:val="000000"/>
                <w:sz w:val="14"/>
                <w:szCs w:val="14"/>
              </w:rPr>
            </w:pPr>
            <w:r w:rsidRPr="00A8196B">
              <w:rPr>
                <w:color w:val="000000"/>
                <w:sz w:val="14"/>
                <w:szCs w:val="14"/>
              </w:rPr>
              <w:t>13.250</w:t>
            </w:r>
          </w:p>
        </w:tc>
      </w:tr>
      <w:tr w14:paraId="73C409D2"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476FFE20" w14:textId="77777777">
            <w:pPr>
              <w:spacing w:after="0" w:line="240" w:lineRule="auto"/>
              <w:rPr>
                <w:color w:val="000000"/>
                <w:sz w:val="14"/>
                <w:szCs w:val="14"/>
              </w:rPr>
            </w:pPr>
            <w:r w:rsidRPr="00A8196B">
              <w:rPr>
                <w:color w:val="000000"/>
                <w:sz w:val="14"/>
                <w:szCs w:val="14"/>
              </w:rPr>
              <w:t>1. Operation Description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E74FBA6" w14:textId="43384DDA">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8E6E9F7" w14:textId="620F7A23">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DAAA0B1" w14:textId="06CD77AC">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5E378BA" w14:textId="1374A4A1">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29B238F" w14:textId="7CDC6F3B">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4AFC9F7" w14:textId="2FA413DC">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6E3D83C" w14:textId="449AA847">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5DEB358F" w14:textId="7C367EF6">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3729EE5" w14:textId="51B19508">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F4678E6" w14:textId="24AF42E1">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D991B38" w14:textId="72A56596">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5B6235E" w14:textId="4E372001">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7776F77" w14:textId="33D3B196">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7BFC0969" w14:textId="5B509E8F">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F01F18A" w14:textId="3EDFB056">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589C004A" w14:textId="267CABA9">
            <w:pPr>
              <w:spacing w:after="0" w:line="240" w:lineRule="auto"/>
              <w:jc w:val="right"/>
              <w:rPr>
                <w:color w:val="000000"/>
                <w:sz w:val="14"/>
                <w:szCs w:val="14"/>
              </w:rPr>
            </w:pPr>
          </w:p>
        </w:tc>
      </w:tr>
      <w:tr w14:paraId="7BBF4C65"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42B9AF8E" w14:textId="77777777">
            <w:pPr>
              <w:spacing w:after="0" w:line="240" w:lineRule="auto"/>
              <w:rPr>
                <w:color w:val="000000"/>
                <w:sz w:val="14"/>
                <w:szCs w:val="14"/>
              </w:rPr>
            </w:pPr>
            <w:r w:rsidRPr="00A8196B">
              <w:rPr>
                <w:color w:val="000000"/>
                <w:sz w:val="14"/>
                <w:szCs w:val="14"/>
              </w:rPr>
              <w:t>2. Worker Exposure and Environmental Release</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890B493" w14:textId="17D232C3">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26C4B04" w14:textId="75F21770">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F86833C" w14:textId="637A112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6658A22" w14:textId="5CF113E8">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071256D" w14:textId="27958619">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FB58FBA" w14:textId="2E462641">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357B734" w14:textId="543655CB">
            <w:pPr>
              <w:spacing w:after="0" w:line="240" w:lineRule="auto"/>
              <w:jc w:val="right"/>
              <w:rPr>
                <w:color w:val="000000"/>
                <w:sz w:val="14"/>
                <w:szCs w:val="14"/>
              </w:rPr>
            </w:pP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571BF731" w14:textId="43861FD7">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6E70092" w14:textId="0B8065CF">
            <w:pPr>
              <w:spacing w:after="0" w:line="240" w:lineRule="auto"/>
              <w:jc w:val="right"/>
              <w:rPr>
                <w:color w:val="000000"/>
                <w:sz w:val="14"/>
                <w:szCs w:val="14"/>
              </w:rPr>
            </w:pP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70DBED9" w14:textId="57CE5C7D">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55F748E" w14:textId="22BEFA48">
            <w:pPr>
              <w:spacing w:after="0" w:line="240" w:lineRule="auto"/>
              <w:jc w:val="right"/>
              <w:rPr>
                <w:color w:val="000000"/>
                <w:sz w:val="14"/>
                <w:szCs w:val="14"/>
              </w:rPr>
            </w:pP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A0750BD" w14:textId="139471F4">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5B144E4" w14:textId="40E4504B">
            <w:pPr>
              <w:spacing w:after="0" w:line="240" w:lineRule="auto"/>
              <w:jc w:val="right"/>
              <w:rPr>
                <w:color w:val="000000"/>
                <w:sz w:val="14"/>
                <w:szCs w:val="14"/>
              </w:rPr>
            </w:pP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6CACBDAF" w14:textId="11E91EFF">
            <w:pPr>
              <w:spacing w:after="0" w:line="240" w:lineRule="auto"/>
              <w:jc w:val="right"/>
              <w:rPr>
                <w:color w:val="000000"/>
                <w:sz w:val="14"/>
                <w:szCs w:val="14"/>
              </w:rPr>
            </w:pP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9F5E121" w14:textId="3756D6A2">
            <w:pPr>
              <w:spacing w:after="0" w:line="240" w:lineRule="auto"/>
              <w:jc w:val="right"/>
              <w:rPr>
                <w:color w:val="000000"/>
                <w:sz w:val="14"/>
                <w:szCs w:val="14"/>
              </w:rPr>
            </w:pP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28CA80E3" w14:textId="1974CEF5">
            <w:pPr>
              <w:spacing w:after="0" w:line="240" w:lineRule="auto"/>
              <w:jc w:val="right"/>
              <w:rPr>
                <w:color w:val="000000"/>
                <w:sz w:val="14"/>
                <w:szCs w:val="14"/>
              </w:rPr>
            </w:pPr>
          </w:p>
        </w:tc>
      </w:tr>
      <w:tr w14:paraId="210CA876"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74E2A6EA" w14:textId="77777777">
            <w:pPr>
              <w:spacing w:after="0" w:line="240" w:lineRule="auto"/>
              <w:rPr>
                <w:color w:val="000000"/>
                <w:sz w:val="14"/>
                <w:szCs w:val="14"/>
              </w:rPr>
            </w:pPr>
            <w:r w:rsidRPr="00A8196B">
              <w:rPr>
                <w:color w:val="000000"/>
                <w:sz w:val="14"/>
                <w:szCs w:val="14"/>
              </w:rPr>
              <w:t>III. List of Attachments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62A5253" w14:textId="77777777">
            <w:pPr>
              <w:spacing w:after="0" w:line="240" w:lineRule="auto"/>
              <w:jc w:val="right"/>
              <w:rPr>
                <w:color w:val="000000"/>
                <w:sz w:val="14"/>
                <w:szCs w:val="14"/>
              </w:rPr>
            </w:pPr>
            <w:r w:rsidRPr="00A8196B">
              <w:rPr>
                <w:color w:val="000000"/>
                <w:sz w:val="14"/>
                <w:szCs w:val="14"/>
              </w:rPr>
              <w:t>2.000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0A5029C" w14:textId="77777777">
            <w:pPr>
              <w:spacing w:after="0" w:line="240" w:lineRule="auto"/>
              <w:jc w:val="right"/>
              <w:rPr>
                <w:color w:val="000000"/>
                <w:sz w:val="14"/>
                <w:szCs w:val="14"/>
              </w:rPr>
            </w:pPr>
            <w:r w:rsidRPr="00A8196B">
              <w:rPr>
                <w:color w:val="000000"/>
                <w:sz w:val="14"/>
                <w:szCs w:val="14"/>
              </w:rPr>
              <w:t>7.000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561E6F3" w14:textId="77777777">
            <w:pPr>
              <w:spacing w:after="0" w:line="240" w:lineRule="auto"/>
              <w:jc w:val="right"/>
              <w:rPr>
                <w:color w:val="000000"/>
                <w:sz w:val="14"/>
                <w:szCs w:val="14"/>
              </w:rPr>
            </w:pPr>
            <w:r w:rsidRPr="00A8196B">
              <w:rPr>
                <w:color w:val="000000"/>
                <w:sz w:val="14"/>
                <w:szCs w:val="14"/>
              </w:rPr>
              <w:t>1.250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37E5CEAC" w14:textId="77777777">
            <w:pPr>
              <w:spacing w:after="0" w:line="240" w:lineRule="auto"/>
              <w:jc w:val="right"/>
              <w:rPr>
                <w:color w:val="000000"/>
                <w:sz w:val="14"/>
                <w:szCs w:val="14"/>
              </w:rPr>
            </w:pPr>
            <w:r w:rsidRPr="00A8196B">
              <w:rPr>
                <w:color w:val="000000"/>
                <w:sz w:val="14"/>
                <w:szCs w:val="14"/>
              </w:rPr>
              <w:t>10.250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6366086"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F21A575" w14:textId="77777777">
            <w:pPr>
              <w:spacing w:after="0" w:line="240" w:lineRule="auto"/>
              <w:jc w:val="right"/>
              <w:rPr>
                <w:color w:val="000000"/>
                <w:sz w:val="14"/>
                <w:szCs w:val="14"/>
              </w:rPr>
            </w:pPr>
            <w:r w:rsidRPr="00A8196B">
              <w:rPr>
                <w:color w:val="000000"/>
                <w:sz w:val="14"/>
                <w:szCs w:val="14"/>
              </w:rPr>
              <w:t>7.000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8D55CDB" w14:textId="77777777">
            <w:pPr>
              <w:spacing w:after="0" w:line="240" w:lineRule="auto"/>
              <w:jc w:val="right"/>
              <w:rPr>
                <w:color w:val="000000"/>
                <w:sz w:val="14"/>
                <w:szCs w:val="14"/>
              </w:rPr>
            </w:pPr>
            <w:r w:rsidRPr="00A8196B">
              <w:rPr>
                <w:color w:val="000000"/>
                <w:sz w:val="14"/>
                <w:szCs w:val="14"/>
              </w:rPr>
              <w:t>1.250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2C58385E" w14:textId="77777777">
            <w:pPr>
              <w:spacing w:after="0" w:line="240" w:lineRule="auto"/>
              <w:jc w:val="right"/>
              <w:rPr>
                <w:color w:val="000000"/>
                <w:sz w:val="14"/>
                <w:szCs w:val="14"/>
              </w:rPr>
            </w:pPr>
            <w:r w:rsidRPr="00A8196B">
              <w:rPr>
                <w:color w:val="000000"/>
                <w:sz w:val="14"/>
                <w:szCs w:val="14"/>
              </w:rPr>
              <w:t>8.250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F773CE6"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C6819B9" w14:textId="77777777">
            <w:pPr>
              <w:spacing w:after="0" w:line="240" w:lineRule="auto"/>
              <w:jc w:val="right"/>
              <w:rPr>
                <w:color w:val="000000"/>
                <w:sz w:val="14"/>
                <w:szCs w:val="14"/>
              </w:rPr>
            </w:pPr>
            <w:r w:rsidRPr="00A8196B">
              <w:rPr>
                <w:color w:val="000000"/>
                <w:sz w:val="14"/>
                <w:szCs w:val="14"/>
              </w:rPr>
              <w:t>7.000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0AFA3B4" w14:textId="77777777">
            <w:pPr>
              <w:spacing w:after="0" w:line="240" w:lineRule="auto"/>
              <w:jc w:val="right"/>
              <w:rPr>
                <w:color w:val="000000"/>
                <w:sz w:val="14"/>
                <w:szCs w:val="14"/>
              </w:rPr>
            </w:pPr>
            <w:r w:rsidRPr="00A8196B">
              <w:rPr>
                <w:color w:val="000000"/>
                <w:sz w:val="14"/>
                <w:szCs w:val="14"/>
              </w:rPr>
              <w:t>1.250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D27ED88" w14:textId="77777777">
            <w:pPr>
              <w:spacing w:after="0" w:line="240" w:lineRule="auto"/>
              <w:jc w:val="right"/>
              <w:rPr>
                <w:color w:val="000000"/>
                <w:sz w:val="14"/>
                <w:szCs w:val="14"/>
              </w:rPr>
            </w:pPr>
            <w:r w:rsidRPr="00A8196B">
              <w:rPr>
                <w:color w:val="000000"/>
                <w:sz w:val="14"/>
                <w:szCs w:val="14"/>
              </w:rPr>
              <w:t>8.250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FD05CA3"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577EB813" w14:textId="77777777">
            <w:pPr>
              <w:spacing w:after="0" w:line="240" w:lineRule="auto"/>
              <w:jc w:val="right"/>
              <w:rPr>
                <w:color w:val="000000"/>
                <w:sz w:val="14"/>
                <w:szCs w:val="14"/>
              </w:rPr>
            </w:pPr>
            <w:r w:rsidRPr="00A8196B">
              <w:rPr>
                <w:color w:val="000000"/>
                <w:sz w:val="14"/>
                <w:szCs w:val="14"/>
              </w:rPr>
              <w:t>7.000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3688918" w14:textId="77777777">
            <w:pPr>
              <w:spacing w:after="0" w:line="240" w:lineRule="auto"/>
              <w:jc w:val="right"/>
              <w:rPr>
                <w:color w:val="000000"/>
                <w:sz w:val="14"/>
                <w:szCs w:val="14"/>
              </w:rPr>
            </w:pPr>
            <w:r w:rsidRPr="00A8196B">
              <w:rPr>
                <w:color w:val="000000"/>
                <w:sz w:val="14"/>
                <w:szCs w:val="14"/>
              </w:rPr>
              <w:t>1.250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4C602F8A" w14:textId="77777777">
            <w:pPr>
              <w:spacing w:after="0" w:line="240" w:lineRule="auto"/>
              <w:jc w:val="right"/>
              <w:rPr>
                <w:color w:val="000000"/>
                <w:sz w:val="14"/>
                <w:szCs w:val="14"/>
              </w:rPr>
            </w:pPr>
            <w:r w:rsidRPr="00A8196B">
              <w:rPr>
                <w:color w:val="000000"/>
                <w:sz w:val="14"/>
                <w:szCs w:val="14"/>
              </w:rPr>
              <w:t>8.250</w:t>
            </w:r>
          </w:p>
        </w:tc>
      </w:tr>
      <w:tr w14:paraId="322BA32D"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7DA77CD9" w14:textId="77777777">
            <w:pPr>
              <w:spacing w:after="0" w:line="240" w:lineRule="auto"/>
              <w:rPr>
                <w:color w:val="000000"/>
                <w:sz w:val="14"/>
                <w:szCs w:val="14"/>
              </w:rPr>
            </w:pPr>
            <w:r w:rsidRPr="00A8196B">
              <w:rPr>
                <w:color w:val="000000"/>
                <w:sz w:val="14"/>
                <w:szCs w:val="14"/>
              </w:rPr>
              <w:t>Physical and Chemical Properties Worksheet</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D6D83B3" w14:textId="77777777">
            <w:pPr>
              <w:spacing w:after="0" w:line="240" w:lineRule="auto"/>
              <w:jc w:val="right"/>
              <w:rPr>
                <w:color w:val="000000"/>
                <w:sz w:val="14"/>
                <w:szCs w:val="14"/>
              </w:rPr>
            </w:pPr>
            <w:r w:rsidRPr="00A8196B">
              <w:rPr>
                <w:color w:val="000000"/>
                <w:sz w:val="14"/>
                <w:szCs w:val="14"/>
              </w:rPr>
              <w:t>0.500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D622F0A"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AB35147" w14:textId="77777777">
            <w:pPr>
              <w:spacing w:after="0" w:line="240" w:lineRule="auto"/>
              <w:jc w:val="right"/>
              <w:rPr>
                <w:color w:val="000000"/>
                <w:sz w:val="14"/>
                <w:szCs w:val="14"/>
              </w:rPr>
            </w:pPr>
            <w:r w:rsidRPr="00A8196B">
              <w:rPr>
                <w:color w:val="000000"/>
                <w:sz w:val="14"/>
                <w:szCs w:val="14"/>
              </w:rPr>
              <w:t>0.500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C41BE94" w14:textId="77777777">
            <w:pPr>
              <w:spacing w:after="0" w:line="240" w:lineRule="auto"/>
              <w:jc w:val="right"/>
              <w:rPr>
                <w:color w:val="000000"/>
                <w:sz w:val="14"/>
                <w:szCs w:val="14"/>
              </w:rPr>
            </w:pPr>
            <w:r w:rsidRPr="00A8196B">
              <w:rPr>
                <w:color w:val="000000"/>
                <w:sz w:val="14"/>
                <w:szCs w:val="14"/>
              </w:rPr>
              <w:t>2.750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138E692"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EF2285D"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B03298A" w14:textId="77777777">
            <w:pPr>
              <w:spacing w:after="0" w:line="240" w:lineRule="auto"/>
              <w:jc w:val="right"/>
              <w:rPr>
                <w:color w:val="000000"/>
                <w:sz w:val="14"/>
                <w:szCs w:val="14"/>
              </w:rPr>
            </w:pPr>
            <w:r w:rsidRPr="00A8196B">
              <w:rPr>
                <w:color w:val="000000"/>
                <w:sz w:val="14"/>
                <w:szCs w:val="14"/>
              </w:rPr>
              <w:t>0.500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535D5DFC" w14:textId="77777777">
            <w:pPr>
              <w:spacing w:after="0" w:line="240" w:lineRule="auto"/>
              <w:jc w:val="right"/>
              <w:rPr>
                <w:color w:val="000000"/>
                <w:sz w:val="14"/>
                <w:szCs w:val="14"/>
              </w:rPr>
            </w:pPr>
            <w:r w:rsidRPr="00A8196B">
              <w:rPr>
                <w:color w:val="000000"/>
                <w:sz w:val="14"/>
                <w:szCs w:val="14"/>
              </w:rPr>
              <w:t>2.250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FEB77FF"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767373F"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DBF3BE9" w14:textId="77777777">
            <w:pPr>
              <w:spacing w:after="0" w:line="240" w:lineRule="auto"/>
              <w:jc w:val="right"/>
              <w:rPr>
                <w:color w:val="000000"/>
                <w:sz w:val="14"/>
                <w:szCs w:val="14"/>
              </w:rPr>
            </w:pPr>
            <w:r w:rsidRPr="00A8196B">
              <w:rPr>
                <w:color w:val="000000"/>
                <w:sz w:val="14"/>
                <w:szCs w:val="14"/>
              </w:rPr>
              <w:t>0.500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C6A3330" w14:textId="77777777">
            <w:pPr>
              <w:spacing w:after="0" w:line="240" w:lineRule="auto"/>
              <w:jc w:val="right"/>
              <w:rPr>
                <w:color w:val="000000"/>
                <w:sz w:val="14"/>
                <w:szCs w:val="14"/>
              </w:rPr>
            </w:pPr>
            <w:r w:rsidRPr="00A8196B">
              <w:rPr>
                <w:color w:val="000000"/>
                <w:sz w:val="14"/>
                <w:szCs w:val="14"/>
              </w:rPr>
              <w:t>2.250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13A6E3C"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19A3DDAC" w14:textId="77777777">
            <w:pPr>
              <w:spacing w:after="0" w:line="240" w:lineRule="auto"/>
              <w:jc w:val="right"/>
              <w:rPr>
                <w:color w:val="000000"/>
                <w:sz w:val="14"/>
                <w:szCs w:val="14"/>
              </w:rPr>
            </w:pPr>
            <w:r w:rsidRPr="00A8196B">
              <w:rPr>
                <w:color w:val="000000"/>
                <w:sz w:val="14"/>
                <w:szCs w:val="14"/>
              </w:rPr>
              <w:t>1.750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E7BDC36" w14:textId="77777777">
            <w:pPr>
              <w:spacing w:after="0" w:line="240" w:lineRule="auto"/>
              <w:jc w:val="right"/>
              <w:rPr>
                <w:color w:val="000000"/>
                <w:sz w:val="14"/>
                <w:szCs w:val="14"/>
              </w:rPr>
            </w:pPr>
            <w:r w:rsidRPr="00A8196B">
              <w:rPr>
                <w:color w:val="000000"/>
                <w:sz w:val="14"/>
                <w:szCs w:val="14"/>
              </w:rPr>
              <w:t>0.500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30BBDD75" w14:textId="77777777">
            <w:pPr>
              <w:spacing w:after="0" w:line="240" w:lineRule="auto"/>
              <w:jc w:val="right"/>
              <w:rPr>
                <w:color w:val="000000"/>
                <w:sz w:val="14"/>
                <w:szCs w:val="14"/>
              </w:rPr>
            </w:pPr>
            <w:r w:rsidRPr="00A8196B">
              <w:rPr>
                <w:color w:val="000000"/>
                <w:sz w:val="14"/>
                <w:szCs w:val="14"/>
              </w:rPr>
              <w:t>2.250</w:t>
            </w:r>
          </w:p>
        </w:tc>
      </w:tr>
      <w:tr w14:paraId="124AF6E3" w14:textId="77777777" w:rsidTr="00F75C07">
        <w:tblPrEx>
          <w:tblW w:w="5000" w:type="pct"/>
          <w:tblLayout w:type="fixed"/>
          <w:tblCellMar>
            <w:left w:w="58" w:type="dxa"/>
            <w:right w:w="58" w:type="dxa"/>
          </w:tblCellMar>
          <w:tblLook w:val="04A0"/>
        </w:tblPrEx>
        <w:tc>
          <w:tcPr>
            <w:tcW w:w="14400" w:type="dxa"/>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4F1FCEBD" w14:textId="77777777">
            <w:pPr>
              <w:spacing w:after="0" w:line="240" w:lineRule="auto"/>
              <w:rPr>
                <w:b/>
                <w:color w:val="000000"/>
                <w:sz w:val="14"/>
                <w:szCs w:val="14"/>
              </w:rPr>
            </w:pPr>
            <w:r w:rsidRPr="00A8196B">
              <w:rPr>
                <w:b/>
                <w:color w:val="000000"/>
                <w:sz w:val="14"/>
                <w:szCs w:val="14"/>
              </w:rPr>
              <w:t>New Form Fields in 2009 EA</w:t>
            </w:r>
          </w:p>
        </w:tc>
      </w:tr>
      <w:tr w14:paraId="7DED15D5"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0EE2E37" w14:textId="77777777">
            <w:pPr>
              <w:spacing w:after="0" w:line="240" w:lineRule="auto"/>
              <w:rPr>
                <w:color w:val="000000"/>
                <w:sz w:val="14"/>
                <w:szCs w:val="14"/>
              </w:rPr>
            </w:pPr>
            <w:r w:rsidRPr="00A8196B">
              <w:rPr>
                <w:color w:val="000000"/>
                <w:sz w:val="14"/>
                <w:szCs w:val="14"/>
              </w:rPr>
              <w:t>User Fee Payment Number</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C6FE653"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BE3B8AC"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A307301"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3FB8C302" w14:textId="31345922">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E1DEECE"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D5F2ED3" w14:textId="77777777">
            <w:pPr>
              <w:spacing w:after="0" w:line="240" w:lineRule="auto"/>
              <w:jc w:val="right"/>
              <w:rPr>
                <w:color w:val="000000"/>
                <w:sz w:val="14"/>
                <w:szCs w:val="14"/>
              </w:rPr>
            </w:pPr>
            <w:r w:rsidRPr="00A8196B">
              <w:rPr>
                <w:color w:val="000000"/>
                <w:sz w:val="14"/>
                <w:szCs w:val="14"/>
              </w:rPr>
              <w:t>0.167</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7943442"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6BA5BF7C" w14:textId="77777777">
            <w:pPr>
              <w:spacing w:after="0" w:line="240" w:lineRule="auto"/>
              <w:jc w:val="right"/>
              <w:rPr>
                <w:color w:val="000000"/>
                <w:sz w:val="14"/>
                <w:szCs w:val="14"/>
              </w:rPr>
            </w:pPr>
            <w:r w:rsidRPr="00A8196B">
              <w:rPr>
                <w:color w:val="000000"/>
                <w:sz w:val="14"/>
                <w:szCs w:val="14"/>
              </w:rPr>
              <w:t>0.167</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0AFED62"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832B3D4" w14:textId="77777777">
            <w:pPr>
              <w:spacing w:after="0" w:line="240" w:lineRule="auto"/>
              <w:jc w:val="right"/>
              <w:rPr>
                <w:color w:val="000000"/>
                <w:sz w:val="14"/>
                <w:szCs w:val="14"/>
              </w:rPr>
            </w:pPr>
            <w:r w:rsidRPr="00A8196B">
              <w:rPr>
                <w:color w:val="000000"/>
                <w:sz w:val="14"/>
                <w:szCs w:val="14"/>
              </w:rPr>
              <w:t>0.167</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C297CB9"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EA27B3A" w14:textId="77777777">
            <w:pPr>
              <w:spacing w:after="0" w:line="240" w:lineRule="auto"/>
              <w:jc w:val="right"/>
              <w:rPr>
                <w:color w:val="000000"/>
                <w:sz w:val="14"/>
                <w:szCs w:val="14"/>
              </w:rPr>
            </w:pPr>
            <w:r w:rsidRPr="00A8196B">
              <w:rPr>
                <w:color w:val="000000"/>
                <w:sz w:val="14"/>
                <w:szCs w:val="14"/>
              </w:rPr>
              <w:t>0.167</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A5E5EDA"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5169918F" w14:textId="77777777">
            <w:pPr>
              <w:spacing w:after="0" w:line="240" w:lineRule="auto"/>
              <w:jc w:val="right"/>
              <w:rPr>
                <w:color w:val="000000"/>
                <w:sz w:val="14"/>
                <w:szCs w:val="14"/>
              </w:rPr>
            </w:pPr>
            <w:r w:rsidRPr="00A8196B">
              <w:rPr>
                <w:color w:val="000000"/>
                <w:sz w:val="14"/>
                <w:szCs w:val="14"/>
              </w:rPr>
              <w:t>0.167</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A01F5E9"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843D91E" w14:textId="77777777">
            <w:pPr>
              <w:spacing w:after="0" w:line="240" w:lineRule="auto"/>
              <w:jc w:val="right"/>
              <w:rPr>
                <w:color w:val="000000"/>
                <w:sz w:val="14"/>
                <w:szCs w:val="14"/>
              </w:rPr>
            </w:pPr>
            <w:r w:rsidRPr="00A8196B">
              <w:rPr>
                <w:color w:val="000000"/>
                <w:sz w:val="14"/>
                <w:szCs w:val="14"/>
              </w:rPr>
              <w:t>0.167</w:t>
            </w:r>
          </w:p>
        </w:tc>
      </w:tr>
      <w:tr w14:paraId="3C19778E"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B6B8697" w14:textId="77777777">
            <w:pPr>
              <w:spacing w:after="0" w:line="240" w:lineRule="auto"/>
              <w:rPr>
                <w:color w:val="000000"/>
                <w:sz w:val="14"/>
                <w:szCs w:val="14"/>
              </w:rPr>
            </w:pPr>
            <w:r w:rsidRPr="00A8196B">
              <w:rPr>
                <w:color w:val="000000"/>
                <w:sz w:val="14"/>
                <w:szCs w:val="14"/>
              </w:rPr>
              <w:t>Email address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7170C39"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A3CB77C"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657BC2E"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EDB0A06" w14:textId="404C35CF">
            <w:pPr>
              <w:spacing w:after="0" w:line="240" w:lineRule="auto"/>
              <w:jc w:val="right"/>
              <w:rPr>
                <w:color w:val="000000"/>
                <w:sz w:val="14"/>
                <w:szCs w:val="14"/>
              </w:rPr>
            </w:pP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41C75CD"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2E0096C" w14:textId="77777777">
            <w:pPr>
              <w:spacing w:after="0" w:line="240" w:lineRule="auto"/>
              <w:jc w:val="right"/>
              <w:rPr>
                <w:color w:val="000000"/>
                <w:sz w:val="14"/>
                <w:szCs w:val="14"/>
              </w:rPr>
            </w:pPr>
            <w:r w:rsidRPr="00A8196B">
              <w:rPr>
                <w:color w:val="000000"/>
                <w:sz w:val="14"/>
                <w:szCs w:val="14"/>
              </w:rPr>
              <w:t>0.017</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7D646CF"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62672D1E" w14:textId="77777777">
            <w:pPr>
              <w:spacing w:after="0" w:line="240" w:lineRule="auto"/>
              <w:jc w:val="right"/>
              <w:rPr>
                <w:color w:val="000000"/>
                <w:sz w:val="14"/>
                <w:szCs w:val="14"/>
              </w:rPr>
            </w:pPr>
            <w:r w:rsidRPr="00A8196B">
              <w:rPr>
                <w:color w:val="000000"/>
                <w:sz w:val="14"/>
                <w:szCs w:val="14"/>
              </w:rPr>
              <w:t>0.017</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B3AC166"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81A364E" w14:textId="77777777">
            <w:pPr>
              <w:spacing w:after="0" w:line="240" w:lineRule="auto"/>
              <w:jc w:val="right"/>
              <w:rPr>
                <w:color w:val="000000"/>
                <w:sz w:val="14"/>
                <w:szCs w:val="14"/>
              </w:rPr>
            </w:pPr>
            <w:r w:rsidRPr="00A8196B">
              <w:rPr>
                <w:color w:val="000000"/>
                <w:sz w:val="14"/>
                <w:szCs w:val="14"/>
              </w:rPr>
              <w:t>0.017</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0A2166A"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542D6AC" w14:textId="77777777">
            <w:pPr>
              <w:spacing w:after="0" w:line="240" w:lineRule="auto"/>
              <w:jc w:val="right"/>
              <w:rPr>
                <w:color w:val="000000"/>
                <w:sz w:val="14"/>
                <w:szCs w:val="14"/>
              </w:rPr>
            </w:pPr>
            <w:r w:rsidRPr="00A8196B">
              <w:rPr>
                <w:color w:val="000000"/>
                <w:sz w:val="14"/>
                <w:szCs w:val="14"/>
              </w:rPr>
              <w:t>0.017</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0324932"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642ECC4B" w14:textId="77777777">
            <w:pPr>
              <w:spacing w:after="0" w:line="240" w:lineRule="auto"/>
              <w:jc w:val="right"/>
              <w:rPr>
                <w:color w:val="000000"/>
                <w:sz w:val="14"/>
                <w:szCs w:val="14"/>
              </w:rPr>
            </w:pPr>
            <w:r w:rsidRPr="00A8196B">
              <w:rPr>
                <w:color w:val="000000"/>
                <w:sz w:val="14"/>
                <w:szCs w:val="14"/>
              </w:rPr>
              <w:t>0.017</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2603DDF"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7132920A" w14:textId="77777777">
            <w:pPr>
              <w:spacing w:after="0" w:line="240" w:lineRule="auto"/>
              <w:jc w:val="right"/>
              <w:rPr>
                <w:color w:val="000000"/>
                <w:sz w:val="14"/>
                <w:szCs w:val="14"/>
              </w:rPr>
            </w:pPr>
            <w:r w:rsidRPr="00A8196B">
              <w:rPr>
                <w:color w:val="000000"/>
                <w:sz w:val="14"/>
                <w:szCs w:val="14"/>
              </w:rPr>
              <w:t>0.017</w:t>
            </w:r>
          </w:p>
        </w:tc>
      </w:tr>
      <w:tr w14:paraId="4A34B672" w14:textId="77777777" w:rsidTr="00F75C07">
        <w:tblPrEx>
          <w:tblW w:w="5000" w:type="pct"/>
          <w:tblLayout w:type="fixed"/>
          <w:tblCellMar>
            <w:left w:w="58" w:type="dxa"/>
            <w:right w:w="58" w:type="dxa"/>
          </w:tblCellMar>
          <w:tblLook w:val="04A0"/>
        </w:tblPrEx>
        <w:tc>
          <w:tcPr>
            <w:tcW w:w="14400" w:type="dxa"/>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380C480C" w14:textId="77777777">
            <w:pPr>
              <w:spacing w:after="0" w:line="240" w:lineRule="auto"/>
              <w:rPr>
                <w:b/>
                <w:color w:val="000000"/>
                <w:sz w:val="14"/>
                <w:szCs w:val="14"/>
              </w:rPr>
            </w:pPr>
            <w:r w:rsidRPr="00A8196B">
              <w:rPr>
                <w:b/>
                <w:color w:val="000000"/>
                <w:sz w:val="14"/>
                <w:szCs w:val="14"/>
              </w:rPr>
              <w:t>2016 TSCA CBI Substantiation</w:t>
            </w:r>
          </w:p>
        </w:tc>
      </w:tr>
      <w:tr w14:paraId="1D52D461"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63481532" w14:textId="77777777">
            <w:pPr>
              <w:spacing w:after="0" w:line="240" w:lineRule="auto"/>
              <w:rPr>
                <w:color w:val="000000"/>
                <w:sz w:val="14"/>
                <w:szCs w:val="14"/>
              </w:rPr>
            </w:pPr>
            <w:r w:rsidRPr="00A8196B">
              <w:rPr>
                <w:color w:val="000000"/>
                <w:sz w:val="14"/>
                <w:szCs w:val="14"/>
              </w:rPr>
              <w:t>6. Chem ID CBI Substantiation Questions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F61FA93"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CD6CA52"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71C7B5C"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AB574E1"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E51AA44"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DFDB3F8"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58EDEC96"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3A9A18E0"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4B90FCF"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AA04827" w14:textId="77777777">
            <w:pPr>
              <w:spacing w:after="0" w:line="240" w:lineRule="auto"/>
              <w:jc w:val="right"/>
              <w:rPr>
                <w:color w:val="000000"/>
                <w:sz w:val="14"/>
                <w:szCs w:val="14"/>
              </w:rPr>
            </w:pPr>
            <w:r w:rsidRPr="00A8196B">
              <w:rPr>
                <w:color w:val="000000"/>
                <w:sz w:val="14"/>
                <w:szCs w:val="14"/>
              </w:rPr>
              <w:t>9.625</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41FCAC60" w14:textId="77777777">
            <w:pPr>
              <w:spacing w:after="0" w:line="240" w:lineRule="auto"/>
              <w:jc w:val="right"/>
              <w:rPr>
                <w:color w:val="000000"/>
                <w:sz w:val="14"/>
                <w:szCs w:val="14"/>
              </w:rPr>
            </w:pPr>
            <w:r w:rsidRPr="00A8196B">
              <w:rPr>
                <w:color w:val="000000"/>
                <w:sz w:val="14"/>
                <w:szCs w:val="14"/>
              </w:rPr>
              <w:t>4.750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156DBF29" w14:textId="77777777">
            <w:pPr>
              <w:spacing w:after="0" w:line="240" w:lineRule="auto"/>
              <w:jc w:val="right"/>
              <w:rPr>
                <w:color w:val="000000"/>
                <w:sz w:val="14"/>
                <w:szCs w:val="14"/>
              </w:rPr>
            </w:pPr>
            <w:r w:rsidRPr="00A8196B">
              <w:rPr>
                <w:color w:val="000000"/>
                <w:sz w:val="14"/>
                <w:szCs w:val="14"/>
              </w:rPr>
              <w:t>14.375</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E4B4B08"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198A4228" w14:textId="77777777">
            <w:pPr>
              <w:spacing w:after="0" w:line="240" w:lineRule="auto"/>
              <w:jc w:val="right"/>
              <w:rPr>
                <w:color w:val="000000"/>
                <w:sz w:val="14"/>
                <w:szCs w:val="14"/>
              </w:rPr>
            </w:pPr>
            <w:r w:rsidRPr="00A8196B">
              <w:rPr>
                <w:color w:val="000000"/>
                <w:sz w:val="14"/>
                <w:szCs w:val="14"/>
              </w:rPr>
              <w:t>9.625</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818C09C" w14:textId="77777777">
            <w:pPr>
              <w:spacing w:after="0" w:line="240" w:lineRule="auto"/>
              <w:jc w:val="right"/>
              <w:rPr>
                <w:color w:val="000000"/>
                <w:sz w:val="14"/>
                <w:szCs w:val="14"/>
              </w:rPr>
            </w:pPr>
            <w:r w:rsidRPr="00A8196B">
              <w:rPr>
                <w:color w:val="000000"/>
                <w:sz w:val="14"/>
                <w:szCs w:val="14"/>
              </w:rPr>
              <w:t>4.750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18A216D6" w14:textId="77777777">
            <w:pPr>
              <w:spacing w:after="0" w:line="240" w:lineRule="auto"/>
              <w:jc w:val="right"/>
              <w:rPr>
                <w:color w:val="000000"/>
                <w:sz w:val="14"/>
                <w:szCs w:val="14"/>
              </w:rPr>
            </w:pPr>
            <w:r w:rsidRPr="00A8196B">
              <w:rPr>
                <w:color w:val="000000"/>
                <w:sz w:val="14"/>
                <w:szCs w:val="14"/>
              </w:rPr>
              <w:t>14.375</w:t>
            </w:r>
          </w:p>
        </w:tc>
      </w:tr>
      <w:tr w14:paraId="6614CC00"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DAA4F67" w14:textId="77777777">
            <w:pPr>
              <w:spacing w:after="0" w:line="240" w:lineRule="auto"/>
              <w:rPr>
                <w:color w:val="000000"/>
                <w:sz w:val="14"/>
                <w:szCs w:val="14"/>
              </w:rPr>
            </w:pPr>
            <w:r w:rsidRPr="00A8196B">
              <w:rPr>
                <w:color w:val="000000"/>
                <w:sz w:val="14"/>
                <w:szCs w:val="14"/>
              </w:rPr>
              <w:t>III. Non-Chem ID CBI Substantiation Questions</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9B4E4CE"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BBA8A22"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E51DEEC"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5E1A96C"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D2D7C15"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4FE288B"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25661A2A"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5906838A"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9F12D81" w14:textId="77777777">
            <w:pPr>
              <w:spacing w:after="0" w:line="240" w:lineRule="auto"/>
              <w:jc w:val="right"/>
              <w:rPr>
                <w:color w:val="000000"/>
                <w:sz w:val="14"/>
                <w:szCs w:val="14"/>
              </w:rPr>
            </w:pPr>
            <w:r w:rsidRPr="00A8196B">
              <w:rPr>
                <w:color w:val="000000"/>
                <w:sz w:val="14"/>
                <w:szCs w:val="14"/>
              </w:rPr>
              <w:t>0.000</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46BAF0A" w14:textId="77777777">
            <w:pPr>
              <w:spacing w:after="0" w:line="240" w:lineRule="auto"/>
              <w:jc w:val="right"/>
              <w:rPr>
                <w:color w:val="000000"/>
                <w:sz w:val="14"/>
                <w:szCs w:val="14"/>
              </w:rPr>
            </w:pPr>
            <w:r w:rsidRPr="00A8196B">
              <w:rPr>
                <w:color w:val="000000"/>
                <w:sz w:val="14"/>
                <w:szCs w:val="14"/>
              </w:rPr>
              <w:t>1.550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226F22B" w14:textId="77777777">
            <w:pPr>
              <w:spacing w:after="0" w:line="240" w:lineRule="auto"/>
              <w:jc w:val="right"/>
              <w:rPr>
                <w:color w:val="000000"/>
                <w:sz w:val="14"/>
                <w:szCs w:val="14"/>
              </w:rPr>
            </w:pPr>
            <w:r w:rsidRPr="00A8196B">
              <w:rPr>
                <w:color w:val="000000"/>
                <w:sz w:val="14"/>
                <w:szCs w:val="14"/>
              </w:rPr>
              <w:t>0.320</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7B2525CC" w14:textId="77777777">
            <w:pPr>
              <w:spacing w:after="0" w:line="240" w:lineRule="auto"/>
              <w:jc w:val="right"/>
              <w:rPr>
                <w:color w:val="000000"/>
                <w:sz w:val="14"/>
                <w:szCs w:val="14"/>
              </w:rPr>
            </w:pPr>
            <w:r w:rsidRPr="00A8196B">
              <w:rPr>
                <w:color w:val="000000"/>
                <w:sz w:val="14"/>
                <w:szCs w:val="14"/>
              </w:rPr>
              <w:t>1.870</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B27FC91"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28113173" w14:textId="77777777">
            <w:pPr>
              <w:spacing w:after="0" w:line="240" w:lineRule="auto"/>
              <w:jc w:val="right"/>
              <w:rPr>
                <w:color w:val="000000"/>
                <w:sz w:val="14"/>
                <w:szCs w:val="14"/>
              </w:rPr>
            </w:pPr>
            <w:r w:rsidRPr="00A8196B">
              <w:rPr>
                <w:color w:val="000000"/>
                <w:sz w:val="14"/>
                <w:szCs w:val="14"/>
              </w:rPr>
              <w:t>1.550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6A2DC66" w14:textId="77777777">
            <w:pPr>
              <w:spacing w:after="0" w:line="240" w:lineRule="auto"/>
              <w:jc w:val="right"/>
              <w:rPr>
                <w:color w:val="000000"/>
                <w:sz w:val="14"/>
                <w:szCs w:val="14"/>
              </w:rPr>
            </w:pPr>
            <w:r w:rsidRPr="00A8196B">
              <w:rPr>
                <w:color w:val="000000"/>
                <w:sz w:val="14"/>
                <w:szCs w:val="14"/>
              </w:rPr>
              <w:t>0.320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20EE03CE" w14:textId="77777777">
            <w:pPr>
              <w:spacing w:after="0" w:line="240" w:lineRule="auto"/>
              <w:jc w:val="right"/>
              <w:rPr>
                <w:color w:val="000000"/>
                <w:sz w:val="14"/>
                <w:szCs w:val="14"/>
              </w:rPr>
            </w:pPr>
            <w:r w:rsidRPr="00A8196B">
              <w:rPr>
                <w:color w:val="000000"/>
                <w:sz w:val="14"/>
                <w:szCs w:val="14"/>
              </w:rPr>
              <w:t>1.870</w:t>
            </w:r>
          </w:p>
        </w:tc>
      </w:tr>
      <w:tr w14:paraId="11171011" w14:textId="77777777" w:rsidTr="00F75C07">
        <w:tblPrEx>
          <w:tblW w:w="5000" w:type="pct"/>
          <w:tblLayout w:type="fixed"/>
          <w:tblCellMar>
            <w:left w:w="58" w:type="dxa"/>
            <w:right w:w="58" w:type="dxa"/>
          </w:tblCellMar>
          <w:tblLook w:val="04A0"/>
        </w:tblPrEx>
        <w:tc>
          <w:tcPr>
            <w:tcW w:w="14400" w:type="dxa"/>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46E317DB" w14:textId="77777777">
            <w:pPr>
              <w:spacing w:after="0" w:line="240" w:lineRule="auto"/>
              <w:rPr>
                <w:b/>
                <w:color w:val="000000"/>
                <w:sz w:val="14"/>
                <w:szCs w:val="14"/>
              </w:rPr>
            </w:pPr>
            <w:r w:rsidRPr="00A8196B">
              <w:rPr>
                <w:b/>
                <w:color w:val="000000"/>
                <w:sz w:val="14"/>
                <w:szCs w:val="14"/>
              </w:rPr>
              <w:t>Additional Notice Preparation</w:t>
            </w:r>
          </w:p>
        </w:tc>
      </w:tr>
      <w:tr w14:paraId="30E1DEC2"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3CD0180B" w14:textId="77777777">
            <w:pPr>
              <w:spacing w:after="0" w:line="240" w:lineRule="auto"/>
              <w:rPr>
                <w:color w:val="000000"/>
                <w:sz w:val="14"/>
                <w:szCs w:val="14"/>
              </w:rPr>
            </w:pPr>
            <w:r w:rsidRPr="00A8196B">
              <w:rPr>
                <w:color w:val="000000"/>
                <w:sz w:val="14"/>
                <w:szCs w:val="14"/>
              </w:rPr>
              <w:t>Additional Notice Preparation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16373CDC"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02675BF"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E801892"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33B805D"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2CB85C22"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7B350DB"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531A67D"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0CCD0DD0"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3197968A"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1F770BE5"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51008EA"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4332BFBE"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CF2A17C" w14:textId="77777777">
            <w:pPr>
              <w:spacing w:after="0" w:line="240" w:lineRule="auto"/>
              <w:jc w:val="right"/>
              <w:rPr>
                <w:color w:val="000000"/>
                <w:sz w:val="14"/>
                <w:szCs w:val="14"/>
              </w:rPr>
            </w:pPr>
            <w:r w:rsidRPr="00A8196B">
              <w:rPr>
                <w:color w:val="000000"/>
                <w:sz w:val="14"/>
                <w:szCs w:val="14"/>
              </w:rPr>
              <w:t>0.000</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5329D422" w14:textId="77777777">
            <w:pPr>
              <w:spacing w:after="0" w:line="240" w:lineRule="auto"/>
              <w:jc w:val="right"/>
              <w:rPr>
                <w:color w:val="000000"/>
                <w:sz w:val="14"/>
                <w:szCs w:val="14"/>
              </w:rPr>
            </w:pPr>
            <w:r w:rsidRPr="00A8196B">
              <w:rPr>
                <w:color w:val="000000"/>
                <w:sz w:val="14"/>
                <w:szCs w:val="14"/>
              </w:rPr>
              <w:t>25.670</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06BBFE23" w14:textId="77777777">
            <w:pPr>
              <w:spacing w:after="0" w:line="240" w:lineRule="auto"/>
              <w:jc w:val="right"/>
              <w:rPr>
                <w:color w:val="000000"/>
                <w:sz w:val="14"/>
                <w:szCs w:val="14"/>
              </w:rPr>
            </w:pPr>
            <w:r w:rsidRPr="00A8196B">
              <w:rPr>
                <w:color w:val="000000"/>
                <w:sz w:val="14"/>
                <w:szCs w:val="14"/>
              </w:rPr>
              <w:t>5.000</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751139C3" w14:textId="77777777">
            <w:pPr>
              <w:spacing w:after="0" w:line="240" w:lineRule="auto"/>
              <w:jc w:val="right"/>
              <w:rPr>
                <w:color w:val="000000"/>
                <w:sz w:val="14"/>
                <w:szCs w:val="14"/>
              </w:rPr>
            </w:pPr>
            <w:r w:rsidRPr="00A8196B">
              <w:rPr>
                <w:color w:val="000000"/>
                <w:sz w:val="14"/>
                <w:szCs w:val="14"/>
              </w:rPr>
              <w:t>30.670</w:t>
            </w:r>
          </w:p>
        </w:tc>
      </w:tr>
      <w:tr w14:paraId="751210AF" w14:textId="77777777" w:rsidTr="00F75C07">
        <w:tblPrEx>
          <w:tblW w:w="5000" w:type="pct"/>
          <w:tblLayout w:type="fixed"/>
          <w:tblCellMar>
            <w:left w:w="58" w:type="dxa"/>
            <w:right w:w="58" w:type="dxa"/>
          </w:tblCellMar>
          <w:tblLook w:val="04A0"/>
        </w:tblPrEx>
        <w:tc>
          <w:tcPr>
            <w:tcW w:w="14400" w:type="dxa"/>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642B8820" w14:textId="77777777">
            <w:pPr>
              <w:spacing w:after="0" w:line="240" w:lineRule="auto"/>
              <w:rPr>
                <w:b/>
                <w:color w:val="000000"/>
                <w:sz w:val="14"/>
                <w:szCs w:val="14"/>
              </w:rPr>
            </w:pPr>
            <w:r w:rsidRPr="00A8196B">
              <w:rPr>
                <w:b/>
                <w:i/>
                <w:color w:val="000000"/>
                <w:sz w:val="14"/>
                <w:szCs w:val="14"/>
              </w:rPr>
              <w:t>“Points to Consider”</w:t>
            </w:r>
            <w:r w:rsidRPr="00A8196B">
              <w:rPr>
                <w:b/>
                <w:color w:val="000000"/>
                <w:sz w:val="14"/>
                <w:szCs w:val="14"/>
              </w:rPr>
              <w:t xml:space="preserve"> Document</w:t>
            </w:r>
          </w:p>
        </w:tc>
      </w:tr>
      <w:tr w14:paraId="55B7EA3B"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5116FA57" w14:textId="77777777">
            <w:pPr>
              <w:spacing w:after="0" w:line="240" w:lineRule="auto"/>
              <w:rPr>
                <w:color w:val="000000"/>
                <w:sz w:val="14"/>
                <w:szCs w:val="14"/>
              </w:rPr>
            </w:pPr>
            <w:r w:rsidRPr="00A8196B">
              <w:rPr>
                <w:color w:val="000000"/>
                <w:sz w:val="14"/>
                <w:szCs w:val="14"/>
              </w:rPr>
              <w:t>“Points to Consider” Document</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98EC3AD"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74F5CF83"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526C49C"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0B515D6E"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B7A06BF"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361B9A9"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771C4DED"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13E66C85"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09DDE1B1"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2027FFB2"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9891293"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A9A731C"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23ECD9D"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6E62F512"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560A940"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4849E3E0" w14:textId="77777777">
            <w:pPr>
              <w:spacing w:after="0" w:line="240" w:lineRule="auto"/>
              <w:jc w:val="right"/>
              <w:rPr>
                <w:color w:val="000000"/>
                <w:sz w:val="14"/>
                <w:szCs w:val="14"/>
              </w:rPr>
            </w:pPr>
            <w:r w:rsidRPr="00A8196B">
              <w:rPr>
                <w:color w:val="000000"/>
                <w:sz w:val="14"/>
                <w:szCs w:val="14"/>
              </w:rPr>
              <w:t>N/A</w:t>
            </w:r>
          </w:p>
        </w:tc>
      </w:tr>
      <w:tr w14:paraId="56AF075B" w14:textId="77777777" w:rsidTr="00F75C07">
        <w:tblPrEx>
          <w:tblW w:w="5000" w:type="pct"/>
          <w:tblLayout w:type="fixed"/>
          <w:tblCellMar>
            <w:left w:w="58" w:type="dxa"/>
            <w:right w:w="58" w:type="dxa"/>
          </w:tblCellMar>
          <w:tblLook w:val="04A0"/>
        </w:tblPrEx>
        <w:tc>
          <w:tcPr>
            <w:tcW w:w="14400" w:type="dxa"/>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0BA1BBD1" w14:textId="77777777">
            <w:pPr>
              <w:spacing w:after="0" w:line="240" w:lineRule="auto"/>
              <w:rPr>
                <w:b/>
                <w:color w:val="000000"/>
                <w:sz w:val="14"/>
                <w:szCs w:val="14"/>
              </w:rPr>
            </w:pPr>
            <w:r w:rsidRPr="00A8196B">
              <w:rPr>
                <w:b/>
                <w:color w:val="000000"/>
                <w:sz w:val="14"/>
                <w:szCs w:val="14"/>
              </w:rPr>
              <w:t>Pre-Notification Consultation</w:t>
            </w:r>
          </w:p>
        </w:tc>
      </w:tr>
      <w:tr w14:paraId="7CFF08E2"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13BA2460" w14:textId="77777777">
            <w:pPr>
              <w:spacing w:after="0" w:line="240" w:lineRule="auto"/>
              <w:rPr>
                <w:color w:val="000000"/>
                <w:sz w:val="14"/>
                <w:szCs w:val="14"/>
              </w:rPr>
            </w:pPr>
            <w:r w:rsidRPr="00A8196B">
              <w:rPr>
                <w:color w:val="000000"/>
                <w:sz w:val="14"/>
                <w:szCs w:val="14"/>
              </w:rPr>
              <w:t>Pre-Notification Consultation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7122315"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3DD8BCEA"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ED42025"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AE1FBB0"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A817D61"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54B3E88D"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4ED3BDF"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6C1E9AE6"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6D294EEE"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64C5F785"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9B59B49"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712FD8F"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E964012"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4524ECAC"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4985F2C"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5487E8E9" w14:textId="77777777">
            <w:pPr>
              <w:spacing w:after="0" w:line="240" w:lineRule="auto"/>
              <w:jc w:val="right"/>
              <w:rPr>
                <w:color w:val="000000"/>
                <w:sz w:val="14"/>
                <w:szCs w:val="14"/>
              </w:rPr>
            </w:pPr>
            <w:r w:rsidRPr="00A8196B">
              <w:rPr>
                <w:color w:val="000000"/>
                <w:sz w:val="14"/>
                <w:szCs w:val="14"/>
              </w:rPr>
              <w:t>N/A</w:t>
            </w:r>
          </w:p>
        </w:tc>
      </w:tr>
      <w:tr w14:paraId="559D0BA1" w14:textId="77777777" w:rsidTr="00F75C07">
        <w:tblPrEx>
          <w:tblW w:w="5000" w:type="pct"/>
          <w:tblLayout w:type="fixed"/>
          <w:tblCellMar>
            <w:left w:w="58" w:type="dxa"/>
            <w:right w:w="58" w:type="dxa"/>
          </w:tblCellMar>
          <w:tblLook w:val="04A0"/>
        </w:tblPrEx>
        <w:tc>
          <w:tcPr>
            <w:tcW w:w="14400" w:type="dxa"/>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5F04C8ED" w14:textId="77777777">
            <w:pPr>
              <w:spacing w:after="0" w:line="240" w:lineRule="auto"/>
              <w:rPr>
                <w:b/>
                <w:color w:val="000000"/>
                <w:sz w:val="14"/>
                <w:szCs w:val="14"/>
              </w:rPr>
            </w:pPr>
            <w:r w:rsidRPr="00A8196B">
              <w:rPr>
                <w:b/>
                <w:color w:val="000000"/>
                <w:sz w:val="14"/>
                <w:szCs w:val="14"/>
              </w:rPr>
              <w:t>Post-Notification Communication</w:t>
            </w:r>
          </w:p>
        </w:tc>
      </w:tr>
      <w:tr w14:paraId="422A8C65"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single" w:sz="4" w:space="0" w:color="auto"/>
              <w:right w:val="single" w:sz="8" w:space="0" w:color="auto"/>
            </w:tcBorders>
            <w:shd w:val="clear" w:color="auto" w:fill="auto"/>
            <w:hideMark/>
          </w:tcPr>
          <w:p w:rsidR="00BB0A8E" w:rsidRPr="00A8196B" w:rsidP="00F75C07" w14:paraId="04D41009" w14:textId="77777777">
            <w:pPr>
              <w:spacing w:after="0" w:line="240" w:lineRule="auto"/>
              <w:rPr>
                <w:color w:val="000000"/>
                <w:sz w:val="14"/>
                <w:szCs w:val="14"/>
              </w:rPr>
            </w:pPr>
            <w:r w:rsidRPr="00A8196B">
              <w:rPr>
                <w:color w:val="000000"/>
                <w:sz w:val="14"/>
                <w:szCs w:val="14"/>
              </w:rPr>
              <w:t>Post-Notification Communication</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5677D600"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4E59A8B3"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0A9A7AD"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67929114"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CD4A86B"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54E1041"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1ED23900"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8" w:space="0" w:color="auto"/>
            </w:tcBorders>
            <w:shd w:val="clear" w:color="auto" w:fill="auto"/>
            <w:hideMark/>
          </w:tcPr>
          <w:p w:rsidR="00BB0A8E" w:rsidRPr="00A8196B" w:rsidP="00F75C07" w14:paraId="01E16F00"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406BF6BE" w14:textId="77777777">
            <w:pPr>
              <w:spacing w:after="0" w:line="240" w:lineRule="auto"/>
              <w:jc w:val="right"/>
              <w:rPr>
                <w:color w:val="000000"/>
                <w:sz w:val="14"/>
                <w:szCs w:val="14"/>
              </w:rPr>
            </w:pPr>
            <w:r w:rsidRPr="00A8196B">
              <w:rPr>
                <w:color w:val="000000"/>
                <w:sz w:val="14"/>
                <w:szCs w:val="14"/>
              </w:rPr>
              <w:t>N/A</w:t>
            </w:r>
          </w:p>
        </w:tc>
        <w:tc>
          <w:tcPr>
            <w:tcW w:w="656" w:type="dxa"/>
            <w:tcBorders>
              <w:top w:val="nil"/>
              <w:left w:val="nil"/>
              <w:bottom w:val="single" w:sz="4" w:space="0" w:color="auto"/>
              <w:right w:val="single" w:sz="4" w:space="0" w:color="auto"/>
            </w:tcBorders>
            <w:shd w:val="clear" w:color="auto" w:fill="auto"/>
            <w:hideMark/>
          </w:tcPr>
          <w:p w:rsidR="00BB0A8E" w:rsidRPr="00A8196B" w:rsidP="00F75C07" w14:paraId="08E5A328"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6CB0EEA0"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8" w:space="0" w:color="auto"/>
            </w:tcBorders>
            <w:shd w:val="clear" w:color="auto" w:fill="auto"/>
            <w:hideMark/>
          </w:tcPr>
          <w:p w:rsidR="00BB0A8E" w:rsidRPr="00A8196B" w:rsidP="00F75C07" w14:paraId="5ABF59B3" w14:textId="77777777">
            <w:pPr>
              <w:spacing w:after="0" w:line="240" w:lineRule="auto"/>
              <w:jc w:val="right"/>
              <w:rPr>
                <w:color w:val="000000"/>
                <w:sz w:val="14"/>
                <w:szCs w:val="14"/>
              </w:rPr>
            </w:pPr>
            <w:r w:rsidRPr="00A8196B">
              <w:rPr>
                <w:color w:val="000000"/>
                <w:sz w:val="14"/>
                <w:szCs w:val="14"/>
              </w:rPr>
              <w:t>N/A</w:t>
            </w:r>
          </w:p>
        </w:tc>
        <w:tc>
          <w:tcPr>
            <w:tcW w:w="758" w:type="dxa"/>
            <w:tcBorders>
              <w:top w:val="nil"/>
              <w:left w:val="nil"/>
              <w:bottom w:val="single" w:sz="4" w:space="0" w:color="auto"/>
              <w:right w:val="single" w:sz="4" w:space="0" w:color="auto"/>
            </w:tcBorders>
            <w:shd w:val="clear" w:color="auto" w:fill="auto"/>
            <w:hideMark/>
          </w:tcPr>
          <w:p w:rsidR="00BB0A8E" w:rsidRPr="00A8196B" w:rsidP="00F75C07" w14:paraId="79E0FF51"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single" w:sz="4" w:space="0" w:color="auto"/>
            </w:tcBorders>
            <w:shd w:val="clear" w:color="auto" w:fill="auto"/>
            <w:hideMark/>
          </w:tcPr>
          <w:p w:rsidR="00BB0A8E" w:rsidRPr="00A8196B" w:rsidP="00F75C07" w14:paraId="47AFB7B8" w14:textId="77777777">
            <w:pPr>
              <w:spacing w:after="0" w:line="240" w:lineRule="auto"/>
              <w:jc w:val="right"/>
              <w:rPr>
                <w:color w:val="000000"/>
                <w:sz w:val="14"/>
                <w:szCs w:val="14"/>
              </w:rPr>
            </w:pPr>
            <w:r w:rsidRPr="00A8196B">
              <w:rPr>
                <w:color w:val="000000"/>
                <w:sz w:val="14"/>
                <w:szCs w:val="14"/>
              </w:rPr>
              <w:t>N/A</w:t>
            </w:r>
          </w:p>
        </w:tc>
        <w:tc>
          <w:tcPr>
            <w:tcW w:w="839" w:type="dxa"/>
            <w:tcBorders>
              <w:top w:val="nil"/>
              <w:left w:val="nil"/>
              <w:bottom w:val="single" w:sz="4" w:space="0" w:color="auto"/>
              <w:right w:val="single" w:sz="4" w:space="0" w:color="auto"/>
            </w:tcBorders>
            <w:shd w:val="clear" w:color="auto" w:fill="auto"/>
            <w:hideMark/>
          </w:tcPr>
          <w:p w:rsidR="00BB0A8E" w:rsidRPr="00A8196B" w:rsidP="00F75C07" w14:paraId="3B27D9E6" w14:textId="77777777">
            <w:pPr>
              <w:spacing w:after="0" w:line="240" w:lineRule="auto"/>
              <w:jc w:val="right"/>
              <w:rPr>
                <w:color w:val="000000"/>
                <w:sz w:val="14"/>
                <w:szCs w:val="14"/>
              </w:rPr>
            </w:pPr>
            <w:r w:rsidRPr="00A8196B">
              <w:rPr>
                <w:color w:val="000000"/>
                <w:sz w:val="14"/>
                <w:szCs w:val="14"/>
              </w:rPr>
              <w:t>N/A</w:t>
            </w:r>
          </w:p>
        </w:tc>
        <w:tc>
          <w:tcPr>
            <w:tcW w:w="736" w:type="dxa"/>
            <w:tcBorders>
              <w:top w:val="nil"/>
              <w:left w:val="nil"/>
              <w:bottom w:val="single" w:sz="4" w:space="0" w:color="auto"/>
              <w:right w:val="double" w:sz="6" w:space="0" w:color="auto"/>
            </w:tcBorders>
            <w:shd w:val="clear" w:color="auto" w:fill="auto"/>
            <w:hideMark/>
          </w:tcPr>
          <w:p w:rsidR="00BB0A8E" w:rsidRPr="00A8196B" w:rsidP="00F75C07" w14:paraId="02DF0E0C" w14:textId="77777777">
            <w:pPr>
              <w:spacing w:after="0" w:line="240" w:lineRule="auto"/>
              <w:jc w:val="right"/>
              <w:rPr>
                <w:color w:val="000000"/>
                <w:sz w:val="14"/>
                <w:szCs w:val="14"/>
              </w:rPr>
            </w:pPr>
            <w:r w:rsidRPr="00A8196B">
              <w:rPr>
                <w:color w:val="000000"/>
                <w:sz w:val="14"/>
                <w:szCs w:val="14"/>
              </w:rPr>
              <w:t>N/A</w:t>
            </w:r>
          </w:p>
        </w:tc>
      </w:tr>
      <w:tr w14:paraId="6BE528AD" w14:textId="77777777" w:rsidTr="00F75C07">
        <w:tblPrEx>
          <w:tblW w:w="5000" w:type="pct"/>
          <w:tblLayout w:type="fixed"/>
          <w:tblCellMar>
            <w:left w:w="58" w:type="dxa"/>
            <w:right w:w="58" w:type="dxa"/>
          </w:tblCellMar>
          <w:tblLook w:val="04A0"/>
        </w:tblPrEx>
        <w:tc>
          <w:tcPr>
            <w:tcW w:w="14400" w:type="dxa"/>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7558D4B5" w14:textId="77777777">
            <w:pPr>
              <w:spacing w:after="0" w:line="240" w:lineRule="auto"/>
              <w:rPr>
                <w:b/>
                <w:color w:val="000000"/>
                <w:sz w:val="14"/>
                <w:szCs w:val="14"/>
              </w:rPr>
            </w:pPr>
          </w:p>
        </w:tc>
      </w:tr>
      <w:tr w14:paraId="6192094F" w14:textId="77777777" w:rsidTr="00F75C07">
        <w:tblPrEx>
          <w:tblW w:w="5000" w:type="pct"/>
          <w:tblLayout w:type="fixed"/>
          <w:tblCellMar>
            <w:left w:w="58" w:type="dxa"/>
            <w:right w:w="58" w:type="dxa"/>
          </w:tblCellMar>
          <w:tblLook w:val="04A0"/>
        </w:tblPrEx>
        <w:tc>
          <w:tcPr>
            <w:tcW w:w="2444" w:type="dxa"/>
            <w:tcBorders>
              <w:top w:val="nil"/>
              <w:left w:val="double" w:sz="6" w:space="0" w:color="auto"/>
              <w:bottom w:val="double" w:sz="6" w:space="0" w:color="auto"/>
              <w:right w:val="single" w:sz="8" w:space="0" w:color="auto"/>
            </w:tcBorders>
            <w:shd w:val="clear" w:color="auto" w:fill="auto"/>
            <w:hideMark/>
          </w:tcPr>
          <w:p w:rsidR="00BB0A8E" w:rsidRPr="00A8196B" w:rsidP="00F75C07" w14:paraId="515657AD" w14:textId="77777777">
            <w:pPr>
              <w:spacing w:after="0" w:line="240" w:lineRule="auto"/>
              <w:rPr>
                <w:b/>
                <w:color w:val="000000"/>
                <w:sz w:val="14"/>
                <w:szCs w:val="14"/>
              </w:rPr>
            </w:pPr>
            <w:r w:rsidRPr="00A8196B">
              <w:rPr>
                <w:b/>
                <w:color w:val="000000"/>
                <w:sz w:val="14"/>
                <w:szCs w:val="14"/>
              </w:rPr>
              <w:t>Total</w:t>
            </w:r>
          </w:p>
        </w:tc>
        <w:tc>
          <w:tcPr>
            <w:tcW w:w="758" w:type="dxa"/>
            <w:tcBorders>
              <w:top w:val="nil"/>
              <w:left w:val="nil"/>
              <w:bottom w:val="double" w:sz="6" w:space="0" w:color="auto"/>
              <w:right w:val="single" w:sz="4" w:space="0" w:color="auto"/>
            </w:tcBorders>
            <w:shd w:val="clear" w:color="auto" w:fill="auto"/>
            <w:hideMark/>
          </w:tcPr>
          <w:p w:rsidR="00BB0A8E" w:rsidRPr="00A8196B" w:rsidP="00F75C07" w14:paraId="786E7829" w14:textId="77777777">
            <w:pPr>
              <w:spacing w:after="0" w:line="240" w:lineRule="auto"/>
              <w:jc w:val="right"/>
              <w:rPr>
                <w:b/>
                <w:color w:val="000000"/>
                <w:sz w:val="14"/>
                <w:szCs w:val="14"/>
              </w:rPr>
            </w:pPr>
            <w:r w:rsidRPr="00A8196B">
              <w:rPr>
                <w:b/>
                <w:color w:val="000000"/>
                <w:sz w:val="14"/>
                <w:szCs w:val="14"/>
              </w:rPr>
              <w:t>13.000</w:t>
            </w:r>
          </w:p>
        </w:tc>
        <w:tc>
          <w:tcPr>
            <w:tcW w:w="656" w:type="dxa"/>
            <w:tcBorders>
              <w:top w:val="nil"/>
              <w:left w:val="nil"/>
              <w:bottom w:val="double" w:sz="6" w:space="0" w:color="auto"/>
              <w:right w:val="single" w:sz="4" w:space="0" w:color="auto"/>
            </w:tcBorders>
            <w:shd w:val="clear" w:color="auto" w:fill="auto"/>
            <w:hideMark/>
          </w:tcPr>
          <w:p w:rsidR="00BB0A8E" w:rsidRPr="00A8196B" w:rsidP="00F75C07" w14:paraId="4104C7D0" w14:textId="77777777">
            <w:pPr>
              <w:spacing w:after="0" w:line="240" w:lineRule="auto"/>
              <w:jc w:val="right"/>
              <w:rPr>
                <w:b/>
                <w:color w:val="000000"/>
                <w:sz w:val="14"/>
                <w:szCs w:val="14"/>
              </w:rPr>
            </w:pPr>
            <w:r w:rsidRPr="00A8196B">
              <w:rPr>
                <w:b/>
                <w:color w:val="000000"/>
                <w:sz w:val="14"/>
                <w:szCs w:val="14"/>
              </w:rPr>
              <w:t>73.500</w:t>
            </w:r>
          </w:p>
        </w:tc>
        <w:tc>
          <w:tcPr>
            <w:tcW w:w="839" w:type="dxa"/>
            <w:tcBorders>
              <w:top w:val="nil"/>
              <w:left w:val="nil"/>
              <w:bottom w:val="double" w:sz="6" w:space="0" w:color="auto"/>
              <w:right w:val="single" w:sz="4" w:space="0" w:color="auto"/>
            </w:tcBorders>
            <w:shd w:val="clear" w:color="auto" w:fill="auto"/>
            <w:hideMark/>
          </w:tcPr>
          <w:p w:rsidR="00BB0A8E" w:rsidRPr="00A8196B" w:rsidP="00F75C07" w14:paraId="6F724768" w14:textId="77777777">
            <w:pPr>
              <w:spacing w:after="0" w:line="240" w:lineRule="auto"/>
              <w:jc w:val="right"/>
              <w:rPr>
                <w:b/>
                <w:color w:val="000000"/>
                <w:sz w:val="14"/>
                <w:szCs w:val="14"/>
              </w:rPr>
            </w:pPr>
            <w:r w:rsidRPr="00A8196B">
              <w:rPr>
                <w:b/>
                <w:color w:val="000000"/>
                <w:sz w:val="14"/>
                <w:szCs w:val="14"/>
              </w:rPr>
              <w:t>18.000</w:t>
            </w:r>
          </w:p>
        </w:tc>
        <w:tc>
          <w:tcPr>
            <w:tcW w:w="736" w:type="dxa"/>
            <w:tcBorders>
              <w:top w:val="nil"/>
              <w:left w:val="nil"/>
              <w:bottom w:val="double" w:sz="6" w:space="0" w:color="auto"/>
              <w:right w:val="single" w:sz="8" w:space="0" w:color="auto"/>
            </w:tcBorders>
            <w:shd w:val="clear" w:color="auto" w:fill="auto"/>
            <w:hideMark/>
          </w:tcPr>
          <w:p w:rsidR="00BB0A8E" w:rsidRPr="00A8196B" w:rsidP="00F75C07" w14:paraId="0E2A609D" w14:textId="77777777">
            <w:pPr>
              <w:spacing w:after="0" w:line="240" w:lineRule="auto"/>
              <w:jc w:val="right"/>
              <w:rPr>
                <w:b/>
                <w:color w:val="000000"/>
                <w:sz w:val="14"/>
                <w:szCs w:val="14"/>
              </w:rPr>
            </w:pPr>
            <w:r w:rsidRPr="00A8196B">
              <w:rPr>
                <w:b/>
                <w:color w:val="000000"/>
                <w:sz w:val="14"/>
                <w:szCs w:val="14"/>
              </w:rPr>
              <w:t>104.500</w:t>
            </w:r>
          </w:p>
        </w:tc>
        <w:tc>
          <w:tcPr>
            <w:tcW w:w="758" w:type="dxa"/>
            <w:tcBorders>
              <w:top w:val="nil"/>
              <w:left w:val="nil"/>
              <w:bottom w:val="double" w:sz="6" w:space="0" w:color="auto"/>
              <w:right w:val="single" w:sz="4" w:space="0" w:color="auto"/>
            </w:tcBorders>
            <w:shd w:val="clear" w:color="auto" w:fill="auto"/>
            <w:hideMark/>
          </w:tcPr>
          <w:p w:rsidR="00BB0A8E" w:rsidRPr="00A8196B" w:rsidP="00F75C07" w14:paraId="0AC91605" w14:textId="77777777">
            <w:pPr>
              <w:spacing w:after="0" w:line="240" w:lineRule="auto"/>
              <w:jc w:val="right"/>
              <w:rPr>
                <w:b/>
                <w:color w:val="000000"/>
                <w:sz w:val="14"/>
                <w:szCs w:val="14"/>
              </w:rPr>
            </w:pPr>
            <w:r w:rsidRPr="00A8196B">
              <w:rPr>
                <w:b/>
                <w:color w:val="000000"/>
                <w:sz w:val="14"/>
                <w:szCs w:val="14"/>
              </w:rPr>
              <w:t>0.000</w:t>
            </w:r>
          </w:p>
        </w:tc>
        <w:tc>
          <w:tcPr>
            <w:tcW w:w="656" w:type="dxa"/>
            <w:tcBorders>
              <w:top w:val="nil"/>
              <w:left w:val="nil"/>
              <w:bottom w:val="double" w:sz="6" w:space="0" w:color="auto"/>
              <w:right w:val="single" w:sz="4" w:space="0" w:color="auto"/>
            </w:tcBorders>
            <w:shd w:val="clear" w:color="auto" w:fill="auto"/>
            <w:hideMark/>
          </w:tcPr>
          <w:p w:rsidR="00BB0A8E" w:rsidRPr="00A8196B" w:rsidP="00F75C07" w14:paraId="5F5E6D05" w14:textId="77777777">
            <w:pPr>
              <w:spacing w:after="0" w:line="240" w:lineRule="auto"/>
              <w:jc w:val="right"/>
              <w:rPr>
                <w:b/>
                <w:color w:val="000000"/>
                <w:sz w:val="14"/>
                <w:szCs w:val="14"/>
              </w:rPr>
            </w:pPr>
            <w:r w:rsidRPr="00A8196B">
              <w:rPr>
                <w:b/>
                <w:color w:val="000000"/>
                <w:sz w:val="14"/>
                <w:szCs w:val="14"/>
              </w:rPr>
              <w:t>73.683</w:t>
            </w:r>
          </w:p>
        </w:tc>
        <w:tc>
          <w:tcPr>
            <w:tcW w:w="839" w:type="dxa"/>
            <w:tcBorders>
              <w:top w:val="nil"/>
              <w:left w:val="nil"/>
              <w:bottom w:val="double" w:sz="6" w:space="0" w:color="auto"/>
              <w:right w:val="single" w:sz="4" w:space="0" w:color="auto"/>
            </w:tcBorders>
            <w:shd w:val="clear" w:color="auto" w:fill="auto"/>
            <w:hideMark/>
          </w:tcPr>
          <w:p w:rsidR="00BB0A8E" w:rsidRPr="00A8196B" w:rsidP="00F75C07" w14:paraId="4489434A" w14:textId="77777777">
            <w:pPr>
              <w:spacing w:after="0" w:line="240" w:lineRule="auto"/>
              <w:jc w:val="right"/>
              <w:rPr>
                <w:b/>
                <w:color w:val="000000"/>
                <w:sz w:val="14"/>
                <w:szCs w:val="14"/>
              </w:rPr>
            </w:pPr>
            <w:r w:rsidRPr="00A8196B">
              <w:rPr>
                <w:b/>
                <w:color w:val="000000"/>
                <w:sz w:val="14"/>
                <w:szCs w:val="14"/>
              </w:rPr>
              <w:t>18.000</w:t>
            </w:r>
          </w:p>
        </w:tc>
        <w:tc>
          <w:tcPr>
            <w:tcW w:w="656" w:type="dxa"/>
            <w:tcBorders>
              <w:top w:val="nil"/>
              <w:left w:val="nil"/>
              <w:bottom w:val="double" w:sz="6" w:space="0" w:color="auto"/>
              <w:right w:val="single" w:sz="8" w:space="0" w:color="auto"/>
            </w:tcBorders>
            <w:shd w:val="clear" w:color="auto" w:fill="auto"/>
            <w:hideMark/>
          </w:tcPr>
          <w:p w:rsidR="00BB0A8E" w:rsidRPr="00A8196B" w:rsidP="00F75C07" w14:paraId="60E74BFE" w14:textId="77777777">
            <w:pPr>
              <w:spacing w:after="0" w:line="240" w:lineRule="auto"/>
              <w:jc w:val="right"/>
              <w:rPr>
                <w:b/>
                <w:color w:val="000000"/>
                <w:sz w:val="14"/>
                <w:szCs w:val="14"/>
              </w:rPr>
            </w:pPr>
            <w:r w:rsidRPr="00A8196B">
              <w:rPr>
                <w:b/>
                <w:color w:val="000000"/>
                <w:sz w:val="14"/>
                <w:szCs w:val="14"/>
              </w:rPr>
              <w:t>91.683</w:t>
            </w:r>
          </w:p>
        </w:tc>
        <w:tc>
          <w:tcPr>
            <w:tcW w:w="758" w:type="dxa"/>
            <w:tcBorders>
              <w:top w:val="nil"/>
              <w:left w:val="nil"/>
              <w:bottom w:val="double" w:sz="6" w:space="0" w:color="auto"/>
              <w:right w:val="single" w:sz="4" w:space="0" w:color="auto"/>
            </w:tcBorders>
            <w:shd w:val="clear" w:color="auto" w:fill="auto"/>
            <w:hideMark/>
          </w:tcPr>
          <w:p w:rsidR="00BB0A8E" w:rsidRPr="00A8196B" w:rsidP="00F75C07" w14:paraId="245B2E82" w14:textId="77777777">
            <w:pPr>
              <w:spacing w:after="0" w:line="240" w:lineRule="auto"/>
              <w:jc w:val="right"/>
              <w:rPr>
                <w:b/>
                <w:color w:val="000000"/>
                <w:sz w:val="14"/>
                <w:szCs w:val="14"/>
              </w:rPr>
            </w:pPr>
            <w:r w:rsidRPr="00A8196B">
              <w:rPr>
                <w:b/>
                <w:color w:val="000000"/>
                <w:sz w:val="14"/>
                <w:szCs w:val="14"/>
              </w:rPr>
              <w:t>0.000</w:t>
            </w:r>
          </w:p>
        </w:tc>
        <w:tc>
          <w:tcPr>
            <w:tcW w:w="656" w:type="dxa"/>
            <w:tcBorders>
              <w:top w:val="nil"/>
              <w:left w:val="nil"/>
              <w:bottom w:val="double" w:sz="6" w:space="0" w:color="auto"/>
              <w:right w:val="single" w:sz="4" w:space="0" w:color="auto"/>
            </w:tcBorders>
            <w:shd w:val="clear" w:color="auto" w:fill="auto"/>
            <w:hideMark/>
          </w:tcPr>
          <w:p w:rsidR="00BB0A8E" w:rsidRPr="00A8196B" w:rsidP="00F75C07" w14:paraId="591405E5" w14:textId="77777777">
            <w:pPr>
              <w:spacing w:after="0" w:line="240" w:lineRule="auto"/>
              <w:jc w:val="right"/>
              <w:rPr>
                <w:b/>
                <w:color w:val="000000"/>
                <w:sz w:val="14"/>
                <w:szCs w:val="14"/>
              </w:rPr>
            </w:pPr>
            <w:r w:rsidRPr="00A8196B">
              <w:rPr>
                <w:b/>
                <w:color w:val="000000"/>
                <w:sz w:val="14"/>
                <w:szCs w:val="14"/>
              </w:rPr>
              <w:t>84.858</w:t>
            </w:r>
          </w:p>
        </w:tc>
        <w:tc>
          <w:tcPr>
            <w:tcW w:w="839" w:type="dxa"/>
            <w:tcBorders>
              <w:top w:val="nil"/>
              <w:left w:val="nil"/>
              <w:bottom w:val="double" w:sz="6" w:space="0" w:color="auto"/>
              <w:right w:val="single" w:sz="4" w:space="0" w:color="auto"/>
            </w:tcBorders>
            <w:shd w:val="clear" w:color="auto" w:fill="auto"/>
            <w:hideMark/>
          </w:tcPr>
          <w:p w:rsidR="00BB0A8E" w:rsidRPr="00A8196B" w:rsidP="00F75C07" w14:paraId="703305C5" w14:textId="77777777">
            <w:pPr>
              <w:spacing w:after="0" w:line="240" w:lineRule="auto"/>
              <w:jc w:val="right"/>
              <w:rPr>
                <w:b/>
                <w:color w:val="000000"/>
                <w:sz w:val="14"/>
                <w:szCs w:val="14"/>
              </w:rPr>
            </w:pPr>
            <w:r w:rsidRPr="00A8196B">
              <w:rPr>
                <w:b/>
                <w:color w:val="000000"/>
                <w:sz w:val="14"/>
                <w:szCs w:val="14"/>
              </w:rPr>
              <w:t>23.070</w:t>
            </w:r>
          </w:p>
        </w:tc>
        <w:tc>
          <w:tcPr>
            <w:tcW w:w="736" w:type="dxa"/>
            <w:tcBorders>
              <w:top w:val="nil"/>
              <w:left w:val="nil"/>
              <w:bottom w:val="double" w:sz="6" w:space="0" w:color="auto"/>
              <w:right w:val="single" w:sz="8" w:space="0" w:color="auto"/>
            </w:tcBorders>
            <w:shd w:val="clear" w:color="auto" w:fill="auto"/>
            <w:hideMark/>
          </w:tcPr>
          <w:p w:rsidR="00BB0A8E" w:rsidRPr="00A8196B" w:rsidP="00F75C07" w14:paraId="70713FC3" w14:textId="77777777">
            <w:pPr>
              <w:spacing w:after="0" w:line="240" w:lineRule="auto"/>
              <w:jc w:val="right"/>
              <w:rPr>
                <w:b/>
                <w:color w:val="000000"/>
                <w:sz w:val="14"/>
                <w:szCs w:val="14"/>
              </w:rPr>
            </w:pPr>
            <w:r w:rsidRPr="00A8196B">
              <w:rPr>
                <w:b/>
                <w:color w:val="000000"/>
                <w:sz w:val="14"/>
                <w:szCs w:val="14"/>
              </w:rPr>
              <w:t>107.928</w:t>
            </w:r>
          </w:p>
        </w:tc>
        <w:tc>
          <w:tcPr>
            <w:tcW w:w="758" w:type="dxa"/>
            <w:tcBorders>
              <w:top w:val="nil"/>
              <w:left w:val="nil"/>
              <w:bottom w:val="double" w:sz="6" w:space="0" w:color="auto"/>
              <w:right w:val="single" w:sz="4" w:space="0" w:color="auto"/>
            </w:tcBorders>
            <w:shd w:val="clear" w:color="auto" w:fill="auto"/>
            <w:hideMark/>
          </w:tcPr>
          <w:p w:rsidR="00BB0A8E" w:rsidRPr="00A8196B" w:rsidP="00F75C07" w14:paraId="43A81CF1" w14:textId="77777777">
            <w:pPr>
              <w:spacing w:after="0" w:line="240" w:lineRule="auto"/>
              <w:jc w:val="right"/>
              <w:rPr>
                <w:b/>
                <w:color w:val="000000"/>
                <w:sz w:val="14"/>
                <w:szCs w:val="14"/>
              </w:rPr>
            </w:pPr>
            <w:r w:rsidRPr="00A8196B">
              <w:rPr>
                <w:b/>
                <w:color w:val="000000"/>
                <w:sz w:val="14"/>
                <w:szCs w:val="14"/>
              </w:rPr>
              <w:t>0.000</w:t>
            </w:r>
          </w:p>
        </w:tc>
        <w:tc>
          <w:tcPr>
            <w:tcW w:w="736" w:type="dxa"/>
            <w:tcBorders>
              <w:top w:val="nil"/>
              <w:left w:val="nil"/>
              <w:bottom w:val="double" w:sz="6" w:space="0" w:color="auto"/>
              <w:right w:val="single" w:sz="4" w:space="0" w:color="auto"/>
            </w:tcBorders>
            <w:shd w:val="clear" w:color="auto" w:fill="auto"/>
            <w:hideMark/>
          </w:tcPr>
          <w:p w:rsidR="00BB0A8E" w:rsidRPr="00A8196B" w:rsidP="00F75C07" w14:paraId="236B2231" w14:textId="77777777">
            <w:pPr>
              <w:spacing w:after="0" w:line="240" w:lineRule="auto"/>
              <w:jc w:val="right"/>
              <w:rPr>
                <w:b/>
                <w:color w:val="000000"/>
                <w:sz w:val="14"/>
                <w:szCs w:val="14"/>
              </w:rPr>
            </w:pPr>
            <w:r w:rsidRPr="00A8196B">
              <w:rPr>
                <w:b/>
                <w:color w:val="000000"/>
                <w:sz w:val="14"/>
                <w:szCs w:val="14"/>
              </w:rPr>
              <w:t>110.528</w:t>
            </w:r>
          </w:p>
        </w:tc>
        <w:tc>
          <w:tcPr>
            <w:tcW w:w="839" w:type="dxa"/>
            <w:tcBorders>
              <w:top w:val="nil"/>
              <w:left w:val="nil"/>
              <w:bottom w:val="double" w:sz="6" w:space="0" w:color="auto"/>
              <w:right w:val="single" w:sz="4" w:space="0" w:color="auto"/>
            </w:tcBorders>
            <w:shd w:val="clear" w:color="auto" w:fill="auto"/>
            <w:hideMark/>
          </w:tcPr>
          <w:p w:rsidR="00BB0A8E" w:rsidRPr="00A8196B" w:rsidP="00F75C07" w14:paraId="600B8711" w14:textId="77777777">
            <w:pPr>
              <w:spacing w:after="0" w:line="240" w:lineRule="auto"/>
              <w:jc w:val="right"/>
              <w:rPr>
                <w:b/>
                <w:color w:val="000000"/>
                <w:sz w:val="14"/>
                <w:szCs w:val="14"/>
              </w:rPr>
            </w:pPr>
            <w:r w:rsidRPr="00A8196B">
              <w:rPr>
                <w:b/>
                <w:color w:val="000000"/>
                <w:sz w:val="14"/>
                <w:szCs w:val="14"/>
              </w:rPr>
              <w:t>28.070</w:t>
            </w:r>
          </w:p>
        </w:tc>
        <w:tc>
          <w:tcPr>
            <w:tcW w:w="736" w:type="dxa"/>
            <w:tcBorders>
              <w:top w:val="nil"/>
              <w:left w:val="nil"/>
              <w:bottom w:val="double" w:sz="6" w:space="0" w:color="auto"/>
              <w:right w:val="double" w:sz="6" w:space="0" w:color="auto"/>
            </w:tcBorders>
            <w:shd w:val="clear" w:color="auto" w:fill="auto"/>
            <w:hideMark/>
          </w:tcPr>
          <w:p w:rsidR="00BB0A8E" w:rsidRPr="00F75C07" w:rsidP="00F75C07" w14:paraId="35498C24" w14:textId="77777777">
            <w:pPr>
              <w:spacing w:after="0" w:line="240" w:lineRule="auto"/>
              <w:jc w:val="right"/>
              <w:rPr>
                <w:b/>
                <w:color w:val="000000"/>
                <w:sz w:val="14"/>
                <w:szCs w:val="14"/>
              </w:rPr>
            </w:pPr>
            <w:r w:rsidRPr="00A8196B">
              <w:rPr>
                <w:b/>
                <w:color w:val="000000"/>
                <w:sz w:val="14"/>
                <w:szCs w:val="14"/>
              </w:rPr>
              <w:t>138.598</w:t>
            </w:r>
          </w:p>
        </w:tc>
      </w:tr>
    </w:tbl>
    <w:p w:rsidR="0026304B" w:rsidRPr="0026304B" w:rsidP="0026304B" w14:paraId="5FCA189F" w14:textId="13D0B00C">
      <w:pPr>
        <w:rPr>
          <w:lang w:bidi="en-US"/>
        </w:rPr>
      </w:pPr>
    </w:p>
    <w:sectPr w:rsidSect="009B256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0A12AF" w:rsidP="000A12AF" w14:paraId="1FDD3C08" w14:textId="070AB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0A12AF" w:rsidP="000A12AF" w14:paraId="79EB01F2" w14:textId="0BFE9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B4" w:rsidRPr="000A12AF" w:rsidP="000A12AF" w14:paraId="799E5D00" w14:textId="5C6F1B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B4" w:rsidRPr="000A12AF" w:rsidP="000A12AF" w14:paraId="2090DA67" w14:textId="3EC0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71D9" w:rsidP="005645B8" w14:paraId="67E4AF52" w14:textId="77777777">
      <w:pPr>
        <w:spacing w:after="0" w:line="240" w:lineRule="auto"/>
      </w:pPr>
      <w:r>
        <w:separator/>
      </w:r>
    </w:p>
  </w:footnote>
  <w:footnote w:type="continuationSeparator" w:id="1">
    <w:p w:rsidR="008271D9" w:rsidP="005645B8" w14:paraId="2A63ABB1" w14:textId="77777777">
      <w:pPr>
        <w:spacing w:after="0" w:line="240" w:lineRule="auto"/>
      </w:pPr>
      <w:r>
        <w:continuationSeparator/>
      </w:r>
    </w:p>
  </w:footnote>
  <w:footnote w:type="continuationNotice" w:id="2">
    <w:p w:rsidR="008271D9" w14:paraId="415FEDED" w14:textId="77777777">
      <w:pPr>
        <w:spacing w:after="0" w:line="240" w:lineRule="auto"/>
      </w:pPr>
    </w:p>
  </w:footnote>
  <w:footnote w:id="3">
    <w:p w:rsidR="0089782B" w:rsidRPr="00DF31A8" w:rsidP="00CA19A2" w14:paraId="5DD810D7" w14:textId="77777777">
      <w:pPr>
        <w:pStyle w:val="FootnoteText"/>
      </w:pPr>
      <w:r w:rsidRPr="00F06131">
        <w:rPr>
          <w:rStyle w:val="FootnoteReference"/>
        </w:rPr>
        <w:footnoteRef/>
      </w:r>
      <w:r>
        <w:t xml:space="preserve"> </w:t>
      </w:r>
      <w:r w:rsidRPr="00B40D93">
        <w:rPr>
          <w:sz w:val="18"/>
          <w:szCs w:val="18"/>
        </w:rPr>
        <w:t>Unless manufacturers</w:t>
      </w:r>
      <w:r>
        <w:rPr>
          <w:sz w:val="18"/>
          <w:szCs w:val="18"/>
        </w:rPr>
        <w:t xml:space="preserve"> (including importers) and</w:t>
      </w:r>
      <w:r w:rsidRPr="00B40D93">
        <w:rPr>
          <w:sz w:val="18"/>
          <w:szCs w:val="18"/>
        </w:rPr>
        <w:t xml:space="preserve"> processors of chemicals subject to SNURs have either notified recipients of such chemicals and all significant new uses, verified that knowledge of the SNUR has been otherwise acquired by recipients, or verified that recipients are unable to engage in sign</w:t>
      </w:r>
      <w:r>
        <w:rPr>
          <w:sz w:val="18"/>
          <w:szCs w:val="18"/>
        </w:rPr>
        <w:t>ificant new uses, manufacturers (including importers) and</w:t>
      </w:r>
      <w:r w:rsidRPr="00B40D93">
        <w:rPr>
          <w:sz w:val="18"/>
          <w:szCs w:val="18"/>
        </w:rPr>
        <w:t xml:space="preserve"> processors must file a SNUN.</w:t>
      </w:r>
    </w:p>
  </w:footnote>
  <w:footnote w:id="4">
    <w:p w:rsidR="0089782B" w:rsidRPr="00206D8A" w:rsidP="00CA19A2" w14:paraId="450AF0A1" w14:textId="77777777">
      <w:pPr>
        <w:pStyle w:val="FootnoteText"/>
        <w:rPr>
          <w:sz w:val="18"/>
          <w:szCs w:val="18"/>
        </w:rPr>
      </w:pPr>
      <w:r w:rsidRPr="00206D8A">
        <w:rPr>
          <w:rStyle w:val="FootnoteReference"/>
          <w:sz w:val="18"/>
          <w:szCs w:val="18"/>
        </w:rPr>
        <w:footnoteRef/>
      </w:r>
      <w:r w:rsidRPr="00206D8A">
        <w:rPr>
          <w:sz w:val="18"/>
          <w:szCs w:val="18"/>
        </w:rPr>
        <w:t xml:space="preserve"> The assumption that there are two manufacturers</w:t>
      </w:r>
      <w:r>
        <w:rPr>
          <w:sz w:val="18"/>
          <w:szCs w:val="18"/>
        </w:rPr>
        <w:t xml:space="preserve"> (including importers) or </w:t>
      </w:r>
      <w:r w:rsidRPr="00206D8A">
        <w:rPr>
          <w:sz w:val="18"/>
          <w:szCs w:val="18"/>
        </w:rPr>
        <w:t>processors per chemical follows from previous ICRs for these requirements.</w:t>
      </w:r>
    </w:p>
  </w:footnote>
  <w:footnote w:id="5">
    <w:p w:rsidR="0089782B" w:rsidRPr="00DF31A8" w:rsidP="00CA19A2" w14:paraId="4FBE393D" w14:textId="77777777">
      <w:pPr>
        <w:pStyle w:val="FootnoteText"/>
      </w:pPr>
      <w:r w:rsidRPr="00420AE5">
        <w:rPr>
          <w:rStyle w:val="FootnoteReference"/>
        </w:rPr>
        <w:footnoteRef/>
      </w:r>
      <w:r>
        <w:t xml:space="preserve"> </w:t>
      </w:r>
      <w:r w:rsidRPr="00206D8A">
        <w:rPr>
          <w:sz w:val="18"/>
          <w:szCs w:val="18"/>
        </w:rPr>
        <w:t>The assumption that there are two manufacturers</w:t>
      </w:r>
      <w:r>
        <w:rPr>
          <w:sz w:val="18"/>
          <w:szCs w:val="18"/>
        </w:rPr>
        <w:t xml:space="preserve"> (including importers) or</w:t>
      </w:r>
      <w:r w:rsidRPr="00206D8A">
        <w:rPr>
          <w:sz w:val="18"/>
          <w:szCs w:val="18"/>
        </w:rPr>
        <w:t xml:space="preserve"> processors per chemical follows from previous ICRs for these requirements.</w:t>
      </w:r>
    </w:p>
  </w:footnote>
  <w:footnote w:id="6">
    <w:p w:rsidR="0089782B" w:rsidP="003C2C15" w14:paraId="71DE2219" w14:textId="77777777">
      <w:pPr>
        <w:pStyle w:val="FootnoteText"/>
      </w:pPr>
      <w:r>
        <w:rPr>
          <w:rStyle w:val="FootnoteReference"/>
        </w:rPr>
        <w:footnoteRef/>
      </w:r>
      <w:r>
        <w:t xml:space="preserve"> These estimates are shown in Table III-3 of the 1994 RIA.</w:t>
      </w:r>
    </w:p>
  </w:footnote>
  <w:footnote w:id="7">
    <w:p w:rsidR="0089782B" w:rsidP="007357FC" w14:paraId="316B92DF" w14:textId="77777777">
      <w:pPr>
        <w:spacing w:after="0" w:line="240" w:lineRule="auto"/>
      </w:pPr>
      <w:r w:rsidRPr="009279D1">
        <w:rPr>
          <w:rStyle w:val="FootnoteReference"/>
          <w:szCs w:val="20"/>
        </w:rPr>
        <w:footnoteRef/>
      </w:r>
      <w:r w:rsidRPr="009279D1">
        <w:rPr>
          <w:sz w:val="20"/>
          <w:szCs w:val="20"/>
          <w:vertAlign w:val="superscript"/>
        </w:rPr>
        <w:t xml:space="preserve"> </w:t>
      </w:r>
      <w:r w:rsidRPr="00F71ACE">
        <w:rPr>
          <w:sz w:val="20"/>
          <w:szCs w:val="20"/>
        </w:rPr>
        <w:t xml:space="preserve">As stated in the 1994 </w:t>
      </w:r>
      <w:r w:rsidRPr="00F71ACE">
        <w:rPr>
          <w:i/>
          <w:iCs/>
          <w:sz w:val="20"/>
          <w:szCs w:val="20"/>
        </w:rPr>
        <w:t>Regulatory Impact Analysis of Amendments to Regulations for TSCA section 5 Premanufacture Notifications</w:t>
      </w:r>
      <w:r w:rsidRPr="00F71ACE">
        <w:rPr>
          <w:sz w:val="20"/>
          <w:szCs w:val="20"/>
        </w:rPr>
        <w:t xml:space="preserve">, the burden estimates for PMN submissions include the time </w:t>
      </w:r>
      <w:r>
        <w:rPr>
          <w:sz w:val="20"/>
          <w:szCs w:val="20"/>
        </w:rPr>
        <w:t>“</w:t>
      </w:r>
      <w:r w:rsidRPr="00F71ACE">
        <w:rPr>
          <w:sz w:val="20"/>
          <w:szCs w:val="20"/>
        </w:rPr>
        <w:t>maintaining a file of the submission</w:t>
      </w:r>
      <w:r>
        <w:rPr>
          <w:sz w:val="20"/>
          <w:szCs w:val="20"/>
        </w:rPr>
        <w:t>”</w:t>
      </w:r>
      <w:r w:rsidRPr="00F71ACE">
        <w:rPr>
          <w:sz w:val="20"/>
          <w:szCs w:val="20"/>
        </w:rPr>
        <w:t xml:space="preserve"> (p. III-13). Because SNUNs, </w:t>
      </w:r>
      <w:r w:rsidRPr="00F71ACE">
        <w:rPr>
          <w:bCs/>
          <w:sz w:val="20"/>
          <w:szCs w:val="20"/>
        </w:rPr>
        <w:t>LVE, and LoREX</w:t>
      </w:r>
      <w:r w:rsidRPr="00F71ACE">
        <w:rPr>
          <w:sz w:val="20"/>
          <w:szCs w:val="20"/>
        </w:rPr>
        <w:t xml:space="preserve"> are assumed to have the same burden as PMN submissions, the recordkeeping burden is also </w:t>
      </w:r>
      <w:r>
        <w:rPr>
          <w:sz w:val="20"/>
          <w:szCs w:val="20"/>
        </w:rPr>
        <w:t>included</w:t>
      </w:r>
      <w:r w:rsidRPr="00F71ACE">
        <w:rPr>
          <w:sz w:val="20"/>
          <w:szCs w:val="20"/>
        </w:rPr>
        <w:t xml:space="preserve"> </w:t>
      </w:r>
      <w:r>
        <w:rPr>
          <w:sz w:val="20"/>
          <w:szCs w:val="20"/>
        </w:rPr>
        <w:t xml:space="preserve">in the reporting burden for these submissions. </w:t>
      </w:r>
    </w:p>
  </w:footnote>
  <w:footnote w:id="8">
    <w:p w:rsidR="0089782B" w:rsidRPr="009514FE" w14:paraId="4F03CE6D" w14:textId="77777777">
      <w:pPr>
        <w:pStyle w:val="FootnoteText"/>
        <w:rPr>
          <w:sz w:val="18"/>
          <w:szCs w:val="18"/>
        </w:rPr>
      </w:pPr>
      <w:r>
        <w:rPr>
          <w:rStyle w:val="FootnoteReference"/>
        </w:rPr>
        <w:footnoteRef/>
      </w:r>
      <w:r>
        <w:t xml:space="preserve"> </w:t>
      </w:r>
      <w:r w:rsidRPr="009514FE">
        <w:rPr>
          <w:sz w:val="18"/>
          <w:szCs w:val="18"/>
        </w:rPr>
        <w:t>This factor is derived by dividing the TSCA Section 5 direct and indirect cost estimate provided in the revision ($34,713,428) of 2020, by the original direct and indirect cost estimate of the 2018 TSCA Fees Rule ($28,672,000). The 2020 proposed revision did not have costs broken out on an individual submission basis, so this factor inflates the individual submission estimate by the overall increase between the two documents.</w:t>
      </w:r>
    </w:p>
  </w:footnote>
  <w:footnote w:id="9">
    <w:p w:rsidR="0089782B" w:rsidP="00CA19A2" w14:paraId="6012FBD8" w14:textId="77777777">
      <w:pPr>
        <w:pStyle w:val="FootnoteText"/>
      </w:pPr>
      <w:r w:rsidRPr="009514FE">
        <w:rPr>
          <w:rStyle w:val="FootnoteReference"/>
          <w:sz w:val="18"/>
          <w:szCs w:val="18"/>
        </w:rPr>
        <w:footnoteRef/>
      </w:r>
      <w:r w:rsidRPr="009514FE">
        <w:rPr>
          <w:sz w:val="18"/>
          <w:szCs w:val="18"/>
          <w:vertAlign w:val="superscript"/>
        </w:rPr>
        <w:t xml:space="preserve"> </w:t>
      </w:r>
      <w:r w:rsidRPr="009514FE">
        <w:rPr>
          <w:sz w:val="18"/>
          <w:szCs w:val="18"/>
        </w:rPr>
        <w:t>This $41,000 review cost is lower than the overall average cost of $55,200 for TSCA section 5 activities that EPA calculated for the 2018 TSCA Fees rule because the $55,200 value includes costs for activities (such as issuing SNURs following a PMN review, and reviewing Notices of Commencement) that are not relevant to SNUNs.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4C0221" w:rsidP="003C2C15" w14:paraId="5623A6EF" w14:textId="7A8927D4">
    <w:pPr>
      <w:jc w:val="right"/>
      <w:rPr>
        <w:iC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4C0221" w:rsidP="000C606B" w14:paraId="11682225" w14:textId="1F70201D">
    <w:pPr>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B4" w:rsidRPr="00101DAC" w:rsidP="00101DAC" w14:paraId="282F5D3E" w14:textId="300B7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A97EEDE0"/>
    <w:lvl w:ilvl="0">
      <w:start w:val="1"/>
      <w:numFmt w:val="decimal"/>
      <w:pStyle w:val="ListNumber"/>
      <w:lvlText w:val="%1."/>
      <w:lvlJc w:val="left"/>
      <w:pPr>
        <w:tabs>
          <w:tab w:val="num" w:pos="360"/>
        </w:tabs>
        <w:ind w:left="360" w:hanging="360"/>
      </w:pPr>
    </w:lvl>
  </w:abstractNum>
  <w:abstractNum w:abstractNumId="1">
    <w:nsid w:val="FFFFFF89"/>
    <w:multiLevelType w:val="singleLevel"/>
    <w:tmpl w:val="6320397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AB7A46"/>
    <w:multiLevelType w:val="hybridMultilevel"/>
    <w:tmpl w:val="BF1411AC"/>
    <w:lvl w:ilvl="0">
      <w:start w:val="1"/>
      <w:numFmt w:val="bullet"/>
      <w:pStyle w:val="Bullet"/>
      <w:lvlText w:val=""/>
      <w:lvlJc w:val="left"/>
      <w:pPr>
        <w:tabs>
          <w:tab w:val="num" w:pos="360"/>
        </w:tabs>
        <w:ind w:left="360" w:hanging="360"/>
      </w:pPr>
      <w:rPr>
        <w:rFonts w:ascii="Symbol" w:hAnsi="Symbol" w:hint="default"/>
        <w:b w:val="0"/>
        <w:i w:val="0"/>
        <w:sz w:val="22"/>
        <w:szCs w:val="22"/>
      </w:rPr>
    </w:lvl>
    <w:lvl w:ilvl="1">
      <w:start w:val="1"/>
      <w:numFmt w:val="bullet"/>
      <w:lvlText w:val=""/>
      <w:lvlJc w:val="left"/>
      <w:pPr>
        <w:tabs>
          <w:tab w:val="num" w:pos="1080"/>
        </w:tabs>
        <w:ind w:left="1080" w:firstLine="0"/>
      </w:pPr>
      <w:rPr>
        <w:rFonts w:ascii="Symbol" w:hAnsi="Symbol" w:hint="default"/>
        <w:b w:val="0"/>
        <w:i w:val="0"/>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90507E"/>
    <w:multiLevelType w:val="hybridMultilevel"/>
    <w:tmpl w:val="F3E05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B45A5C"/>
    <w:multiLevelType w:val="hybridMultilevel"/>
    <w:tmpl w:val="6D163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2707FA"/>
    <w:multiLevelType w:val="hybridMultilevel"/>
    <w:tmpl w:val="1C66C61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707A6A"/>
    <w:multiLevelType w:val="hybridMultilevel"/>
    <w:tmpl w:val="5A04D4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305E64"/>
    <w:multiLevelType w:val="hybridMultilevel"/>
    <w:tmpl w:val="E676DBA0"/>
    <w:lvl w:ilvl="0">
      <w:start w:val="1"/>
      <w:numFmt w:val="bullet"/>
      <w:pStyle w:val="Heading3"/>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A7613D"/>
    <w:multiLevelType w:val="hybridMultilevel"/>
    <w:tmpl w:val="3D7C43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BE30920"/>
    <w:multiLevelType w:val="hybridMultilevel"/>
    <w:tmpl w:val="8B32A3C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2370EB"/>
    <w:multiLevelType w:val="hybridMultilevel"/>
    <w:tmpl w:val="5A70C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1C5C2C"/>
    <w:multiLevelType w:val="hybridMultilevel"/>
    <w:tmpl w:val="A7480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0D7C0D"/>
    <w:multiLevelType w:val="hybridMultilevel"/>
    <w:tmpl w:val="31D28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F06409"/>
    <w:multiLevelType w:val="hybridMultilevel"/>
    <w:tmpl w:val="0282A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3E09AB"/>
    <w:multiLevelType w:val="hybridMultilevel"/>
    <w:tmpl w:val="46B2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257880"/>
    <w:multiLevelType w:val="hybridMultilevel"/>
    <w:tmpl w:val="0F545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23402A"/>
    <w:multiLevelType w:val="hybridMultilevel"/>
    <w:tmpl w:val="8222EB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28650BE"/>
    <w:multiLevelType w:val="hybridMultilevel"/>
    <w:tmpl w:val="6C72B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9">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53E07ABD"/>
    <w:multiLevelType w:val="hybridMultilevel"/>
    <w:tmpl w:val="F474976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EF2F06"/>
    <w:multiLevelType w:val="hybridMultilevel"/>
    <w:tmpl w:val="82E065B6"/>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C527F15"/>
    <w:multiLevelType w:val="hybridMultilevel"/>
    <w:tmpl w:val="4E5A5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B91C38"/>
    <w:multiLevelType w:val="hybridMultilevel"/>
    <w:tmpl w:val="99F60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391415"/>
    <w:multiLevelType w:val="hybridMultilevel"/>
    <w:tmpl w:val="24B0B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ED465C"/>
    <w:multiLevelType w:val="hybridMultilevel"/>
    <w:tmpl w:val="FBEEA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522566"/>
    <w:multiLevelType w:val="hybridMultilevel"/>
    <w:tmpl w:val="ECE224E4"/>
    <w:lvl w:ilvl="0">
      <w:start w:val="1"/>
      <w:numFmt w:val="bullet"/>
      <w:pStyle w:val="ListBulletNoSpace"/>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7496541">
    <w:abstractNumId w:val="18"/>
  </w:num>
  <w:num w:numId="2" w16cid:durableId="855464514">
    <w:abstractNumId w:val="19"/>
  </w:num>
  <w:num w:numId="3" w16cid:durableId="168570319">
    <w:abstractNumId w:val="22"/>
  </w:num>
  <w:num w:numId="4" w16cid:durableId="1674340112">
    <w:abstractNumId w:val="7"/>
  </w:num>
  <w:num w:numId="5" w16cid:durableId="1707876650">
    <w:abstractNumId w:val="7"/>
    <w:lvlOverride w:ilvl="0">
      <w:startOverride w:val="1"/>
    </w:lvlOverride>
  </w:num>
  <w:num w:numId="6" w16cid:durableId="1652830463">
    <w:abstractNumId w:val="7"/>
    <w:lvlOverride w:ilvl="0">
      <w:startOverride w:val="1"/>
    </w:lvlOverride>
  </w:num>
  <w:num w:numId="7" w16cid:durableId="556864920">
    <w:abstractNumId w:val="9"/>
  </w:num>
  <w:num w:numId="8" w16cid:durableId="1147555150">
    <w:abstractNumId w:val="21"/>
  </w:num>
  <w:num w:numId="9" w16cid:durableId="107824395">
    <w:abstractNumId w:val="6"/>
    <w:lvlOverride w:ilvl="0"/>
    <w:lvlOverride w:ilvl="1">
      <w:startOverride w:val="1"/>
    </w:lvlOverride>
    <w:lvlOverride w:ilvl="2"/>
    <w:lvlOverride w:ilvl="3"/>
    <w:lvlOverride w:ilvl="4"/>
    <w:lvlOverride w:ilvl="5"/>
    <w:lvlOverride w:ilvl="6"/>
    <w:lvlOverride w:ilvl="7"/>
    <w:lvlOverride w:ilvl="8"/>
  </w:num>
  <w:num w:numId="10" w16cid:durableId="533739289">
    <w:abstractNumId w:val="2"/>
  </w:num>
  <w:num w:numId="11" w16cid:durableId="556205199">
    <w:abstractNumId w:val="5"/>
  </w:num>
  <w:num w:numId="12" w16cid:durableId="854998950">
    <w:abstractNumId w:val="1"/>
  </w:num>
  <w:num w:numId="13" w16cid:durableId="144973361">
    <w:abstractNumId w:val="0"/>
  </w:num>
  <w:num w:numId="14" w16cid:durableId="1952466230">
    <w:abstractNumId w:val="26"/>
  </w:num>
  <w:num w:numId="15" w16cid:durableId="112410476">
    <w:abstractNumId w:val="0"/>
    <w:lvlOverride w:ilvl="0">
      <w:startOverride w:val="1"/>
    </w:lvlOverride>
  </w:num>
  <w:num w:numId="16" w16cid:durableId="1652906019">
    <w:abstractNumId w:val="15"/>
  </w:num>
  <w:num w:numId="17" w16cid:durableId="2130051569">
    <w:abstractNumId w:val="11"/>
  </w:num>
  <w:num w:numId="18" w16cid:durableId="445462861">
    <w:abstractNumId w:val="8"/>
  </w:num>
  <w:num w:numId="19" w16cid:durableId="2084910088">
    <w:abstractNumId w:val="3"/>
  </w:num>
  <w:num w:numId="20" w16cid:durableId="1454591684">
    <w:abstractNumId w:val="17"/>
  </w:num>
  <w:num w:numId="21" w16cid:durableId="39405731">
    <w:abstractNumId w:val="14"/>
  </w:num>
  <w:num w:numId="22" w16cid:durableId="721560622">
    <w:abstractNumId w:val="4"/>
  </w:num>
  <w:num w:numId="23" w16cid:durableId="1796482911">
    <w:abstractNumId w:val="23"/>
  </w:num>
  <w:num w:numId="24" w16cid:durableId="1881477852">
    <w:abstractNumId w:val="16"/>
  </w:num>
  <w:num w:numId="25" w16cid:durableId="1500460424">
    <w:abstractNumId w:val="20"/>
  </w:num>
  <w:num w:numId="26" w16cid:durableId="1066298350">
    <w:abstractNumId w:val="25"/>
  </w:num>
  <w:num w:numId="27" w16cid:durableId="211844647">
    <w:abstractNumId w:val="13"/>
  </w:num>
  <w:num w:numId="28" w16cid:durableId="429817121">
    <w:abstractNumId w:val="12"/>
  </w:num>
  <w:num w:numId="29" w16cid:durableId="734859575">
    <w:abstractNumId w:val="10"/>
  </w:num>
  <w:num w:numId="30" w16cid:durableId="75832968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0A67"/>
    <w:rsid w:val="00001FD9"/>
    <w:rsid w:val="00002828"/>
    <w:rsid w:val="000046CE"/>
    <w:rsid w:val="0000670B"/>
    <w:rsid w:val="00006B5B"/>
    <w:rsid w:val="00006EAF"/>
    <w:rsid w:val="00007CF0"/>
    <w:rsid w:val="000110EC"/>
    <w:rsid w:val="00013AE6"/>
    <w:rsid w:val="00015D30"/>
    <w:rsid w:val="00016864"/>
    <w:rsid w:val="0002224F"/>
    <w:rsid w:val="00022972"/>
    <w:rsid w:val="0002509A"/>
    <w:rsid w:val="00025B11"/>
    <w:rsid w:val="00026336"/>
    <w:rsid w:val="00026A95"/>
    <w:rsid w:val="00026C43"/>
    <w:rsid w:val="0003181D"/>
    <w:rsid w:val="00032783"/>
    <w:rsid w:val="00032C1B"/>
    <w:rsid w:val="00033170"/>
    <w:rsid w:val="00035B9C"/>
    <w:rsid w:val="00036AC0"/>
    <w:rsid w:val="00037D62"/>
    <w:rsid w:val="0004006B"/>
    <w:rsid w:val="00040C13"/>
    <w:rsid w:val="0004222D"/>
    <w:rsid w:val="00042BDC"/>
    <w:rsid w:val="00042F8B"/>
    <w:rsid w:val="000436C0"/>
    <w:rsid w:val="00043F7B"/>
    <w:rsid w:val="00044693"/>
    <w:rsid w:val="000446E2"/>
    <w:rsid w:val="000451AC"/>
    <w:rsid w:val="000453DB"/>
    <w:rsid w:val="00045D6E"/>
    <w:rsid w:val="000464AF"/>
    <w:rsid w:val="000516D9"/>
    <w:rsid w:val="000528A8"/>
    <w:rsid w:val="0005689C"/>
    <w:rsid w:val="00057B7A"/>
    <w:rsid w:val="00061DFC"/>
    <w:rsid w:val="00061ED1"/>
    <w:rsid w:val="00062742"/>
    <w:rsid w:val="0006464F"/>
    <w:rsid w:val="000656A4"/>
    <w:rsid w:val="00065845"/>
    <w:rsid w:val="000669C7"/>
    <w:rsid w:val="00070890"/>
    <w:rsid w:val="000724A2"/>
    <w:rsid w:val="00072A26"/>
    <w:rsid w:val="00073171"/>
    <w:rsid w:val="00075459"/>
    <w:rsid w:val="000757C7"/>
    <w:rsid w:val="0007694A"/>
    <w:rsid w:val="00082F08"/>
    <w:rsid w:val="00083BA6"/>
    <w:rsid w:val="00083EF1"/>
    <w:rsid w:val="00084FE2"/>
    <w:rsid w:val="00086DC2"/>
    <w:rsid w:val="000879BD"/>
    <w:rsid w:val="00093193"/>
    <w:rsid w:val="00094C41"/>
    <w:rsid w:val="00094DFA"/>
    <w:rsid w:val="00095C98"/>
    <w:rsid w:val="00096DD3"/>
    <w:rsid w:val="000975A6"/>
    <w:rsid w:val="00097C0A"/>
    <w:rsid w:val="000A12AF"/>
    <w:rsid w:val="000A1E79"/>
    <w:rsid w:val="000A1EC7"/>
    <w:rsid w:val="000A2986"/>
    <w:rsid w:val="000A358E"/>
    <w:rsid w:val="000A3BE7"/>
    <w:rsid w:val="000A4852"/>
    <w:rsid w:val="000A5058"/>
    <w:rsid w:val="000A6279"/>
    <w:rsid w:val="000A6E4D"/>
    <w:rsid w:val="000A7006"/>
    <w:rsid w:val="000B2DE9"/>
    <w:rsid w:val="000B2F84"/>
    <w:rsid w:val="000B3000"/>
    <w:rsid w:val="000B3E36"/>
    <w:rsid w:val="000B3E3A"/>
    <w:rsid w:val="000B419B"/>
    <w:rsid w:val="000B4463"/>
    <w:rsid w:val="000C07C3"/>
    <w:rsid w:val="000C3171"/>
    <w:rsid w:val="000C5242"/>
    <w:rsid w:val="000C57E8"/>
    <w:rsid w:val="000C606B"/>
    <w:rsid w:val="000C6B9E"/>
    <w:rsid w:val="000C7300"/>
    <w:rsid w:val="000C7417"/>
    <w:rsid w:val="000D0ED2"/>
    <w:rsid w:val="000D2B7E"/>
    <w:rsid w:val="000D2C3A"/>
    <w:rsid w:val="000D3D57"/>
    <w:rsid w:val="000D4911"/>
    <w:rsid w:val="000D5E31"/>
    <w:rsid w:val="000D62AB"/>
    <w:rsid w:val="000E1738"/>
    <w:rsid w:val="000E47A6"/>
    <w:rsid w:val="000E6E0D"/>
    <w:rsid w:val="000F21B1"/>
    <w:rsid w:val="000F2240"/>
    <w:rsid w:val="000F2DE6"/>
    <w:rsid w:val="000F3547"/>
    <w:rsid w:val="000F3685"/>
    <w:rsid w:val="000F4CCF"/>
    <w:rsid w:val="000F68A9"/>
    <w:rsid w:val="000F76BC"/>
    <w:rsid w:val="001014E9"/>
    <w:rsid w:val="00101DAC"/>
    <w:rsid w:val="00102036"/>
    <w:rsid w:val="00103B2E"/>
    <w:rsid w:val="00104387"/>
    <w:rsid w:val="00105A54"/>
    <w:rsid w:val="00106041"/>
    <w:rsid w:val="001064F1"/>
    <w:rsid w:val="00107247"/>
    <w:rsid w:val="00110AEE"/>
    <w:rsid w:val="00110D65"/>
    <w:rsid w:val="00110ED0"/>
    <w:rsid w:val="00112875"/>
    <w:rsid w:val="00112CE0"/>
    <w:rsid w:val="0011481A"/>
    <w:rsid w:val="0011698C"/>
    <w:rsid w:val="001171B4"/>
    <w:rsid w:val="0012070B"/>
    <w:rsid w:val="00120736"/>
    <w:rsid w:val="0012086C"/>
    <w:rsid w:val="001210C6"/>
    <w:rsid w:val="001227B7"/>
    <w:rsid w:val="001229E8"/>
    <w:rsid w:val="001231AA"/>
    <w:rsid w:val="001278AD"/>
    <w:rsid w:val="0013061D"/>
    <w:rsid w:val="00131978"/>
    <w:rsid w:val="001322E9"/>
    <w:rsid w:val="00132F63"/>
    <w:rsid w:val="00134616"/>
    <w:rsid w:val="00136B20"/>
    <w:rsid w:val="00136B67"/>
    <w:rsid w:val="00136C5B"/>
    <w:rsid w:val="001429C0"/>
    <w:rsid w:val="00143E90"/>
    <w:rsid w:val="001453A1"/>
    <w:rsid w:val="001506AC"/>
    <w:rsid w:val="00150CA5"/>
    <w:rsid w:val="00152AEB"/>
    <w:rsid w:val="00153C3B"/>
    <w:rsid w:val="00155190"/>
    <w:rsid w:val="001560BA"/>
    <w:rsid w:val="00156360"/>
    <w:rsid w:val="00156F6E"/>
    <w:rsid w:val="00161ED7"/>
    <w:rsid w:val="0016450B"/>
    <w:rsid w:val="00165771"/>
    <w:rsid w:val="00167B98"/>
    <w:rsid w:val="0017067F"/>
    <w:rsid w:val="00170950"/>
    <w:rsid w:val="00170DB3"/>
    <w:rsid w:val="0017289E"/>
    <w:rsid w:val="001742C5"/>
    <w:rsid w:val="00174CD9"/>
    <w:rsid w:val="0017525C"/>
    <w:rsid w:val="001756E3"/>
    <w:rsid w:val="0018093E"/>
    <w:rsid w:val="001814A2"/>
    <w:rsid w:val="00182C0B"/>
    <w:rsid w:val="00183A5E"/>
    <w:rsid w:val="00183E23"/>
    <w:rsid w:val="001843CA"/>
    <w:rsid w:val="0018467A"/>
    <w:rsid w:val="0018575F"/>
    <w:rsid w:val="00186972"/>
    <w:rsid w:val="00187EE6"/>
    <w:rsid w:val="001905B5"/>
    <w:rsid w:val="00192218"/>
    <w:rsid w:val="001942AE"/>
    <w:rsid w:val="00194DCA"/>
    <w:rsid w:val="001960E4"/>
    <w:rsid w:val="001962CE"/>
    <w:rsid w:val="001973C8"/>
    <w:rsid w:val="001A043C"/>
    <w:rsid w:val="001A16B8"/>
    <w:rsid w:val="001A4BBA"/>
    <w:rsid w:val="001A6DE4"/>
    <w:rsid w:val="001B002B"/>
    <w:rsid w:val="001B09FA"/>
    <w:rsid w:val="001B245B"/>
    <w:rsid w:val="001B26F4"/>
    <w:rsid w:val="001B273A"/>
    <w:rsid w:val="001B27E5"/>
    <w:rsid w:val="001B30D1"/>
    <w:rsid w:val="001B38A2"/>
    <w:rsid w:val="001B415F"/>
    <w:rsid w:val="001B45B0"/>
    <w:rsid w:val="001B4C90"/>
    <w:rsid w:val="001B53C7"/>
    <w:rsid w:val="001B56E9"/>
    <w:rsid w:val="001B657A"/>
    <w:rsid w:val="001B66B2"/>
    <w:rsid w:val="001B6CF8"/>
    <w:rsid w:val="001C1686"/>
    <w:rsid w:val="001C2994"/>
    <w:rsid w:val="001C3187"/>
    <w:rsid w:val="001C3E57"/>
    <w:rsid w:val="001D0A78"/>
    <w:rsid w:val="001D1DC2"/>
    <w:rsid w:val="001D2EAA"/>
    <w:rsid w:val="001D3456"/>
    <w:rsid w:val="001D3DD4"/>
    <w:rsid w:val="001D4A3F"/>
    <w:rsid w:val="001D5221"/>
    <w:rsid w:val="001D7F58"/>
    <w:rsid w:val="001E0699"/>
    <w:rsid w:val="001E0714"/>
    <w:rsid w:val="001E0DDA"/>
    <w:rsid w:val="001E431A"/>
    <w:rsid w:val="001E44D5"/>
    <w:rsid w:val="001E5236"/>
    <w:rsid w:val="001E5BAF"/>
    <w:rsid w:val="001E7D72"/>
    <w:rsid w:val="001F0DEB"/>
    <w:rsid w:val="001F17D7"/>
    <w:rsid w:val="001F21CF"/>
    <w:rsid w:val="001F22B0"/>
    <w:rsid w:val="001F24D3"/>
    <w:rsid w:val="001F3478"/>
    <w:rsid w:val="001F36F7"/>
    <w:rsid w:val="001F37CE"/>
    <w:rsid w:val="001F45A1"/>
    <w:rsid w:val="001F751D"/>
    <w:rsid w:val="00201758"/>
    <w:rsid w:val="00201DA2"/>
    <w:rsid w:val="00202D7E"/>
    <w:rsid w:val="002041D8"/>
    <w:rsid w:val="00204B65"/>
    <w:rsid w:val="002059F4"/>
    <w:rsid w:val="002061D9"/>
    <w:rsid w:val="00206480"/>
    <w:rsid w:val="00206986"/>
    <w:rsid w:val="00206D8A"/>
    <w:rsid w:val="002071AC"/>
    <w:rsid w:val="0021568C"/>
    <w:rsid w:val="0021586C"/>
    <w:rsid w:val="00215B24"/>
    <w:rsid w:val="00217783"/>
    <w:rsid w:val="00220916"/>
    <w:rsid w:val="002218EB"/>
    <w:rsid w:val="00224074"/>
    <w:rsid w:val="00226D68"/>
    <w:rsid w:val="0022704E"/>
    <w:rsid w:val="00231E7D"/>
    <w:rsid w:val="00233F16"/>
    <w:rsid w:val="002355AC"/>
    <w:rsid w:val="00235D2C"/>
    <w:rsid w:val="0023602B"/>
    <w:rsid w:val="0023613D"/>
    <w:rsid w:val="0023B4B6"/>
    <w:rsid w:val="0024063E"/>
    <w:rsid w:val="002409FF"/>
    <w:rsid w:val="002422BB"/>
    <w:rsid w:val="002434C0"/>
    <w:rsid w:val="00244F66"/>
    <w:rsid w:val="00245B69"/>
    <w:rsid w:val="002463D5"/>
    <w:rsid w:val="00247FDB"/>
    <w:rsid w:val="00250845"/>
    <w:rsid w:val="00253B24"/>
    <w:rsid w:val="00255100"/>
    <w:rsid w:val="00256CDB"/>
    <w:rsid w:val="00257F61"/>
    <w:rsid w:val="00261447"/>
    <w:rsid w:val="0026304B"/>
    <w:rsid w:val="00266210"/>
    <w:rsid w:val="00266DDE"/>
    <w:rsid w:val="002705EA"/>
    <w:rsid w:val="00271285"/>
    <w:rsid w:val="002717C6"/>
    <w:rsid w:val="002726CC"/>
    <w:rsid w:val="00273054"/>
    <w:rsid w:val="00273818"/>
    <w:rsid w:val="002738D8"/>
    <w:rsid w:val="00275D3F"/>
    <w:rsid w:val="00276607"/>
    <w:rsid w:val="00276727"/>
    <w:rsid w:val="00280433"/>
    <w:rsid w:val="00280719"/>
    <w:rsid w:val="002807B0"/>
    <w:rsid w:val="00281BB2"/>
    <w:rsid w:val="00281E65"/>
    <w:rsid w:val="00282049"/>
    <w:rsid w:val="00282719"/>
    <w:rsid w:val="00282B58"/>
    <w:rsid w:val="00283D7F"/>
    <w:rsid w:val="00284C7A"/>
    <w:rsid w:val="00285A8D"/>
    <w:rsid w:val="00286115"/>
    <w:rsid w:val="00286A52"/>
    <w:rsid w:val="002908DA"/>
    <w:rsid w:val="00290A8C"/>
    <w:rsid w:val="002910C3"/>
    <w:rsid w:val="002917DB"/>
    <w:rsid w:val="00293E89"/>
    <w:rsid w:val="00294EAC"/>
    <w:rsid w:val="002961E4"/>
    <w:rsid w:val="002963E1"/>
    <w:rsid w:val="00296485"/>
    <w:rsid w:val="002973E7"/>
    <w:rsid w:val="00297C63"/>
    <w:rsid w:val="00297DD1"/>
    <w:rsid w:val="002A0D36"/>
    <w:rsid w:val="002A3508"/>
    <w:rsid w:val="002A3714"/>
    <w:rsid w:val="002A52A6"/>
    <w:rsid w:val="002A5BE1"/>
    <w:rsid w:val="002A5E05"/>
    <w:rsid w:val="002B09C8"/>
    <w:rsid w:val="002B0E49"/>
    <w:rsid w:val="002B0FFE"/>
    <w:rsid w:val="002B12E3"/>
    <w:rsid w:val="002B290C"/>
    <w:rsid w:val="002B5052"/>
    <w:rsid w:val="002B5389"/>
    <w:rsid w:val="002B5ABD"/>
    <w:rsid w:val="002B5B72"/>
    <w:rsid w:val="002C2707"/>
    <w:rsid w:val="002C3D28"/>
    <w:rsid w:val="002C4970"/>
    <w:rsid w:val="002C7985"/>
    <w:rsid w:val="002D173D"/>
    <w:rsid w:val="002D183E"/>
    <w:rsid w:val="002D25C0"/>
    <w:rsid w:val="002D489C"/>
    <w:rsid w:val="002D52CF"/>
    <w:rsid w:val="002D5AB1"/>
    <w:rsid w:val="002D6A8D"/>
    <w:rsid w:val="002D7E33"/>
    <w:rsid w:val="002E04A1"/>
    <w:rsid w:val="002E1378"/>
    <w:rsid w:val="002E247C"/>
    <w:rsid w:val="002E3A57"/>
    <w:rsid w:val="002E4425"/>
    <w:rsid w:val="002E5931"/>
    <w:rsid w:val="002E5D76"/>
    <w:rsid w:val="002E6D08"/>
    <w:rsid w:val="002E72CB"/>
    <w:rsid w:val="002E7F58"/>
    <w:rsid w:val="002F07ED"/>
    <w:rsid w:val="002F0984"/>
    <w:rsid w:val="002F21F7"/>
    <w:rsid w:val="002F6E60"/>
    <w:rsid w:val="002F7D5D"/>
    <w:rsid w:val="00302F6E"/>
    <w:rsid w:val="003041B0"/>
    <w:rsid w:val="00306C11"/>
    <w:rsid w:val="003079DD"/>
    <w:rsid w:val="00311FB6"/>
    <w:rsid w:val="0031217D"/>
    <w:rsid w:val="00313BD4"/>
    <w:rsid w:val="00317382"/>
    <w:rsid w:val="0032642A"/>
    <w:rsid w:val="00326BB9"/>
    <w:rsid w:val="00326C82"/>
    <w:rsid w:val="003273F5"/>
    <w:rsid w:val="0033024B"/>
    <w:rsid w:val="00330950"/>
    <w:rsid w:val="00331116"/>
    <w:rsid w:val="00331FCF"/>
    <w:rsid w:val="00333F61"/>
    <w:rsid w:val="00334B1D"/>
    <w:rsid w:val="00334B99"/>
    <w:rsid w:val="003358C9"/>
    <w:rsid w:val="003368F2"/>
    <w:rsid w:val="00336BCD"/>
    <w:rsid w:val="00341004"/>
    <w:rsid w:val="00341D6A"/>
    <w:rsid w:val="00342A6C"/>
    <w:rsid w:val="003433FA"/>
    <w:rsid w:val="00346AF5"/>
    <w:rsid w:val="00346B64"/>
    <w:rsid w:val="0034757F"/>
    <w:rsid w:val="003501BE"/>
    <w:rsid w:val="0035144B"/>
    <w:rsid w:val="0035238A"/>
    <w:rsid w:val="0035317D"/>
    <w:rsid w:val="00354B39"/>
    <w:rsid w:val="003555E9"/>
    <w:rsid w:val="00356565"/>
    <w:rsid w:val="00356E16"/>
    <w:rsid w:val="00357E8A"/>
    <w:rsid w:val="00360891"/>
    <w:rsid w:val="003639B3"/>
    <w:rsid w:val="003645F8"/>
    <w:rsid w:val="00365423"/>
    <w:rsid w:val="00365511"/>
    <w:rsid w:val="00365B8E"/>
    <w:rsid w:val="00366A37"/>
    <w:rsid w:val="00366B2C"/>
    <w:rsid w:val="00372535"/>
    <w:rsid w:val="0037337B"/>
    <w:rsid w:val="00375E93"/>
    <w:rsid w:val="00376721"/>
    <w:rsid w:val="00377490"/>
    <w:rsid w:val="00377C64"/>
    <w:rsid w:val="00380465"/>
    <w:rsid w:val="0038069C"/>
    <w:rsid w:val="003832B9"/>
    <w:rsid w:val="003845EA"/>
    <w:rsid w:val="003853DC"/>
    <w:rsid w:val="003870A8"/>
    <w:rsid w:val="0038719C"/>
    <w:rsid w:val="00391E9E"/>
    <w:rsid w:val="00393162"/>
    <w:rsid w:val="00393ED4"/>
    <w:rsid w:val="003942E2"/>
    <w:rsid w:val="003951A1"/>
    <w:rsid w:val="00395C2C"/>
    <w:rsid w:val="0039683F"/>
    <w:rsid w:val="00397110"/>
    <w:rsid w:val="003A2AF5"/>
    <w:rsid w:val="003A3242"/>
    <w:rsid w:val="003A39CF"/>
    <w:rsid w:val="003A4512"/>
    <w:rsid w:val="003A48C4"/>
    <w:rsid w:val="003A6B3A"/>
    <w:rsid w:val="003A7633"/>
    <w:rsid w:val="003B0E4D"/>
    <w:rsid w:val="003B11AE"/>
    <w:rsid w:val="003B11BF"/>
    <w:rsid w:val="003B1B65"/>
    <w:rsid w:val="003B26BC"/>
    <w:rsid w:val="003B4912"/>
    <w:rsid w:val="003B574C"/>
    <w:rsid w:val="003B5889"/>
    <w:rsid w:val="003B5BF5"/>
    <w:rsid w:val="003C2282"/>
    <w:rsid w:val="003C2C15"/>
    <w:rsid w:val="003C4459"/>
    <w:rsid w:val="003C45AD"/>
    <w:rsid w:val="003C48A3"/>
    <w:rsid w:val="003C552E"/>
    <w:rsid w:val="003C61C3"/>
    <w:rsid w:val="003D096C"/>
    <w:rsid w:val="003D09E2"/>
    <w:rsid w:val="003D1155"/>
    <w:rsid w:val="003D122F"/>
    <w:rsid w:val="003D19C6"/>
    <w:rsid w:val="003D1E24"/>
    <w:rsid w:val="003D1F14"/>
    <w:rsid w:val="003D2338"/>
    <w:rsid w:val="003D24CC"/>
    <w:rsid w:val="003D4590"/>
    <w:rsid w:val="003D4EE0"/>
    <w:rsid w:val="003E1596"/>
    <w:rsid w:val="003E1E59"/>
    <w:rsid w:val="003E219D"/>
    <w:rsid w:val="003E2F88"/>
    <w:rsid w:val="003E5CB4"/>
    <w:rsid w:val="003F0D73"/>
    <w:rsid w:val="003F1A38"/>
    <w:rsid w:val="003F1F67"/>
    <w:rsid w:val="003F2B98"/>
    <w:rsid w:val="003F4718"/>
    <w:rsid w:val="003F4E1D"/>
    <w:rsid w:val="003F5BE1"/>
    <w:rsid w:val="003F6301"/>
    <w:rsid w:val="00400692"/>
    <w:rsid w:val="00402816"/>
    <w:rsid w:val="00404068"/>
    <w:rsid w:val="0040611A"/>
    <w:rsid w:val="00407122"/>
    <w:rsid w:val="004121AE"/>
    <w:rsid w:val="00412445"/>
    <w:rsid w:val="004130BB"/>
    <w:rsid w:val="00413E0C"/>
    <w:rsid w:val="00414527"/>
    <w:rsid w:val="00415898"/>
    <w:rsid w:val="00416B2C"/>
    <w:rsid w:val="00417394"/>
    <w:rsid w:val="00417DF0"/>
    <w:rsid w:val="00417DFC"/>
    <w:rsid w:val="00420F3D"/>
    <w:rsid w:val="00421435"/>
    <w:rsid w:val="0042178D"/>
    <w:rsid w:val="004221BA"/>
    <w:rsid w:val="0042277D"/>
    <w:rsid w:val="004235D6"/>
    <w:rsid w:val="004241B0"/>
    <w:rsid w:val="00425B92"/>
    <w:rsid w:val="00425BBC"/>
    <w:rsid w:val="00425F33"/>
    <w:rsid w:val="0042680D"/>
    <w:rsid w:val="00427C60"/>
    <w:rsid w:val="004310B5"/>
    <w:rsid w:val="00433DB3"/>
    <w:rsid w:val="00434F3D"/>
    <w:rsid w:val="00434F77"/>
    <w:rsid w:val="00435494"/>
    <w:rsid w:val="004414E7"/>
    <w:rsid w:val="0044353B"/>
    <w:rsid w:val="004439C5"/>
    <w:rsid w:val="0044694C"/>
    <w:rsid w:val="00450B5E"/>
    <w:rsid w:val="00453EF4"/>
    <w:rsid w:val="004544CE"/>
    <w:rsid w:val="004549F0"/>
    <w:rsid w:val="0045503C"/>
    <w:rsid w:val="0045576F"/>
    <w:rsid w:val="00455EAD"/>
    <w:rsid w:val="00460CD6"/>
    <w:rsid w:val="00461214"/>
    <w:rsid w:val="004617A7"/>
    <w:rsid w:val="00461A98"/>
    <w:rsid w:val="0046378B"/>
    <w:rsid w:val="00463BCE"/>
    <w:rsid w:val="00463DBC"/>
    <w:rsid w:val="00467804"/>
    <w:rsid w:val="00467931"/>
    <w:rsid w:val="004720A6"/>
    <w:rsid w:val="004727F2"/>
    <w:rsid w:val="0047392F"/>
    <w:rsid w:val="00473C0E"/>
    <w:rsid w:val="004759A7"/>
    <w:rsid w:val="00482494"/>
    <w:rsid w:val="00484F38"/>
    <w:rsid w:val="00486187"/>
    <w:rsid w:val="0049003D"/>
    <w:rsid w:val="00490409"/>
    <w:rsid w:val="004907FE"/>
    <w:rsid w:val="0049163D"/>
    <w:rsid w:val="004917AF"/>
    <w:rsid w:val="00492409"/>
    <w:rsid w:val="00492EDC"/>
    <w:rsid w:val="00493C33"/>
    <w:rsid w:val="00494B49"/>
    <w:rsid w:val="0049540C"/>
    <w:rsid w:val="00495623"/>
    <w:rsid w:val="004961AC"/>
    <w:rsid w:val="00496826"/>
    <w:rsid w:val="004970C2"/>
    <w:rsid w:val="004A0907"/>
    <w:rsid w:val="004A1385"/>
    <w:rsid w:val="004A7019"/>
    <w:rsid w:val="004A73E2"/>
    <w:rsid w:val="004B0132"/>
    <w:rsid w:val="004B09DB"/>
    <w:rsid w:val="004B17B6"/>
    <w:rsid w:val="004B1838"/>
    <w:rsid w:val="004B42E4"/>
    <w:rsid w:val="004B58AE"/>
    <w:rsid w:val="004B6CDC"/>
    <w:rsid w:val="004C0221"/>
    <w:rsid w:val="004C2C4B"/>
    <w:rsid w:val="004C2DAC"/>
    <w:rsid w:val="004C35C5"/>
    <w:rsid w:val="004C3EE4"/>
    <w:rsid w:val="004C56E1"/>
    <w:rsid w:val="004C6E90"/>
    <w:rsid w:val="004D1445"/>
    <w:rsid w:val="004D499D"/>
    <w:rsid w:val="004D7DCE"/>
    <w:rsid w:val="004E0760"/>
    <w:rsid w:val="004E09A8"/>
    <w:rsid w:val="004E1189"/>
    <w:rsid w:val="004E1F1D"/>
    <w:rsid w:val="004E23FC"/>
    <w:rsid w:val="004E56DD"/>
    <w:rsid w:val="004E5CBA"/>
    <w:rsid w:val="004E6EE2"/>
    <w:rsid w:val="004F235E"/>
    <w:rsid w:val="004F3054"/>
    <w:rsid w:val="004F4100"/>
    <w:rsid w:val="004F4E87"/>
    <w:rsid w:val="004F574E"/>
    <w:rsid w:val="004F700A"/>
    <w:rsid w:val="004F7104"/>
    <w:rsid w:val="004F731A"/>
    <w:rsid w:val="004F7B21"/>
    <w:rsid w:val="005004B9"/>
    <w:rsid w:val="0050240C"/>
    <w:rsid w:val="00502D91"/>
    <w:rsid w:val="00502EFA"/>
    <w:rsid w:val="0050664F"/>
    <w:rsid w:val="0051183D"/>
    <w:rsid w:val="00511B71"/>
    <w:rsid w:val="00512D2A"/>
    <w:rsid w:val="00512E37"/>
    <w:rsid w:val="005145A9"/>
    <w:rsid w:val="00515F16"/>
    <w:rsid w:val="0051789C"/>
    <w:rsid w:val="00520666"/>
    <w:rsid w:val="00520CBA"/>
    <w:rsid w:val="00531514"/>
    <w:rsid w:val="0053526E"/>
    <w:rsid w:val="005353DB"/>
    <w:rsid w:val="00536BBA"/>
    <w:rsid w:val="005406E9"/>
    <w:rsid w:val="00547088"/>
    <w:rsid w:val="00547AA0"/>
    <w:rsid w:val="00547B41"/>
    <w:rsid w:val="0055070C"/>
    <w:rsid w:val="00551637"/>
    <w:rsid w:val="00553A15"/>
    <w:rsid w:val="00553E49"/>
    <w:rsid w:val="00555904"/>
    <w:rsid w:val="0055B78C"/>
    <w:rsid w:val="005622C2"/>
    <w:rsid w:val="00562820"/>
    <w:rsid w:val="005645B8"/>
    <w:rsid w:val="00566EA2"/>
    <w:rsid w:val="00567F88"/>
    <w:rsid w:val="00570C4E"/>
    <w:rsid w:val="00570FC3"/>
    <w:rsid w:val="00574AAC"/>
    <w:rsid w:val="00575DC0"/>
    <w:rsid w:val="005763CF"/>
    <w:rsid w:val="00582487"/>
    <w:rsid w:val="005824DD"/>
    <w:rsid w:val="005838F3"/>
    <w:rsid w:val="0058409C"/>
    <w:rsid w:val="00584C6A"/>
    <w:rsid w:val="00586537"/>
    <w:rsid w:val="00587316"/>
    <w:rsid w:val="0059087E"/>
    <w:rsid w:val="005934F6"/>
    <w:rsid w:val="00594751"/>
    <w:rsid w:val="00595EF1"/>
    <w:rsid w:val="0059709C"/>
    <w:rsid w:val="005A0423"/>
    <w:rsid w:val="005A27CE"/>
    <w:rsid w:val="005A2E3F"/>
    <w:rsid w:val="005B0779"/>
    <w:rsid w:val="005B2CA4"/>
    <w:rsid w:val="005B4E90"/>
    <w:rsid w:val="005B60C2"/>
    <w:rsid w:val="005B6EA8"/>
    <w:rsid w:val="005B7834"/>
    <w:rsid w:val="005C02E8"/>
    <w:rsid w:val="005C22C5"/>
    <w:rsid w:val="005C2F02"/>
    <w:rsid w:val="005C30A1"/>
    <w:rsid w:val="005C38FD"/>
    <w:rsid w:val="005C43FB"/>
    <w:rsid w:val="005C46F6"/>
    <w:rsid w:val="005C50A5"/>
    <w:rsid w:val="005C5278"/>
    <w:rsid w:val="005C719D"/>
    <w:rsid w:val="005C7574"/>
    <w:rsid w:val="005D031F"/>
    <w:rsid w:val="005D079D"/>
    <w:rsid w:val="005D49F6"/>
    <w:rsid w:val="005D55A1"/>
    <w:rsid w:val="005D6CF3"/>
    <w:rsid w:val="005D6F3F"/>
    <w:rsid w:val="005D6FB8"/>
    <w:rsid w:val="005E0A19"/>
    <w:rsid w:val="005E1A4B"/>
    <w:rsid w:val="005E2EA0"/>
    <w:rsid w:val="005E5242"/>
    <w:rsid w:val="005E549F"/>
    <w:rsid w:val="005E7BC1"/>
    <w:rsid w:val="005F065B"/>
    <w:rsid w:val="005F0BC2"/>
    <w:rsid w:val="005F1AA6"/>
    <w:rsid w:val="005F2508"/>
    <w:rsid w:val="005F2B04"/>
    <w:rsid w:val="005F3C50"/>
    <w:rsid w:val="005F3FD1"/>
    <w:rsid w:val="005F4983"/>
    <w:rsid w:val="005F596C"/>
    <w:rsid w:val="005F5DE6"/>
    <w:rsid w:val="005F6C6E"/>
    <w:rsid w:val="005F73D7"/>
    <w:rsid w:val="005F768A"/>
    <w:rsid w:val="00600D47"/>
    <w:rsid w:val="00600DD8"/>
    <w:rsid w:val="006010E7"/>
    <w:rsid w:val="00603585"/>
    <w:rsid w:val="0060512B"/>
    <w:rsid w:val="00605875"/>
    <w:rsid w:val="0060671E"/>
    <w:rsid w:val="006124ED"/>
    <w:rsid w:val="0061430C"/>
    <w:rsid w:val="00614476"/>
    <w:rsid w:val="0061485B"/>
    <w:rsid w:val="0061511E"/>
    <w:rsid w:val="00616E46"/>
    <w:rsid w:val="00617A48"/>
    <w:rsid w:val="00617C6E"/>
    <w:rsid w:val="006211A6"/>
    <w:rsid w:val="00621AD6"/>
    <w:rsid w:val="00621D9B"/>
    <w:rsid w:val="00621E1B"/>
    <w:rsid w:val="006221DC"/>
    <w:rsid w:val="006222D4"/>
    <w:rsid w:val="00622B7D"/>
    <w:rsid w:val="00623018"/>
    <w:rsid w:val="0062324D"/>
    <w:rsid w:val="006236C0"/>
    <w:rsid w:val="00624DF7"/>
    <w:rsid w:val="00630001"/>
    <w:rsid w:val="00630BCE"/>
    <w:rsid w:val="006320D0"/>
    <w:rsid w:val="006327FC"/>
    <w:rsid w:val="0063321D"/>
    <w:rsid w:val="00633D65"/>
    <w:rsid w:val="0063643F"/>
    <w:rsid w:val="00636BC3"/>
    <w:rsid w:val="006412E6"/>
    <w:rsid w:val="00641C45"/>
    <w:rsid w:val="0064332C"/>
    <w:rsid w:val="006435F5"/>
    <w:rsid w:val="00645676"/>
    <w:rsid w:val="00645BB8"/>
    <w:rsid w:val="006465E8"/>
    <w:rsid w:val="0064734A"/>
    <w:rsid w:val="0065042C"/>
    <w:rsid w:val="00650EDC"/>
    <w:rsid w:val="00653411"/>
    <w:rsid w:val="00653B30"/>
    <w:rsid w:val="00654CC7"/>
    <w:rsid w:val="00655024"/>
    <w:rsid w:val="0065664A"/>
    <w:rsid w:val="006610C6"/>
    <w:rsid w:val="0066199B"/>
    <w:rsid w:val="006625EC"/>
    <w:rsid w:val="00664325"/>
    <w:rsid w:val="0066541F"/>
    <w:rsid w:val="006657A4"/>
    <w:rsid w:val="00666FEA"/>
    <w:rsid w:val="006678DA"/>
    <w:rsid w:val="00671188"/>
    <w:rsid w:val="00672205"/>
    <w:rsid w:val="00672978"/>
    <w:rsid w:val="00673042"/>
    <w:rsid w:val="0067308F"/>
    <w:rsid w:val="006779A2"/>
    <w:rsid w:val="00677BEE"/>
    <w:rsid w:val="0068049A"/>
    <w:rsid w:val="0068116D"/>
    <w:rsid w:val="00681CD0"/>
    <w:rsid w:val="0068206E"/>
    <w:rsid w:val="006824C9"/>
    <w:rsid w:val="0068261C"/>
    <w:rsid w:val="00682AC6"/>
    <w:rsid w:val="00684B22"/>
    <w:rsid w:val="0068526A"/>
    <w:rsid w:val="00686FC0"/>
    <w:rsid w:val="00687980"/>
    <w:rsid w:val="006929EA"/>
    <w:rsid w:val="00692C74"/>
    <w:rsid w:val="006943C3"/>
    <w:rsid w:val="0069480E"/>
    <w:rsid w:val="006961CF"/>
    <w:rsid w:val="006A00A7"/>
    <w:rsid w:val="006A0317"/>
    <w:rsid w:val="006A07BE"/>
    <w:rsid w:val="006A0BFB"/>
    <w:rsid w:val="006A0DE4"/>
    <w:rsid w:val="006A128C"/>
    <w:rsid w:val="006A3344"/>
    <w:rsid w:val="006A3B72"/>
    <w:rsid w:val="006A459F"/>
    <w:rsid w:val="006A6F82"/>
    <w:rsid w:val="006A77F8"/>
    <w:rsid w:val="006B0982"/>
    <w:rsid w:val="006B0AF0"/>
    <w:rsid w:val="006B1D85"/>
    <w:rsid w:val="006B52E1"/>
    <w:rsid w:val="006B59C3"/>
    <w:rsid w:val="006B5A60"/>
    <w:rsid w:val="006B72D6"/>
    <w:rsid w:val="006C3EAA"/>
    <w:rsid w:val="006C4E1A"/>
    <w:rsid w:val="006C74FA"/>
    <w:rsid w:val="006C7DFF"/>
    <w:rsid w:val="006D01C8"/>
    <w:rsid w:val="006D0E50"/>
    <w:rsid w:val="006D379E"/>
    <w:rsid w:val="006D3F03"/>
    <w:rsid w:val="006D48CD"/>
    <w:rsid w:val="006D529B"/>
    <w:rsid w:val="006D7085"/>
    <w:rsid w:val="006D7720"/>
    <w:rsid w:val="006E15BF"/>
    <w:rsid w:val="006E39C7"/>
    <w:rsid w:val="006E5322"/>
    <w:rsid w:val="006F1AC8"/>
    <w:rsid w:val="006F1D15"/>
    <w:rsid w:val="006F2021"/>
    <w:rsid w:val="006F2967"/>
    <w:rsid w:val="006F35C8"/>
    <w:rsid w:val="006F3735"/>
    <w:rsid w:val="006F3A47"/>
    <w:rsid w:val="006F41C6"/>
    <w:rsid w:val="006F5477"/>
    <w:rsid w:val="006F67C2"/>
    <w:rsid w:val="007002AF"/>
    <w:rsid w:val="007015D7"/>
    <w:rsid w:val="00702291"/>
    <w:rsid w:val="00703879"/>
    <w:rsid w:val="007046AC"/>
    <w:rsid w:val="00705A80"/>
    <w:rsid w:val="00705DAB"/>
    <w:rsid w:val="00707B04"/>
    <w:rsid w:val="00710616"/>
    <w:rsid w:val="0071109F"/>
    <w:rsid w:val="0071184A"/>
    <w:rsid w:val="0071269F"/>
    <w:rsid w:val="00714F13"/>
    <w:rsid w:val="0071639E"/>
    <w:rsid w:val="00717026"/>
    <w:rsid w:val="00723A57"/>
    <w:rsid w:val="00726A2F"/>
    <w:rsid w:val="0073027D"/>
    <w:rsid w:val="0073054C"/>
    <w:rsid w:val="00731EDF"/>
    <w:rsid w:val="0073379E"/>
    <w:rsid w:val="00733FAF"/>
    <w:rsid w:val="007357FC"/>
    <w:rsid w:val="007366CE"/>
    <w:rsid w:val="00741685"/>
    <w:rsid w:val="00750726"/>
    <w:rsid w:val="00750BA0"/>
    <w:rsid w:val="00750C81"/>
    <w:rsid w:val="00750CC4"/>
    <w:rsid w:val="00751422"/>
    <w:rsid w:val="00751FE3"/>
    <w:rsid w:val="00755F21"/>
    <w:rsid w:val="00760241"/>
    <w:rsid w:val="00760869"/>
    <w:rsid w:val="00761142"/>
    <w:rsid w:val="00762FC6"/>
    <w:rsid w:val="00764CE4"/>
    <w:rsid w:val="00766B0A"/>
    <w:rsid w:val="0076753C"/>
    <w:rsid w:val="007700EB"/>
    <w:rsid w:val="00771FA0"/>
    <w:rsid w:val="00772AB5"/>
    <w:rsid w:val="00772BA2"/>
    <w:rsid w:val="00772E35"/>
    <w:rsid w:val="00773A0F"/>
    <w:rsid w:val="00773AC1"/>
    <w:rsid w:val="00773DB2"/>
    <w:rsid w:val="00776B0D"/>
    <w:rsid w:val="00777FF0"/>
    <w:rsid w:val="0078240E"/>
    <w:rsid w:val="00782791"/>
    <w:rsid w:val="00785A53"/>
    <w:rsid w:val="00787DEA"/>
    <w:rsid w:val="00791CD2"/>
    <w:rsid w:val="00792002"/>
    <w:rsid w:val="007931FD"/>
    <w:rsid w:val="00793758"/>
    <w:rsid w:val="00793FE0"/>
    <w:rsid w:val="0079430B"/>
    <w:rsid w:val="007947CA"/>
    <w:rsid w:val="007A01E7"/>
    <w:rsid w:val="007A0E33"/>
    <w:rsid w:val="007A2EC6"/>
    <w:rsid w:val="007A2F55"/>
    <w:rsid w:val="007A3C9E"/>
    <w:rsid w:val="007A3DE7"/>
    <w:rsid w:val="007A3F25"/>
    <w:rsid w:val="007A4989"/>
    <w:rsid w:val="007A5AB2"/>
    <w:rsid w:val="007A7BFB"/>
    <w:rsid w:val="007B244D"/>
    <w:rsid w:val="007B3187"/>
    <w:rsid w:val="007B3221"/>
    <w:rsid w:val="007B519F"/>
    <w:rsid w:val="007B687A"/>
    <w:rsid w:val="007C1770"/>
    <w:rsid w:val="007C3C9D"/>
    <w:rsid w:val="007C42C6"/>
    <w:rsid w:val="007C48B9"/>
    <w:rsid w:val="007C756D"/>
    <w:rsid w:val="007D2BC3"/>
    <w:rsid w:val="007D30B2"/>
    <w:rsid w:val="007D380E"/>
    <w:rsid w:val="007D38EA"/>
    <w:rsid w:val="007D4F4A"/>
    <w:rsid w:val="007D5B1A"/>
    <w:rsid w:val="007D5FDF"/>
    <w:rsid w:val="007D6EB0"/>
    <w:rsid w:val="007D749D"/>
    <w:rsid w:val="007E0AFB"/>
    <w:rsid w:val="007E1519"/>
    <w:rsid w:val="007E1A19"/>
    <w:rsid w:val="007E24AC"/>
    <w:rsid w:val="007E342A"/>
    <w:rsid w:val="007E43FF"/>
    <w:rsid w:val="007E48A0"/>
    <w:rsid w:val="007E7571"/>
    <w:rsid w:val="007F0CE5"/>
    <w:rsid w:val="007F1D17"/>
    <w:rsid w:val="007F1F9A"/>
    <w:rsid w:val="007F2210"/>
    <w:rsid w:val="007F3A69"/>
    <w:rsid w:val="007F4FAB"/>
    <w:rsid w:val="007F6602"/>
    <w:rsid w:val="007F79E3"/>
    <w:rsid w:val="007F7E00"/>
    <w:rsid w:val="0080193B"/>
    <w:rsid w:val="00803F62"/>
    <w:rsid w:val="00804564"/>
    <w:rsid w:val="008053C1"/>
    <w:rsid w:val="00806374"/>
    <w:rsid w:val="0081082C"/>
    <w:rsid w:val="00810B58"/>
    <w:rsid w:val="00810FA9"/>
    <w:rsid w:val="008136E4"/>
    <w:rsid w:val="00814EA2"/>
    <w:rsid w:val="00821670"/>
    <w:rsid w:val="008218BA"/>
    <w:rsid w:val="00822378"/>
    <w:rsid w:val="00824718"/>
    <w:rsid w:val="008271D9"/>
    <w:rsid w:val="00827AED"/>
    <w:rsid w:val="00827D9E"/>
    <w:rsid w:val="0083006D"/>
    <w:rsid w:val="008308F1"/>
    <w:rsid w:val="00830B93"/>
    <w:rsid w:val="00831525"/>
    <w:rsid w:val="00831B4D"/>
    <w:rsid w:val="00831D58"/>
    <w:rsid w:val="00833EC2"/>
    <w:rsid w:val="00833FD4"/>
    <w:rsid w:val="00835E06"/>
    <w:rsid w:val="00835ED6"/>
    <w:rsid w:val="00836D7B"/>
    <w:rsid w:val="00836DC9"/>
    <w:rsid w:val="00840FAA"/>
    <w:rsid w:val="00840FBA"/>
    <w:rsid w:val="008434E5"/>
    <w:rsid w:val="00844C22"/>
    <w:rsid w:val="008451B3"/>
    <w:rsid w:val="00845504"/>
    <w:rsid w:val="0084687F"/>
    <w:rsid w:val="00852A5A"/>
    <w:rsid w:val="0085456B"/>
    <w:rsid w:val="00854F15"/>
    <w:rsid w:val="00855467"/>
    <w:rsid w:val="00855B6D"/>
    <w:rsid w:val="008572A8"/>
    <w:rsid w:val="00857BB8"/>
    <w:rsid w:val="0085EE4A"/>
    <w:rsid w:val="00863765"/>
    <w:rsid w:val="00863C6D"/>
    <w:rsid w:val="008645F4"/>
    <w:rsid w:val="008650B1"/>
    <w:rsid w:val="008667A4"/>
    <w:rsid w:val="00867276"/>
    <w:rsid w:val="00867DB4"/>
    <w:rsid w:val="00870926"/>
    <w:rsid w:val="008733AD"/>
    <w:rsid w:val="00874928"/>
    <w:rsid w:val="00876A82"/>
    <w:rsid w:val="00876F39"/>
    <w:rsid w:val="00877062"/>
    <w:rsid w:val="008800A8"/>
    <w:rsid w:val="00882784"/>
    <w:rsid w:val="00883FB1"/>
    <w:rsid w:val="00884233"/>
    <w:rsid w:val="008851E4"/>
    <w:rsid w:val="00885220"/>
    <w:rsid w:val="00885D50"/>
    <w:rsid w:val="00887726"/>
    <w:rsid w:val="00887A01"/>
    <w:rsid w:val="00887B95"/>
    <w:rsid w:val="00887D63"/>
    <w:rsid w:val="0089049E"/>
    <w:rsid w:val="008928F1"/>
    <w:rsid w:val="008954A8"/>
    <w:rsid w:val="00895C6D"/>
    <w:rsid w:val="0089628D"/>
    <w:rsid w:val="008969CC"/>
    <w:rsid w:val="008977C6"/>
    <w:rsid w:val="0089782B"/>
    <w:rsid w:val="00897D7E"/>
    <w:rsid w:val="008A058B"/>
    <w:rsid w:val="008A07AF"/>
    <w:rsid w:val="008A094B"/>
    <w:rsid w:val="008A1389"/>
    <w:rsid w:val="008A1464"/>
    <w:rsid w:val="008A1953"/>
    <w:rsid w:val="008A1CCF"/>
    <w:rsid w:val="008A21DC"/>
    <w:rsid w:val="008A4AE2"/>
    <w:rsid w:val="008A62FE"/>
    <w:rsid w:val="008A630F"/>
    <w:rsid w:val="008A75E4"/>
    <w:rsid w:val="008B038F"/>
    <w:rsid w:val="008B1574"/>
    <w:rsid w:val="008B18D2"/>
    <w:rsid w:val="008B2660"/>
    <w:rsid w:val="008B3D55"/>
    <w:rsid w:val="008B4B40"/>
    <w:rsid w:val="008B4FAF"/>
    <w:rsid w:val="008B5477"/>
    <w:rsid w:val="008B5980"/>
    <w:rsid w:val="008B770B"/>
    <w:rsid w:val="008C154F"/>
    <w:rsid w:val="008C16F4"/>
    <w:rsid w:val="008C29E9"/>
    <w:rsid w:val="008C31D3"/>
    <w:rsid w:val="008C3E43"/>
    <w:rsid w:val="008C5277"/>
    <w:rsid w:val="008D0202"/>
    <w:rsid w:val="008D1378"/>
    <w:rsid w:val="008D2210"/>
    <w:rsid w:val="008D407F"/>
    <w:rsid w:val="008D4333"/>
    <w:rsid w:val="008D70CC"/>
    <w:rsid w:val="008E020B"/>
    <w:rsid w:val="008E1804"/>
    <w:rsid w:val="008E2384"/>
    <w:rsid w:val="008E46CD"/>
    <w:rsid w:val="008E6A92"/>
    <w:rsid w:val="008F1202"/>
    <w:rsid w:val="008F19B2"/>
    <w:rsid w:val="008F6B7B"/>
    <w:rsid w:val="00900AD3"/>
    <w:rsid w:val="00900D78"/>
    <w:rsid w:val="00901576"/>
    <w:rsid w:val="00902374"/>
    <w:rsid w:val="00902CFA"/>
    <w:rsid w:val="0090325D"/>
    <w:rsid w:val="00905FF6"/>
    <w:rsid w:val="00907300"/>
    <w:rsid w:val="00912541"/>
    <w:rsid w:val="00914C4E"/>
    <w:rsid w:val="00916F7A"/>
    <w:rsid w:val="00920FE9"/>
    <w:rsid w:val="00922CBA"/>
    <w:rsid w:val="009257F5"/>
    <w:rsid w:val="00925B0F"/>
    <w:rsid w:val="00925E47"/>
    <w:rsid w:val="009267AD"/>
    <w:rsid w:val="009279D1"/>
    <w:rsid w:val="00930660"/>
    <w:rsid w:val="00932580"/>
    <w:rsid w:val="0093316B"/>
    <w:rsid w:val="00933FE7"/>
    <w:rsid w:val="00934C2F"/>
    <w:rsid w:val="00936193"/>
    <w:rsid w:val="00936DFF"/>
    <w:rsid w:val="0093783D"/>
    <w:rsid w:val="00940265"/>
    <w:rsid w:val="00943354"/>
    <w:rsid w:val="0094392F"/>
    <w:rsid w:val="00943B85"/>
    <w:rsid w:val="009464FA"/>
    <w:rsid w:val="00946A5E"/>
    <w:rsid w:val="0094766D"/>
    <w:rsid w:val="009505AD"/>
    <w:rsid w:val="00950FAC"/>
    <w:rsid w:val="0095121E"/>
    <w:rsid w:val="009514FE"/>
    <w:rsid w:val="0095572F"/>
    <w:rsid w:val="0095663E"/>
    <w:rsid w:val="0095685B"/>
    <w:rsid w:val="00956CAC"/>
    <w:rsid w:val="00960B16"/>
    <w:rsid w:val="00964928"/>
    <w:rsid w:val="00966533"/>
    <w:rsid w:val="00971648"/>
    <w:rsid w:val="0097247F"/>
    <w:rsid w:val="00976280"/>
    <w:rsid w:val="009767E8"/>
    <w:rsid w:val="0097772C"/>
    <w:rsid w:val="009803E7"/>
    <w:rsid w:val="0098141A"/>
    <w:rsid w:val="00983D33"/>
    <w:rsid w:val="00983DF2"/>
    <w:rsid w:val="00983F47"/>
    <w:rsid w:val="009859BC"/>
    <w:rsid w:val="00985C0E"/>
    <w:rsid w:val="00986091"/>
    <w:rsid w:val="009866A1"/>
    <w:rsid w:val="0099083E"/>
    <w:rsid w:val="00991104"/>
    <w:rsid w:val="00992050"/>
    <w:rsid w:val="009929A0"/>
    <w:rsid w:val="00993D9E"/>
    <w:rsid w:val="00996936"/>
    <w:rsid w:val="0099771F"/>
    <w:rsid w:val="009A05A2"/>
    <w:rsid w:val="009A5143"/>
    <w:rsid w:val="009A5145"/>
    <w:rsid w:val="009A66B6"/>
    <w:rsid w:val="009A7738"/>
    <w:rsid w:val="009B2563"/>
    <w:rsid w:val="009B2ACE"/>
    <w:rsid w:val="009B3749"/>
    <w:rsid w:val="009B4144"/>
    <w:rsid w:val="009B4B15"/>
    <w:rsid w:val="009B5596"/>
    <w:rsid w:val="009B5E44"/>
    <w:rsid w:val="009B7771"/>
    <w:rsid w:val="009C0239"/>
    <w:rsid w:val="009C21C5"/>
    <w:rsid w:val="009C5512"/>
    <w:rsid w:val="009C6AE1"/>
    <w:rsid w:val="009D1902"/>
    <w:rsid w:val="009D2342"/>
    <w:rsid w:val="009D33F0"/>
    <w:rsid w:val="009D39A7"/>
    <w:rsid w:val="009D494B"/>
    <w:rsid w:val="009D7C11"/>
    <w:rsid w:val="009E02ED"/>
    <w:rsid w:val="009E0966"/>
    <w:rsid w:val="009F0562"/>
    <w:rsid w:val="009F0D69"/>
    <w:rsid w:val="009F2774"/>
    <w:rsid w:val="009F2DD5"/>
    <w:rsid w:val="009F4069"/>
    <w:rsid w:val="009F4BA8"/>
    <w:rsid w:val="009F4FBF"/>
    <w:rsid w:val="009F52D6"/>
    <w:rsid w:val="009F6495"/>
    <w:rsid w:val="00A01BDB"/>
    <w:rsid w:val="00A025FD"/>
    <w:rsid w:val="00A042D3"/>
    <w:rsid w:val="00A04771"/>
    <w:rsid w:val="00A055B4"/>
    <w:rsid w:val="00A079FA"/>
    <w:rsid w:val="00A10513"/>
    <w:rsid w:val="00A10820"/>
    <w:rsid w:val="00A11643"/>
    <w:rsid w:val="00A134C8"/>
    <w:rsid w:val="00A13E06"/>
    <w:rsid w:val="00A14158"/>
    <w:rsid w:val="00A14647"/>
    <w:rsid w:val="00A14AE6"/>
    <w:rsid w:val="00A15DA9"/>
    <w:rsid w:val="00A15DFF"/>
    <w:rsid w:val="00A202BC"/>
    <w:rsid w:val="00A203B7"/>
    <w:rsid w:val="00A22214"/>
    <w:rsid w:val="00A22680"/>
    <w:rsid w:val="00A27F52"/>
    <w:rsid w:val="00A313AF"/>
    <w:rsid w:val="00A32427"/>
    <w:rsid w:val="00A326BB"/>
    <w:rsid w:val="00A32FC4"/>
    <w:rsid w:val="00A33137"/>
    <w:rsid w:val="00A33CDA"/>
    <w:rsid w:val="00A34B8C"/>
    <w:rsid w:val="00A3679A"/>
    <w:rsid w:val="00A379D7"/>
    <w:rsid w:val="00A405E0"/>
    <w:rsid w:val="00A42129"/>
    <w:rsid w:val="00A42521"/>
    <w:rsid w:val="00A46F3E"/>
    <w:rsid w:val="00A47159"/>
    <w:rsid w:val="00A47C96"/>
    <w:rsid w:val="00A50922"/>
    <w:rsid w:val="00A52464"/>
    <w:rsid w:val="00A537A3"/>
    <w:rsid w:val="00A54020"/>
    <w:rsid w:val="00A55089"/>
    <w:rsid w:val="00A55CC4"/>
    <w:rsid w:val="00A56015"/>
    <w:rsid w:val="00A56C91"/>
    <w:rsid w:val="00A6028C"/>
    <w:rsid w:val="00A606F3"/>
    <w:rsid w:val="00A62217"/>
    <w:rsid w:val="00A63D81"/>
    <w:rsid w:val="00A640A9"/>
    <w:rsid w:val="00A64E4C"/>
    <w:rsid w:val="00A65539"/>
    <w:rsid w:val="00A67152"/>
    <w:rsid w:val="00A67A25"/>
    <w:rsid w:val="00A7023B"/>
    <w:rsid w:val="00A71551"/>
    <w:rsid w:val="00A71E18"/>
    <w:rsid w:val="00A72919"/>
    <w:rsid w:val="00A73400"/>
    <w:rsid w:val="00A73CA7"/>
    <w:rsid w:val="00A7448C"/>
    <w:rsid w:val="00A77143"/>
    <w:rsid w:val="00A8056B"/>
    <w:rsid w:val="00A8196B"/>
    <w:rsid w:val="00A82CED"/>
    <w:rsid w:val="00A83F01"/>
    <w:rsid w:val="00A85561"/>
    <w:rsid w:val="00A85B28"/>
    <w:rsid w:val="00A85FD4"/>
    <w:rsid w:val="00A905DE"/>
    <w:rsid w:val="00A92DD1"/>
    <w:rsid w:val="00A93BDB"/>
    <w:rsid w:val="00AA26A0"/>
    <w:rsid w:val="00AA6A13"/>
    <w:rsid w:val="00AA7A7A"/>
    <w:rsid w:val="00AB05AD"/>
    <w:rsid w:val="00AB0D06"/>
    <w:rsid w:val="00AB0D24"/>
    <w:rsid w:val="00AB2413"/>
    <w:rsid w:val="00AB2E2D"/>
    <w:rsid w:val="00AB39BC"/>
    <w:rsid w:val="00AB5FE4"/>
    <w:rsid w:val="00AB614C"/>
    <w:rsid w:val="00AB69C3"/>
    <w:rsid w:val="00AB6A2C"/>
    <w:rsid w:val="00AB70CB"/>
    <w:rsid w:val="00AB7ED9"/>
    <w:rsid w:val="00AC0118"/>
    <w:rsid w:val="00AC070E"/>
    <w:rsid w:val="00AC3FE7"/>
    <w:rsid w:val="00AC4930"/>
    <w:rsid w:val="00AC4D3D"/>
    <w:rsid w:val="00AC5312"/>
    <w:rsid w:val="00AC5A42"/>
    <w:rsid w:val="00AD009A"/>
    <w:rsid w:val="00AD0DEB"/>
    <w:rsid w:val="00AD2BE1"/>
    <w:rsid w:val="00AD3E73"/>
    <w:rsid w:val="00AD4E86"/>
    <w:rsid w:val="00AD7842"/>
    <w:rsid w:val="00AD79F3"/>
    <w:rsid w:val="00AE01D4"/>
    <w:rsid w:val="00AE14CA"/>
    <w:rsid w:val="00AE2F72"/>
    <w:rsid w:val="00AE3E2D"/>
    <w:rsid w:val="00AE47C0"/>
    <w:rsid w:val="00AF0B39"/>
    <w:rsid w:val="00AF2ED0"/>
    <w:rsid w:val="00AF5B0E"/>
    <w:rsid w:val="00AF7129"/>
    <w:rsid w:val="00AF7706"/>
    <w:rsid w:val="00B002FA"/>
    <w:rsid w:val="00B01137"/>
    <w:rsid w:val="00B04249"/>
    <w:rsid w:val="00B046B2"/>
    <w:rsid w:val="00B04B5F"/>
    <w:rsid w:val="00B04C37"/>
    <w:rsid w:val="00B05285"/>
    <w:rsid w:val="00B076BB"/>
    <w:rsid w:val="00B10468"/>
    <w:rsid w:val="00B1352E"/>
    <w:rsid w:val="00B14D93"/>
    <w:rsid w:val="00B162AC"/>
    <w:rsid w:val="00B170AF"/>
    <w:rsid w:val="00B20C46"/>
    <w:rsid w:val="00B21A96"/>
    <w:rsid w:val="00B23162"/>
    <w:rsid w:val="00B2345D"/>
    <w:rsid w:val="00B24426"/>
    <w:rsid w:val="00B262D4"/>
    <w:rsid w:val="00B26E8B"/>
    <w:rsid w:val="00B275B7"/>
    <w:rsid w:val="00B3100A"/>
    <w:rsid w:val="00B3245B"/>
    <w:rsid w:val="00B32705"/>
    <w:rsid w:val="00B33E4E"/>
    <w:rsid w:val="00B36422"/>
    <w:rsid w:val="00B40BF7"/>
    <w:rsid w:val="00B40D93"/>
    <w:rsid w:val="00B41016"/>
    <w:rsid w:val="00B419F0"/>
    <w:rsid w:val="00B41BC0"/>
    <w:rsid w:val="00B43413"/>
    <w:rsid w:val="00B43499"/>
    <w:rsid w:val="00B440E8"/>
    <w:rsid w:val="00B464D7"/>
    <w:rsid w:val="00B46D7F"/>
    <w:rsid w:val="00B50651"/>
    <w:rsid w:val="00B51E5D"/>
    <w:rsid w:val="00B5279A"/>
    <w:rsid w:val="00B535EF"/>
    <w:rsid w:val="00B55ABF"/>
    <w:rsid w:val="00B5633E"/>
    <w:rsid w:val="00B57A25"/>
    <w:rsid w:val="00B57BED"/>
    <w:rsid w:val="00B61109"/>
    <w:rsid w:val="00B61E1E"/>
    <w:rsid w:val="00B61ECA"/>
    <w:rsid w:val="00B63A76"/>
    <w:rsid w:val="00B64918"/>
    <w:rsid w:val="00B65E12"/>
    <w:rsid w:val="00B6607A"/>
    <w:rsid w:val="00B677CC"/>
    <w:rsid w:val="00B70AF9"/>
    <w:rsid w:val="00B7584F"/>
    <w:rsid w:val="00B76216"/>
    <w:rsid w:val="00B762C3"/>
    <w:rsid w:val="00B769DD"/>
    <w:rsid w:val="00B77530"/>
    <w:rsid w:val="00B8081E"/>
    <w:rsid w:val="00B83606"/>
    <w:rsid w:val="00B83D92"/>
    <w:rsid w:val="00B87930"/>
    <w:rsid w:val="00B90436"/>
    <w:rsid w:val="00B90D79"/>
    <w:rsid w:val="00B92B78"/>
    <w:rsid w:val="00B93A36"/>
    <w:rsid w:val="00B9532C"/>
    <w:rsid w:val="00B969BA"/>
    <w:rsid w:val="00B977EC"/>
    <w:rsid w:val="00BA1FF0"/>
    <w:rsid w:val="00BA2B4B"/>
    <w:rsid w:val="00BA36CE"/>
    <w:rsid w:val="00BB0A8E"/>
    <w:rsid w:val="00BB0C2C"/>
    <w:rsid w:val="00BB29A1"/>
    <w:rsid w:val="00BB4965"/>
    <w:rsid w:val="00BB49C7"/>
    <w:rsid w:val="00BB60CE"/>
    <w:rsid w:val="00BB68C5"/>
    <w:rsid w:val="00BB7017"/>
    <w:rsid w:val="00BB702E"/>
    <w:rsid w:val="00BC0E6C"/>
    <w:rsid w:val="00BC2F0A"/>
    <w:rsid w:val="00BC3B8E"/>
    <w:rsid w:val="00BC5171"/>
    <w:rsid w:val="00BC6D25"/>
    <w:rsid w:val="00BC6E3D"/>
    <w:rsid w:val="00BC7A0C"/>
    <w:rsid w:val="00BD1989"/>
    <w:rsid w:val="00BD1BAB"/>
    <w:rsid w:val="00BD52ED"/>
    <w:rsid w:val="00BE083C"/>
    <w:rsid w:val="00BE0E03"/>
    <w:rsid w:val="00BE1519"/>
    <w:rsid w:val="00BE461C"/>
    <w:rsid w:val="00BE5497"/>
    <w:rsid w:val="00BE629C"/>
    <w:rsid w:val="00BE6AFF"/>
    <w:rsid w:val="00BE7648"/>
    <w:rsid w:val="00BF04C3"/>
    <w:rsid w:val="00BF0BEA"/>
    <w:rsid w:val="00BF11AA"/>
    <w:rsid w:val="00BF1FFA"/>
    <w:rsid w:val="00BF2D9A"/>
    <w:rsid w:val="00BF345E"/>
    <w:rsid w:val="00BF3B88"/>
    <w:rsid w:val="00BF56D4"/>
    <w:rsid w:val="00BF6745"/>
    <w:rsid w:val="00C0168B"/>
    <w:rsid w:val="00C01896"/>
    <w:rsid w:val="00C02215"/>
    <w:rsid w:val="00C027C1"/>
    <w:rsid w:val="00C03968"/>
    <w:rsid w:val="00C03FCA"/>
    <w:rsid w:val="00C04A6C"/>
    <w:rsid w:val="00C06667"/>
    <w:rsid w:val="00C0675E"/>
    <w:rsid w:val="00C068EE"/>
    <w:rsid w:val="00C07F1F"/>
    <w:rsid w:val="00C10A14"/>
    <w:rsid w:val="00C1128A"/>
    <w:rsid w:val="00C13437"/>
    <w:rsid w:val="00C13C64"/>
    <w:rsid w:val="00C159F9"/>
    <w:rsid w:val="00C15D87"/>
    <w:rsid w:val="00C15E38"/>
    <w:rsid w:val="00C16189"/>
    <w:rsid w:val="00C165B4"/>
    <w:rsid w:val="00C237E2"/>
    <w:rsid w:val="00C23B24"/>
    <w:rsid w:val="00C24F3F"/>
    <w:rsid w:val="00C26409"/>
    <w:rsid w:val="00C27011"/>
    <w:rsid w:val="00C27DB7"/>
    <w:rsid w:val="00C30331"/>
    <w:rsid w:val="00C3038D"/>
    <w:rsid w:val="00C30E5D"/>
    <w:rsid w:val="00C30EE2"/>
    <w:rsid w:val="00C316BF"/>
    <w:rsid w:val="00C31A70"/>
    <w:rsid w:val="00C33C1D"/>
    <w:rsid w:val="00C33E65"/>
    <w:rsid w:val="00C35946"/>
    <w:rsid w:val="00C35A44"/>
    <w:rsid w:val="00C41188"/>
    <w:rsid w:val="00C4176D"/>
    <w:rsid w:val="00C420E1"/>
    <w:rsid w:val="00C445E4"/>
    <w:rsid w:val="00C44CE2"/>
    <w:rsid w:val="00C44F6B"/>
    <w:rsid w:val="00C455D4"/>
    <w:rsid w:val="00C46F5A"/>
    <w:rsid w:val="00C47D6B"/>
    <w:rsid w:val="00C5240E"/>
    <w:rsid w:val="00C52681"/>
    <w:rsid w:val="00C538BE"/>
    <w:rsid w:val="00C56605"/>
    <w:rsid w:val="00C569A2"/>
    <w:rsid w:val="00C60793"/>
    <w:rsid w:val="00C608C8"/>
    <w:rsid w:val="00C61B35"/>
    <w:rsid w:val="00C61D56"/>
    <w:rsid w:val="00C61DD9"/>
    <w:rsid w:val="00C624CE"/>
    <w:rsid w:val="00C6353F"/>
    <w:rsid w:val="00C63DF2"/>
    <w:rsid w:val="00C64F69"/>
    <w:rsid w:val="00C66D1A"/>
    <w:rsid w:val="00C675EB"/>
    <w:rsid w:val="00C7069B"/>
    <w:rsid w:val="00C71C3D"/>
    <w:rsid w:val="00C720D3"/>
    <w:rsid w:val="00C81FAD"/>
    <w:rsid w:val="00C82191"/>
    <w:rsid w:val="00C8271C"/>
    <w:rsid w:val="00C84271"/>
    <w:rsid w:val="00C85904"/>
    <w:rsid w:val="00C87D33"/>
    <w:rsid w:val="00C914C4"/>
    <w:rsid w:val="00C962FE"/>
    <w:rsid w:val="00C97A8A"/>
    <w:rsid w:val="00CA0BAD"/>
    <w:rsid w:val="00CA1923"/>
    <w:rsid w:val="00CA19A2"/>
    <w:rsid w:val="00CA23FB"/>
    <w:rsid w:val="00CA2A34"/>
    <w:rsid w:val="00CA2AF0"/>
    <w:rsid w:val="00CA54C7"/>
    <w:rsid w:val="00CA6021"/>
    <w:rsid w:val="00CA602D"/>
    <w:rsid w:val="00CA6750"/>
    <w:rsid w:val="00CB19D4"/>
    <w:rsid w:val="00CB482E"/>
    <w:rsid w:val="00CB64EF"/>
    <w:rsid w:val="00CB6A38"/>
    <w:rsid w:val="00CC0801"/>
    <w:rsid w:val="00CC2038"/>
    <w:rsid w:val="00CC39E7"/>
    <w:rsid w:val="00CC4D3C"/>
    <w:rsid w:val="00CC4E86"/>
    <w:rsid w:val="00CC51D4"/>
    <w:rsid w:val="00CC58F0"/>
    <w:rsid w:val="00CC5C4C"/>
    <w:rsid w:val="00CC5FEE"/>
    <w:rsid w:val="00CC61E3"/>
    <w:rsid w:val="00CC62B1"/>
    <w:rsid w:val="00CC6336"/>
    <w:rsid w:val="00CC73C9"/>
    <w:rsid w:val="00CC75ED"/>
    <w:rsid w:val="00CD3523"/>
    <w:rsid w:val="00CD478D"/>
    <w:rsid w:val="00CD48BD"/>
    <w:rsid w:val="00CD52D4"/>
    <w:rsid w:val="00CD536C"/>
    <w:rsid w:val="00CD6984"/>
    <w:rsid w:val="00CE0732"/>
    <w:rsid w:val="00CE177F"/>
    <w:rsid w:val="00CE4415"/>
    <w:rsid w:val="00CE4BAD"/>
    <w:rsid w:val="00CE5C09"/>
    <w:rsid w:val="00CE695D"/>
    <w:rsid w:val="00CE6D62"/>
    <w:rsid w:val="00CF085A"/>
    <w:rsid w:val="00CF3007"/>
    <w:rsid w:val="00CF7699"/>
    <w:rsid w:val="00D00383"/>
    <w:rsid w:val="00D006BE"/>
    <w:rsid w:val="00D00AD6"/>
    <w:rsid w:val="00D01870"/>
    <w:rsid w:val="00D0206E"/>
    <w:rsid w:val="00D025F8"/>
    <w:rsid w:val="00D0290A"/>
    <w:rsid w:val="00D03962"/>
    <w:rsid w:val="00D03BFF"/>
    <w:rsid w:val="00D03EE4"/>
    <w:rsid w:val="00D04A61"/>
    <w:rsid w:val="00D04B20"/>
    <w:rsid w:val="00D0547C"/>
    <w:rsid w:val="00D05545"/>
    <w:rsid w:val="00D10846"/>
    <w:rsid w:val="00D1292B"/>
    <w:rsid w:val="00D1368B"/>
    <w:rsid w:val="00D13747"/>
    <w:rsid w:val="00D140B5"/>
    <w:rsid w:val="00D20DA8"/>
    <w:rsid w:val="00D2170E"/>
    <w:rsid w:val="00D22081"/>
    <w:rsid w:val="00D22F4D"/>
    <w:rsid w:val="00D278E1"/>
    <w:rsid w:val="00D3176A"/>
    <w:rsid w:val="00D3217E"/>
    <w:rsid w:val="00D35E46"/>
    <w:rsid w:val="00D368A7"/>
    <w:rsid w:val="00D369CC"/>
    <w:rsid w:val="00D371B1"/>
    <w:rsid w:val="00D41509"/>
    <w:rsid w:val="00D41874"/>
    <w:rsid w:val="00D43015"/>
    <w:rsid w:val="00D46DA6"/>
    <w:rsid w:val="00D475E4"/>
    <w:rsid w:val="00D5105F"/>
    <w:rsid w:val="00D51B35"/>
    <w:rsid w:val="00D5340A"/>
    <w:rsid w:val="00D53902"/>
    <w:rsid w:val="00D543AF"/>
    <w:rsid w:val="00D559AE"/>
    <w:rsid w:val="00D617DA"/>
    <w:rsid w:val="00D63099"/>
    <w:rsid w:val="00D630AA"/>
    <w:rsid w:val="00D643D0"/>
    <w:rsid w:val="00D65728"/>
    <w:rsid w:val="00D67256"/>
    <w:rsid w:val="00D67270"/>
    <w:rsid w:val="00D67BA7"/>
    <w:rsid w:val="00D70727"/>
    <w:rsid w:val="00D73EEB"/>
    <w:rsid w:val="00D742A7"/>
    <w:rsid w:val="00D75E3F"/>
    <w:rsid w:val="00D80D21"/>
    <w:rsid w:val="00D82003"/>
    <w:rsid w:val="00D83509"/>
    <w:rsid w:val="00D8360A"/>
    <w:rsid w:val="00D847D2"/>
    <w:rsid w:val="00D85121"/>
    <w:rsid w:val="00D85CD3"/>
    <w:rsid w:val="00D923B8"/>
    <w:rsid w:val="00D938C2"/>
    <w:rsid w:val="00D94752"/>
    <w:rsid w:val="00D95538"/>
    <w:rsid w:val="00D9553A"/>
    <w:rsid w:val="00D96086"/>
    <w:rsid w:val="00D96202"/>
    <w:rsid w:val="00D9665E"/>
    <w:rsid w:val="00DA1CE9"/>
    <w:rsid w:val="00DA5B30"/>
    <w:rsid w:val="00DA5C03"/>
    <w:rsid w:val="00DA6FBC"/>
    <w:rsid w:val="00DA7B89"/>
    <w:rsid w:val="00DB0A07"/>
    <w:rsid w:val="00DB1C79"/>
    <w:rsid w:val="00DB1F1B"/>
    <w:rsid w:val="00DB383C"/>
    <w:rsid w:val="00DB4D66"/>
    <w:rsid w:val="00DB5BDD"/>
    <w:rsid w:val="00DB67B7"/>
    <w:rsid w:val="00DC0595"/>
    <w:rsid w:val="00DC3256"/>
    <w:rsid w:val="00DC427C"/>
    <w:rsid w:val="00DC6056"/>
    <w:rsid w:val="00DC6905"/>
    <w:rsid w:val="00DC6B65"/>
    <w:rsid w:val="00DC744A"/>
    <w:rsid w:val="00DC7E30"/>
    <w:rsid w:val="00DD1523"/>
    <w:rsid w:val="00DD3644"/>
    <w:rsid w:val="00DD3B69"/>
    <w:rsid w:val="00DD4208"/>
    <w:rsid w:val="00DD4559"/>
    <w:rsid w:val="00DD52A5"/>
    <w:rsid w:val="00DD65B4"/>
    <w:rsid w:val="00DD685C"/>
    <w:rsid w:val="00DE2410"/>
    <w:rsid w:val="00DE3748"/>
    <w:rsid w:val="00DE4F91"/>
    <w:rsid w:val="00DE5258"/>
    <w:rsid w:val="00DE5415"/>
    <w:rsid w:val="00DE5579"/>
    <w:rsid w:val="00DE61EC"/>
    <w:rsid w:val="00DF0E55"/>
    <w:rsid w:val="00DF2553"/>
    <w:rsid w:val="00DF31A8"/>
    <w:rsid w:val="00DF3740"/>
    <w:rsid w:val="00DF3C37"/>
    <w:rsid w:val="00DF420D"/>
    <w:rsid w:val="00DF4EB2"/>
    <w:rsid w:val="00DF54CB"/>
    <w:rsid w:val="00DF591D"/>
    <w:rsid w:val="00DF5A8C"/>
    <w:rsid w:val="00DF5EC6"/>
    <w:rsid w:val="00E00E93"/>
    <w:rsid w:val="00E01C47"/>
    <w:rsid w:val="00E0355A"/>
    <w:rsid w:val="00E03D30"/>
    <w:rsid w:val="00E053F1"/>
    <w:rsid w:val="00E058D6"/>
    <w:rsid w:val="00E07DC6"/>
    <w:rsid w:val="00E101E9"/>
    <w:rsid w:val="00E12139"/>
    <w:rsid w:val="00E12331"/>
    <w:rsid w:val="00E127A1"/>
    <w:rsid w:val="00E13704"/>
    <w:rsid w:val="00E14613"/>
    <w:rsid w:val="00E14F53"/>
    <w:rsid w:val="00E22C28"/>
    <w:rsid w:val="00E23A7A"/>
    <w:rsid w:val="00E24E42"/>
    <w:rsid w:val="00E26EF3"/>
    <w:rsid w:val="00E26FE5"/>
    <w:rsid w:val="00E27EDB"/>
    <w:rsid w:val="00E30005"/>
    <w:rsid w:val="00E30863"/>
    <w:rsid w:val="00E30CAA"/>
    <w:rsid w:val="00E3123A"/>
    <w:rsid w:val="00E32623"/>
    <w:rsid w:val="00E33DC1"/>
    <w:rsid w:val="00E34891"/>
    <w:rsid w:val="00E35FAA"/>
    <w:rsid w:val="00E37480"/>
    <w:rsid w:val="00E37C65"/>
    <w:rsid w:val="00E41A30"/>
    <w:rsid w:val="00E43D18"/>
    <w:rsid w:val="00E44661"/>
    <w:rsid w:val="00E44DD4"/>
    <w:rsid w:val="00E453DD"/>
    <w:rsid w:val="00E468A0"/>
    <w:rsid w:val="00E472FA"/>
    <w:rsid w:val="00E47426"/>
    <w:rsid w:val="00E514ED"/>
    <w:rsid w:val="00E519DA"/>
    <w:rsid w:val="00E53553"/>
    <w:rsid w:val="00E53C1E"/>
    <w:rsid w:val="00E54C5B"/>
    <w:rsid w:val="00E616FA"/>
    <w:rsid w:val="00E62EA4"/>
    <w:rsid w:val="00E6307F"/>
    <w:rsid w:val="00E715B6"/>
    <w:rsid w:val="00E742DD"/>
    <w:rsid w:val="00E749D0"/>
    <w:rsid w:val="00E75310"/>
    <w:rsid w:val="00E762C8"/>
    <w:rsid w:val="00E768D1"/>
    <w:rsid w:val="00E7762E"/>
    <w:rsid w:val="00E81793"/>
    <w:rsid w:val="00E82516"/>
    <w:rsid w:val="00E83026"/>
    <w:rsid w:val="00E83244"/>
    <w:rsid w:val="00E832C2"/>
    <w:rsid w:val="00E840FB"/>
    <w:rsid w:val="00E84587"/>
    <w:rsid w:val="00E850AB"/>
    <w:rsid w:val="00E873FB"/>
    <w:rsid w:val="00E903A2"/>
    <w:rsid w:val="00E9065E"/>
    <w:rsid w:val="00E90D87"/>
    <w:rsid w:val="00E91372"/>
    <w:rsid w:val="00E91639"/>
    <w:rsid w:val="00E91959"/>
    <w:rsid w:val="00E952D2"/>
    <w:rsid w:val="00E95FAB"/>
    <w:rsid w:val="00E95FFE"/>
    <w:rsid w:val="00E96B56"/>
    <w:rsid w:val="00E97A43"/>
    <w:rsid w:val="00EA02B3"/>
    <w:rsid w:val="00EA107A"/>
    <w:rsid w:val="00EA169C"/>
    <w:rsid w:val="00EA1876"/>
    <w:rsid w:val="00EA40FD"/>
    <w:rsid w:val="00EA46B1"/>
    <w:rsid w:val="00EA529C"/>
    <w:rsid w:val="00EA5522"/>
    <w:rsid w:val="00EA695A"/>
    <w:rsid w:val="00EA7172"/>
    <w:rsid w:val="00EA7A34"/>
    <w:rsid w:val="00EB1F7B"/>
    <w:rsid w:val="00EB369E"/>
    <w:rsid w:val="00EB4320"/>
    <w:rsid w:val="00EB548D"/>
    <w:rsid w:val="00EB5BFC"/>
    <w:rsid w:val="00EB5F35"/>
    <w:rsid w:val="00EC352F"/>
    <w:rsid w:val="00EC57A9"/>
    <w:rsid w:val="00EC67F2"/>
    <w:rsid w:val="00EC6E1B"/>
    <w:rsid w:val="00EC769D"/>
    <w:rsid w:val="00ED1169"/>
    <w:rsid w:val="00ED1825"/>
    <w:rsid w:val="00ED1DD7"/>
    <w:rsid w:val="00ED33F4"/>
    <w:rsid w:val="00ED3946"/>
    <w:rsid w:val="00ED71E6"/>
    <w:rsid w:val="00EE2A4B"/>
    <w:rsid w:val="00EE3D8F"/>
    <w:rsid w:val="00EF08A2"/>
    <w:rsid w:val="00EF3F07"/>
    <w:rsid w:val="00EF50B4"/>
    <w:rsid w:val="00EF5826"/>
    <w:rsid w:val="00EF590C"/>
    <w:rsid w:val="00EF5A45"/>
    <w:rsid w:val="00EF5BD5"/>
    <w:rsid w:val="00EF6576"/>
    <w:rsid w:val="00EF698A"/>
    <w:rsid w:val="00F0077C"/>
    <w:rsid w:val="00F015D2"/>
    <w:rsid w:val="00F01FBB"/>
    <w:rsid w:val="00F03C9E"/>
    <w:rsid w:val="00F03E3B"/>
    <w:rsid w:val="00F04A7B"/>
    <w:rsid w:val="00F05D40"/>
    <w:rsid w:val="00F06DD2"/>
    <w:rsid w:val="00F12200"/>
    <w:rsid w:val="00F1257E"/>
    <w:rsid w:val="00F125A0"/>
    <w:rsid w:val="00F1404F"/>
    <w:rsid w:val="00F15BC3"/>
    <w:rsid w:val="00F16659"/>
    <w:rsid w:val="00F175AA"/>
    <w:rsid w:val="00F176D7"/>
    <w:rsid w:val="00F2010D"/>
    <w:rsid w:val="00F2063F"/>
    <w:rsid w:val="00F20AA1"/>
    <w:rsid w:val="00F20FF8"/>
    <w:rsid w:val="00F221C5"/>
    <w:rsid w:val="00F22720"/>
    <w:rsid w:val="00F230A8"/>
    <w:rsid w:val="00F23CB1"/>
    <w:rsid w:val="00F24A10"/>
    <w:rsid w:val="00F25A8D"/>
    <w:rsid w:val="00F26583"/>
    <w:rsid w:val="00F27D46"/>
    <w:rsid w:val="00F31907"/>
    <w:rsid w:val="00F329C8"/>
    <w:rsid w:val="00F330F3"/>
    <w:rsid w:val="00F33682"/>
    <w:rsid w:val="00F34ED6"/>
    <w:rsid w:val="00F357A3"/>
    <w:rsid w:val="00F365E8"/>
    <w:rsid w:val="00F3723A"/>
    <w:rsid w:val="00F37A5D"/>
    <w:rsid w:val="00F422EC"/>
    <w:rsid w:val="00F4329E"/>
    <w:rsid w:val="00F44AFD"/>
    <w:rsid w:val="00F45F7D"/>
    <w:rsid w:val="00F46D89"/>
    <w:rsid w:val="00F47DAC"/>
    <w:rsid w:val="00F47EF1"/>
    <w:rsid w:val="00F51808"/>
    <w:rsid w:val="00F518FF"/>
    <w:rsid w:val="00F525DA"/>
    <w:rsid w:val="00F5458F"/>
    <w:rsid w:val="00F54A89"/>
    <w:rsid w:val="00F56F0D"/>
    <w:rsid w:val="00F60E95"/>
    <w:rsid w:val="00F616B4"/>
    <w:rsid w:val="00F64534"/>
    <w:rsid w:val="00F64E1E"/>
    <w:rsid w:val="00F6635F"/>
    <w:rsid w:val="00F715F8"/>
    <w:rsid w:val="00F71ACE"/>
    <w:rsid w:val="00F73C45"/>
    <w:rsid w:val="00F74ADF"/>
    <w:rsid w:val="00F7584A"/>
    <w:rsid w:val="00F75C07"/>
    <w:rsid w:val="00F8056D"/>
    <w:rsid w:val="00F80C08"/>
    <w:rsid w:val="00F81D21"/>
    <w:rsid w:val="00F83C06"/>
    <w:rsid w:val="00F85D1A"/>
    <w:rsid w:val="00F86030"/>
    <w:rsid w:val="00F86157"/>
    <w:rsid w:val="00F87F6D"/>
    <w:rsid w:val="00F9011F"/>
    <w:rsid w:val="00F90C0F"/>
    <w:rsid w:val="00F90ED0"/>
    <w:rsid w:val="00F9130C"/>
    <w:rsid w:val="00F91A5A"/>
    <w:rsid w:val="00F94AEB"/>
    <w:rsid w:val="00F953FC"/>
    <w:rsid w:val="00FA1E9F"/>
    <w:rsid w:val="00FA205A"/>
    <w:rsid w:val="00FA21C9"/>
    <w:rsid w:val="00FA39C3"/>
    <w:rsid w:val="00FA3EED"/>
    <w:rsid w:val="00FA4830"/>
    <w:rsid w:val="00FA4C97"/>
    <w:rsid w:val="00FB2484"/>
    <w:rsid w:val="00FB2F60"/>
    <w:rsid w:val="00FB5A13"/>
    <w:rsid w:val="00FB5FF6"/>
    <w:rsid w:val="00FB63F0"/>
    <w:rsid w:val="00FC0220"/>
    <w:rsid w:val="00FC0F43"/>
    <w:rsid w:val="00FC194F"/>
    <w:rsid w:val="00FC42AF"/>
    <w:rsid w:val="00FC5D16"/>
    <w:rsid w:val="00FC7527"/>
    <w:rsid w:val="00FD0B48"/>
    <w:rsid w:val="00FD5154"/>
    <w:rsid w:val="00FD5295"/>
    <w:rsid w:val="00FE0AAE"/>
    <w:rsid w:val="00FE55FF"/>
    <w:rsid w:val="00FF1071"/>
    <w:rsid w:val="00FF2A48"/>
    <w:rsid w:val="00FF4A47"/>
    <w:rsid w:val="00FF699A"/>
    <w:rsid w:val="00FF6D9C"/>
    <w:rsid w:val="00FF7934"/>
    <w:rsid w:val="00FF7B94"/>
    <w:rsid w:val="01A1FD8F"/>
    <w:rsid w:val="01B72339"/>
    <w:rsid w:val="02BCA535"/>
    <w:rsid w:val="032E0664"/>
    <w:rsid w:val="03363E82"/>
    <w:rsid w:val="0341AA3C"/>
    <w:rsid w:val="0346BF69"/>
    <w:rsid w:val="0359A3A9"/>
    <w:rsid w:val="044C50C5"/>
    <w:rsid w:val="04FE3817"/>
    <w:rsid w:val="0533857E"/>
    <w:rsid w:val="05C94992"/>
    <w:rsid w:val="05CE8A30"/>
    <w:rsid w:val="062A2EB3"/>
    <w:rsid w:val="067260CE"/>
    <w:rsid w:val="06EF25AC"/>
    <w:rsid w:val="077483CA"/>
    <w:rsid w:val="0843D8D1"/>
    <w:rsid w:val="08C50FDB"/>
    <w:rsid w:val="08EFEE8C"/>
    <w:rsid w:val="0977B3D2"/>
    <w:rsid w:val="09E76A5F"/>
    <w:rsid w:val="0AEF671E"/>
    <w:rsid w:val="0B38C7F3"/>
    <w:rsid w:val="0BD61287"/>
    <w:rsid w:val="0C60F967"/>
    <w:rsid w:val="0D470FEC"/>
    <w:rsid w:val="0D73A950"/>
    <w:rsid w:val="0DB5DDB8"/>
    <w:rsid w:val="0DEB69C1"/>
    <w:rsid w:val="0EB1EEF6"/>
    <w:rsid w:val="0FC08399"/>
    <w:rsid w:val="0FC727E7"/>
    <w:rsid w:val="0FDF832A"/>
    <w:rsid w:val="1010B8D5"/>
    <w:rsid w:val="10921D24"/>
    <w:rsid w:val="109C8E5C"/>
    <w:rsid w:val="10ECE702"/>
    <w:rsid w:val="1142F5AA"/>
    <w:rsid w:val="1208AD2E"/>
    <w:rsid w:val="12F24C84"/>
    <w:rsid w:val="133C2E14"/>
    <w:rsid w:val="13AF756D"/>
    <w:rsid w:val="13C620D0"/>
    <w:rsid w:val="13DF0BBE"/>
    <w:rsid w:val="1443DA25"/>
    <w:rsid w:val="1448F8B7"/>
    <w:rsid w:val="14A80AA3"/>
    <w:rsid w:val="15066301"/>
    <w:rsid w:val="15612C03"/>
    <w:rsid w:val="15AEA3CB"/>
    <w:rsid w:val="15DB0CFC"/>
    <w:rsid w:val="160F99C2"/>
    <w:rsid w:val="165520C9"/>
    <w:rsid w:val="171C10E7"/>
    <w:rsid w:val="173E5B92"/>
    <w:rsid w:val="1769ADEF"/>
    <w:rsid w:val="17898AAF"/>
    <w:rsid w:val="178A9288"/>
    <w:rsid w:val="17A3650B"/>
    <w:rsid w:val="18621FA1"/>
    <w:rsid w:val="18B59125"/>
    <w:rsid w:val="18E67663"/>
    <w:rsid w:val="1912A78C"/>
    <w:rsid w:val="1937C44E"/>
    <w:rsid w:val="1989E720"/>
    <w:rsid w:val="1A7F4812"/>
    <w:rsid w:val="1ACD6E8C"/>
    <w:rsid w:val="1ADF9FA0"/>
    <w:rsid w:val="1B1B2A65"/>
    <w:rsid w:val="1B235131"/>
    <w:rsid w:val="1B7AA00F"/>
    <w:rsid w:val="1BFBA49E"/>
    <w:rsid w:val="1C84AF5C"/>
    <w:rsid w:val="1CB25D2D"/>
    <w:rsid w:val="1CBBC4F8"/>
    <w:rsid w:val="1CE34BD0"/>
    <w:rsid w:val="1D45FDA8"/>
    <w:rsid w:val="1D89E6D9"/>
    <w:rsid w:val="1DF659D7"/>
    <w:rsid w:val="1DFDF0BA"/>
    <w:rsid w:val="1E1FDFED"/>
    <w:rsid w:val="1F2A36EE"/>
    <w:rsid w:val="1FD135F0"/>
    <w:rsid w:val="20380C3C"/>
    <w:rsid w:val="20738CBF"/>
    <w:rsid w:val="207D9AA3"/>
    <w:rsid w:val="20D1D2D6"/>
    <w:rsid w:val="217E983C"/>
    <w:rsid w:val="21DB36C8"/>
    <w:rsid w:val="21F629D7"/>
    <w:rsid w:val="22155BA6"/>
    <w:rsid w:val="22733337"/>
    <w:rsid w:val="22736E74"/>
    <w:rsid w:val="22AA1825"/>
    <w:rsid w:val="22AAE741"/>
    <w:rsid w:val="23D12A10"/>
    <w:rsid w:val="23E84309"/>
    <w:rsid w:val="2453398C"/>
    <w:rsid w:val="25801758"/>
    <w:rsid w:val="268EF3C9"/>
    <w:rsid w:val="26F15054"/>
    <w:rsid w:val="26F6A4EC"/>
    <w:rsid w:val="274EC8CE"/>
    <w:rsid w:val="27CD0DCA"/>
    <w:rsid w:val="27D5B9F7"/>
    <w:rsid w:val="281E812B"/>
    <w:rsid w:val="2880C41A"/>
    <w:rsid w:val="29111407"/>
    <w:rsid w:val="29C65B58"/>
    <w:rsid w:val="29D28442"/>
    <w:rsid w:val="29E46D63"/>
    <w:rsid w:val="2A0BA4F9"/>
    <w:rsid w:val="2A393A66"/>
    <w:rsid w:val="2A483843"/>
    <w:rsid w:val="2A9295B8"/>
    <w:rsid w:val="2ACF776F"/>
    <w:rsid w:val="2ADB8658"/>
    <w:rsid w:val="2AE2EB51"/>
    <w:rsid w:val="2AFFE7AF"/>
    <w:rsid w:val="2B0DAAE3"/>
    <w:rsid w:val="2B5DD260"/>
    <w:rsid w:val="2BFB43A7"/>
    <w:rsid w:val="2CBA92A0"/>
    <w:rsid w:val="2DEBD1C7"/>
    <w:rsid w:val="2DF2964C"/>
    <w:rsid w:val="2E0473BC"/>
    <w:rsid w:val="2E082B45"/>
    <w:rsid w:val="2E7BD6CF"/>
    <w:rsid w:val="2EA2690C"/>
    <w:rsid w:val="2F8B51F3"/>
    <w:rsid w:val="2FAF512A"/>
    <w:rsid w:val="2FDE539B"/>
    <w:rsid w:val="30370C5F"/>
    <w:rsid w:val="303E9434"/>
    <w:rsid w:val="314CEAAE"/>
    <w:rsid w:val="31D2D143"/>
    <w:rsid w:val="320569A5"/>
    <w:rsid w:val="32D22DB6"/>
    <w:rsid w:val="32DE6A2C"/>
    <w:rsid w:val="34AF8941"/>
    <w:rsid w:val="34C6BF24"/>
    <w:rsid w:val="34F055DC"/>
    <w:rsid w:val="355A4E12"/>
    <w:rsid w:val="3634D1A6"/>
    <w:rsid w:val="366299C2"/>
    <w:rsid w:val="368B25E8"/>
    <w:rsid w:val="36A59DFA"/>
    <w:rsid w:val="36CF1D91"/>
    <w:rsid w:val="36D3D760"/>
    <w:rsid w:val="3700037A"/>
    <w:rsid w:val="374D0D1D"/>
    <w:rsid w:val="376FBD17"/>
    <w:rsid w:val="37F631E7"/>
    <w:rsid w:val="386AEDF2"/>
    <w:rsid w:val="38E82C14"/>
    <w:rsid w:val="394F30FD"/>
    <w:rsid w:val="39875082"/>
    <w:rsid w:val="39E2B5D4"/>
    <w:rsid w:val="3A0626DB"/>
    <w:rsid w:val="3A96A9C7"/>
    <w:rsid w:val="3AB46F34"/>
    <w:rsid w:val="3B3F1FEA"/>
    <w:rsid w:val="3B508362"/>
    <w:rsid w:val="3B85637C"/>
    <w:rsid w:val="3BCECC31"/>
    <w:rsid w:val="3C07A72C"/>
    <w:rsid w:val="3C9D7E2D"/>
    <w:rsid w:val="3D3B977B"/>
    <w:rsid w:val="3D6C62FA"/>
    <w:rsid w:val="3D77162C"/>
    <w:rsid w:val="3D9AF12C"/>
    <w:rsid w:val="3D9EE204"/>
    <w:rsid w:val="3E12DCD1"/>
    <w:rsid w:val="3E78AEEF"/>
    <w:rsid w:val="3ECEE17B"/>
    <w:rsid w:val="3FF12EB6"/>
    <w:rsid w:val="402BA1BE"/>
    <w:rsid w:val="40CD8EA6"/>
    <w:rsid w:val="410521B0"/>
    <w:rsid w:val="41B40D58"/>
    <w:rsid w:val="41F315CE"/>
    <w:rsid w:val="42B0C22B"/>
    <w:rsid w:val="42C20142"/>
    <w:rsid w:val="42FF6EDE"/>
    <w:rsid w:val="43110CE8"/>
    <w:rsid w:val="432DA0A8"/>
    <w:rsid w:val="4347D0DC"/>
    <w:rsid w:val="4432991A"/>
    <w:rsid w:val="4489EE34"/>
    <w:rsid w:val="44B30D1E"/>
    <w:rsid w:val="452D215E"/>
    <w:rsid w:val="4531E678"/>
    <w:rsid w:val="453582B0"/>
    <w:rsid w:val="462F1E53"/>
    <w:rsid w:val="468C5D30"/>
    <w:rsid w:val="46E8B873"/>
    <w:rsid w:val="47472A13"/>
    <w:rsid w:val="477CAB6A"/>
    <w:rsid w:val="47D7FFA8"/>
    <w:rsid w:val="499B5F68"/>
    <w:rsid w:val="49F5D68E"/>
    <w:rsid w:val="4A03B794"/>
    <w:rsid w:val="4AEA4383"/>
    <w:rsid w:val="4B7227F8"/>
    <w:rsid w:val="4C227FCC"/>
    <w:rsid w:val="4C7BDC33"/>
    <w:rsid w:val="4C8D8B98"/>
    <w:rsid w:val="4CCCDD29"/>
    <w:rsid w:val="4CE87AF4"/>
    <w:rsid w:val="4CF5C9EF"/>
    <w:rsid w:val="4D2A4F55"/>
    <w:rsid w:val="4D8E675F"/>
    <w:rsid w:val="4DE76322"/>
    <w:rsid w:val="4DF38ABA"/>
    <w:rsid w:val="4DF81D37"/>
    <w:rsid w:val="4E1A2AEC"/>
    <w:rsid w:val="4E91C4B5"/>
    <w:rsid w:val="4EA180D1"/>
    <w:rsid w:val="4EB1BF89"/>
    <w:rsid w:val="4EC3E2E1"/>
    <w:rsid w:val="4EDE678D"/>
    <w:rsid w:val="4F01E05F"/>
    <w:rsid w:val="4F088FA1"/>
    <w:rsid w:val="4F25D5C0"/>
    <w:rsid w:val="4F937D5C"/>
    <w:rsid w:val="4FCD7CDE"/>
    <w:rsid w:val="5003B54E"/>
    <w:rsid w:val="501A96FE"/>
    <w:rsid w:val="501BDFE0"/>
    <w:rsid w:val="50977B7B"/>
    <w:rsid w:val="50B29CBB"/>
    <w:rsid w:val="50B5E06B"/>
    <w:rsid w:val="50F7BD2D"/>
    <w:rsid w:val="50FDBEA5"/>
    <w:rsid w:val="51E45CE3"/>
    <w:rsid w:val="52EC65D7"/>
    <w:rsid w:val="533688CC"/>
    <w:rsid w:val="53CBA875"/>
    <w:rsid w:val="543D6BC2"/>
    <w:rsid w:val="54922697"/>
    <w:rsid w:val="54AB6AF5"/>
    <w:rsid w:val="54DF8FD1"/>
    <w:rsid w:val="54E9CEEA"/>
    <w:rsid w:val="56822933"/>
    <w:rsid w:val="56914048"/>
    <w:rsid w:val="5781285C"/>
    <w:rsid w:val="5836FEA7"/>
    <w:rsid w:val="58A35A3A"/>
    <w:rsid w:val="58CBE54C"/>
    <w:rsid w:val="590075F4"/>
    <w:rsid w:val="5992D636"/>
    <w:rsid w:val="5AAD4191"/>
    <w:rsid w:val="5B5EF4AA"/>
    <w:rsid w:val="5BECEA4A"/>
    <w:rsid w:val="5C3F0E95"/>
    <w:rsid w:val="5C63C0D7"/>
    <w:rsid w:val="5CF2765D"/>
    <w:rsid w:val="5D110F56"/>
    <w:rsid w:val="5D5CD33A"/>
    <w:rsid w:val="5D82BCBC"/>
    <w:rsid w:val="5DB3E449"/>
    <w:rsid w:val="5F26F3EB"/>
    <w:rsid w:val="5F4C45AB"/>
    <w:rsid w:val="5FBE5D93"/>
    <w:rsid w:val="5FDD1649"/>
    <w:rsid w:val="60526328"/>
    <w:rsid w:val="60556718"/>
    <w:rsid w:val="606944BD"/>
    <w:rsid w:val="60C600E5"/>
    <w:rsid w:val="63011443"/>
    <w:rsid w:val="63BF5F0A"/>
    <w:rsid w:val="63F5C902"/>
    <w:rsid w:val="6439432E"/>
    <w:rsid w:val="648B3AF9"/>
    <w:rsid w:val="64D7BAE1"/>
    <w:rsid w:val="64F5CED9"/>
    <w:rsid w:val="6515E48C"/>
    <w:rsid w:val="6579F0B7"/>
    <w:rsid w:val="65AE2280"/>
    <w:rsid w:val="65C44DB3"/>
    <w:rsid w:val="6650564B"/>
    <w:rsid w:val="6850CA60"/>
    <w:rsid w:val="689B5D86"/>
    <w:rsid w:val="6916356D"/>
    <w:rsid w:val="698CFC4A"/>
    <w:rsid w:val="69E716C2"/>
    <w:rsid w:val="69EB2313"/>
    <w:rsid w:val="69EE98E0"/>
    <w:rsid w:val="6AB033EC"/>
    <w:rsid w:val="6B69EAB6"/>
    <w:rsid w:val="6B714260"/>
    <w:rsid w:val="6C0407EE"/>
    <w:rsid w:val="6C25931C"/>
    <w:rsid w:val="6CA1DCE6"/>
    <w:rsid w:val="6CA8F922"/>
    <w:rsid w:val="6CC7BB61"/>
    <w:rsid w:val="6D3B3F71"/>
    <w:rsid w:val="6E3CF4B6"/>
    <w:rsid w:val="6E55EA55"/>
    <w:rsid w:val="6E6237D9"/>
    <w:rsid w:val="6E86E7F0"/>
    <w:rsid w:val="6E934795"/>
    <w:rsid w:val="6F24F028"/>
    <w:rsid w:val="6F40B627"/>
    <w:rsid w:val="6F54CA21"/>
    <w:rsid w:val="6FB3A363"/>
    <w:rsid w:val="6FF4A885"/>
    <w:rsid w:val="7073C430"/>
    <w:rsid w:val="707C655C"/>
    <w:rsid w:val="708A4EF0"/>
    <w:rsid w:val="70FBD1B4"/>
    <w:rsid w:val="7203D590"/>
    <w:rsid w:val="72329A03"/>
    <w:rsid w:val="727168C2"/>
    <w:rsid w:val="7282B7F2"/>
    <w:rsid w:val="72A87C8F"/>
    <w:rsid w:val="73AD1112"/>
    <w:rsid w:val="73DAB71C"/>
    <w:rsid w:val="73F27DB8"/>
    <w:rsid w:val="73F2B089"/>
    <w:rsid w:val="73FD192C"/>
    <w:rsid w:val="740257C3"/>
    <w:rsid w:val="74259D10"/>
    <w:rsid w:val="74588F2B"/>
    <w:rsid w:val="7462CDD8"/>
    <w:rsid w:val="7474BD5D"/>
    <w:rsid w:val="74844711"/>
    <w:rsid w:val="74DC4A2D"/>
    <w:rsid w:val="74E116A7"/>
    <w:rsid w:val="765C2A57"/>
    <w:rsid w:val="7660539C"/>
    <w:rsid w:val="768A9568"/>
    <w:rsid w:val="76A87559"/>
    <w:rsid w:val="76B63715"/>
    <w:rsid w:val="76BF8017"/>
    <w:rsid w:val="7716793F"/>
    <w:rsid w:val="776A3E70"/>
    <w:rsid w:val="77C81D86"/>
    <w:rsid w:val="77CD80F2"/>
    <w:rsid w:val="77EB226F"/>
    <w:rsid w:val="784FB34B"/>
    <w:rsid w:val="78557CF1"/>
    <w:rsid w:val="78E206CD"/>
    <w:rsid w:val="79254FEC"/>
    <w:rsid w:val="7946AC69"/>
    <w:rsid w:val="7965072F"/>
    <w:rsid w:val="79784092"/>
    <w:rsid w:val="7995FF61"/>
    <w:rsid w:val="7996F37D"/>
    <w:rsid w:val="7997FEF6"/>
    <w:rsid w:val="7AB23102"/>
    <w:rsid w:val="7B441DBF"/>
    <w:rsid w:val="7B98ABB2"/>
    <w:rsid w:val="7BA2AE32"/>
    <w:rsid w:val="7BB93026"/>
    <w:rsid w:val="7C722EF4"/>
    <w:rsid w:val="7DA4D14C"/>
    <w:rsid w:val="7DA99863"/>
    <w:rsid w:val="7E1A1961"/>
    <w:rsid w:val="7E710DFB"/>
    <w:rsid w:val="7E76D2D9"/>
    <w:rsid w:val="7EA215F6"/>
    <w:rsid w:val="7EAB2EA0"/>
    <w:rsid w:val="7EED9D4A"/>
    <w:rsid w:val="7F0452FC"/>
    <w:rsid w:val="7F5EF5F9"/>
    <w:rsid w:val="7F968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A742B6AD-E999-4139-9205-B2E044C0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tabs>
        <w:tab w:val="left" w:pos="1080"/>
      </w:tabs>
      <w:spacing w:line="240" w:lineRule="auto"/>
      <w:ind w:left="360" w:hanging="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nhideWhenUsed/>
    <w:qFormat/>
    <w:rsid w:val="00F75C07"/>
    <w:pPr>
      <w:keepNext/>
      <w:numPr>
        <w:numId w:val="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nhideWhenUsed/>
    <w:qFormat/>
    <w:rsid w:val="00284C7A"/>
    <w:pPr>
      <w:keepNext/>
      <w:tabs>
        <w:tab w:val="left" w:pos="1620"/>
      </w:tabs>
      <w:spacing w:before="240" w:after="0" w:line="240" w:lineRule="auto"/>
      <w:ind w:left="0"/>
      <w:outlineLvl w:val="3"/>
    </w:pPr>
    <w:rPr>
      <w:rFonts w:cs="Times New Roman"/>
      <w:b/>
      <w:bCs/>
      <w:szCs w:val="24"/>
    </w:rPr>
  </w:style>
  <w:style w:type="paragraph" w:styleId="Heading5">
    <w:name w:val="heading 5"/>
    <w:basedOn w:val="Normal"/>
    <w:next w:val="Normal"/>
    <w:link w:val="Heading5Char"/>
    <w:unhideWhenUsed/>
    <w:qFormat/>
    <w:rsid w:val="003D09E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3D09E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3D09E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D09E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1E7"/>
    <w:rPr>
      <w:rFonts w:ascii="Arial" w:hAnsi="Arial" w:eastAsiaTheme="majorEastAsia" w:cstheme="majorBidi"/>
      <w:b/>
      <w:bCs/>
      <w:caps/>
      <w:sz w:val="28"/>
      <w:szCs w:val="28"/>
      <w:lang w:bidi="en-US"/>
    </w:rPr>
  </w:style>
  <w:style w:type="paragraph" w:styleId="ListParagraph">
    <w:name w:val="List Paragraph"/>
    <w:aliases w:val="Primary Bullet List"/>
    <w:basedOn w:val="Normal"/>
    <w:link w:val="ListParagraphChar"/>
    <w:uiPriority w:val="34"/>
    <w:qFormat/>
    <w:rsid w:val="005645B8"/>
    <w:pPr>
      <w:ind w:left="720"/>
      <w:contextualSpacing/>
    </w:pPr>
  </w:style>
  <w:style w:type="character" w:customStyle="1" w:styleId="Heading2Char">
    <w:name w:val="Heading 2 Char"/>
    <w:basedOn w:val="DefaultParagraphFont"/>
    <w:link w:val="Heading2"/>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rsid w:val="007A01E7"/>
    <w:rPr>
      <w:rFonts w:ascii="Arial" w:hAnsi="Arial" w:cs="Times New Roman"/>
      <w:b/>
      <w:bCs/>
      <w:sz w:val="24"/>
      <w:szCs w:val="24"/>
    </w:rPr>
  </w:style>
  <w:style w:type="character" w:customStyle="1" w:styleId="Heading4Char">
    <w:name w:val="Heading 4 Char"/>
    <w:basedOn w:val="DefaultParagraphFont"/>
    <w:link w:val="Heading4"/>
    <w:rsid w:val="005645B8"/>
    <w:rPr>
      <w:rFonts w:ascii="Arial" w:hAnsi="Arial" w:cs="Times New Roman"/>
      <w:b/>
      <w:bCs/>
      <w:sz w:val="24"/>
      <w:szCs w:val="24"/>
    </w:rPr>
  </w:style>
  <w:style w:type="character" w:customStyle="1" w:styleId="Heading5Char">
    <w:name w:val="Heading 5 Char"/>
    <w:basedOn w:val="DefaultParagraphFont"/>
    <w:link w:val="Heading5"/>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aliases w:val="ALTS FOOTNOTE,Char,Char2,Char3,Char4,Footnote Text - Preamble,Footnote Text - Preamble1,Footnote Text Char Char,Footnote Text Char Char Char Char,Footnote Text Char Char1,Footnote Text Char1 Char Char,f,fn"/>
    <w:basedOn w:val="Normal"/>
    <w:link w:val="FootnoteTextChar"/>
    <w:unhideWhenUsed/>
    <w:qFormat/>
    <w:rsid w:val="005645B8"/>
    <w:pPr>
      <w:spacing w:after="0" w:line="240" w:lineRule="auto"/>
    </w:pPr>
    <w:rPr>
      <w:sz w:val="20"/>
      <w:szCs w:val="20"/>
    </w:rPr>
  </w:style>
  <w:style w:type="character" w:customStyle="1" w:styleId="FootnoteTextChar">
    <w:name w:val="Footnote Text Char"/>
    <w:aliases w:val="ALTS FOOTNOTE Char,Char2 Char,Char3 Char,Char4 Char,Footnote Text - Preamble Char,Footnote Text Char Char Char,Footnote Text Char Char Char Char Char,Footnote Text Char Char1 Char,Footnote Text Char1 Char Char Char,f Char,fn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nhideWhenUsed/>
    <w:qFormat/>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nhideWhenUsed/>
    <w:rsid w:val="000D5E31"/>
    <w:rPr>
      <w:b/>
      <w:bCs/>
    </w:rPr>
  </w:style>
  <w:style w:type="character" w:customStyle="1" w:styleId="CommentSubjectChar">
    <w:name w:val="Comment Subject Char"/>
    <w:basedOn w:val="CommentTextChar"/>
    <w:link w:val="CommentSubject"/>
    <w:rsid w:val="000D5E31"/>
    <w:rPr>
      <w:rFonts w:ascii="Arial" w:hAnsi="Arial"/>
      <w:b/>
      <w:bCs/>
      <w:sz w:val="20"/>
      <w:szCs w:val="20"/>
    </w:rPr>
  </w:style>
  <w:style w:type="paragraph" w:styleId="BalloonText">
    <w:name w:val="Balloon Text"/>
    <w:basedOn w:val="Normal"/>
    <w:link w:val="BalloonTextChar"/>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rsid w:val="003D09E2"/>
    <w:rPr>
      <w:rFonts w:ascii="Arial" w:hAnsi="Arial"/>
      <w:sz w:val="20"/>
      <w:szCs w:val="20"/>
    </w:rPr>
  </w:style>
  <w:style w:type="paragraph" w:styleId="EndnoteText">
    <w:name w:val="endnote text"/>
    <w:basedOn w:val="Normal"/>
    <w:link w:val="EndnoteTextChar"/>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A7023B"/>
    <w:pPr>
      <w:tabs>
        <w:tab w:val="center" w:pos="4680"/>
        <w:tab w:val="right" w:pos="9360"/>
      </w:tabs>
      <w:spacing w:after="0" w:line="240" w:lineRule="auto"/>
      <w:jc w:val="center"/>
    </w:pPr>
    <w:rPr>
      <w:sz w:val="22"/>
      <w:szCs w:val="20"/>
    </w:rPr>
  </w:style>
  <w:style w:type="character" w:customStyle="1" w:styleId="FooterChar">
    <w:name w:val="Footer Char"/>
    <w:basedOn w:val="DefaultParagraphFont"/>
    <w:link w:val="Footer"/>
    <w:uiPriority w:val="99"/>
    <w:rsid w:val="003D09E2"/>
    <w:rPr>
      <w:rFonts w:ascii="Arial" w:hAnsi="Arial"/>
      <w:szCs w:val="20"/>
    </w:rPr>
  </w:style>
  <w:style w:type="paragraph" w:styleId="Caption">
    <w:name w:val="caption"/>
    <w:basedOn w:val="Heading4"/>
    <w:next w:val="Normal"/>
    <w:unhideWhenUsed/>
    <w:qFormat/>
    <w:rsid w:val="008C16F4"/>
    <w:pPr>
      <w:tabs>
        <w:tab w:val="clear" w:pos="1620"/>
      </w:tabs>
    </w:pPr>
    <w:rPr>
      <w:rFonts w:cs="Arial"/>
      <w:bCs w:val="0"/>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qFormat/>
    <w:rsid w:val="00741685"/>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2059F4"/>
    <w:rPr>
      <w:rFonts w:ascii="Arial" w:hAnsi="Arial" w:eastAsiaTheme="majorEastAsia" w:cstheme="majorBidi"/>
      <w:b/>
      <w:spacing w:val="-10"/>
      <w:kern w:val="28"/>
      <w:sz w:val="28"/>
      <w:szCs w:val="56"/>
    </w:rPr>
  </w:style>
  <w:style w:type="paragraph" w:customStyle="1" w:styleId="Level1">
    <w:name w:val="Level 1"/>
    <w:rsid w:val="00B04B5F"/>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B04B5F"/>
  </w:style>
  <w:style w:type="character" w:customStyle="1" w:styleId="findhit">
    <w:name w:val="findhit"/>
    <w:basedOn w:val="DefaultParagraphFont"/>
    <w:rsid w:val="00B04B5F"/>
  </w:style>
  <w:style w:type="character" w:customStyle="1" w:styleId="eop">
    <w:name w:val="eop"/>
    <w:basedOn w:val="DefaultParagraphFont"/>
    <w:rsid w:val="00B04B5F"/>
  </w:style>
  <w:style w:type="paragraph" w:styleId="PlainText">
    <w:name w:val="Plain Text"/>
    <w:basedOn w:val="Normal"/>
    <w:link w:val="PlainTextChar"/>
    <w:rsid w:val="00F8603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6030"/>
    <w:rPr>
      <w:rFonts w:ascii="Courier New" w:eastAsia="Times New Roman" w:hAnsi="Courier New" w:cs="Courier New"/>
      <w:sz w:val="20"/>
      <w:szCs w:val="20"/>
    </w:rPr>
  </w:style>
  <w:style w:type="character" w:customStyle="1" w:styleId="Hypertext">
    <w:name w:val="Hypertext"/>
    <w:rsid w:val="00CA19A2"/>
    <w:rPr>
      <w:color w:val="0000FF"/>
      <w:u w:val="single"/>
    </w:rPr>
  </w:style>
  <w:style w:type="paragraph" w:customStyle="1" w:styleId="Level2">
    <w:name w:val="Level 2"/>
    <w:basedOn w:val="Normal"/>
    <w:rsid w:val="00CA19A2"/>
    <w:pPr>
      <w:widowControl w:val="0"/>
      <w:adjustRightInd w:val="0"/>
      <w:spacing w:after="0" w:line="240" w:lineRule="auto"/>
      <w:ind w:left="1440" w:hanging="720"/>
    </w:pPr>
    <w:rPr>
      <w:rFonts w:ascii="Times New Roman" w:eastAsia="Times New Roman" w:hAnsi="Times New Roman" w:cs="Times New Roman"/>
      <w:szCs w:val="24"/>
    </w:rPr>
  </w:style>
  <w:style w:type="paragraph" w:styleId="Macro">
    <w:name w:val="macro"/>
    <w:link w:val="MacroTextChar"/>
    <w:semiHidden/>
    <w:rsid w:val="00CA19A2"/>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CA19A2"/>
    <w:rPr>
      <w:rFonts w:ascii="Courier New" w:eastAsia="Times New Roman" w:hAnsi="Courier New" w:cs="Courier New"/>
      <w:sz w:val="20"/>
      <w:szCs w:val="20"/>
    </w:rPr>
  </w:style>
  <w:style w:type="character" w:customStyle="1" w:styleId="FootnoteTextChar1">
    <w:name w:val="Footnote Text Char1"/>
    <w:aliases w:val="ALTS FOOTNOTE Char1,Char2 Char1,Char3 Char1,Char4 Char1,Footnote Text - Preamble Char1,Footnote Text Char Char Char Char Char1,Footnote Text Char Char Char1,Footnote Text Char Char1 Char1,Footnote Text Char1 Char Char Char1,fn Char1"/>
    <w:semiHidden/>
    <w:rsid w:val="00CA19A2"/>
    <w:rPr>
      <w:rFonts w:eastAsia="Times New Roman" w:cs="Times New Roman"/>
      <w:sz w:val="20"/>
      <w:szCs w:val="20"/>
    </w:rPr>
  </w:style>
  <w:style w:type="paragraph" w:styleId="NormalWeb">
    <w:name w:val="Normal (Web)"/>
    <w:basedOn w:val="Normal"/>
    <w:uiPriority w:val="99"/>
    <w:rsid w:val="00CA19A2"/>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CA19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qFormat/>
    <w:rsid w:val="00CA19A2"/>
    <w:rPr>
      <w:i/>
      <w:iCs/>
    </w:rPr>
  </w:style>
  <w:style w:type="character" w:customStyle="1" w:styleId="apple-style-span">
    <w:name w:val="apple-style-span"/>
    <w:rsid w:val="00CA19A2"/>
  </w:style>
  <w:style w:type="character" w:customStyle="1" w:styleId="apple-converted-space">
    <w:name w:val="apple-converted-space"/>
    <w:rsid w:val="00CA19A2"/>
  </w:style>
  <w:style w:type="paragraph" w:customStyle="1" w:styleId="TableText">
    <w:name w:val="Table Text"/>
    <w:basedOn w:val="Normal"/>
    <w:link w:val="TableTextChar"/>
    <w:rsid w:val="00CA19A2"/>
    <w:pPr>
      <w:spacing w:after="0" w:line="240" w:lineRule="auto"/>
    </w:pPr>
    <w:rPr>
      <w:rFonts w:eastAsia="Times New Roman" w:cs="Times New Roman"/>
      <w:bCs/>
      <w:sz w:val="16"/>
      <w:szCs w:val="20"/>
    </w:rPr>
  </w:style>
  <w:style w:type="character" w:customStyle="1" w:styleId="TableTextChar">
    <w:name w:val="Table Text Char"/>
    <w:link w:val="TableText"/>
    <w:rsid w:val="00CA19A2"/>
    <w:rPr>
      <w:rFonts w:ascii="Arial" w:eastAsia="Times New Roman" w:hAnsi="Arial" w:cs="Times New Roman"/>
      <w:bCs/>
      <w:sz w:val="16"/>
      <w:szCs w:val="20"/>
    </w:rPr>
  </w:style>
  <w:style w:type="character" w:customStyle="1" w:styleId="TableTitleChar">
    <w:name w:val="Table Title Char"/>
    <w:link w:val="TableTitle"/>
    <w:locked/>
    <w:rsid w:val="00CA19A2"/>
    <w:rPr>
      <w:rFonts w:ascii="Arial" w:hAnsi="Arial" w:cs="Arial"/>
      <w:b/>
      <w:color w:val="003366"/>
    </w:rPr>
  </w:style>
  <w:style w:type="paragraph" w:customStyle="1" w:styleId="TableTitle">
    <w:name w:val="Table Title"/>
    <w:basedOn w:val="Normal"/>
    <w:link w:val="TableTitleChar"/>
    <w:rsid w:val="00CA19A2"/>
    <w:pPr>
      <w:keepNext/>
      <w:keepLines/>
      <w:spacing w:before="240" w:after="40" w:line="240" w:lineRule="auto"/>
    </w:pPr>
    <w:rPr>
      <w:rFonts w:cs="Arial"/>
      <w:b/>
      <w:color w:val="003366"/>
      <w:sz w:val="22"/>
    </w:rPr>
  </w:style>
  <w:style w:type="paragraph" w:customStyle="1" w:styleId="TableSubtitle">
    <w:name w:val="Table Subtitle"/>
    <w:basedOn w:val="Normal"/>
    <w:rsid w:val="00CA19A2"/>
    <w:pPr>
      <w:keepNext/>
      <w:spacing w:after="0" w:line="240" w:lineRule="auto"/>
      <w:jc w:val="center"/>
    </w:pPr>
    <w:rPr>
      <w:rFonts w:eastAsia="Times New Roman" w:cs="Arial"/>
      <w:b/>
      <w:bCs/>
      <w:sz w:val="16"/>
      <w:szCs w:val="20"/>
    </w:rPr>
  </w:style>
  <w:style w:type="character" w:styleId="PageNumber">
    <w:name w:val="page number"/>
    <w:rsid w:val="00CA19A2"/>
  </w:style>
  <w:style w:type="paragraph" w:customStyle="1" w:styleId="Bullet">
    <w:name w:val="Bullet"/>
    <w:basedOn w:val="Normal"/>
    <w:link w:val="BulletChar"/>
    <w:rsid w:val="00CA19A2"/>
    <w:pPr>
      <w:numPr>
        <w:numId w:val="10"/>
      </w:numPr>
      <w:spacing w:after="0" w:line="240" w:lineRule="auto"/>
    </w:pPr>
    <w:rPr>
      <w:rFonts w:ascii="Times New Roman" w:eastAsia="Times New Roman" w:hAnsi="Times New Roman" w:cs="Times New Roman"/>
      <w:sz w:val="22"/>
      <w:szCs w:val="24"/>
    </w:rPr>
  </w:style>
  <w:style w:type="character" w:customStyle="1" w:styleId="BulletChar">
    <w:name w:val="Bullet Char"/>
    <w:link w:val="Bullet"/>
    <w:rsid w:val="00CA19A2"/>
    <w:rPr>
      <w:rFonts w:ascii="Times New Roman" w:eastAsia="Times New Roman" w:hAnsi="Times New Roman" w:cs="Times New Roman"/>
      <w:szCs w:val="24"/>
    </w:rPr>
  </w:style>
  <w:style w:type="paragraph" w:customStyle="1" w:styleId="Reference">
    <w:name w:val="Reference"/>
    <w:basedOn w:val="Normal"/>
    <w:rsid w:val="00CA19A2"/>
    <w:pPr>
      <w:autoSpaceDE w:val="0"/>
      <w:autoSpaceDN w:val="0"/>
      <w:adjustRightInd w:val="0"/>
      <w:spacing w:after="120" w:line="240" w:lineRule="auto"/>
      <w:ind w:left="360" w:hanging="360"/>
    </w:pPr>
    <w:rPr>
      <w:rFonts w:ascii="Times New Roman" w:eastAsia="Times New Roman" w:hAnsi="Times New Roman" w:cs="Times New Roman"/>
      <w:color w:val="000000"/>
      <w:sz w:val="22"/>
      <w:szCs w:val="24"/>
    </w:rPr>
  </w:style>
  <w:style w:type="paragraph" w:styleId="BlockText">
    <w:name w:val="Block Text"/>
    <w:basedOn w:val="Normal"/>
    <w:rsid w:val="00CA19A2"/>
    <w:pPr>
      <w:autoSpaceDE w:val="0"/>
      <w:autoSpaceDN w:val="0"/>
      <w:adjustRightInd w:val="0"/>
      <w:spacing w:after="0" w:line="240" w:lineRule="auto"/>
      <w:ind w:left="144" w:right="144"/>
    </w:pPr>
    <w:rPr>
      <w:rFonts w:ascii="Times New Roman" w:eastAsia="Times New Roman" w:hAnsi="Times New Roman" w:cs="Times New Roman"/>
      <w:color w:val="000000"/>
      <w:sz w:val="20"/>
      <w:szCs w:val="20"/>
    </w:rPr>
  </w:style>
  <w:style w:type="character" w:styleId="EndnoteReference">
    <w:name w:val="endnote reference"/>
    <w:basedOn w:val="DefaultParagraphFont"/>
    <w:rsid w:val="00CA19A2"/>
    <w:rPr>
      <w:vertAlign w:val="superscript"/>
    </w:rPr>
  </w:style>
  <w:style w:type="character" w:styleId="FollowedHyperlink">
    <w:name w:val="FollowedHyperlink"/>
    <w:basedOn w:val="DefaultParagraphFont"/>
    <w:uiPriority w:val="99"/>
    <w:unhideWhenUsed/>
    <w:rsid w:val="00CA19A2"/>
    <w:rPr>
      <w:color w:val="954F72" w:themeColor="followedHyperlink"/>
      <w:u w:val="single"/>
    </w:rPr>
  </w:style>
  <w:style w:type="character" w:styleId="PlaceholderText">
    <w:name w:val="Placeholder Text"/>
    <w:basedOn w:val="DefaultParagraphFont"/>
    <w:uiPriority w:val="99"/>
    <w:semiHidden/>
    <w:rsid w:val="00CA19A2"/>
    <w:rPr>
      <w:color w:val="808080"/>
    </w:rPr>
  </w:style>
  <w:style w:type="character" w:customStyle="1" w:styleId="UnresolvedMention1">
    <w:name w:val="Unresolved Mention1"/>
    <w:basedOn w:val="DefaultParagraphFont"/>
    <w:uiPriority w:val="99"/>
    <w:semiHidden/>
    <w:unhideWhenUsed/>
    <w:rsid w:val="00CA19A2"/>
    <w:rPr>
      <w:color w:val="808080"/>
      <w:shd w:val="clear" w:color="auto" w:fill="E6E6E6"/>
    </w:rPr>
  </w:style>
  <w:style w:type="paragraph" w:styleId="ListBullet">
    <w:name w:val="List Bullet"/>
    <w:basedOn w:val="Normal"/>
    <w:unhideWhenUsed/>
    <w:qFormat/>
    <w:rsid w:val="00093193"/>
    <w:pPr>
      <w:widowControl w:val="0"/>
      <w:numPr>
        <w:numId w:val="12"/>
      </w:numPr>
      <w:autoSpaceDE w:val="0"/>
      <w:autoSpaceDN w:val="0"/>
      <w:adjustRightInd w:val="0"/>
      <w:spacing w:after="240" w:line="240" w:lineRule="auto"/>
    </w:pPr>
    <w:rPr>
      <w:rFonts w:ascii="Times New Roman" w:eastAsia="Times New Roman" w:hAnsi="Times New Roman" w:cs="Times New Roman"/>
      <w:szCs w:val="24"/>
    </w:rPr>
  </w:style>
  <w:style w:type="paragraph" w:styleId="ListNumber">
    <w:name w:val="List Number"/>
    <w:qFormat/>
    <w:rsid w:val="00AA6A13"/>
    <w:pPr>
      <w:numPr>
        <w:numId w:val="13"/>
      </w:numPr>
      <w:spacing w:after="240" w:line="240" w:lineRule="auto"/>
      <w:ind w:left="1080"/>
    </w:pPr>
    <w:rPr>
      <w:rFonts w:ascii="Times New Roman" w:eastAsia="Times New Roman" w:hAnsi="Times New Roman" w:cs="Times New Roman"/>
      <w:sz w:val="24"/>
      <w:szCs w:val="24"/>
    </w:rPr>
  </w:style>
  <w:style w:type="paragraph" w:customStyle="1" w:styleId="ListBulletNoSpace">
    <w:name w:val="List Bullet No Space"/>
    <w:qFormat/>
    <w:rsid w:val="00AA6A13"/>
    <w:pPr>
      <w:numPr>
        <w:numId w:val="14"/>
      </w:numPr>
      <w:spacing w:after="0" w:line="240" w:lineRule="auto"/>
      <w:ind w:left="1080"/>
    </w:pPr>
    <w:rPr>
      <w:rFonts w:ascii="Times New Roman" w:eastAsia="Times New Roman" w:hAnsi="Times New Roman" w:cs="Times New Roman"/>
      <w:sz w:val="24"/>
      <w:szCs w:val="24"/>
    </w:rPr>
  </w:style>
  <w:style w:type="paragraph" w:customStyle="1" w:styleId="BodyTextFirstIndentLeft05">
    <w:name w:val="Body Text First Indent Left 0.5"/>
    <w:rsid w:val="00AA6A13"/>
    <w:pPr>
      <w:spacing w:after="240" w:line="240" w:lineRule="auto"/>
      <w:ind w:left="720" w:firstLine="720"/>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3C2C15"/>
    <w:pPr>
      <w:widowControl w:val="0"/>
      <w:autoSpaceDE w:val="0"/>
      <w:autoSpaceDN w:val="0"/>
      <w:adjustRightInd w:val="0"/>
      <w:spacing w:after="12240" w:line="240" w:lineRule="auto"/>
      <w:ind w:left="720"/>
      <w:contextualSpacing/>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C2C15"/>
    <w:rPr>
      <w:rFonts w:ascii="Times New Roman" w:eastAsia="Times New Roman" w:hAnsi="Times New Roman" w:cs="Times New Roman"/>
      <w:sz w:val="24"/>
      <w:szCs w:val="24"/>
    </w:rPr>
  </w:style>
  <w:style w:type="table" w:customStyle="1" w:styleId="TableGrid1">
    <w:name w:val="Table Grid1"/>
    <w:basedOn w:val="TableNormal"/>
    <w:next w:val="TableGrid"/>
    <w:rsid w:val="003C2C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qFormat/>
    <w:rsid w:val="003C2C15"/>
    <w:pPr>
      <w:spacing w:after="0" w:line="240" w:lineRule="auto"/>
      <w:ind w:left="216" w:hanging="216"/>
    </w:pPr>
    <w:rPr>
      <w:rFonts w:ascii="Times New Roman" w:eastAsia="Times New Roman" w:hAnsi="Times New Roman" w:cs="Times New Roman"/>
      <w:color w:val="000000"/>
      <w:sz w:val="18"/>
      <w:szCs w:val="18"/>
    </w:rPr>
  </w:style>
  <w:style w:type="paragraph" w:styleId="TOC7">
    <w:name w:val="toc 7"/>
    <w:basedOn w:val="Normal"/>
    <w:next w:val="Normal"/>
    <w:autoRedefine/>
    <w:semiHidden/>
    <w:rsid w:val="003C2C15"/>
    <w:pPr>
      <w:spacing w:after="0" w:line="240" w:lineRule="auto"/>
      <w:ind w:left="1440"/>
    </w:pPr>
    <w:rPr>
      <w:rFonts w:ascii="Times New Roman" w:eastAsia="Times New Roman" w:hAnsi="Times New Roman" w:cs="Times New Roman"/>
      <w:szCs w:val="21"/>
    </w:rPr>
  </w:style>
  <w:style w:type="paragraph" w:customStyle="1" w:styleId="Style10ptBlackCentered">
    <w:name w:val="Style 10 pt Black Centered"/>
    <w:rsid w:val="003C2C15"/>
    <w:pPr>
      <w:spacing w:after="0" w:line="240" w:lineRule="auto"/>
      <w:jc w:val="center"/>
    </w:pPr>
    <w:rPr>
      <w:rFonts w:ascii="Times New Roman" w:eastAsia="Times New Roman" w:hAnsi="Times New Roman" w:cs="Times New Roman"/>
      <w:color w:val="000000"/>
      <w:sz w:val="20"/>
      <w:szCs w:val="20"/>
    </w:rPr>
  </w:style>
  <w:style w:type="character" w:customStyle="1" w:styleId="UnresolvedMention2">
    <w:name w:val="Unresolved Mention2"/>
    <w:basedOn w:val="DefaultParagraphFont"/>
    <w:uiPriority w:val="99"/>
    <w:semiHidden/>
    <w:unhideWhenUsed/>
    <w:rsid w:val="003C2C15"/>
    <w:rPr>
      <w:color w:val="808080"/>
      <w:shd w:val="clear" w:color="auto" w:fill="E6E6E6"/>
    </w:rPr>
  </w:style>
  <w:style w:type="character" w:customStyle="1" w:styleId="UnresolvedMention3">
    <w:name w:val="Unresolved Mention3"/>
    <w:basedOn w:val="DefaultParagraphFont"/>
    <w:uiPriority w:val="99"/>
    <w:semiHidden/>
    <w:unhideWhenUsed/>
    <w:rsid w:val="003C2C15"/>
    <w:rPr>
      <w:color w:val="808080"/>
      <w:shd w:val="clear" w:color="auto" w:fill="E6E6E6"/>
    </w:rPr>
  </w:style>
  <w:style w:type="character" w:customStyle="1" w:styleId="UnresolvedMention4">
    <w:name w:val="Unresolved Mention4"/>
    <w:basedOn w:val="DefaultParagraphFont"/>
    <w:uiPriority w:val="99"/>
    <w:semiHidden/>
    <w:unhideWhenUsed/>
    <w:rsid w:val="003C2C15"/>
    <w:rPr>
      <w:color w:val="808080"/>
      <w:shd w:val="clear" w:color="auto" w:fill="E6E6E6"/>
    </w:rPr>
  </w:style>
  <w:style w:type="paragraph" w:customStyle="1" w:styleId="msonormal">
    <w:name w:val="msonormal"/>
    <w:basedOn w:val="Normal"/>
    <w:rsid w:val="003C2C15"/>
    <w:pPr>
      <w:spacing w:before="100" w:beforeAutospacing="1" w:after="100" w:afterAutospacing="1" w:line="240" w:lineRule="auto"/>
    </w:pPr>
    <w:rPr>
      <w:rFonts w:ascii="Times New Roman" w:eastAsia="Times New Roman" w:hAnsi="Times New Roman" w:cs="Times New Roman"/>
      <w:szCs w:val="24"/>
    </w:rPr>
  </w:style>
  <w:style w:type="paragraph" w:customStyle="1" w:styleId="font5">
    <w:name w:val="font5"/>
    <w:basedOn w:val="Normal"/>
    <w:rsid w:val="003C2C15"/>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3C2C15"/>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3C2C15"/>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8">
    <w:name w:val="font8"/>
    <w:basedOn w:val="Normal"/>
    <w:rsid w:val="003C2C15"/>
    <w:pP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font9">
    <w:name w:val="font9"/>
    <w:basedOn w:val="Normal"/>
    <w:rsid w:val="003C2C15"/>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0">
    <w:name w:val="font10"/>
    <w:basedOn w:val="Normal"/>
    <w:rsid w:val="003C2C15"/>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5">
    <w:name w:val="xl65"/>
    <w:basedOn w:val="Normal"/>
    <w:rsid w:val="003C2C15"/>
    <w:pP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66">
    <w:name w:val="xl66"/>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7">
    <w:name w:val="xl67"/>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8">
    <w:name w:val="xl68"/>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0">
    <w:name w:val="xl70"/>
    <w:basedOn w:val="Normal"/>
    <w:rsid w:val="003C2C1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Normal"/>
    <w:rsid w:val="003C2C15"/>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2">
    <w:name w:val="xl72"/>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BFBFBF"/>
      <w:sz w:val="16"/>
      <w:szCs w:val="16"/>
    </w:rPr>
  </w:style>
  <w:style w:type="paragraph" w:customStyle="1" w:styleId="xl73">
    <w:name w:val="xl73"/>
    <w:basedOn w:val="Normal"/>
    <w:rsid w:val="003C2C1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BFBFBF"/>
      <w:sz w:val="16"/>
      <w:szCs w:val="16"/>
    </w:rPr>
  </w:style>
  <w:style w:type="paragraph" w:customStyle="1" w:styleId="xl74">
    <w:name w:val="xl74"/>
    <w:basedOn w:val="Normal"/>
    <w:rsid w:val="003C2C15"/>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5">
    <w:name w:val="xl75"/>
    <w:basedOn w:val="Normal"/>
    <w:rsid w:val="003C2C1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6">
    <w:name w:val="xl76"/>
    <w:basedOn w:val="Normal"/>
    <w:rsid w:val="003C2C15"/>
    <w:pPr>
      <w:spacing w:before="100" w:beforeAutospacing="1" w:after="100" w:afterAutospacing="1" w:line="240" w:lineRule="auto"/>
      <w:textAlignment w:val="center"/>
    </w:pPr>
    <w:rPr>
      <w:rFonts w:ascii="Times New Roman" w:eastAsia="Times New Roman" w:hAnsi="Times New Roman" w:cs="Times New Roman"/>
      <w:color w:val="BFBFBF"/>
      <w:szCs w:val="24"/>
    </w:rPr>
  </w:style>
  <w:style w:type="paragraph" w:customStyle="1" w:styleId="xl77">
    <w:name w:val="xl77"/>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BFBFBF"/>
      <w:sz w:val="16"/>
      <w:szCs w:val="16"/>
    </w:rPr>
  </w:style>
  <w:style w:type="paragraph" w:customStyle="1" w:styleId="xl78">
    <w:name w:val="xl78"/>
    <w:basedOn w:val="Normal"/>
    <w:rsid w:val="003C2C1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9">
    <w:name w:val="xl79"/>
    <w:basedOn w:val="Normal"/>
    <w:rsid w:val="003C2C1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BFBFBF"/>
      <w:sz w:val="16"/>
      <w:szCs w:val="16"/>
    </w:rPr>
  </w:style>
  <w:style w:type="paragraph" w:customStyle="1" w:styleId="xl80">
    <w:name w:val="xl80"/>
    <w:basedOn w:val="Normal"/>
    <w:rsid w:val="003C2C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1">
    <w:name w:val="xl81"/>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BFBFBF"/>
      <w:sz w:val="16"/>
      <w:szCs w:val="16"/>
    </w:rPr>
  </w:style>
  <w:style w:type="paragraph" w:customStyle="1" w:styleId="xl82">
    <w:name w:val="xl82"/>
    <w:basedOn w:val="Normal"/>
    <w:rsid w:val="003C2C1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BFBFBF"/>
      <w:sz w:val="16"/>
      <w:szCs w:val="16"/>
    </w:rPr>
  </w:style>
  <w:style w:type="paragraph" w:customStyle="1" w:styleId="xl83">
    <w:name w:val="xl83"/>
    <w:basedOn w:val="Normal"/>
    <w:rsid w:val="003C2C15"/>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color w:val="BFBFBF"/>
      <w:sz w:val="16"/>
      <w:szCs w:val="16"/>
    </w:rPr>
  </w:style>
  <w:style w:type="paragraph" w:customStyle="1" w:styleId="xl84">
    <w:name w:val="xl84"/>
    <w:basedOn w:val="Normal"/>
    <w:rsid w:val="003C2C1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5">
    <w:name w:val="xl85"/>
    <w:basedOn w:val="Normal"/>
    <w:rsid w:val="003C2C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3C2C15"/>
    <w:pPr>
      <w:pBdr>
        <w:top w:val="single" w:sz="4" w:space="0" w:color="auto"/>
        <w:left w:val="double" w:sz="6"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3C2C15"/>
    <w:pPr>
      <w:pBdr>
        <w:top w:val="single" w:sz="4" w:space="0" w:color="auto"/>
        <w:left w:val="double" w:sz="6"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3C2C15"/>
    <w:pPr>
      <w:pBdr>
        <w:top w:val="single" w:sz="4" w:space="0" w:color="auto"/>
        <w:left w:val="double" w:sz="6"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3C2C15"/>
    <w:pPr>
      <w:pBdr>
        <w:top w:val="single" w:sz="4" w:space="0" w:color="auto"/>
        <w:left w:val="double" w:sz="6"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3C2C15"/>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1">
    <w:name w:val="xl91"/>
    <w:basedOn w:val="Normal"/>
    <w:rsid w:val="003C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2">
    <w:name w:val="xl92"/>
    <w:basedOn w:val="Normal"/>
    <w:rsid w:val="003C2C1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3">
    <w:name w:val="xl93"/>
    <w:basedOn w:val="Normal"/>
    <w:rsid w:val="003C2C1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BFBFBF"/>
      <w:sz w:val="16"/>
      <w:szCs w:val="16"/>
    </w:rPr>
  </w:style>
  <w:style w:type="paragraph" w:customStyle="1" w:styleId="xl94">
    <w:name w:val="xl94"/>
    <w:basedOn w:val="Normal"/>
    <w:rsid w:val="003C2C1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5">
    <w:name w:val="xl95"/>
    <w:basedOn w:val="Normal"/>
    <w:rsid w:val="003C2C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6">
    <w:name w:val="xl96"/>
    <w:basedOn w:val="Normal"/>
    <w:rsid w:val="003C2C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97">
    <w:name w:val="xl97"/>
    <w:basedOn w:val="Normal"/>
    <w:rsid w:val="003C2C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BFBFBF"/>
      <w:sz w:val="16"/>
      <w:szCs w:val="16"/>
    </w:rPr>
  </w:style>
  <w:style w:type="paragraph" w:customStyle="1" w:styleId="xl98">
    <w:name w:val="xl98"/>
    <w:basedOn w:val="Normal"/>
    <w:rsid w:val="003C2C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BFBFBF"/>
      <w:sz w:val="16"/>
      <w:szCs w:val="16"/>
    </w:rPr>
  </w:style>
  <w:style w:type="paragraph" w:customStyle="1" w:styleId="xl99">
    <w:name w:val="xl99"/>
    <w:basedOn w:val="Normal"/>
    <w:rsid w:val="003C2C1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0">
    <w:name w:val="xl100"/>
    <w:basedOn w:val="Normal"/>
    <w:rsid w:val="003C2C1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1">
    <w:name w:val="xl101"/>
    <w:basedOn w:val="Normal"/>
    <w:rsid w:val="003C2C1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BFBFBF"/>
      <w:sz w:val="16"/>
      <w:szCs w:val="16"/>
    </w:rPr>
  </w:style>
  <w:style w:type="paragraph" w:customStyle="1" w:styleId="xl102">
    <w:name w:val="xl102"/>
    <w:basedOn w:val="Normal"/>
    <w:rsid w:val="003C2C15"/>
    <w:pPr>
      <w:pBdr>
        <w:top w:val="single" w:sz="4" w:space="0" w:color="auto"/>
        <w:left w:val="double" w:sz="6"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BFBFBF"/>
      <w:sz w:val="16"/>
      <w:szCs w:val="16"/>
    </w:rPr>
  </w:style>
  <w:style w:type="paragraph" w:customStyle="1" w:styleId="xl103">
    <w:name w:val="xl103"/>
    <w:basedOn w:val="Normal"/>
    <w:rsid w:val="003C2C15"/>
    <w:pPr>
      <w:pBdr>
        <w:top w:val="single" w:sz="4" w:space="0" w:color="auto"/>
        <w:left w:val="double" w:sz="6"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BFBFBF"/>
      <w:sz w:val="16"/>
      <w:szCs w:val="16"/>
    </w:rPr>
  </w:style>
  <w:style w:type="paragraph" w:customStyle="1" w:styleId="xl104">
    <w:name w:val="xl104"/>
    <w:basedOn w:val="Normal"/>
    <w:rsid w:val="003C2C15"/>
    <w:pPr>
      <w:pBdr>
        <w:top w:val="single" w:sz="4" w:space="0" w:color="auto"/>
        <w:left w:val="double" w:sz="6"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5">
    <w:name w:val="xl105"/>
    <w:basedOn w:val="Normal"/>
    <w:rsid w:val="003C2C15"/>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6">
    <w:name w:val="xl106"/>
    <w:basedOn w:val="Normal"/>
    <w:rsid w:val="003C2C1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7">
    <w:name w:val="xl107"/>
    <w:basedOn w:val="Normal"/>
    <w:rsid w:val="003C2C1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8">
    <w:name w:val="xl108"/>
    <w:basedOn w:val="Normal"/>
    <w:rsid w:val="003C2C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9">
    <w:name w:val="xl109"/>
    <w:basedOn w:val="Normal"/>
    <w:rsid w:val="003C2C15"/>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10">
    <w:name w:val="xl110"/>
    <w:basedOn w:val="Normal"/>
    <w:rsid w:val="003C2C15"/>
    <w:pPr>
      <w:spacing w:before="100" w:beforeAutospacing="1" w:after="100" w:afterAutospacing="1" w:line="240" w:lineRule="auto"/>
      <w:jc w:val="center"/>
      <w:textAlignment w:val="center"/>
    </w:pPr>
    <w:rPr>
      <w:rFonts w:ascii="Times New Roman" w:eastAsia="Times New Roman" w:hAnsi="Times New Roman" w:cs="Times New Roman"/>
      <w:b/>
      <w:bCs/>
      <w:sz w:val="22"/>
    </w:rPr>
  </w:style>
  <w:style w:type="paragraph" w:customStyle="1" w:styleId="xl111">
    <w:name w:val="xl111"/>
    <w:basedOn w:val="Normal"/>
    <w:rsid w:val="003C2C1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12">
    <w:name w:val="xl112"/>
    <w:basedOn w:val="Normal"/>
    <w:rsid w:val="003C2C15"/>
    <w:pPr>
      <w:pBdr>
        <w:top w:val="double" w:sz="6"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3">
    <w:name w:val="xl113"/>
    <w:basedOn w:val="Normal"/>
    <w:rsid w:val="003C2C15"/>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4">
    <w:name w:val="xl114"/>
    <w:basedOn w:val="Normal"/>
    <w:rsid w:val="003C2C15"/>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5">
    <w:name w:val="xl115"/>
    <w:basedOn w:val="Normal"/>
    <w:rsid w:val="003C2C15"/>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6">
    <w:name w:val="xl116"/>
    <w:basedOn w:val="Normal"/>
    <w:rsid w:val="003C2C1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7">
    <w:name w:val="xl117"/>
    <w:basedOn w:val="Normal"/>
    <w:rsid w:val="003C2C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8">
    <w:name w:val="xl118"/>
    <w:basedOn w:val="Normal"/>
    <w:rsid w:val="003C2C1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9">
    <w:name w:val="xl119"/>
    <w:basedOn w:val="Normal"/>
    <w:rsid w:val="003C2C15"/>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0">
    <w:name w:val="xl120"/>
    <w:basedOn w:val="Normal"/>
    <w:rsid w:val="003C2C15"/>
    <w:pPr>
      <w:pBdr>
        <w:top w:val="double" w:sz="6" w:space="0" w:color="auto"/>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1">
    <w:name w:val="xl121"/>
    <w:basedOn w:val="Normal"/>
    <w:rsid w:val="003C2C15"/>
    <w:pPr>
      <w:pBdr>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2">
    <w:name w:val="xl122"/>
    <w:basedOn w:val="Normal"/>
    <w:rsid w:val="003C2C15"/>
    <w:pPr>
      <w:pBdr>
        <w:left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character" w:customStyle="1" w:styleId="text">
    <w:name w:val="text"/>
    <w:basedOn w:val="DefaultParagraphFont"/>
    <w:rsid w:val="00E840FB"/>
  </w:style>
  <w:style w:type="character" w:customStyle="1" w:styleId="ListParagraphChar">
    <w:name w:val="List Paragraph Char"/>
    <w:aliases w:val="Primary Bullet List Char"/>
    <w:link w:val="ListParagraph"/>
    <w:uiPriority w:val="34"/>
    <w:locked/>
    <w:rsid w:val="008D2210"/>
    <w:rPr>
      <w:rFonts w:ascii="Arial" w:hAnsi="Arial"/>
      <w:sz w:val="24"/>
    </w:rPr>
  </w:style>
  <w:style w:type="character" w:customStyle="1" w:styleId="NoSpacingChar">
    <w:name w:val="No Spacing Char"/>
    <w:basedOn w:val="DefaultParagraphFont"/>
    <w:link w:val="NoSpacing"/>
    <w:uiPriority w:val="1"/>
    <w:locked/>
    <w:rsid w:val="008F6B7B"/>
  </w:style>
  <w:style w:type="table" w:customStyle="1" w:styleId="TableGrid2">
    <w:name w:val="Table Grid2"/>
    <w:basedOn w:val="TableNormal"/>
    <w:next w:val="TableGrid"/>
    <w:uiPriority w:val="39"/>
    <w:rsid w:val="00A05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3.xml" /><Relationship Id="rId13" Type="http://schemas.openxmlformats.org/officeDocument/2006/relationships/footer" Target="footer4.xml" /><Relationship Id="rId14"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 /><Relationship Id="rId15" Type="http://schemas.openxmlformats.org/officeDocument/2006/relationships/hyperlink" Target="http://www.reginfo.gov/public/do/PRAMain" TargetMode="External" /><Relationship Id="rId16" Type="http://schemas.openxmlformats.org/officeDocument/2006/relationships/hyperlink" Target="http://www.regulations.gov" TargetMode="External" /><Relationship Id="rId17" Type="http://schemas.openxmlformats.org/officeDocument/2006/relationships/hyperlink" Target="https://www.govinfo.gov/app/details/USCODE-2011-title15/USCODE-2011-title15-chap53-subchapI-sec2604" TargetMode="External" /><Relationship Id="rId18" Type="http://schemas.openxmlformats.org/officeDocument/2006/relationships/hyperlink" Target="https://www.ecfr.gov/current/title-40/chapter-I/subchapter-R/part-720" TargetMode="External" /><Relationship Id="rId19" Type="http://schemas.openxmlformats.org/officeDocument/2006/relationships/hyperlink" Target="https://www.ecfr.gov/current/title-40/chapter-I/subchapter-R/part-721?toc=1" TargetMode="External" /><Relationship Id="rId2" Type="http://schemas.openxmlformats.org/officeDocument/2006/relationships/settings" Target="settings.xml" /><Relationship Id="rId20" Type="http://schemas.openxmlformats.org/officeDocument/2006/relationships/hyperlink" Target="https://www.ecfr.gov/current/title-40/chapter-I/subchapter-R/part-723" TargetMode="External" /><Relationship Id="rId21" Type="http://schemas.openxmlformats.org/officeDocument/2006/relationships/hyperlink" Target="https://www.ecfr.gov/cgi-bin/text-idx?node=pt40.34.725&amp;rgn=div5" TargetMode="External" /><Relationship Id="rId22" Type="http://schemas.openxmlformats.org/officeDocument/2006/relationships/hyperlink" Target="https://www.epa.gov/reviewing-new-chemicals-under-toxic-substances-control-act-tsca/how-submit-e-pmn" TargetMode="External" /><Relationship Id="rId23" Type="http://schemas.openxmlformats.org/officeDocument/2006/relationships/hyperlink" Target="http://nvlpubs.nist.gov/nistpubs/SpecialPublications/NIST.SP.800-52r1.pdf" TargetMode="External" /><Relationship Id="rId24" Type="http://schemas.openxmlformats.org/officeDocument/2006/relationships/hyperlink" Target="https://usepa-my.sharepoint.com/personal/sleasman_katherine_epa_gov/Documents/Attachments/Points%20to%20Consider%20When%20Preparing%20TSCA%20New%20Chemical%20Notifications" TargetMode="External" /><Relationship Id="rId25" Type="http://schemas.openxmlformats.org/officeDocument/2006/relationships/hyperlink" Target="http://www.bls.gov" TargetMode="External" /><Relationship Id="rId26" Type="http://schemas.openxmlformats.org/officeDocument/2006/relationships/hyperlink" Target="https://www.bls.gov/web/ecec/ecsuphst.pdf"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cdx.ep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4035-0B34-4B5D-934D-76ABE598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24665</Words>
  <Characters>143551</Characters>
  <Application>Microsoft Office Word</Application>
  <DocSecurity>0</DocSecurity>
  <Lines>2814</Lines>
  <Paragraphs>1152</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167064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Schultz, Eric</cp:lastModifiedBy>
  <cp:revision>4</cp:revision>
  <cp:lastPrinted>2023-07-30T22:50:00Z</cp:lastPrinted>
  <dcterms:created xsi:type="dcterms:W3CDTF">2023-09-29T22:52:00Z</dcterms:created>
  <dcterms:modified xsi:type="dcterms:W3CDTF">2023-09-29T22:59:00Z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GrammarlyDocumentId">
    <vt:lpwstr>462a97e89e96d9ed3da15c8764d9ebfe47600a7c094406342716ae3b078e1fc0</vt:lpwstr>
  </property>
  <property fmtid="{D5CDD505-2E9C-101B-9397-08002B2CF9AE}" pid="6" name="TaxKeyword">
    <vt:lpwstr/>
  </property>
</Properties>
</file>