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F3E" w:rsidP="00261F3E" w:rsidRDefault="00261F3E">
      <w:pPr>
        <w:rPr>
          <w:b/>
          <w:bCs/>
        </w:rPr>
      </w:pPr>
      <w:proofErr w:type="gramStart"/>
      <w:r>
        <w:rPr>
          <w:b/>
          <w:bCs/>
        </w:rPr>
        <w:t>14</w:t>
      </w:r>
      <w:proofErr w:type="gramEnd"/>
      <w:r>
        <w:rPr>
          <w:b/>
          <w:bCs/>
        </w:rPr>
        <w:t xml:space="preserve"> CFR Part 121</w:t>
      </w:r>
    </w:p>
    <w:p w:rsidRPr="00261F3E" w:rsidR="00261F3E" w:rsidP="00261F3E" w:rsidRDefault="00B67B28">
      <w:pPr>
        <w:pStyle w:val="contentsp"/>
        <w:spacing w:before="0"/>
        <w:rPr>
          <w:rFonts w:ascii="Arial" w:hAnsi="Arial" w:cs="Arial"/>
        </w:rPr>
      </w:pPr>
      <w:hyperlink w:history="1" w:anchor="14:3.0.1.1.7.27" r:id="rId4">
        <w:r w:rsidRPr="00261F3E" w:rsidR="00261F3E">
          <w:rPr>
            <w:rStyle w:val="Hyperlink"/>
            <w:color w:val="auto"/>
            <w:sz w:val="20"/>
            <w:szCs w:val="20"/>
          </w:rPr>
          <w:t>Subpart AA—Continued Airworthiness and Safety Improvements</w:t>
        </w:r>
      </w:hyperlink>
    </w:p>
    <w:p w:rsidRPr="00261F3E" w:rsidR="00261F3E" w:rsidP="00261F3E" w:rsidRDefault="00261F3E">
      <w:pPr>
        <w:rPr>
          <w:b/>
          <w:bCs/>
        </w:rPr>
      </w:pPr>
      <w:r w:rsidRPr="00261F3E">
        <w:rPr>
          <w:b/>
          <w:bCs/>
        </w:rPr>
        <w:t>§ 121.1115   Limit of validity.</w:t>
      </w:r>
    </w:p>
    <w:p w:rsidRPr="00261F3E" w:rsidR="00261F3E" w:rsidP="00B67B28" w:rsidRDefault="00261F3E">
      <w:pPr>
        <w:ind w:firstLine="720"/>
      </w:pPr>
      <w:r w:rsidRPr="00261F3E">
        <w:t xml:space="preserve">(a) </w:t>
      </w:r>
      <w:r w:rsidRPr="00261F3E">
        <w:rPr>
          <w:i/>
          <w:iCs/>
        </w:rPr>
        <w:t>Applicability.</w:t>
      </w:r>
      <w:r w:rsidRPr="00261F3E">
        <w:t xml:space="preserve"> This section applies to certificate holders operating any transport category, turbine-powered airplane with a maximum takeoff gross weight greater than 75,000 pounds and a type certificate issued after January 1, 1958, regardless of whether the maximum takeoff gross weight is a result of an original type certificate or a later design change. </w:t>
      </w:r>
      <w:proofErr w:type="gramStart"/>
      <w:r w:rsidRPr="00261F3E">
        <w:t>This section also applies to certificate holders operating any transport category, turbine-powered airplane with a type certificate issued after January 1, 1958, regardless of the maximum takeoff gross weight, for which a limit of validity of the engineering data that supports the structural maintenance program (hereafter referred to as LOV) is required in accordance with § 25.571 or § 26.21 of this chapter after January 14, 2011.</w:t>
      </w:r>
      <w:proofErr w:type="gramEnd"/>
    </w:p>
    <w:p w:rsidRPr="00261F3E" w:rsidR="00261F3E" w:rsidP="00B67B28" w:rsidRDefault="00261F3E">
      <w:pPr>
        <w:ind w:firstLine="720"/>
      </w:pPr>
      <w:r w:rsidRPr="00261F3E">
        <w:t xml:space="preserve">(b) </w:t>
      </w:r>
      <w:r w:rsidRPr="00261F3E">
        <w:rPr>
          <w:i/>
          <w:iCs/>
        </w:rPr>
        <w:t>Limit of validity.</w:t>
      </w:r>
      <w:r w:rsidRPr="00261F3E">
        <w:t xml:space="preserve"> No certificate holder may operate an airplane identified in paragraph (a) of this section after the applicable date identified in Table 1 of this section unless an Airworthiness Limitations section approved under Appendix H to part 25 or § 26.21 of this chapter is incorporated into its maintenance program. The ALS must—</w:t>
      </w:r>
    </w:p>
    <w:p w:rsidRPr="00261F3E" w:rsidR="00261F3E" w:rsidP="00B67B28" w:rsidRDefault="00261F3E">
      <w:pPr>
        <w:ind w:firstLine="720"/>
      </w:pPr>
      <w:r w:rsidRPr="00261F3E">
        <w:t>(1) Include an LOV approved under § 25.571 or § 26.21 of this chapter, as applicable, except as provided in paragraph (f) of this section; and</w:t>
      </w:r>
    </w:p>
    <w:p w:rsidRPr="00261F3E" w:rsidR="00261F3E" w:rsidP="00B67B28" w:rsidRDefault="00261F3E">
      <w:pPr>
        <w:ind w:firstLine="720"/>
      </w:pPr>
      <w:r w:rsidRPr="00261F3E">
        <w:t>(2) Be clearly distinguishable within its maintenance program.</w:t>
      </w:r>
    </w:p>
    <w:p w:rsidRPr="00261F3E" w:rsidR="00261F3E" w:rsidP="00B67B28" w:rsidRDefault="00261F3E">
      <w:pPr>
        <w:ind w:firstLine="720"/>
      </w:pPr>
      <w:r w:rsidRPr="00261F3E">
        <w:t xml:space="preserve">(c) </w:t>
      </w:r>
      <w:r w:rsidRPr="00261F3E">
        <w:rPr>
          <w:i/>
          <w:iCs/>
        </w:rPr>
        <w:t>Operation of airplanes excluded from § 26.21.</w:t>
      </w:r>
      <w:r w:rsidRPr="00261F3E">
        <w:t xml:space="preserve"> No certificate holder may operate an airplane identified in § 26.21(g) of this chapter after July 14, 2013, unless an Airworthiness Limitations section approved under Appendix H to part 25 or § 26.21 of this chapter is incorporated into its maintenance program. The ALS must—</w:t>
      </w:r>
    </w:p>
    <w:p w:rsidRPr="00261F3E" w:rsidR="00261F3E" w:rsidP="00B67B28" w:rsidRDefault="00261F3E">
      <w:pPr>
        <w:ind w:firstLine="720"/>
      </w:pPr>
      <w:r w:rsidRPr="00261F3E">
        <w:t>(1) Include an LOV approved under § 25.571 or § 26.21 of this chapter, as applicable, except as provided in paragraph (f) of this section; and</w:t>
      </w:r>
    </w:p>
    <w:p w:rsidRPr="00261F3E" w:rsidR="00261F3E" w:rsidP="00B67B28" w:rsidRDefault="00261F3E">
      <w:pPr>
        <w:ind w:firstLine="720"/>
      </w:pPr>
      <w:r w:rsidRPr="00261F3E">
        <w:t>(2) Be clearly distinguishable within its maintenance program.</w:t>
      </w:r>
    </w:p>
    <w:p w:rsidRPr="00261F3E" w:rsidR="00261F3E" w:rsidP="00B67B28" w:rsidRDefault="00261F3E">
      <w:pPr>
        <w:ind w:firstLine="720"/>
      </w:pPr>
      <w:r w:rsidRPr="00261F3E">
        <w:t xml:space="preserve">(d) </w:t>
      </w:r>
      <w:r w:rsidRPr="00261F3E">
        <w:rPr>
          <w:i/>
          <w:iCs/>
        </w:rPr>
        <w:t>Extended limit of validity.</w:t>
      </w:r>
      <w:r w:rsidRPr="00261F3E">
        <w:t xml:space="preserve"> No certificate holder may operate an airplane beyond the LOV, or extended LOV, specified in paragraph (b</w:t>
      </w:r>
      <w:proofErr w:type="gramStart"/>
      <w:r w:rsidRPr="00261F3E">
        <w:t>)(</w:t>
      </w:r>
      <w:proofErr w:type="gramEnd"/>
      <w:r w:rsidRPr="00261F3E">
        <w:t>1), (c), (d), or (f) of this section, as applicable, unless the following conditions are met:</w:t>
      </w:r>
    </w:p>
    <w:p w:rsidRPr="00261F3E" w:rsidR="00261F3E" w:rsidP="00B67B28" w:rsidRDefault="00261F3E">
      <w:pPr>
        <w:ind w:firstLine="720"/>
      </w:pPr>
      <w:r w:rsidRPr="00261F3E">
        <w:t>(1) An ALS must be incorporated into its maintenance program that—</w:t>
      </w:r>
    </w:p>
    <w:p w:rsidRPr="00261F3E" w:rsidR="00261F3E" w:rsidP="00B67B28" w:rsidRDefault="00261F3E">
      <w:pPr>
        <w:ind w:firstLine="720"/>
      </w:pPr>
      <w:r w:rsidRPr="00261F3E">
        <w:t>(</w:t>
      </w:r>
      <w:proofErr w:type="spellStart"/>
      <w:r w:rsidRPr="00261F3E">
        <w:t>i</w:t>
      </w:r>
      <w:proofErr w:type="spellEnd"/>
      <w:r w:rsidRPr="00261F3E">
        <w:t>) Includes an extended LOV and any widespread fatigue damage airworthiness limitation items approved under § 26.23 of this chapter; and</w:t>
      </w:r>
    </w:p>
    <w:p w:rsidRPr="00261F3E" w:rsidR="00261F3E" w:rsidP="00B67B28" w:rsidRDefault="00261F3E">
      <w:pPr>
        <w:ind w:firstLine="720"/>
      </w:pPr>
      <w:r w:rsidRPr="00261F3E">
        <w:t>(ii) Is approved under § 26.23 of this chapter.</w:t>
      </w:r>
    </w:p>
    <w:p w:rsidRPr="00261F3E" w:rsidR="00261F3E" w:rsidP="00B67B28" w:rsidRDefault="00261F3E">
      <w:pPr>
        <w:ind w:firstLine="720"/>
      </w:pPr>
      <w:r w:rsidRPr="00261F3E">
        <w:lastRenderedPageBreak/>
        <w:t>(2) The extended LOV and the airworthiness limitation items pertaining to widespread fatigue damage must be clearly distinguishable within its maintenance program.</w:t>
      </w:r>
    </w:p>
    <w:p w:rsidRPr="00261F3E" w:rsidR="00261F3E" w:rsidP="00B67B28" w:rsidRDefault="00261F3E">
      <w:pPr>
        <w:ind w:firstLine="720"/>
      </w:pPr>
      <w:r w:rsidRPr="00261F3E">
        <w:t xml:space="preserve">(e) </w:t>
      </w:r>
      <w:r w:rsidRPr="00261F3E">
        <w:rPr>
          <w:i/>
          <w:iCs/>
        </w:rPr>
        <w:t>Principal Maintenance Inspector approval.</w:t>
      </w:r>
      <w:r w:rsidRPr="00261F3E">
        <w:t xml:space="preserve"> Certificate holders must submit the maintenance program revisions required by paragraphs (b), (c), and (d) of this section to the Principal Maintenance Inspector for review and approval.</w:t>
      </w:r>
    </w:p>
    <w:p w:rsidRPr="00261F3E" w:rsidR="00261F3E" w:rsidP="00B67B28" w:rsidRDefault="00261F3E">
      <w:pPr>
        <w:ind w:firstLine="720"/>
      </w:pPr>
      <w:r w:rsidRPr="00261F3E">
        <w:t xml:space="preserve">(f) </w:t>
      </w:r>
      <w:r w:rsidRPr="00261F3E">
        <w:rPr>
          <w:i/>
          <w:iCs/>
        </w:rPr>
        <w:t>Exception.</w:t>
      </w:r>
      <w:r w:rsidRPr="00261F3E">
        <w:t xml:space="preserve"> For any airplane for which an LOV </w:t>
      </w:r>
      <w:proofErr w:type="gramStart"/>
      <w:r w:rsidRPr="00261F3E">
        <w:t>has not been approved</w:t>
      </w:r>
      <w:proofErr w:type="gramEnd"/>
      <w:r w:rsidRPr="00261F3E">
        <w:t xml:space="preserve"> as of the applicable compliance date specified in paragraph (c) or Table 1 of this section, instead of including an approved LOV in the ALS, an operator must include the applicable default LOV specified in Table 1 or Table 2 of this section, as applicable, in the ALS.</w:t>
      </w:r>
    </w:p>
    <w:p w:rsidRPr="00261F3E" w:rsidR="00261F3E" w:rsidP="00261F3E" w:rsidRDefault="00261F3E">
      <w:pPr>
        <w:rPr>
          <w:b/>
          <w:bCs/>
        </w:rPr>
      </w:pPr>
      <w:r w:rsidRPr="00261F3E">
        <w:rPr>
          <w:b/>
          <w:bCs/>
        </w:rPr>
        <w:t>Table 1—Airplanes Subject to § 26.21</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5585"/>
        <w:gridCol w:w="2525"/>
        <w:gridCol w:w="1234"/>
      </w:tblGrid>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261F3E" w:rsidR="00261F3E" w:rsidP="00261F3E" w:rsidRDefault="00261F3E">
            <w:pPr>
              <w:rPr>
                <w:b/>
                <w:bCs/>
              </w:rPr>
            </w:pPr>
            <w:r w:rsidRPr="00261F3E">
              <w:rPr>
                <w:b/>
                <w:bCs/>
              </w:rPr>
              <w:t>Airplane model</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261F3E" w:rsidR="00261F3E" w:rsidP="00261F3E" w:rsidRDefault="00261F3E">
            <w:pPr>
              <w:rPr>
                <w:b/>
                <w:bCs/>
              </w:rPr>
            </w:pPr>
            <w:r w:rsidRPr="00261F3E">
              <w:rPr>
                <w:b/>
                <w:bCs/>
              </w:rPr>
              <w:t>Compliance date—months after January 14, 2011</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261F3E" w:rsidR="00261F3E" w:rsidP="00261F3E" w:rsidRDefault="00261F3E">
            <w:pPr>
              <w:rPr>
                <w:b/>
                <w:bCs/>
              </w:rPr>
            </w:pPr>
            <w:r w:rsidRPr="00261F3E">
              <w:rPr>
                <w:b/>
                <w:bCs/>
              </w:rPr>
              <w:t>Default LOV</w:t>
            </w:r>
            <w:r w:rsidRPr="00261F3E">
              <w:rPr>
                <w:b/>
                <w:bCs/>
              </w:rPr>
              <w:br/>
              <w:t>[flight cycles (FC)</w:t>
            </w:r>
            <w:r w:rsidRPr="00261F3E">
              <w:rPr>
                <w:b/>
                <w:bCs/>
              </w:rPr>
              <w:br/>
              <w:t>or flight hours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Airbus—Existing </w:t>
            </w:r>
            <w:r w:rsidRPr="00261F3E">
              <w:rPr>
                <w:vertAlign w:val="superscript"/>
              </w:rPr>
              <w:t>1</w:t>
            </w:r>
            <w:r w:rsidRPr="00261F3E">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A300 B2-1A, B2-1C, B2K-3C, B2-203</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48,000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A300 B4-2C, B4-103</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A300 B4-203</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34,000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A300-600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30,000 FC/67,500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A310-200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40,000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A310-300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35,000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A318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48,000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A319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48,000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A320-100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48,000 FC/48,000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A320-200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48,000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A321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48,000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 xml:space="preserve">A330-200, -300 Series (except </w:t>
            </w:r>
            <w:proofErr w:type="spellStart"/>
            <w:r w:rsidRPr="00261F3E">
              <w:t>WV050</w:t>
            </w:r>
            <w:proofErr w:type="spellEnd"/>
            <w:r w:rsidRPr="00261F3E">
              <w:t xml:space="preserve"> family) (</w:t>
            </w:r>
            <w:proofErr w:type="spellStart"/>
            <w:r w:rsidRPr="00261F3E">
              <w:t>non enhanced</w:t>
            </w:r>
            <w:proofErr w:type="spellEnd"/>
            <w:r w:rsidRPr="00261F3E">
              <w:t>)</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40,000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A330-200, -300 Series WV050 family (enhanced)</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33,000 FC/100,000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A330-200 Freighter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See NOTE.</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 xml:space="preserve">A340-200, -300 Series (except WV 027 and </w:t>
            </w:r>
            <w:proofErr w:type="spellStart"/>
            <w:r w:rsidRPr="00261F3E">
              <w:t>WV050</w:t>
            </w:r>
            <w:proofErr w:type="spellEnd"/>
            <w:r w:rsidRPr="00261F3E">
              <w:t xml:space="preserve"> family) (</w:t>
            </w:r>
            <w:proofErr w:type="spellStart"/>
            <w:r w:rsidRPr="00261F3E">
              <w:t>non enhanced</w:t>
            </w:r>
            <w:proofErr w:type="spellEnd"/>
            <w:r w:rsidRPr="00261F3E">
              <w:t>)</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20,000 FC/80,000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A340-200, -300 Series WV 027 (</w:t>
            </w:r>
            <w:proofErr w:type="spellStart"/>
            <w:r w:rsidRPr="00261F3E">
              <w:t>non enhanced</w:t>
            </w:r>
            <w:proofErr w:type="spellEnd"/>
            <w:r w:rsidRPr="00261F3E">
              <w:t>)</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A340-300 Series WV050 family (enhanced)</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20,000 FC/100,000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A340-500, -600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16,600 FC/100,000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A380-800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72</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See NOTE.</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Boeing—Existing </w:t>
            </w:r>
            <w:r w:rsidRPr="00261F3E">
              <w:rPr>
                <w:vertAlign w:val="superscript"/>
              </w:rPr>
              <w:t>1</w:t>
            </w:r>
            <w:r w:rsidRPr="00261F3E">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717</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727 (all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737 (Classics): 737-100, -200, -200C, -300, -400, -500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75,000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737 (NG): 737-600, -700, -700C, -800, -900, -900ER</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75,000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747 (Classics): 747-100, -100B, -100B SUD, -200B, -200C, -200F, -300, 747SP, 747SR</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20,000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747-400: 747-400, -400D, -400F</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20,000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757</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50,000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767</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50,000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777-200, -300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777-200LR, 777-300ER</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72</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777F</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72</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11,000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Bombardier—Existing </w:t>
            </w:r>
            <w:r w:rsidRPr="00261F3E">
              <w:rPr>
                <w:vertAlign w:val="superscript"/>
              </w:rPr>
              <w:t>1</w:t>
            </w:r>
            <w:r w:rsidRPr="00261F3E">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CL-600: 2D15 (Regional Jet Series 705), 2D24 (Regional Jet Series 900)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72</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Embraer—Existing </w:t>
            </w:r>
            <w:r w:rsidRPr="00261F3E">
              <w:rPr>
                <w:vertAlign w:val="superscript"/>
              </w:rPr>
              <w:t>1</w:t>
            </w:r>
            <w:r w:rsidRPr="00261F3E">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ERJ 170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72</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See NOTE.</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ERJ 190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72</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See NOTE.</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Fokker—Existing </w:t>
            </w:r>
            <w:r w:rsidRPr="00261F3E">
              <w:rPr>
                <w:vertAlign w:val="superscript"/>
              </w:rPr>
              <w:t>1</w:t>
            </w:r>
            <w:r w:rsidRPr="00261F3E">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F.28 Mark 0070, Mark 0100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90,000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Lockheed—Existing </w:t>
            </w:r>
            <w:r w:rsidRPr="00261F3E">
              <w:rPr>
                <w:vertAlign w:val="superscript"/>
              </w:rPr>
              <w:t>1</w:t>
            </w:r>
            <w:r w:rsidRPr="00261F3E">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L-1011</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36,000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188</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26,600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382 (all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20,000 FC/50,000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McDonnell Douglas—Existing </w:t>
            </w:r>
            <w:r w:rsidRPr="00261F3E">
              <w:rPr>
                <w:vertAlign w:val="superscript"/>
              </w:rPr>
              <w:t>1</w:t>
            </w:r>
            <w:r w:rsidRPr="00261F3E">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DC-8, -8F</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50,000 FC/50,000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DC-9 (except for MD-80 models)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100,000 FC/100,000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MD-80 (DC-9-81, -82, -83, -87, MD-88)</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50,000 FC/50,000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MD-90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60,000 FC/90,000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DC-10-10, -15</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42,000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DC-10-30, -40, -10F, -30F, -40F</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MD-10-10F</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42,000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MD-10-30F</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MD-11, MD-11F</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60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20,000 FC/60,000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Maximum Takeoff Gross Weight Changes: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All airplanes whose maximum takeoff gross weight has been decreased to 75,000 pounds or below after January 14, 2011, or increased to greater than 75,000 pounds at any time by an amended type certificate or supplemental type certificate</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 or within 12 months after the LOV is approved, or before operating the airplane, whichever occurs latest</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Not applicable.</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All Other Airplane Models (TCs and amended TCs) not Listed in Table 2</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72, or within 12 months after the LOV is approved, or before operating the airplane, whichever occurs latest</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Not applicable.</w:t>
            </w:r>
          </w:p>
        </w:tc>
      </w:tr>
    </w:tbl>
    <w:p w:rsidRPr="00261F3E" w:rsidR="00261F3E" w:rsidP="00261F3E" w:rsidRDefault="00261F3E">
      <w:proofErr w:type="gramStart"/>
      <w:r w:rsidRPr="00261F3E">
        <w:rPr>
          <w:vertAlign w:val="superscript"/>
        </w:rPr>
        <w:t>1</w:t>
      </w:r>
      <w:proofErr w:type="gramEnd"/>
      <w:r w:rsidRPr="00261F3E">
        <w:t> Type certificated as of January 14, 2011.</w:t>
      </w:r>
    </w:p>
    <w:p w:rsidRPr="00261F3E" w:rsidR="00261F3E" w:rsidP="00261F3E" w:rsidRDefault="00261F3E">
      <w:proofErr w:type="spellStart"/>
      <w:r w:rsidRPr="00261F3E">
        <w:rPr>
          <w:b/>
          <w:bCs/>
        </w:rPr>
        <w:t>Note</w:t>
      </w:r>
      <w:proofErr w:type="gramStart"/>
      <w:r w:rsidRPr="00261F3E">
        <w:rPr>
          <w:b/>
          <w:bCs/>
        </w:rPr>
        <w:t>:</w:t>
      </w:r>
      <w:r w:rsidRPr="00261F3E">
        <w:t>Airplane</w:t>
      </w:r>
      <w:proofErr w:type="spellEnd"/>
      <w:proofErr w:type="gramEnd"/>
      <w:r w:rsidRPr="00261F3E">
        <w:t xml:space="preserve"> operation limitation is stated in the Airworthiness Limitation section.</w:t>
      </w:r>
    </w:p>
    <w:p w:rsidRPr="00261F3E" w:rsidR="00261F3E" w:rsidP="00261F3E" w:rsidRDefault="00261F3E">
      <w:r w:rsidRPr="00261F3E">
        <w:t xml:space="preserve">Note: Airplane operation limitation </w:t>
      </w:r>
      <w:proofErr w:type="gramStart"/>
      <w:r w:rsidRPr="00261F3E">
        <w:t>is stated</w:t>
      </w:r>
      <w:proofErr w:type="gramEnd"/>
      <w:r w:rsidRPr="00261F3E">
        <w:t xml:space="preserve"> in the Airworthiness Limitation section.</w:t>
      </w:r>
    </w:p>
    <w:p w:rsidRPr="00261F3E" w:rsidR="00261F3E" w:rsidP="00261F3E" w:rsidRDefault="00261F3E">
      <w:pPr>
        <w:rPr>
          <w:b/>
          <w:bCs/>
        </w:rPr>
      </w:pPr>
      <w:r w:rsidRPr="00261F3E">
        <w:rPr>
          <w:b/>
          <w:bCs/>
        </w:rPr>
        <w:t>Table 2—Airplanes Excluded from § 26.21</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6931"/>
        <w:gridCol w:w="2413"/>
      </w:tblGrid>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261F3E" w:rsidR="00261F3E" w:rsidP="00261F3E" w:rsidRDefault="00261F3E">
            <w:pPr>
              <w:rPr>
                <w:b/>
                <w:bCs/>
              </w:rPr>
            </w:pPr>
            <w:r w:rsidRPr="00261F3E">
              <w:rPr>
                <w:b/>
                <w:bCs/>
              </w:rPr>
              <w:t>Airplane model</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261F3E" w:rsidR="00261F3E" w:rsidP="00261F3E" w:rsidRDefault="00261F3E">
            <w:pPr>
              <w:rPr>
                <w:b/>
                <w:bCs/>
              </w:rPr>
            </w:pPr>
            <w:r w:rsidRPr="00261F3E">
              <w:rPr>
                <w:b/>
                <w:bCs/>
              </w:rPr>
              <w:t>Default LOV</w:t>
            </w:r>
            <w:r w:rsidRPr="00261F3E">
              <w:rPr>
                <w:b/>
                <w:bCs/>
              </w:rPr>
              <w:br/>
              <w:t>[flight cycles (FC)</w:t>
            </w:r>
            <w:r w:rsidRPr="00261F3E">
              <w:rPr>
                <w:b/>
                <w:bCs/>
              </w:rPr>
              <w:br/>
              <w:t>or flight hours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Airbus: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proofErr w:type="spellStart"/>
            <w:r w:rsidRPr="00261F3E">
              <w:t>Caravelle</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15,000 FC/24,000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proofErr w:type="spellStart"/>
            <w:r w:rsidRPr="00261F3E">
              <w:t>Avions</w:t>
            </w:r>
            <w:proofErr w:type="spellEnd"/>
            <w:r w:rsidRPr="00261F3E">
              <w:t xml:space="preserve"> Marcel Dassault:</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proofErr w:type="spellStart"/>
            <w:r w:rsidRPr="00261F3E">
              <w:t>Breguet</w:t>
            </w:r>
            <w:proofErr w:type="spellEnd"/>
            <w:r w:rsidRPr="00261F3E">
              <w:t xml:space="preserve"> Aviation </w:t>
            </w:r>
            <w:proofErr w:type="spellStart"/>
            <w:r w:rsidRPr="00261F3E">
              <w:t>Mercure</w:t>
            </w:r>
            <w:proofErr w:type="spellEnd"/>
            <w:r w:rsidRPr="00261F3E">
              <w:t xml:space="preserve"> </w:t>
            </w:r>
            <w:proofErr w:type="spellStart"/>
            <w:r w:rsidRPr="00261F3E">
              <w:t>100C</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20,000 FC/16,000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Boeing:</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Boeing 707 (-100 Series and -200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20,000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Boeing 707 (-300 Series and -400 Series)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20,000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Boeing 720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30,000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Bombardier:</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CL-44D4 and CL-44J</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20,000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BD-700</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15,000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 xml:space="preserve">Bristol </w:t>
            </w:r>
            <w:proofErr w:type="spellStart"/>
            <w:r w:rsidRPr="00261F3E">
              <w:t>Aeroplane</w:t>
            </w:r>
            <w:proofErr w:type="spellEnd"/>
            <w:r w:rsidRPr="00261F3E">
              <w:t xml:space="preserve"> Company:</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Britannia 305</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10,000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British Aerospace Airbus, Ltd.:</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BAC 1-11 (all models)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85,000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British Aerospace (Commercial Aircraft) Ltd.:</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Armstrong Whitworth Argosy A.W. 650 Series 101</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20,000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BAE Systems (Operations) Ltd.:</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BAe 146-100A (all models)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50,000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BAe 146-200-07</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50,000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BAe 146-200-07 Dev</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50,000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BAe 146-200-11</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50,000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BAe 146-200-07A</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47,000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BAe 146-200-11 Dev</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43,000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BAe 146-300 (all models)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Avro 146-RJ70A (all models)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Avro 146-RJ85A and 146-RJ100A (all models)</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50,000 FC</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D &amp; R Nevada, LLC:</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proofErr w:type="spellStart"/>
            <w:r w:rsidRPr="00261F3E">
              <w:t>Convair</w:t>
            </w:r>
            <w:proofErr w:type="spellEnd"/>
            <w:r w:rsidRPr="00261F3E">
              <w:t xml:space="preserve"> Model 22</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1,000 FC/1,000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proofErr w:type="spellStart"/>
            <w:r w:rsidRPr="00261F3E">
              <w:t>Convair</w:t>
            </w:r>
            <w:proofErr w:type="spellEnd"/>
            <w:r w:rsidRPr="00261F3E">
              <w:t xml:space="preserve"> Model </w:t>
            </w:r>
            <w:proofErr w:type="spellStart"/>
            <w:r w:rsidRPr="00261F3E">
              <w:t>23M</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1,000 FC/1,000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deHavilland Aircraft Company, Ltd.:</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D.H. 106 Comet 4C</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8,000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Gulfstream:</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GV</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GV-SP</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40,000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proofErr w:type="spellStart"/>
            <w:r w:rsidRPr="00261F3E">
              <w:t>Ilyushin</w:t>
            </w:r>
            <w:proofErr w:type="spellEnd"/>
            <w:r w:rsidRPr="00261F3E">
              <w:t xml:space="preserve"> Aviation Complex:</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IL-96T</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10,000 FC/30,000 FH</w:t>
            </w:r>
          </w:p>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Lockheed:</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tc>
      </w:tr>
      <w:tr w:rsidRPr="00261F3E" w:rsidR="00261F3E" w:rsidTr="00261F3E">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261F3E" w:rsidR="00261F3E" w:rsidP="00261F3E" w:rsidRDefault="00261F3E">
            <w:r w:rsidRPr="00261F3E">
              <w:t>300-50A01 (USAF C 141A)</w:t>
            </w:r>
          </w:p>
        </w:tc>
        <w:tc>
          <w:tcPr>
            <w:tcW w:w="0" w:type="auto"/>
            <w:tcBorders>
              <w:top w:val="single" w:color="000000" w:sz="6" w:space="0"/>
              <w:left w:val="single" w:color="000000" w:sz="6" w:space="0"/>
              <w:bottom w:val="single" w:color="000000" w:sz="6" w:space="0"/>
              <w:right w:val="single" w:color="000000" w:sz="6" w:space="0"/>
            </w:tcBorders>
            <w:hideMark/>
          </w:tcPr>
          <w:p w:rsidRPr="00261F3E" w:rsidR="00261F3E" w:rsidP="00261F3E" w:rsidRDefault="00261F3E">
            <w:r w:rsidRPr="00261F3E">
              <w:t>20,000 FC</w:t>
            </w:r>
          </w:p>
        </w:tc>
      </w:tr>
    </w:tbl>
    <w:p w:rsidRPr="00261F3E" w:rsidR="00261F3E" w:rsidP="00261F3E" w:rsidRDefault="00261F3E">
      <w:r w:rsidRPr="00261F3E">
        <w:t xml:space="preserve">[Doc. No. FAA-2006-24281, 75 FR 69785, Nov. 15, 2010, as amended by </w:t>
      </w:r>
      <w:proofErr w:type="spellStart"/>
      <w:r w:rsidRPr="00261F3E">
        <w:t>Amdt</w:t>
      </w:r>
      <w:proofErr w:type="spellEnd"/>
      <w:r w:rsidRPr="00261F3E">
        <w:t xml:space="preserve">. 121-360, 77 FR 30878, May 24, 2012; </w:t>
      </w:r>
      <w:proofErr w:type="spellStart"/>
      <w:r w:rsidRPr="00261F3E">
        <w:t>Admt</w:t>
      </w:r>
      <w:proofErr w:type="spellEnd"/>
      <w:r w:rsidRPr="00261F3E">
        <w:t>. 121-360A, 77 FR 55105, Sept. 7, 2012]</w:t>
      </w:r>
      <w:bookmarkStart w:name="_GoBack" w:id="0"/>
      <w:bookmarkEnd w:id="0"/>
    </w:p>
    <w:sectPr w:rsidRPr="00261F3E" w:rsidR="00261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3E"/>
    <w:rsid w:val="00261F3E"/>
    <w:rsid w:val="00B67B28"/>
    <w:rsid w:val="00D94223"/>
    <w:rsid w:val="00DD10D0"/>
    <w:rsid w:val="00FE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6290"/>
  <w15:chartTrackingRefBased/>
  <w15:docId w15:val="{1237E776-9BDA-4052-88D7-B4FB27C5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61F3E"/>
    <w:rPr>
      <w:rFonts w:ascii="Arial" w:hAnsi="Arial" w:cs="Arial" w:hint="default"/>
      <w:strike w:val="0"/>
      <w:dstrike w:val="0"/>
      <w:color w:val="0000FF"/>
      <w:sz w:val="17"/>
      <w:szCs w:val="17"/>
      <w:u w:val="none"/>
      <w:effect w:val="none"/>
    </w:rPr>
  </w:style>
  <w:style w:type="paragraph" w:customStyle="1" w:styleId="contentsp">
    <w:name w:val="contentsp"/>
    <w:basedOn w:val="Normal"/>
    <w:rsid w:val="00261F3E"/>
    <w:pPr>
      <w:spacing w:before="200" w:after="100" w:afterAutospacing="1" w:line="240" w:lineRule="auto"/>
    </w:pPr>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8234">
      <w:bodyDiv w:val="1"/>
      <w:marLeft w:val="0"/>
      <w:marRight w:val="0"/>
      <w:marTop w:val="30"/>
      <w:marBottom w:val="750"/>
      <w:divBdr>
        <w:top w:val="none" w:sz="0" w:space="0" w:color="auto"/>
        <w:left w:val="none" w:sz="0" w:space="0" w:color="auto"/>
        <w:bottom w:val="none" w:sz="0" w:space="0" w:color="auto"/>
        <w:right w:val="none" w:sz="0" w:space="0" w:color="auto"/>
      </w:divBdr>
      <w:divsChild>
        <w:div w:id="811560939">
          <w:marLeft w:val="0"/>
          <w:marRight w:val="0"/>
          <w:marTop w:val="0"/>
          <w:marBottom w:val="0"/>
          <w:divBdr>
            <w:top w:val="none" w:sz="0" w:space="0" w:color="auto"/>
            <w:left w:val="none" w:sz="0" w:space="0" w:color="auto"/>
            <w:bottom w:val="none" w:sz="0" w:space="0" w:color="auto"/>
            <w:right w:val="none" w:sz="0" w:space="0" w:color="auto"/>
          </w:divBdr>
        </w:div>
      </w:divsChild>
    </w:div>
    <w:div w:id="1422021906">
      <w:bodyDiv w:val="1"/>
      <w:marLeft w:val="0"/>
      <w:marRight w:val="0"/>
      <w:marTop w:val="30"/>
      <w:marBottom w:val="750"/>
      <w:divBdr>
        <w:top w:val="none" w:sz="0" w:space="0" w:color="auto"/>
        <w:left w:val="none" w:sz="0" w:space="0" w:color="auto"/>
        <w:bottom w:val="none" w:sz="0" w:space="0" w:color="auto"/>
        <w:right w:val="none" w:sz="0" w:space="0" w:color="auto"/>
      </w:divBdr>
      <w:divsChild>
        <w:div w:id="2027363294">
          <w:marLeft w:val="0"/>
          <w:marRight w:val="0"/>
          <w:marTop w:val="0"/>
          <w:marBottom w:val="0"/>
          <w:divBdr>
            <w:top w:val="none" w:sz="0" w:space="0" w:color="auto"/>
            <w:left w:val="none" w:sz="0" w:space="0" w:color="auto"/>
            <w:bottom w:val="none" w:sz="0" w:space="0" w:color="auto"/>
            <w:right w:val="none" w:sz="0" w:space="0" w:color="auto"/>
          </w:divBdr>
          <w:divsChild>
            <w:div w:id="1797796090">
              <w:marLeft w:val="0"/>
              <w:marRight w:val="0"/>
              <w:marTop w:val="0"/>
              <w:marBottom w:val="0"/>
              <w:divBdr>
                <w:top w:val="none" w:sz="0" w:space="0" w:color="auto"/>
                <w:left w:val="none" w:sz="0" w:space="0" w:color="auto"/>
                <w:bottom w:val="none" w:sz="0" w:space="0" w:color="auto"/>
                <w:right w:val="none" w:sz="0" w:space="0" w:color="auto"/>
              </w:divBdr>
              <w:divsChild>
                <w:div w:id="1183785895">
                  <w:marLeft w:val="0"/>
                  <w:marRight w:val="0"/>
                  <w:marTop w:val="0"/>
                  <w:marBottom w:val="0"/>
                  <w:divBdr>
                    <w:top w:val="none" w:sz="0" w:space="0" w:color="auto"/>
                    <w:left w:val="none" w:sz="0" w:space="0" w:color="auto"/>
                    <w:bottom w:val="none" w:sz="0" w:space="0" w:color="auto"/>
                    <w:right w:val="none" w:sz="0" w:space="0" w:color="auto"/>
                  </w:divBdr>
                </w:div>
                <w:div w:id="1555003169">
                  <w:marLeft w:val="0"/>
                  <w:marRight w:val="0"/>
                  <w:marTop w:val="0"/>
                  <w:marBottom w:val="0"/>
                  <w:divBdr>
                    <w:top w:val="none" w:sz="0" w:space="0" w:color="auto"/>
                    <w:left w:val="none" w:sz="0" w:space="0" w:color="auto"/>
                    <w:bottom w:val="none" w:sz="0" w:space="0" w:color="auto"/>
                    <w:right w:val="none" w:sz="0" w:space="0" w:color="auto"/>
                  </w:divBdr>
                </w:div>
                <w:div w:id="182573130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72719349">
              <w:marLeft w:val="0"/>
              <w:marRight w:val="0"/>
              <w:marTop w:val="0"/>
              <w:marBottom w:val="0"/>
              <w:divBdr>
                <w:top w:val="none" w:sz="0" w:space="0" w:color="auto"/>
                <w:left w:val="none" w:sz="0" w:space="0" w:color="auto"/>
                <w:bottom w:val="none" w:sz="0" w:space="0" w:color="auto"/>
                <w:right w:val="none" w:sz="0" w:space="0" w:color="auto"/>
              </w:divBdr>
              <w:divsChild>
                <w:div w:id="194008079">
                  <w:marLeft w:val="0"/>
                  <w:marRight w:val="0"/>
                  <w:marTop w:val="0"/>
                  <w:marBottom w:val="0"/>
                  <w:divBdr>
                    <w:top w:val="none" w:sz="0" w:space="0" w:color="auto"/>
                    <w:left w:val="none" w:sz="0" w:space="0" w:color="auto"/>
                    <w:bottom w:val="none" w:sz="0" w:space="0" w:color="auto"/>
                    <w:right w:val="none" w:sz="0" w:space="0" w:color="auto"/>
                  </w:divBdr>
                </w:div>
                <w:div w:id="42160745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cfr.gov/cgi-bin/retrieveECFR?gp=1&amp;SID=40cfbba268c991623cb795b23fa3ab48&amp;ty=HTML&amp;h=L&amp;n=14y3.0.1.1.7&amp;r=P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8019</CharactersWithSpaces>
  <SharedDoc>false</SharedDoc>
  <HLinks>
    <vt:vector size="6" baseType="variant">
      <vt:variant>
        <vt:i4>7536681</vt:i4>
      </vt:variant>
      <vt:variant>
        <vt:i4>0</vt:i4>
      </vt:variant>
      <vt:variant>
        <vt:i4>0</vt:i4>
      </vt:variant>
      <vt:variant>
        <vt:i4>5</vt:i4>
      </vt:variant>
      <vt:variant>
        <vt:lpwstr>http://www.ecfr.gov/cgi-bin/retrieveECFR?gp=1&amp;SID=40cfbba268c991623cb795b23fa3ab48&amp;ty=HTML&amp;h=L&amp;n=14y3.0.1.1.7&amp;r=PART</vt:lpwstr>
      </vt:variant>
      <vt:variant>
        <vt:lpwstr>14:3.0.1.1.7.27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Delgado, Maria G (FAA)</cp:lastModifiedBy>
  <cp:revision>3</cp:revision>
  <dcterms:created xsi:type="dcterms:W3CDTF">2020-05-12T23:40:00Z</dcterms:created>
  <dcterms:modified xsi:type="dcterms:W3CDTF">2020-05-13T00:06:00Z</dcterms:modified>
</cp:coreProperties>
</file>