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 Id="rId6"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7C2C" w:rsidP="00F27C2C" w14:paraId="2FF77F98" w14:textId="50F017D1">
      <w:pPr>
        <w:spacing w:after="0" w:line="240" w:lineRule="auto"/>
        <w:jc w:val="center"/>
        <w:rPr>
          <w:rFonts w:eastAsia="Calibri" w:cs="Times New Roman"/>
          <w:b/>
          <w:szCs w:val="24"/>
        </w:rPr>
      </w:pPr>
      <w:r>
        <w:rPr>
          <w:rFonts w:eastAsia="Calibri" w:cs="Times New Roman"/>
          <w:b/>
          <w:szCs w:val="24"/>
        </w:rPr>
        <w:t>Supporting Statement: Part A</w:t>
      </w:r>
    </w:p>
    <w:p w:rsidR="00465EFD" w:rsidP="00F27C2C" w14:paraId="44E6C93A" w14:textId="77777777">
      <w:pPr>
        <w:spacing w:after="0" w:line="240" w:lineRule="auto"/>
        <w:jc w:val="center"/>
        <w:rPr>
          <w:rFonts w:eastAsia="Calibri" w:cs="Times New Roman"/>
          <w:b/>
          <w:szCs w:val="24"/>
        </w:rPr>
      </w:pPr>
    </w:p>
    <w:p w:rsidR="00F27C2C" w:rsidRPr="003E0A5C" w:rsidP="00F27C2C" w14:paraId="620B2871" w14:textId="77777777">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00F27C2C" w:rsidRPr="007F27B2" w:rsidP="00F27C2C" w14:paraId="611B5F33" w14:textId="17A2EFEE">
      <w:pPr>
        <w:spacing w:after="0" w:line="240" w:lineRule="auto"/>
        <w:jc w:val="center"/>
        <w:rPr>
          <w:b/>
        </w:rPr>
      </w:pPr>
      <w:r>
        <w:rPr>
          <w:rFonts w:eastAsia="Calibri" w:cs="Times New Roman"/>
          <w:b/>
          <w:szCs w:val="24"/>
        </w:rPr>
        <w:t>Alcohol-</w:t>
      </w:r>
      <w:r w:rsidR="004E0ECA">
        <w:rPr>
          <w:rFonts w:eastAsia="Calibri" w:cs="Times New Roman"/>
          <w:b/>
          <w:szCs w:val="24"/>
        </w:rPr>
        <w:t>Impaired Driv</w:t>
      </w:r>
      <w:r w:rsidR="000A0820">
        <w:rPr>
          <w:rFonts w:eastAsia="Calibri" w:cs="Times New Roman"/>
          <w:b/>
          <w:szCs w:val="24"/>
        </w:rPr>
        <w:t>ing</w:t>
      </w:r>
      <w:r w:rsidR="004E0ECA">
        <w:rPr>
          <w:rFonts w:eastAsia="Calibri" w:cs="Times New Roman"/>
          <w:b/>
          <w:szCs w:val="24"/>
        </w:rPr>
        <w:t xml:space="preserve"> Segmentation </w:t>
      </w:r>
      <w:r w:rsidR="000A0820">
        <w:rPr>
          <w:rFonts w:eastAsia="Calibri" w:cs="Times New Roman"/>
          <w:b/>
          <w:szCs w:val="24"/>
        </w:rPr>
        <w:t>Study</w:t>
      </w:r>
    </w:p>
    <w:p w:rsidR="00F27C2C" w:rsidRPr="007F27B2" w:rsidP="00F27C2C" w14:paraId="722013CC" w14:textId="5F37A35B">
      <w:pPr>
        <w:spacing w:after="0" w:line="240" w:lineRule="auto"/>
        <w:jc w:val="center"/>
        <w:rPr>
          <w:b/>
        </w:rPr>
      </w:pPr>
      <w:r w:rsidRPr="007F27B2">
        <w:rPr>
          <w:b/>
        </w:rPr>
        <w:t xml:space="preserve">OMB Control </w:t>
      </w:r>
      <w:r w:rsidRPr="003E0A5C">
        <w:rPr>
          <w:rFonts w:eastAsia="Calibri" w:cs="Times New Roman"/>
          <w:b/>
          <w:szCs w:val="24"/>
        </w:rPr>
        <w:t>No.</w:t>
      </w:r>
      <w:r w:rsidRPr="007F27B2">
        <w:rPr>
          <w:b/>
        </w:rPr>
        <w:t xml:space="preserve"> 2127</w:t>
      </w:r>
      <w:r w:rsidRPr="003E0A5C">
        <w:rPr>
          <w:rFonts w:eastAsia="Calibri" w:cs="Times New Roman"/>
          <w:b/>
          <w:szCs w:val="24"/>
        </w:rPr>
        <w:t>-</w:t>
      </w:r>
      <w:r>
        <w:rPr>
          <w:rFonts w:eastAsia="Calibri" w:cs="Times New Roman"/>
          <w:b/>
          <w:szCs w:val="24"/>
        </w:rPr>
        <w:t>(</w:t>
      </w:r>
      <w:r w:rsidRPr="00830F83">
        <w:rPr>
          <w:b/>
        </w:rPr>
        <w:t>New)</w:t>
      </w:r>
    </w:p>
    <w:p w:rsidR="00F27C2C" w:rsidP="00F27C2C" w14:paraId="53A46501" w14:textId="77777777">
      <w:pPr>
        <w:autoSpaceDE w:val="0"/>
        <w:autoSpaceDN w:val="0"/>
        <w:adjustRightInd w:val="0"/>
        <w:spacing w:after="0" w:line="240" w:lineRule="auto"/>
        <w:rPr>
          <w:rFonts w:cs="Times New Roman"/>
          <w:szCs w:val="24"/>
        </w:rPr>
      </w:pPr>
    </w:p>
    <w:p w:rsidR="00C44730" w:rsidRPr="00DD5373" w:rsidP="00F27C2C" w14:paraId="0C8C1E17" w14:textId="5DD4AED7">
      <w:pPr>
        <w:autoSpaceDE w:val="0"/>
        <w:autoSpaceDN w:val="0"/>
        <w:adjustRightInd w:val="0"/>
        <w:spacing w:after="0" w:line="240" w:lineRule="auto"/>
        <w:rPr>
          <w:rFonts w:cs="Times New Roman"/>
          <w:b/>
          <w:szCs w:val="24"/>
        </w:rPr>
      </w:pPr>
      <w:bookmarkStart w:id="0" w:name="_Hlk49938575"/>
      <w:r w:rsidRPr="00DD5373">
        <w:rPr>
          <w:rFonts w:cs="Times New Roman"/>
          <w:b/>
          <w:szCs w:val="24"/>
        </w:rPr>
        <w:t>Abstract</w:t>
      </w:r>
      <w:bookmarkStart w:id="1" w:name="_Hlk47077366"/>
      <w:r w:rsidRPr="00DD5373">
        <w:rPr>
          <w:rFonts w:cs="Times New Roman"/>
          <w:b/>
          <w:szCs w:val="24"/>
        </w:rPr>
        <w:t>:</w:t>
      </w:r>
      <w:r>
        <w:rPr>
          <w:rStyle w:val="FootnoteReference"/>
          <w:rFonts w:cs="Times New Roman"/>
          <w:b/>
          <w:szCs w:val="24"/>
        </w:rPr>
        <w:footnoteReference w:id="3"/>
      </w:r>
      <w:bookmarkEnd w:id="0"/>
      <w:bookmarkEnd w:id="1"/>
    </w:p>
    <w:p w:rsidR="004E0ECA" w:rsidP="00D230C8" w14:paraId="34B9C8E8" w14:textId="77777777">
      <w:pPr>
        <w:autoSpaceDE w:val="0"/>
        <w:autoSpaceDN w:val="0"/>
        <w:adjustRightInd w:val="0"/>
        <w:spacing w:after="0" w:line="240" w:lineRule="auto"/>
        <w:rPr>
          <w:bCs/>
        </w:rPr>
      </w:pPr>
    </w:p>
    <w:p w:rsidR="00815B72" w:rsidP="000E3AB0" w14:paraId="3CC940D6" w14:textId="4823FF0F">
      <w:bookmarkStart w:id="2" w:name="_Hlk134516227"/>
      <w:r>
        <w:t xml:space="preserve">The National Highway Traffic Safety Administration (NHTSA) </w:t>
      </w:r>
      <w:r w:rsidRPr="009C2CD8" w:rsidR="00CA6E8C">
        <w:t>is seeking approval</w:t>
      </w:r>
      <w:r w:rsidR="00CA6E8C">
        <w:t xml:space="preserve"> of</w:t>
      </w:r>
      <w:r w:rsidRPr="009C2CD8" w:rsidR="00CA6E8C">
        <w:t xml:space="preserve"> </w:t>
      </w:r>
      <w:r w:rsidRPr="009C2CD8" w:rsidR="000B196A">
        <w:t xml:space="preserve">this </w:t>
      </w:r>
      <w:r>
        <w:t>new information collection request (ICR) to allow the agency</w:t>
      </w:r>
      <w:r w:rsidRPr="009C2CD8" w:rsidR="000B196A">
        <w:t xml:space="preserve"> to conduct </w:t>
      </w:r>
      <w:r w:rsidR="00CD6B1E">
        <w:t xml:space="preserve">a </w:t>
      </w:r>
      <w:r>
        <w:t>one-time</w:t>
      </w:r>
      <w:r w:rsidR="00893D03">
        <w:t xml:space="preserve"> voluntary</w:t>
      </w:r>
      <w:r>
        <w:t xml:space="preserve"> study to obtain </w:t>
      </w:r>
      <w:r w:rsidRPr="00815B72">
        <w:t xml:space="preserve">information to better understand attitudes and behaviors related to alcohol-impaired driving that will be used to enhance and refine communication strategy and tactics (i.e., more effectively target and message at-risk drivers and motorcycle riders). </w:t>
      </w:r>
      <w:r>
        <w:t>The study will survey d</w:t>
      </w:r>
      <w:r w:rsidRPr="00815B72">
        <w:t>rivers</w:t>
      </w:r>
      <w:r>
        <w:t xml:space="preserve"> and </w:t>
      </w:r>
      <w:r w:rsidRPr="00815B72">
        <w:t>motorcycle riders ages 21- to 54-years-old</w:t>
      </w:r>
      <w:r w:rsidR="00C44730">
        <w:t xml:space="preserve"> because </w:t>
      </w:r>
      <w:r>
        <w:t xml:space="preserve">this age range represents </w:t>
      </w:r>
      <w:r w:rsidRPr="00815B72">
        <w:t>the greatest number of alcohol-related driving/riding fatalities</w:t>
      </w:r>
      <w:r w:rsidR="00C44730">
        <w:t xml:space="preserve"> according to NHTSA</w:t>
      </w:r>
      <w:r w:rsidRPr="00C44730" w:rsidR="00C44730">
        <w:t>’s Fatality Analysis Reporting System (FARS)</w:t>
      </w:r>
      <w:r>
        <w:t>.</w:t>
      </w:r>
      <w:r>
        <w:rPr>
          <w:rStyle w:val="FootnoteReference"/>
        </w:rPr>
        <w:footnoteReference w:id="4"/>
      </w:r>
      <w:r w:rsidRPr="00815B72">
        <w:t xml:space="preserve"> </w:t>
      </w:r>
    </w:p>
    <w:bookmarkEnd w:id="2"/>
    <w:p w:rsidR="000A650D" w:rsidP="000E3AB0" w14:paraId="2B476A60" w14:textId="270EE9B8">
      <w:pPr>
        <w:rPr>
          <w:rFonts w:cs="Times New Roman"/>
          <w:b/>
          <w:szCs w:val="24"/>
        </w:rPr>
      </w:pPr>
      <w:r>
        <w:t xml:space="preserve">The research </w:t>
      </w:r>
      <w:r w:rsidR="00815B72">
        <w:t>study</w:t>
      </w:r>
      <w:r>
        <w:t xml:space="preserve"> will include two components, both being one-time collections.</w:t>
      </w:r>
      <w:r w:rsidR="002F2890">
        <w:t xml:space="preserve"> </w:t>
      </w:r>
      <w:r>
        <w:t xml:space="preserve">The first component </w:t>
      </w:r>
      <w:r w:rsidR="00815B72">
        <w:t xml:space="preserve">will involve </w:t>
      </w:r>
      <w:r>
        <w:t xml:space="preserve">a series of online webcam interviews that will </w:t>
      </w:r>
      <w:r w:rsidR="00C44730">
        <w:t xml:space="preserve">collect qualitative information that will be used to improve the </w:t>
      </w:r>
      <w:r>
        <w:t xml:space="preserve">quantitative survey that will be administered </w:t>
      </w:r>
      <w:r w:rsidR="00C44730">
        <w:t xml:space="preserve">in the second component. The quantitative survey will be administered </w:t>
      </w:r>
      <w:r>
        <w:t>online and by phone (and potentially supplemented by mail if needed).</w:t>
      </w:r>
      <w:r w:rsidR="002F2890">
        <w:t xml:space="preserve"> </w:t>
      </w:r>
      <w:r w:rsidR="00712A74">
        <w:t xml:space="preserve">After </w:t>
      </w:r>
      <w:r w:rsidR="002F2890">
        <w:t>collecting</w:t>
      </w:r>
      <w:r w:rsidR="00712A74">
        <w:t xml:space="preserve"> the data, segmentation analysis will be done to classify drivers and </w:t>
      </w:r>
      <w:r w:rsidR="0001423D">
        <w:t xml:space="preserve">motorcycle </w:t>
      </w:r>
      <w:r w:rsidR="00712A74">
        <w:t>riders according to segments based on common demographics, drinking behaviors, attitudes about drinking and driving</w:t>
      </w:r>
      <w:r w:rsidR="00F64C2B">
        <w:t>/motorcycle riding</w:t>
      </w:r>
      <w:r w:rsidR="00712A74">
        <w:t xml:space="preserve">, </w:t>
      </w:r>
      <w:r w:rsidR="00731F27">
        <w:t xml:space="preserve">and </w:t>
      </w:r>
      <w:r w:rsidR="00712A74">
        <w:t>lifestyle characteristics.</w:t>
      </w:r>
      <w:r w:rsidR="002F2890">
        <w:t xml:space="preserve"> </w:t>
      </w:r>
      <w:r w:rsidR="00C44730">
        <w:t>The s</w:t>
      </w:r>
      <w:r w:rsidR="00712A74">
        <w:t xml:space="preserve">egmentation profiles </w:t>
      </w:r>
      <w:r w:rsidR="00C44730">
        <w:t>will be used by</w:t>
      </w:r>
      <w:r w:rsidR="00712A74">
        <w:t xml:space="preserve"> </w:t>
      </w:r>
      <w:r w:rsidR="002F2890">
        <w:t>NHTSA’s</w:t>
      </w:r>
      <w:r w:rsidR="00712A74">
        <w:t xml:space="preserve"> Office of Communications and Consumer Information (OCCI) to better target and reach intended audiences with communications messages and techniques that are relevant and meaningful to people within the target market.</w:t>
      </w:r>
      <w:r w:rsidR="002F2890">
        <w:t xml:space="preserve"> </w:t>
      </w:r>
    </w:p>
    <w:p w:rsidR="000A650D" w:rsidRPr="00336819" w:rsidP="00336819" w14:paraId="43FFB591" w14:textId="37B3344E">
      <w:pPr>
        <w:pStyle w:val="ListParagraph"/>
        <w:keepNext/>
        <w:numPr>
          <w:ilvl w:val="0"/>
          <w:numId w:val="7"/>
        </w:numPr>
        <w:autoSpaceDE w:val="0"/>
        <w:autoSpaceDN w:val="0"/>
        <w:adjustRightInd w:val="0"/>
        <w:spacing w:after="0" w:line="240" w:lineRule="auto"/>
        <w:outlineLvl w:val="0"/>
        <w:rPr>
          <w:rFonts w:eastAsia="Times New Roman" w:cs="Times New Roman"/>
          <w:b/>
          <w:bCs/>
          <w:szCs w:val="16"/>
          <w:u w:val="single"/>
        </w:rPr>
      </w:pPr>
      <w:r>
        <w:rPr>
          <w:rFonts w:eastAsia="Times New Roman" w:cs="Times New Roman"/>
          <w:b/>
          <w:bCs/>
          <w:szCs w:val="16"/>
          <w:u w:val="single"/>
        </w:rPr>
        <w:t>Justification</w:t>
      </w:r>
    </w:p>
    <w:p w:rsidR="000154D7" w:rsidRPr="005271A9" w:rsidP="007A7BB5" w14:paraId="43E55058" w14:textId="79B0AB45">
      <w:pPr>
        <w:pStyle w:val="ListParagraph"/>
        <w:numPr>
          <w:ilvl w:val="0"/>
          <w:numId w:val="1"/>
        </w:numPr>
        <w:autoSpaceDE w:val="0"/>
        <w:autoSpaceDN w:val="0"/>
        <w:adjustRightInd w:val="0"/>
        <w:spacing w:before="240" w:after="120" w:line="240" w:lineRule="auto"/>
        <w:contextualSpacing w:val="0"/>
        <w:rPr>
          <w:rFonts w:cs="Times New Roman"/>
          <w:b/>
          <w:szCs w:val="24"/>
        </w:rPr>
      </w:pPr>
      <w:bookmarkStart w:id="3" w:name="_Hlk51324508"/>
      <w:r w:rsidRPr="005271A9">
        <w:rPr>
          <w:rFonts w:cs="Times New Roman"/>
          <w:b/>
          <w:szCs w:val="24"/>
        </w:rPr>
        <w:t>Explain the circumstances that mak</w:t>
      </w:r>
      <w:r w:rsidR="004668D3">
        <w:rPr>
          <w:rFonts w:cs="Times New Roman"/>
          <w:b/>
          <w:szCs w:val="24"/>
        </w:rPr>
        <w:t>e the collection of information</w:t>
      </w:r>
      <w:r w:rsidRPr="005271A9">
        <w:rPr>
          <w:rFonts w:cs="Times New Roman"/>
          <w:b/>
          <w:szCs w:val="24"/>
        </w:rPr>
        <w:t xml:space="preserve"> necessary.</w:t>
      </w:r>
      <w:r w:rsidR="002F2890">
        <w:rPr>
          <w:rFonts w:cs="Times New Roman"/>
          <w:b/>
          <w:szCs w:val="24"/>
        </w:rPr>
        <w:t xml:space="preserve"> </w:t>
      </w:r>
      <w:r w:rsidRPr="005271A9">
        <w:rPr>
          <w:rFonts w:cs="Times New Roman"/>
          <w:b/>
          <w:szCs w:val="24"/>
        </w:rPr>
        <w:t>Identify any legal and administrative requirements that necessitate the collection.</w:t>
      </w:r>
      <w:r w:rsidR="002F2890">
        <w:rPr>
          <w:rFonts w:cs="Times New Roman"/>
          <w:b/>
          <w:szCs w:val="24"/>
        </w:rPr>
        <w:t xml:space="preserve"> </w:t>
      </w:r>
      <w:r w:rsidRPr="005271A9">
        <w:rPr>
          <w:rFonts w:cs="Times New Roman"/>
          <w:b/>
          <w:szCs w:val="24"/>
        </w:rPr>
        <w:t>Attach a copy of the appropriate section of each statute and regulation mandating or authorizing the collection of information.</w:t>
      </w:r>
    </w:p>
    <w:p w:rsidR="00C44730" w:rsidP="00D230C8" w14:paraId="38792E86" w14:textId="247DD602">
      <w:bookmarkStart w:id="4" w:name="_Hlk134517412"/>
      <w:bookmarkEnd w:id="3"/>
      <w:r>
        <w:t xml:space="preserve">The National Highway Traffic Safety Administration (NHTSA), under the U.S. Department of Transportation (USDOT), was established to reduce the number of deaths, injuries and economic losses resulting from motor vehicle crashes on the </w:t>
      </w:r>
      <w:r w:rsidR="002F2890">
        <w:t>nation’s</w:t>
      </w:r>
      <w:r w:rsidR="00A93923">
        <w:t xml:space="preserve"> </w:t>
      </w:r>
      <w:r>
        <w:t>highways.</w:t>
      </w:r>
      <w:r w:rsidR="002F2890">
        <w:t xml:space="preserve"> </w:t>
      </w:r>
      <w:r w:rsidRPr="00FA3223" w:rsidR="00FA3223">
        <w:t>In keeping with this mission and to fulfill a congressional mandate to improve highway traffic safety, NHTSA</w:t>
      </w:r>
      <w:r w:rsidR="00FA3223">
        <w:t>’s Office of Communications and Consumer Information (OCCI)</w:t>
      </w:r>
      <w:r w:rsidRPr="00FA3223" w:rsidR="00FA3223">
        <w:t xml:space="preserve"> is dedicated to eliminating risky behaviors on our nation’s roads through public awareness campaigns. </w:t>
      </w:r>
      <w:r w:rsidR="00FA3223">
        <w:t xml:space="preserve">One of the most significant </w:t>
      </w:r>
      <w:r w:rsidR="00E36814">
        <w:t xml:space="preserve">concerns </w:t>
      </w:r>
      <w:r w:rsidR="00FA3223">
        <w:t xml:space="preserve">NHTSA’s OCCI seeks to address through these efforts is drunk driving. </w:t>
      </w:r>
    </w:p>
    <w:p w:rsidR="00957741" w:rsidP="00D230C8" w14:paraId="79F46002" w14:textId="45500CDE">
      <w:r>
        <w:t>Drunk driving is a significant cause of highway fatalities, injuries and economic losses.</w:t>
      </w:r>
      <w:r w:rsidR="002F2890">
        <w:t xml:space="preserve"> </w:t>
      </w:r>
      <w:r>
        <w:t xml:space="preserve">Alcohol-impaired </w:t>
      </w:r>
      <w:r w:rsidRPr="00A80341">
        <w:t>driving</w:t>
      </w:r>
      <w:r>
        <w:t xml:space="preserve"> fatalities</w:t>
      </w:r>
      <w:r w:rsidRPr="00A80341">
        <w:t xml:space="preserve"> totaled </w:t>
      </w:r>
      <w:r>
        <w:t>11,654</w:t>
      </w:r>
      <w:r w:rsidRPr="00A80341">
        <w:t xml:space="preserve"> in 20</w:t>
      </w:r>
      <w:r>
        <w:t>20</w:t>
      </w:r>
      <w:r w:rsidR="00077055">
        <w:t>,</w:t>
      </w:r>
      <w:r w:rsidRPr="00077055" w:rsidR="00077055">
        <w:t xml:space="preserve"> </w:t>
      </w:r>
      <w:r w:rsidR="00077055">
        <w:t>accounting for 30% of all motor-vehicle-crash fatalities.</w:t>
      </w:r>
      <w:r>
        <w:rPr>
          <w:rStyle w:val="FootnoteReference"/>
        </w:rPr>
        <w:footnoteReference w:id="5"/>
      </w:r>
      <w:r>
        <w:t xml:space="preserve"> On average, in 2020, there was an alcohol-impaired driving fatality every 45 minutes.</w:t>
      </w:r>
      <w:r>
        <w:rPr>
          <w:rStyle w:val="FootnoteReference"/>
        </w:rPr>
        <w:footnoteReference w:id="6"/>
      </w:r>
      <w:r>
        <w:t xml:space="preserve"> Among motorcycle riders, in particular, 27% of riders in fatal crashes were legally drunk—a rate exceeding that of passenger car drivers (23%) and the highest among all vehicle types measured.</w:t>
      </w:r>
      <w:r>
        <w:rPr>
          <w:rStyle w:val="FootnoteReference"/>
        </w:rPr>
        <w:footnoteReference w:id="7"/>
      </w:r>
      <w:r>
        <w:t xml:space="preserve"> </w:t>
      </w:r>
      <w:r w:rsidRPr="00A80341">
        <w:t>Aside from t</w:t>
      </w:r>
      <w:r>
        <w:t xml:space="preserve">he fatalities, alcohol-impaired </w:t>
      </w:r>
      <w:r w:rsidRPr="00A80341">
        <w:t>driving</w:t>
      </w:r>
      <w:r>
        <w:t xml:space="preserve"> crashes carried</w:t>
      </w:r>
      <w:r w:rsidRPr="00A80341">
        <w:t xml:space="preserve"> an economic cost of an estimat</w:t>
      </w:r>
      <w:r>
        <w:t>ed $</w:t>
      </w:r>
      <w:r w:rsidR="002F5889">
        <w:t>3</w:t>
      </w:r>
      <w:r w:rsidR="00CC6176">
        <w:t>4</w:t>
      </w:r>
      <w:r w:rsidR="002F5889">
        <w:t>0</w:t>
      </w:r>
      <w:r>
        <w:t xml:space="preserve"> billion in 201</w:t>
      </w:r>
      <w:r w:rsidR="0078394D">
        <w:t>9</w:t>
      </w:r>
      <w:r>
        <w:t xml:space="preserve"> (the most recent year for which cost data is available)</w:t>
      </w:r>
      <w:r w:rsidRPr="00A80341">
        <w:t>.</w:t>
      </w:r>
      <w:r>
        <w:rPr>
          <w:rStyle w:val="FootnoteReference"/>
        </w:rPr>
        <w:footnoteReference w:id="8"/>
      </w:r>
    </w:p>
    <w:p w:rsidR="00117397" w:rsidP="00FA3223" w14:paraId="54124ED4" w14:textId="0A4CEF2A">
      <w:r>
        <w:t>In order for NHTSA’s public awareness campaigns on drunk driving to be effective</w:t>
      </w:r>
      <w:r w:rsidR="00D173DB">
        <w:t>,</w:t>
      </w:r>
      <w:r>
        <w:t xml:space="preserve"> they must effectively </w:t>
      </w:r>
      <w:r w:rsidR="002F2890">
        <w:t>“</w:t>
      </w:r>
      <w:r w:rsidR="00712A74">
        <w:t>compete</w:t>
      </w:r>
      <w:r w:rsidR="002F2890">
        <w:t>”</w:t>
      </w:r>
      <w:r w:rsidR="00712A74">
        <w:t xml:space="preserve"> for audience attention in the public domain among hundreds of other major marketers, including those in the alcoholic beverage industry </w:t>
      </w:r>
      <w:r w:rsidR="00304F80">
        <w:t>who</w:t>
      </w:r>
      <w:r w:rsidR="00712A74">
        <w:t xml:space="preserve"> strategically target messages to particular groups of the public marketplace.</w:t>
      </w:r>
      <w:r w:rsidR="002F2890">
        <w:t xml:space="preserve"> </w:t>
      </w:r>
      <w:r w:rsidR="0051239E">
        <w:rPr>
          <w:rFonts w:cs="Times New Roman"/>
        </w:rPr>
        <w:t>In</w:t>
      </w:r>
      <w:r w:rsidR="00712A74">
        <w:rPr>
          <w:rFonts w:cs="Times New Roman"/>
        </w:rPr>
        <w:t xml:space="preserve"> the consumer marketing context and environment</w:t>
      </w:r>
      <w:r w:rsidR="0051239E">
        <w:rPr>
          <w:rFonts w:cs="Times New Roman"/>
        </w:rPr>
        <w:t>, NHTSA</w:t>
      </w:r>
      <w:r w:rsidR="00712A74">
        <w:rPr>
          <w:rFonts w:cs="Times New Roman"/>
        </w:rPr>
        <w:t xml:space="preserve"> must </w:t>
      </w:r>
      <w:r w:rsidR="00B61A18">
        <w:rPr>
          <w:rFonts w:cs="Times New Roman"/>
        </w:rPr>
        <w:t>work to</w:t>
      </w:r>
      <w:r w:rsidR="00712A74">
        <w:rPr>
          <w:rFonts w:cs="Times New Roman"/>
        </w:rPr>
        <w:t xml:space="preserve"> convince members of the driving/riding public </w:t>
      </w:r>
      <w:r w:rsidR="0051239E">
        <w:rPr>
          <w:rFonts w:cs="Times New Roman"/>
        </w:rPr>
        <w:t>not to operate vehicles</w:t>
      </w:r>
      <w:r w:rsidR="00712A74">
        <w:rPr>
          <w:rFonts w:cs="Times New Roman"/>
        </w:rPr>
        <w:t xml:space="preserve"> when impaired by alcohol.</w:t>
      </w:r>
      <w:r w:rsidR="002F2890">
        <w:t xml:space="preserve"> </w:t>
      </w:r>
      <w:r w:rsidR="00712A74">
        <w:t>A</w:t>
      </w:r>
      <w:r>
        <w:t xml:space="preserve">ccordingly, NHTSA finds that it is necessary to conduct research, as authorized by the National Traffic </w:t>
      </w:r>
      <w:r w:rsidR="007A75A9">
        <w:t xml:space="preserve">and </w:t>
      </w:r>
      <w:r>
        <w:t>Motor Vehicle Safety Act</w:t>
      </w:r>
      <w:r w:rsidR="007A75A9">
        <w:t xml:space="preserve"> (Pub. L 89-563)</w:t>
      </w:r>
      <w:r>
        <w:t xml:space="preserve">, that will allow NHTSA </w:t>
      </w:r>
      <w:r w:rsidR="00304F80">
        <w:t>to tailor its communication strategies better</w:t>
      </w:r>
      <w:r>
        <w:t xml:space="preserve">. </w:t>
      </w:r>
    </w:p>
    <w:p w:rsidR="00957741" w:rsidP="00D230C8" w14:paraId="2D603A12" w14:textId="28BDAD8A">
      <w:r>
        <w:t>Specifically, NHTSA believes a</w:t>
      </w:r>
      <w:r w:rsidR="00712A74">
        <w:t xml:space="preserve"> segmentation analysis would be especially useful to NHTSA.</w:t>
      </w:r>
      <w:r>
        <w:t xml:space="preserve"> </w:t>
      </w:r>
      <w:r w:rsidR="00712A74">
        <w:t xml:space="preserve">More closely understanding and segmenting drunk drivers and </w:t>
      </w:r>
      <w:r w:rsidR="00BD4E6F">
        <w:t xml:space="preserve">motorcycle </w:t>
      </w:r>
      <w:r w:rsidR="00712A74">
        <w:t xml:space="preserve">riders will </w:t>
      </w:r>
      <w:r w:rsidR="00BD4E6F">
        <w:t xml:space="preserve">enable more </w:t>
      </w:r>
      <w:r w:rsidR="00712A74">
        <w:t xml:space="preserve">effective </w:t>
      </w:r>
      <w:r w:rsidR="00304F80">
        <w:t>communication</w:t>
      </w:r>
      <w:r w:rsidR="00712A74">
        <w:t xml:space="preserve"> programs.</w:t>
      </w:r>
      <w:r w:rsidR="002F2890">
        <w:t xml:space="preserve"> </w:t>
      </w:r>
      <w:r w:rsidR="00712A74">
        <w:t xml:space="preserve">Insights about drunk </w:t>
      </w:r>
      <w:r w:rsidR="002F2890">
        <w:t>drivers’</w:t>
      </w:r>
      <w:r w:rsidR="00712A74">
        <w:t>/</w:t>
      </w:r>
      <w:r w:rsidR="00BD4E6F">
        <w:t xml:space="preserve">motorcycle </w:t>
      </w:r>
      <w:r w:rsidR="002F2890">
        <w:t>riders’</w:t>
      </w:r>
      <w:r w:rsidR="00712A74">
        <w:t xml:space="preserve"> lifestyle characteristics, </w:t>
      </w:r>
      <w:r w:rsidR="00450026">
        <w:t>alcohol-</w:t>
      </w:r>
      <w:r w:rsidR="00712A74">
        <w:t xml:space="preserve">consumption behaviors and attitudes towards drunk driving will provide useful, pragmatic information for </w:t>
      </w:r>
      <w:r w:rsidR="002F2890">
        <w:t>NHTSA’s</w:t>
      </w:r>
      <w:r w:rsidR="00712A74">
        <w:t xml:space="preserve"> continuing efforts to address the drunk driving/</w:t>
      </w:r>
      <w:r w:rsidR="00BD4E6F">
        <w:t xml:space="preserve">motorcycle </w:t>
      </w:r>
      <w:r w:rsidR="00712A74">
        <w:t>riding issue responsible for so many deaths</w:t>
      </w:r>
      <w:r w:rsidR="00D72F3B">
        <w:t>.</w:t>
      </w:r>
    </w:p>
    <w:p w:rsidR="00117397" w:rsidP="00117397" w14:paraId="59A48C49" w14:textId="4903DB89">
      <w:r>
        <w:t xml:space="preserve">Accordingly, NHTSA is seeking approval </w:t>
      </w:r>
      <w:r w:rsidRPr="009C2CD8">
        <w:t xml:space="preserve">to conduct </w:t>
      </w:r>
      <w:r>
        <w:t xml:space="preserve">a one-time voluntary study to obtain </w:t>
      </w:r>
      <w:r w:rsidRPr="00815B72">
        <w:t xml:space="preserve">information to better understand attitudes and behaviors related to alcohol-impaired driving that will be used to enhance and refine communication strategy and tactics (i.e., more effectively target and message at-risk drivers and motorcycle riders). </w:t>
      </w:r>
      <w:r>
        <w:t>The study will survey d</w:t>
      </w:r>
      <w:r w:rsidRPr="00815B72">
        <w:t>rivers</w:t>
      </w:r>
      <w:r>
        <w:t xml:space="preserve"> and </w:t>
      </w:r>
      <w:r w:rsidRPr="00815B72">
        <w:t>motorcycle riders ages 21- to 54-years-old</w:t>
      </w:r>
      <w:r>
        <w:t xml:space="preserve"> because this age range represents </w:t>
      </w:r>
      <w:r w:rsidRPr="00815B72">
        <w:t xml:space="preserve">the greatest number </w:t>
      </w:r>
      <w:r w:rsidRPr="00815B72">
        <w:t>of alcohol-related driving/riding fatalities</w:t>
      </w:r>
      <w:r>
        <w:t xml:space="preserve"> according to NHTSA</w:t>
      </w:r>
      <w:r w:rsidRPr="00C44730">
        <w:t>’s Fatality Analysis Reporting System (FARS)</w:t>
      </w:r>
      <w:r>
        <w:t>.</w:t>
      </w:r>
      <w:r>
        <w:rPr>
          <w:rStyle w:val="FootnoteReference"/>
        </w:rPr>
        <w:footnoteReference w:id="9"/>
      </w:r>
      <w:r w:rsidRPr="00815B72">
        <w:t xml:space="preserve"> </w:t>
      </w:r>
    </w:p>
    <w:p w:rsidR="00117397" w:rsidP="00D230C8" w14:paraId="340A036B" w14:textId="4056EDBB">
      <w:r>
        <w:t>The research study will include two components, both being one-time collections. The first component will involve a series of online webcam interviews that will collect qualitative information that will serve as a cognitive test to improve the quantitative survey that will be administered in the second component. The quantitative survey will be administered online and by phone (and potentially supplemented by mail if needed). After collecting the data, segmentation analysis will be done to classify drivers and motorcycle riders according to segments based on common demographics, drinking behaviors, attitudes about drinking and driving/motorcycle riding, and lifestyle characteristics. The segmentation profiles will be used by NHTSA’s Office of Communications and Consumer Information (OCCI) to better target and reach intended audiences with communications messages and techniques that are relevant and meaningful to people within the target market.</w:t>
      </w:r>
    </w:p>
    <w:p w:rsidR="007A7BB5" w:rsidRPr="005271A9" w:rsidP="007A7BB5" w14:paraId="1D889B10" w14:textId="6BFB9792">
      <w:pPr>
        <w:pStyle w:val="ListParagraph"/>
        <w:numPr>
          <w:ilvl w:val="0"/>
          <w:numId w:val="1"/>
        </w:numPr>
        <w:spacing w:before="240"/>
        <w:rPr>
          <w:b/>
        </w:rPr>
      </w:pPr>
      <w:bookmarkStart w:id="5" w:name="_Hlk51325321"/>
      <w:bookmarkStart w:id="6" w:name="_Hlk78838411"/>
      <w:bookmarkEnd w:id="4"/>
      <w:r w:rsidRPr="005271A9">
        <w:rPr>
          <w:b/>
        </w:rPr>
        <w:t>Indicate how, by whom, and for what purpose the information is to be used.</w:t>
      </w:r>
      <w:r w:rsidR="002F2890">
        <w:rPr>
          <w:b/>
        </w:rPr>
        <w:t xml:space="preserve"> </w:t>
      </w:r>
      <w:r w:rsidRPr="005271A9">
        <w:rPr>
          <w:b/>
        </w:rPr>
        <w:t>Except for a new collection, indicate the actual use the agency has made of the information received from the current collection</w:t>
      </w:r>
      <w:bookmarkEnd w:id="5"/>
      <w:r w:rsidRPr="005271A9">
        <w:rPr>
          <w:b/>
        </w:rPr>
        <w:t>.</w:t>
      </w:r>
    </w:p>
    <w:bookmarkEnd w:id="6"/>
    <w:p w:rsidR="00712A74" w:rsidP="00D230C8" w14:paraId="57C4920E" w14:textId="41668F2C">
      <w:r>
        <w:t>The feedback collected in the cognitive test will be used to refine question-wording and response options in the survey instrument, ensuring that each question is clear, consistently understood and offers an appropriate range of responses that can be selected. The data collected in the quantitative survey will be developed into segmentation profiles that will be used to assist NHTSA in its ongoing responsibilities to improve communications programs and campaigns to decrease the incidence of drunk driving/motorcycle riding to decrease the number of vehicle and/or motorcycle crash fatalities in which alcohol-impaired drivers/motorcycle riders are a factor. By knowing the segments of the population of drunk drivers/motorcycle riders—and by typifying each segment according to demographic characteristics, lifestyle traits, drinking behaviors, and attitudes about drinking and driving/motorcycle riding and enforcement—NHTSA will be better informed and equipped to develop more compelling communications strategies, messages and materials that will help convince potential drunk drivers/motorcycle riders not to operate vehicles/motorcycles when impaired. More specifically, the insights about at-risk drivers/motorcycle riders will help inform NHTSA about the most effective words, images, media, message tonalities and other communications tactics to use that will be the most meaningful, relevant, and impactful for people in a given segment.</w:t>
      </w:r>
    </w:p>
    <w:p w:rsidR="00D72F3B" w:rsidRPr="00D173DB" w:rsidP="00D173DB" w14:paraId="620B7396" w14:textId="4EEBE9D3">
      <w:pPr>
        <w:spacing w:before="240"/>
        <w:rPr>
          <w:bCs/>
        </w:rPr>
      </w:pPr>
      <w:r w:rsidRPr="00117397">
        <w:rPr>
          <w:bCs/>
        </w:rPr>
        <w:t xml:space="preserve">Target market segmentation profiles (such as the type desired by NHTSA) have been proven useful and effective by companies and non-profit organizations throughout the United States for marketing, communications, sales, product/service development and customer service. The </w:t>
      </w:r>
      <w:r w:rsidRPr="00117397">
        <w:rPr>
          <w:bCs/>
        </w:rPr>
        <w:t xml:space="preserve">results will also be available to state partners for their information and communications program campaign efforts.  </w:t>
      </w:r>
    </w:p>
    <w:p w:rsidR="007A7BB5" w:rsidP="007A7BB5" w14:paraId="43A107AA" w14:textId="6AA1E1AD">
      <w:pPr>
        <w:numPr>
          <w:ilvl w:val="0"/>
          <w:numId w:val="1"/>
        </w:numPr>
        <w:rPr>
          <w:b/>
        </w:rPr>
      </w:pPr>
      <w:bookmarkStart w:id="7" w:name="_Hlk51330129"/>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2F2890">
        <w:rPr>
          <w:b/>
        </w:rPr>
        <w:t xml:space="preserve"> </w:t>
      </w:r>
      <w:r w:rsidRPr="005271A9">
        <w:rPr>
          <w:b/>
        </w:rPr>
        <w:t>Also, describe any consideration of using information technology to reduce burden.</w:t>
      </w:r>
    </w:p>
    <w:p w:rsidR="00B73716" w:rsidRPr="00113319" w:rsidP="00D230C8" w14:paraId="4B480A95" w14:textId="5549A80D">
      <w:pPr>
        <w:rPr>
          <w:bCs/>
        </w:rPr>
      </w:pPr>
      <w:r>
        <w:rPr>
          <w:bCs/>
        </w:rPr>
        <w:t xml:space="preserve">The data for the cognitive test will be collected via online webcam </w:t>
      </w:r>
      <w:r w:rsidR="0051239E">
        <w:rPr>
          <w:bCs/>
        </w:rPr>
        <w:t>interviews</w:t>
      </w:r>
      <w:r>
        <w:rPr>
          <w:bCs/>
        </w:rPr>
        <w:t>.</w:t>
      </w:r>
      <w:r w:rsidR="002F2890">
        <w:rPr>
          <w:bCs/>
        </w:rPr>
        <w:t xml:space="preserve"> </w:t>
      </w:r>
      <w:r>
        <w:rPr>
          <w:bCs/>
        </w:rPr>
        <w:t xml:space="preserve">The data for the quantitative survey will primarily be collected online but supplemented </w:t>
      </w:r>
      <w:r w:rsidRPr="001D7E0F" w:rsidR="001D7E0F">
        <w:rPr>
          <w:bCs/>
        </w:rPr>
        <w:t xml:space="preserve">with outbound phone calls </w:t>
      </w:r>
      <w:r w:rsidR="002014F0">
        <w:rPr>
          <w:bCs/>
        </w:rPr>
        <w:t>and mail</w:t>
      </w:r>
      <w:r w:rsidRPr="001D7E0F" w:rsidR="001D7E0F">
        <w:rPr>
          <w:bCs/>
        </w:rPr>
        <w:t xml:space="preserve"> surveys as needed</w:t>
      </w:r>
      <w:r>
        <w:rPr>
          <w:bCs/>
        </w:rPr>
        <w:t>.</w:t>
      </w:r>
      <w:r w:rsidR="002F2890">
        <w:rPr>
          <w:bCs/>
        </w:rPr>
        <w:t xml:space="preserve"> </w:t>
      </w:r>
      <w:r>
        <w:rPr>
          <w:bCs/>
        </w:rPr>
        <w:t xml:space="preserve">NHTSA proposes using a </w:t>
      </w:r>
      <w:r w:rsidR="0051239E">
        <w:rPr>
          <w:bCs/>
        </w:rPr>
        <w:t>mixed-mode</w:t>
      </w:r>
      <w:r>
        <w:rPr>
          <w:bCs/>
        </w:rPr>
        <w:t xml:space="preserve"> design to</w:t>
      </w:r>
      <w:r w:rsidR="00C15A49">
        <w:rPr>
          <w:bCs/>
        </w:rPr>
        <w:t xml:space="preserve"> access</w:t>
      </w:r>
      <w:r>
        <w:rPr>
          <w:bCs/>
        </w:rPr>
        <w:t xml:space="preserve"> </w:t>
      </w:r>
      <w:r w:rsidR="00450026">
        <w:rPr>
          <w:bCs/>
        </w:rPr>
        <w:t>hard-to-</w:t>
      </w:r>
      <w:r w:rsidR="00D72F3B">
        <w:rPr>
          <w:bCs/>
        </w:rPr>
        <w:t>reach populations and ensure a probability sample (one where results can be reliably projected from the sample to a broader population).</w:t>
      </w:r>
      <w:r w:rsidR="002F2890">
        <w:rPr>
          <w:bCs/>
        </w:rPr>
        <w:t xml:space="preserve"> </w:t>
      </w:r>
      <w:r w:rsidR="00D72F3B">
        <w:rPr>
          <w:bCs/>
        </w:rPr>
        <w:t>Samples that are exclusively online and rely on opt-in panels potentially exclude segments of the population</w:t>
      </w:r>
      <w:r w:rsidR="0051239E">
        <w:rPr>
          <w:bCs/>
        </w:rPr>
        <w:t>. As</w:t>
      </w:r>
      <w:r w:rsidR="00D72F3B">
        <w:rPr>
          <w:bCs/>
        </w:rPr>
        <w:t xml:space="preserve"> a result</w:t>
      </w:r>
      <w:r w:rsidR="00450026">
        <w:rPr>
          <w:bCs/>
        </w:rPr>
        <w:t>,</w:t>
      </w:r>
      <w:r w:rsidR="00D72F3B">
        <w:rPr>
          <w:bCs/>
        </w:rPr>
        <w:t xml:space="preserve"> findings cannot be reliably projected beyond the sample to the larger population.</w:t>
      </w:r>
      <w:r w:rsidR="002F2890">
        <w:rPr>
          <w:bCs/>
        </w:rPr>
        <w:t xml:space="preserve"> </w:t>
      </w:r>
      <w:r w:rsidR="00DB30DB">
        <w:rPr>
          <w:bCs/>
        </w:rPr>
        <w:t>Most</w:t>
      </w:r>
      <w:r w:rsidR="00D72F3B">
        <w:rPr>
          <w:bCs/>
        </w:rPr>
        <w:t xml:space="preserve"> completes will be collected online</w:t>
      </w:r>
      <w:r w:rsidR="00450026">
        <w:rPr>
          <w:bCs/>
        </w:rPr>
        <w:t>,</w:t>
      </w:r>
      <w:r w:rsidR="00D72F3B">
        <w:rPr>
          <w:bCs/>
        </w:rPr>
        <w:t xml:space="preserve"> which will help with cost and efficiency considerations.</w:t>
      </w:r>
    </w:p>
    <w:p w:rsidR="008A6B31" w:rsidRPr="005271A9" w:rsidP="008A6B31" w14:paraId="13AFD77B" w14:textId="6AB26834">
      <w:pPr>
        <w:pStyle w:val="ListParagraph"/>
        <w:numPr>
          <w:ilvl w:val="0"/>
          <w:numId w:val="1"/>
        </w:numPr>
        <w:autoSpaceDE w:val="0"/>
        <w:autoSpaceDN w:val="0"/>
        <w:adjustRightInd w:val="0"/>
        <w:spacing w:after="0" w:line="240" w:lineRule="auto"/>
        <w:rPr>
          <w:rFonts w:cs="Times New Roman"/>
          <w:b/>
          <w:szCs w:val="24"/>
        </w:rPr>
      </w:pPr>
      <w:bookmarkStart w:id="8" w:name="_Hlk51330199"/>
      <w:bookmarkEnd w:id="7"/>
      <w:r w:rsidRPr="005271A9">
        <w:rPr>
          <w:rFonts w:cs="Times New Roman"/>
          <w:b/>
          <w:szCs w:val="24"/>
        </w:rPr>
        <w:t>Describe efforts to identify duplication.</w:t>
      </w:r>
      <w:bookmarkStart w:id="9" w:name="_Hlk45117781"/>
      <w:r w:rsidR="002F2890">
        <w:rPr>
          <w:rFonts w:cs="Times New Roman"/>
          <w:b/>
          <w:szCs w:val="24"/>
        </w:rPr>
        <w:t xml:space="preserve"> </w:t>
      </w:r>
      <w:r w:rsidRPr="005271A9">
        <w:rPr>
          <w:rFonts w:cs="Times New Roman"/>
          <w:b/>
          <w:szCs w:val="24"/>
        </w:rPr>
        <w:t>Show specifically why any similar information already available cannot be used or modified for use for the purposes described in Item 2 above.</w:t>
      </w:r>
      <w:bookmarkEnd w:id="9"/>
    </w:p>
    <w:bookmarkEnd w:id="8"/>
    <w:p w:rsidR="008A6B31" w:rsidP="008A6B31" w14:paraId="5BEA518A" w14:textId="77777777">
      <w:pPr>
        <w:autoSpaceDE w:val="0"/>
        <w:autoSpaceDN w:val="0"/>
        <w:adjustRightInd w:val="0"/>
        <w:spacing w:after="0" w:line="240" w:lineRule="auto"/>
        <w:rPr>
          <w:rFonts w:cs="Times New Roman"/>
          <w:szCs w:val="24"/>
        </w:rPr>
      </w:pPr>
    </w:p>
    <w:p w:rsidR="008A6B31" w:rsidRPr="00D173DB" w:rsidP="00D173DB" w14:paraId="094D5954" w14:textId="4B7614B9">
      <w:r>
        <w:t xml:space="preserve">A similar study was conducted in 2017, but that data is now five years old, and an entirely new age cohort has reached the legal drinking age. It is critical to refresh the research with new data that reflects the current market and expands the sample to include populations not represented in the 2017 work. For example, the 2017 study relied exclusively on a convenience panel and was only offered in English. The proposed study would use a mixed-mode design to increase reach to include audiences difficult, if not impossible, to reach with an online panel and would include an option for participants to complete the survey in Spanish.  </w:t>
      </w:r>
    </w:p>
    <w:p w:rsidR="008A6B31" w:rsidRPr="005271A9" w:rsidP="008A6B31" w14:paraId="7768AC8D" w14:textId="04EA1C0A">
      <w:pPr>
        <w:pStyle w:val="ListParagraph"/>
        <w:numPr>
          <w:ilvl w:val="0"/>
          <w:numId w:val="1"/>
        </w:numPr>
        <w:rPr>
          <w:rFonts w:cs="Times New Roman"/>
          <w:b/>
          <w:szCs w:val="24"/>
        </w:rPr>
      </w:pPr>
      <w:bookmarkStart w:id="10" w:name="_Hlk51330529"/>
      <w:bookmarkStart w:id="11" w:name="_Hlk78838823"/>
      <w:r w:rsidRPr="005271A9">
        <w:rPr>
          <w:rFonts w:cs="Times New Roman"/>
          <w:b/>
          <w:szCs w:val="24"/>
        </w:rPr>
        <w:t xml:space="preserve">If the collection of information impacts small businesses or other small entities, describe any methods used to minimize </w:t>
      </w:r>
      <w:r w:rsidR="00D428D4">
        <w:rPr>
          <w:rFonts w:cs="Times New Roman"/>
          <w:b/>
          <w:szCs w:val="24"/>
        </w:rPr>
        <w:t xml:space="preserve">the </w:t>
      </w:r>
      <w:r w:rsidRPr="005271A9">
        <w:rPr>
          <w:rFonts w:cs="Times New Roman"/>
          <w:b/>
          <w:szCs w:val="24"/>
        </w:rPr>
        <w:t>burden</w:t>
      </w:r>
      <w:bookmarkEnd w:id="10"/>
      <w:r w:rsidRPr="005271A9">
        <w:rPr>
          <w:rFonts w:cs="Times New Roman"/>
          <w:b/>
          <w:szCs w:val="24"/>
        </w:rPr>
        <w:t>.</w:t>
      </w:r>
    </w:p>
    <w:bookmarkEnd w:id="11"/>
    <w:p w:rsidR="0024391C" w:rsidRPr="000E3AB0" w:rsidP="00D230C8" w14:paraId="2C627333" w14:textId="56D00DC3">
      <w:pPr>
        <w:rPr>
          <w:rFonts w:cs="Times New Roman"/>
        </w:rPr>
      </w:pPr>
      <w:r w:rsidRPr="007068C7">
        <w:rPr>
          <w:rFonts w:cs="Times New Roman"/>
        </w:rPr>
        <w:t xml:space="preserve">The collection of information </w:t>
      </w:r>
      <w:r>
        <w:rPr>
          <w:rFonts w:cs="Times New Roman"/>
        </w:rPr>
        <w:t xml:space="preserve">involves individuals and </w:t>
      </w:r>
      <w:r w:rsidRPr="007068C7">
        <w:rPr>
          <w:rFonts w:cs="Times New Roman"/>
        </w:rPr>
        <w:t>w</w:t>
      </w:r>
      <w:r>
        <w:rPr>
          <w:rFonts w:cs="Times New Roman"/>
        </w:rPr>
        <w:t>ill not impact small businesses or other small entities.</w:t>
      </w:r>
    </w:p>
    <w:p w:rsidR="008A6B31" w:rsidRPr="005271A9" w:rsidP="008A6B31" w14:paraId="61A5C696" w14:textId="244252D3">
      <w:pPr>
        <w:numPr>
          <w:ilvl w:val="0"/>
          <w:numId w:val="1"/>
        </w:numPr>
        <w:rPr>
          <w:b/>
        </w:rPr>
      </w:pPr>
      <w:bookmarkStart w:id="12" w:name="_Hlk51330653"/>
      <w:r w:rsidRPr="005271A9">
        <w:rPr>
          <w:b/>
        </w:rPr>
        <w:t xml:space="preserve">Describe the consequence to Federal program or policy activities if the collection is not conducted or is conducted less frequently, as well as any technical or legal obstacles to reducing </w:t>
      </w:r>
      <w:r w:rsidR="00D428D4">
        <w:rPr>
          <w:b/>
        </w:rPr>
        <w:t xml:space="preserve">the </w:t>
      </w:r>
      <w:r w:rsidRPr="005271A9">
        <w:rPr>
          <w:b/>
        </w:rPr>
        <w:t>burden.</w:t>
      </w:r>
    </w:p>
    <w:bookmarkEnd w:id="12"/>
    <w:p w:rsidR="0024391C" w:rsidP="00D230C8" w14:paraId="2C8A2261" w14:textId="1A48033A">
      <w:r>
        <w:t xml:space="preserve">If the study is not implemented, NHTSA will be limited to using outdated target market and segmentation data. In this circumstance, NHTSA would risk using resources and money for anti-drunk driving/motorcycle riding communication campaigns, which may be less effective among the current target audience of drunk drivers/motorcycle riders. Therefore, NHTSA’s efforts to </w:t>
      </w:r>
      <w:r>
        <w:t xml:space="preserve">reduce alcohol-impaired driving/motorcycle riding fatalities would be hampered by a lack of more up-to-date data and knowledge about effective messaging.  </w:t>
      </w:r>
    </w:p>
    <w:p w:rsidR="0024391C" w:rsidP="00D230C8" w14:paraId="256E32E2" w14:textId="57B08BF4">
      <w:r w:rsidRPr="00B1134A">
        <w:t xml:space="preserve">There are no legal or technical obstacles to reducing </w:t>
      </w:r>
      <w:r w:rsidR="00D428D4">
        <w:t xml:space="preserve">the </w:t>
      </w:r>
      <w:r w:rsidRPr="00B1134A">
        <w:t xml:space="preserve">burden.  </w:t>
      </w:r>
    </w:p>
    <w:p w:rsidR="008A6B31" w:rsidRPr="005271A9" w:rsidP="008A6B31" w14:paraId="0174FDBF" w14:textId="77777777">
      <w:pPr>
        <w:pStyle w:val="ListParagraph"/>
        <w:numPr>
          <w:ilvl w:val="0"/>
          <w:numId w:val="1"/>
        </w:numPr>
        <w:autoSpaceDE w:val="0"/>
        <w:autoSpaceDN w:val="0"/>
        <w:adjustRightInd w:val="0"/>
        <w:spacing w:after="0" w:line="240" w:lineRule="auto"/>
        <w:rPr>
          <w:rFonts w:cs="Times New Roman"/>
          <w:b/>
          <w:szCs w:val="24"/>
        </w:rPr>
      </w:pPr>
      <w:bookmarkStart w:id="13" w:name="_Hlk51330697"/>
      <w:r w:rsidRPr="005271A9">
        <w:rPr>
          <w:rFonts w:cs="Times New Roman"/>
          <w:b/>
          <w:szCs w:val="24"/>
        </w:rPr>
        <w:t>Explain any special circumstances that would cause an information collection to be conducted in a manner:</w:t>
      </w:r>
    </w:p>
    <w:p w:rsidR="008A6B31" w:rsidRPr="005271A9" w:rsidP="008A6B31" w14:paraId="00374C6D"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report information to the agency more often than quarterly;</w:t>
      </w:r>
    </w:p>
    <w:p w:rsidR="008A6B31" w:rsidRPr="005271A9" w:rsidP="008A6B31" w14:paraId="647BA260"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prepare a written response to a collection of information in fewer than 30 days after receipt of it;</w:t>
      </w:r>
    </w:p>
    <w:p w:rsidR="008A6B31" w:rsidRPr="005271A9" w:rsidP="008A6B31" w14:paraId="76112BBA"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submit more than an original and two copies of any document;</w:t>
      </w:r>
    </w:p>
    <w:p w:rsidR="008A6B31" w:rsidRPr="005271A9" w:rsidP="008A6B31" w14:paraId="0BC773C3" w14:textId="1C0ECF8D">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retain records, other than health, medical, government contract, grant-in-aid, or tax records for more than three years;</w:t>
      </w:r>
    </w:p>
    <w:p w:rsidR="008A6B31" w:rsidRPr="005271A9" w:rsidP="008A6B31" w14:paraId="7DB0B69C" w14:textId="413E400B">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in connection with a statistical survey that is not designed to produce valid and reliable results that can be generalized to the universe of study;</w:t>
      </w:r>
    </w:p>
    <w:p w:rsidR="008A6B31" w:rsidRPr="005271A9" w:rsidP="008A6B31" w14:paraId="7F5A7667"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the use of a statistical data classification that has not been reviewed and approved by OMB;</w:t>
      </w:r>
    </w:p>
    <w:p w:rsidR="008A6B31" w:rsidRPr="005271A9" w:rsidP="008A6B31" w14:paraId="4C7D57CF"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6B31" w:rsidRPr="005271A9" w:rsidP="008A6B31" w14:paraId="7F9E8CEB" w14:textId="0C2BB559">
      <w:pPr>
        <w:pStyle w:val="ListParagraph"/>
        <w:numPr>
          <w:ilvl w:val="1"/>
          <w:numId w:val="1"/>
        </w:numPr>
        <w:autoSpaceDE w:val="0"/>
        <w:autoSpaceDN w:val="0"/>
        <w:adjustRightInd w:val="0"/>
        <w:spacing w:after="0" w:line="240" w:lineRule="auto"/>
        <w:rPr>
          <w:rFonts w:cs="Times New Roman"/>
          <w:b/>
          <w:szCs w:val="24"/>
        </w:rPr>
      </w:pPr>
      <w:bookmarkStart w:id="14" w:name="_Hlk45117573"/>
      <w:r w:rsidRPr="005271A9">
        <w:rPr>
          <w:rFonts w:cs="Times New Roman"/>
          <w:b/>
          <w:szCs w:val="24"/>
        </w:rPr>
        <w:t xml:space="preserve">requiring respondents to submit proprietary trade secrets or other confidential information unless the agency can demonstrate that it has instituted procedures to protect the </w:t>
      </w:r>
      <w:r w:rsidR="002F2890">
        <w:rPr>
          <w:rFonts w:cs="Times New Roman"/>
          <w:b/>
          <w:szCs w:val="24"/>
        </w:rPr>
        <w:t>information’s</w:t>
      </w:r>
      <w:r w:rsidRPr="005271A9">
        <w:rPr>
          <w:rFonts w:cs="Times New Roman"/>
          <w:b/>
          <w:szCs w:val="24"/>
        </w:rPr>
        <w:t xml:space="preserve"> confidentiality to the extent permitted by law.</w:t>
      </w:r>
    </w:p>
    <w:p w:rsidR="00150F00" w:rsidRPr="00150F00" w:rsidP="00D230C8" w14:paraId="2CF0D718" w14:textId="461B728C">
      <w:pPr>
        <w:autoSpaceDE w:val="0"/>
        <w:autoSpaceDN w:val="0"/>
        <w:adjustRightInd w:val="0"/>
        <w:spacing w:before="240" w:after="0" w:line="240" w:lineRule="auto"/>
        <w:rPr>
          <w:rFonts w:cs="Times New Roman"/>
          <w:szCs w:val="24"/>
        </w:rPr>
      </w:pPr>
      <w:bookmarkStart w:id="15" w:name="_Hlk51330745"/>
      <w:bookmarkStart w:id="16" w:name="_Hlk45117546"/>
      <w:bookmarkEnd w:id="13"/>
      <w:bookmarkEnd w:id="14"/>
      <w:r w:rsidRPr="0024391C">
        <w:rPr>
          <w:rFonts w:cs="Times New Roman"/>
          <w:szCs w:val="24"/>
        </w:rPr>
        <w:t>There are no special circumstances that would cause this collection to be collected in a manner inconsistent with 5 CFR 1320.5(d)(2)</w:t>
      </w:r>
      <w:bookmarkEnd w:id="15"/>
      <w:r w:rsidRPr="0024391C">
        <w:rPr>
          <w:rFonts w:cs="Times New Roman"/>
          <w:szCs w:val="24"/>
        </w:rPr>
        <w:t>.</w:t>
      </w:r>
      <w:bookmarkEnd w:id="16"/>
    </w:p>
    <w:p w:rsidR="00150F00" w:rsidP="00150F00" w14:paraId="2E789175" w14:textId="03D8D886">
      <w:pPr>
        <w:numPr>
          <w:ilvl w:val="0"/>
          <w:numId w:val="1"/>
        </w:numPr>
        <w:spacing w:before="240"/>
        <w:rPr>
          <w:b/>
        </w:rPr>
      </w:pPr>
      <w:bookmarkStart w:id="17" w:name="_Hlk51330779"/>
      <w:r w:rsidRPr="005271A9">
        <w:rPr>
          <w:b/>
        </w:rPr>
        <w:t xml:space="preserve">If applicable, provide a copy and identify the date and page number of publication in the Federal Register of the </w:t>
      </w:r>
      <w:r w:rsidR="002F2890">
        <w:rPr>
          <w:b/>
        </w:rPr>
        <w:t>agency’s</w:t>
      </w:r>
      <w:r w:rsidRPr="005271A9">
        <w:rPr>
          <w:b/>
        </w:rPr>
        <w:t xml:space="preserve"> notice, required by 5 CFR 1320.8(d), soliciting comments on the information collection prior to submission to OMB.</w:t>
      </w:r>
      <w:r w:rsidR="002F2890">
        <w:rPr>
          <w:b/>
        </w:rPr>
        <w:t xml:space="preserve"> </w:t>
      </w:r>
      <w:r w:rsidRPr="005271A9">
        <w:rPr>
          <w:b/>
        </w:rPr>
        <w:t>Summarize public comments received in response to that notice and describe actions taken by the agency in response to the comments.</w:t>
      </w:r>
      <w:r w:rsidR="002F2890">
        <w:rPr>
          <w:b/>
        </w:rPr>
        <w:t xml:space="preserve"> </w:t>
      </w:r>
      <w:r w:rsidRPr="005271A9">
        <w:rPr>
          <w:b/>
        </w:rPr>
        <w:t>Specifically</w:t>
      </w:r>
      <w:r w:rsidR="00D428D4">
        <w:rPr>
          <w:b/>
        </w:rPr>
        <w:t>,</w:t>
      </w:r>
      <w:r w:rsidRPr="005271A9">
        <w:rPr>
          <w:b/>
        </w:rPr>
        <w:t xml:space="preserve"> address comments received on cost and hour burden.</w:t>
      </w:r>
      <w:r w:rsidR="002F2890">
        <w:rPr>
          <w:b/>
        </w:rPr>
        <w:t xml:space="preserve"> </w:t>
      </w:r>
      <w:r w:rsidRPr="005271A9">
        <w:rPr>
          <w:b/>
        </w:rPr>
        <w:t>Describe efforts to consult with persons outside the agency to obtain their views</w:t>
      </w:r>
      <w:r w:rsidRPr="007D0FB8" w:rsidR="007D0FB8">
        <w:t xml:space="preserve"> </w:t>
      </w:r>
      <w:r w:rsidRPr="007D0FB8" w:rsidR="007D0FB8">
        <w:rPr>
          <w:b/>
        </w:rPr>
        <w:t>on the availability of data, frequency of collection, the clarity of instructions and recordkeeping, disclosure, or reporting format, and on the data elements to be recorded, disclosed, or reported</w:t>
      </w:r>
      <w:r w:rsidRPr="005271A9" w:rsidR="00484767">
        <w:rPr>
          <w:b/>
        </w:rPr>
        <w:t>.</w:t>
      </w:r>
      <w:r w:rsidRPr="005271A9">
        <w:rPr>
          <w:b/>
        </w:rPr>
        <w:t xml:space="preserve"> </w:t>
      </w:r>
    </w:p>
    <w:bookmarkEnd w:id="17"/>
    <w:p w:rsidR="00002D98" w:rsidP="00D230C8" w14:paraId="67B4A3E9" w14:textId="5D5239B9">
      <w:r w:rsidRPr="00002D98">
        <w:t xml:space="preserve">NHTSA published a 60-day notice on </w:t>
      </w:r>
      <w:r w:rsidR="00D57677">
        <w:t xml:space="preserve">June 7, 2023, </w:t>
      </w:r>
      <w:r w:rsidRPr="00002D98">
        <w:t xml:space="preserve">requesting comment on </w:t>
      </w:r>
      <w:r w:rsidR="002F2890">
        <w:t>NHTSA’s</w:t>
      </w:r>
      <w:r w:rsidRPr="00002D98">
        <w:t xml:space="preserve"> intention to submit this ICR to OMB for approval</w:t>
      </w:r>
      <w:r w:rsidR="00D57677">
        <w:t xml:space="preserve"> under Docket Number NHTSA-2022-077.</w:t>
      </w:r>
      <w:r w:rsidR="002F2890">
        <w:t xml:space="preserve"> </w:t>
      </w:r>
      <w:r w:rsidR="00D57677">
        <w:t xml:space="preserve">The period to receive public comments </w:t>
      </w:r>
      <w:r w:rsidR="007C2374">
        <w:t>closed on</w:t>
      </w:r>
      <w:r w:rsidR="00D57677">
        <w:t xml:space="preserve"> August 7, 2023. </w:t>
      </w:r>
    </w:p>
    <w:p w:rsidR="007C2374" w:rsidRPr="00451237" w:rsidP="007C2374" w14:paraId="1F9754EC" w14:textId="77777777">
      <w:pPr>
        <w:autoSpaceDE w:val="0"/>
        <w:autoSpaceDN w:val="0"/>
        <w:adjustRightInd w:val="0"/>
        <w:spacing w:after="0" w:line="240" w:lineRule="auto"/>
        <w:rPr>
          <w:rFonts w:eastAsia="Times New Roman" w:cs="Times New Roman"/>
          <w:b/>
          <w:iCs/>
          <w:color w:val="000000"/>
          <w:szCs w:val="24"/>
          <w:highlight w:val="yellow"/>
        </w:rPr>
      </w:pPr>
      <w:bookmarkStart w:id="18" w:name="_Hlk98250521"/>
      <w:r w:rsidRPr="00451237">
        <w:rPr>
          <w:rFonts w:eastAsia="Times New Roman" w:cs="Times New Roman"/>
          <w:b/>
          <w:i/>
          <w:color w:val="000000"/>
          <w:szCs w:val="24"/>
        </w:rPr>
        <w:t>60-Day Notice:</w:t>
      </w:r>
      <w:r w:rsidRPr="00451237">
        <w:rPr>
          <w:rFonts w:eastAsia="Times New Roman" w:cs="Times New Roman"/>
          <w:b/>
          <w:iCs/>
          <w:color w:val="000000"/>
          <w:szCs w:val="24"/>
        </w:rPr>
        <w:t xml:space="preserve"> </w:t>
      </w:r>
    </w:p>
    <w:p w:rsidR="007C2374" w:rsidP="007C2374" w14:paraId="0BA1AFF7" w14:textId="2BB51A7B">
      <w:pPr>
        <w:autoSpaceDE w:val="0"/>
        <w:autoSpaceDN w:val="0"/>
        <w:adjustRightInd w:val="0"/>
        <w:spacing w:after="0" w:line="240" w:lineRule="auto"/>
        <w:rPr>
          <w:rFonts w:eastAsia="Times New Roman" w:cs="Times New Roman"/>
          <w:bCs/>
          <w:color w:val="000000"/>
          <w:szCs w:val="24"/>
        </w:rPr>
      </w:pPr>
      <w:r w:rsidRPr="00EE29AA">
        <w:rPr>
          <w:rFonts w:eastAsia="Times New Roman" w:cs="Times New Roman"/>
          <w:bCs/>
          <w:color w:val="000000"/>
          <w:szCs w:val="24"/>
        </w:rPr>
        <w:t>A Federal Register notice with a 60-day comment period soliciting public comments on the following information collection was published on</w:t>
      </w:r>
      <w:r>
        <w:rPr>
          <w:rFonts w:eastAsia="Times New Roman" w:cs="Times New Roman"/>
          <w:bCs/>
          <w:color w:val="000000"/>
          <w:szCs w:val="24"/>
        </w:rPr>
        <w:t xml:space="preserve"> June 7, 2023 (FR Doc. 2023-12102). NHTSA received two (2) comments. NHTSA received comments from the National Association of Mutual Insurance Companies (NAMIC) and Responsibility.org. Both NAMIC and Responsibility.org supported NHTSA’s alcohol-segmentation study efforts to inform communications initiatives to prevent alcohol-impaired driving and both requested future consideration to collaborate on communications efforts. </w:t>
      </w:r>
    </w:p>
    <w:p w:rsidR="007C2374" w:rsidP="007C2374" w14:paraId="6DD45C6C" w14:textId="77777777">
      <w:pPr>
        <w:spacing w:after="0" w:line="240" w:lineRule="auto"/>
        <w:rPr>
          <w:rFonts w:eastAsia="Times New Roman" w:cs="Times New Roman"/>
          <w:bCs/>
          <w:color w:val="000000"/>
          <w:szCs w:val="24"/>
        </w:rPr>
      </w:pPr>
      <w:r>
        <w:rPr>
          <w:rFonts w:eastAsia="Times New Roman" w:cs="Times New Roman"/>
          <w:bCs/>
          <w:i/>
          <w:iCs/>
          <w:color w:val="000000"/>
          <w:szCs w:val="24"/>
        </w:rPr>
        <w:t xml:space="preserve">NHTSA Response: </w:t>
      </w:r>
      <w:r>
        <w:rPr>
          <w:rFonts w:eastAsia="Times New Roman" w:cs="Times New Roman"/>
          <w:bCs/>
          <w:color w:val="000000"/>
          <w:szCs w:val="24"/>
        </w:rPr>
        <w:t>NHTSA appreciates the support from NAMIC and Responsibility.org. NHTSA recognizes the actions that both are taking to help communicate the dangers of impaired driving and the efforts that they are taking to decrease this behavior on US roadways. NHTSA looks forward to completing this study, sharing the results, and having discussions with both NAMIC and Responsibility.org on how we can work together to decrease impaired-driving crashes, injuries and fatalities in the US.</w:t>
      </w:r>
    </w:p>
    <w:p w:rsidR="007C2374" w:rsidP="007C2374" w14:paraId="6E744ACC" w14:textId="77777777">
      <w:pPr>
        <w:spacing w:after="0" w:line="240" w:lineRule="auto"/>
        <w:rPr>
          <w:rFonts w:eastAsia="Times New Roman" w:cs="Times New Roman"/>
          <w:bCs/>
          <w:color w:val="000000"/>
          <w:szCs w:val="24"/>
        </w:rPr>
      </w:pPr>
    </w:p>
    <w:p w:rsidR="001A4BFA" w:rsidP="007C2374" w14:paraId="1E7C35BD" w14:textId="271F5268">
      <w:pPr>
        <w:spacing w:after="0" w:line="240" w:lineRule="auto"/>
      </w:pPr>
      <w:r w:rsidRPr="001A4BFA">
        <w:t xml:space="preserve">NHTSA published a </w:t>
      </w:r>
      <w:r>
        <w:t>3</w:t>
      </w:r>
      <w:r w:rsidRPr="001A4BFA">
        <w:t>0-day notic</w:t>
      </w:r>
      <w:r>
        <w:t>e</w:t>
      </w:r>
      <w:r w:rsidRPr="001A4BFA">
        <w:t xml:space="preserve"> on </w:t>
      </w:r>
      <w:r w:rsidR="00452430">
        <w:t>October 19, 2023,</w:t>
      </w:r>
      <w:r w:rsidRPr="001A4BFA">
        <w:t xml:space="preserve"> </w:t>
      </w:r>
      <w:r>
        <w:t xml:space="preserve">that stated </w:t>
      </w:r>
      <w:r w:rsidR="002F2890">
        <w:t>NHTSA’s</w:t>
      </w:r>
      <w:r>
        <w:t xml:space="preserve"> intention to submit this ICR to OMB for approval </w:t>
      </w:r>
      <w:r w:rsidRPr="00CD4905">
        <w:t xml:space="preserve">(FR </w:t>
      </w:r>
      <w:r w:rsidRPr="00CD4905" w:rsidR="00CD4905">
        <w:t>Doc. 2023-23076</w:t>
      </w:r>
      <w:r w:rsidRPr="00CD4905">
        <w:t>)</w:t>
      </w:r>
      <w:r w:rsidRPr="001A4BFA">
        <w:t xml:space="preserve">. </w:t>
      </w:r>
    </w:p>
    <w:p w:rsidR="007C2374" w:rsidP="007C2374" w14:paraId="3ADF5A5D" w14:textId="77777777">
      <w:pPr>
        <w:spacing w:after="0" w:line="240" w:lineRule="auto"/>
      </w:pPr>
    </w:p>
    <w:p w:rsidR="000373A8" w:rsidRPr="005271A9" w:rsidP="000373A8" w14:paraId="4BC028A2" w14:textId="597996F3">
      <w:pPr>
        <w:pStyle w:val="ListParagraph"/>
        <w:numPr>
          <w:ilvl w:val="0"/>
          <w:numId w:val="1"/>
        </w:numPr>
        <w:autoSpaceDE w:val="0"/>
        <w:autoSpaceDN w:val="0"/>
        <w:adjustRightInd w:val="0"/>
        <w:spacing w:after="0" w:line="240" w:lineRule="auto"/>
        <w:rPr>
          <w:rFonts w:cs="Times New Roman"/>
          <w:b/>
          <w:szCs w:val="24"/>
        </w:rPr>
      </w:pPr>
      <w:bookmarkStart w:id="19" w:name="_Hlk51330973"/>
      <w:bookmarkEnd w:id="18"/>
      <w:r w:rsidRPr="005271A9">
        <w:rPr>
          <w:rFonts w:cs="Times New Roman"/>
          <w:b/>
          <w:szCs w:val="24"/>
        </w:rPr>
        <w:t>Explain any decision to provide any payment or gift to respondents other than remuneration of contractors or grantees.</w:t>
      </w:r>
    </w:p>
    <w:bookmarkEnd w:id="19"/>
    <w:p w:rsidR="000373A8" w:rsidP="000373A8" w14:paraId="25E39D9A" w14:textId="77777777">
      <w:pPr>
        <w:autoSpaceDE w:val="0"/>
        <w:autoSpaceDN w:val="0"/>
        <w:adjustRightInd w:val="0"/>
        <w:spacing w:after="0" w:line="240" w:lineRule="auto"/>
        <w:ind w:left="360"/>
        <w:rPr>
          <w:rFonts w:cs="Times New Roman"/>
          <w:szCs w:val="24"/>
        </w:rPr>
      </w:pPr>
    </w:p>
    <w:p w:rsidR="00F80F0B" w:rsidP="2F157978" w14:paraId="3A8F1CA6" w14:textId="77777777">
      <w:pPr>
        <w:autoSpaceDE w:val="0"/>
        <w:autoSpaceDN w:val="0"/>
        <w:adjustRightInd w:val="0"/>
        <w:spacing w:after="0" w:line="240" w:lineRule="auto"/>
        <w:rPr>
          <w:rFonts w:cs="Times New Roman"/>
        </w:rPr>
      </w:pPr>
      <w:r w:rsidRPr="2F157978">
        <w:rPr>
          <w:rFonts w:cs="Times New Roman"/>
        </w:rPr>
        <w:t xml:space="preserve">Participants who qualify and complete the cognitive test (online webcam in-depth interview (IDI) estimated length of 60 minutes) would receive an incentive of $100, keeping with industry standards. </w:t>
      </w:r>
    </w:p>
    <w:p w:rsidR="00F80F0B" w:rsidP="2F157978" w14:paraId="160D3AE5" w14:textId="77777777">
      <w:pPr>
        <w:autoSpaceDE w:val="0"/>
        <w:autoSpaceDN w:val="0"/>
        <w:adjustRightInd w:val="0"/>
        <w:spacing w:after="0" w:line="240" w:lineRule="auto"/>
        <w:rPr>
          <w:rFonts w:cs="Times New Roman"/>
        </w:rPr>
      </w:pPr>
    </w:p>
    <w:p w:rsidR="00407CAC" w:rsidP="2F157978" w14:paraId="3D698CBB" w14:textId="1F4ADD01">
      <w:pPr>
        <w:autoSpaceDE w:val="0"/>
        <w:autoSpaceDN w:val="0"/>
        <w:adjustRightInd w:val="0"/>
        <w:spacing w:after="0" w:line="240" w:lineRule="auto"/>
        <w:rPr>
          <w:rFonts w:cs="Times New Roman"/>
        </w:rPr>
      </w:pPr>
      <w:r w:rsidRPr="2F157978">
        <w:rPr>
          <w:rFonts w:cs="Times New Roman"/>
        </w:rPr>
        <w:t xml:space="preserve">Participants who qualify and complete the quantitative survey would receive an incentive in the form of a cash equivalent point system and would earn $5 worth of points that could be redeemed for gift cards, a pre-paid debit card or a charitable donation. The $5 value is based on the amount of incentive participants typically receive for completing a 28-minute survey. The higher industry-standard incentive for the qualitative compared to the quantitative research results from several factors, including the extra time needed to screen for the qualitative research and the added burden of scheduling the qualitative research in advance, in addition to the extra time needed for the research itself (60 minutes compared to an estimated 28 minutes). </w:t>
      </w:r>
    </w:p>
    <w:p w:rsidR="00B73716" w:rsidP="00D230C8" w14:paraId="070E4CB9" w14:textId="77777777">
      <w:pPr>
        <w:autoSpaceDE w:val="0"/>
        <w:autoSpaceDN w:val="0"/>
        <w:adjustRightInd w:val="0"/>
        <w:spacing w:after="0" w:line="240" w:lineRule="auto"/>
        <w:rPr>
          <w:rFonts w:cs="Times New Roman"/>
          <w:szCs w:val="24"/>
        </w:rPr>
      </w:pPr>
    </w:p>
    <w:p w:rsidR="000373A8" w:rsidRPr="000373A8" w:rsidP="000373A8" w14:paraId="5D2E710C" w14:textId="7EC7D7BA">
      <w:pPr>
        <w:pStyle w:val="ListParagraph"/>
        <w:numPr>
          <w:ilvl w:val="0"/>
          <w:numId w:val="1"/>
        </w:numPr>
        <w:autoSpaceDE w:val="0"/>
        <w:autoSpaceDN w:val="0"/>
        <w:adjustRightInd w:val="0"/>
        <w:spacing w:after="0" w:line="240" w:lineRule="auto"/>
        <w:rPr>
          <w:rFonts w:cs="Times New Roman"/>
          <w:szCs w:val="24"/>
        </w:rPr>
      </w:pPr>
      <w:bookmarkStart w:id="20" w:name="_Hlk51331000"/>
      <w:r w:rsidRPr="005271A9">
        <w:rPr>
          <w:rFonts w:cs="Times New Roman"/>
          <w:b/>
          <w:szCs w:val="24"/>
        </w:rPr>
        <w:t>Describe any assurance of confidentiality provided to respondents and the basis for the assurance in statute, regulation, or agency policy.</w:t>
      </w:r>
      <w:r w:rsidR="002F2890">
        <w:rPr>
          <w:rFonts w:cs="Times New Roman"/>
          <w:b/>
          <w:szCs w:val="24"/>
        </w:rPr>
        <w:t xml:space="preserve"> </w:t>
      </w:r>
      <w:r w:rsidRPr="005271A9">
        <w:rPr>
          <w:rFonts w:cs="Times New Roman"/>
          <w:b/>
          <w:szCs w:val="24"/>
        </w:rPr>
        <w:t xml:space="preserve">If the collection requires </w:t>
      </w:r>
      <w:r w:rsidR="00AA5CCC">
        <w:rPr>
          <w:rFonts w:cs="Times New Roman"/>
          <w:b/>
          <w:szCs w:val="24"/>
        </w:rPr>
        <w:t>a system</w:t>
      </w:r>
      <w:r w:rsidRPr="005271A9">
        <w:rPr>
          <w:rFonts w:cs="Times New Roman"/>
          <w:b/>
          <w:szCs w:val="24"/>
        </w:rPr>
        <w:t xml:space="preserve"> of records notice (SORN) or privacy impact assessment (PIA), those should be cited and described here</w:t>
      </w:r>
      <w:r w:rsidRPr="000373A8">
        <w:rPr>
          <w:rFonts w:cs="Times New Roman"/>
          <w:szCs w:val="24"/>
        </w:rPr>
        <w:t>.</w:t>
      </w:r>
    </w:p>
    <w:bookmarkEnd w:id="20"/>
    <w:p w:rsidR="000373A8" w:rsidP="000373A8" w14:paraId="59B3BB97" w14:textId="77777777">
      <w:pPr>
        <w:autoSpaceDE w:val="0"/>
        <w:autoSpaceDN w:val="0"/>
        <w:adjustRightInd w:val="0"/>
        <w:spacing w:after="0" w:line="240" w:lineRule="auto"/>
        <w:rPr>
          <w:rFonts w:cs="Times New Roman"/>
          <w:szCs w:val="24"/>
        </w:rPr>
      </w:pPr>
    </w:p>
    <w:p w:rsidR="00414646" w:rsidP="00D173DB" w14:paraId="4590D004" w14:textId="4CA7EBFB">
      <w:pPr>
        <w:spacing w:line="240" w:lineRule="auto"/>
        <w:rPr>
          <w:rFonts w:cs="Times New Roman"/>
        </w:rPr>
      </w:pPr>
      <w:r w:rsidRPr="00414646">
        <w:rPr>
          <w:rFonts w:cs="Times New Roman"/>
        </w:rPr>
        <w:t xml:space="preserve">In the </w:t>
      </w:r>
      <w:r>
        <w:rPr>
          <w:rFonts w:cs="Times New Roman"/>
        </w:rPr>
        <w:t>research</w:t>
      </w:r>
      <w:r w:rsidRPr="00414646">
        <w:rPr>
          <w:rFonts w:cs="Times New Roman"/>
        </w:rPr>
        <w:t xml:space="preserve"> introduction, respondents will be informed that participation is voluntary, and their answers will be kept </w:t>
      </w:r>
      <w:r w:rsidR="00BC4A53">
        <w:rPr>
          <w:rFonts w:cs="Times New Roman"/>
        </w:rPr>
        <w:t>confidenti</w:t>
      </w:r>
      <w:r w:rsidR="00272B12">
        <w:rPr>
          <w:rFonts w:cs="Times New Roman"/>
        </w:rPr>
        <w:t>a</w:t>
      </w:r>
      <w:r w:rsidR="00BC4A53">
        <w:rPr>
          <w:rFonts w:cs="Times New Roman"/>
        </w:rPr>
        <w:t>l</w:t>
      </w:r>
      <w:r w:rsidRPr="00414646" w:rsidR="00BC4A53">
        <w:rPr>
          <w:rFonts w:cs="Times New Roman"/>
        </w:rPr>
        <w:t xml:space="preserve"> </w:t>
      </w:r>
      <w:r w:rsidRPr="00414646">
        <w:rPr>
          <w:rFonts w:cs="Times New Roman"/>
        </w:rPr>
        <w:t>and will be used only for statistical purposes.</w:t>
      </w:r>
      <w:r w:rsidR="002F2890">
        <w:rPr>
          <w:rFonts w:cs="Times New Roman"/>
        </w:rPr>
        <w:t xml:space="preserve"> </w:t>
      </w:r>
      <w:r w:rsidRPr="00414646">
        <w:rPr>
          <w:rFonts w:cs="Times New Roman"/>
        </w:rPr>
        <w:t>The</w:t>
      </w:r>
      <w:r w:rsidR="00DB1277">
        <w:rPr>
          <w:rFonts w:cs="Times New Roman"/>
        </w:rPr>
        <w:t xml:space="preserve"> </w:t>
      </w:r>
      <w:r w:rsidR="007A0518">
        <w:rPr>
          <w:rFonts w:cs="Times New Roman"/>
        </w:rPr>
        <w:t xml:space="preserve">summary report </w:t>
      </w:r>
      <w:r w:rsidR="00DB1277">
        <w:rPr>
          <w:rFonts w:cs="Times New Roman"/>
        </w:rPr>
        <w:t>from the cognitive test and the quantitative</w:t>
      </w:r>
      <w:r w:rsidRPr="00414646">
        <w:rPr>
          <w:rFonts w:cs="Times New Roman"/>
        </w:rPr>
        <w:t xml:space="preserve"> survey </w:t>
      </w:r>
      <w:r w:rsidR="00B36215">
        <w:rPr>
          <w:rFonts w:cs="Times New Roman"/>
        </w:rPr>
        <w:t xml:space="preserve">that is shared with NHTSA </w:t>
      </w:r>
      <w:r w:rsidRPr="00414646">
        <w:rPr>
          <w:rFonts w:cs="Times New Roman"/>
        </w:rPr>
        <w:t xml:space="preserve">will not </w:t>
      </w:r>
      <w:r w:rsidR="007A0518">
        <w:rPr>
          <w:rFonts w:cs="Times New Roman"/>
        </w:rPr>
        <w:t>include</w:t>
      </w:r>
      <w:r w:rsidRPr="00414646" w:rsidR="007A0518">
        <w:rPr>
          <w:rFonts w:cs="Times New Roman"/>
        </w:rPr>
        <w:t xml:space="preserve"> </w:t>
      </w:r>
      <w:r w:rsidRPr="00414646">
        <w:rPr>
          <w:rFonts w:cs="Times New Roman"/>
        </w:rPr>
        <w:t>identifying information such as names, addresses, telephone numbers or social security numbers.</w:t>
      </w:r>
      <w:r w:rsidR="002F2890">
        <w:rPr>
          <w:rFonts w:cs="Times New Roman"/>
        </w:rPr>
        <w:t xml:space="preserve"> </w:t>
      </w:r>
      <w:r w:rsidRPr="00414646">
        <w:rPr>
          <w:rFonts w:cs="Times New Roman"/>
        </w:rPr>
        <w:t xml:space="preserve">Upon completion of </w:t>
      </w:r>
      <w:r w:rsidR="00DB1277">
        <w:rPr>
          <w:rFonts w:cs="Times New Roman"/>
        </w:rPr>
        <w:t xml:space="preserve">either </w:t>
      </w:r>
      <w:r w:rsidRPr="00414646">
        <w:rPr>
          <w:rFonts w:cs="Times New Roman"/>
        </w:rPr>
        <w:t xml:space="preserve">the </w:t>
      </w:r>
      <w:r w:rsidR="00DB1277">
        <w:rPr>
          <w:rFonts w:cs="Times New Roman"/>
        </w:rPr>
        <w:t xml:space="preserve">cognitive test or </w:t>
      </w:r>
      <w:r w:rsidRPr="00414646">
        <w:rPr>
          <w:rFonts w:cs="Times New Roman"/>
        </w:rPr>
        <w:t xml:space="preserve">survey, it will not be possible to identify a </w:t>
      </w:r>
      <w:r w:rsidR="006E1C9A">
        <w:rPr>
          <w:rFonts w:cs="Times New Roman"/>
        </w:rPr>
        <w:t xml:space="preserve">specific </w:t>
      </w:r>
      <w:r w:rsidRPr="00414646">
        <w:rPr>
          <w:rFonts w:cs="Times New Roman"/>
        </w:rPr>
        <w:t xml:space="preserve">respondent based on </w:t>
      </w:r>
      <w:r w:rsidR="00AA5CCC">
        <w:rPr>
          <w:rFonts w:cs="Times New Roman"/>
        </w:rPr>
        <w:t>their</w:t>
      </w:r>
      <w:r w:rsidRPr="00414646">
        <w:rPr>
          <w:rFonts w:cs="Times New Roman"/>
        </w:rPr>
        <w:t xml:space="preserve"> responses to the survey questions.</w:t>
      </w:r>
      <w:r w:rsidR="001C4C3B">
        <w:rPr>
          <w:rFonts w:cs="Times New Roman"/>
        </w:rPr>
        <w:t xml:space="preserve"> </w:t>
      </w:r>
      <w:r w:rsidR="006E1C9A">
        <w:rPr>
          <w:rFonts w:cs="Times New Roman"/>
        </w:rPr>
        <w:t>The r</w:t>
      </w:r>
      <w:r w:rsidR="00303692">
        <w:rPr>
          <w:rFonts w:cs="Times New Roman"/>
        </w:rPr>
        <w:t xml:space="preserve">esearch team will potentially use audio and video </w:t>
      </w:r>
      <w:r w:rsidR="006E1C9A">
        <w:rPr>
          <w:rFonts w:cs="Times New Roman"/>
        </w:rPr>
        <w:t xml:space="preserve">recordings </w:t>
      </w:r>
      <w:r w:rsidR="00303692">
        <w:rPr>
          <w:rFonts w:cs="Times New Roman"/>
        </w:rPr>
        <w:t xml:space="preserve">from the research to assist with writing the </w:t>
      </w:r>
      <w:r w:rsidR="00303692">
        <w:rPr>
          <w:rFonts w:cs="Times New Roman"/>
        </w:rPr>
        <w:t>summary report;</w:t>
      </w:r>
      <w:r w:rsidR="006E1C9A">
        <w:rPr>
          <w:rFonts w:cs="Times New Roman"/>
        </w:rPr>
        <w:t xml:space="preserve"> however, </w:t>
      </w:r>
      <w:r w:rsidR="00303692">
        <w:rPr>
          <w:rFonts w:cs="Times New Roman"/>
        </w:rPr>
        <w:t xml:space="preserve">audio and video recordings will not be shared with NHTSA and will be destroyed </w:t>
      </w:r>
      <w:r w:rsidR="007A0518">
        <w:rPr>
          <w:rFonts w:cs="Times New Roman"/>
        </w:rPr>
        <w:t xml:space="preserve">six months following the conclusion of </w:t>
      </w:r>
      <w:r w:rsidR="00D23E75">
        <w:rPr>
          <w:rFonts w:cs="Times New Roman"/>
        </w:rPr>
        <w:t xml:space="preserve">the </w:t>
      </w:r>
      <w:r w:rsidR="007A0518">
        <w:rPr>
          <w:rFonts w:cs="Times New Roman"/>
        </w:rPr>
        <w:t>research</w:t>
      </w:r>
      <w:r w:rsidR="00D019F5">
        <w:rPr>
          <w:rFonts w:cs="Times New Roman"/>
        </w:rPr>
        <w:t xml:space="preserve"> </w:t>
      </w:r>
      <w:r w:rsidRPr="007011BB" w:rsidR="00D019F5">
        <w:t xml:space="preserve">as per our Data Retention policy. During the research period and up to the destruction of the data, all audio and video recordings will be stored on a secured Microsoft Teams channel that is </w:t>
      </w:r>
      <w:r w:rsidR="00D019F5">
        <w:t>only</w:t>
      </w:r>
      <w:r w:rsidRPr="007011BB" w:rsidR="00D019F5">
        <w:t xml:space="preserve"> accessible by authorized Heart+Mind employees involved in the research. All of these authorized accounts are password protected with multifactor authentication to ensure data security</w:t>
      </w:r>
      <w:r w:rsidRPr="00D019F5" w:rsidR="007A0518">
        <w:rPr>
          <w:rFonts w:cs="Times New Roman"/>
        </w:rPr>
        <w:t>.</w:t>
      </w:r>
      <w:r w:rsidR="007A0518">
        <w:rPr>
          <w:rFonts w:cs="Times New Roman"/>
        </w:rPr>
        <w:t xml:space="preserve"> The summary report will only share findings in aggregate and will not identify any of the participants. </w:t>
      </w:r>
    </w:p>
    <w:p w:rsidR="00DB1277" w:rsidP="00D173DB" w14:paraId="484D4582" w14:textId="0A0D5FF7">
      <w:pPr>
        <w:spacing w:line="240" w:lineRule="auto"/>
        <w:rPr>
          <w:rFonts w:cs="Times New Roman"/>
        </w:rPr>
      </w:pPr>
      <w:r w:rsidRPr="007068C7">
        <w:rPr>
          <w:rFonts w:cs="Times New Roman"/>
        </w:rPr>
        <w:t xml:space="preserve">The </w:t>
      </w:r>
      <w:r>
        <w:rPr>
          <w:rFonts w:cs="Times New Roman"/>
        </w:rPr>
        <w:t>following text will</w:t>
      </w:r>
      <w:r w:rsidRPr="007068C7">
        <w:rPr>
          <w:rFonts w:cs="Times New Roman"/>
        </w:rPr>
        <w:t xml:space="preserve"> </w:t>
      </w:r>
      <w:r>
        <w:rPr>
          <w:rFonts w:cs="Times New Roman"/>
        </w:rPr>
        <w:t xml:space="preserve">either be read to the respondent or will appear in an introductory window </w:t>
      </w:r>
      <w:r w:rsidR="00AA5CCC">
        <w:rPr>
          <w:rFonts w:cs="Times New Roman"/>
        </w:rPr>
        <w:t>before</w:t>
      </w:r>
      <w:r>
        <w:rPr>
          <w:rFonts w:cs="Times New Roman"/>
        </w:rPr>
        <w:t xml:space="preserve"> an invitee </w:t>
      </w:r>
      <w:r w:rsidR="00AA5CCC">
        <w:rPr>
          <w:rFonts w:cs="Times New Roman"/>
        </w:rPr>
        <w:t>sees</w:t>
      </w:r>
      <w:r>
        <w:rPr>
          <w:rFonts w:cs="Times New Roman"/>
        </w:rPr>
        <w:t xml:space="preserve"> the first question of the survey:</w:t>
      </w:r>
    </w:p>
    <w:p w:rsidR="00DB1277" w:rsidP="00D230C8" w14:paraId="0DE30D88" w14:textId="4D2CA970">
      <w:pPr>
        <w:ind w:left="720"/>
      </w:pPr>
      <w:r w:rsidRPr="003528A2">
        <w:t>Thank you for agreeing to participate in this stud</w:t>
      </w:r>
      <w:r>
        <w:t>y that is being conducted on behalf of the National Highway Traffic Safety Administration (NHTSA).</w:t>
      </w:r>
      <w:r w:rsidR="002F2890">
        <w:t xml:space="preserve"> </w:t>
      </w:r>
      <w:r w:rsidRPr="005A518D">
        <w:t xml:space="preserve">This collection of information is voluntary and will be used for </w:t>
      </w:r>
      <w:r>
        <w:t>communications campaigns and programs to help reduce the number of fatal alcohol crashes on roads and highways</w:t>
      </w:r>
      <w:r w:rsidRPr="005A518D">
        <w:t>.</w:t>
      </w:r>
      <w:r w:rsidR="002F2890">
        <w:t xml:space="preserve"> </w:t>
      </w:r>
      <w:r w:rsidRPr="005A518D">
        <w:t>We will not collect any personal information that would allow anyone to identify you.</w:t>
      </w:r>
      <w:r w:rsidR="002F2890">
        <w:t xml:space="preserve"> </w:t>
      </w:r>
      <w:r w:rsidRPr="005A518D">
        <w:t xml:space="preserve">A federal agency may not </w:t>
      </w:r>
      <w:r w:rsidRPr="005A518D" w:rsidR="00AA5CCC">
        <w:t>conduct,</w:t>
      </w:r>
      <w:r w:rsidRPr="005A518D">
        <w:t xml:space="preserve"> or sponsor and a person is not required to respond to, nor shall a person be subject to a penalty for failure to comply with</w:t>
      </w:r>
      <w:r w:rsidR="00F65712">
        <w:t>,</w:t>
      </w:r>
      <w:r w:rsidRPr="005A518D">
        <w:t xml:space="preserve"> a collection of information subject to the requirements of the Paperwork Reduction Act unless that collection of information displays a current valid OMB Control Number. The OMB Control Number for this information collection is </w:t>
      </w:r>
      <w:r w:rsidRPr="003B0A47">
        <w:t>2127-XXXX</w:t>
      </w:r>
      <w:r>
        <w:t xml:space="preserve">. </w:t>
      </w:r>
    </w:p>
    <w:p w:rsidR="00B73716" w:rsidP="00D173DB" w14:paraId="53F07831" w14:textId="42014C90">
      <w:pPr>
        <w:ind w:left="720"/>
        <w:rPr>
          <w:rFonts w:cs="Times New Roman"/>
          <w:szCs w:val="24"/>
        </w:rPr>
      </w:pPr>
      <w:r>
        <w:t xml:space="preserve">Completion of this survey </w:t>
      </w:r>
      <w:r w:rsidRPr="005A518D" w:rsidR="00DB1277">
        <w:t>is</w:t>
      </w:r>
      <w:r w:rsidR="00DB1277">
        <w:t xml:space="preserve"> estimated to </w:t>
      </w:r>
      <w:r>
        <w:t xml:space="preserve">take </w:t>
      </w:r>
      <w:r w:rsidR="00DB1277">
        <w:t xml:space="preserve">an average </w:t>
      </w:r>
      <w:r w:rsidRPr="001B49B3" w:rsidR="00DB1277">
        <w:t xml:space="preserve">of </w:t>
      </w:r>
      <w:r w:rsidR="00DB1277">
        <w:t xml:space="preserve">[FOR COGNITIVE TEST READ </w:t>
      </w:r>
      <w:r w:rsidR="002F2890">
        <w:t>“</w:t>
      </w:r>
      <w:r w:rsidR="00DB1277">
        <w:t>60</w:t>
      </w:r>
      <w:r w:rsidRPr="001B49B3" w:rsidR="00DB1277">
        <w:t xml:space="preserve"> minutes</w:t>
      </w:r>
      <w:r w:rsidR="002F2890">
        <w:t>”</w:t>
      </w:r>
      <w:r w:rsidR="00DB1277">
        <w:t xml:space="preserve">; FOR SURVEY DISPLAY/READ </w:t>
      </w:r>
      <w:r w:rsidR="002F2890">
        <w:t>“</w:t>
      </w:r>
      <w:r w:rsidRPr="001B49B3" w:rsidR="001D7E0F">
        <w:t>2</w:t>
      </w:r>
      <w:r w:rsidR="00F1622B">
        <w:t>8</w:t>
      </w:r>
      <w:r w:rsidRPr="001B49B3" w:rsidR="001D7E0F">
        <w:t xml:space="preserve"> </w:t>
      </w:r>
      <w:r w:rsidRPr="001B49B3" w:rsidR="00DB1277">
        <w:t>minutes</w:t>
      </w:r>
      <w:r w:rsidR="002F2890">
        <w:t>”</w:t>
      </w:r>
      <w:r w:rsidR="00DB1277">
        <w:t>]</w:t>
      </w:r>
      <w:r w:rsidRPr="005A518D" w:rsidR="00DB1277">
        <w:t>, including the time for reviewing instructions, completing</w:t>
      </w:r>
      <w:r w:rsidR="00DF4180">
        <w:t>,</w:t>
      </w:r>
      <w:r w:rsidRPr="005A518D" w:rsidR="00DB1277">
        <w:t xml:space="preserve"> and reviewing the collection of information. All responses to this collection of information are voluntary.</w:t>
      </w:r>
      <w:r w:rsidR="002F2890">
        <w:t xml:space="preserve"> </w:t>
      </w:r>
      <w:r w:rsidR="00DB1277">
        <w:t xml:space="preserve">If you have comments regarding this burden estimate or any other aspect of this collection of information, including </w:t>
      </w:r>
      <w:r w:rsidRPr="005A518D" w:rsidR="00DB1277">
        <w:t>suggestions for reducing this burden</w:t>
      </w:r>
      <w:r w:rsidR="00DB1277">
        <w:t>, send them</w:t>
      </w:r>
      <w:r w:rsidRPr="005A518D" w:rsidR="00DB1277">
        <w:t xml:space="preserve"> to: Information Collection Clearance Officer, National Highway Traffic Safety Administration, 1200 New Jersey Ave, SE, Washington, DC, 20590</w:t>
      </w:r>
      <w:r w:rsidR="00DB1277">
        <w:t>.</w:t>
      </w:r>
    </w:p>
    <w:p w:rsidR="0069588D" w:rsidRPr="00B676D5" w:rsidP="0069588D" w14:paraId="4CB994BE" w14:textId="777CB4D4">
      <w:pPr>
        <w:pStyle w:val="ListParagraph"/>
        <w:numPr>
          <w:ilvl w:val="0"/>
          <w:numId w:val="1"/>
        </w:numPr>
        <w:rPr>
          <w:b/>
        </w:rPr>
      </w:pPr>
      <w:bookmarkStart w:id="21" w:name="_Hlk51331086"/>
      <w:r w:rsidRPr="00B676D5">
        <w:rPr>
          <w:b/>
        </w:rPr>
        <w:t>Provide additional justification for any questions of a sensitive nature, such as sexual behavior and attitudes, religious beliefs, and other matters that are commonly considered private.</w:t>
      </w:r>
      <w:r w:rsidR="002F2890">
        <w:rPr>
          <w:b/>
        </w:rPr>
        <w:t xml:space="preserve"> </w:t>
      </w:r>
      <w:r w:rsidRPr="00B676D5">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21"/>
    <w:p w:rsidR="00DB1277" w:rsidP="00396E3F" w14:paraId="5C4191AD" w14:textId="456D1035">
      <w:pPr>
        <w:widowControl w:val="0"/>
        <w:autoSpaceDE w:val="0"/>
        <w:autoSpaceDN w:val="0"/>
        <w:adjustRightInd w:val="0"/>
        <w:spacing w:line="240" w:lineRule="auto"/>
      </w:pPr>
      <w:r>
        <w:t xml:space="preserve">Some of the subject matter of this survey would be considered sensitive, particularly attitudes and experiences related to drinking, </w:t>
      </w:r>
      <w:r w:rsidR="007551EB">
        <w:t>driving,</w:t>
      </w:r>
      <w:r>
        <w:t xml:space="preserve"> </w:t>
      </w:r>
      <w:r w:rsidR="001D6693">
        <w:t xml:space="preserve">or </w:t>
      </w:r>
      <w:r w:rsidR="0053186A">
        <w:t xml:space="preserve">motorcycle </w:t>
      </w:r>
      <w:r>
        <w:t>riding.</w:t>
      </w:r>
      <w:r w:rsidR="002F2890">
        <w:t xml:space="preserve"> </w:t>
      </w:r>
      <w:r>
        <w:t xml:space="preserve">Yet </w:t>
      </w:r>
      <w:r w:rsidR="00AA5CCC">
        <w:t xml:space="preserve">the </w:t>
      </w:r>
      <w:r>
        <w:t>collection of this information is critically important to the insights sought by the survey.</w:t>
      </w:r>
      <w:r w:rsidR="002F2890">
        <w:t xml:space="preserve"> </w:t>
      </w:r>
      <w:r>
        <w:t>Measures will be in place to allow respondents to decline to answer any question.</w:t>
      </w:r>
      <w:r w:rsidR="002F2890">
        <w:t xml:space="preserve"> </w:t>
      </w:r>
      <w:r>
        <w:t>Agreement to answer questions will be strictly voluntary</w:t>
      </w:r>
      <w:r w:rsidR="004153AC">
        <w:t xml:space="preserve"> and all responses will </w:t>
      </w:r>
      <w:r w:rsidR="003D1881">
        <w:t xml:space="preserve">be </w:t>
      </w:r>
      <w:r w:rsidR="004153AC">
        <w:t>anonymous</w:t>
      </w:r>
      <w:r>
        <w:t>.</w:t>
      </w:r>
    </w:p>
    <w:p w:rsidR="0012713D" w:rsidP="00396E3F" w14:paraId="4780CBC0" w14:textId="03864E6D">
      <w:pPr>
        <w:widowControl w:val="0"/>
        <w:autoSpaceDE w:val="0"/>
        <w:autoSpaceDN w:val="0"/>
        <w:adjustRightInd w:val="0"/>
        <w:spacing w:line="240" w:lineRule="auto"/>
      </w:pPr>
      <w:r>
        <w:t xml:space="preserve">No questions will be asked pertaining to sexual behavior, religious </w:t>
      </w:r>
      <w:r w:rsidR="007551EB">
        <w:t>beliefs</w:t>
      </w:r>
      <w:r w:rsidR="00DF4180">
        <w:t>,</w:t>
      </w:r>
      <w:r>
        <w:t xml:space="preserve"> and other sensitive </w:t>
      </w:r>
      <w:r>
        <w:t>matters unrelated to drinking and driving/</w:t>
      </w:r>
      <w:r w:rsidR="0053186A">
        <w:t xml:space="preserve">motorcycle </w:t>
      </w:r>
      <w:r>
        <w:t>riding.</w:t>
      </w:r>
    </w:p>
    <w:p w:rsidR="0069588D" w:rsidP="0069588D" w14:paraId="48C8BD46" w14:textId="41717D8B">
      <w:pPr>
        <w:pStyle w:val="ListParagraph"/>
        <w:numPr>
          <w:ilvl w:val="0"/>
          <w:numId w:val="1"/>
        </w:numPr>
        <w:autoSpaceDE w:val="0"/>
        <w:autoSpaceDN w:val="0"/>
        <w:adjustRightInd w:val="0"/>
        <w:spacing w:after="0" w:line="240" w:lineRule="auto"/>
        <w:rPr>
          <w:rFonts w:cs="Times New Roman"/>
          <w:b/>
          <w:szCs w:val="24"/>
        </w:rPr>
      </w:pPr>
      <w:bookmarkStart w:id="22" w:name="_Hlk51332070"/>
      <w:r w:rsidRPr="00261A6E">
        <w:rPr>
          <w:rFonts w:cs="Times New Roman"/>
          <w:b/>
          <w:szCs w:val="24"/>
        </w:rPr>
        <w:t>Provide estimates of the hour burden of the collection of information on the respondents</w:t>
      </w:r>
      <w:r w:rsidRPr="00261A6E">
        <w:rPr>
          <w:b/>
        </w:rPr>
        <w:t xml:space="preserve"> </w:t>
      </w:r>
      <w:r w:rsidRPr="00261A6E">
        <w:rPr>
          <w:rFonts w:cs="Times New Roman"/>
          <w:b/>
          <w:szCs w:val="24"/>
        </w:rPr>
        <w:t xml:space="preserve">and estimates of the annualized labor cost to respondents associated with that hour burden. </w:t>
      </w:r>
    </w:p>
    <w:p w:rsidR="000D2934" w:rsidRPr="00261A6E" w:rsidP="000D2934" w14:paraId="39EA0CD9" w14:textId="77777777">
      <w:pPr>
        <w:pStyle w:val="ListParagraph"/>
        <w:autoSpaceDE w:val="0"/>
        <w:autoSpaceDN w:val="0"/>
        <w:adjustRightInd w:val="0"/>
        <w:spacing w:after="0" w:line="240" w:lineRule="auto"/>
        <w:rPr>
          <w:rFonts w:cs="Times New Roman"/>
          <w:b/>
          <w:szCs w:val="24"/>
        </w:rPr>
      </w:pPr>
    </w:p>
    <w:p w:rsidR="00AF4217" w:rsidP="00D230C8" w14:paraId="2C632F48" w14:textId="04B7022F">
      <w:pPr>
        <w:autoSpaceDE w:val="0"/>
        <w:autoSpaceDN w:val="0"/>
        <w:adjustRightInd w:val="0"/>
        <w:spacing w:after="0" w:line="240" w:lineRule="auto"/>
        <w:ind w:right="360"/>
        <w:contextualSpacing/>
      </w:pPr>
      <w:bookmarkStart w:id="23" w:name="_Hlk78835375"/>
      <w:bookmarkEnd w:id="22"/>
      <w:r w:rsidRPr="00D230C8">
        <w:t xml:space="preserve">Respondents will be sourced from </w:t>
      </w:r>
      <w:r w:rsidRPr="00D230C8" w:rsidR="00AA5CCC">
        <w:t xml:space="preserve">the </w:t>
      </w:r>
      <w:r w:rsidRPr="00D230C8">
        <w:t>recruiter database</w:t>
      </w:r>
      <w:r w:rsidRPr="00D230C8" w:rsidR="00DA44A8">
        <w:t xml:space="preserve"> and online panels for this research.</w:t>
      </w:r>
      <w:r w:rsidRPr="00D230C8" w:rsidR="002F2890">
        <w:t xml:space="preserve"> </w:t>
      </w:r>
      <w:r w:rsidRPr="00D230C8" w:rsidR="00DA44A8">
        <w:t xml:space="preserve">They will be recruited using online outreach (and supplemented with </w:t>
      </w:r>
      <w:r w:rsidRPr="00D230C8" w:rsidR="00F32384">
        <w:t>other forms of</w:t>
      </w:r>
      <w:r w:rsidRPr="00D230C8" w:rsidR="00DA44A8">
        <w:t xml:space="preserve"> outreach</w:t>
      </w:r>
      <w:r w:rsidRPr="00D230C8" w:rsidR="00F32384">
        <w:t xml:space="preserve"> </w:t>
      </w:r>
      <w:r w:rsidRPr="00D230C8" w:rsidR="00D34C54">
        <w:t xml:space="preserve">such as </w:t>
      </w:r>
      <w:r w:rsidRPr="00D230C8" w:rsidR="00F32384">
        <w:t>phone</w:t>
      </w:r>
      <w:r w:rsidRPr="00D230C8" w:rsidR="00D34C54">
        <w:t xml:space="preserve"> or</w:t>
      </w:r>
      <w:r w:rsidRPr="00D230C8" w:rsidR="00F32384">
        <w:t xml:space="preserve"> mail</w:t>
      </w:r>
      <w:r w:rsidRPr="00D230C8" w:rsidR="00DA44A8">
        <w:t xml:space="preserve"> as needed).</w:t>
      </w:r>
      <w:r w:rsidRPr="00D230C8" w:rsidR="002F2890">
        <w:t xml:space="preserve"> </w:t>
      </w:r>
      <w:r w:rsidR="004D6CB6">
        <w:t>A total of n=18 respondents will participate in the qualitative phase (a cognitive test of the survey instrument). The</w:t>
      </w:r>
      <w:r w:rsidR="00D173DB">
        <w:t xml:space="preserve"> qualitative phase</w:t>
      </w:r>
      <w:r w:rsidR="004D6CB6">
        <w:t xml:space="preserve"> will be split evenly between n=9 interviews among English</w:t>
      </w:r>
      <w:r w:rsidR="00D173DB">
        <w:t>-</w:t>
      </w:r>
      <w:r w:rsidR="004D6CB6">
        <w:t>speaking respondents and n=9 interviews among Spanish</w:t>
      </w:r>
      <w:r w:rsidR="00D173DB">
        <w:t>-</w:t>
      </w:r>
      <w:r w:rsidR="004D6CB6">
        <w:t xml:space="preserve">speaking respondents. </w:t>
      </w:r>
      <w:r w:rsidR="005A6759">
        <w:t xml:space="preserve">Past experience shows that nine (n=9) interviews serve as a sufficient number for cognitive testing. Since the survey will be available in both </w:t>
      </w:r>
      <w:r w:rsidR="00AF2C99">
        <w:t xml:space="preserve">English and Spanish, our design includes a total of n=18 interviews for the cognitive test. </w:t>
      </w:r>
      <w:r w:rsidR="001100D5">
        <w:t>Using the</w:t>
      </w:r>
      <w:r w:rsidR="00BF45F4">
        <w:t xml:space="preserve"> incidence rate of 25.8%</w:t>
      </w:r>
      <w:r w:rsidR="001100D5">
        <w:t xml:space="preserve"> assumed for qualitative recruiting and the quantitative survey</w:t>
      </w:r>
      <w:r w:rsidR="00BF45F4">
        <w:t xml:space="preserve">, </w:t>
      </w:r>
      <w:r w:rsidR="009F0508">
        <w:t xml:space="preserve">we expect that </w:t>
      </w:r>
      <w:r w:rsidR="009A47E5">
        <w:t>the recruiter will need to screen n=140 participants</w:t>
      </w:r>
      <w:r w:rsidR="009F0508">
        <w:t xml:space="preserve"> </w:t>
      </w:r>
      <w:r w:rsidR="009A47E5">
        <w:t xml:space="preserve">to obtain </w:t>
      </w:r>
      <w:r w:rsidR="00491306">
        <w:t xml:space="preserve">the desired target of </w:t>
      </w:r>
      <w:r w:rsidR="00BF45F4">
        <w:t xml:space="preserve"> </w:t>
      </w:r>
      <w:r w:rsidR="00491306">
        <w:t>n=</w:t>
      </w:r>
      <w:r w:rsidR="00BF45F4">
        <w:t xml:space="preserve">36 </w:t>
      </w:r>
      <w:r w:rsidR="00491306">
        <w:t xml:space="preserve">who </w:t>
      </w:r>
      <w:r w:rsidR="00BF45F4">
        <w:t>qualify to participate in the survey.</w:t>
      </w:r>
      <w:r w:rsidRPr="00BF45F4" w:rsidR="00BF45F4">
        <w:rPr>
          <w:rStyle w:val="FootnoteReference"/>
        </w:rPr>
        <w:t xml:space="preserve"> </w:t>
      </w:r>
      <w:r>
        <w:rPr>
          <w:rStyle w:val="FootnoteReference"/>
        </w:rPr>
        <w:footnoteReference w:id="10"/>
      </w:r>
      <w:r w:rsidRPr="00DD226D" w:rsidR="00124E3B">
        <w:rPr>
          <w:vertAlign w:val="superscript"/>
        </w:rPr>
        <w:t>,</w:t>
      </w:r>
      <w:r>
        <w:rPr>
          <w:rStyle w:val="FootnoteReference"/>
        </w:rPr>
        <w:footnoteReference w:id="11"/>
      </w:r>
      <w:r w:rsidR="004A38EB">
        <w:t xml:space="preserve"> </w:t>
      </w:r>
      <w:r w:rsidR="00BF45F4">
        <w:t xml:space="preserve">Of those who qualify, previous experience indicates that around half will be available and interested in participating in cognitive testing. </w:t>
      </w:r>
      <w:r w:rsidRPr="00D230C8">
        <w:t xml:space="preserve">Those who qualify, are available and agree to participate </w:t>
      </w:r>
      <w:r w:rsidR="00931D33">
        <w:t xml:space="preserve">(n=18) </w:t>
      </w:r>
      <w:r w:rsidRPr="00D230C8">
        <w:t xml:space="preserve">will complete the cognitive test (online webcam in-depth interview (IDI) estimated length of 60 minutes). </w:t>
      </w:r>
    </w:p>
    <w:p w:rsidR="00AF4217" w:rsidP="00D230C8" w14:paraId="26019E59" w14:textId="77777777">
      <w:pPr>
        <w:autoSpaceDE w:val="0"/>
        <w:autoSpaceDN w:val="0"/>
        <w:adjustRightInd w:val="0"/>
        <w:spacing w:after="0" w:line="240" w:lineRule="auto"/>
        <w:ind w:right="360"/>
        <w:contextualSpacing/>
      </w:pPr>
    </w:p>
    <w:p w:rsidR="00D422F6" w:rsidRPr="00D230C8" w:rsidP="00D230C8" w14:paraId="14444B8F" w14:textId="6B26CE26">
      <w:pPr>
        <w:autoSpaceDE w:val="0"/>
        <w:autoSpaceDN w:val="0"/>
        <w:adjustRightInd w:val="0"/>
        <w:spacing w:after="0" w:line="240" w:lineRule="auto"/>
        <w:ind w:right="360"/>
        <w:contextualSpacing/>
      </w:pPr>
      <w:r w:rsidRPr="00D230C8">
        <w:t>For the quantitative phase, respondents will complete an online survey with screening questions (estimated length of 2</w:t>
      </w:r>
      <w:r w:rsidR="007B4725">
        <w:t>8</w:t>
      </w:r>
      <w:r w:rsidRPr="00D230C8">
        <w:t xml:space="preserve"> minutes)</w:t>
      </w:r>
      <w:r w:rsidRPr="00D230C8" w:rsidR="00D34C54">
        <w:t>.</w:t>
      </w:r>
      <w:r w:rsidR="00931D33">
        <w:t xml:space="preserve"> </w:t>
      </w:r>
      <w:bookmarkStart w:id="25" w:name="_Hlk134802527"/>
      <w:r w:rsidR="00931D33">
        <w:t>Approximately 20</w:t>
      </w:r>
      <w:r w:rsidR="002171DA">
        <w:t>,</w:t>
      </w:r>
      <w:r w:rsidR="00931D33">
        <w:t>930 respondents will be screened to identify 5</w:t>
      </w:r>
      <w:r w:rsidR="002171DA">
        <w:t>,</w:t>
      </w:r>
      <w:r w:rsidR="00931D33">
        <w:t xml:space="preserve">400 who will qualify. </w:t>
      </w:r>
      <w:bookmarkStart w:id="26" w:name="_Hlk134707986"/>
      <w:r w:rsidR="00931D33">
        <w:t>A sample size of 5</w:t>
      </w:r>
      <w:r w:rsidR="002171DA">
        <w:t>,</w:t>
      </w:r>
      <w:r w:rsidR="00931D33">
        <w:t>400 was selected for the segmentation because such a sample will provide a robust basis for creating statistically sound segments and because it verges on the upper bound o</w:t>
      </w:r>
      <w:r w:rsidR="00D173DB">
        <w:t>f</w:t>
      </w:r>
      <w:r w:rsidR="00931D33">
        <w:t xml:space="preserve"> the </w:t>
      </w:r>
      <w:r w:rsidRPr="00074A13" w:rsidR="00931D33">
        <w:t>AmeriSpeak panel’s</w:t>
      </w:r>
      <w:r w:rsidR="00931D33">
        <w:t xml:space="preserve"> feasibility.</w:t>
      </w:r>
      <w:r>
        <w:rPr>
          <w:rStyle w:val="FootnoteReference"/>
        </w:rPr>
        <w:footnoteReference w:id="12"/>
      </w:r>
      <w:r w:rsidR="00931D33">
        <w:t xml:space="preserve"> </w:t>
      </w:r>
      <w:r w:rsidR="00BF45F4">
        <w:t xml:space="preserve">A larger sample size also enables the creation of larger segments, which in turn allows for more detailed profiling within any given segment. Finally, the larger sample size will provide a more substantial </w:t>
      </w:r>
      <w:r w:rsidR="001100D5">
        <w:t>sample of motorcycle riders, the incidence of whom is estimated to be 8% in the general population.</w:t>
      </w:r>
      <w:bookmarkEnd w:id="26"/>
    </w:p>
    <w:bookmarkEnd w:id="25"/>
    <w:p w:rsidR="00D422F6" w:rsidRPr="00D230C8" w:rsidP="000D2934" w14:paraId="590E34E9" w14:textId="77777777">
      <w:pPr>
        <w:autoSpaceDE w:val="0"/>
        <w:autoSpaceDN w:val="0"/>
        <w:adjustRightInd w:val="0"/>
        <w:spacing w:after="0" w:line="240" w:lineRule="auto"/>
        <w:ind w:left="720" w:right="360"/>
        <w:contextualSpacing/>
      </w:pPr>
    </w:p>
    <w:p w:rsidR="0033770A" w:rsidRPr="00D230C8" w:rsidP="00D230C8" w14:paraId="192AFD6D" w14:textId="4F189C7E">
      <w:pPr>
        <w:autoSpaceDE w:val="0"/>
        <w:autoSpaceDN w:val="0"/>
        <w:adjustRightInd w:val="0"/>
        <w:spacing w:after="0" w:line="240" w:lineRule="auto"/>
        <w:ind w:right="360"/>
        <w:contextualSpacing/>
      </w:pPr>
      <w:r w:rsidRPr="00D230C8">
        <w:t>To calculate the labor cost associated with submitting</w:t>
      </w:r>
      <w:r w:rsidRPr="00D230C8" w:rsidR="00EC3F7B">
        <w:t xml:space="preserve"> the </w:t>
      </w:r>
      <w:r w:rsidRPr="00D230C8" w:rsidR="00F65712">
        <w:t>Alcohol-</w:t>
      </w:r>
      <w:r w:rsidRPr="00D230C8" w:rsidR="00EC3F7B">
        <w:t xml:space="preserve">Impaired </w:t>
      </w:r>
      <w:r w:rsidRPr="00D230C8" w:rsidR="001D6693">
        <w:t xml:space="preserve">Driver/ </w:t>
      </w:r>
      <w:r w:rsidRPr="00D230C8" w:rsidR="0053186A">
        <w:t xml:space="preserve">Motorcycle </w:t>
      </w:r>
      <w:r w:rsidRPr="00D230C8" w:rsidR="001D6693">
        <w:t xml:space="preserve">Rider </w:t>
      </w:r>
      <w:r w:rsidRPr="00D230C8" w:rsidR="00EC3F7B">
        <w:t xml:space="preserve">Segmentation Research, </w:t>
      </w:r>
      <w:r w:rsidRPr="00D230C8">
        <w:t>NHTSA looked at wage estimates for the type of personnel involved with compiling and submitting the documents.</w:t>
      </w:r>
      <w:r w:rsidRPr="00D230C8" w:rsidR="002F2890">
        <w:t xml:space="preserve"> </w:t>
      </w:r>
      <w:r w:rsidRPr="00D230C8">
        <w:t xml:space="preserve">NHTSA estimates the total labor costs associated with these burden hours by looking at the average wage for </w:t>
      </w:r>
      <w:r w:rsidRPr="00D230C8" w:rsidR="00844011">
        <w:t xml:space="preserve">all </w:t>
      </w:r>
      <w:r w:rsidRPr="00D230C8" w:rsidR="00EC3F7B">
        <w:t xml:space="preserve">occupations, which is </w:t>
      </w:r>
      <w:r w:rsidRPr="0084559A" w:rsidR="0084559A">
        <w:t>$34.27</w:t>
      </w:r>
      <w:r w:rsidR="0084559A">
        <w:t xml:space="preserve"> </w:t>
      </w:r>
      <w:r w:rsidRPr="00D230C8" w:rsidR="00EC3F7B">
        <w:t>per hour.</w:t>
      </w:r>
      <w:r>
        <w:rPr>
          <w:vertAlign w:val="superscript"/>
        </w:rPr>
        <w:footnoteReference w:id="13"/>
      </w:r>
      <w:r w:rsidRPr="00D230C8" w:rsidR="00EC3F7B">
        <w:t xml:space="preserve"> </w:t>
      </w:r>
      <w:r w:rsidR="00D67455">
        <w:t xml:space="preserve">To this figure </w:t>
      </w:r>
      <w:r w:rsidR="00B435CA">
        <w:t>we</w:t>
      </w:r>
      <w:r w:rsidR="00D67455">
        <w:t xml:space="preserve"> </w:t>
      </w:r>
      <w:r w:rsidR="00B435CA">
        <w:t>add an additional 29.4</w:t>
      </w:r>
      <w:r w:rsidR="00D67455">
        <w:t xml:space="preserve">% </w:t>
      </w:r>
      <w:r w:rsidR="00746E55">
        <w:t>such that labor costs are inclusive of benefits</w:t>
      </w:r>
      <w:r w:rsidR="00B435CA">
        <w:t xml:space="preserve">, giving a fully loaded hourly labor cost of </w:t>
      </w:r>
      <w:r w:rsidR="00727E41">
        <w:t>$44.35</w:t>
      </w:r>
      <w:r w:rsidR="00746E55">
        <w:t>.</w:t>
      </w:r>
      <w:r>
        <w:rPr>
          <w:rStyle w:val="FootnoteReference"/>
        </w:rPr>
        <w:footnoteReference w:id="14"/>
      </w:r>
      <w:r w:rsidR="00746E55">
        <w:t xml:space="preserve"> </w:t>
      </w:r>
      <w:r w:rsidRPr="00D230C8" w:rsidR="00EC3F7B">
        <w:t xml:space="preserve">Therefore, NHTSA estimates the total labor cost associated with the </w:t>
      </w:r>
      <w:r w:rsidRPr="00D230C8" w:rsidR="00CE1E75">
        <w:t>3</w:t>
      </w:r>
      <w:r w:rsidR="00D173DB">
        <w:t>,</w:t>
      </w:r>
      <w:r w:rsidR="00A15773">
        <w:t>845</w:t>
      </w:r>
      <w:r w:rsidRPr="00D230C8" w:rsidR="00EC3F7B">
        <w:t xml:space="preserve"> burden hours to be $</w:t>
      </w:r>
      <w:r w:rsidRPr="00894F4E" w:rsidR="00894F4E">
        <w:t>170</w:t>
      </w:r>
      <w:r w:rsidR="00894F4E">
        <w:t>,</w:t>
      </w:r>
      <w:r w:rsidRPr="00894F4E" w:rsidR="00894F4E">
        <w:t>52</w:t>
      </w:r>
      <w:r w:rsidR="00894F4E">
        <w:t>6</w:t>
      </w:r>
      <w:r w:rsidRPr="00D230C8" w:rsidR="00EC3F7B">
        <w:t xml:space="preserve"> (rounded).</w:t>
      </w:r>
      <w:r w:rsidRPr="00D230C8" w:rsidR="002F2890">
        <w:t xml:space="preserve"> </w:t>
      </w:r>
      <w:r w:rsidRPr="00D230C8" w:rsidR="00EC3F7B">
        <w:t xml:space="preserve">Table 1 provides a summary of the estimated burden hours and labor costs associated with those submissions.  </w:t>
      </w:r>
      <w:bookmarkEnd w:id="23"/>
    </w:p>
    <w:p w:rsidR="0012713D" w:rsidRPr="00D230C8" w:rsidP="0012713D" w14:paraId="4B8FBC33" w14:textId="77777777">
      <w:pPr>
        <w:autoSpaceDE w:val="0"/>
        <w:autoSpaceDN w:val="0"/>
        <w:adjustRightInd w:val="0"/>
        <w:spacing w:after="0" w:line="240" w:lineRule="auto"/>
        <w:ind w:left="720" w:right="360"/>
        <w:contextualSpacing/>
      </w:pPr>
    </w:p>
    <w:p w:rsidR="00E84E9C" w:rsidRPr="00D230C8" w:rsidP="00D230C8" w14:paraId="72BF5D6D" w14:textId="1C626003">
      <w:pPr>
        <w:spacing w:line="240" w:lineRule="auto"/>
      </w:pPr>
      <w:r w:rsidRPr="00D230C8">
        <w:t xml:space="preserve">Because the number of respondents and </w:t>
      </w:r>
      <w:r w:rsidRPr="00D230C8" w:rsidR="00AA5CCC">
        <w:t xml:space="preserve">the </w:t>
      </w:r>
      <w:r w:rsidRPr="00D230C8">
        <w:t>amount of time required is different for each phase of the research</w:t>
      </w:r>
      <w:r w:rsidRPr="00D230C8" w:rsidR="00F65712">
        <w:t>,</w:t>
      </w:r>
      <w:r w:rsidRPr="00D230C8">
        <w:t xml:space="preserve"> burden estimates are calculated based </w:t>
      </w:r>
      <w:r w:rsidRPr="00D230C8" w:rsidR="00AA5CCC">
        <w:t xml:space="preserve">on </w:t>
      </w:r>
      <w:r w:rsidRPr="00D230C8">
        <w:t xml:space="preserve">each phase and then summed to create a total.   </w:t>
      </w:r>
    </w:p>
    <w:p w:rsidR="0069588D" w:rsidRPr="0069588D" w:rsidP="00336819" w14:paraId="617BB75C" w14:textId="77777777">
      <w:pPr>
        <w:autoSpaceDE w:val="0"/>
        <w:autoSpaceDN w:val="0"/>
        <w:adjustRightInd w:val="0"/>
        <w:spacing w:after="0" w:line="240" w:lineRule="auto"/>
        <w:ind w:right="360"/>
        <w:contextualSpacing/>
        <w:jc w:val="center"/>
        <w:rPr>
          <w:rFonts w:cs="Times New Roman"/>
          <w:b/>
          <w:sz w:val="22"/>
        </w:rPr>
      </w:pPr>
      <w:r w:rsidRPr="0069588D">
        <w:rPr>
          <w:rFonts w:cs="Times New Roman"/>
          <w:b/>
          <w:sz w:val="22"/>
        </w:rPr>
        <w:t>Table 1: Burden Estimates</w:t>
      </w:r>
    </w:p>
    <w:tbl>
      <w:tblPr>
        <w:tblStyle w:val="TableGrid"/>
        <w:tblW w:w="8527" w:type="dxa"/>
        <w:jc w:val="center"/>
        <w:tblLook w:val="04A0"/>
      </w:tblPr>
      <w:tblGrid>
        <w:gridCol w:w="1067"/>
        <w:gridCol w:w="1033"/>
        <w:gridCol w:w="905"/>
        <w:gridCol w:w="1134"/>
        <w:gridCol w:w="1102"/>
        <w:gridCol w:w="923"/>
        <w:gridCol w:w="862"/>
        <w:gridCol w:w="1501"/>
      </w:tblGrid>
      <w:tr w14:paraId="0AFC3271" w14:textId="77777777" w:rsidTr="00336819">
        <w:tblPrEx>
          <w:tblW w:w="8527" w:type="dxa"/>
          <w:jc w:val="center"/>
          <w:tblLook w:val="04A0"/>
        </w:tblPrEx>
        <w:trPr>
          <w:jc w:val="center"/>
        </w:trPr>
        <w:tc>
          <w:tcPr>
            <w:tcW w:w="1067" w:type="dxa"/>
            <w:tcBorders>
              <w:top w:val="single" w:sz="18" w:space="0" w:color="auto"/>
              <w:bottom w:val="single" w:sz="18" w:space="0" w:color="auto"/>
            </w:tcBorders>
          </w:tcPr>
          <w:p w:rsidR="007B3431" w:rsidRPr="00E84E9C" w:rsidP="0069588D" w14:paraId="42004EA6" w14:textId="54CCEB56">
            <w:pPr>
              <w:widowControl w:val="0"/>
              <w:autoSpaceDE w:val="0"/>
              <w:autoSpaceDN w:val="0"/>
              <w:adjustRightInd w:val="0"/>
              <w:jc w:val="center"/>
              <w:rPr>
                <w:rFonts w:eastAsia="Times New Roman" w:cs="Times New Roman"/>
                <w:color w:val="000000"/>
                <w:sz w:val="15"/>
                <w:szCs w:val="15"/>
              </w:rPr>
            </w:pPr>
            <w:r w:rsidRPr="00E84E9C">
              <w:rPr>
                <w:rFonts w:eastAsia="Times New Roman" w:cs="Times New Roman"/>
                <w:color w:val="000000"/>
                <w:sz w:val="15"/>
                <w:szCs w:val="15"/>
              </w:rPr>
              <w:t>Research Phase</w:t>
            </w:r>
          </w:p>
        </w:tc>
        <w:tc>
          <w:tcPr>
            <w:tcW w:w="1033" w:type="dxa"/>
            <w:tcBorders>
              <w:top w:val="single" w:sz="18" w:space="0" w:color="auto"/>
              <w:bottom w:val="single" w:sz="18" w:space="0" w:color="auto"/>
            </w:tcBorders>
          </w:tcPr>
          <w:p w:rsidR="007B3431" w:rsidRPr="00E84E9C" w:rsidP="0069588D" w14:paraId="46676DE8" w14:textId="28DD0472">
            <w:pPr>
              <w:widowControl w:val="0"/>
              <w:autoSpaceDE w:val="0"/>
              <w:autoSpaceDN w:val="0"/>
              <w:adjustRightInd w:val="0"/>
              <w:jc w:val="center"/>
              <w:rPr>
                <w:rFonts w:eastAsia="Times New Roman" w:cs="Times New Roman"/>
                <w:color w:val="000000"/>
                <w:sz w:val="15"/>
                <w:szCs w:val="15"/>
              </w:rPr>
            </w:pPr>
            <w:r w:rsidRPr="00E84E9C">
              <w:rPr>
                <w:rFonts w:eastAsia="Times New Roman" w:cs="Times New Roman"/>
                <w:color w:val="000000"/>
                <w:sz w:val="15"/>
                <w:szCs w:val="15"/>
              </w:rPr>
              <w:t>Annual Respondents</w:t>
            </w:r>
          </w:p>
        </w:tc>
        <w:tc>
          <w:tcPr>
            <w:tcW w:w="905" w:type="dxa"/>
            <w:tcBorders>
              <w:top w:val="single" w:sz="18" w:space="0" w:color="auto"/>
              <w:bottom w:val="single" w:sz="18" w:space="0" w:color="auto"/>
            </w:tcBorders>
          </w:tcPr>
          <w:p w:rsidR="007B3431" w:rsidRPr="00E84E9C" w:rsidP="0069588D" w14:paraId="623634E3" w14:textId="7589E6C8">
            <w:pPr>
              <w:widowControl w:val="0"/>
              <w:autoSpaceDE w:val="0"/>
              <w:autoSpaceDN w:val="0"/>
              <w:adjustRightInd w:val="0"/>
              <w:jc w:val="center"/>
              <w:rPr>
                <w:rFonts w:eastAsia="Times New Roman" w:cs="Times New Roman"/>
                <w:color w:val="000000"/>
                <w:sz w:val="15"/>
                <w:szCs w:val="15"/>
              </w:rPr>
            </w:pPr>
            <w:r w:rsidRPr="00E84E9C">
              <w:rPr>
                <w:rFonts w:eastAsia="Times New Roman" w:cs="Times New Roman"/>
                <w:color w:val="000000"/>
                <w:sz w:val="15"/>
                <w:szCs w:val="15"/>
              </w:rPr>
              <w:t>Annual Responses</w:t>
            </w:r>
          </w:p>
        </w:tc>
        <w:tc>
          <w:tcPr>
            <w:tcW w:w="1134" w:type="dxa"/>
            <w:tcBorders>
              <w:top w:val="single" w:sz="18" w:space="0" w:color="auto"/>
              <w:bottom w:val="single" w:sz="18" w:space="0" w:color="auto"/>
            </w:tcBorders>
          </w:tcPr>
          <w:p w:rsidR="007B3431" w:rsidRPr="00E84E9C" w:rsidP="0069588D" w14:paraId="5497DAF4" w14:textId="528570A3">
            <w:pPr>
              <w:widowControl w:val="0"/>
              <w:autoSpaceDE w:val="0"/>
              <w:autoSpaceDN w:val="0"/>
              <w:adjustRightInd w:val="0"/>
              <w:jc w:val="center"/>
              <w:rPr>
                <w:rFonts w:eastAsia="Times New Roman" w:cs="Times New Roman"/>
                <w:color w:val="000000"/>
                <w:sz w:val="15"/>
                <w:szCs w:val="15"/>
              </w:rPr>
            </w:pPr>
            <w:r w:rsidRPr="00E84E9C">
              <w:rPr>
                <w:rFonts w:eastAsia="Times New Roman" w:cs="Times New Roman"/>
                <w:color w:val="000000"/>
                <w:sz w:val="15"/>
                <w:szCs w:val="15"/>
              </w:rPr>
              <w:t>Estimated Burden Per Response</w:t>
            </w:r>
          </w:p>
        </w:tc>
        <w:tc>
          <w:tcPr>
            <w:tcW w:w="1102" w:type="dxa"/>
            <w:tcBorders>
              <w:top w:val="single" w:sz="18" w:space="0" w:color="auto"/>
              <w:bottom w:val="single" w:sz="18" w:space="0" w:color="auto"/>
            </w:tcBorders>
          </w:tcPr>
          <w:p w:rsidR="007B3431" w:rsidRPr="00E84E9C" w:rsidP="0069588D" w14:paraId="60B7B175" w14:textId="77777777">
            <w:pPr>
              <w:widowControl w:val="0"/>
              <w:autoSpaceDE w:val="0"/>
              <w:autoSpaceDN w:val="0"/>
              <w:adjustRightInd w:val="0"/>
              <w:jc w:val="center"/>
              <w:rPr>
                <w:rFonts w:eastAsia="Times New Roman" w:cs="Times New Roman"/>
                <w:color w:val="000000"/>
                <w:sz w:val="15"/>
                <w:szCs w:val="15"/>
              </w:rPr>
            </w:pPr>
            <w:r w:rsidRPr="00E84E9C">
              <w:rPr>
                <w:rFonts w:eastAsia="Times New Roman" w:cs="Times New Roman"/>
                <w:color w:val="000000"/>
                <w:sz w:val="15"/>
                <w:szCs w:val="15"/>
              </w:rPr>
              <w:t>Average Hourly Labor Cost</w:t>
            </w:r>
          </w:p>
        </w:tc>
        <w:tc>
          <w:tcPr>
            <w:tcW w:w="923" w:type="dxa"/>
            <w:tcBorders>
              <w:top w:val="single" w:sz="18" w:space="0" w:color="auto"/>
              <w:bottom w:val="single" w:sz="18" w:space="0" w:color="auto"/>
            </w:tcBorders>
          </w:tcPr>
          <w:p w:rsidR="007B3431" w:rsidRPr="00E84E9C" w:rsidP="0069588D" w14:paraId="021FC826" w14:textId="77777777">
            <w:pPr>
              <w:widowControl w:val="0"/>
              <w:autoSpaceDE w:val="0"/>
              <w:autoSpaceDN w:val="0"/>
              <w:adjustRightInd w:val="0"/>
              <w:jc w:val="center"/>
              <w:rPr>
                <w:rFonts w:eastAsia="Times New Roman" w:cs="Times New Roman"/>
                <w:color w:val="000000"/>
                <w:sz w:val="15"/>
                <w:szCs w:val="15"/>
              </w:rPr>
            </w:pPr>
            <w:r w:rsidRPr="00E84E9C">
              <w:rPr>
                <w:rFonts w:eastAsia="Times New Roman" w:cs="Times New Roman"/>
                <w:color w:val="000000"/>
                <w:sz w:val="15"/>
                <w:szCs w:val="15"/>
              </w:rPr>
              <w:t>Labor Cost Per Submission</w:t>
            </w:r>
          </w:p>
        </w:tc>
        <w:tc>
          <w:tcPr>
            <w:tcW w:w="862" w:type="dxa"/>
            <w:tcBorders>
              <w:top w:val="single" w:sz="18" w:space="0" w:color="auto"/>
              <w:bottom w:val="single" w:sz="18" w:space="0" w:color="auto"/>
            </w:tcBorders>
          </w:tcPr>
          <w:p w:rsidR="007B3431" w:rsidRPr="00E84E9C" w:rsidP="0069588D" w14:paraId="184E09D6" w14:textId="77777777">
            <w:pPr>
              <w:widowControl w:val="0"/>
              <w:autoSpaceDE w:val="0"/>
              <w:autoSpaceDN w:val="0"/>
              <w:adjustRightInd w:val="0"/>
              <w:jc w:val="center"/>
              <w:rPr>
                <w:rFonts w:eastAsia="Times New Roman" w:cs="Times New Roman"/>
                <w:b/>
                <w:color w:val="000000"/>
                <w:sz w:val="15"/>
                <w:szCs w:val="15"/>
              </w:rPr>
            </w:pPr>
            <w:r w:rsidRPr="00E84E9C">
              <w:rPr>
                <w:rFonts w:eastAsia="Times New Roman" w:cs="Times New Roman"/>
                <w:b/>
                <w:color w:val="000000"/>
                <w:sz w:val="15"/>
                <w:szCs w:val="15"/>
              </w:rPr>
              <w:t>Total Burden Hours</w:t>
            </w:r>
          </w:p>
        </w:tc>
        <w:tc>
          <w:tcPr>
            <w:tcW w:w="1501" w:type="dxa"/>
            <w:tcBorders>
              <w:top w:val="single" w:sz="18" w:space="0" w:color="auto"/>
              <w:bottom w:val="single" w:sz="18" w:space="0" w:color="auto"/>
            </w:tcBorders>
          </w:tcPr>
          <w:p w:rsidR="007B3431" w:rsidRPr="00E84E9C" w:rsidP="0069588D" w14:paraId="04DC1AC9" w14:textId="77777777">
            <w:pPr>
              <w:widowControl w:val="0"/>
              <w:autoSpaceDE w:val="0"/>
              <w:autoSpaceDN w:val="0"/>
              <w:adjustRightInd w:val="0"/>
              <w:jc w:val="center"/>
              <w:rPr>
                <w:rFonts w:eastAsia="Times New Roman" w:cs="Times New Roman"/>
                <w:color w:val="000000"/>
                <w:sz w:val="15"/>
                <w:szCs w:val="15"/>
              </w:rPr>
            </w:pPr>
            <w:r w:rsidRPr="00E84E9C">
              <w:rPr>
                <w:rFonts w:eastAsia="Times New Roman" w:cs="Times New Roman"/>
                <w:color w:val="000000"/>
                <w:sz w:val="15"/>
                <w:szCs w:val="15"/>
              </w:rPr>
              <w:t>Total Labor Costs</w:t>
            </w:r>
          </w:p>
        </w:tc>
      </w:tr>
      <w:tr w14:paraId="7815EC99" w14:textId="77777777" w:rsidTr="00336819">
        <w:tblPrEx>
          <w:tblW w:w="8527" w:type="dxa"/>
          <w:jc w:val="center"/>
          <w:tblLook w:val="04A0"/>
        </w:tblPrEx>
        <w:trPr>
          <w:jc w:val="center"/>
        </w:trPr>
        <w:tc>
          <w:tcPr>
            <w:tcW w:w="1067" w:type="dxa"/>
            <w:tcBorders>
              <w:top w:val="single" w:sz="18" w:space="0" w:color="auto"/>
            </w:tcBorders>
          </w:tcPr>
          <w:p w:rsidR="00E84E9C" w:rsidRPr="0072049A" w:rsidP="00E84E9C" w14:paraId="4E44B7FA" w14:textId="35FCD4DE">
            <w:pPr>
              <w:widowControl w:val="0"/>
              <w:autoSpaceDE w:val="0"/>
              <w:autoSpaceDN w:val="0"/>
              <w:adjustRightInd w:val="0"/>
              <w:rPr>
                <w:rFonts w:eastAsia="Times New Roman" w:cs="Times New Roman"/>
                <w:color w:val="000000"/>
                <w:sz w:val="16"/>
                <w:szCs w:val="16"/>
              </w:rPr>
            </w:pPr>
            <w:r>
              <w:rPr>
                <w:rFonts w:eastAsia="Times New Roman" w:cs="Times New Roman"/>
                <w:color w:val="000000"/>
                <w:sz w:val="16"/>
                <w:szCs w:val="16"/>
              </w:rPr>
              <w:t xml:space="preserve">Qual </w:t>
            </w:r>
            <w:r w:rsidR="00065170">
              <w:rPr>
                <w:rFonts w:eastAsia="Times New Roman" w:cs="Times New Roman"/>
                <w:color w:val="000000"/>
                <w:sz w:val="16"/>
                <w:szCs w:val="16"/>
              </w:rPr>
              <w:t xml:space="preserve">Screening and </w:t>
            </w:r>
            <w:r>
              <w:rPr>
                <w:rFonts w:eastAsia="Times New Roman" w:cs="Times New Roman"/>
                <w:color w:val="000000"/>
                <w:sz w:val="16"/>
                <w:szCs w:val="16"/>
              </w:rPr>
              <w:t>Recruiting</w:t>
            </w:r>
            <w:r w:rsidRPr="006A290F" w:rsidR="001100D5">
              <w:rPr>
                <w:rFonts w:eastAsia="Times New Roman" w:cs="Times New Roman"/>
                <w:color w:val="000000"/>
                <w:sz w:val="16"/>
                <w:szCs w:val="16"/>
                <w:vertAlign w:val="superscript"/>
              </w:rPr>
              <w:t>8</w:t>
            </w:r>
          </w:p>
        </w:tc>
        <w:tc>
          <w:tcPr>
            <w:tcW w:w="1033" w:type="dxa"/>
            <w:tcBorders>
              <w:top w:val="single" w:sz="18" w:space="0" w:color="auto"/>
            </w:tcBorders>
            <w:vAlign w:val="center"/>
          </w:tcPr>
          <w:p w:rsidR="00E84E9C" w:rsidRPr="005B68D4" w:rsidP="00E84E9C" w14:paraId="043FDDC3" w14:textId="31316FED">
            <w:pPr>
              <w:widowControl w:val="0"/>
              <w:autoSpaceDE w:val="0"/>
              <w:autoSpaceDN w:val="0"/>
              <w:adjustRightInd w:val="0"/>
              <w:jc w:val="center"/>
              <w:rPr>
                <w:rFonts w:eastAsia="Times New Roman" w:cs="Times New Roman"/>
                <w:color w:val="000000"/>
                <w:sz w:val="20"/>
                <w:szCs w:val="20"/>
              </w:rPr>
            </w:pPr>
            <w:r>
              <w:rPr>
                <w:rFonts w:eastAsia="Times New Roman" w:cs="Times New Roman"/>
                <w:color w:val="000000"/>
                <w:sz w:val="20"/>
                <w:szCs w:val="20"/>
              </w:rPr>
              <w:t>140</w:t>
            </w:r>
          </w:p>
        </w:tc>
        <w:tc>
          <w:tcPr>
            <w:tcW w:w="905" w:type="dxa"/>
            <w:tcBorders>
              <w:top w:val="single" w:sz="18" w:space="0" w:color="auto"/>
            </w:tcBorders>
            <w:vAlign w:val="center"/>
          </w:tcPr>
          <w:p w:rsidR="00E84E9C" w:rsidRPr="005B68D4" w:rsidP="00E84E9C" w14:paraId="0827CCFB" w14:textId="707A08B8">
            <w:pPr>
              <w:widowControl w:val="0"/>
              <w:autoSpaceDE w:val="0"/>
              <w:autoSpaceDN w:val="0"/>
              <w:adjustRightInd w:val="0"/>
              <w:jc w:val="center"/>
              <w:rPr>
                <w:rFonts w:eastAsia="Times New Roman" w:cs="Times New Roman"/>
                <w:color w:val="000000"/>
                <w:sz w:val="20"/>
                <w:szCs w:val="20"/>
              </w:rPr>
            </w:pPr>
            <w:r>
              <w:rPr>
                <w:rFonts w:eastAsia="Times New Roman" w:cs="Times New Roman"/>
                <w:color w:val="000000"/>
                <w:sz w:val="20"/>
                <w:szCs w:val="20"/>
              </w:rPr>
              <w:t>140</w:t>
            </w:r>
          </w:p>
        </w:tc>
        <w:tc>
          <w:tcPr>
            <w:tcW w:w="1134" w:type="dxa"/>
            <w:tcBorders>
              <w:top w:val="single" w:sz="18" w:space="0" w:color="auto"/>
            </w:tcBorders>
            <w:vAlign w:val="center"/>
          </w:tcPr>
          <w:p w:rsidR="00E84E9C" w:rsidRPr="005B68D4" w:rsidP="00E84E9C" w14:paraId="79EF67F0" w14:textId="49954D11">
            <w:pPr>
              <w:widowControl w:val="0"/>
              <w:autoSpaceDE w:val="0"/>
              <w:autoSpaceDN w:val="0"/>
              <w:adjustRightInd w:val="0"/>
              <w:jc w:val="center"/>
              <w:rPr>
                <w:rFonts w:eastAsia="Times New Roman" w:cs="Times New Roman"/>
                <w:color w:val="000000"/>
                <w:sz w:val="20"/>
                <w:szCs w:val="20"/>
              </w:rPr>
            </w:pPr>
            <w:r w:rsidRPr="005B68D4">
              <w:rPr>
                <w:rFonts w:eastAsia="Times New Roman" w:cs="Times New Roman"/>
                <w:color w:val="000000"/>
                <w:sz w:val="20"/>
                <w:szCs w:val="20"/>
              </w:rPr>
              <w:t>5 min</w:t>
            </w:r>
          </w:p>
        </w:tc>
        <w:tc>
          <w:tcPr>
            <w:tcW w:w="1102" w:type="dxa"/>
            <w:tcBorders>
              <w:top w:val="single" w:sz="18" w:space="0" w:color="auto"/>
            </w:tcBorders>
            <w:vAlign w:val="center"/>
          </w:tcPr>
          <w:p w:rsidR="00E84E9C" w:rsidRPr="00BF45F4" w:rsidP="00E84E9C" w14:paraId="70734936" w14:textId="3A03B43E">
            <w:pPr>
              <w:widowControl w:val="0"/>
              <w:autoSpaceDE w:val="0"/>
              <w:autoSpaceDN w:val="0"/>
              <w:adjustRightInd w:val="0"/>
              <w:jc w:val="center"/>
              <w:rPr>
                <w:rFonts w:eastAsia="Times New Roman" w:cs="Times New Roman"/>
                <w:color w:val="000000"/>
                <w:sz w:val="20"/>
                <w:szCs w:val="20"/>
              </w:rPr>
            </w:pPr>
            <w:r w:rsidRPr="00BF45F4">
              <w:rPr>
                <w:rFonts w:eastAsia="Times New Roman" w:cs="Times New Roman"/>
                <w:color w:val="000000"/>
                <w:sz w:val="20"/>
                <w:szCs w:val="20"/>
              </w:rPr>
              <w:t>$</w:t>
            </w:r>
            <w:r w:rsidR="00757CFB">
              <w:rPr>
                <w:rFonts w:eastAsia="Times New Roman" w:cs="Times New Roman"/>
                <w:color w:val="000000"/>
                <w:sz w:val="20"/>
                <w:szCs w:val="20"/>
              </w:rPr>
              <w:t>44</w:t>
            </w:r>
            <w:r w:rsidRPr="00BF45F4">
              <w:rPr>
                <w:rFonts w:eastAsia="Times New Roman" w:cs="Times New Roman"/>
                <w:color w:val="000000"/>
                <w:sz w:val="20"/>
                <w:szCs w:val="20"/>
              </w:rPr>
              <w:t>.</w:t>
            </w:r>
            <w:r w:rsidRPr="00BF45F4" w:rsidR="00A97A73">
              <w:rPr>
                <w:rFonts w:eastAsia="Times New Roman" w:cs="Times New Roman"/>
                <w:color w:val="000000"/>
                <w:sz w:val="20"/>
                <w:szCs w:val="20"/>
              </w:rPr>
              <w:t>3</w:t>
            </w:r>
            <w:r w:rsidR="00757CFB">
              <w:rPr>
                <w:rFonts w:eastAsia="Times New Roman" w:cs="Times New Roman"/>
                <w:color w:val="000000"/>
                <w:sz w:val="20"/>
                <w:szCs w:val="20"/>
              </w:rPr>
              <w:t>5</w:t>
            </w:r>
          </w:p>
        </w:tc>
        <w:tc>
          <w:tcPr>
            <w:tcW w:w="923" w:type="dxa"/>
            <w:tcBorders>
              <w:top w:val="single" w:sz="18" w:space="0" w:color="auto"/>
            </w:tcBorders>
            <w:vAlign w:val="center"/>
          </w:tcPr>
          <w:p w:rsidR="00E84E9C" w:rsidRPr="00BF45F4" w:rsidP="00E84E9C" w14:paraId="11CC9388" w14:textId="50F0E1F5">
            <w:pPr>
              <w:widowControl w:val="0"/>
              <w:autoSpaceDE w:val="0"/>
              <w:autoSpaceDN w:val="0"/>
              <w:adjustRightInd w:val="0"/>
              <w:jc w:val="center"/>
              <w:rPr>
                <w:rFonts w:eastAsia="Times New Roman" w:cs="Times New Roman"/>
                <w:color w:val="000000"/>
                <w:sz w:val="20"/>
                <w:szCs w:val="20"/>
              </w:rPr>
            </w:pPr>
            <w:r w:rsidRPr="00BF45F4">
              <w:rPr>
                <w:color w:val="000000"/>
                <w:sz w:val="20"/>
                <w:szCs w:val="20"/>
              </w:rPr>
              <w:t>$</w:t>
            </w:r>
            <w:r w:rsidR="00CB0DF0">
              <w:rPr>
                <w:color w:val="000000"/>
                <w:sz w:val="20"/>
                <w:szCs w:val="20"/>
              </w:rPr>
              <w:t>3</w:t>
            </w:r>
            <w:r w:rsidRPr="00BF45F4">
              <w:rPr>
                <w:color w:val="000000"/>
                <w:sz w:val="20"/>
                <w:szCs w:val="20"/>
              </w:rPr>
              <w:t>.</w:t>
            </w:r>
            <w:r w:rsidRPr="00BF45F4" w:rsidR="00A97A73">
              <w:rPr>
                <w:color w:val="000000"/>
                <w:sz w:val="20"/>
                <w:szCs w:val="20"/>
              </w:rPr>
              <w:t>7</w:t>
            </w:r>
            <w:r w:rsidR="00CB0DF0">
              <w:rPr>
                <w:color w:val="000000"/>
                <w:sz w:val="20"/>
                <w:szCs w:val="20"/>
              </w:rPr>
              <w:t>0</w:t>
            </w:r>
          </w:p>
        </w:tc>
        <w:tc>
          <w:tcPr>
            <w:tcW w:w="862" w:type="dxa"/>
            <w:tcBorders>
              <w:top w:val="single" w:sz="18" w:space="0" w:color="auto"/>
            </w:tcBorders>
            <w:vAlign w:val="center"/>
          </w:tcPr>
          <w:p w:rsidR="00E84E9C" w:rsidRPr="00BF45F4" w:rsidP="00E84E9C" w14:paraId="70448612" w14:textId="7E387FBC">
            <w:pPr>
              <w:widowControl w:val="0"/>
              <w:autoSpaceDE w:val="0"/>
              <w:autoSpaceDN w:val="0"/>
              <w:adjustRightInd w:val="0"/>
              <w:jc w:val="center"/>
              <w:rPr>
                <w:rFonts w:eastAsia="Times New Roman" w:cs="Times New Roman"/>
                <w:b/>
                <w:color w:val="000000"/>
                <w:sz w:val="20"/>
                <w:szCs w:val="20"/>
              </w:rPr>
            </w:pPr>
            <w:r w:rsidRPr="00BF45F4">
              <w:rPr>
                <w:rFonts w:eastAsia="Times New Roman" w:cs="Times New Roman"/>
                <w:b/>
                <w:color w:val="000000"/>
                <w:sz w:val="20"/>
                <w:szCs w:val="20"/>
              </w:rPr>
              <w:t>1</w:t>
            </w:r>
            <w:r w:rsidR="00F60C36">
              <w:rPr>
                <w:rFonts w:eastAsia="Times New Roman" w:cs="Times New Roman"/>
                <w:b/>
                <w:color w:val="000000"/>
                <w:sz w:val="20"/>
                <w:szCs w:val="20"/>
              </w:rPr>
              <w:t>2</w:t>
            </w:r>
          </w:p>
        </w:tc>
        <w:tc>
          <w:tcPr>
            <w:tcW w:w="1501" w:type="dxa"/>
            <w:tcBorders>
              <w:top w:val="single" w:sz="18" w:space="0" w:color="auto"/>
            </w:tcBorders>
            <w:vAlign w:val="center"/>
          </w:tcPr>
          <w:p w:rsidR="00E84E9C" w:rsidRPr="00BF45F4" w:rsidP="00E84E9C" w14:paraId="0FD84D30" w14:textId="4419448D">
            <w:pPr>
              <w:widowControl w:val="0"/>
              <w:autoSpaceDE w:val="0"/>
              <w:autoSpaceDN w:val="0"/>
              <w:adjustRightInd w:val="0"/>
              <w:jc w:val="center"/>
              <w:rPr>
                <w:rFonts w:eastAsia="Times New Roman" w:cs="Times New Roman"/>
                <w:color w:val="000000"/>
                <w:sz w:val="20"/>
                <w:szCs w:val="20"/>
              </w:rPr>
            </w:pPr>
            <w:r w:rsidRPr="00BF45F4">
              <w:rPr>
                <w:color w:val="000000"/>
                <w:sz w:val="20"/>
                <w:szCs w:val="20"/>
              </w:rPr>
              <w:t>$</w:t>
            </w:r>
            <w:r w:rsidR="004E3208">
              <w:rPr>
                <w:color w:val="000000"/>
                <w:sz w:val="20"/>
                <w:szCs w:val="20"/>
              </w:rPr>
              <w:t>532.20</w:t>
            </w:r>
            <w:r w:rsidRPr="00BF45F4">
              <w:rPr>
                <w:color w:val="000000"/>
                <w:sz w:val="20"/>
                <w:szCs w:val="20"/>
              </w:rPr>
              <w:t xml:space="preserve"> </w:t>
            </w:r>
          </w:p>
        </w:tc>
      </w:tr>
      <w:tr w14:paraId="596D9B9F" w14:textId="77777777" w:rsidTr="00336819">
        <w:tblPrEx>
          <w:tblW w:w="8527" w:type="dxa"/>
          <w:jc w:val="center"/>
          <w:tblLook w:val="04A0"/>
        </w:tblPrEx>
        <w:trPr>
          <w:jc w:val="center"/>
        </w:trPr>
        <w:tc>
          <w:tcPr>
            <w:tcW w:w="1067" w:type="dxa"/>
            <w:tcBorders>
              <w:bottom w:val="single" w:sz="18" w:space="0" w:color="auto"/>
            </w:tcBorders>
          </w:tcPr>
          <w:p w:rsidR="00E84E9C" w:rsidRPr="0072049A" w:rsidP="00E84E9C" w14:paraId="2340CED3" w14:textId="65435EA0">
            <w:pPr>
              <w:widowControl w:val="0"/>
              <w:autoSpaceDE w:val="0"/>
              <w:autoSpaceDN w:val="0"/>
              <w:adjustRightInd w:val="0"/>
              <w:rPr>
                <w:rFonts w:eastAsia="Times New Roman" w:cs="Times New Roman"/>
                <w:color w:val="000000"/>
                <w:sz w:val="16"/>
                <w:szCs w:val="16"/>
              </w:rPr>
            </w:pPr>
            <w:r>
              <w:rPr>
                <w:rFonts w:eastAsia="Times New Roman" w:cs="Times New Roman"/>
                <w:color w:val="000000"/>
                <w:sz w:val="16"/>
                <w:szCs w:val="16"/>
              </w:rPr>
              <w:t xml:space="preserve">Qual </w:t>
            </w:r>
            <w:r w:rsidRPr="0072049A">
              <w:rPr>
                <w:rFonts w:eastAsia="Times New Roman" w:cs="Times New Roman"/>
                <w:color w:val="000000"/>
                <w:sz w:val="16"/>
                <w:szCs w:val="16"/>
              </w:rPr>
              <w:t>Cognitive Testing</w:t>
            </w:r>
          </w:p>
        </w:tc>
        <w:tc>
          <w:tcPr>
            <w:tcW w:w="1033" w:type="dxa"/>
            <w:tcBorders>
              <w:bottom w:val="single" w:sz="18" w:space="0" w:color="auto"/>
            </w:tcBorders>
            <w:vAlign w:val="center"/>
          </w:tcPr>
          <w:p w:rsidR="00E84E9C" w:rsidRPr="005B68D4" w:rsidP="00E84E9C" w14:paraId="084B2AC1" w14:textId="5770E1A5">
            <w:pPr>
              <w:widowControl w:val="0"/>
              <w:autoSpaceDE w:val="0"/>
              <w:autoSpaceDN w:val="0"/>
              <w:adjustRightInd w:val="0"/>
              <w:jc w:val="center"/>
              <w:rPr>
                <w:rFonts w:eastAsia="Times New Roman" w:cs="Times New Roman"/>
                <w:color w:val="000000"/>
                <w:sz w:val="20"/>
                <w:szCs w:val="20"/>
              </w:rPr>
            </w:pPr>
            <w:r w:rsidRPr="005B68D4">
              <w:rPr>
                <w:rFonts w:eastAsia="Times New Roman" w:cs="Times New Roman"/>
                <w:color w:val="000000"/>
                <w:sz w:val="20"/>
                <w:szCs w:val="20"/>
              </w:rPr>
              <w:t>18</w:t>
            </w:r>
          </w:p>
        </w:tc>
        <w:tc>
          <w:tcPr>
            <w:tcW w:w="905" w:type="dxa"/>
            <w:tcBorders>
              <w:bottom w:val="single" w:sz="18" w:space="0" w:color="auto"/>
            </w:tcBorders>
            <w:vAlign w:val="center"/>
          </w:tcPr>
          <w:p w:rsidR="00E84E9C" w:rsidRPr="005B68D4" w:rsidP="00E84E9C" w14:paraId="46B3E722" w14:textId="6860DA53">
            <w:pPr>
              <w:widowControl w:val="0"/>
              <w:autoSpaceDE w:val="0"/>
              <w:autoSpaceDN w:val="0"/>
              <w:adjustRightInd w:val="0"/>
              <w:jc w:val="center"/>
              <w:rPr>
                <w:rFonts w:eastAsia="Times New Roman" w:cs="Times New Roman"/>
                <w:color w:val="000000"/>
                <w:sz w:val="20"/>
                <w:szCs w:val="20"/>
              </w:rPr>
            </w:pPr>
            <w:r w:rsidRPr="005B68D4">
              <w:rPr>
                <w:rFonts w:eastAsia="Times New Roman" w:cs="Times New Roman"/>
                <w:color w:val="000000"/>
                <w:sz w:val="20"/>
                <w:szCs w:val="20"/>
              </w:rPr>
              <w:t>18</w:t>
            </w:r>
          </w:p>
        </w:tc>
        <w:tc>
          <w:tcPr>
            <w:tcW w:w="1134" w:type="dxa"/>
            <w:tcBorders>
              <w:bottom w:val="single" w:sz="18" w:space="0" w:color="auto"/>
            </w:tcBorders>
            <w:vAlign w:val="center"/>
          </w:tcPr>
          <w:p w:rsidR="00E84E9C" w:rsidRPr="005B68D4" w:rsidP="00E84E9C" w14:paraId="7EB6E5F4" w14:textId="706A9805">
            <w:pPr>
              <w:widowControl w:val="0"/>
              <w:autoSpaceDE w:val="0"/>
              <w:autoSpaceDN w:val="0"/>
              <w:adjustRightInd w:val="0"/>
              <w:jc w:val="center"/>
              <w:rPr>
                <w:rFonts w:eastAsia="Times New Roman" w:cs="Times New Roman"/>
                <w:color w:val="000000"/>
                <w:sz w:val="20"/>
                <w:szCs w:val="20"/>
              </w:rPr>
            </w:pPr>
            <w:r w:rsidRPr="005B68D4">
              <w:rPr>
                <w:rFonts w:eastAsia="Times New Roman" w:cs="Times New Roman"/>
                <w:color w:val="000000"/>
                <w:sz w:val="20"/>
                <w:szCs w:val="20"/>
              </w:rPr>
              <w:t>60 min</w:t>
            </w:r>
          </w:p>
        </w:tc>
        <w:tc>
          <w:tcPr>
            <w:tcW w:w="1102" w:type="dxa"/>
            <w:tcBorders>
              <w:bottom w:val="single" w:sz="18" w:space="0" w:color="auto"/>
            </w:tcBorders>
            <w:vAlign w:val="center"/>
          </w:tcPr>
          <w:p w:rsidR="00E84E9C" w:rsidRPr="00BF45F4" w:rsidP="00E84E9C" w14:paraId="49A0C357" w14:textId="1866724A">
            <w:pPr>
              <w:widowControl w:val="0"/>
              <w:autoSpaceDE w:val="0"/>
              <w:autoSpaceDN w:val="0"/>
              <w:adjustRightInd w:val="0"/>
              <w:jc w:val="center"/>
              <w:rPr>
                <w:rFonts w:eastAsia="Times New Roman" w:cs="Times New Roman"/>
                <w:color w:val="000000"/>
                <w:sz w:val="20"/>
                <w:szCs w:val="20"/>
              </w:rPr>
            </w:pPr>
            <w:r w:rsidRPr="00BF45F4">
              <w:rPr>
                <w:rFonts w:eastAsia="Times New Roman" w:cs="Times New Roman"/>
                <w:color w:val="000000"/>
                <w:sz w:val="20"/>
                <w:szCs w:val="20"/>
              </w:rPr>
              <w:t>$</w:t>
            </w:r>
            <w:r w:rsidR="00757CFB">
              <w:rPr>
                <w:rFonts w:eastAsia="Times New Roman" w:cs="Times New Roman"/>
                <w:color w:val="000000"/>
                <w:sz w:val="20"/>
                <w:szCs w:val="20"/>
              </w:rPr>
              <w:t>44</w:t>
            </w:r>
            <w:r w:rsidRPr="00BF45F4" w:rsidR="00757CFB">
              <w:rPr>
                <w:rFonts w:eastAsia="Times New Roman" w:cs="Times New Roman"/>
                <w:color w:val="000000"/>
                <w:sz w:val="20"/>
                <w:szCs w:val="20"/>
              </w:rPr>
              <w:t>.3</w:t>
            </w:r>
            <w:r w:rsidR="00757CFB">
              <w:rPr>
                <w:rFonts w:eastAsia="Times New Roman" w:cs="Times New Roman"/>
                <w:color w:val="000000"/>
                <w:sz w:val="20"/>
                <w:szCs w:val="20"/>
              </w:rPr>
              <w:t>5</w:t>
            </w:r>
          </w:p>
        </w:tc>
        <w:tc>
          <w:tcPr>
            <w:tcW w:w="923" w:type="dxa"/>
            <w:tcBorders>
              <w:bottom w:val="single" w:sz="18" w:space="0" w:color="auto"/>
            </w:tcBorders>
            <w:vAlign w:val="center"/>
          </w:tcPr>
          <w:p w:rsidR="00E84E9C" w:rsidRPr="00BF45F4" w:rsidP="00E84E9C" w14:paraId="3772CAA1" w14:textId="06BBAA57">
            <w:pPr>
              <w:widowControl w:val="0"/>
              <w:autoSpaceDE w:val="0"/>
              <w:autoSpaceDN w:val="0"/>
              <w:adjustRightInd w:val="0"/>
              <w:jc w:val="center"/>
              <w:rPr>
                <w:rFonts w:eastAsia="Times New Roman" w:cs="Times New Roman"/>
                <w:color w:val="000000"/>
                <w:sz w:val="20"/>
                <w:szCs w:val="20"/>
              </w:rPr>
            </w:pPr>
            <w:r w:rsidRPr="00BF45F4">
              <w:rPr>
                <w:color w:val="000000"/>
                <w:sz w:val="20"/>
                <w:szCs w:val="20"/>
              </w:rPr>
              <w:t>$</w:t>
            </w:r>
            <w:r w:rsidR="00CB0DF0">
              <w:rPr>
                <w:rFonts w:eastAsia="Times New Roman" w:cs="Times New Roman"/>
                <w:color w:val="000000"/>
                <w:sz w:val="20"/>
                <w:szCs w:val="20"/>
              </w:rPr>
              <w:t>44</w:t>
            </w:r>
            <w:r w:rsidRPr="00BF45F4" w:rsidR="00CB0DF0">
              <w:rPr>
                <w:rFonts w:eastAsia="Times New Roman" w:cs="Times New Roman"/>
                <w:color w:val="000000"/>
                <w:sz w:val="20"/>
                <w:szCs w:val="20"/>
              </w:rPr>
              <w:t>.3</w:t>
            </w:r>
            <w:r w:rsidR="00CB0DF0">
              <w:rPr>
                <w:rFonts w:eastAsia="Times New Roman" w:cs="Times New Roman"/>
                <w:color w:val="000000"/>
                <w:sz w:val="20"/>
                <w:szCs w:val="20"/>
              </w:rPr>
              <w:t>5</w:t>
            </w:r>
          </w:p>
        </w:tc>
        <w:tc>
          <w:tcPr>
            <w:tcW w:w="862" w:type="dxa"/>
            <w:tcBorders>
              <w:bottom w:val="single" w:sz="18" w:space="0" w:color="auto"/>
            </w:tcBorders>
            <w:vAlign w:val="center"/>
          </w:tcPr>
          <w:p w:rsidR="00E84E9C" w:rsidRPr="00BF45F4" w:rsidP="00E84E9C" w14:paraId="49D45D27" w14:textId="1728E313">
            <w:pPr>
              <w:widowControl w:val="0"/>
              <w:autoSpaceDE w:val="0"/>
              <w:autoSpaceDN w:val="0"/>
              <w:adjustRightInd w:val="0"/>
              <w:jc w:val="center"/>
              <w:rPr>
                <w:rFonts w:eastAsia="Times New Roman" w:cs="Times New Roman"/>
                <w:b/>
                <w:color w:val="000000"/>
                <w:sz w:val="20"/>
                <w:szCs w:val="20"/>
              </w:rPr>
            </w:pPr>
            <w:r w:rsidRPr="00BF45F4">
              <w:rPr>
                <w:rFonts w:eastAsia="Times New Roman" w:cs="Times New Roman"/>
                <w:b/>
                <w:color w:val="000000"/>
                <w:sz w:val="20"/>
                <w:szCs w:val="20"/>
              </w:rPr>
              <w:t>18</w:t>
            </w:r>
          </w:p>
        </w:tc>
        <w:tc>
          <w:tcPr>
            <w:tcW w:w="1501" w:type="dxa"/>
            <w:tcBorders>
              <w:bottom w:val="single" w:sz="18" w:space="0" w:color="auto"/>
            </w:tcBorders>
            <w:vAlign w:val="center"/>
          </w:tcPr>
          <w:p w:rsidR="00E84E9C" w:rsidRPr="00BF45F4" w:rsidP="00E84E9C" w14:paraId="730672C3" w14:textId="4F7BF27E">
            <w:pPr>
              <w:widowControl w:val="0"/>
              <w:autoSpaceDE w:val="0"/>
              <w:autoSpaceDN w:val="0"/>
              <w:adjustRightInd w:val="0"/>
              <w:jc w:val="center"/>
              <w:rPr>
                <w:rFonts w:eastAsia="Times New Roman" w:cs="Times New Roman"/>
                <w:color w:val="000000"/>
                <w:sz w:val="20"/>
                <w:szCs w:val="20"/>
              </w:rPr>
            </w:pPr>
            <w:r w:rsidRPr="00BF45F4">
              <w:rPr>
                <w:color w:val="000000"/>
                <w:sz w:val="20"/>
                <w:szCs w:val="20"/>
              </w:rPr>
              <w:t>$</w:t>
            </w:r>
            <w:r w:rsidRPr="00285857" w:rsidR="00285857">
              <w:rPr>
                <w:color w:val="000000"/>
                <w:sz w:val="20"/>
                <w:szCs w:val="20"/>
              </w:rPr>
              <w:t>798.3</w:t>
            </w:r>
            <w:r w:rsidR="00285857">
              <w:rPr>
                <w:color w:val="000000"/>
                <w:sz w:val="20"/>
                <w:szCs w:val="20"/>
              </w:rPr>
              <w:t>0</w:t>
            </w:r>
            <w:r w:rsidRPr="00BF45F4">
              <w:rPr>
                <w:color w:val="000000"/>
                <w:sz w:val="20"/>
                <w:szCs w:val="20"/>
              </w:rPr>
              <w:t xml:space="preserve"> </w:t>
            </w:r>
          </w:p>
        </w:tc>
      </w:tr>
      <w:tr w14:paraId="502E65FB" w14:textId="77777777" w:rsidTr="00336819">
        <w:tblPrEx>
          <w:tblW w:w="8527" w:type="dxa"/>
          <w:jc w:val="center"/>
          <w:tblLook w:val="04A0"/>
        </w:tblPrEx>
        <w:trPr>
          <w:jc w:val="center"/>
        </w:trPr>
        <w:tc>
          <w:tcPr>
            <w:tcW w:w="1067" w:type="dxa"/>
            <w:tcBorders>
              <w:top w:val="single" w:sz="18" w:space="0" w:color="auto"/>
            </w:tcBorders>
          </w:tcPr>
          <w:p w:rsidR="00E84E9C" w:rsidRPr="0072049A" w:rsidP="00E84E9C" w14:paraId="5CF81B78" w14:textId="474AC57B">
            <w:pPr>
              <w:widowControl w:val="0"/>
              <w:autoSpaceDE w:val="0"/>
              <w:autoSpaceDN w:val="0"/>
              <w:adjustRightInd w:val="0"/>
              <w:rPr>
                <w:rFonts w:eastAsia="Times New Roman" w:cs="Times New Roman"/>
                <w:color w:val="000000"/>
                <w:sz w:val="16"/>
                <w:szCs w:val="16"/>
              </w:rPr>
            </w:pPr>
            <w:r>
              <w:rPr>
                <w:rFonts w:eastAsia="Times New Roman" w:cs="Times New Roman"/>
                <w:color w:val="000000"/>
                <w:sz w:val="16"/>
                <w:szCs w:val="16"/>
              </w:rPr>
              <w:t>Quant Screening</w:t>
            </w:r>
            <w:r w:rsidRPr="006A290F" w:rsidR="006A290F">
              <w:rPr>
                <w:rFonts w:eastAsia="Times New Roman" w:cs="Times New Roman"/>
                <w:color w:val="000000"/>
                <w:sz w:val="16"/>
                <w:szCs w:val="16"/>
                <w:vertAlign w:val="superscript"/>
              </w:rPr>
              <w:t>8</w:t>
            </w:r>
            <w:r w:rsidRPr="006A290F">
              <w:rPr>
                <w:rFonts w:eastAsia="Times New Roman" w:cs="Times New Roman"/>
                <w:color w:val="000000"/>
                <w:sz w:val="16"/>
                <w:szCs w:val="16"/>
                <w:vertAlign w:val="superscript"/>
              </w:rPr>
              <w:t xml:space="preserve"> </w:t>
            </w:r>
          </w:p>
        </w:tc>
        <w:tc>
          <w:tcPr>
            <w:tcW w:w="1033" w:type="dxa"/>
            <w:tcBorders>
              <w:top w:val="single" w:sz="18" w:space="0" w:color="auto"/>
            </w:tcBorders>
            <w:vAlign w:val="center"/>
          </w:tcPr>
          <w:p w:rsidR="00E84E9C" w:rsidRPr="005B68D4" w:rsidP="00E84E9C" w14:paraId="3542BC56" w14:textId="43BAF498">
            <w:pPr>
              <w:widowControl w:val="0"/>
              <w:autoSpaceDE w:val="0"/>
              <w:autoSpaceDN w:val="0"/>
              <w:adjustRightInd w:val="0"/>
              <w:jc w:val="center"/>
              <w:rPr>
                <w:rFonts w:eastAsia="Times New Roman" w:cs="Times New Roman"/>
                <w:color w:val="000000"/>
                <w:sz w:val="20"/>
                <w:szCs w:val="20"/>
              </w:rPr>
            </w:pPr>
            <w:r>
              <w:rPr>
                <w:rFonts w:eastAsia="Times New Roman" w:cs="Times New Roman"/>
                <w:color w:val="000000"/>
                <w:sz w:val="20"/>
                <w:szCs w:val="20"/>
              </w:rPr>
              <w:t>20</w:t>
            </w:r>
            <w:r w:rsidR="008D45FB">
              <w:rPr>
                <w:rFonts w:eastAsia="Times New Roman" w:cs="Times New Roman"/>
                <w:color w:val="000000"/>
                <w:sz w:val="20"/>
                <w:szCs w:val="20"/>
              </w:rPr>
              <w:t>,</w:t>
            </w:r>
            <w:r>
              <w:rPr>
                <w:rFonts w:eastAsia="Times New Roman" w:cs="Times New Roman"/>
                <w:color w:val="000000"/>
                <w:sz w:val="20"/>
                <w:szCs w:val="20"/>
              </w:rPr>
              <w:t>930</w:t>
            </w:r>
          </w:p>
        </w:tc>
        <w:tc>
          <w:tcPr>
            <w:tcW w:w="905" w:type="dxa"/>
            <w:tcBorders>
              <w:top w:val="single" w:sz="18" w:space="0" w:color="auto"/>
            </w:tcBorders>
            <w:vAlign w:val="center"/>
          </w:tcPr>
          <w:p w:rsidR="00E84E9C" w:rsidRPr="005B68D4" w:rsidP="00E84E9C" w14:paraId="5C3FFEBD" w14:textId="24A1CCE0">
            <w:pPr>
              <w:widowControl w:val="0"/>
              <w:autoSpaceDE w:val="0"/>
              <w:autoSpaceDN w:val="0"/>
              <w:adjustRightInd w:val="0"/>
              <w:jc w:val="center"/>
              <w:rPr>
                <w:rFonts w:eastAsia="Times New Roman" w:cs="Times New Roman"/>
                <w:color w:val="000000"/>
                <w:sz w:val="20"/>
                <w:szCs w:val="20"/>
              </w:rPr>
            </w:pPr>
            <w:r>
              <w:rPr>
                <w:rFonts w:eastAsia="Times New Roman" w:cs="Times New Roman"/>
                <w:color w:val="000000"/>
                <w:sz w:val="20"/>
                <w:szCs w:val="20"/>
              </w:rPr>
              <w:t>20</w:t>
            </w:r>
            <w:r w:rsidR="008D45FB">
              <w:rPr>
                <w:rFonts w:eastAsia="Times New Roman" w:cs="Times New Roman"/>
                <w:color w:val="000000"/>
                <w:sz w:val="20"/>
                <w:szCs w:val="20"/>
              </w:rPr>
              <w:t>,</w:t>
            </w:r>
            <w:r>
              <w:rPr>
                <w:rFonts w:eastAsia="Times New Roman" w:cs="Times New Roman"/>
                <w:color w:val="000000"/>
                <w:sz w:val="20"/>
                <w:szCs w:val="20"/>
              </w:rPr>
              <w:t>930</w:t>
            </w:r>
          </w:p>
        </w:tc>
        <w:tc>
          <w:tcPr>
            <w:tcW w:w="1134" w:type="dxa"/>
            <w:tcBorders>
              <w:top w:val="single" w:sz="18" w:space="0" w:color="auto"/>
            </w:tcBorders>
            <w:vAlign w:val="center"/>
          </w:tcPr>
          <w:p w:rsidR="00E84E9C" w:rsidRPr="005B68D4" w:rsidP="00E84E9C" w14:paraId="1E1C8E26" w14:textId="53DF5844">
            <w:pPr>
              <w:widowControl w:val="0"/>
              <w:autoSpaceDE w:val="0"/>
              <w:autoSpaceDN w:val="0"/>
              <w:adjustRightInd w:val="0"/>
              <w:jc w:val="center"/>
              <w:rPr>
                <w:rFonts w:eastAsia="Times New Roman" w:cs="Times New Roman"/>
                <w:color w:val="000000"/>
                <w:sz w:val="20"/>
                <w:szCs w:val="20"/>
              </w:rPr>
            </w:pPr>
            <w:r w:rsidRPr="005B68D4">
              <w:rPr>
                <w:rFonts w:eastAsia="Times New Roman" w:cs="Times New Roman"/>
                <w:color w:val="000000"/>
                <w:sz w:val="20"/>
                <w:szCs w:val="20"/>
              </w:rPr>
              <w:t>5 min</w:t>
            </w:r>
          </w:p>
        </w:tc>
        <w:tc>
          <w:tcPr>
            <w:tcW w:w="1102" w:type="dxa"/>
            <w:tcBorders>
              <w:top w:val="single" w:sz="18" w:space="0" w:color="auto"/>
            </w:tcBorders>
            <w:vAlign w:val="center"/>
          </w:tcPr>
          <w:p w:rsidR="00E84E9C" w:rsidRPr="00BF45F4" w:rsidP="00E84E9C" w14:paraId="48861A73" w14:textId="69134AAB">
            <w:pPr>
              <w:widowControl w:val="0"/>
              <w:autoSpaceDE w:val="0"/>
              <w:autoSpaceDN w:val="0"/>
              <w:adjustRightInd w:val="0"/>
              <w:jc w:val="center"/>
              <w:rPr>
                <w:rFonts w:eastAsia="Times New Roman" w:cs="Times New Roman"/>
                <w:color w:val="000000"/>
                <w:sz w:val="20"/>
                <w:szCs w:val="20"/>
              </w:rPr>
            </w:pPr>
            <w:r w:rsidRPr="00BF45F4">
              <w:rPr>
                <w:rFonts w:eastAsia="Times New Roman" w:cs="Times New Roman"/>
                <w:color w:val="000000"/>
                <w:sz w:val="20"/>
                <w:szCs w:val="20"/>
              </w:rPr>
              <w:t>$</w:t>
            </w:r>
            <w:r w:rsidR="00757CFB">
              <w:rPr>
                <w:rFonts w:eastAsia="Times New Roman" w:cs="Times New Roman"/>
                <w:color w:val="000000"/>
                <w:sz w:val="20"/>
                <w:szCs w:val="20"/>
              </w:rPr>
              <w:t>44</w:t>
            </w:r>
            <w:r w:rsidRPr="00BF45F4" w:rsidR="00757CFB">
              <w:rPr>
                <w:rFonts w:eastAsia="Times New Roman" w:cs="Times New Roman"/>
                <w:color w:val="000000"/>
                <w:sz w:val="20"/>
                <w:szCs w:val="20"/>
              </w:rPr>
              <w:t>.3</w:t>
            </w:r>
            <w:r w:rsidR="00757CFB">
              <w:rPr>
                <w:rFonts w:eastAsia="Times New Roman" w:cs="Times New Roman"/>
                <w:color w:val="000000"/>
                <w:sz w:val="20"/>
                <w:szCs w:val="20"/>
              </w:rPr>
              <w:t>5</w:t>
            </w:r>
          </w:p>
        </w:tc>
        <w:tc>
          <w:tcPr>
            <w:tcW w:w="923" w:type="dxa"/>
            <w:tcBorders>
              <w:top w:val="single" w:sz="18" w:space="0" w:color="auto"/>
            </w:tcBorders>
            <w:vAlign w:val="center"/>
          </w:tcPr>
          <w:p w:rsidR="00E84E9C" w:rsidRPr="00BF45F4" w:rsidP="00E84E9C" w14:paraId="5BB19507" w14:textId="2732A121">
            <w:pPr>
              <w:widowControl w:val="0"/>
              <w:autoSpaceDE w:val="0"/>
              <w:autoSpaceDN w:val="0"/>
              <w:adjustRightInd w:val="0"/>
              <w:jc w:val="center"/>
              <w:rPr>
                <w:rFonts w:eastAsia="Times New Roman" w:cs="Times New Roman"/>
                <w:color w:val="000000"/>
                <w:sz w:val="20"/>
                <w:szCs w:val="20"/>
              </w:rPr>
            </w:pPr>
            <w:r w:rsidRPr="00BF45F4">
              <w:rPr>
                <w:color w:val="000000"/>
                <w:sz w:val="20"/>
                <w:szCs w:val="20"/>
              </w:rPr>
              <w:t>$</w:t>
            </w:r>
            <w:r w:rsidR="00CB0DF0">
              <w:rPr>
                <w:color w:val="000000"/>
                <w:sz w:val="20"/>
                <w:szCs w:val="20"/>
              </w:rPr>
              <w:t>3.70</w:t>
            </w:r>
          </w:p>
        </w:tc>
        <w:tc>
          <w:tcPr>
            <w:tcW w:w="862" w:type="dxa"/>
            <w:tcBorders>
              <w:top w:val="single" w:sz="18" w:space="0" w:color="auto"/>
            </w:tcBorders>
            <w:vAlign w:val="center"/>
          </w:tcPr>
          <w:p w:rsidR="00E84E9C" w:rsidRPr="00BF45F4" w:rsidP="00E84E9C" w14:paraId="46AF12EC" w14:textId="4D1E9770">
            <w:pPr>
              <w:widowControl w:val="0"/>
              <w:autoSpaceDE w:val="0"/>
              <w:autoSpaceDN w:val="0"/>
              <w:adjustRightInd w:val="0"/>
              <w:jc w:val="center"/>
              <w:rPr>
                <w:rFonts w:eastAsia="Times New Roman" w:cs="Times New Roman"/>
                <w:b/>
                <w:color w:val="000000"/>
                <w:sz w:val="20"/>
                <w:szCs w:val="20"/>
              </w:rPr>
            </w:pPr>
            <w:r w:rsidRPr="00BF45F4">
              <w:rPr>
                <w:rFonts w:eastAsia="Times New Roman" w:cs="Times New Roman"/>
                <w:b/>
                <w:color w:val="000000"/>
                <w:sz w:val="20"/>
                <w:szCs w:val="20"/>
              </w:rPr>
              <w:t>1745</w:t>
            </w:r>
          </w:p>
        </w:tc>
        <w:tc>
          <w:tcPr>
            <w:tcW w:w="1501" w:type="dxa"/>
            <w:tcBorders>
              <w:top w:val="single" w:sz="18" w:space="0" w:color="auto"/>
            </w:tcBorders>
            <w:vAlign w:val="center"/>
          </w:tcPr>
          <w:p w:rsidR="00E84E9C" w:rsidRPr="00BF45F4" w:rsidP="00E84E9C" w14:paraId="4575B85B" w14:textId="5A375ECE">
            <w:pPr>
              <w:widowControl w:val="0"/>
              <w:autoSpaceDE w:val="0"/>
              <w:autoSpaceDN w:val="0"/>
              <w:adjustRightInd w:val="0"/>
              <w:jc w:val="center"/>
              <w:rPr>
                <w:rFonts w:eastAsia="Times New Roman" w:cs="Times New Roman"/>
                <w:color w:val="000000"/>
                <w:sz w:val="20"/>
                <w:szCs w:val="20"/>
              </w:rPr>
            </w:pPr>
            <w:r w:rsidRPr="00BF45F4">
              <w:rPr>
                <w:color w:val="000000"/>
                <w:sz w:val="20"/>
                <w:szCs w:val="20"/>
              </w:rPr>
              <w:t>$</w:t>
            </w:r>
            <w:r w:rsidRPr="00285857" w:rsidR="00285857">
              <w:rPr>
                <w:color w:val="000000"/>
                <w:sz w:val="20"/>
                <w:szCs w:val="20"/>
              </w:rPr>
              <w:t>77</w:t>
            </w:r>
            <w:r w:rsidR="00285857">
              <w:rPr>
                <w:color w:val="000000"/>
                <w:sz w:val="20"/>
                <w:szCs w:val="20"/>
              </w:rPr>
              <w:t>,</w:t>
            </w:r>
            <w:r w:rsidRPr="00285857" w:rsidR="00285857">
              <w:rPr>
                <w:color w:val="000000"/>
                <w:sz w:val="20"/>
                <w:szCs w:val="20"/>
              </w:rPr>
              <w:t>390.75</w:t>
            </w:r>
          </w:p>
        </w:tc>
      </w:tr>
      <w:tr w14:paraId="5798D49E" w14:textId="77777777" w:rsidTr="00336819">
        <w:tblPrEx>
          <w:tblW w:w="8527" w:type="dxa"/>
          <w:jc w:val="center"/>
          <w:tblLook w:val="04A0"/>
        </w:tblPrEx>
        <w:trPr>
          <w:jc w:val="center"/>
        </w:trPr>
        <w:tc>
          <w:tcPr>
            <w:tcW w:w="1067" w:type="dxa"/>
            <w:tcBorders>
              <w:bottom w:val="single" w:sz="18" w:space="0" w:color="auto"/>
            </w:tcBorders>
          </w:tcPr>
          <w:p w:rsidR="00E84E9C" w:rsidRPr="0072049A" w:rsidP="00E84E9C" w14:paraId="3BA9F2DD" w14:textId="7FD9287B">
            <w:pPr>
              <w:widowControl w:val="0"/>
              <w:autoSpaceDE w:val="0"/>
              <w:autoSpaceDN w:val="0"/>
              <w:adjustRightInd w:val="0"/>
              <w:rPr>
                <w:rFonts w:eastAsia="Times New Roman" w:cs="Times New Roman"/>
                <w:color w:val="000000"/>
                <w:sz w:val="16"/>
                <w:szCs w:val="16"/>
              </w:rPr>
            </w:pPr>
            <w:r>
              <w:rPr>
                <w:rFonts w:eastAsia="Times New Roman" w:cs="Times New Roman"/>
                <w:color w:val="000000"/>
                <w:sz w:val="16"/>
                <w:szCs w:val="16"/>
              </w:rPr>
              <w:t xml:space="preserve">Quant </w:t>
            </w:r>
            <w:r w:rsidR="002C10B1">
              <w:rPr>
                <w:rFonts w:eastAsia="Times New Roman" w:cs="Times New Roman"/>
                <w:color w:val="000000"/>
                <w:sz w:val="16"/>
                <w:szCs w:val="16"/>
              </w:rPr>
              <w:t>F</w:t>
            </w:r>
            <w:r>
              <w:rPr>
                <w:rFonts w:eastAsia="Times New Roman" w:cs="Times New Roman"/>
                <w:color w:val="000000"/>
                <w:sz w:val="16"/>
                <w:szCs w:val="16"/>
              </w:rPr>
              <w:t>ielding</w:t>
            </w:r>
          </w:p>
        </w:tc>
        <w:tc>
          <w:tcPr>
            <w:tcW w:w="1033" w:type="dxa"/>
            <w:tcBorders>
              <w:bottom w:val="single" w:sz="18" w:space="0" w:color="auto"/>
            </w:tcBorders>
            <w:vAlign w:val="center"/>
          </w:tcPr>
          <w:p w:rsidR="00E84E9C" w:rsidRPr="005B68D4" w:rsidP="00E84E9C" w14:paraId="01D6DEE8" w14:textId="2B091892">
            <w:pPr>
              <w:widowControl w:val="0"/>
              <w:autoSpaceDE w:val="0"/>
              <w:autoSpaceDN w:val="0"/>
              <w:adjustRightInd w:val="0"/>
              <w:jc w:val="center"/>
              <w:rPr>
                <w:rFonts w:eastAsia="Times New Roman" w:cs="Times New Roman"/>
                <w:color w:val="000000"/>
                <w:sz w:val="20"/>
                <w:szCs w:val="20"/>
              </w:rPr>
            </w:pPr>
            <w:r w:rsidRPr="005B68D4">
              <w:rPr>
                <w:rFonts w:eastAsia="Times New Roman" w:cs="Times New Roman"/>
                <w:color w:val="000000"/>
                <w:sz w:val="20"/>
                <w:szCs w:val="20"/>
              </w:rPr>
              <w:t>5</w:t>
            </w:r>
            <w:r w:rsidR="008D45FB">
              <w:rPr>
                <w:rFonts w:eastAsia="Times New Roman" w:cs="Times New Roman"/>
                <w:color w:val="000000"/>
                <w:sz w:val="20"/>
                <w:szCs w:val="20"/>
              </w:rPr>
              <w:t>,</w:t>
            </w:r>
            <w:r w:rsidR="0089294D">
              <w:rPr>
                <w:rFonts w:eastAsia="Times New Roman" w:cs="Times New Roman"/>
                <w:color w:val="000000"/>
                <w:sz w:val="20"/>
                <w:szCs w:val="20"/>
              </w:rPr>
              <w:t>400</w:t>
            </w:r>
          </w:p>
        </w:tc>
        <w:tc>
          <w:tcPr>
            <w:tcW w:w="905" w:type="dxa"/>
            <w:tcBorders>
              <w:bottom w:val="single" w:sz="18" w:space="0" w:color="auto"/>
            </w:tcBorders>
            <w:vAlign w:val="center"/>
          </w:tcPr>
          <w:p w:rsidR="00E84E9C" w:rsidRPr="005B68D4" w:rsidP="00E84E9C" w14:paraId="2B321CDC" w14:textId="3F041122">
            <w:pPr>
              <w:widowControl w:val="0"/>
              <w:autoSpaceDE w:val="0"/>
              <w:autoSpaceDN w:val="0"/>
              <w:adjustRightInd w:val="0"/>
              <w:jc w:val="center"/>
              <w:rPr>
                <w:rFonts w:eastAsia="Times New Roman" w:cs="Times New Roman"/>
                <w:color w:val="000000"/>
                <w:sz w:val="20"/>
                <w:szCs w:val="20"/>
              </w:rPr>
            </w:pPr>
            <w:r w:rsidRPr="005B68D4">
              <w:rPr>
                <w:rFonts w:eastAsia="Times New Roman" w:cs="Times New Roman"/>
                <w:color w:val="000000"/>
                <w:sz w:val="20"/>
                <w:szCs w:val="20"/>
              </w:rPr>
              <w:t>5</w:t>
            </w:r>
            <w:r w:rsidR="008D45FB">
              <w:rPr>
                <w:rFonts w:eastAsia="Times New Roman" w:cs="Times New Roman"/>
                <w:color w:val="000000"/>
                <w:sz w:val="20"/>
                <w:szCs w:val="20"/>
              </w:rPr>
              <w:t>,</w:t>
            </w:r>
            <w:r w:rsidR="0089294D">
              <w:rPr>
                <w:rFonts w:eastAsia="Times New Roman" w:cs="Times New Roman"/>
                <w:color w:val="000000"/>
                <w:sz w:val="20"/>
                <w:szCs w:val="20"/>
              </w:rPr>
              <w:t>400</w:t>
            </w:r>
          </w:p>
        </w:tc>
        <w:tc>
          <w:tcPr>
            <w:tcW w:w="1134" w:type="dxa"/>
            <w:tcBorders>
              <w:bottom w:val="single" w:sz="18" w:space="0" w:color="auto"/>
            </w:tcBorders>
            <w:vAlign w:val="center"/>
          </w:tcPr>
          <w:p w:rsidR="00E84E9C" w:rsidRPr="005B68D4" w:rsidP="00E84E9C" w14:paraId="3C89EEB4" w14:textId="4B7FC0DF">
            <w:pPr>
              <w:widowControl w:val="0"/>
              <w:autoSpaceDE w:val="0"/>
              <w:autoSpaceDN w:val="0"/>
              <w:adjustRightInd w:val="0"/>
              <w:jc w:val="center"/>
              <w:rPr>
                <w:rFonts w:eastAsia="Times New Roman" w:cs="Times New Roman"/>
                <w:color w:val="000000"/>
                <w:sz w:val="20"/>
                <w:szCs w:val="20"/>
              </w:rPr>
            </w:pPr>
            <w:r w:rsidRPr="005B68D4">
              <w:rPr>
                <w:rFonts w:eastAsia="Times New Roman" w:cs="Times New Roman"/>
                <w:color w:val="000000"/>
                <w:sz w:val="20"/>
                <w:szCs w:val="20"/>
              </w:rPr>
              <w:t>2</w:t>
            </w:r>
            <w:r w:rsidR="00F218D0">
              <w:rPr>
                <w:rFonts w:eastAsia="Times New Roman" w:cs="Times New Roman"/>
                <w:color w:val="000000"/>
                <w:sz w:val="20"/>
                <w:szCs w:val="20"/>
              </w:rPr>
              <w:t>3</w:t>
            </w:r>
            <w:r w:rsidRPr="005B68D4">
              <w:rPr>
                <w:rFonts w:eastAsia="Times New Roman" w:cs="Times New Roman"/>
                <w:color w:val="000000"/>
                <w:sz w:val="20"/>
                <w:szCs w:val="20"/>
              </w:rPr>
              <w:t xml:space="preserve"> min</w:t>
            </w:r>
          </w:p>
        </w:tc>
        <w:tc>
          <w:tcPr>
            <w:tcW w:w="1102" w:type="dxa"/>
            <w:tcBorders>
              <w:bottom w:val="single" w:sz="18" w:space="0" w:color="auto"/>
            </w:tcBorders>
            <w:vAlign w:val="center"/>
          </w:tcPr>
          <w:p w:rsidR="00E84E9C" w:rsidRPr="00BF45F4" w:rsidP="00E84E9C" w14:paraId="12974483" w14:textId="5AB48384">
            <w:pPr>
              <w:widowControl w:val="0"/>
              <w:autoSpaceDE w:val="0"/>
              <w:autoSpaceDN w:val="0"/>
              <w:adjustRightInd w:val="0"/>
              <w:jc w:val="center"/>
              <w:rPr>
                <w:rFonts w:eastAsia="Times New Roman" w:cs="Times New Roman"/>
                <w:color w:val="000000"/>
                <w:sz w:val="20"/>
                <w:szCs w:val="20"/>
              </w:rPr>
            </w:pPr>
            <w:r w:rsidRPr="00BF45F4">
              <w:rPr>
                <w:rFonts w:eastAsia="Times New Roman" w:cs="Times New Roman"/>
                <w:color w:val="000000"/>
                <w:sz w:val="20"/>
                <w:szCs w:val="20"/>
              </w:rPr>
              <w:t>$</w:t>
            </w:r>
            <w:r w:rsidR="00757CFB">
              <w:rPr>
                <w:rFonts w:eastAsia="Times New Roman" w:cs="Times New Roman"/>
                <w:color w:val="000000"/>
                <w:sz w:val="20"/>
                <w:szCs w:val="20"/>
              </w:rPr>
              <w:t>44</w:t>
            </w:r>
            <w:r w:rsidRPr="00BF45F4" w:rsidR="00757CFB">
              <w:rPr>
                <w:rFonts w:eastAsia="Times New Roman" w:cs="Times New Roman"/>
                <w:color w:val="000000"/>
                <w:sz w:val="20"/>
                <w:szCs w:val="20"/>
              </w:rPr>
              <w:t>.3</w:t>
            </w:r>
            <w:r w:rsidR="00757CFB">
              <w:rPr>
                <w:rFonts w:eastAsia="Times New Roman" w:cs="Times New Roman"/>
                <w:color w:val="000000"/>
                <w:sz w:val="20"/>
                <w:szCs w:val="20"/>
              </w:rPr>
              <w:t>5</w:t>
            </w:r>
          </w:p>
        </w:tc>
        <w:tc>
          <w:tcPr>
            <w:tcW w:w="923" w:type="dxa"/>
            <w:tcBorders>
              <w:bottom w:val="single" w:sz="18" w:space="0" w:color="auto"/>
            </w:tcBorders>
            <w:vAlign w:val="center"/>
          </w:tcPr>
          <w:p w:rsidR="00E84E9C" w:rsidRPr="00BF45F4" w:rsidP="00E84E9C" w14:paraId="502C1641" w14:textId="07469675">
            <w:pPr>
              <w:widowControl w:val="0"/>
              <w:autoSpaceDE w:val="0"/>
              <w:autoSpaceDN w:val="0"/>
              <w:adjustRightInd w:val="0"/>
              <w:jc w:val="center"/>
              <w:rPr>
                <w:rFonts w:eastAsia="Times New Roman" w:cs="Times New Roman"/>
                <w:color w:val="000000"/>
                <w:sz w:val="20"/>
                <w:szCs w:val="20"/>
              </w:rPr>
            </w:pPr>
            <w:r w:rsidRPr="00BF45F4">
              <w:rPr>
                <w:color w:val="000000"/>
                <w:sz w:val="20"/>
                <w:szCs w:val="20"/>
              </w:rPr>
              <w:t>$1</w:t>
            </w:r>
            <w:r w:rsidR="00DD102D">
              <w:rPr>
                <w:color w:val="000000"/>
                <w:sz w:val="20"/>
                <w:szCs w:val="20"/>
              </w:rPr>
              <w:t>7</w:t>
            </w:r>
            <w:r w:rsidRPr="00BF45F4">
              <w:rPr>
                <w:color w:val="000000"/>
                <w:sz w:val="20"/>
                <w:szCs w:val="20"/>
              </w:rPr>
              <w:t>.</w:t>
            </w:r>
            <w:r w:rsidR="00DD102D">
              <w:rPr>
                <w:color w:val="000000"/>
                <w:sz w:val="20"/>
                <w:szCs w:val="20"/>
              </w:rPr>
              <w:t>00</w:t>
            </w:r>
          </w:p>
        </w:tc>
        <w:tc>
          <w:tcPr>
            <w:tcW w:w="862" w:type="dxa"/>
            <w:tcBorders>
              <w:bottom w:val="single" w:sz="18" w:space="0" w:color="auto"/>
            </w:tcBorders>
            <w:vAlign w:val="center"/>
          </w:tcPr>
          <w:p w:rsidR="00E84E9C" w:rsidRPr="00BF45F4" w:rsidP="00E84E9C" w14:paraId="465E8C16" w14:textId="395AEA96">
            <w:pPr>
              <w:widowControl w:val="0"/>
              <w:autoSpaceDE w:val="0"/>
              <w:autoSpaceDN w:val="0"/>
              <w:adjustRightInd w:val="0"/>
              <w:jc w:val="center"/>
              <w:rPr>
                <w:rFonts w:eastAsia="Times New Roman" w:cs="Times New Roman"/>
                <w:b/>
                <w:color w:val="000000"/>
                <w:sz w:val="20"/>
                <w:szCs w:val="20"/>
              </w:rPr>
            </w:pPr>
            <w:r>
              <w:rPr>
                <w:rFonts w:eastAsia="Times New Roman" w:cs="Times New Roman"/>
                <w:b/>
                <w:color w:val="000000"/>
                <w:sz w:val="20"/>
                <w:szCs w:val="20"/>
              </w:rPr>
              <w:t>2070</w:t>
            </w:r>
          </w:p>
        </w:tc>
        <w:tc>
          <w:tcPr>
            <w:tcW w:w="1501" w:type="dxa"/>
            <w:tcBorders>
              <w:bottom w:val="single" w:sz="18" w:space="0" w:color="auto"/>
            </w:tcBorders>
            <w:vAlign w:val="center"/>
          </w:tcPr>
          <w:p w:rsidR="00E84E9C" w:rsidRPr="00BF45F4" w:rsidP="00E84E9C" w14:paraId="343104FB" w14:textId="08399425">
            <w:pPr>
              <w:widowControl w:val="0"/>
              <w:autoSpaceDE w:val="0"/>
              <w:autoSpaceDN w:val="0"/>
              <w:adjustRightInd w:val="0"/>
              <w:jc w:val="center"/>
              <w:rPr>
                <w:rFonts w:eastAsia="Times New Roman" w:cs="Times New Roman"/>
                <w:color w:val="000000"/>
                <w:sz w:val="20"/>
                <w:szCs w:val="20"/>
              </w:rPr>
            </w:pPr>
            <w:r w:rsidRPr="00BF45F4">
              <w:rPr>
                <w:rFonts w:eastAsia="Times New Roman" w:cs="Times New Roman"/>
                <w:color w:val="000000"/>
                <w:sz w:val="20"/>
                <w:szCs w:val="20"/>
              </w:rPr>
              <w:t>$</w:t>
            </w:r>
            <w:r w:rsidRPr="00837AE0" w:rsidR="00837AE0">
              <w:rPr>
                <w:rFonts w:eastAsia="Times New Roman" w:cs="Times New Roman"/>
                <w:color w:val="000000"/>
                <w:sz w:val="20"/>
                <w:szCs w:val="20"/>
              </w:rPr>
              <w:t>91</w:t>
            </w:r>
            <w:r w:rsidR="00837AE0">
              <w:rPr>
                <w:rFonts w:eastAsia="Times New Roman" w:cs="Times New Roman"/>
                <w:color w:val="000000"/>
                <w:sz w:val="20"/>
                <w:szCs w:val="20"/>
              </w:rPr>
              <w:t>,</w:t>
            </w:r>
            <w:r w:rsidRPr="00837AE0" w:rsidR="00837AE0">
              <w:rPr>
                <w:rFonts w:eastAsia="Times New Roman" w:cs="Times New Roman"/>
                <w:color w:val="000000"/>
                <w:sz w:val="20"/>
                <w:szCs w:val="20"/>
              </w:rPr>
              <w:t>804.5</w:t>
            </w:r>
            <w:r w:rsidR="00837AE0">
              <w:rPr>
                <w:rFonts w:eastAsia="Times New Roman" w:cs="Times New Roman"/>
                <w:color w:val="000000"/>
                <w:sz w:val="20"/>
                <w:szCs w:val="20"/>
              </w:rPr>
              <w:t>0</w:t>
            </w:r>
          </w:p>
        </w:tc>
      </w:tr>
      <w:tr w14:paraId="6DEBA83D" w14:textId="77777777" w:rsidTr="00124E3B">
        <w:tblPrEx>
          <w:tblW w:w="8527" w:type="dxa"/>
          <w:jc w:val="center"/>
          <w:tblLook w:val="04A0"/>
        </w:tblPrEx>
        <w:trPr>
          <w:jc w:val="center"/>
        </w:trPr>
        <w:tc>
          <w:tcPr>
            <w:tcW w:w="1067" w:type="dxa"/>
            <w:tcBorders>
              <w:top w:val="single" w:sz="18" w:space="0" w:color="auto"/>
            </w:tcBorders>
            <w:vAlign w:val="center"/>
          </w:tcPr>
          <w:p w:rsidR="00E84E9C" w:rsidRPr="0072049A" w:rsidP="00E84E9C" w14:paraId="1D219D86" w14:textId="7C84529E">
            <w:pPr>
              <w:widowControl w:val="0"/>
              <w:autoSpaceDE w:val="0"/>
              <w:autoSpaceDN w:val="0"/>
              <w:adjustRightInd w:val="0"/>
              <w:rPr>
                <w:rFonts w:eastAsia="Times New Roman" w:cs="Times New Roman"/>
                <w:color w:val="000000"/>
                <w:sz w:val="16"/>
                <w:szCs w:val="16"/>
              </w:rPr>
            </w:pPr>
            <w:r>
              <w:rPr>
                <w:rFonts w:eastAsia="Times New Roman" w:cs="Times New Roman"/>
                <w:color w:val="000000"/>
                <w:sz w:val="16"/>
                <w:szCs w:val="16"/>
              </w:rPr>
              <w:t>TOTAL</w:t>
            </w:r>
          </w:p>
        </w:tc>
        <w:tc>
          <w:tcPr>
            <w:tcW w:w="1033" w:type="dxa"/>
            <w:tcBorders>
              <w:top w:val="single" w:sz="18" w:space="0" w:color="auto"/>
            </w:tcBorders>
            <w:vAlign w:val="center"/>
          </w:tcPr>
          <w:p w:rsidR="00E84E9C" w:rsidRPr="005B68D4" w:rsidP="00E84E9C" w14:paraId="2DA4D547" w14:textId="77777777">
            <w:pPr>
              <w:widowControl w:val="0"/>
              <w:autoSpaceDE w:val="0"/>
              <w:autoSpaceDN w:val="0"/>
              <w:adjustRightInd w:val="0"/>
              <w:jc w:val="center"/>
              <w:rPr>
                <w:rFonts w:eastAsia="Times New Roman" w:cs="Times New Roman"/>
                <w:color w:val="000000"/>
                <w:sz w:val="20"/>
                <w:szCs w:val="20"/>
              </w:rPr>
            </w:pPr>
          </w:p>
        </w:tc>
        <w:tc>
          <w:tcPr>
            <w:tcW w:w="905" w:type="dxa"/>
            <w:tcBorders>
              <w:top w:val="single" w:sz="18" w:space="0" w:color="auto"/>
            </w:tcBorders>
            <w:vAlign w:val="center"/>
          </w:tcPr>
          <w:p w:rsidR="00E84E9C" w:rsidRPr="005B68D4" w:rsidP="00E84E9C" w14:paraId="2796D618" w14:textId="77777777">
            <w:pPr>
              <w:widowControl w:val="0"/>
              <w:autoSpaceDE w:val="0"/>
              <w:autoSpaceDN w:val="0"/>
              <w:adjustRightInd w:val="0"/>
              <w:jc w:val="center"/>
              <w:rPr>
                <w:rFonts w:eastAsia="Times New Roman" w:cs="Times New Roman"/>
                <w:color w:val="000000"/>
                <w:sz w:val="20"/>
                <w:szCs w:val="20"/>
              </w:rPr>
            </w:pPr>
          </w:p>
        </w:tc>
        <w:tc>
          <w:tcPr>
            <w:tcW w:w="1134" w:type="dxa"/>
            <w:tcBorders>
              <w:top w:val="single" w:sz="18" w:space="0" w:color="auto"/>
            </w:tcBorders>
            <w:vAlign w:val="center"/>
          </w:tcPr>
          <w:p w:rsidR="00E84E9C" w:rsidRPr="005B68D4" w:rsidP="00E84E9C" w14:paraId="60A00D44" w14:textId="77777777">
            <w:pPr>
              <w:widowControl w:val="0"/>
              <w:autoSpaceDE w:val="0"/>
              <w:autoSpaceDN w:val="0"/>
              <w:adjustRightInd w:val="0"/>
              <w:jc w:val="center"/>
              <w:rPr>
                <w:rFonts w:eastAsia="Times New Roman" w:cs="Times New Roman"/>
                <w:color w:val="000000"/>
                <w:sz w:val="20"/>
                <w:szCs w:val="20"/>
              </w:rPr>
            </w:pPr>
          </w:p>
        </w:tc>
        <w:tc>
          <w:tcPr>
            <w:tcW w:w="1102" w:type="dxa"/>
            <w:tcBorders>
              <w:top w:val="single" w:sz="18" w:space="0" w:color="auto"/>
            </w:tcBorders>
            <w:vAlign w:val="center"/>
          </w:tcPr>
          <w:p w:rsidR="00E84E9C" w:rsidRPr="00BF45F4" w:rsidP="00E84E9C" w14:paraId="7729CC88" w14:textId="77777777">
            <w:pPr>
              <w:widowControl w:val="0"/>
              <w:autoSpaceDE w:val="0"/>
              <w:autoSpaceDN w:val="0"/>
              <w:adjustRightInd w:val="0"/>
              <w:jc w:val="center"/>
              <w:rPr>
                <w:rFonts w:eastAsia="Times New Roman" w:cs="Times New Roman"/>
                <w:color w:val="000000"/>
                <w:sz w:val="20"/>
                <w:szCs w:val="20"/>
              </w:rPr>
            </w:pPr>
          </w:p>
        </w:tc>
        <w:tc>
          <w:tcPr>
            <w:tcW w:w="923" w:type="dxa"/>
            <w:tcBorders>
              <w:top w:val="single" w:sz="18" w:space="0" w:color="auto"/>
            </w:tcBorders>
            <w:vAlign w:val="center"/>
          </w:tcPr>
          <w:p w:rsidR="00E84E9C" w:rsidRPr="00BF45F4" w:rsidP="00290D1A" w14:paraId="19986DA7" w14:textId="7319190F">
            <w:pPr>
              <w:widowControl w:val="0"/>
              <w:autoSpaceDE w:val="0"/>
              <w:autoSpaceDN w:val="0"/>
              <w:adjustRightInd w:val="0"/>
              <w:jc w:val="center"/>
              <w:rPr>
                <w:rFonts w:eastAsia="Times New Roman" w:cs="Times New Roman"/>
                <w:color w:val="000000"/>
                <w:sz w:val="20"/>
                <w:szCs w:val="20"/>
              </w:rPr>
            </w:pPr>
          </w:p>
        </w:tc>
        <w:tc>
          <w:tcPr>
            <w:tcW w:w="862" w:type="dxa"/>
            <w:tcBorders>
              <w:top w:val="single" w:sz="18" w:space="0" w:color="auto"/>
            </w:tcBorders>
            <w:vAlign w:val="center"/>
          </w:tcPr>
          <w:p w:rsidR="00E84E9C" w:rsidRPr="00BF45F4" w:rsidP="00E84E9C" w14:paraId="07B3570B" w14:textId="7E015539">
            <w:pPr>
              <w:widowControl w:val="0"/>
              <w:autoSpaceDE w:val="0"/>
              <w:autoSpaceDN w:val="0"/>
              <w:adjustRightInd w:val="0"/>
              <w:jc w:val="center"/>
              <w:rPr>
                <w:rFonts w:eastAsia="Times New Roman" w:cs="Times New Roman"/>
                <w:b/>
                <w:color w:val="000000"/>
                <w:sz w:val="20"/>
                <w:szCs w:val="20"/>
              </w:rPr>
            </w:pPr>
            <w:bookmarkStart w:id="27" w:name="_Hlk134803462"/>
            <w:r w:rsidRPr="00BF45F4">
              <w:rPr>
                <w:rFonts w:eastAsia="Times New Roman" w:cs="Times New Roman"/>
                <w:b/>
                <w:color w:val="000000"/>
                <w:sz w:val="20"/>
                <w:szCs w:val="20"/>
              </w:rPr>
              <w:t>3</w:t>
            </w:r>
            <w:r w:rsidR="00245241">
              <w:rPr>
                <w:rFonts w:eastAsia="Times New Roman" w:cs="Times New Roman"/>
                <w:b/>
                <w:color w:val="000000"/>
                <w:sz w:val="20"/>
                <w:szCs w:val="20"/>
              </w:rPr>
              <w:t>84</w:t>
            </w:r>
            <w:r w:rsidR="00F60C36">
              <w:rPr>
                <w:rFonts w:eastAsia="Times New Roman" w:cs="Times New Roman"/>
                <w:b/>
                <w:color w:val="000000"/>
                <w:sz w:val="20"/>
                <w:szCs w:val="20"/>
              </w:rPr>
              <w:t>5</w:t>
            </w:r>
            <w:bookmarkEnd w:id="27"/>
          </w:p>
        </w:tc>
        <w:tc>
          <w:tcPr>
            <w:tcW w:w="1501" w:type="dxa"/>
            <w:tcBorders>
              <w:top w:val="single" w:sz="18" w:space="0" w:color="auto"/>
            </w:tcBorders>
            <w:vAlign w:val="center"/>
          </w:tcPr>
          <w:p w:rsidR="00E84E9C" w:rsidRPr="00BF45F4" w:rsidP="00E84E9C" w14:paraId="061EFD64" w14:textId="0690F95C">
            <w:pPr>
              <w:widowControl w:val="0"/>
              <w:autoSpaceDE w:val="0"/>
              <w:autoSpaceDN w:val="0"/>
              <w:adjustRightInd w:val="0"/>
              <w:jc w:val="center"/>
              <w:rPr>
                <w:rFonts w:eastAsia="Times New Roman" w:cs="Times New Roman"/>
                <w:color w:val="000000"/>
                <w:sz w:val="20"/>
                <w:szCs w:val="20"/>
              </w:rPr>
            </w:pPr>
            <w:r w:rsidRPr="00BF45F4">
              <w:rPr>
                <w:b/>
                <w:bCs/>
                <w:color w:val="000000"/>
                <w:sz w:val="20"/>
                <w:szCs w:val="20"/>
              </w:rPr>
              <w:t>$</w:t>
            </w:r>
            <w:r w:rsidRPr="00837AE0" w:rsidR="00837AE0">
              <w:rPr>
                <w:b/>
                <w:bCs/>
                <w:color w:val="000000"/>
                <w:sz w:val="20"/>
                <w:szCs w:val="20"/>
              </w:rPr>
              <w:t>170</w:t>
            </w:r>
            <w:r w:rsidR="00837AE0">
              <w:rPr>
                <w:b/>
                <w:bCs/>
                <w:color w:val="000000"/>
                <w:sz w:val="20"/>
                <w:szCs w:val="20"/>
              </w:rPr>
              <w:t>,</w:t>
            </w:r>
            <w:r w:rsidRPr="00837AE0" w:rsidR="00837AE0">
              <w:rPr>
                <w:b/>
                <w:bCs/>
                <w:color w:val="000000"/>
                <w:sz w:val="20"/>
                <w:szCs w:val="20"/>
              </w:rPr>
              <w:t>525.75</w:t>
            </w:r>
          </w:p>
        </w:tc>
      </w:tr>
    </w:tbl>
    <w:p w:rsidR="00D173DB" w:rsidP="00396E3F" w14:paraId="0A1EB252" w14:textId="77777777">
      <w:pPr>
        <w:autoSpaceDE w:val="0"/>
        <w:autoSpaceDN w:val="0"/>
        <w:adjustRightInd w:val="0"/>
        <w:spacing w:after="0" w:line="240" w:lineRule="auto"/>
        <w:ind w:right="360"/>
        <w:contextualSpacing/>
        <w:rPr>
          <w:rFonts w:cs="Times New Roman"/>
          <w:sz w:val="22"/>
          <w:highlight w:val="yellow"/>
        </w:rPr>
      </w:pPr>
    </w:p>
    <w:p w:rsidR="00396E3F" w:rsidP="00396E3F" w14:paraId="1D2EB63C" w14:textId="77777777">
      <w:pPr>
        <w:autoSpaceDE w:val="0"/>
        <w:autoSpaceDN w:val="0"/>
        <w:adjustRightInd w:val="0"/>
        <w:spacing w:after="0" w:line="240" w:lineRule="auto"/>
        <w:ind w:right="360"/>
        <w:contextualSpacing/>
        <w:rPr>
          <w:rFonts w:cs="Times New Roman"/>
          <w:sz w:val="22"/>
          <w:highlight w:val="yellow"/>
        </w:rPr>
      </w:pPr>
    </w:p>
    <w:p w:rsidR="00396E3F" w:rsidRPr="0069588D" w:rsidP="00396E3F" w14:paraId="25050B31" w14:textId="77777777">
      <w:pPr>
        <w:autoSpaceDE w:val="0"/>
        <w:autoSpaceDN w:val="0"/>
        <w:adjustRightInd w:val="0"/>
        <w:spacing w:after="0" w:line="240" w:lineRule="auto"/>
        <w:ind w:right="360"/>
        <w:contextualSpacing/>
        <w:rPr>
          <w:rFonts w:cs="Times New Roman"/>
          <w:sz w:val="22"/>
          <w:highlight w:val="yellow"/>
        </w:rPr>
      </w:pPr>
    </w:p>
    <w:p w:rsidR="00DF3DC9" w:rsidRPr="00E9530E" w:rsidP="00934994" w14:paraId="2A4A88BB" w14:textId="10AED3D8">
      <w:pPr>
        <w:pStyle w:val="ListParagraph"/>
        <w:numPr>
          <w:ilvl w:val="0"/>
          <w:numId w:val="1"/>
        </w:numPr>
        <w:autoSpaceDE w:val="0"/>
        <w:autoSpaceDN w:val="0"/>
        <w:adjustRightInd w:val="0"/>
        <w:spacing w:after="0" w:line="240" w:lineRule="auto"/>
        <w:rPr>
          <w:rFonts w:cs="Times New Roman"/>
          <w:b/>
          <w:szCs w:val="24"/>
        </w:rPr>
      </w:pPr>
      <w:bookmarkStart w:id="28" w:name="_Hlk51332101"/>
      <w:r w:rsidRPr="00E9530E">
        <w:rPr>
          <w:rFonts w:cs="Times New Roman"/>
          <w:b/>
          <w:szCs w:val="24"/>
        </w:rPr>
        <w:t>Provide an estimate of the total annual cost burden to respondents or record keepers resulting from the collection of information.</w:t>
      </w:r>
      <w:r w:rsidR="002F2890">
        <w:rPr>
          <w:rFonts w:cs="Times New Roman"/>
          <w:b/>
          <w:szCs w:val="24"/>
        </w:rPr>
        <w:t xml:space="preserve"> </w:t>
      </w:r>
      <w:r w:rsidRPr="00E9530E">
        <w:rPr>
          <w:rFonts w:cs="Times New Roman"/>
          <w:b/>
          <w:szCs w:val="24"/>
        </w:rPr>
        <w:t xml:space="preserve">Do not include the cost of any hour burden already reflected in the response provided in question 12.  </w:t>
      </w:r>
    </w:p>
    <w:bookmarkEnd w:id="28"/>
    <w:p w:rsidR="00DF3DC9" w:rsidRPr="00DF3DC9" w:rsidP="00DF3DC9" w14:paraId="086C38B7" w14:textId="77777777">
      <w:pPr>
        <w:pStyle w:val="ListParagraph"/>
        <w:autoSpaceDE w:val="0"/>
        <w:autoSpaceDN w:val="0"/>
        <w:adjustRightInd w:val="0"/>
        <w:spacing w:after="0" w:line="240" w:lineRule="auto"/>
        <w:rPr>
          <w:rFonts w:cs="Times New Roman"/>
          <w:szCs w:val="24"/>
        </w:rPr>
      </w:pPr>
    </w:p>
    <w:p w:rsidR="00DF3DC9" w:rsidRPr="00D173DB" w:rsidP="00D173DB" w14:paraId="64994743" w14:textId="69F965AE">
      <w:pPr>
        <w:spacing w:line="240" w:lineRule="auto"/>
        <w:rPr>
          <w:rFonts w:cs="Times New Roman"/>
        </w:rPr>
      </w:pPr>
      <w:r w:rsidRPr="00364D5B">
        <w:rPr>
          <w:rFonts w:cs="Times New Roman"/>
        </w:rPr>
        <w:t xml:space="preserve">There are no </w:t>
      </w:r>
      <w:r w:rsidRPr="00364D5B" w:rsidR="00F65712">
        <w:rPr>
          <w:rFonts w:cs="Times New Roman"/>
        </w:rPr>
        <w:t>record</w:t>
      </w:r>
      <w:r w:rsidR="00F65712">
        <w:rPr>
          <w:rFonts w:cs="Times New Roman"/>
        </w:rPr>
        <w:t>-</w:t>
      </w:r>
      <w:r w:rsidRPr="00364D5B">
        <w:rPr>
          <w:rFonts w:cs="Times New Roman"/>
        </w:rPr>
        <w:t>keeping or reporting costs to respondents.</w:t>
      </w:r>
      <w:r w:rsidR="002F2890">
        <w:rPr>
          <w:rFonts w:cs="Times New Roman"/>
        </w:rPr>
        <w:t xml:space="preserve"> </w:t>
      </w:r>
      <w:r w:rsidRPr="00364D5B">
        <w:rPr>
          <w:rFonts w:cs="Times New Roman"/>
        </w:rPr>
        <w:t xml:space="preserve">Respondents who are members of an online panel of </w:t>
      </w:r>
      <w:r w:rsidR="00D23E75">
        <w:rPr>
          <w:rFonts w:cs="Times New Roman"/>
        </w:rPr>
        <w:t>US</w:t>
      </w:r>
      <w:r w:rsidRPr="00364D5B">
        <w:rPr>
          <w:rFonts w:cs="Times New Roman"/>
        </w:rPr>
        <w:t xml:space="preserve"> </w:t>
      </w:r>
      <w:r w:rsidRPr="00364D5B" w:rsidR="004B722D">
        <w:rPr>
          <w:rFonts w:cs="Times New Roman"/>
        </w:rPr>
        <w:t>consumers</w:t>
      </w:r>
      <w:r w:rsidR="004B722D">
        <w:rPr>
          <w:rFonts w:cs="Times New Roman"/>
        </w:rPr>
        <w:t xml:space="preserve"> or</w:t>
      </w:r>
      <w:r w:rsidR="000B33EC">
        <w:rPr>
          <w:rFonts w:cs="Times New Roman"/>
        </w:rPr>
        <w:t xml:space="preserve"> will be sourced through purchasing supplemental lists or additional outreach</w:t>
      </w:r>
      <w:r w:rsidRPr="00364D5B">
        <w:rPr>
          <w:rFonts w:cs="Times New Roman"/>
        </w:rPr>
        <w:t xml:space="preserve"> will be contacted and asked to participate in the study.</w:t>
      </w:r>
      <w:r w:rsidR="002F2890">
        <w:rPr>
          <w:rFonts w:cs="Times New Roman"/>
        </w:rPr>
        <w:t xml:space="preserve"> </w:t>
      </w:r>
      <w:r w:rsidRPr="00364D5B">
        <w:rPr>
          <w:rFonts w:cs="Times New Roman"/>
        </w:rPr>
        <w:t>Each respondent participates only once in the data collection</w:t>
      </w:r>
      <w:r w:rsidR="00305A58">
        <w:rPr>
          <w:rFonts w:cs="Times New Roman"/>
        </w:rPr>
        <w:t xml:space="preserve"> and </w:t>
      </w:r>
      <w:r w:rsidR="008D45FB">
        <w:rPr>
          <w:rFonts w:cs="Times New Roman"/>
        </w:rPr>
        <w:t>t</w:t>
      </w:r>
      <w:r w:rsidRPr="00364D5B">
        <w:rPr>
          <w:rFonts w:cs="Times New Roman"/>
        </w:rPr>
        <w:t>here is no preparation of data required or expected of respondents.</w:t>
      </w:r>
      <w:r w:rsidR="002F2890">
        <w:rPr>
          <w:rFonts w:cs="Times New Roman"/>
        </w:rPr>
        <w:t xml:space="preserve"> </w:t>
      </w:r>
      <w:r w:rsidRPr="00364D5B">
        <w:rPr>
          <w:rFonts w:cs="Times New Roman"/>
        </w:rPr>
        <w:t>Respondents do not incur: (a) capital and startup costs or (b) operation, maintenance</w:t>
      </w:r>
      <w:r w:rsidR="00DF4180">
        <w:rPr>
          <w:rFonts w:cs="Times New Roman"/>
        </w:rPr>
        <w:t>,</w:t>
      </w:r>
      <w:r w:rsidRPr="00364D5B">
        <w:rPr>
          <w:rFonts w:cs="Times New Roman"/>
        </w:rPr>
        <w:t xml:space="preserve"> and purchase costs as a result of participating in the </w:t>
      </w:r>
      <w:r>
        <w:rPr>
          <w:rFonts w:cs="Times New Roman"/>
        </w:rPr>
        <w:t xml:space="preserve">cognitive test or quantitative </w:t>
      </w:r>
      <w:r w:rsidRPr="00364D5B">
        <w:rPr>
          <w:rFonts w:cs="Times New Roman"/>
        </w:rPr>
        <w:t>survey.</w:t>
      </w:r>
    </w:p>
    <w:p w:rsidR="00DF3DC9" w:rsidRPr="00505840" w:rsidP="00934994" w14:paraId="674FCB46" w14:textId="1EF8F776">
      <w:pPr>
        <w:pStyle w:val="ListParagraph"/>
        <w:numPr>
          <w:ilvl w:val="0"/>
          <w:numId w:val="1"/>
        </w:numPr>
        <w:spacing w:line="240" w:lineRule="auto"/>
        <w:rPr>
          <w:rFonts w:cs="Times New Roman"/>
          <w:b/>
          <w:szCs w:val="24"/>
        </w:rPr>
      </w:pPr>
      <w:bookmarkStart w:id="29" w:name="_Hlk51332118"/>
      <w:bookmarkStart w:id="30" w:name="_Hlk135128478"/>
      <w:r w:rsidRPr="00505840">
        <w:rPr>
          <w:rFonts w:cs="Times New Roman"/>
          <w:b/>
          <w:szCs w:val="24"/>
        </w:rPr>
        <w:t>Provide estimates of annualized costs to the Federal government.</w:t>
      </w:r>
      <w:r w:rsidR="002F2890">
        <w:rPr>
          <w:rFonts w:cs="Times New Roman"/>
          <w:b/>
          <w:szCs w:val="24"/>
        </w:rPr>
        <w:t xml:space="preserve"> </w:t>
      </w:r>
      <w:r w:rsidRPr="00505840">
        <w:rPr>
          <w:rFonts w:cs="Times New Roman"/>
          <w:b/>
          <w:szCs w:val="24"/>
        </w:rPr>
        <w:t xml:space="preserve">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bookmarkEnd w:id="29"/>
    <w:p w:rsidR="000B33EC" w:rsidP="000B33EC" w14:paraId="559F6422" w14:textId="77777777">
      <w:pPr>
        <w:pStyle w:val="ListParagraph"/>
        <w:spacing w:after="0"/>
        <w:rPr>
          <w:rFonts w:ascii="Times" w:hAnsi="Times" w:cs="Arial"/>
        </w:rPr>
      </w:pPr>
    </w:p>
    <w:bookmarkEnd w:id="30"/>
    <w:p w:rsidR="00150662" w:rsidP="00150662" w14:paraId="3221E267" w14:textId="46819468">
      <w:pPr>
        <w:spacing w:after="0" w:line="240" w:lineRule="auto"/>
        <w:rPr>
          <w:rFonts w:ascii="Times" w:hAnsi="Times"/>
        </w:rPr>
      </w:pPr>
      <w:r w:rsidRPr="2F157978">
        <w:rPr>
          <w:rFonts w:ascii="Times" w:hAnsi="Times"/>
        </w:rPr>
        <w:t xml:space="preserve">The total estimated cost to the government for planning and designing the study, conducting the data collection, completing the segmentation analysis and reporting the findings is $700,426.93. </w:t>
      </w:r>
      <w:r w:rsidRPr="2F157978">
        <w:rPr>
          <w:rStyle w:val="ui-provider"/>
        </w:rPr>
        <w:t>This estimated cost is comprised of prime contractor professional time with an estimated direct labor cost of $124,188.60 and subcontractor time and expenses for the survey panel, incentives and related services, for a total direct cost of $576,238.33.</w:t>
      </w:r>
      <w:r w:rsidRPr="00124E3B" w:rsidR="00124E3B">
        <w:t xml:space="preserve"> </w:t>
      </w:r>
      <w:r w:rsidRPr="00124E3B" w:rsidR="00124E3B">
        <w:rPr>
          <w:rStyle w:val="ui-provider"/>
        </w:rPr>
        <w:t>The estimated direct labor costs of $124,188.60 accounts for 675 hours including the spend to date and forecasted hours to complete the project. The activities that these hours cover include research strategy, ICR package management and creative design of final reporting materials. The estimated direct costs accounts for 760 projected hours for all the subcontractor time and expenses for the survey panel, incentives, cognitive test and related services. This includes all costs and fees associated with research design, execution, analysis and final reporting.</w:t>
      </w:r>
    </w:p>
    <w:p w:rsidR="00826267" w:rsidP="00394772" w14:paraId="3E3B6811" w14:textId="1A16AB15">
      <w:pPr>
        <w:spacing w:after="0"/>
        <w:rPr>
          <w:rFonts w:ascii="Times" w:hAnsi="Times"/>
          <w:b/>
          <w:bCs/>
        </w:rPr>
      </w:pPr>
      <w:r>
        <w:rPr>
          <w:rFonts w:ascii="Times" w:hAnsi="Times"/>
          <w:b/>
          <w:bCs/>
        </w:rPr>
        <w:t xml:space="preserve"> </w:t>
      </w:r>
    </w:p>
    <w:p w:rsidR="00DF3DC9" w:rsidRPr="00E9530E" w:rsidP="00DF3DC9" w14:paraId="7B4B1388" w14:textId="1E92150A">
      <w:pPr>
        <w:numPr>
          <w:ilvl w:val="0"/>
          <w:numId w:val="1"/>
        </w:numPr>
        <w:autoSpaceDE w:val="0"/>
        <w:autoSpaceDN w:val="0"/>
        <w:adjustRightInd w:val="0"/>
        <w:spacing w:after="0" w:line="240" w:lineRule="auto"/>
        <w:contextualSpacing/>
        <w:rPr>
          <w:rFonts w:cs="Times New Roman"/>
          <w:b/>
          <w:szCs w:val="24"/>
        </w:rPr>
      </w:pPr>
      <w:bookmarkStart w:id="31" w:name="_Hlk63087643"/>
      <w:bookmarkStart w:id="32" w:name="_Hlk51332149"/>
      <w:r w:rsidRPr="00E9530E">
        <w:rPr>
          <w:rFonts w:cs="Times New Roman"/>
          <w:b/>
          <w:szCs w:val="24"/>
        </w:rPr>
        <w:t>Explain the reasons for any program changes or adjustments reported on the burden worksheet.</w:t>
      </w:r>
      <w:r w:rsidR="002F2890">
        <w:rPr>
          <w:rFonts w:cs="Times New Roman"/>
          <w:b/>
          <w:szCs w:val="24"/>
        </w:rPr>
        <w:t xml:space="preserve"> </w:t>
      </w:r>
      <w:r w:rsidRPr="00E9530E">
        <w:rPr>
          <w:rFonts w:cs="Times New Roman"/>
          <w:b/>
          <w:szCs w:val="24"/>
        </w:rPr>
        <w:t xml:space="preserve">If this is a new collection, the program change will be </w:t>
      </w:r>
      <w:r w:rsidR="00D1234E">
        <w:rPr>
          <w:rFonts w:cs="Times New Roman"/>
          <w:b/>
          <w:szCs w:val="24"/>
        </w:rPr>
        <w:t xml:space="preserve">the </w:t>
      </w:r>
      <w:r w:rsidRPr="00E9530E" w:rsidR="00D1234E">
        <w:rPr>
          <w:rFonts w:cs="Times New Roman"/>
          <w:b/>
          <w:szCs w:val="24"/>
        </w:rPr>
        <w:t>number of burden hours reported in response to question 12</w:t>
      </w:r>
      <w:r w:rsidR="00D1234E">
        <w:rPr>
          <w:rFonts w:cs="Times New Roman"/>
          <w:b/>
          <w:szCs w:val="24"/>
        </w:rPr>
        <w:t xml:space="preserve"> and the </w:t>
      </w:r>
      <w:r w:rsidRPr="00E9530E">
        <w:rPr>
          <w:rFonts w:cs="Times New Roman"/>
          <w:b/>
          <w:szCs w:val="24"/>
        </w:rPr>
        <w:t xml:space="preserve">entire burden cost </w:t>
      </w:r>
      <w:r w:rsidRPr="00E9530E" w:rsidR="00D1234E">
        <w:rPr>
          <w:rFonts w:cs="Times New Roman"/>
          <w:b/>
          <w:szCs w:val="24"/>
        </w:rPr>
        <w:t>reported in response to question</w:t>
      </w:r>
      <w:r w:rsidR="00BD331C">
        <w:rPr>
          <w:rFonts w:cs="Times New Roman"/>
          <w:b/>
          <w:szCs w:val="24"/>
        </w:rPr>
        <w:t xml:space="preserve"> </w:t>
      </w:r>
      <w:r w:rsidRPr="00E9530E">
        <w:rPr>
          <w:rFonts w:cs="Times New Roman"/>
          <w:b/>
          <w:szCs w:val="24"/>
        </w:rPr>
        <w:t>13.</w:t>
      </w:r>
      <w:r w:rsidR="002F2890">
        <w:rPr>
          <w:rFonts w:cs="Times New Roman"/>
          <w:b/>
          <w:szCs w:val="24"/>
        </w:rPr>
        <w:t xml:space="preserve"> </w:t>
      </w:r>
      <w:r w:rsidRPr="00E9530E">
        <w:rPr>
          <w:rFonts w:cs="Times New Roman"/>
          <w:b/>
          <w:szCs w:val="24"/>
        </w:rPr>
        <w:t>If this is a renewal or reinstatement, the change is the difference between the new burden estimates and the burden estimates from the last OMB approval</w:t>
      </w:r>
      <w:r w:rsidR="00F7768F">
        <w:rPr>
          <w:rFonts w:cs="Times New Roman"/>
          <w:b/>
          <w:szCs w:val="24"/>
        </w:rPr>
        <w:t xml:space="preserve">. </w:t>
      </w:r>
      <w:bookmarkEnd w:id="31"/>
      <w:r w:rsidRPr="00E9530E">
        <w:rPr>
          <w:rFonts w:cs="Times New Roman"/>
          <w:b/>
          <w:szCs w:val="24"/>
        </w:rPr>
        <w:t xml:space="preserve"> </w:t>
      </w:r>
    </w:p>
    <w:bookmarkEnd w:id="32"/>
    <w:p w:rsidR="00DF3DC9" w:rsidRPr="00DF3DC9" w:rsidP="00DF3DC9" w14:paraId="0A3950A1" w14:textId="77777777">
      <w:pPr>
        <w:ind w:left="720"/>
        <w:contextualSpacing/>
        <w:rPr>
          <w:rFonts w:cs="Times New Roman"/>
          <w:szCs w:val="24"/>
        </w:rPr>
      </w:pPr>
    </w:p>
    <w:p w:rsidR="0012713D" w:rsidRPr="00D173DB" w:rsidP="2F157978" w14:paraId="22E553F7" w14:textId="4208C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90"/>
      </w:pPr>
      <w:r>
        <w:t>This is a new information collection request. This request results in a program change of  3,845 burden hours and a burden cost of $170,525.75, as shown in the table response to question 12. The additional cost for respondent record-keeping is $0, as specified in our response to question 13.</w:t>
      </w:r>
    </w:p>
    <w:p w:rsidR="00DF3DC9" w:rsidRPr="00E9530E" w:rsidP="00396E3F" w14:paraId="300BE020" w14:textId="00C00F79">
      <w:pPr>
        <w:numPr>
          <w:ilvl w:val="0"/>
          <w:numId w:val="1"/>
        </w:numPr>
        <w:autoSpaceDE w:val="0"/>
        <w:autoSpaceDN w:val="0"/>
        <w:adjustRightInd w:val="0"/>
        <w:spacing w:after="0" w:line="240" w:lineRule="auto"/>
        <w:contextualSpacing/>
        <w:rPr>
          <w:rFonts w:cs="Times New Roman"/>
          <w:b/>
          <w:szCs w:val="24"/>
        </w:rPr>
      </w:pPr>
      <w:bookmarkStart w:id="33" w:name="_Hlk51332176"/>
      <w:r w:rsidRPr="00E9530E">
        <w:rPr>
          <w:rFonts w:cs="Times New Roman"/>
          <w:b/>
          <w:szCs w:val="24"/>
        </w:rPr>
        <w:t xml:space="preserve">For </w:t>
      </w:r>
      <w:bookmarkStart w:id="34" w:name="_Hlk63087690"/>
      <w:r w:rsidRPr="00E9530E">
        <w:rPr>
          <w:rFonts w:cs="Times New Roman"/>
          <w:b/>
          <w:szCs w:val="24"/>
        </w:rPr>
        <w:t>collections of information whose results will be published, outline plans for tabulation and publication.</w:t>
      </w:r>
      <w:r w:rsidR="002F2890">
        <w:rPr>
          <w:rFonts w:cs="Times New Roman"/>
          <w:b/>
          <w:szCs w:val="24"/>
        </w:rPr>
        <w:t xml:space="preserve"> </w:t>
      </w:r>
      <w:r w:rsidRPr="00E9530E">
        <w:rPr>
          <w:rFonts w:cs="Times New Roman"/>
          <w:b/>
          <w:szCs w:val="24"/>
        </w:rPr>
        <w:t>Address any complex analytical techniques that will be used.</w:t>
      </w:r>
      <w:r w:rsidR="002F2890">
        <w:rPr>
          <w:rFonts w:cs="Times New Roman"/>
          <w:b/>
          <w:szCs w:val="24"/>
        </w:rPr>
        <w:t xml:space="preserve"> </w:t>
      </w:r>
      <w:r w:rsidRPr="00E9530E">
        <w:rPr>
          <w:rFonts w:cs="Times New Roman"/>
          <w:b/>
          <w:szCs w:val="24"/>
        </w:rPr>
        <w:t xml:space="preserve">Provide the time schedule for the entire project, including beginning and ending dates of the collection of information, completion of report, publication dates, and other actions as applicable. </w:t>
      </w:r>
    </w:p>
    <w:bookmarkEnd w:id="33"/>
    <w:bookmarkEnd w:id="34"/>
    <w:p w:rsidR="00DF3DC9" w:rsidRPr="00DF3DC9" w:rsidP="00396E3F" w14:paraId="52A1FF05" w14:textId="77777777">
      <w:pPr>
        <w:autoSpaceDE w:val="0"/>
        <w:autoSpaceDN w:val="0"/>
        <w:adjustRightInd w:val="0"/>
        <w:spacing w:after="0" w:line="240" w:lineRule="auto"/>
        <w:ind w:firstLine="720"/>
        <w:rPr>
          <w:rFonts w:cs="Times New Roman"/>
          <w:szCs w:val="24"/>
        </w:rPr>
      </w:pPr>
    </w:p>
    <w:p w:rsidR="00A645BE" w:rsidRPr="00A51087" w:rsidP="00396E3F" w14:paraId="7C9E9C97" w14:textId="73B8B13B">
      <w:pPr>
        <w:autoSpaceDE w:val="0"/>
        <w:autoSpaceDN w:val="0"/>
        <w:adjustRightInd w:val="0"/>
        <w:spacing w:after="0" w:line="240" w:lineRule="auto"/>
      </w:pPr>
      <w:r w:rsidRPr="00A12C08">
        <w:rPr>
          <w:rFonts w:cs="Times New Roman"/>
          <w:szCs w:val="24"/>
        </w:rPr>
        <w:t xml:space="preserve">The goal of the study is to identify and describe </w:t>
      </w:r>
      <w:r w:rsidRPr="00A12C08" w:rsidR="00962F33">
        <w:rPr>
          <w:rFonts w:cs="Times New Roman"/>
          <w:szCs w:val="24"/>
        </w:rPr>
        <w:t>at</w:t>
      </w:r>
      <w:r w:rsidR="00A667CF">
        <w:rPr>
          <w:rFonts w:cs="Times New Roman"/>
          <w:szCs w:val="24"/>
        </w:rPr>
        <w:t>-</w:t>
      </w:r>
      <w:r w:rsidRPr="00A12C08" w:rsidR="00962F33">
        <w:rPr>
          <w:rFonts w:cs="Times New Roman"/>
          <w:szCs w:val="24"/>
        </w:rPr>
        <w:t>risk drivers and motorcycle riders ages 2</w:t>
      </w:r>
      <w:r w:rsidR="00A667CF">
        <w:rPr>
          <w:rFonts w:cs="Times New Roman"/>
          <w:szCs w:val="24"/>
        </w:rPr>
        <w:t>1</w:t>
      </w:r>
      <w:r w:rsidRPr="00A12C08" w:rsidR="000E3AB0">
        <w:rPr>
          <w:rFonts w:cs="Times New Roman"/>
          <w:szCs w:val="24"/>
        </w:rPr>
        <w:t>-</w:t>
      </w:r>
      <w:r w:rsidRPr="00A12C08" w:rsidR="00962F33">
        <w:rPr>
          <w:rFonts w:cs="Times New Roman"/>
          <w:szCs w:val="24"/>
        </w:rPr>
        <w:t>54.</w:t>
      </w:r>
      <w:r w:rsidR="002F2890">
        <w:rPr>
          <w:rFonts w:cs="Times New Roman"/>
          <w:szCs w:val="24"/>
        </w:rPr>
        <w:t xml:space="preserve"> </w:t>
      </w:r>
      <w:r w:rsidRPr="00A645BE">
        <w:rPr>
          <w:rFonts w:cs="Times New Roman"/>
          <w:szCs w:val="24"/>
        </w:rPr>
        <w:t>To</w:t>
      </w:r>
      <w:r w:rsidR="00962F33">
        <w:rPr>
          <w:rFonts w:cs="Times New Roman"/>
          <w:szCs w:val="24"/>
        </w:rPr>
        <w:t xml:space="preserve"> identify and describe this group of </w:t>
      </w:r>
      <w:r w:rsidR="00DF4180">
        <w:rPr>
          <w:rFonts w:cs="Times New Roman"/>
          <w:szCs w:val="24"/>
        </w:rPr>
        <w:t>at-risk</w:t>
      </w:r>
      <w:r w:rsidR="00962F33">
        <w:rPr>
          <w:rFonts w:cs="Times New Roman"/>
          <w:szCs w:val="24"/>
        </w:rPr>
        <w:t xml:space="preserve"> drivers and motorcycle riders</w:t>
      </w:r>
      <w:r w:rsidRPr="00A645BE">
        <w:rPr>
          <w:rFonts w:cs="Times New Roman"/>
          <w:szCs w:val="24"/>
        </w:rPr>
        <w:t xml:space="preserve">, </w:t>
      </w:r>
      <w:r>
        <w:rPr>
          <w:rFonts w:cs="Times New Roman"/>
          <w:szCs w:val="24"/>
        </w:rPr>
        <w:t>the research team will utilize advanced multivariate analytics</w:t>
      </w:r>
      <w:r w:rsidR="00F65712">
        <w:rPr>
          <w:rFonts w:cs="Times New Roman"/>
          <w:szCs w:val="24"/>
        </w:rPr>
        <w:t>,</w:t>
      </w:r>
      <w:r>
        <w:rPr>
          <w:rFonts w:cs="Times New Roman"/>
          <w:szCs w:val="24"/>
        </w:rPr>
        <w:t xml:space="preserve"> including but not limited to factor analysis</w:t>
      </w:r>
      <w:r w:rsidR="002B118F">
        <w:rPr>
          <w:rFonts w:cs="Times New Roman"/>
          <w:szCs w:val="24"/>
        </w:rPr>
        <w:t xml:space="preserve">, </w:t>
      </w:r>
      <w:r w:rsidR="008A1778">
        <w:rPr>
          <w:rFonts w:cs="Times New Roman"/>
          <w:szCs w:val="24"/>
        </w:rPr>
        <w:t>cluster analysis</w:t>
      </w:r>
      <w:r w:rsidR="00D23E75">
        <w:rPr>
          <w:rFonts w:cs="Times New Roman"/>
          <w:szCs w:val="24"/>
        </w:rPr>
        <w:t>,</w:t>
      </w:r>
      <w:r w:rsidR="008A1778">
        <w:rPr>
          <w:rFonts w:cs="Times New Roman"/>
          <w:szCs w:val="24"/>
        </w:rPr>
        <w:t xml:space="preserve"> including </w:t>
      </w:r>
      <w:r w:rsidR="002B118F">
        <w:rPr>
          <w:rFonts w:cs="Times New Roman"/>
          <w:szCs w:val="24"/>
        </w:rPr>
        <w:t xml:space="preserve">latent class, </w:t>
      </w:r>
      <w:r w:rsidR="008A1778">
        <w:rPr>
          <w:rFonts w:cs="Times New Roman"/>
          <w:szCs w:val="24"/>
        </w:rPr>
        <w:t xml:space="preserve">and other </w:t>
      </w:r>
      <w:r w:rsidRPr="00A645BE">
        <w:rPr>
          <w:rFonts w:cs="Times New Roman"/>
          <w:szCs w:val="24"/>
        </w:rPr>
        <w:t xml:space="preserve">descriptive </w:t>
      </w:r>
      <w:r w:rsidR="00DB7B50">
        <w:rPr>
          <w:rFonts w:cs="Times New Roman"/>
          <w:szCs w:val="24"/>
        </w:rPr>
        <w:t xml:space="preserve">statistics </w:t>
      </w:r>
      <w:r>
        <w:rPr>
          <w:rFonts w:cs="Times New Roman"/>
          <w:szCs w:val="24"/>
        </w:rPr>
        <w:t>among the 5,</w:t>
      </w:r>
      <w:r w:rsidR="00A12C08">
        <w:rPr>
          <w:rFonts w:cs="Times New Roman"/>
          <w:szCs w:val="24"/>
        </w:rPr>
        <w:t>40</w:t>
      </w:r>
      <w:r>
        <w:rPr>
          <w:rFonts w:cs="Times New Roman"/>
          <w:szCs w:val="24"/>
        </w:rPr>
        <w:t xml:space="preserve">0 cases collected in the quantitative survey. </w:t>
      </w:r>
      <w:r w:rsidR="00A00978">
        <w:rPr>
          <w:rFonts w:cs="Times New Roman"/>
          <w:szCs w:val="24"/>
        </w:rPr>
        <w:t xml:space="preserve">A more detailed description of how the data will be analyzed is included in the Supporting Statements: Part B. </w:t>
      </w:r>
    </w:p>
    <w:p w:rsidR="0010518D" w:rsidRPr="00A51087" w:rsidP="00396E3F" w14:paraId="4345113E" w14:textId="77777777">
      <w:pPr>
        <w:autoSpaceDE w:val="0"/>
        <w:autoSpaceDN w:val="0"/>
        <w:adjustRightInd w:val="0"/>
        <w:spacing w:after="0" w:line="240" w:lineRule="auto"/>
      </w:pPr>
    </w:p>
    <w:p w:rsidR="00A645BE" w:rsidP="00396E3F" w14:paraId="453DA981" w14:textId="544D984A">
      <w:pPr>
        <w:autoSpaceDE w:val="0"/>
        <w:autoSpaceDN w:val="0"/>
        <w:adjustRightInd w:val="0"/>
        <w:spacing w:after="0" w:line="240" w:lineRule="auto"/>
        <w:rPr>
          <w:rFonts w:cs="Times New Roman"/>
          <w:szCs w:val="24"/>
        </w:rPr>
      </w:pPr>
      <w:r w:rsidRPr="00A645BE">
        <w:rPr>
          <w:rFonts w:cs="Times New Roman"/>
          <w:szCs w:val="24"/>
        </w:rPr>
        <w:t>A comparative analysis across segments will be conducted to look for key differences that NHTSA may leverage in strategy moving forward.</w:t>
      </w:r>
      <w:r w:rsidR="002F2890">
        <w:rPr>
          <w:rFonts w:cs="Times New Roman"/>
          <w:szCs w:val="24"/>
        </w:rPr>
        <w:t xml:space="preserve"> </w:t>
      </w:r>
      <w:r w:rsidRPr="00A645BE">
        <w:rPr>
          <w:rFonts w:cs="Times New Roman"/>
          <w:szCs w:val="24"/>
        </w:rPr>
        <w:t>As appropriate, descriptive statistics for specific points of data and findings will be referenced.</w:t>
      </w:r>
      <w:r w:rsidR="002F2890">
        <w:rPr>
          <w:rFonts w:cs="Times New Roman"/>
          <w:szCs w:val="24"/>
        </w:rPr>
        <w:t xml:space="preserve"> </w:t>
      </w:r>
      <w:r w:rsidRPr="00A645BE">
        <w:rPr>
          <w:rFonts w:cs="Times New Roman"/>
          <w:szCs w:val="24"/>
        </w:rPr>
        <w:t xml:space="preserve">In the event the detailed data might be useful in the future, </w:t>
      </w:r>
      <w:r w:rsidR="00376A57">
        <w:rPr>
          <w:rFonts w:cs="Times New Roman"/>
          <w:szCs w:val="24"/>
        </w:rPr>
        <w:t xml:space="preserve">the </w:t>
      </w:r>
      <w:r w:rsidRPr="00A645BE">
        <w:rPr>
          <w:rFonts w:cs="Times New Roman"/>
          <w:szCs w:val="24"/>
        </w:rPr>
        <w:t xml:space="preserve">addenda will include data tables of all findings representing all questions in the survey. </w:t>
      </w:r>
      <w:r w:rsidRPr="00A00978" w:rsidR="00A00978">
        <w:rPr>
          <w:rFonts w:cs="Times New Roman"/>
          <w:szCs w:val="24"/>
        </w:rPr>
        <w:t>Once the analysis is complete, a final written report containing detailed findings will be published.</w:t>
      </w:r>
      <w:r w:rsidR="00A00978">
        <w:rPr>
          <w:rFonts w:cs="Times New Roman"/>
          <w:szCs w:val="24"/>
        </w:rPr>
        <w:t xml:space="preserve"> The following is NHTSA’s p</w:t>
      </w:r>
      <w:r w:rsidRPr="00A645BE">
        <w:rPr>
          <w:rFonts w:cs="Times New Roman"/>
          <w:szCs w:val="24"/>
        </w:rPr>
        <w:t>roject timeline</w:t>
      </w:r>
      <w:r w:rsidR="00CD3538">
        <w:rPr>
          <w:rFonts w:cs="Times New Roman"/>
          <w:szCs w:val="24"/>
        </w:rPr>
        <w:t xml:space="preserve"> </w:t>
      </w:r>
      <w:r w:rsidR="00A00978">
        <w:rPr>
          <w:rFonts w:cs="Times New Roman"/>
          <w:szCs w:val="24"/>
        </w:rPr>
        <w:t xml:space="preserve">from the date NHTSA receives </w:t>
      </w:r>
      <w:r w:rsidRPr="00A645BE">
        <w:rPr>
          <w:rFonts w:cs="Times New Roman"/>
          <w:szCs w:val="24"/>
        </w:rPr>
        <w:t>OMB approval:</w:t>
      </w:r>
    </w:p>
    <w:p w:rsidR="00CD3538" w:rsidP="00A645BE" w14:paraId="0CC50863" w14:textId="7B7929DF">
      <w:pPr>
        <w:autoSpaceDE w:val="0"/>
        <w:autoSpaceDN w:val="0"/>
        <w:adjustRightInd w:val="0"/>
        <w:spacing w:after="0" w:line="240" w:lineRule="auto"/>
        <w:ind w:left="720"/>
        <w:rPr>
          <w:rFonts w:cs="Times New Roman"/>
          <w:szCs w:val="24"/>
        </w:rPr>
      </w:pPr>
    </w:p>
    <w:tbl>
      <w:tblPr>
        <w:tblStyle w:val="TableGrid"/>
        <w:tblW w:w="0" w:type="auto"/>
        <w:tblInd w:w="720" w:type="dxa"/>
        <w:tblLook w:val="04A0"/>
      </w:tblPr>
      <w:tblGrid>
        <w:gridCol w:w="4337"/>
        <w:gridCol w:w="4293"/>
      </w:tblGrid>
      <w:tr w14:paraId="73BC05C9" w14:textId="77777777" w:rsidTr="00B73716">
        <w:tblPrEx>
          <w:tblW w:w="0" w:type="auto"/>
          <w:tblInd w:w="720" w:type="dxa"/>
          <w:tblLook w:val="04A0"/>
        </w:tblPrEx>
        <w:tc>
          <w:tcPr>
            <w:tcW w:w="4337" w:type="dxa"/>
          </w:tcPr>
          <w:p w:rsidR="00F8345D" w:rsidP="00F8345D" w14:paraId="2D406C83" w14:textId="48AEDA66">
            <w:pPr>
              <w:autoSpaceDE w:val="0"/>
              <w:autoSpaceDN w:val="0"/>
              <w:adjustRightInd w:val="0"/>
              <w:rPr>
                <w:rFonts w:cs="Times New Roman"/>
                <w:szCs w:val="24"/>
              </w:rPr>
            </w:pPr>
            <w:r>
              <w:rPr>
                <w:rFonts w:cs="Times New Roman"/>
                <w:szCs w:val="24"/>
              </w:rPr>
              <w:t>Task</w:t>
            </w:r>
          </w:p>
        </w:tc>
        <w:tc>
          <w:tcPr>
            <w:tcW w:w="4293" w:type="dxa"/>
          </w:tcPr>
          <w:p w:rsidR="00F8345D" w:rsidP="00F8345D" w14:paraId="1B8FB914" w14:textId="76FD4D2C">
            <w:pPr>
              <w:autoSpaceDE w:val="0"/>
              <w:autoSpaceDN w:val="0"/>
              <w:adjustRightInd w:val="0"/>
              <w:rPr>
                <w:rFonts w:cs="Times New Roman"/>
                <w:szCs w:val="24"/>
              </w:rPr>
            </w:pPr>
            <w:r>
              <w:rPr>
                <w:rFonts w:cs="Times New Roman"/>
                <w:szCs w:val="24"/>
              </w:rPr>
              <w:t>Estimated timing</w:t>
            </w:r>
          </w:p>
        </w:tc>
      </w:tr>
      <w:tr w14:paraId="7A0BB37D" w14:textId="77777777" w:rsidTr="00B73716">
        <w:tblPrEx>
          <w:tblW w:w="0" w:type="auto"/>
          <w:tblInd w:w="720" w:type="dxa"/>
          <w:tblLook w:val="04A0"/>
        </w:tblPrEx>
        <w:tc>
          <w:tcPr>
            <w:tcW w:w="4337" w:type="dxa"/>
          </w:tcPr>
          <w:p w:rsidR="00F8345D" w:rsidP="00F8345D" w14:paraId="0F36E1D7" w14:textId="6E86942E">
            <w:pPr>
              <w:autoSpaceDE w:val="0"/>
              <w:autoSpaceDN w:val="0"/>
              <w:adjustRightInd w:val="0"/>
              <w:jc w:val="right"/>
              <w:rPr>
                <w:rFonts w:cs="Times New Roman"/>
                <w:szCs w:val="24"/>
              </w:rPr>
            </w:pPr>
            <w:r>
              <w:rPr>
                <w:rFonts w:cs="Times New Roman"/>
                <w:szCs w:val="24"/>
              </w:rPr>
              <w:t xml:space="preserve">Survey programming and testing </w:t>
            </w:r>
          </w:p>
        </w:tc>
        <w:tc>
          <w:tcPr>
            <w:tcW w:w="4293" w:type="dxa"/>
          </w:tcPr>
          <w:p w:rsidR="00F8345D" w:rsidP="00F8345D" w14:paraId="4782A549" w14:textId="74806721">
            <w:pPr>
              <w:autoSpaceDE w:val="0"/>
              <w:autoSpaceDN w:val="0"/>
              <w:adjustRightInd w:val="0"/>
              <w:rPr>
                <w:rFonts w:cs="Times New Roman"/>
                <w:szCs w:val="24"/>
              </w:rPr>
            </w:pPr>
            <w:r>
              <w:rPr>
                <w:rFonts w:cs="Times New Roman"/>
                <w:szCs w:val="24"/>
              </w:rPr>
              <w:t>Week 1 – Week 5</w:t>
            </w:r>
          </w:p>
        </w:tc>
      </w:tr>
      <w:tr w14:paraId="4551BEFA" w14:textId="77777777" w:rsidTr="00B73716">
        <w:tblPrEx>
          <w:tblW w:w="0" w:type="auto"/>
          <w:tblInd w:w="720" w:type="dxa"/>
          <w:tblLook w:val="04A0"/>
        </w:tblPrEx>
        <w:tc>
          <w:tcPr>
            <w:tcW w:w="4337" w:type="dxa"/>
          </w:tcPr>
          <w:p w:rsidR="00F8345D" w:rsidP="00F8345D" w14:paraId="2DF1B7AD" w14:textId="7D016368">
            <w:pPr>
              <w:autoSpaceDE w:val="0"/>
              <w:autoSpaceDN w:val="0"/>
              <w:adjustRightInd w:val="0"/>
              <w:jc w:val="right"/>
              <w:rPr>
                <w:rFonts w:cs="Times New Roman"/>
                <w:szCs w:val="24"/>
              </w:rPr>
            </w:pPr>
            <w:r>
              <w:rPr>
                <w:rFonts w:cs="Times New Roman"/>
                <w:szCs w:val="24"/>
              </w:rPr>
              <w:t xml:space="preserve">Cognitive testing recruiting </w:t>
            </w:r>
          </w:p>
        </w:tc>
        <w:tc>
          <w:tcPr>
            <w:tcW w:w="4293" w:type="dxa"/>
          </w:tcPr>
          <w:p w:rsidR="00F8345D" w:rsidP="00F8345D" w14:paraId="2D2025AA" w14:textId="394F87E4">
            <w:pPr>
              <w:autoSpaceDE w:val="0"/>
              <w:autoSpaceDN w:val="0"/>
              <w:adjustRightInd w:val="0"/>
              <w:rPr>
                <w:rFonts w:cs="Times New Roman"/>
                <w:szCs w:val="24"/>
              </w:rPr>
            </w:pPr>
            <w:r>
              <w:rPr>
                <w:rFonts w:cs="Times New Roman"/>
                <w:szCs w:val="24"/>
              </w:rPr>
              <w:t>Week 3 – Week 5</w:t>
            </w:r>
          </w:p>
        </w:tc>
      </w:tr>
      <w:tr w14:paraId="511D1B88" w14:textId="77777777" w:rsidTr="00B73716">
        <w:tblPrEx>
          <w:tblW w:w="0" w:type="auto"/>
          <w:tblInd w:w="720" w:type="dxa"/>
          <w:tblLook w:val="04A0"/>
        </w:tblPrEx>
        <w:tc>
          <w:tcPr>
            <w:tcW w:w="4337" w:type="dxa"/>
          </w:tcPr>
          <w:p w:rsidR="00F8345D" w:rsidP="00F8345D" w14:paraId="6C185CF3" w14:textId="3B1CFA17">
            <w:pPr>
              <w:autoSpaceDE w:val="0"/>
              <w:autoSpaceDN w:val="0"/>
              <w:adjustRightInd w:val="0"/>
              <w:jc w:val="right"/>
              <w:rPr>
                <w:rFonts w:cs="Times New Roman"/>
                <w:szCs w:val="24"/>
              </w:rPr>
            </w:pPr>
            <w:r>
              <w:rPr>
                <w:rFonts w:cs="Times New Roman"/>
                <w:szCs w:val="24"/>
              </w:rPr>
              <w:t>Cognitive testing</w:t>
            </w:r>
          </w:p>
        </w:tc>
        <w:tc>
          <w:tcPr>
            <w:tcW w:w="4293" w:type="dxa"/>
          </w:tcPr>
          <w:p w:rsidR="00F8345D" w:rsidP="00F8345D" w14:paraId="7DB2D833" w14:textId="61B30A09">
            <w:pPr>
              <w:autoSpaceDE w:val="0"/>
              <w:autoSpaceDN w:val="0"/>
              <w:adjustRightInd w:val="0"/>
              <w:rPr>
                <w:rFonts w:cs="Times New Roman"/>
                <w:szCs w:val="24"/>
              </w:rPr>
            </w:pPr>
            <w:r>
              <w:rPr>
                <w:rFonts w:cs="Times New Roman"/>
                <w:szCs w:val="24"/>
              </w:rPr>
              <w:t>Week 6 – Week 7</w:t>
            </w:r>
          </w:p>
        </w:tc>
      </w:tr>
      <w:tr w14:paraId="55D349E6" w14:textId="77777777" w:rsidTr="00B73716">
        <w:tblPrEx>
          <w:tblW w:w="0" w:type="auto"/>
          <w:tblInd w:w="720" w:type="dxa"/>
          <w:tblLook w:val="04A0"/>
        </w:tblPrEx>
        <w:tc>
          <w:tcPr>
            <w:tcW w:w="4337" w:type="dxa"/>
          </w:tcPr>
          <w:p w:rsidR="00F8345D" w:rsidP="00F8345D" w14:paraId="64B605BF" w14:textId="2C94F8A0">
            <w:pPr>
              <w:autoSpaceDE w:val="0"/>
              <w:autoSpaceDN w:val="0"/>
              <w:adjustRightInd w:val="0"/>
              <w:jc w:val="right"/>
              <w:rPr>
                <w:rFonts w:cs="Times New Roman"/>
                <w:szCs w:val="24"/>
              </w:rPr>
            </w:pPr>
            <w:r>
              <w:rPr>
                <w:rFonts w:cs="Times New Roman"/>
                <w:szCs w:val="24"/>
              </w:rPr>
              <w:t xml:space="preserve">Summary of recommended changes </w:t>
            </w:r>
          </w:p>
        </w:tc>
        <w:tc>
          <w:tcPr>
            <w:tcW w:w="4293" w:type="dxa"/>
          </w:tcPr>
          <w:p w:rsidR="00F8345D" w:rsidP="00F8345D" w14:paraId="36076C52" w14:textId="72499C08">
            <w:pPr>
              <w:autoSpaceDE w:val="0"/>
              <w:autoSpaceDN w:val="0"/>
              <w:adjustRightInd w:val="0"/>
              <w:rPr>
                <w:rFonts w:cs="Times New Roman"/>
                <w:szCs w:val="24"/>
              </w:rPr>
            </w:pPr>
            <w:r>
              <w:rPr>
                <w:rFonts w:cs="Times New Roman"/>
                <w:szCs w:val="24"/>
              </w:rPr>
              <w:t>Week 8</w:t>
            </w:r>
          </w:p>
        </w:tc>
      </w:tr>
      <w:tr w14:paraId="474406F1" w14:textId="77777777" w:rsidTr="00B73716">
        <w:tblPrEx>
          <w:tblW w:w="0" w:type="auto"/>
          <w:tblInd w:w="720" w:type="dxa"/>
          <w:tblLook w:val="04A0"/>
        </w:tblPrEx>
        <w:tc>
          <w:tcPr>
            <w:tcW w:w="4337" w:type="dxa"/>
          </w:tcPr>
          <w:p w:rsidR="00F8345D" w:rsidP="00F8345D" w14:paraId="25C6DAAB" w14:textId="0CF3C543">
            <w:pPr>
              <w:autoSpaceDE w:val="0"/>
              <w:autoSpaceDN w:val="0"/>
              <w:adjustRightInd w:val="0"/>
              <w:jc w:val="right"/>
              <w:rPr>
                <w:rFonts w:cs="Times New Roman"/>
                <w:szCs w:val="24"/>
              </w:rPr>
            </w:pPr>
            <w:r>
              <w:rPr>
                <w:rFonts w:cs="Times New Roman"/>
                <w:szCs w:val="24"/>
              </w:rPr>
              <w:t>Updates to the survey program</w:t>
            </w:r>
          </w:p>
        </w:tc>
        <w:tc>
          <w:tcPr>
            <w:tcW w:w="4293" w:type="dxa"/>
          </w:tcPr>
          <w:p w:rsidR="00F8345D" w:rsidP="00F8345D" w14:paraId="58BF8AFE" w14:textId="7EE3539C">
            <w:pPr>
              <w:autoSpaceDE w:val="0"/>
              <w:autoSpaceDN w:val="0"/>
              <w:adjustRightInd w:val="0"/>
              <w:rPr>
                <w:rFonts w:cs="Times New Roman"/>
                <w:szCs w:val="24"/>
              </w:rPr>
            </w:pPr>
            <w:r>
              <w:rPr>
                <w:rFonts w:cs="Times New Roman"/>
                <w:szCs w:val="24"/>
              </w:rPr>
              <w:t>Week 9</w:t>
            </w:r>
          </w:p>
        </w:tc>
      </w:tr>
      <w:tr w14:paraId="676129B3" w14:textId="77777777" w:rsidTr="00B73716">
        <w:tblPrEx>
          <w:tblW w:w="0" w:type="auto"/>
          <w:tblInd w:w="720" w:type="dxa"/>
          <w:tblLook w:val="04A0"/>
        </w:tblPrEx>
        <w:tc>
          <w:tcPr>
            <w:tcW w:w="4337" w:type="dxa"/>
          </w:tcPr>
          <w:p w:rsidR="00F8345D" w:rsidP="00F8345D" w14:paraId="202DBE4F" w14:textId="720B7151">
            <w:pPr>
              <w:autoSpaceDE w:val="0"/>
              <w:autoSpaceDN w:val="0"/>
              <w:adjustRightInd w:val="0"/>
              <w:jc w:val="right"/>
              <w:rPr>
                <w:rFonts w:cs="Times New Roman"/>
                <w:szCs w:val="24"/>
              </w:rPr>
            </w:pPr>
            <w:r>
              <w:rPr>
                <w:rFonts w:cs="Times New Roman"/>
                <w:szCs w:val="24"/>
              </w:rPr>
              <w:t xml:space="preserve">Quantitative fielding </w:t>
            </w:r>
          </w:p>
        </w:tc>
        <w:tc>
          <w:tcPr>
            <w:tcW w:w="4293" w:type="dxa"/>
          </w:tcPr>
          <w:p w:rsidR="00F8345D" w:rsidP="00F8345D" w14:paraId="15EAAFA6" w14:textId="3C073520">
            <w:pPr>
              <w:autoSpaceDE w:val="0"/>
              <w:autoSpaceDN w:val="0"/>
              <w:adjustRightInd w:val="0"/>
              <w:rPr>
                <w:rFonts w:cs="Times New Roman"/>
                <w:szCs w:val="24"/>
              </w:rPr>
            </w:pPr>
            <w:r>
              <w:rPr>
                <w:rFonts w:cs="Times New Roman"/>
                <w:szCs w:val="24"/>
              </w:rPr>
              <w:t xml:space="preserve">Week 10 – Week 14 </w:t>
            </w:r>
          </w:p>
        </w:tc>
      </w:tr>
      <w:tr w14:paraId="18D7756B" w14:textId="77777777" w:rsidTr="00B73716">
        <w:tblPrEx>
          <w:tblW w:w="0" w:type="auto"/>
          <w:tblInd w:w="720" w:type="dxa"/>
          <w:tblLook w:val="04A0"/>
        </w:tblPrEx>
        <w:tc>
          <w:tcPr>
            <w:tcW w:w="4337" w:type="dxa"/>
          </w:tcPr>
          <w:p w:rsidR="00F8345D" w:rsidP="00F8345D" w14:paraId="1589B34A" w14:textId="7B8DDA79">
            <w:pPr>
              <w:autoSpaceDE w:val="0"/>
              <w:autoSpaceDN w:val="0"/>
              <w:adjustRightInd w:val="0"/>
              <w:jc w:val="right"/>
              <w:rPr>
                <w:rFonts w:cs="Times New Roman"/>
                <w:szCs w:val="24"/>
              </w:rPr>
            </w:pPr>
            <w:r>
              <w:rPr>
                <w:rFonts w:cs="Times New Roman"/>
                <w:szCs w:val="24"/>
              </w:rPr>
              <w:t xml:space="preserve">Data processing and analysis </w:t>
            </w:r>
          </w:p>
        </w:tc>
        <w:tc>
          <w:tcPr>
            <w:tcW w:w="4293" w:type="dxa"/>
          </w:tcPr>
          <w:p w:rsidR="00F8345D" w:rsidP="00F8345D" w14:paraId="5EAFC9A4" w14:textId="0C034999">
            <w:pPr>
              <w:autoSpaceDE w:val="0"/>
              <w:autoSpaceDN w:val="0"/>
              <w:adjustRightInd w:val="0"/>
              <w:rPr>
                <w:rFonts w:cs="Times New Roman"/>
                <w:szCs w:val="24"/>
              </w:rPr>
            </w:pPr>
            <w:r>
              <w:rPr>
                <w:rFonts w:cs="Times New Roman"/>
                <w:szCs w:val="24"/>
              </w:rPr>
              <w:t>Week 15 – Week 19</w:t>
            </w:r>
          </w:p>
        </w:tc>
      </w:tr>
      <w:tr w14:paraId="79E397CC" w14:textId="77777777" w:rsidTr="00B73716">
        <w:tblPrEx>
          <w:tblW w:w="0" w:type="auto"/>
          <w:tblInd w:w="720" w:type="dxa"/>
          <w:tblLook w:val="04A0"/>
        </w:tblPrEx>
        <w:tc>
          <w:tcPr>
            <w:tcW w:w="4337" w:type="dxa"/>
          </w:tcPr>
          <w:p w:rsidR="00F8345D" w:rsidP="00F8345D" w14:paraId="1CC03F5F" w14:textId="752B2CF3">
            <w:pPr>
              <w:autoSpaceDE w:val="0"/>
              <w:autoSpaceDN w:val="0"/>
              <w:adjustRightInd w:val="0"/>
              <w:jc w:val="right"/>
              <w:rPr>
                <w:rFonts w:cs="Times New Roman"/>
                <w:szCs w:val="24"/>
              </w:rPr>
            </w:pPr>
            <w:r>
              <w:rPr>
                <w:rFonts w:cs="Times New Roman"/>
                <w:szCs w:val="24"/>
              </w:rPr>
              <w:t>Segmentation solution workshop</w:t>
            </w:r>
          </w:p>
        </w:tc>
        <w:tc>
          <w:tcPr>
            <w:tcW w:w="4293" w:type="dxa"/>
          </w:tcPr>
          <w:p w:rsidR="00F8345D" w:rsidP="00F8345D" w14:paraId="164BED84" w14:textId="1468533A">
            <w:pPr>
              <w:autoSpaceDE w:val="0"/>
              <w:autoSpaceDN w:val="0"/>
              <w:adjustRightInd w:val="0"/>
              <w:rPr>
                <w:rFonts w:cs="Times New Roman"/>
                <w:szCs w:val="24"/>
              </w:rPr>
            </w:pPr>
            <w:r>
              <w:rPr>
                <w:rFonts w:cs="Times New Roman"/>
                <w:szCs w:val="24"/>
              </w:rPr>
              <w:t>Week 20</w:t>
            </w:r>
          </w:p>
        </w:tc>
      </w:tr>
      <w:tr w14:paraId="16AC0ABF" w14:textId="77777777" w:rsidTr="00B73716">
        <w:tblPrEx>
          <w:tblW w:w="0" w:type="auto"/>
          <w:tblInd w:w="720" w:type="dxa"/>
          <w:tblLook w:val="04A0"/>
        </w:tblPrEx>
        <w:tc>
          <w:tcPr>
            <w:tcW w:w="4337" w:type="dxa"/>
          </w:tcPr>
          <w:p w:rsidR="00F8345D" w:rsidP="00F8345D" w14:paraId="2B436BD1" w14:textId="014D8FBF">
            <w:pPr>
              <w:autoSpaceDE w:val="0"/>
              <w:autoSpaceDN w:val="0"/>
              <w:adjustRightInd w:val="0"/>
              <w:jc w:val="right"/>
              <w:rPr>
                <w:rFonts w:cs="Times New Roman"/>
                <w:szCs w:val="24"/>
              </w:rPr>
            </w:pPr>
            <w:r>
              <w:rPr>
                <w:rFonts w:cs="Times New Roman"/>
                <w:szCs w:val="24"/>
              </w:rPr>
              <w:t xml:space="preserve">Additional analyses </w:t>
            </w:r>
          </w:p>
        </w:tc>
        <w:tc>
          <w:tcPr>
            <w:tcW w:w="4293" w:type="dxa"/>
          </w:tcPr>
          <w:p w:rsidR="00F8345D" w:rsidP="00F8345D" w14:paraId="548BEA65" w14:textId="1790444B">
            <w:pPr>
              <w:autoSpaceDE w:val="0"/>
              <w:autoSpaceDN w:val="0"/>
              <w:adjustRightInd w:val="0"/>
              <w:rPr>
                <w:rFonts w:cs="Times New Roman"/>
                <w:szCs w:val="24"/>
              </w:rPr>
            </w:pPr>
            <w:r>
              <w:rPr>
                <w:rFonts w:cs="Times New Roman"/>
                <w:szCs w:val="24"/>
              </w:rPr>
              <w:t>Week 21</w:t>
            </w:r>
          </w:p>
        </w:tc>
      </w:tr>
      <w:tr w14:paraId="23D3097F" w14:textId="77777777" w:rsidTr="00B73716">
        <w:tblPrEx>
          <w:tblW w:w="0" w:type="auto"/>
          <w:tblInd w:w="720" w:type="dxa"/>
          <w:tblLook w:val="04A0"/>
        </w:tblPrEx>
        <w:tc>
          <w:tcPr>
            <w:tcW w:w="4337" w:type="dxa"/>
          </w:tcPr>
          <w:p w:rsidR="00F8345D" w:rsidP="00F8345D" w14:paraId="7DC53D12" w14:textId="1498A3AD">
            <w:pPr>
              <w:autoSpaceDE w:val="0"/>
              <w:autoSpaceDN w:val="0"/>
              <w:adjustRightInd w:val="0"/>
              <w:jc w:val="right"/>
              <w:rPr>
                <w:rFonts w:cs="Times New Roman"/>
                <w:szCs w:val="24"/>
              </w:rPr>
            </w:pPr>
            <w:r>
              <w:rPr>
                <w:rFonts w:cs="Times New Roman"/>
                <w:szCs w:val="24"/>
              </w:rPr>
              <w:t>Report development</w:t>
            </w:r>
          </w:p>
        </w:tc>
        <w:tc>
          <w:tcPr>
            <w:tcW w:w="4293" w:type="dxa"/>
          </w:tcPr>
          <w:p w:rsidR="00F8345D" w:rsidP="00F8345D" w14:paraId="12C4D2AE" w14:textId="3ECBEC31">
            <w:pPr>
              <w:autoSpaceDE w:val="0"/>
              <w:autoSpaceDN w:val="0"/>
              <w:adjustRightInd w:val="0"/>
              <w:rPr>
                <w:rFonts w:cs="Times New Roman"/>
                <w:szCs w:val="24"/>
              </w:rPr>
            </w:pPr>
            <w:r>
              <w:rPr>
                <w:rFonts w:cs="Times New Roman"/>
                <w:szCs w:val="24"/>
              </w:rPr>
              <w:t>Week 22</w:t>
            </w:r>
          </w:p>
        </w:tc>
      </w:tr>
      <w:tr w14:paraId="32C7FBA6" w14:textId="77777777" w:rsidTr="00B73716">
        <w:tblPrEx>
          <w:tblW w:w="0" w:type="auto"/>
          <w:tblInd w:w="720" w:type="dxa"/>
          <w:tblLook w:val="04A0"/>
        </w:tblPrEx>
        <w:tc>
          <w:tcPr>
            <w:tcW w:w="4337" w:type="dxa"/>
          </w:tcPr>
          <w:p w:rsidR="00F8345D" w:rsidP="00F8345D" w14:paraId="72200E06" w14:textId="3030E8CF">
            <w:pPr>
              <w:autoSpaceDE w:val="0"/>
              <w:autoSpaceDN w:val="0"/>
              <w:adjustRightInd w:val="0"/>
              <w:jc w:val="right"/>
              <w:rPr>
                <w:rFonts w:cs="Times New Roman"/>
                <w:szCs w:val="24"/>
              </w:rPr>
            </w:pPr>
            <w:r>
              <w:rPr>
                <w:rFonts w:cs="Times New Roman"/>
                <w:szCs w:val="24"/>
              </w:rPr>
              <w:t>Final report</w:t>
            </w:r>
          </w:p>
        </w:tc>
        <w:tc>
          <w:tcPr>
            <w:tcW w:w="4293" w:type="dxa"/>
          </w:tcPr>
          <w:p w:rsidR="00F8345D" w:rsidP="00F8345D" w14:paraId="52C6E18F" w14:textId="5F6016A1">
            <w:pPr>
              <w:autoSpaceDE w:val="0"/>
              <w:autoSpaceDN w:val="0"/>
              <w:adjustRightInd w:val="0"/>
              <w:rPr>
                <w:rFonts w:cs="Times New Roman"/>
                <w:szCs w:val="24"/>
              </w:rPr>
            </w:pPr>
            <w:r>
              <w:rPr>
                <w:rFonts w:cs="Times New Roman"/>
                <w:szCs w:val="24"/>
              </w:rPr>
              <w:t>Week 23</w:t>
            </w:r>
          </w:p>
        </w:tc>
      </w:tr>
    </w:tbl>
    <w:p w:rsidR="00DF3DC9" w:rsidP="00DF3DC9" w14:paraId="30351FB6" w14:textId="7F08B860">
      <w:pPr>
        <w:autoSpaceDE w:val="0"/>
        <w:autoSpaceDN w:val="0"/>
        <w:adjustRightInd w:val="0"/>
        <w:spacing w:after="0" w:line="240" w:lineRule="auto"/>
        <w:ind w:firstLine="720"/>
        <w:rPr>
          <w:rFonts w:cs="Times New Roman"/>
          <w:szCs w:val="24"/>
        </w:rPr>
      </w:pPr>
      <w:r w:rsidRPr="00DF3DC9">
        <w:rPr>
          <w:rFonts w:cs="Times New Roman"/>
          <w:szCs w:val="24"/>
        </w:rPr>
        <w:t xml:space="preserve">  </w:t>
      </w:r>
    </w:p>
    <w:p w:rsidR="00356F4D" w:rsidRPr="00DF3DC9" w:rsidP="00DF3DC9" w14:paraId="0C963097" w14:textId="77777777">
      <w:pPr>
        <w:autoSpaceDE w:val="0"/>
        <w:autoSpaceDN w:val="0"/>
        <w:adjustRightInd w:val="0"/>
        <w:spacing w:after="0" w:line="240" w:lineRule="auto"/>
        <w:ind w:firstLine="720"/>
        <w:rPr>
          <w:rFonts w:cs="Times New Roman"/>
          <w:szCs w:val="24"/>
        </w:rPr>
      </w:pPr>
    </w:p>
    <w:p w:rsidR="00DF3DC9" w:rsidRPr="000650F6" w:rsidP="00396E3F" w14:paraId="010E5D7E" w14:textId="77777777">
      <w:pPr>
        <w:numPr>
          <w:ilvl w:val="0"/>
          <w:numId w:val="1"/>
        </w:numPr>
        <w:autoSpaceDE w:val="0"/>
        <w:autoSpaceDN w:val="0"/>
        <w:adjustRightInd w:val="0"/>
        <w:spacing w:after="0" w:line="240" w:lineRule="auto"/>
        <w:contextualSpacing/>
        <w:rPr>
          <w:rFonts w:cs="Times New Roman"/>
          <w:b/>
          <w:szCs w:val="24"/>
        </w:rPr>
      </w:pPr>
      <w:bookmarkStart w:id="35" w:name="_Hlk51332202"/>
      <w:r w:rsidRPr="000650F6">
        <w:rPr>
          <w:rFonts w:cs="Times New Roman"/>
          <w:b/>
          <w:szCs w:val="24"/>
        </w:rPr>
        <w:t>If seeking approval to not display the expiration date for OMB approval of the information collection, explain the reasons that display would be inappropriate.</w:t>
      </w:r>
    </w:p>
    <w:bookmarkEnd w:id="35"/>
    <w:p w:rsidR="00DF3DC9" w:rsidRPr="00DF3DC9" w:rsidP="00396E3F" w14:paraId="1F254C1E" w14:textId="77777777">
      <w:pPr>
        <w:autoSpaceDE w:val="0"/>
        <w:autoSpaceDN w:val="0"/>
        <w:adjustRightInd w:val="0"/>
        <w:spacing w:after="0" w:line="240" w:lineRule="auto"/>
        <w:ind w:left="720"/>
        <w:contextualSpacing/>
        <w:rPr>
          <w:rFonts w:cs="Times New Roman"/>
          <w:szCs w:val="24"/>
        </w:rPr>
      </w:pPr>
    </w:p>
    <w:p w:rsidR="0012713D" w:rsidRPr="00D173DB" w:rsidP="00396E3F" w14:paraId="046CECF8" w14:textId="1B562AB7">
      <w:pPr>
        <w:spacing w:line="240" w:lineRule="auto"/>
        <w:ind w:left="720"/>
        <w:rPr>
          <w:rFonts w:cs="Times New Roman"/>
        </w:rPr>
      </w:pPr>
      <w:r w:rsidRPr="007068C7">
        <w:rPr>
          <w:rFonts w:cs="Times New Roman"/>
        </w:rPr>
        <w:t>We do not seek approval to not display the expiration date for OMB approval for this</w:t>
      </w:r>
      <w:r w:rsidR="00305A58">
        <w:rPr>
          <w:rFonts w:cs="Times New Roman"/>
        </w:rPr>
        <w:t xml:space="preserve"> information collection</w:t>
      </w:r>
      <w:r w:rsidRPr="007068C7">
        <w:rPr>
          <w:rFonts w:cs="Times New Roman"/>
        </w:rPr>
        <w:t>.</w:t>
      </w:r>
    </w:p>
    <w:p w:rsidR="00DF3DC9" w:rsidP="00396E3F" w14:paraId="35DF7E0B" w14:textId="5C0B82F1">
      <w:pPr>
        <w:numPr>
          <w:ilvl w:val="0"/>
          <w:numId w:val="1"/>
        </w:numPr>
        <w:spacing w:line="240" w:lineRule="auto"/>
        <w:contextualSpacing/>
        <w:rPr>
          <w:rFonts w:cs="Times New Roman"/>
          <w:b/>
          <w:szCs w:val="24"/>
        </w:rPr>
      </w:pPr>
      <w:bookmarkStart w:id="36" w:name="_Hlk63087720"/>
      <w:bookmarkStart w:id="37" w:name="_Hlk51332218"/>
      <w:r w:rsidRPr="000650F6">
        <w:rPr>
          <w:rFonts w:cs="Times New Roman"/>
          <w:b/>
          <w:szCs w:val="24"/>
        </w:rPr>
        <w:t xml:space="preserve">Explain each exception to the topics of the certification statement identified in </w:t>
      </w:r>
      <w:r w:rsidR="002F2890">
        <w:rPr>
          <w:rFonts w:cs="Times New Roman"/>
          <w:b/>
          <w:szCs w:val="24"/>
        </w:rPr>
        <w:t>“</w:t>
      </w:r>
      <w:r w:rsidRPr="000650F6">
        <w:rPr>
          <w:rFonts w:cs="Times New Roman"/>
          <w:b/>
          <w:szCs w:val="24"/>
        </w:rPr>
        <w:t>Certification for Paperwork Reduction Act Submissions.</w:t>
      </w:r>
      <w:r w:rsidR="002F2890">
        <w:rPr>
          <w:rFonts w:cs="Times New Roman"/>
          <w:b/>
          <w:szCs w:val="24"/>
        </w:rPr>
        <w:t>”</w:t>
      </w:r>
      <w:r w:rsidRPr="000650F6">
        <w:rPr>
          <w:rFonts w:cs="Times New Roman"/>
          <w:b/>
          <w:szCs w:val="24"/>
        </w:rPr>
        <w:t xml:space="preserve"> The required certifications can be found at 5 CFR 1320.9.</w:t>
      </w:r>
      <w:bookmarkStart w:id="38" w:name="_Hlk45889134"/>
      <w:r>
        <w:rPr>
          <w:rFonts w:cs="Times New Roman"/>
          <w:b/>
          <w:szCs w:val="24"/>
          <w:vertAlign w:val="superscript"/>
        </w:rPr>
        <w:footnoteReference w:id="15"/>
      </w:r>
      <w:bookmarkEnd w:id="36"/>
      <w:r w:rsidRPr="000650F6">
        <w:rPr>
          <w:rFonts w:cs="Times New Roman"/>
          <w:b/>
          <w:szCs w:val="24"/>
        </w:rPr>
        <w:t xml:space="preserve"> </w:t>
      </w:r>
      <w:bookmarkEnd w:id="38"/>
    </w:p>
    <w:p w:rsidR="00462FBD" w:rsidP="00396E3F" w14:paraId="468DC586" w14:textId="7750CD7B">
      <w:pPr>
        <w:spacing w:line="240" w:lineRule="auto"/>
        <w:contextualSpacing/>
        <w:rPr>
          <w:rFonts w:cs="Times New Roman"/>
          <w:b/>
          <w:szCs w:val="24"/>
        </w:rPr>
      </w:pPr>
    </w:p>
    <w:bookmarkEnd w:id="37"/>
    <w:p w:rsidR="00934994" w:rsidRPr="00894C34" w:rsidP="00396E3F" w14:paraId="6F13328F" w14:textId="093E8F1E">
      <w:pPr>
        <w:spacing w:line="240" w:lineRule="auto"/>
        <w:ind w:left="720"/>
        <w:contextualSpacing/>
        <w:rPr>
          <w:rFonts w:cs="Times New Roman"/>
          <w:szCs w:val="24"/>
        </w:rPr>
      </w:pPr>
      <w:r w:rsidRPr="00894C34">
        <w:rPr>
          <w:rFonts w:cs="Times New Roman"/>
          <w:szCs w:val="24"/>
        </w:rPr>
        <w:t>There are no exceptions to the certifications statement</w:t>
      </w:r>
      <w:r w:rsidR="00894C34">
        <w:rPr>
          <w:rFonts w:cs="Times New Roman"/>
          <w:szCs w:val="24"/>
        </w:rPr>
        <w:t>.</w:t>
      </w:r>
    </w:p>
    <w:p w:rsidR="007A7BB5" w:rsidRPr="002043DA" w:rsidP="002043DA" w14:paraId="172B97B3" w14:textId="77777777">
      <w:pPr>
        <w:rPr>
          <w:rFonts w:cs="Times New Roman"/>
          <w:szCs w:val="24"/>
        </w:rPr>
      </w:pPr>
    </w:p>
    <w:sectPr>
      <w:footerReference w:type="even"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2055619114"/>
      <w:docPartObj>
        <w:docPartGallery w:val="Page Numbers (Bottom of Page)"/>
        <w:docPartUnique/>
      </w:docPartObj>
    </w:sdtPr>
    <w:sdtContent>
      <w:p w:rsidR="0012713D" w:rsidP="006C4F85" w14:paraId="3A24BACA" w14:textId="68AFFE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000000">
          <w:rPr>
            <w:rStyle w:val="PageNumber"/>
          </w:rPr>
          <w:fldChar w:fldCharType="separate"/>
        </w:r>
        <w:r>
          <w:rPr>
            <w:rStyle w:val="PageNumber"/>
          </w:rPr>
          <w:fldChar w:fldCharType="end"/>
        </w:r>
      </w:p>
    </w:sdtContent>
  </w:sdt>
  <w:p w:rsidR="0012713D" w:rsidP="0012713D" w14:paraId="72C63D2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388028519"/>
      <w:docPartObj>
        <w:docPartGallery w:val="Page Numbers (Bottom of Page)"/>
        <w:docPartUnique/>
      </w:docPartObj>
    </w:sdtPr>
    <w:sdtContent>
      <w:p w:rsidR="0012713D" w:rsidP="006C4F85" w14:paraId="384C0DCA" w14:textId="504AE0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2713D" w:rsidP="0012713D" w14:paraId="36F38BEF"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09D2" w:rsidP="00F27C2C" w14:paraId="7CC7F67C" w14:textId="77777777">
      <w:pPr>
        <w:spacing w:after="0" w:line="240" w:lineRule="auto"/>
      </w:pPr>
      <w:r>
        <w:separator/>
      </w:r>
    </w:p>
  </w:footnote>
  <w:footnote w:type="continuationSeparator" w:id="1">
    <w:p w:rsidR="00DA09D2" w:rsidP="00F27C2C" w14:paraId="4AE3DDA2" w14:textId="77777777">
      <w:pPr>
        <w:spacing w:after="0" w:line="240" w:lineRule="auto"/>
      </w:pPr>
      <w:r>
        <w:continuationSeparator/>
      </w:r>
    </w:p>
  </w:footnote>
  <w:footnote w:type="continuationNotice" w:id="2">
    <w:p w:rsidR="00DA09D2" w14:paraId="63F9E288" w14:textId="77777777">
      <w:pPr>
        <w:spacing w:after="0" w:line="240" w:lineRule="auto"/>
      </w:pPr>
    </w:p>
  </w:footnote>
  <w:footnote w:id="3">
    <w:p w:rsidR="00450026" w:rsidRPr="0039208F" w:rsidP="00F27C2C" w14:paraId="3E520BE3" w14:textId="77777777">
      <w:pPr>
        <w:pStyle w:val="FootnoteText"/>
        <w:rPr>
          <w:rFonts w:cs="Times New Roman"/>
        </w:rPr>
      </w:pPr>
      <w:r>
        <w:rPr>
          <w:rStyle w:val="FootnoteReference"/>
        </w:rPr>
        <w:footnoteRef/>
      </w:r>
      <w:r>
        <w:t xml:space="preserve">  </w:t>
      </w:r>
      <w:r w:rsidRPr="0039208F">
        <w:rPr>
          <w:rFonts w:cs="Times New Roman"/>
        </w:rPr>
        <w:t xml:space="preserve">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w:t>
      </w:r>
      <w:r w:rsidRPr="00BA5763">
        <w:rPr>
          <w:rFonts w:cs="Times New Roman"/>
        </w:rPr>
        <w:t>(7) if the information collection involves approval by an institutional review board, include a statement to that effect;</w:t>
      </w:r>
      <w:r>
        <w:rPr>
          <w:rFonts w:cs="Times New Roman"/>
        </w:rPr>
        <w:t xml:space="preserve"> (8)</w:t>
      </w:r>
      <w:r w:rsidRPr="00CE1150">
        <w:rPr>
          <w:rFonts w:cs="Times New Roman"/>
        </w:rPr>
        <w:t xml:space="preserve"> </w:t>
      </w:r>
      <w:r w:rsidRPr="0039208F">
        <w:rPr>
          <w:rFonts w:cs="Times New Roman"/>
        </w:rPr>
        <w:t>the p</w:t>
      </w:r>
      <w:r>
        <w:rPr>
          <w:rFonts w:cs="Times New Roman"/>
        </w:rPr>
        <w:t>urpose of the collection; and (9</w:t>
      </w:r>
      <w:r w:rsidRPr="0039208F">
        <w:rPr>
          <w:rFonts w:cs="Times New Roman"/>
        </w:rPr>
        <w:t>) if a revision, a description of the revision and the change in burden.</w:t>
      </w:r>
    </w:p>
  </w:footnote>
  <w:footnote w:id="4">
    <w:p w:rsidR="00815B72" w14:paraId="6809FA29" w14:textId="69C8A7DE">
      <w:pPr>
        <w:pStyle w:val="FootnoteText"/>
      </w:pPr>
      <w:r>
        <w:rPr>
          <w:rStyle w:val="FootnoteReference"/>
        </w:rPr>
        <w:footnoteRef/>
      </w:r>
      <w:r>
        <w:t xml:space="preserve"> </w:t>
      </w:r>
      <w:r w:rsidRPr="00B0281E" w:rsidR="00B0281E">
        <w:t>2020 Alcohol Impaired Driving (Traffic Safety Facts. Report No. DOT HS 813 294)</w:t>
      </w:r>
      <w:r w:rsidR="00B0281E">
        <w:t xml:space="preserve">. </w:t>
      </w:r>
    </w:p>
  </w:footnote>
  <w:footnote w:id="5">
    <w:p w:rsidR="00450026" w14:paraId="1D2B3472" w14:textId="319654BF">
      <w:pPr>
        <w:pStyle w:val="FootnoteText"/>
      </w:pPr>
      <w:r>
        <w:rPr>
          <w:rStyle w:val="FootnoteReference"/>
        </w:rPr>
        <w:footnoteRef/>
      </w:r>
      <w:r>
        <w:t xml:space="preserve"> 2020 Alcohol Impaired Driving (Traffic Safety Facts. Report No. DOT HS 813 </w:t>
      </w:r>
      <w:r w:rsidR="00BD4E6F">
        <w:t>294</w:t>
      </w:r>
      <w:r>
        <w:t xml:space="preserve">) </w:t>
      </w:r>
    </w:p>
  </w:footnote>
  <w:footnote w:id="6">
    <w:p w:rsidR="00450026" w14:paraId="224A59B5" w14:textId="647D5031">
      <w:pPr>
        <w:pStyle w:val="FootnoteText"/>
      </w:pPr>
      <w:r>
        <w:rPr>
          <w:rStyle w:val="FootnoteReference"/>
        </w:rPr>
        <w:footnoteRef/>
      </w:r>
      <w:r>
        <w:t xml:space="preserve"> Ibid.</w:t>
      </w:r>
    </w:p>
  </w:footnote>
  <w:footnote w:id="7">
    <w:p w:rsidR="00450026" w14:paraId="009B961B" w14:textId="5FC375D0">
      <w:pPr>
        <w:pStyle w:val="FootnoteText"/>
      </w:pPr>
      <w:r>
        <w:rPr>
          <w:rStyle w:val="FootnoteReference"/>
        </w:rPr>
        <w:footnoteRef/>
      </w:r>
      <w:r>
        <w:t xml:space="preserve"> Ibid.</w:t>
      </w:r>
    </w:p>
  </w:footnote>
  <w:footnote w:id="8">
    <w:p w:rsidR="00450026" w:rsidP="00957741" w14:paraId="2F1422BD" w14:textId="791A8AD4">
      <w:pPr>
        <w:pStyle w:val="FootnoteText"/>
      </w:pPr>
      <w:r>
        <w:rPr>
          <w:rStyle w:val="FootnoteReference"/>
        </w:rPr>
        <w:footnoteRef/>
      </w:r>
      <w:r>
        <w:t xml:space="preserve"> </w:t>
      </w:r>
      <w:r w:rsidRPr="00887F3B" w:rsidR="00887F3B">
        <w:t>Blincoe, L., Miller, T., Wang, J.-S., Swedler, D., Coughlin, T., Lawrence, B., Guo, F., Klauer, S., &amp; Dingus, T. (2023, February). The economic and societal impact of motor vehicle crashes, 2019 (Revised) (Report No. DOT HS 813 403). National Highway Traffic Safety Administration</w:t>
      </w:r>
      <w:r>
        <w:t>.</w:t>
      </w:r>
    </w:p>
  </w:footnote>
  <w:footnote w:id="9">
    <w:p w:rsidR="00117397" w:rsidP="00117397" w14:paraId="7542B8BF" w14:textId="450E9820">
      <w:pPr>
        <w:pStyle w:val="FootnoteText"/>
      </w:pPr>
      <w:r>
        <w:rPr>
          <w:rStyle w:val="FootnoteReference"/>
        </w:rPr>
        <w:footnoteRef/>
      </w:r>
      <w:r>
        <w:t xml:space="preserve"> </w:t>
      </w:r>
      <w:r w:rsidRPr="00B0281E" w:rsidR="00B0281E">
        <w:t>2020 Alcohol Impaired Driving (Traffic Safety Facts. Report No. DOT HS 813 294)</w:t>
      </w:r>
      <w:r w:rsidR="00B0281E">
        <w:t xml:space="preserve">. </w:t>
      </w:r>
    </w:p>
  </w:footnote>
  <w:footnote w:id="10">
    <w:p w:rsidR="00BF45F4" w:rsidP="00BF45F4" w14:paraId="539DB9B0" w14:textId="047489EF">
      <w:pPr>
        <w:pStyle w:val="FootnoteText"/>
      </w:pPr>
      <w:r>
        <w:rPr>
          <w:rStyle w:val="FootnoteReference"/>
        </w:rPr>
        <w:footnoteRef/>
      </w:r>
      <w:r>
        <w:t xml:space="preserve"> </w:t>
      </w:r>
      <w:bookmarkStart w:id="24" w:name="_Hlk134802575"/>
      <w:r w:rsidR="001100D5">
        <w:rPr>
          <w:color w:val="000000"/>
        </w:rPr>
        <w:t xml:space="preserve">This number is derived from the </w:t>
      </w:r>
      <w:bookmarkEnd w:id="24"/>
      <w:r w:rsidRPr="00EC3F7B">
        <w:rPr>
          <w:color w:val="000000"/>
        </w:rPr>
        <w:t>25.8% incidence of binge alcohol use</w:t>
      </w:r>
      <w:r>
        <w:rPr>
          <w:color w:val="000000"/>
        </w:rPr>
        <w:t xml:space="preserve"> </w:t>
      </w:r>
      <w:r>
        <w:t xml:space="preserve">from </w:t>
      </w:r>
      <w:r w:rsidRPr="0086677D">
        <w:t>SAMHSA, Center for Behavioral Health Statistics and Quality, National Survey on Drug Use and Health, 2018 and 2019. - Table 2.20B – Binge Alcohol Use in Past Month among Persons Aged 12 or Older, by Age Group and Demographic Characteristics: Percentages, 2018 and 2020</w:t>
      </w:r>
      <w:r>
        <w:t xml:space="preserve"> </w:t>
      </w:r>
      <w:r w:rsidRPr="000D2934">
        <w:t>See</w:t>
      </w:r>
      <w:r w:rsidR="001100D5">
        <w:t xml:space="preserve"> </w:t>
      </w:r>
      <w:hyperlink r:id="rId1" w:anchor="tab2-20b" w:history="1">
        <w:r w:rsidRPr="009C321A" w:rsidR="001100D5">
          <w:rPr>
            <w:rStyle w:val="Hyperlink"/>
          </w:rPr>
          <w:t>https://www.samhsa.gov/data/sites/default/files/reports/rpt29394/NSDUHDetailedTabs2019/NSDUHDetTabsSect2pe2019.htm#tab2-20b</w:t>
        </w:r>
      </w:hyperlink>
    </w:p>
  </w:footnote>
  <w:footnote w:id="11">
    <w:p w:rsidR="00347F77" w14:paraId="06C99EAB" w14:textId="7F4DA245">
      <w:pPr>
        <w:pStyle w:val="FootnoteText"/>
      </w:pPr>
      <w:r>
        <w:rPr>
          <w:rStyle w:val="FootnoteReference"/>
        </w:rPr>
        <w:footnoteRef/>
      </w:r>
      <w:r>
        <w:t xml:space="preserve"> </w:t>
      </w:r>
      <w:r w:rsidRPr="00347F77">
        <w:t xml:space="preserve">We use the same incidence rate for both general market and Hispanic </w:t>
      </w:r>
      <w:r>
        <w:t>recruits</w:t>
      </w:r>
      <w:r w:rsidRPr="00347F77">
        <w:t xml:space="preserve"> because each audience is recruited with separate recruiters. We use a general market recruiter for the general market groups, and a Hispanic market recruiting expert for the </w:t>
      </w:r>
      <w:r>
        <w:t>Hispanic audience</w:t>
      </w:r>
      <w:r w:rsidRPr="00347F77">
        <w:t>. Each recruiter will recruit from a proprietary database composed of general market or Hispanic panelists, respectively.</w:t>
      </w:r>
    </w:p>
  </w:footnote>
  <w:footnote w:id="12">
    <w:p w:rsidR="002F40C0" w14:paraId="3F826DA3" w14:textId="55564B6D">
      <w:pPr>
        <w:pStyle w:val="FootnoteText"/>
      </w:pPr>
      <w:r>
        <w:rPr>
          <w:rStyle w:val="FootnoteReference"/>
        </w:rPr>
        <w:footnoteRef/>
      </w:r>
      <w:r>
        <w:t xml:space="preserve"> Based on guidance from NORC’s </w:t>
      </w:r>
      <w:r w:rsidR="00DA4AD3">
        <w:t>Director of Business Development</w:t>
      </w:r>
      <w:r>
        <w:t xml:space="preserve"> obtained during feasibility discussions.</w:t>
      </w:r>
    </w:p>
  </w:footnote>
  <w:footnote w:id="13">
    <w:p w:rsidR="00450026" w:rsidRPr="001200C0" w:rsidP="00EC3F7B" w14:paraId="4BECDE49" w14:textId="2E8CC0CF">
      <w:pPr>
        <w:pStyle w:val="FootnoteText"/>
        <w:rPr>
          <w:rFonts w:ascii="Times" w:hAnsi="Times" w:cs="Arial"/>
        </w:rPr>
      </w:pPr>
      <w:r>
        <w:rPr>
          <w:rStyle w:val="FootnoteReference"/>
        </w:rPr>
        <w:footnoteRef/>
      </w:r>
      <w:r>
        <w:t xml:space="preserve"> </w:t>
      </w:r>
      <w:r w:rsidRPr="005A69F3">
        <w:rPr>
          <w:rFonts w:ascii="Times" w:hAnsi="Times" w:cs="Arial"/>
        </w:rPr>
        <w:t xml:space="preserve">From </w:t>
      </w:r>
      <w:r>
        <w:rPr>
          <w:rFonts w:ascii="Times" w:hAnsi="Times" w:cs="Arial"/>
        </w:rPr>
        <w:t>Bureau of Labor and Statistics’</w:t>
      </w:r>
      <w:r w:rsidR="00F65712">
        <w:rPr>
          <w:rFonts w:ascii="Times" w:hAnsi="Times" w:cs="Arial"/>
        </w:rPr>
        <w:t xml:space="preserve"> </w:t>
      </w:r>
      <w:r>
        <w:rPr>
          <w:rFonts w:ascii="Times" w:hAnsi="Times" w:cs="Arial"/>
        </w:rPr>
        <w:t xml:space="preserve">Economic News Release - </w:t>
      </w:r>
      <w:r w:rsidRPr="00452BBE">
        <w:rPr>
          <w:rFonts w:ascii="Times" w:hAnsi="Times" w:cs="Arial"/>
        </w:rPr>
        <w:t>Table B-3</w:t>
      </w:r>
      <w:r>
        <w:rPr>
          <w:rFonts w:ascii="Times" w:hAnsi="Times" w:cs="Arial"/>
        </w:rPr>
        <w:t xml:space="preserve">: </w:t>
      </w:r>
      <w:r w:rsidRPr="00121D8C">
        <w:rPr>
          <w:rFonts w:ascii="Times" w:hAnsi="Times" w:cs="Arial"/>
        </w:rPr>
        <w:t>Average hourly and weekly earnings of all employee</w:t>
      </w:r>
      <w:r>
        <w:rPr>
          <w:rFonts w:ascii="Times" w:hAnsi="Times" w:cs="Arial"/>
        </w:rPr>
        <w:t xml:space="preserve">s </w:t>
      </w:r>
      <w:r w:rsidR="00BB5CFC">
        <w:rPr>
          <w:rFonts w:ascii="Times" w:hAnsi="Times" w:cs="Arial"/>
        </w:rPr>
        <w:t>(</w:t>
      </w:r>
      <w:r w:rsidR="00D43D17">
        <w:rPr>
          <w:rFonts w:ascii="Times" w:hAnsi="Times" w:cs="Arial"/>
        </w:rPr>
        <w:t xml:space="preserve">December </w:t>
      </w:r>
      <w:r>
        <w:rPr>
          <w:rFonts w:ascii="Times" w:hAnsi="Times" w:cs="Arial"/>
        </w:rPr>
        <w:t>202</w:t>
      </w:r>
      <w:r w:rsidR="00A97A73">
        <w:rPr>
          <w:rFonts w:ascii="Times" w:hAnsi="Times" w:cs="Arial"/>
        </w:rPr>
        <w:t>3</w:t>
      </w:r>
      <w:r>
        <w:rPr>
          <w:rFonts w:ascii="Times" w:hAnsi="Times" w:cs="Arial"/>
        </w:rPr>
        <w:t xml:space="preserve">). </w:t>
      </w:r>
      <w:r w:rsidRPr="001C2042">
        <w:rPr>
          <w:i/>
        </w:rPr>
        <w:t>See</w:t>
      </w:r>
      <w:r>
        <w:t xml:space="preserve"> </w:t>
      </w:r>
      <w:hyperlink r:id="rId2" w:history="1">
        <w:r>
          <w:rPr>
            <w:rStyle w:val="Hyperlink"/>
          </w:rPr>
          <w:t>https://www.bls.gov/news.release/empsit.t19.htm</w:t>
        </w:r>
      </w:hyperlink>
      <w:r>
        <w:rPr>
          <w:rStyle w:val="Hyperlink"/>
        </w:rPr>
        <w:t>.</w:t>
      </w:r>
    </w:p>
  </w:footnote>
  <w:footnote w:id="14">
    <w:p w:rsidR="00D85D80" w:rsidP="00D85D80" w14:paraId="5AA43C95" w14:textId="1AEC63DA">
      <w:pPr>
        <w:pStyle w:val="FootnoteText"/>
      </w:pPr>
      <w:r>
        <w:rPr>
          <w:rStyle w:val="FootnoteReference"/>
        </w:rPr>
        <w:footnoteRef/>
      </w:r>
      <w:r>
        <w:t xml:space="preserve"> </w:t>
      </w:r>
      <w:r>
        <w:rPr>
          <w:rFonts w:ascii="Times" w:hAnsi="Times" w:cs="Arial"/>
        </w:rPr>
        <w:t>Bureau of Labor and Statistics’ Economic News Release—</w:t>
      </w:r>
      <w:r w:rsidRPr="00AB1F61">
        <w:rPr>
          <w:rFonts w:ascii="Times" w:hAnsi="Times" w:cs="Arial"/>
        </w:rPr>
        <w:t>Employer Costs for Employee Compensation Summary</w:t>
      </w:r>
      <w:r w:rsidRPr="00AB1F61">
        <w:t xml:space="preserve"> </w:t>
      </w:r>
      <w:r>
        <w:t xml:space="preserve">(December 2023). </w:t>
      </w:r>
      <w:r w:rsidRPr="00AB1F61">
        <w:t>https://www.bls.gov/news.release/ecec.nr0.htm</w:t>
      </w:r>
    </w:p>
    <w:p w:rsidR="005C5A2E" w14:paraId="4674CFB5" w14:textId="69B50C8C">
      <w:pPr>
        <w:pStyle w:val="FootnoteText"/>
      </w:pPr>
    </w:p>
  </w:footnote>
  <w:footnote w:id="15">
    <w:p w:rsidR="00450026" w:rsidP="00DF3DC9" w14:paraId="5E1A5154"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3237952"/>
    <w:multiLevelType w:val="hybridMultilevel"/>
    <w:tmpl w:val="A04AAB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08C3EF2"/>
    <w:multiLevelType w:val="hybridMultilevel"/>
    <w:tmpl w:val="04CAF9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FB15345"/>
    <w:multiLevelType w:val="hybridMultilevel"/>
    <w:tmpl w:val="44DE8D2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2433EE3"/>
    <w:multiLevelType w:val="hybridMultilevel"/>
    <w:tmpl w:val="900E03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34557727">
    <w:abstractNumId w:val="7"/>
  </w:num>
  <w:num w:numId="2" w16cid:durableId="2076539871">
    <w:abstractNumId w:val="1"/>
  </w:num>
  <w:num w:numId="3" w16cid:durableId="1366951937">
    <w:abstractNumId w:val="4"/>
  </w:num>
  <w:num w:numId="4" w16cid:durableId="2125540543">
    <w:abstractNumId w:val="5"/>
  </w:num>
  <w:num w:numId="5" w16cid:durableId="2009599857">
    <w:abstractNumId w:val="3"/>
  </w:num>
  <w:num w:numId="6" w16cid:durableId="707729837">
    <w:abstractNumId w:val="9"/>
  </w:num>
  <w:num w:numId="7" w16cid:durableId="363791153">
    <w:abstractNumId w:val="0"/>
  </w:num>
  <w:num w:numId="8" w16cid:durableId="988629680">
    <w:abstractNumId w:val="8"/>
  </w:num>
  <w:num w:numId="9" w16cid:durableId="857044850">
    <w:abstractNumId w:val="6"/>
  </w:num>
  <w:num w:numId="10" w16cid:durableId="1345203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2C"/>
    <w:rsid w:val="00002D98"/>
    <w:rsid w:val="0001201C"/>
    <w:rsid w:val="0001423D"/>
    <w:rsid w:val="000154D7"/>
    <w:rsid w:val="000171AA"/>
    <w:rsid w:val="00025DAF"/>
    <w:rsid w:val="000331C2"/>
    <w:rsid w:val="00036001"/>
    <w:rsid w:val="000373A8"/>
    <w:rsid w:val="0005127B"/>
    <w:rsid w:val="00062DBB"/>
    <w:rsid w:val="00064134"/>
    <w:rsid w:val="000650F6"/>
    <w:rsid w:val="00065170"/>
    <w:rsid w:val="00074A13"/>
    <w:rsid w:val="00077055"/>
    <w:rsid w:val="000929B6"/>
    <w:rsid w:val="00094481"/>
    <w:rsid w:val="0009591A"/>
    <w:rsid w:val="000A0820"/>
    <w:rsid w:val="000A650D"/>
    <w:rsid w:val="000B196A"/>
    <w:rsid w:val="000B33EC"/>
    <w:rsid w:val="000B38A7"/>
    <w:rsid w:val="000C45D9"/>
    <w:rsid w:val="000D2934"/>
    <w:rsid w:val="000E39A5"/>
    <w:rsid w:val="000E3AB0"/>
    <w:rsid w:val="000E7A56"/>
    <w:rsid w:val="000F245B"/>
    <w:rsid w:val="000F4C00"/>
    <w:rsid w:val="0010518D"/>
    <w:rsid w:val="001100D5"/>
    <w:rsid w:val="00113319"/>
    <w:rsid w:val="00114A72"/>
    <w:rsid w:val="00115E83"/>
    <w:rsid w:val="00117397"/>
    <w:rsid w:val="001200C0"/>
    <w:rsid w:val="00121D8C"/>
    <w:rsid w:val="00124E3B"/>
    <w:rsid w:val="0012713D"/>
    <w:rsid w:val="00150662"/>
    <w:rsid w:val="00150F00"/>
    <w:rsid w:val="00151857"/>
    <w:rsid w:val="001527CB"/>
    <w:rsid w:val="00183EE4"/>
    <w:rsid w:val="001A20C0"/>
    <w:rsid w:val="001A4BFA"/>
    <w:rsid w:val="001A4F87"/>
    <w:rsid w:val="001A551A"/>
    <w:rsid w:val="001B49B3"/>
    <w:rsid w:val="001B542C"/>
    <w:rsid w:val="001C09DF"/>
    <w:rsid w:val="001C2042"/>
    <w:rsid w:val="001C2D68"/>
    <w:rsid w:val="001C4C3B"/>
    <w:rsid w:val="001D61B8"/>
    <w:rsid w:val="001D6387"/>
    <w:rsid w:val="001D6693"/>
    <w:rsid w:val="001D7E0F"/>
    <w:rsid w:val="001E655A"/>
    <w:rsid w:val="002014F0"/>
    <w:rsid w:val="002043DA"/>
    <w:rsid w:val="002136E6"/>
    <w:rsid w:val="00213E11"/>
    <w:rsid w:val="00215098"/>
    <w:rsid w:val="00216555"/>
    <w:rsid w:val="002171DA"/>
    <w:rsid w:val="00224ABB"/>
    <w:rsid w:val="00232C29"/>
    <w:rsid w:val="0024391C"/>
    <w:rsid w:val="00245241"/>
    <w:rsid w:val="0024786F"/>
    <w:rsid w:val="00251808"/>
    <w:rsid w:val="002529A5"/>
    <w:rsid w:val="00253C68"/>
    <w:rsid w:val="00261A6E"/>
    <w:rsid w:val="002646CD"/>
    <w:rsid w:val="00272B12"/>
    <w:rsid w:val="00274927"/>
    <w:rsid w:val="0028079A"/>
    <w:rsid w:val="00280DFD"/>
    <w:rsid w:val="00284895"/>
    <w:rsid w:val="002854D3"/>
    <w:rsid w:val="00285807"/>
    <w:rsid w:val="00285857"/>
    <w:rsid w:val="0028755A"/>
    <w:rsid w:val="00290D1A"/>
    <w:rsid w:val="00291D34"/>
    <w:rsid w:val="002A3DCA"/>
    <w:rsid w:val="002A585E"/>
    <w:rsid w:val="002B118F"/>
    <w:rsid w:val="002B7DF0"/>
    <w:rsid w:val="002C0015"/>
    <w:rsid w:val="002C10B1"/>
    <w:rsid w:val="002D18BA"/>
    <w:rsid w:val="002E1611"/>
    <w:rsid w:val="002F2890"/>
    <w:rsid w:val="002F40C0"/>
    <w:rsid w:val="002F5889"/>
    <w:rsid w:val="002F6462"/>
    <w:rsid w:val="0030151C"/>
    <w:rsid w:val="00303692"/>
    <w:rsid w:val="00304F80"/>
    <w:rsid w:val="00305A58"/>
    <w:rsid w:val="00310DF1"/>
    <w:rsid w:val="00312197"/>
    <w:rsid w:val="00321DA7"/>
    <w:rsid w:val="003315DC"/>
    <w:rsid w:val="0033194C"/>
    <w:rsid w:val="00332ACE"/>
    <w:rsid w:val="00336819"/>
    <w:rsid w:val="0033770A"/>
    <w:rsid w:val="0034512A"/>
    <w:rsid w:val="003471F8"/>
    <w:rsid w:val="00347F77"/>
    <w:rsid w:val="003528A2"/>
    <w:rsid w:val="00356F4D"/>
    <w:rsid w:val="0036216B"/>
    <w:rsid w:val="00364637"/>
    <w:rsid w:val="00364D5B"/>
    <w:rsid w:val="00365A2C"/>
    <w:rsid w:val="00370192"/>
    <w:rsid w:val="00370626"/>
    <w:rsid w:val="00375C6C"/>
    <w:rsid w:val="00376A57"/>
    <w:rsid w:val="00376BD2"/>
    <w:rsid w:val="0037732F"/>
    <w:rsid w:val="0039208F"/>
    <w:rsid w:val="00394772"/>
    <w:rsid w:val="00396E3F"/>
    <w:rsid w:val="003B091C"/>
    <w:rsid w:val="003B0A47"/>
    <w:rsid w:val="003B5BF7"/>
    <w:rsid w:val="003B6B57"/>
    <w:rsid w:val="003B726D"/>
    <w:rsid w:val="003D1881"/>
    <w:rsid w:val="003E0A5C"/>
    <w:rsid w:val="003E4E17"/>
    <w:rsid w:val="003F326F"/>
    <w:rsid w:val="0040414E"/>
    <w:rsid w:val="00407CAC"/>
    <w:rsid w:val="00411AB5"/>
    <w:rsid w:val="00414646"/>
    <w:rsid w:val="004153AC"/>
    <w:rsid w:val="004163EA"/>
    <w:rsid w:val="004168BB"/>
    <w:rsid w:val="00422611"/>
    <w:rsid w:val="00425484"/>
    <w:rsid w:val="004301E9"/>
    <w:rsid w:val="004368AF"/>
    <w:rsid w:val="00436954"/>
    <w:rsid w:val="00437CBD"/>
    <w:rsid w:val="00450026"/>
    <w:rsid w:val="00450935"/>
    <w:rsid w:val="00451237"/>
    <w:rsid w:val="00452430"/>
    <w:rsid w:val="00452BBE"/>
    <w:rsid w:val="00462FBD"/>
    <w:rsid w:val="00465EFD"/>
    <w:rsid w:val="004664C8"/>
    <w:rsid w:val="004668D3"/>
    <w:rsid w:val="0047186F"/>
    <w:rsid w:val="00473E81"/>
    <w:rsid w:val="00474B4A"/>
    <w:rsid w:val="00477CF5"/>
    <w:rsid w:val="00484767"/>
    <w:rsid w:val="00491306"/>
    <w:rsid w:val="00491506"/>
    <w:rsid w:val="004A38EB"/>
    <w:rsid w:val="004B5EBF"/>
    <w:rsid w:val="004B709A"/>
    <w:rsid w:val="004B722D"/>
    <w:rsid w:val="004C5690"/>
    <w:rsid w:val="004C682D"/>
    <w:rsid w:val="004D11E1"/>
    <w:rsid w:val="004D3439"/>
    <w:rsid w:val="004D6CB6"/>
    <w:rsid w:val="004E0ECA"/>
    <w:rsid w:val="004E25F6"/>
    <w:rsid w:val="004E30D1"/>
    <w:rsid w:val="004E3171"/>
    <w:rsid w:val="004E3208"/>
    <w:rsid w:val="004E4586"/>
    <w:rsid w:val="004E499A"/>
    <w:rsid w:val="004E4F65"/>
    <w:rsid w:val="004E7C7A"/>
    <w:rsid w:val="004F3EE4"/>
    <w:rsid w:val="00503C34"/>
    <w:rsid w:val="00505840"/>
    <w:rsid w:val="005118EF"/>
    <w:rsid w:val="0051239E"/>
    <w:rsid w:val="00521E26"/>
    <w:rsid w:val="005271A9"/>
    <w:rsid w:val="0053186A"/>
    <w:rsid w:val="0053574F"/>
    <w:rsid w:val="00540148"/>
    <w:rsid w:val="00551556"/>
    <w:rsid w:val="00554F57"/>
    <w:rsid w:val="00583DE3"/>
    <w:rsid w:val="0058631B"/>
    <w:rsid w:val="00592E76"/>
    <w:rsid w:val="00594757"/>
    <w:rsid w:val="005A518D"/>
    <w:rsid w:val="005A6759"/>
    <w:rsid w:val="005A69F3"/>
    <w:rsid w:val="005B5D65"/>
    <w:rsid w:val="005B68D4"/>
    <w:rsid w:val="005C1B8A"/>
    <w:rsid w:val="005C5A2E"/>
    <w:rsid w:val="005D2725"/>
    <w:rsid w:val="005D4F48"/>
    <w:rsid w:val="005E1A21"/>
    <w:rsid w:val="005E5773"/>
    <w:rsid w:val="005F2ED5"/>
    <w:rsid w:val="005F6969"/>
    <w:rsid w:val="00601100"/>
    <w:rsid w:val="00602D35"/>
    <w:rsid w:val="00605AEA"/>
    <w:rsid w:val="006213FE"/>
    <w:rsid w:val="00621CE0"/>
    <w:rsid w:val="00624119"/>
    <w:rsid w:val="00625A94"/>
    <w:rsid w:val="00634D93"/>
    <w:rsid w:val="0063660C"/>
    <w:rsid w:val="00640996"/>
    <w:rsid w:val="00654678"/>
    <w:rsid w:val="006637B6"/>
    <w:rsid w:val="0067028A"/>
    <w:rsid w:val="00673B15"/>
    <w:rsid w:val="0067734D"/>
    <w:rsid w:val="0068094C"/>
    <w:rsid w:val="0069008B"/>
    <w:rsid w:val="006914F8"/>
    <w:rsid w:val="0069588D"/>
    <w:rsid w:val="00697CE2"/>
    <w:rsid w:val="00697FBC"/>
    <w:rsid w:val="006A290F"/>
    <w:rsid w:val="006B4274"/>
    <w:rsid w:val="006C4F85"/>
    <w:rsid w:val="006C7033"/>
    <w:rsid w:val="006D48D8"/>
    <w:rsid w:val="006D4C82"/>
    <w:rsid w:val="006D5A51"/>
    <w:rsid w:val="006D5E20"/>
    <w:rsid w:val="006E1C9A"/>
    <w:rsid w:val="006E7D3E"/>
    <w:rsid w:val="006F0B4E"/>
    <w:rsid w:val="006F15B0"/>
    <w:rsid w:val="006F7A1D"/>
    <w:rsid w:val="00700067"/>
    <w:rsid w:val="007011BB"/>
    <w:rsid w:val="007068C7"/>
    <w:rsid w:val="00712A74"/>
    <w:rsid w:val="00712C72"/>
    <w:rsid w:val="00713692"/>
    <w:rsid w:val="007142BE"/>
    <w:rsid w:val="00714640"/>
    <w:rsid w:val="0072049A"/>
    <w:rsid w:val="007239B6"/>
    <w:rsid w:val="00727E41"/>
    <w:rsid w:val="00731F27"/>
    <w:rsid w:val="007427B2"/>
    <w:rsid w:val="00746E55"/>
    <w:rsid w:val="007551EB"/>
    <w:rsid w:val="00757CFB"/>
    <w:rsid w:val="00760AF6"/>
    <w:rsid w:val="00773069"/>
    <w:rsid w:val="0078394D"/>
    <w:rsid w:val="00787EEA"/>
    <w:rsid w:val="00795C3E"/>
    <w:rsid w:val="007A0518"/>
    <w:rsid w:val="007A75A9"/>
    <w:rsid w:val="007A7644"/>
    <w:rsid w:val="007A7BB5"/>
    <w:rsid w:val="007B3043"/>
    <w:rsid w:val="007B3431"/>
    <w:rsid w:val="007B4725"/>
    <w:rsid w:val="007C2374"/>
    <w:rsid w:val="007D0FB8"/>
    <w:rsid w:val="007D7931"/>
    <w:rsid w:val="007E1684"/>
    <w:rsid w:val="007F1658"/>
    <w:rsid w:val="007F27B2"/>
    <w:rsid w:val="007F29AC"/>
    <w:rsid w:val="007F529A"/>
    <w:rsid w:val="0080104B"/>
    <w:rsid w:val="008054C3"/>
    <w:rsid w:val="0080709C"/>
    <w:rsid w:val="00807AF1"/>
    <w:rsid w:val="00807F73"/>
    <w:rsid w:val="0081167F"/>
    <w:rsid w:val="00815B72"/>
    <w:rsid w:val="00820031"/>
    <w:rsid w:val="00822864"/>
    <w:rsid w:val="00826267"/>
    <w:rsid w:val="00830F83"/>
    <w:rsid w:val="00832321"/>
    <w:rsid w:val="00833B22"/>
    <w:rsid w:val="00836BCF"/>
    <w:rsid w:val="00837AE0"/>
    <w:rsid w:val="0084036A"/>
    <w:rsid w:val="00844011"/>
    <w:rsid w:val="0084559A"/>
    <w:rsid w:val="00851602"/>
    <w:rsid w:val="00852EF5"/>
    <w:rsid w:val="0086459C"/>
    <w:rsid w:val="0086677D"/>
    <w:rsid w:val="008674B1"/>
    <w:rsid w:val="00887F3B"/>
    <w:rsid w:val="0089294D"/>
    <w:rsid w:val="008934F6"/>
    <w:rsid w:val="00893D03"/>
    <w:rsid w:val="00894C34"/>
    <w:rsid w:val="00894F4E"/>
    <w:rsid w:val="008963DB"/>
    <w:rsid w:val="008A1778"/>
    <w:rsid w:val="008A6B31"/>
    <w:rsid w:val="008C3F3E"/>
    <w:rsid w:val="008D2F99"/>
    <w:rsid w:val="008D45FB"/>
    <w:rsid w:val="008E25F4"/>
    <w:rsid w:val="008F3EF8"/>
    <w:rsid w:val="00907024"/>
    <w:rsid w:val="009141E3"/>
    <w:rsid w:val="00916053"/>
    <w:rsid w:val="0091673A"/>
    <w:rsid w:val="0092255B"/>
    <w:rsid w:val="00927EC9"/>
    <w:rsid w:val="00931D33"/>
    <w:rsid w:val="00934994"/>
    <w:rsid w:val="009356E6"/>
    <w:rsid w:val="00941A0C"/>
    <w:rsid w:val="00942DA2"/>
    <w:rsid w:val="00952716"/>
    <w:rsid w:val="0095335A"/>
    <w:rsid w:val="0095517C"/>
    <w:rsid w:val="00957741"/>
    <w:rsid w:val="00962F33"/>
    <w:rsid w:val="00972539"/>
    <w:rsid w:val="0097520E"/>
    <w:rsid w:val="00993FCB"/>
    <w:rsid w:val="009A3AC2"/>
    <w:rsid w:val="009A47E5"/>
    <w:rsid w:val="009A5FC1"/>
    <w:rsid w:val="009C2CD8"/>
    <w:rsid w:val="009C321A"/>
    <w:rsid w:val="009C5C2D"/>
    <w:rsid w:val="009D0E38"/>
    <w:rsid w:val="009D7209"/>
    <w:rsid w:val="009E14AA"/>
    <w:rsid w:val="009F0508"/>
    <w:rsid w:val="00A00978"/>
    <w:rsid w:val="00A011BF"/>
    <w:rsid w:val="00A0233B"/>
    <w:rsid w:val="00A06ED3"/>
    <w:rsid w:val="00A12C08"/>
    <w:rsid w:val="00A15773"/>
    <w:rsid w:val="00A24405"/>
    <w:rsid w:val="00A25650"/>
    <w:rsid w:val="00A3623D"/>
    <w:rsid w:val="00A415B8"/>
    <w:rsid w:val="00A51087"/>
    <w:rsid w:val="00A5175A"/>
    <w:rsid w:val="00A645BE"/>
    <w:rsid w:val="00A65873"/>
    <w:rsid w:val="00A667CF"/>
    <w:rsid w:val="00A66D90"/>
    <w:rsid w:val="00A705B6"/>
    <w:rsid w:val="00A80341"/>
    <w:rsid w:val="00A84CC7"/>
    <w:rsid w:val="00A93923"/>
    <w:rsid w:val="00A96924"/>
    <w:rsid w:val="00A97A73"/>
    <w:rsid w:val="00AA41BB"/>
    <w:rsid w:val="00AA5CCC"/>
    <w:rsid w:val="00AB14EF"/>
    <w:rsid w:val="00AB1F61"/>
    <w:rsid w:val="00AB2C7F"/>
    <w:rsid w:val="00AB57CA"/>
    <w:rsid w:val="00AC13CA"/>
    <w:rsid w:val="00AD4EBC"/>
    <w:rsid w:val="00AE66D7"/>
    <w:rsid w:val="00AF2C99"/>
    <w:rsid w:val="00AF4217"/>
    <w:rsid w:val="00B0281E"/>
    <w:rsid w:val="00B06D6A"/>
    <w:rsid w:val="00B1134A"/>
    <w:rsid w:val="00B16492"/>
    <w:rsid w:val="00B16742"/>
    <w:rsid w:val="00B215B9"/>
    <w:rsid w:val="00B22267"/>
    <w:rsid w:val="00B31ABA"/>
    <w:rsid w:val="00B3391C"/>
    <w:rsid w:val="00B36215"/>
    <w:rsid w:val="00B435CA"/>
    <w:rsid w:val="00B53435"/>
    <w:rsid w:val="00B60FF9"/>
    <w:rsid w:val="00B61A18"/>
    <w:rsid w:val="00B64B6E"/>
    <w:rsid w:val="00B676D5"/>
    <w:rsid w:val="00B7228D"/>
    <w:rsid w:val="00B72920"/>
    <w:rsid w:val="00B72BD8"/>
    <w:rsid w:val="00B73716"/>
    <w:rsid w:val="00BA34AB"/>
    <w:rsid w:val="00BA3713"/>
    <w:rsid w:val="00BA5763"/>
    <w:rsid w:val="00BA7A6F"/>
    <w:rsid w:val="00BB5CFC"/>
    <w:rsid w:val="00BC15A6"/>
    <w:rsid w:val="00BC48BC"/>
    <w:rsid w:val="00BC4A53"/>
    <w:rsid w:val="00BC7DD7"/>
    <w:rsid w:val="00BD331C"/>
    <w:rsid w:val="00BD4E6F"/>
    <w:rsid w:val="00BE34F4"/>
    <w:rsid w:val="00BE3BCA"/>
    <w:rsid w:val="00BF45F4"/>
    <w:rsid w:val="00C03ED3"/>
    <w:rsid w:val="00C043DB"/>
    <w:rsid w:val="00C11672"/>
    <w:rsid w:val="00C14A7C"/>
    <w:rsid w:val="00C15830"/>
    <w:rsid w:val="00C15A49"/>
    <w:rsid w:val="00C20AB2"/>
    <w:rsid w:val="00C21B6A"/>
    <w:rsid w:val="00C239B0"/>
    <w:rsid w:val="00C36238"/>
    <w:rsid w:val="00C42DB9"/>
    <w:rsid w:val="00C44730"/>
    <w:rsid w:val="00C75A28"/>
    <w:rsid w:val="00C7695C"/>
    <w:rsid w:val="00C864FC"/>
    <w:rsid w:val="00CA0DDB"/>
    <w:rsid w:val="00CA6E8C"/>
    <w:rsid w:val="00CB0DF0"/>
    <w:rsid w:val="00CB16E9"/>
    <w:rsid w:val="00CB1852"/>
    <w:rsid w:val="00CB50A6"/>
    <w:rsid w:val="00CC344A"/>
    <w:rsid w:val="00CC6176"/>
    <w:rsid w:val="00CD3538"/>
    <w:rsid w:val="00CD4905"/>
    <w:rsid w:val="00CD6B1E"/>
    <w:rsid w:val="00CD6F99"/>
    <w:rsid w:val="00CE1150"/>
    <w:rsid w:val="00CE1E75"/>
    <w:rsid w:val="00CF6EA0"/>
    <w:rsid w:val="00D019F5"/>
    <w:rsid w:val="00D06D4B"/>
    <w:rsid w:val="00D101EE"/>
    <w:rsid w:val="00D1234E"/>
    <w:rsid w:val="00D173DB"/>
    <w:rsid w:val="00D230C8"/>
    <w:rsid w:val="00D23E75"/>
    <w:rsid w:val="00D27172"/>
    <w:rsid w:val="00D33687"/>
    <w:rsid w:val="00D3495F"/>
    <w:rsid w:val="00D34C54"/>
    <w:rsid w:val="00D41003"/>
    <w:rsid w:val="00D422F6"/>
    <w:rsid w:val="00D428D4"/>
    <w:rsid w:val="00D43D17"/>
    <w:rsid w:val="00D5376A"/>
    <w:rsid w:val="00D557F3"/>
    <w:rsid w:val="00D57677"/>
    <w:rsid w:val="00D62ABD"/>
    <w:rsid w:val="00D67455"/>
    <w:rsid w:val="00D71142"/>
    <w:rsid w:val="00D71AD2"/>
    <w:rsid w:val="00D72F3B"/>
    <w:rsid w:val="00D75B7B"/>
    <w:rsid w:val="00D8102C"/>
    <w:rsid w:val="00D82765"/>
    <w:rsid w:val="00D82C6F"/>
    <w:rsid w:val="00D834AD"/>
    <w:rsid w:val="00D8376B"/>
    <w:rsid w:val="00D84A62"/>
    <w:rsid w:val="00D85D80"/>
    <w:rsid w:val="00D91B0B"/>
    <w:rsid w:val="00D94C3C"/>
    <w:rsid w:val="00D965B1"/>
    <w:rsid w:val="00DA09D2"/>
    <w:rsid w:val="00DA1C57"/>
    <w:rsid w:val="00DA44A8"/>
    <w:rsid w:val="00DA4AD3"/>
    <w:rsid w:val="00DA7831"/>
    <w:rsid w:val="00DB1277"/>
    <w:rsid w:val="00DB30DB"/>
    <w:rsid w:val="00DB7B50"/>
    <w:rsid w:val="00DC1CA7"/>
    <w:rsid w:val="00DC6309"/>
    <w:rsid w:val="00DC6D00"/>
    <w:rsid w:val="00DD0F7E"/>
    <w:rsid w:val="00DD102D"/>
    <w:rsid w:val="00DD226D"/>
    <w:rsid w:val="00DD3D53"/>
    <w:rsid w:val="00DD5373"/>
    <w:rsid w:val="00DD544D"/>
    <w:rsid w:val="00DF3DC9"/>
    <w:rsid w:val="00DF4180"/>
    <w:rsid w:val="00DF7C37"/>
    <w:rsid w:val="00DF7EF3"/>
    <w:rsid w:val="00E0514C"/>
    <w:rsid w:val="00E1607C"/>
    <w:rsid w:val="00E176A9"/>
    <w:rsid w:val="00E36814"/>
    <w:rsid w:val="00E36E24"/>
    <w:rsid w:val="00E4382A"/>
    <w:rsid w:val="00E50188"/>
    <w:rsid w:val="00E5089A"/>
    <w:rsid w:val="00E61ABB"/>
    <w:rsid w:val="00E738A1"/>
    <w:rsid w:val="00E7407D"/>
    <w:rsid w:val="00E84E9C"/>
    <w:rsid w:val="00E872E9"/>
    <w:rsid w:val="00E92ACB"/>
    <w:rsid w:val="00E94928"/>
    <w:rsid w:val="00E9530E"/>
    <w:rsid w:val="00E955C9"/>
    <w:rsid w:val="00EB4C01"/>
    <w:rsid w:val="00EC0CBB"/>
    <w:rsid w:val="00EC3F7B"/>
    <w:rsid w:val="00EE1737"/>
    <w:rsid w:val="00EE29AA"/>
    <w:rsid w:val="00EF547A"/>
    <w:rsid w:val="00EF5C03"/>
    <w:rsid w:val="00F028A9"/>
    <w:rsid w:val="00F0378B"/>
    <w:rsid w:val="00F03B70"/>
    <w:rsid w:val="00F13154"/>
    <w:rsid w:val="00F1622B"/>
    <w:rsid w:val="00F210D4"/>
    <w:rsid w:val="00F218D0"/>
    <w:rsid w:val="00F25115"/>
    <w:rsid w:val="00F26B6C"/>
    <w:rsid w:val="00F27C2C"/>
    <w:rsid w:val="00F32384"/>
    <w:rsid w:val="00F401F5"/>
    <w:rsid w:val="00F41F88"/>
    <w:rsid w:val="00F50258"/>
    <w:rsid w:val="00F60C36"/>
    <w:rsid w:val="00F64428"/>
    <w:rsid w:val="00F64C2B"/>
    <w:rsid w:val="00F656FD"/>
    <w:rsid w:val="00F65712"/>
    <w:rsid w:val="00F70DA9"/>
    <w:rsid w:val="00F753A3"/>
    <w:rsid w:val="00F761FB"/>
    <w:rsid w:val="00F7768F"/>
    <w:rsid w:val="00F80F0B"/>
    <w:rsid w:val="00F81F06"/>
    <w:rsid w:val="00F8345D"/>
    <w:rsid w:val="00FA3223"/>
    <w:rsid w:val="00FA68D1"/>
    <w:rsid w:val="00FB281D"/>
    <w:rsid w:val="00FB78F2"/>
    <w:rsid w:val="00FD1FFC"/>
    <w:rsid w:val="00FD34EE"/>
    <w:rsid w:val="00FE23F9"/>
    <w:rsid w:val="00FE2729"/>
    <w:rsid w:val="00FF36BB"/>
    <w:rsid w:val="00FF72F1"/>
    <w:rsid w:val="00FF7888"/>
    <w:rsid w:val="2F157978"/>
    <w:rsid w:val="4507A9A8"/>
    <w:rsid w:val="4F00180B"/>
    <w:rsid w:val="4F63D842"/>
    <w:rsid w:val="56910FFC"/>
    <w:rsid w:val="5B6EAB69"/>
    <w:rsid w:val="5CB30502"/>
  </w:rsids>
  <w:docVars>
    <w:docVar w:name="__Grammarly_42___1" w:val="H4sIAAAAAAAEAKtWcslP9kxRslIyNDY2sjA3NDW0NDEzNjcxN7BQ0lEKTi0uzszPAykwqQUACc5Exi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1B5C26E"/>
  <w15:docId w15:val="{3BE802D2-0FDC-413D-BB54-A51030F9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4F6"/>
    <w:rPr>
      <w:rFonts w:ascii="Times New Roman" w:hAnsi="Times New Roman"/>
      <w:sz w:val="24"/>
    </w:rPr>
  </w:style>
  <w:style w:type="paragraph" w:styleId="Heading1">
    <w:name w:val="heading 1"/>
    <w:basedOn w:val="Normal"/>
    <w:next w:val="Normal"/>
    <w:link w:val="Heading1Char"/>
    <w:uiPriority w:val="9"/>
    <w:qFormat/>
    <w:rsid w:val="00D557F3"/>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F1),Footnote Westat Style (Text"/>
    <w:basedOn w:val="Normal"/>
    <w:link w:val="FootnoteTextChar"/>
    <w:uiPriority w:val="99"/>
    <w:unhideWhenUsed/>
    <w:rsid w:val="00F27C2C"/>
    <w:pPr>
      <w:spacing w:after="0" w:line="240" w:lineRule="auto"/>
    </w:pPr>
    <w:rPr>
      <w:sz w:val="20"/>
      <w:szCs w:val="20"/>
    </w:rPr>
  </w:style>
  <w:style w:type="character" w:customStyle="1" w:styleId="FootnoteTextChar">
    <w:name w:val="Footnote Text Char"/>
    <w:aliases w:val="F1 Char,F1) Char,Footnote Westat Style (Text Char"/>
    <w:basedOn w:val="DefaultParagraphFont"/>
    <w:link w:val="FootnoteText"/>
    <w:uiPriority w:val="99"/>
    <w:rsid w:val="00F27C2C"/>
    <w:rPr>
      <w:rFonts w:ascii="Times New Roman" w:hAnsi="Times New Roman"/>
      <w:sz w:val="20"/>
      <w:szCs w:val="20"/>
    </w:rPr>
  </w:style>
  <w:style w:type="character" w:styleId="FootnoteReference">
    <w:name w:val="footnote reference"/>
    <w:aliases w:val="Appel note de bas de p,Appel note de bas de p + 11 pt,Footnote,Italic"/>
    <w:basedOn w:val="DefaultParagraphFont"/>
    <w:uiPriority w:val="99"/>
    <w:unhideWhenUsed/>
    <w:qFormat/>
    <w:rsid w:val="00F27C2C"/>
    <w:rPr>
      <w:vertAlign w:val="superscript"/>
    </w:rPr>
  </w:style>
  <w:style w:type="paragraph" w:styleId="ListParagraph">
    <w:name w:val="List Paragraph"/>
    <w:basedOn w:val="Normal"/>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customStyle="1" w:styleId="UnresolvedMention1">
    <w:name w:val="Unresolved Mention1"/>
    <w:basedOn w:val="DefaultParagraphFont"/>
    <w:uiPriority w:val="99"/>
    <w:semiHidden/>
    <w:unhideWhenUsed/>
    <w:rsid w:val="00505840"/>
    <w:rPr>
      <w:color w:val="808080"/>
      <w:shd w:val="clear" w:color="auto" w:fill="E6E6E6"/>
    </w:rPr>
  </w:style>
  <w:style w:type="character" w:styleId="CommentReference">
    <w:name w:val="annotation reference"/>
    <w:basedOn w:val="DefaultParagraphFont"/>
    <w:unhideWhenUsed/>
    <w:rsid w:val="00E872E9"/>
    <w:rPr>
      <w:sz w:val="16"/>
      <w:szCs w:val="16"/>
    </w:rPr>
  </w:style>
  <w:style w:type="paragraph" w:styleId="CommentText">
    <w:name w:val="annotation text"/>
    <w:basedOn w:val="Normal"/>
    <w:link w:val="CommentTextChar"/>
    <w:unhideWhenUsed/>
    <w:rsid w:val="00E872E9"/>
    <w:pPr>
      <w:spacing w:line="240" w:lineRule="auto"/>
    </w:pPr>
    <w:rPr>
      <w:sz w:val="20"/>
      <w:szCs w:val="20"/>
    </w:rPr>
  </w:style>
  <w:style w:type="character" w:customStyle="1" w:styleId="CommentTextChar">
    <w:name w:val="Comment Text Char"/>
    <w:basedOn w:val="DefaultParagraphFont"/>
    <w:link w:val="CommentText"/>
    <w:rsid w:val="00E872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72E9"/>
    <w:rPr>
      <w:b/>
      <w:bCs/>
    </w:rPr>
  </w:style>
  <w:style w:type="character" w:customStyle="1" w:styleId="CommentSubjectChar">
    <w:name w:val="Comment Subject Char"/>
    <w:basedOn w:val="CommentTextChar"/>
    <w:link w:val="CommentSubject"/>
    <w:uiPriority w:val="99"/>
    <w:semiHidden/>
    <w:rsid w:val="00E872E9"/>
    <w:rPr>
      <w:rFonts w:ascii="Times New Roman" w:hAnsi="Times New Roman"/>
      <w:b/>
      <w:bCs/>
      <w:sz w:val="20"/>
      <w:szCs w:val="20"/>
    </w:rPr>
  </w:style>
  <w:style w:type="paragraph" w:styleId="BalloonText">
    <w:name w:val="Balloon Text"/>
    <w:basedOn w:val="Normal"/>
    <w:link w:val="BalloonTextChar"/>
    <w:uiPriority w:val="99"/>
    <w:semiHidden/>
    <w:unhideWhenUsed/>
    <w:rsid w:val="00E87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E9"/>
    <w:rPr>
      <w:rFonts w:ascii="Segoe UI" w:hAnsi="Segoe UI" w:cs="Segoe UI"/>
      <w:sz w:val="18"/>
      <w:szCs w:val="18"/>
    </w:rPr>
  </w:style>
  <w:style w:type="character" w:styleId="FollowedHyperlink">
    <w:name w:val="FollowedHyperlink"/>
    <w:basedOn w:val="DefaultParagraphFont"/>
    <w:uiPriority w:val="99"/>
    <w:semiHidden/>
    <w:unhideWhenUsed/>
    <w:rsid w:val="00601100"/>
    <w:rPr>
      <w:color w:val="800080" w:themeColor="followedHyperlink"/>
      <w:u w:val="single"/>
    </w:rPr>
  </w:style>
  <w:style w:type="character" w:customStyle="1" w:styleId="Heading1Char">
    <w:name w:val="Heading 1 Char"/>
    <w:basedOn w:val="DefaultParagraphFont"/>
    <w:link w:val="Heading1"/>
    <w:uiPriority w:val="9"/>
    <w:rsid w:val="00D557F3"/>
    <w:rPr>
      <w:rFonts w:ascii="Times New Roman" w:hAnsi="Times New Roman"/>
      <w:b/>
      <w:sz w:val="24"/>
    </w:rPr>
  </w:style>
  <w:style w:type="paragraph" w:styleId="HTMLPreformatted">
    <w:name w:val="HTML Preformatted"/>
    <w:basedOn w:val="Normal"/>
    <w:link w:val="HTMLPreformattedChar"/>
    <w:rsid w:val="00364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64D5B"/>
    <w:rPr>
      <w:rFonts w:ascii="Courier New" w:eastAsia="Times New Roman" w:hAnsi="Courier New" w:cs="Courier New"/>
      <w:sz w:val="20"/>
      <w:szCs w:val="20"/>
    </w:rPr>
  </w:style>
  <w:style w:type="paragraph" w:styleId="Revision">
    <w:name w:val="Revision"/>
    <w:hidden/>
    <w:uiPriority w:val="99"/>
    <w:semiHidden/>
    <w:rsid w:val="0091673A"/>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962F33"/>
    <w:rPr>
      <w:color w:val="605E5C"/>
      <w:shd w:val="clear" w:color="auto" w:fill="E1DFDD"/>
    </w:rPr>
  </w:style>
  <w:style w:type="paragraph" w:styleId="Footer">
    <w:name w:val="footer"/>
    <w:basedOn w:val="Normal"/>
    <w:link w:val="FooterChar"/>
    <w:uiPriority w:val="99"/>
    <w:unhideWhenUsed/>
    <w:rsid w:val="00127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13D"/>
    <w:rPr>
      <w:rFonts w:ascii="Times New Roman" w:hAnsi="Times New Roman"/>
      <w:sz w:val="24"/>
    </w:rPr>
  </w:style>
  <w:style w:type="character" w:styleId="PageNumber">
    <w:name w:val="page number"/>
    <w:basedOn w:val="DefaultParagraphFont"/>
    <w:uiPriority w:val="99"/>
    <w:semiHidden/>
    <w:unhideWhenUsed/>
    <w:rsid w:val="0012713D"/>
  </w:style>
  <w:style w:type="paragraph" w:styleId="Header">
    <w:name w:val="header"/>
    <w:basedOn w:val="Normal"/>
    <w:link w:val="HeaderChar"/>
    <w:uiPriority w:val="99"/>
    <w:unhideWhenUsed/>
    <w:rsid w:val="00BC4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8BC"/>
    <w:rPr>
      <w:rFonts w:ascii="Times New Roman" w:hAnsi="Times New Roman"/>
      <w:sz w:val="24"/>
    </w:rPr>
  </w:style>
  <w:style w:type="character" w:customStyle="1" w:styleId="ui-provider">
    <w:name w:val="ui-provider"/>
    <w:basedOn w:val="DefaultParagraphFont"/>
    <w:rsid w:val="00E16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samhsa.gov/data/sites/default/files/reports/rpt29394/NSDUHDetailedTabs2019/NSDUHDetTabsSect2pe2019.htm" TargetMode="External" /><Relationship Id="rId2" Type="http://schemas.openxmlformats.org/officeDocument/2006/relationships/hyperlink" Target="https://www.bls.gov/news.release/empsit.t1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94EF53-5187-4844-B496-21AD114A6F21}">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a2308a-ff2e-4b5c-b67a-81f112fe7f98">
      <Terms xmlns="http://schemas.microsoft.com/office/infopath/2007/PartnerControls"/>
    </lcf76f155ced4ddcb4097134ff3c332f>
    <TaxCatchAll xmlns="d13a9d93-e783-44c3-a3c5-056a985a6a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9FAA61360CFE498FFD30B1577B2ABA" ma:contentTypeVersion="16" ma:contentTypeDescription="Create a new document." ma:contentTypeScope="" ma:versionID="4eff5e1ebbab16587b950c34c46aa5b8">
  <xsd:schema xmlns:xsd="http://www.w3.org/2001/XMLSchema" xmlns:xs="http://www.w3.org/2001/XMLSchema" xmlns:p="http://schemas.microsoft.com/office/2006/metadata/properties" xmlns:ns2="054610c7-ef2d-4c6d-a1ad-23a862a5fac8" xmlns:ns3="b2a2308a-ff2e-4b5c-b67a-81f112fe7f98" xmlns:ns4="d13a9d93-e783-44c3-a3c5-056a985a6a32" targetNamespace="http://schemas.microsoft.com/office/2006/metadata/properties" ma:root="true" ma:fieldsID="c5ad7f144c8f8dce668157f8a3831991" ns2:_="" ns3:_="" ns4:_="">
    <xsd:import namespace="054610c7-ef2d-4c6d-a1ad-23a862a5fac8"/>
    <xsd:import namespace="b2a2308a-ff2e-4b5c-b67a-81f112fe7f98"/>
    <xsd:import namespace="d13a9d93-e783-44c3-a3c5-056a985a6a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610c7-ef2d-4c6d-a1ad-23a862a5f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a2308a-ff2e-4b5c-b67a-81f112fe7f98"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d00f6e-5ea7-4abc-bdca-8cefd1e63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a9d93-e783-44c3-a3c5-056a985a6a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bbac84-bf7c-4195-859e-245af6c4d880}" ma:internalName="TaxCatchAll" ma:showField="CatchAllData" ma:web="d13a9d93-e783-44c3-a3c5-056a985a6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AFFF1B-D21D-B14F-A212-D4FF04498F26}">
  <ds:schemaRefs>
    <ds:schemaRef ds:uri="http://schemas.openxmlformats.org/officeDocument/2006/bibliography"/>
  </ds:schemaRefs>
</ds:datastoreItem>
</file>

<file path=customXml/itemProps2.xml><?xml version="1.0" encoding="utf-8"?>
<ds:datastoreItem xmlns:ds="http://schemas.openxmlformats.org/officeDocument/2006/customXml" ds:itemID="{F4F659A9-3E11-466C-A5FD-1DBE7120FA6B}">
  <ds:schemaRefs>
    <ds:schemaRef ds:uri="http://schemas.microsoft.com/sharepoint/v3/contenttype/forms"/>
  </ds:schemaRefs>
</ds:datastoreItem>
</file>

<file path=customXml/itemProps3.xml><?xml version="1.0" encoding="utf-8"?>
<ds:datastoreItem xmlns:ds="http://schemas.openxmlformats.org/officeDocument/2006/customXml" ds:itemID="{CC7F0691-AB24-4357-9241-A9BD98CB32C1}">
  <ds:schemaRefs>
    <ds:schemaRef ds:uri="http://schemas.microsoft.com/office/2006/metadata/properties"/>
    <ds:schemaRef ds:uri="http://schemas.microsoft.com/office/infopath/2007/PartnerControls"/>
    <ds:schemaRef ds:uri="b2a2308a-ff2e-4b5c-b67a-81f112fe7f98"/>
    <ds:schemaRef ds:uri="d13a9d93-e783-44c3-a3c5-056a985a6a32"/>
  </ds:schemaRefs>
</ds:datastoreItem>
</file>

<file path=customXml/itemProps4.xml><?xml version="1.0" encoding="utf-8"?>
<ds:datastoreItem xmlns:ds="http://schemas.openxmlformats.org/officeDocument/2006/customXml" ds:itemID="{4652784F-76C0-4DAB-B330-919DB9549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610c7-ef2d-4c6d-a1ad-23a862a5fac8"/>
    <ds:schemaRef ds:uri="b2a2308a-ff2e-4b5c-b67a-81f112fe7f98"/>
    <ds:schemaRef ds:uri="d13a9d93-e783-44c3-a3c5-056a985a6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f94cd-56b4-4f22-b0ae-e1f6065b755a}" enabled="0" method="" siteId="{377f94cd-56b4-4f22-b0ae-e1f6065b755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4365</Words>
  <Characters>24884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Giulio, Yasmine A. EOP/OMB</dc:creator>
  <cp:lastModifiedBy>Hong, Kil-Jae (NHTSA)</cp:lastModifiedBy>
  <cp:revision>2</cp:revision>
  <dcterms:created xsi:type="dcterms:W3CDTF">2024-01-30T13:09:00Z</dcterms:created>
  <dcterms:modified xsi:type="dcterms:W3CDTF">2024-01-30T13:09:00Z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0x010100019FAA61360CFE498FFD30B1577B2ABA</vt:lpwstr>
  </property>
  <property fmtid="{D5CDD505-2E9C-101B-9397-08002B2CF9AE}" pid="3" name="MediaServiceImageTags">
    <vt:lpwstr/>
  </property>
</Properties>
</file>