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33218608"/>
    <w:p w:rsidR="003B7FC9" w:rsidRPr="00F56B7E" w:rsidP="003B7FC9" w14:paraId="2584E280" w14:textId="77777777">
      <w:pPr>
        <w:widowControl w:val="0"/>
        <w:tabs>
          <w:tab w:val="center" w:pos="4680"/>
        </w:tabs>
        <w:jc w:val="center"/>
        <w:rPr>
          <w:b/>
          <w:szCs w:val="24"/>
        </w:rPr>
      </w:pPr>
      <w:r>
        <w:fldChar w:fldCharType="begin"/>
      </w:r>
      <w:r>
        <w:instrText xml:space="preserve"> SEQ CHAPTER \h \r 1</w:instrText>
      </w:r>
      <w:r>
        <w:fldChar w:fldCharType="separate"/>
      </w:r>
      <w:r>
        <w:fldChar w:fldCharType="end"/>
      </w:r>
      <w:r w:rsidRPr="00F56B7E">
        <w:rPr>
          <w:b/>
          <w:szCs w:val="24"/>
        </w:rPr>
        <w:t>FEDERAL RAILROAD ADMINISTRATION</w:t>
      </w:r>
    </w:p>
    <w:p w:rsidR="003B7FC9" w:rsidP="003B7FC9" w14:paraId="75F219F2" w14:textId="6598F3BF">
      <w:pPr>
        <w:widowControl w:val="0"/>
        <w:tabs>
          <w:tab w:val="center" w:pos="4680"/>
        </w:tabs>
        <w:jc w:val="center"/>
        <w:rPr>
          <w:b/>
        </w:rPr>
      </w:pPr>
      <w:r>
        <w:rPr>
          <w:b/>
        </w:rPr>
        <w:t>Passenger Train Emergency Systems</w:t>
      </w:r>
    </w:p>
    <w:p w:rsidR="003B7FC9" w:rsidRPr="00F56B7E" w:rsidP="003B7FC9" w14:paraId="63DA43C3" w14:textId="77777777">
      <w:pPr>
        <w:widowControl w:val="0"/>
        <w:tabs>
          <w:tab w:val="center" w:pos="4680"/>
        </w:tabs>
        <w:jc w:val="center"/>
        <w:rPr>
          <w:b/>
          <w:szCs w:val="24"/>
        </w:rPr>
      </w:pPr>
      <w:r w:rsidRPr="00F56B7E">
        <w:rPr>
          <w:b/>
          <w:szCs w:val="24"/>
        </w:rPr>
        <w:t xml:space="preserve"> (Title 49 Code of Federal Regulations Part </w:t>
      </w:r>
      <w:r>
        <w:rPr>
          <w:b/>
          <w:szCs w:val="24"/>
        </w:rPr>
        <w:t>238</w:t>
      </w:r>
      <w:r w:rsidRPr="00F56B7E">
        <w:rPr>
          <w:b/>
          <w:szCs w:val="24"/>
        </w:rPr>
        <w:t>)</w:t>
      </w:r>
    </w:p>
    <w:p w:rsidR="003B7FC9" w:rsidRPr="00F56B7E" w:rsidP="003B7FC9" w14:paraId="47666A94" w14:textId="77777777">
      <w:pPr>
        <w:widowControl w:val="0"/>
        <w:tabs>
          <w:tab w:val="center" w:pos="4680"/>
        </w:tabs>
        <w:jc w:val="center"/>
        <w:rPr>
          <w:szCs w:val="24"/>
        </w:rPr>
      </w:pPr>
      <w:r w:rsidRPr="00F56B7E">
        <w:rPr>
          <w:b/>
          <w:szCs w:val="24"/>
        </w:rPr>
        <w:t>SUPPORTING JUSTIFICATION</w:t>
      </w:r>
    </w:p>
    <w:p w:rsidR="003B7FC9" w:rsidRPr="004D4ECE" w:rsidP="003B7FC9" w14:paraId="3F138855" w14:textId="77777777">
      <w:pPr>
        <w:widowControl w:val="0"/>
        <w:tabs>
          <w:tab w:val="center" w:pos="4680"/>
        </w:tabs>
        <w:jc w:val="center"/>
        <w:rPr>
          <w:b/>
          <w:szCs w:val="24"/>
        </w:rPr>
      </w:pPr>
      <w:r w:rsidRPr="00F56B7E">
        <w:rPr>
          <w:b/>
          <w:szCs w:val="24"/>
        </w:rPr>
        <w:t>OMB Control No. 2130-05</w:t>
      </w:r>
      <w:r>
        <w:rPr>
          <w:b/>
          <w:szCs w:val="24"/>
        </w:rPr>
        <w:t>76</w:t>
      </w:r>
    </w:p>
    <w:bookmarkEnd w:id="0"/>
    <w:p w:rsidR="00351CE2" w14:paraId="6B61F32D" w14:textId="77777777">
      <w:pPr>
        <w:widowControl w:val="0"/>
        <w:tabs>
          <w:tab w:val="center" w:pos="4680"/>
        </w:tabs>
        <w:rPr>
          <w:b/>
        </w:rPr>
      </w:pPr>
    </w:p>
    <w:p w:rsidR="00351CE2" w:rsidP="00351CE2" w14:paraId="27BAFE6F" w14:textId="27C8371E">
      <w:pPr>
        <w:widowControl w:val="0"/>
        <w:ind w:left="720"/>
        <w:rPr>
          <w:u w:val="single"/>
        </w:rPr>
      </w:pPr>
      <w:r w:rsidRPr="00095D9C">
        <w:rPr>
          <w:u w:val="single"/>
        </w:rPr>
        <w:t>Summary</w:t>
      </w:r>
      <w:r w:rsidR="00D53C37">
        <w:rPr>
          <w:u w:val="single"/>
        </w:rPr>
        <w:t xml:space="preserve"> of Submission</w:t>
      </w:r>
    </w:p>
    <w:p w:rsidR="00351CE2" w:rsidP="00351CE2" w14:paraId="4BBFB02E" w14:textId="77777777">
      <w:pPr>
        <w:widowControl w:val="0"/>
        <w:ind w:left="720"/>
        <w:rPr>
          <w:u w:val="single"/>
        </w:rPr>
      </w:pPr>
    </w:p>
    <w:p w:rsidR="003B7FC9" w:rsidRPr="003B7FC9" w:rsidP="003B7FC9" w14:paraId="13D6B5F9" w14:textId="641988A6">
      <w:pPr>
        <w:widowControl w:val="0"/>
        <w:numPr>
          <w:ilvl w:val="1"/>
          <w:numId w:val="6"/>
        </w:numPr>
      </w:pPr>
      <w:r>
        <w:t xml:space="preserve">This submission is a request for an </w:t>
      </w:r>
      <w:r w:rsidRPr="003B7FC9">
        <w:t>extension with</w:t>
      </w:r>
      <w:r w:rsidR="00107E85">
        <w:t>out</w:t>
      </w:r>
      <w:r w:rsidRPr="003B7FC9">
        <w:t xml:space="preserve"> change </w:t>
      </w:r>
      <w:r w:rsidR="00107E85">
        <w:t xml:space="preserve">(with changes in estimates) </w:t>
      </w:r>
      <w:r w:rsidRPr="003B7FC9">
        <w:t>of the last three-year approval granted by the Office of Management and Budget (OMB) on</w:t>
      </w:r>
      <w:r w:rsidR="00FD4262">
        <w:t xml:space="preserve"> October 15, 2020,</w:t>
      </w:r>
      <w:r w:rsidRPr="003B7FC9">
        <w:t xml:space="preserve"> which now expires on </w:t>
      </w:r>
      <w:r w:rsidR="00FD4262">
        <w:t>October 31, 2023</w:t>
      </w:r>
      <w:r w:rsidRPr="003B7FC9">
        <w:t xml:space="preserve">. </w:t>
      </w:r>
    </w:p>
    <w:p w:rsidR="003B7FC9" w:rsidRPr="003B7FC9" w:rsidP="003B7FC9" w14:paraId="2F0FBC18" w14:textId="77777777">
      <w:pPr>
        <w:widowControl w:val="0"/>
        <w:ind w:left="1080"/>
      </w:pPr>
    </w:p>
    <w:p w:rsidR="00E42704" w:rsidP="001C7BF0" w14:paraId="563B141A" w14:textId="57F16FFB">
      <w:pPr>
        <w:pStyle w:val="ListParagraph"/>
        <w:widowControl w:val="0"/>
        <w:numPr>
          <w:ilvl w:val="1"/>
          <w:numId w:val="6"/>
        </w:numPr>
      </w:pPr>
      <w:r>
        <w:t>The Federal Railroad Administration (</w:t>
      </w:r>
      <w:r w:rsidR="006426AD">
        <w:t>hereafter “</w:t>
      </w:r>
      <w:r w:rsidRPr="003B7FC9" w:rsidR="003B7FC9">
        <w:t>FRA</w:t>
      </w:r>
      <w:r w:rsidR="006426AD">
        <w:t>” or “the Agency”</w:t>
      </w:r>
      <w:r>
        <w:t>)</w:t>
      </w:r>
      <w:r w:rsidRPr="003B7FC9" w:rsidR="003B7FC9">
        <w:t xml:space="preserve"> published the required 60-day </w:t>
      </w:r>
      <w:r>
        <w:t xml:space="preserve">Notice in the </w:t>
      </w:r>
      <w:r w:rsidRPr="001C7BF0" w:rsidR="003B7FC9">
        <w:rPr>
          <w:iCs/>
          <w:u w:val="single"/>
        </w:rPr>
        <w:t>Federal</w:t>
      </w:r>
      <w:r w:rsidRPr="001C7BF0" w:rsidR="003B7FC9">
        <w:rPr>
          <w:iCs/>
        </w:rPr>
        <w:t xml:space="preserve"> </w:t>
      </w:r>
      <w:r w:rsidRPr="001C7BF0" w:rsidR="003B7FC9">
        <w:rPr>
          <w:iCs/>
          <w:u w:val="single"/>
        </w:rPr>
        <w:t>Register</w:t>
      </w:r>
      <w:r w:rsidRPr="003B7FC9" w:rsidR="003B7FC9">
        <w:t xml:space="preserve"> </w:t>
      </w:r>
      <w:r>
        <w:t xml:space="preserve">(FR) on </w:t>
      </w:r>
      <w:r>
        <w:t>August 8, 2023</w:t>
      </w:r>
      <w:r>
        <w:t xml:space="preserve">.  </w:t>
      </w:r>
      <w:r w:rsidRPr="001C7BF0" w:rsidR="003B7FC9">
        <w:rPr>
          <w:u w:val="single"/>
        </w:rPr>
        <w:t>See</w:t>
      </w:r>
      <w:r w:rsidRPr="003B7FC9" w:rsidR="003B7FC9">
        <w:t xml:space="preserve"> </w:t>
      </w:r>
      <w:r>
        <w:t xml:space="preserve">88 FR </w:t>
      </w:r>
      <w:r>
        <w:t>53582</w:t>
      </w:r>
      <w:r w:rsidRPr="003B7FC9" w:rsidR="003B7FC9">
        <w:t xml:space="preserve">.  </w:t>
      </w:r>
      <w:r w:rsidRPr="00DA6AFC" w:rsidR="003B7FC9">
        <w:t xml:space="preserve">FRA received </w:t>
      </w:r>
      <w:r w:rsidRPr="001C7BF0" w:rsidR="003B7FC9">
        <w:rPr>
          <w:u w:val="single"/>
        </w:rPr>
        <w:t>no</w:t>
      </w:r>
      <w:r w:rsidRPr="00DA6AFC" w:rsidR="003B7FC9">
        <w:t xml:space="preserve"> comments in response to this Notice.</w:t>
      </w:r>
      <w:r w:rsidRPr="003B7FC9" w:rsidR="003B7FC9">
        <w:t xml:space="preserve">  </w:t>
      </w:r>
    </w:p>
    <w:p w:rsidR="00E47378" w:rsidP="00E47378" w14:paraId="449C56D5" w14:textId="77777777">
      <w:pPr>
        <w:pStyle w:val="ListParagraph"/>
      </w:pPr>
    </w:p>
    <w:p w:rsidR="003B7FC9" w:rsidRPr="00D1295D" w:rsidP="003B7FC9" w14:paraId="39476116" w14:textId="591F4E4E">
      <w:pPr>
        <w:widowControl w:val="0"/>
        <w:numPr>
          <w:ilvl w:val="1"/>
          <w:numId w:val="6"/>
        </w:numPr>
        <w:rPr>
          <w:szCs w:val="24"/>
        </w:rPr>
      </w:pPr>
      <w:r w:rsidRPr="00D1295D">
        <w:rPr>
          <w:szCs w:val="24"/>
        </w:rPr>
        <w:t>Overall, the adjustments decreased the burden by</w:t>
      </w:r>
      <w:r w:rsidR="002B6C9F">
        <w:rPr>
          <w:szCs w:val="24"/>
        </w:rPr>
        <w:t xml:space="preserve"> 104 </w:t>
      </w:r>
      <w:r>
        <w:rPr>
          <w:szCs w:val="24"/>
        </w:rPr>
        <w:t xml:space="preserve">hours and </w:t>
      </w:r>
      <w:r w:rsidR="002B6C9F">
        <w:rPr>
          <w:szCs w:val="24"/>
        </w:rPr>
        <w:t>increased</w:t>
      </w:r>
      <w:r w:rsidRPr="00D1295D">
        <w:rPr>
          <w:szCs w:val="24"/>
        </w:rPr>
        <w:t xml:space="preserve"> responses by </w:t>
      </w:r>
      <w:r w:rsidR="002B6C9F">
        <w:rPr>
          <w:szCs w:val="24"/>
        </w:rPr>
        <w:t>25</w:t>
      </w:r>
      <w:r>
        <w:rPr>
          <w:szCs w:val="24"/>
        </w:rPr>
        <w:t xml:space="preserve"> </w:t>
      </w:r>
      <w:r w:rsidRPr="00D1295D">
        <w:rPr>
          <w:szCs w:val="24"/>
        </w:rPr>
        <w:t xml:space="preserve">after a thorough review of the data.  </w:t>
      </w:r>
    </w:p>
    <w:p w:rsidR="003B7FC9" w:rsidRPr="00D1295D" w:rsidP="003B7FC9" w14:paraId="02645A98" w14:textId="77777777">
      <w:pPr>
        <w:widowControl w:val="0"/>
        <w:rPr>
          <w:szCs w:val="24"/>
        </w:rPr>
      </w:pPr>
    </w:p>
    <w:p w:rsidR="00D53C37" w:rsidP="00D53C37" w14:paraId="2708D0E2" w14:textId="650E503F">
      <w:pPr>
        <w:widowControl w:val="0"/>
        <w:numPr>
          <w:ilvl w:val="1"/>
          <w:numId w:val="6"/>
        </w:numPr>
        <w:rPr>
          <w:szCs w:val="24"/>
        </w:rPr>
      </w:pPr>
      <w:r>
        <w:rPr>
          <w:szCs w:val="24"/>
        </w:rPr>
        <w:t>The answer to question 12 itemizes all information collection requirements.</w:t>
      </w:r>
    </w:p>
    <w:p w:rsidR="00D53C37" w:rsidP="00D53C37" w14:paraId="184229E6" w14:textId="77777777">
      <w:pPr>
        <w:pStyle w:val="ListParagraph"/>
        <w:rPr>
          <w:szCs w:val="24"/>
        </w:rPr>
      </w:pPr>
    </w:p>
    <w:p w:rsidR="00D53C37" w:rsidP="00D53C37" w14:paraId="3D4E0E15" w14:textId="68C696A2">
      <w:pPr>
        <w:widowControl w:val="0"/>
        <w:numPr>
          <w:ilvl w:val="1"/>
          <w:numId w:val="6"/>
        </w:numPr>
        <w:rPr>
          <w:szCs w:val="24"/>
        </w:rPr>
      </w:pPr>
      <w:r>
        <w:rPr>
          <w:szCs w:val="24"/>
        </w:rPr>
        <w:t>The answer to question 15 itemizes all adjustments.</w:t>
      </w:r>
    </w:p>
    <w:p w:rsidR="00D53C37" w:rsidRPr="00D53C37" w:rsidP="00D53C37" w14:paraId="6451B78C" w14:textId="222F5E06">
      <w:pPr>
        <w:widowControl w:val="0"/>
        <w:ind w:left="1080"/>
        <w:rPr>
          <w:b/>
        </w:rPr>
      </w:pPr>
    </w:p>
    <w:p w:rsidR="00645549" w:rsidP="00CC3704" w14:paraId="4051FC9E" w14:textId="594FC552">
      <w:pPr>
        <w:widowControl w:val="0"/>
        <w:numPr>
          <w:ilvl w:val="0"/>
          <w:numId w:val="7"/>
        </w:numPr>
        <w:ind w:left="720"/>
        <w:rPr>
          <w:b/>
        </w:rPr>
      </w:pPr>
      <w:r w:rsidRPr="00AD423C">
        <w:rPr>
          <w:b/>
          <w:u w:val="single"/>
        </w:rPr>
        <w:t>Circumstances that make collection of the information necessary</w:t>
      </w:r>
      <w:r w:rsidRPr="00AD423C">
        <w:rPr>
          <w:b/>
        </w:rPr>
        <w:t>.</w:t>
      </w:r>
    </w:p>
    <w:p w:rsidR="00384AC1" w14:paraId="245522E6" w14:textId="77777777">
      <w:pPr>
        <w:widowControl w:val="0"/>
      </w:pPr>
    </w:p>
    <w:p w:rsidR="00384AC1" w14:paraId="6B72BE51" w14:textId="286B9FF8">
      <w:pPr>
        <w:widowControl w:val="0"/>
        <w:ind w:left="720"/>
      </w:pPr>
      <w:r>
        <w:t>In September of 1994, the Secretary of Transportation</w:t>
      </w:r>
      <w:r w:rsidR="0066577E">
        <w:t xml:space="preserve"> (the Secretary)</w:t>
      </w:r>
      <w:r>
        <w:t xml:space="preserve"> convened a meeting of representatives from all sectors of the rail industry with the goal of enhancing rail safety.  As one of the initiatives arising from this Rail Safety Summit, the Secretary announced that DOT would begin developing safety standards for rail passenger equipment over a five-year period.  In November of 1994, Congress adopted the Secretary’s schedule for implementing rail passenger equipment safety regulations and included it in the Federal Railroad Safety Authorization Act of 1994 (the Act), Pub. L. No. 103-440, 108 Stat. 4619, 4623-4624 (November 2, 1994).  Congress also authorized the Secretary to consult with various organizations involved in passenger train operations for purposes of prescribing and amending these regulations, as well as issuing orders pursuant to them.</w:t>
      </w:r>
      <w:r>
        <w:rPr>
          <w:rStyle w:val="FootnoteReference"/>
        </w:rPr>
        <w:footnoteReference w:id="3"/>
      </w:r>
      <w:r>
        <w:t xml:space="preserve">  The Secretary of Transportation delegated these rulemaking responsibilities to the Federal Railroad Administrator</w:t>
      </w:r>
      <w:r w:rsidR="00507B77">
        <w:t>.</w:t>
      </w:r>
      <w:r>
        <w:rPr>
          <w:rStyle w:val="FootnoteReference"/>
        </w:rPr>
        <w:footnoteReference w:id="4"/>
      </w:r>
      <w:r>
        <w:t xml:space="preserve"> </w:t>
      </w:r>
    </w:p>
    <w:p w:rsidR="00384AC1" w14:paraId="2BFC225D" w14:textId="77777777">
      <w:pPr>
        <w:widowControl w:val="0"/>
      </w:pPr>
    </w:p>
    <w:p w:rsidR="000A1FD6" w:rsidP="00AC7594" w14:paraId="196993EC" w14:textId="0768271A">
      <w:pPr>
        <w:ind w:left="720"/>
        <w:rPr>
          <w:color w:val="000000"/>
        </w:rPr>
      </w:pPr>
      <w:r>
        <w:rPr>
          <w:color w:val="000000"/>
        </w:rPr>
        <w:t>Pursuant to §</w:t>
      </w:r>
      <w:r w:rsidR="00090FD1">
        <w:rPr>
          <w:color w:val="000000"/>
        </w:rPr>
        <w:t xml:space="preserve"> </w:t>
      </w:r>
      <w:r>
        <w:rPr>
          <w:color w:val="000000"/>
        </w:rPr>
        <w:t xml:space="preserve">215 of the Act, FRA issued </w:t>
      </w:r>
      <w:r w:rsidR="00CC6D52">
        <w:rPr>
          <w:color w:val="000000"/>
        </w:rPr>
        <w:t xml:space="preserve">a </w:t>
      </w:r>
      <w:r>
        <w:rPr>
          <w:color w:val="000000"/>
        </w:rPr>
        <w:t>Passenger Train Emergency Preparedness final rule</w:t>
      </w:r>
      <w:r w:rsidR="00CC6D52">
        <w:rPr>
          <w:color w:val="000000"/>
        </w:rPr>
        <w:t xml:space="preserve"> o</w:t>
      </w:r>
      <w:r w:rsidR="00AC7594">
        <w:rPr>
          <w:color w:val="000000"/>
        </w:rPr>
        <w:t>n May 4, 1998</w:t>
      </w:r>
      <w:r w:rsidR="00CC6D52">
        <w:rPr>
          <w:color w:val="000000"/>
        </w:rPr>
        <w:t>.</w:t>
      </w:r>
      <w:r>
        <w:rPr>
          <w:rStyle w:val="FootnoteReference"/>
          <w:color w:val="000000"/>
        </w:rPr>
        <w:footnoteReference w:id="5"/>
      </w:r>
      <w:r w:rsidR="00CC6D52">
        <w:rPr>
          <w:color w:val="000000"/>
        </w:rPr>
        <w:t xml:space="preserve">  </w:t>
      </w:r>
    </w:p>
    <w:p w:rsidR="00AC7594" w:rsidRPr="00AF04CD" w:rsidP="00AC7594" w14:paraId="02BF03DC" w14:textId="07E76901">
      <w:pPr>
        <w:ind w:left="720"/>
        <w:rPr>
          <w:color w:val="000000"/>
        </w:rPr>
      </w:pPr>
      <w:r>
        <w:rPr>
          <w:color w:val="000000"/>
        </w:rPr>
        <w:t>The rule contain</w:t>
      </w:r>
      <w:r w:rsidR="00E92244">
        <w:rPr>
          <w:color w:val="000000"/>
        </w:rPr>
        <w:t>ed</w:t>
      </w:r>
      <w:r>
        <w:rPr>
          <w:color w:val="000000"/>
        </w:rPr>
        <w:t xml:space="preserve"> minimum Federal safety standards for the preparation, adoption, and implementation of emergency preparedness plans by railroads connected with the operation of passenger trains, including freight railroads hosting the operations of passenger rail service.  Elements of the required emergency preparedness plan </w:t>
      </w:r>
      <w:r w:rsidR="00D811D4">
        <w:rPr>
          <w:color w:val="000000"/>
        </w:rPr>
        <w:t>include</w:t>
      </w:r>
      <w:r w:rsidR="0066577E">
        <w:rPr>
          <w:color w:val="000000"/>
        </w:rPr>
        <w:t xml:space="preserve"> </w:t>
      </w:r>
      <w:r>
        <w:rPr>
          <w:color w:val="000000"/>
        </w:rPr>
        <w:t>communication</w:t>
      </w:r>
      <w:r w:rsidR="0066577E">
        <w:rPr>
          <w:color w:val="000000"/>
        </w:rPr>
        <w:t>,</w:t>
      </w:r>
      <w:r>
        <w:rPr>
          <w:color w:val="000000"/>
        </w:rPr>
        <w:t xml:space="preserve"> employee training and qualification</w:t>
      </w:r>
      <w:r w:rsidR="005F5F18">
        <w:rPr>
          <w:color w:val="000000"/>
        </w:rPr>
        <w:t>,</w:t>
      </w:r>
      <w:r>
        <w:rPr>
          <w:color w:val="000000"/>
        </w:rPr>
        <w:t xml:space="preserve"> joint operations</w:t>
      </w:r>
      <w:r w:rsidR="005F5F18">
        <w:rPr>
          <w:color w:val="000000"/>
        </w:rPr>
        <w:t>,</w:t>
      </w:r>
      <w:r>
        <w:rPr>
          <w:color w:val="000000"/>
        </w:rPr>
        <w:t xml:space="preserve"> tunnel safety</w:t>
      </w:r>
      <w:r w:rsidR="005F5F18">
        <w:rPr>
          <w:color w:val="000000"/>
        </w:rPr>
        <w:t>,</w:t>
      </w:r>
      <w:r>
        <w:rPr>
          <w:color w:val="000000"/>
        </w:rPr>
        <w:t xml:space="preserve"> liaison with emergency responders</w:t>
      </w:r>
      <w:r w:rsidR="005F5F18">
        <w:rPr>
          <w:color w:val="000000"/>
        </w:rPr>
        <w:t>,</w:t>
      </w:r>
      <w:r>
        <w:rPr>
          <w:color w:val="000000"/>
        </w:rPr>
        <w:t xml:space="preserve"> on-board emergency equipment</w:t>
      </w:r>
      <w:r w:rsidR="005F5F18">
        <w:rPr>
          <w:color w:val="000000"/>
        </w:rPr>
        <w:t>,</w:t>
      </w:r>
      <w:r>
        <w:rPr>
          <w:color w:val="000000"/>
        </w:rPr>
        <w:t xml:space="preserve"> and passenger safety information.  </w:t>
      </w:r>
      <w:r w:rsidR="001A657E">
        <w:rPr>
          <w:color w:val="000000"/>
        </w:rPr>
        <w:t xml:space="preserve">In </w:t>
      </w:r>
      <w:r w:rsidR="00CC6D52">
        <w:rPr>
          <w:color w:val="000000"/>
        </w:rPr>
        <w:t xml:space="preserve">addition, </w:t>
      </w:r>
      <w:r w:rsidR="001A657E">
        <w:rPr>
          <w:color w:val="000000"/>
        </w:rPr>
        <w:t>t</w:t>
      </w:r>
      <w:r>
        <w:rPr>
          <w:color w:val="000000"/>
        </w:rPr>
        <w:t>his rule established specific requirements for passenger train emergency systems</w:t>
      </w:r>
      <w:r w:rsidR="0009693E">
        <w:rPr>
          <w:color w:val="000000"/>
        </w:rPr>
        <w:t>,</w:t>
      </w:r>
      <w:r w:rsidR="007E6853">
        <w:rPr>
          <w:color w:val="000000"/>
        </w:rPr>
        <w:t xml:space="preserve"> as well as </w:t>
      </w:r>
      <w:r>
        <w:rPr>
          <w:color w:val="000000"/>
        </w:rPr>
        <w:t>specific requirements for debrief and critique sessions following emergency situations and full-scale simulations.</w:t>
      </w:r>
    </w:p>
    <w:p w:rsidR="00103BF0" w:rsidP="00AC7594" w14:paraId="7503B9A1" w14:textId="77777777">
      <w:pPr>
        <w:ind w:left="720"/>
      </w:pPr>
    </w:p>
    <w:p w:rsidR="00AC7594" w:rsidP="00AC7594" w14:paraId="2AF543DD" w14:textId="41B0C1F9">
      <w:pPr>
        <w:ind w:left="720"/>
        <w:rPr>
          <w:color w:val="000000"/>
        </w:rPr>
      </w:pPr>
      <w:r>
        <w:t xml:space="preserve">In </w:t>
      </w:r>
      <w:r w:rsidRPr="009F5DF5">
        <w:t>1999</w:t>
      </w:r>
      <w:r>
        <w:t xml:space="preserve">, FRA issued </w:t>
      </w:r>
      <w:r w:rsidRPr="00AF04CD">
        <w:rPr>
          <w:color w:val="000000"/>
        </w:rPr>
        <w:t xml:space="preserve">the </w:t>
      </w:r>
      <w:r>
        <w:rPr>
          <w:color w:val="000000"/>
        </w:rPr>
        <w:t xml:space="preserve">Passenger Equipment Safety Standards (PESS) </w:t>
      </w:r>
      <w:r w:rsidRPr="00AF04CD">
        <w:rPr>
          <w:color w:val="000000"/>
        </w:rPr>
        <w:t>final rule</w:t>
      </w:r>
      <w:bookmarkStart w:id="1" w:name="_Hlk146800043"/>
      <w:r>
        <w:rPr>
          <w:rStyle w:val="FootnoteReference"/>
          <w:color w:val="000000"/>
        </w:rPr>
        <w:footnoteReference w:id="6"/>
      </w:r>
      <w:bookmarkEnd w:id="1"/>
      <w:r>
        <w:rPr>
          <w:color w:val="000000"/>
        </w:rPr>
        <w:t xml:space="preserve">.  This rule </w:t>
      </w:r>
      <w:r w:rsidRPr="00AF04CD">
        <w:rPr>
          <w:color w:val="000000"/>
        </w:rPr>
        <w:t>establish</w:t>
      </w:r>
      <w:r>
        <w:rPr>
          <w:color w:val="000000"/>
        </w:rPr>
        <w:t>ed</w:t>
      </w:r>
      <w:r w:rsidRPr="00AF04CD">
        <w:rPr>
          <w:color w:val="000000"/>
        </w:rPr>
        <w:t xml:space="preserve"> comprehensive safety standards for railroad passenger equipment</w:t>
      </w:r>
      <w:r>
        <w:rPr>
          <w:color w:val="000000"/>
        </w:rPr>
        <w:t xml:space="preserve">.  </w:t>
      </w:r>
      <w:r w:rsidR="005430FC">
        <w:rPr>
          <w:color w:val="000000"/>
        </w:rPr>
        <w:t xml:space="preserve">FRA </w:t>
      </w:r>
      <w:r w:rsidR="005D554E">
        <w:rPr>
          <w:color w:val="000000"/>
        </w:rPr>
        <w:t xml:space="preserve">responded </w:t>
      </w:r>
      <w:r w:rsidRPr="00AF04CD" w:rsidR="005D554E">
        <w:rPr>
          <w:color w:val="000000"/>
        </w:rPr>
        <w:t>to</w:t>
      </w:r>
      <w:r w:rsidR="005430FC">
        <w:rPr>
          <w:color w:val="000000"/>
        </w:rPr>
        <w:t xml:space="preserve"> </w:t>
      </w:r>
      <w:r w:rsidRPr="00AF04CD">
        <w:rPr>
          <w:color w:val="000000"/>
        </w:rPr>
        <w:t xml:space="preserve">the </w:t>
      </w:r>
      <w:r w:rsidRPr="00AF04CD" w:rsidR="005D554E">
        <w:rPr>
          <w:color w:val="000000"/>
        </w:rPr>
        <w:t>petitions and</w:t>
      </w:r>
      <w:r w:rsidRPr="00AF04CD">
        <w:rPr>
          <w:color w:val="000000"/>
        </w:rPr>
        <w:t xml:space="preserve"> published three sets </w:t>
      </w:r>
      <w:r>
        <w:rPr>
          <w:color w:val="000000"/>
        </w:rPr>
        <w:t xml:space="preserve">of amendments to the final rule in the </w:t>
      </w:r>
      <w:r w:rsidRPr="00547629">
        <w:rPr>
          <w:color w:val="000000"/>
          <w:u w:val="single"/>
        </w:rPr>
        <w:t>Federal Register</w:t>
      </w:r>
      <w:r>
        <w:rPr>
          <w:color w:val="000000"/>
        </w:rPr>
        <w:t>.</w:t>
      </w:r>
      <w:r>
        <w:rPr>
          <w:rStyle w:val="FootnoteReference"/>
          <w:color w:val="000000"/>
        </w:rPr>
        <w:footnoteReference w:id="7"/>
      </w:r>
      <w:r w:rsidRPr="00AF04CD">
        <w:rPr>
          <w:color w:val="000000"/>
        </w:rPr>
        <w:t xml:space="preserve">  </w:t>
      </w:r>
      <w:r>
        <w:rPr>
          <w:color w:val="000000"/>
        </w:rPr>
        <w:t xml:space="preserve">   </w:t>
      </w:r>
    </w:p>
    <w:p w:rsidR="00AC7594" w:rsidP="00AC7594" w14:paraId="1E392EC2" w14:textId="77777777">
      <w:pPr>
        <w:ind w:left="720"/>
        <w:rPr>
          <w:color w:val="000000"/>
        </w:rPr>
      </w:pPr>
    </w:p>
    <w:p w:rsidR="00AC7594" w:rsidP="00100ABA" w14:paraId="12C3882B" w14:textId="350E49C5">
      <w:pPr>
        <w:ind w:left="720"/>
        <w:rPr>
          <w:color w:val="000000"/>
        </w:rPr>
      </w:pPr>
      <w:r>
        <w:rPr>
          <w:color w:val="000000"/>
        </w:rPr>
        <w:t xml:space="preserve"> </w:t>
      </w:r>
      <w:r w:rsidR="00091EC6">
        <w:rPr>
          <w:color w:val="000000"/>
        </w:rPr>
        <w:t xml:space="preserve">In </w:t>
      </w:r>
      <w:r>
        <w:rPr>
          <w:color w:val="000000"/>
        </w:rPr>
        <w:t>2008, FRA published a final rule</w:t>
      </w:r>
      <w:r>
        <w:rPr>
          <w:rStyle w:val="FootnoteReference"/>
          <w:color w:val="000000"/>
        </w:rPr>
        <w:footnoteReference w:id="8"/>
      </w:r>
      <w:r>
        <w:rPr>
          <w:color w:val="000000"/>
        </w:rPr>
        <w:t xml:space="preserve"> on Passenger Train Emergency Systems addressing emergency communication, emergency egress, and rescue access.  </w:t>
      </w:r>
      <w:r w:rsidR="00E42373">
        <w:rPr>
          <w:color w:val="000000"/>
        </w:rPr>
        <w:t>T</w:t>
      </w:r>
      <w:r w:rsidR="00A075B0">
        <w:rPr>
          <w:color w:val="000000"/>
        </w:rPr>
        <w:t xml:space="preserve">he </w:t>
      </w:r>
      <w:r>
        <w:rPr>
          <w:color w:val="000000"/>
        </w:rPr>
        <w:t>rule expanded the applicability of requirements for public address systems</w:t>
      </w:r>
      <w:r w:rsidR="1B565F6C">
        <w:rPr>
          <w:color w:val="000000"/>
        </w:rPr>
        <w:t xml:space="preserve"> and intercom systems</w:t>
      </w:r>
      <w:r>
        <w:rPr>
          <w:color w:val="000000"/>
        </w:rPr>
        <w:t xml:space="preserve"> to all passenger cars, and for emergency responder roof access to all new passenger cars.   </w:t>
      </w:r>
      <w:r w:rsidR="005D554E">
        <w:rPr>
          <w:color w:val="000000"/>
        </w:rPr>
        <w:t>Furthermore</w:t>
      </w:r>
      <w:r w:rsidR="00E42373">
        <w:rPr>
          <w:color w:val="000000"/>
        </w:rPr>
        <w:t xml:space="preserve">, the rule </w:t>
      </w:r>
      <w:r>
        <w:rPr>
          <w:color w:val="000000"/>
        </w:rPr>
        <w:t>enhanced existing requirements for emergency window exits and established requirements for rescue access windows used by emergency responders</w:t>
      </w:r>
      <w:r w:rsidR="000662C8">
        <w:rPr>
          <w:color w:val="000000"/>
        </w:rPr>
        <w:t>.</w:t>
      </w:r>
      <w:r>
        <w:rPr>
          <w:color w:val="000000"/>
        </w:rPr>
        <w:t xml:space="preserve"> </w:t>
      </w:r>
    </w:p>
    <w:p w:rsidR="00AC7594" w:rsidP="00AC7594" w14:paraId="724B9C3B" w14:textId="134FB0EB">
      <w:pPr>
        <w:widowControl w:val="0"/>
        <w:ind w:left="720"/>
        <w:rPr>
          <w:color w:val="000000"/>
        </w:rPr>
      </w:pPr>
    </w:p>
    <w:p w:rsidR="007E6853" w:rsidP="00AC7594" w14:paraId="7342E1BD" w14:textId="0030DC05">
      <w:pPr>
        <w:widowControl w:val="0"/>
        <w:ind w:left="720"/>
        <w:rPr>
          <w:color w:val="000000"/>
        </w:rPr>
      </w:pPr>
      <w:r>
        <w:rPr>
          <w:color w:val="000000"/>
        </w:rPr>
        <w:t xml:space="preserve">In </w:t>
      </w:r>
      <w:r>
        <w:rPr>
          <w:color w:val="000000"/>
        </w:rPr>
        <w:t>2013, FRA</w:t>
      </w:r>
      <w:r w:rsidR="00A65528">
        <w:rPr>
          <w:color w:val="000000"/>
        </w:rPr>
        <w:t xml:space="preserve"> issued a final rule that</w:t>
      </w:r>
      <w:r>
        <w:rPr>
          <w:color w:val="000000"/>
        </w:rPr>
        <w:t xml:space="preserve"> added requirements for emergency passage through vestibule and other interior passageway doors and enhanced emergency egress and rescue signage requirements.</w:t>
      </w:r>
      <w:r>
        <w:rPr>
          <w:rStyle w:val="FootnoteReference"/>
          <w:color w:val="000000"/>
        </w:rPr>
        <w:footnoteReference w:id="9"/>
      </w:r>
      <w:r>
        <w:rPr>
          <w:color w:val="000000"/>
        </w:rPr>
        <w:t xml:space="preserve">  FRA also established requirements for low-location emergency exit path markings to assist occupants in reaching and operating emergency exits, particularly under conditions of limited visibility.  Moreover, FRA added standards to ensure</w:t>
      </w:r>
      <w:r w:rsidR="00452429">
        <w:rPr>
          <w:color w:val="000000"/>
        </w:rPr>
        <w:t xml:space="preserve"> that</w:t>
      </w:r>
      <w:r>
        <w:rPr>
          <w:color w:val="000000"/>
        </w:rPr>
        <w:t xml:space="preserve"> emergency lighting systems are provided in all passenger cars and enhanced requirements for the survivability of emergency lighting systems in new passenger cars.   </w:t>
      </w:r>
    </w:p>
    <w:p w:rsidR="00677084" w:rsidP="00AC7594" w14:paraId="08A0ED7B" w14:textId="77777777">
      <w:pPr>
        <w:widowControl w:val="0"/>
        <w:ind w:left="720"/>
        <w:rPr>
          <w:color w:val="000000"/>
        </w:rPr>
      </w:pPr>
    </w:p>
    <w:p w:rsidR="00384AC1" w14:paraId="18517FA6" w14:textId="77777777">
      <w:pPr>
        <w:widowControl w:val="0"/>
        <w:ind w:left="720" w:hanging="720"/>
        <w:rPr>
          <w:color w:val="000000"/>
        </w:rPr>
      </w:pPr>
      <w:r>
        <w:rPr>
          <w:b/>
          <w:color w:val="000000"/>
        </w:rPr>
        <w:t>2.</w:t>
      </w:r>
      <w:r>
        <w:rPr>
          <w:b/>
          <w:color w:val="000000"/>
        </w:rPr>
        <w:tab/>
      </w:r>
      <w:r w:rsidRPr="00AD423C" w:rsidR="00527FD6">
        <w:rPr>
          <w:b/>
          <w:u w:val="single"/>
        </w:rPr>
        <w:t>How, by whom, and for what purpose the information is to be used</w:t>
      </w:r>
      <w:r w:rsidRPr="00AD423C" w:rsidR="00527FD6">
        <w:rPr>
          <w:b/>
        </w:rPr>
        <w:t>.</w:t>
      </w:r>
    </w:p>
    <w:p w:rsidR="00384AC1" w:rsidP="00FB2ABA" w14:paraId="099ABC41" w14:textId="77777777">
      <w:pPr>
        <w:widowControl w:val="0"/>
        <w:jc w:val="center"/>
        <w:rPr>
          <w:color w:val="000000"/>
        </w:rPr>
      </w:pPr>
    </w:p>
    <w:p w:rsidR="00A36761" w14:paraId="2B4EE340" w14:textId="17AA3C3D">
      <w:pPr>
        <w:widowControl w:val="0"/>
        <w:ind w:left="720"/>
        <w:rPr>
          <w:color w:val="000000"/>
        </w:rPr>
      </w:pPr>
      <w:r w:rsidRPr="6038AE03">
        <w:rPr>
          <w:color w:val="000000" w:themeColor="text1"/>
        </w:rPr>
        <w:t>FRA will use the information collected under 49 CFR part 238 to prevent collisions, derailments, and other occurrences involving railroad passenger equipment that cause injury or death to railroad employees, railroad passengers, or the general public</w:t>
      </w:r>
      <w:r w:rsidRPr="6038AE03" w:rsidR="004D1294">
        <w:rPr>
          <w:color w:val="000000" w:themeColor="text1"/>
        </w:rPr>
        <w:t>,</w:t>
      </w:r>
      <w:r w:rsidRPr="6038AE03">
        <w:rPr>
          <w:color w:val="000000" w:themeColor="text1"/>
        </w:rPr>
        <w:t xml:space="preserve"> and to mitigate the consequences of such occurrences to the extent they cannot be prevented.  Part </w:t>
      </w:r>
      <w:r w:rsidRPr="6038AE03" w:rsidR="004D1294">
        <w:rPr>
          <w:color w:val="000000" w:themeColor="text1"/>
        </w:rPr>
        <w:t>238</w:t>
      </w:r>
      <w:r w:rsidRPr="6038AE03">
        <w:rPr>
          <w:color w:val="000000" w:themeColor="text1"/>
        </w:rPr>
        <w:t xml:space="preserve"> prescribes the minimum Federal safety standards for </w:t>
      </w:r>
      <w:r w:rsidRPr="6038AE03">
        <w:rPr>
          <w:color w:val="000000" w:themeColor="text1"/>
        </w:rPr>
        <w:t xml:space="preserve">railroad passenger </w:t>
      </w:r>
      <w:r w:rsidRPr="6038AE03">
        <w:rPr>
          <w:color w:val="000000" w:themeColor="text1"/>
        </w:rPr>
        <w:t>equipment</w:t>
      </w:r>
      <w:r w:rsidRPr="1A10F2A7" w:rsidR="02AC9CA5">
        <w:rPr>
          <w:color w:val="000000" w:themeColor="text1"/>
        </w:rPr>
        <w:t>, and</w:t>
      </w:r>
      <w:r w:rsidRPr="6038AE03">
        <w:rPr>
          <w:color w:val="000000" w:themeColor="text1"/>
        </w:rPr>
        <w:t xml:space="preserve"> all railroads </w:t>
      </w:r>
      <w:r w:rsidRPr="5A3B2E1F" w:rsidR="6B2EAFB9">
        <w:rPr>
          <w:color w:val="000000" w:themeColor="text1"/>
        </w:rPr>
        <w:t xml:space="preserve">subject </w:t>
      </w:r>
      <w:r w:rsidRPr="5A3B2E1F">
        <w:rPr>
          <w:color w:val="000000" w:themeColor="text1"/>
        </w:rPr>
        <w:t>to</w:t>
      </w:r>
      <w:r w:rsidRPr="6038AE03">
        <w:rPr>
          <w:color w:val="000000" w:themeColor="text1"/>
        </w:rPr>
        <w:t xml:space="preserve"> this par</w:t>
      </w:r>
      <w:r w:rsidRPr="6038AE03">
        <w:rPr>
          <w:color w:val="000000" w:themeColor="text1"/>
        </w:rPr>
        <w:t>t</w:t>
      </w:r>
      <w:r w:rsidRPr="6038AE03">
        <w:rPr>
          <w:color w:val="000000" w:themeColor="text1"/>
        </w:rPr>
        <w:t xml:space="preserve"> are responsible for compliance with </w:t>
      </w:r>
      <w:r w:rsidRPr="1A10F2A7" w:rsidR="49F21886">
        <w:rPr>
          <w:color w:val="000000" w:themeColor="text1"/>
        </w:rPr>
        <w:t>such standards</w:t>
      </w:r>
      <w:r w:rsidRPr="6038AE03">
        <w:rPr>
          <w:color w:val="000000" w:themeColor="text1"/>
        </w:rPr>
        <w:t>.</w:t>
      </w:r>
      <w:r w:rsidRPr="6038AE03">
        <w:rPr>
          <w:color w:val="000000" w:themeColor="text1"/>
        </w:rPr>
        <w:t xml:space="preserve"> </w:t>
      </w:r>
    </w:p>
    <w:p w:rsidR="008C35B2" w14:paraId="45C0D1EC" w14:textId="710F8AFF">
      <w:pPr>
        <w:widowControl w:val="0"/>
        <w:ind w:left="720"/>
        <w:rPr>
          <w:color w:val="000000"/>
        </w:rPr>
      </w:pPr>
    </w:p>
    <w:p w:rsidR="004D1294" w14:paraId="036A1389" w14:textId="629568F6">
      <w:pPr>
        <w:widowControl w:val="0"/>
        <w:ind w:left="720"/>
        <w:rPr>
          <w:color w:val="000000"/>
        </w:rPr>
      </w:pPr>
      <w:r>
        <w:rPr>
          <w:color w:val="000000"/>
        </w:rPr>
        <w:t xml:space="preserve">The information collected under part 238 supports FRA’s </w:t>
      </w:r>
      <w:r w:rsidR="008C35B2">
        <w:rPr>
          <w:color w:val="000000"/>
        </w:rPr>
        <w:t xml:space="preserve">efforts to improve railroad safety by promoting the safe resolution of emergency situations involving passenger trains, including the evacuation of passengers and crewmembers in the event of an emergency.  </w:t>
      </w:r>
    </w:p>
    <w:p w:rsidR="008C35B2" w14:paraId="18E89B62" w14:textId="4C2419CB">
      <w:pPr>
        <w:widowControl w:val="0"/>
        <w:ind w:left="720"/>
        <w:rPr>
          <w:color w:val="000000"/>
        </w:rPr>
      </w:pPr>
    </w:p>
    <w:p w:rsidR="008C35B2" w14:paraId="1FFE7077" w14:textId="11CFDFC9">
      <w:pPr>
        <w:widowControl w:val="0"/>
        <w:ind w:left="720"/>
        <w:rPr>
          <w:color w:val="000000"/>
        </w:rPr>
      </w:pPr>
      <w:r>
        <w:rPr>
          <w:color w:val="000000"/>
        </w:rPr>
        <w:t>The details of each paperwork requirement are covered under question 12 of this document.</w:t>
      </w:r>
    </w:p>
    <w:p w:rsidR="00384AC1" w14:paraId="54FC7C51" w14:textId="77777777">
      <w:pPr>
        <w:widowControl w:val="0"/>
        <w:rPr>
          <w:color w:val="000000"/>
        </w:rPr>
      </w:pPr>
    </w:p>
    <w:p w:rsidR="00C93FF8" w:rsidRPr="00AD423C" w:rsidP="00C93FF8" w14:paraId="46DEC5DC"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384AC1" w14:paraId="6B597078" w14:textId="77777777">
      <w:pPr>
        <w:widowControl w:val="0"/>
        <w:rPr>
          <w:color w:val="000000"/>
        </w:rPr>
      </w:pPr>
    </w:p>
    <w:p w:rsidR="00384AC1" w:rsidRPr="00772A5B" w:rsidP="00C20473" w14:paraId="2A5DB663" w14:textId="43F27274">
      <w:pPr>
        <w:widowControl w:val="0"/>
        <w:ind w:left="720"/>
        <w:rPr>
          <w:color w:val="000000"/>
        </w:rPr>
      </w:pPr>
      <w:r w:rsidRPr="1A10F2A7">
        <w:rPr>
          <w:color w:val="000000" w:themeColor="text1"/>
        </w:rPr>
        <w:t xml:space="preserve">FRA </w:t>
      </w:r>
      <w:r w:rsidRPr="1A10F2A7" w:rsidR="00E9006E">
        <w:rPr>
          <w:color w:val="000000" w:themeColor="text1"/>
        </w:rPr>
        <w:t xml:space="preserve">strongly </w:t>
      </w:r>
      <w:r w:rsidRPr="1A10F2A7">
        <w:rPr>
          <w:color w:val="000000" w:themeColor="text1"/>
        </w:rPr>
        <w:t xml:space="preserve">encourages </w:t>
      </w:r>
      <w:r w:rsidRPr="1A10F2A7" w:rsidR="00210B46">
        <w:rPr>
          <w:color w:val="000000" w:themeColor="text1"/>
        </w:rPr>
        <w:t xml:space="preserve">the use of advanced information technology, wherever feasible, to reduce </w:t>
      </w:r>
      <w:r w:rsidRPr="1A10F2A7" w:rsidR="465697F7">
        <w:rPr>
          <w:color w:val="000000" w:themeColor="text1"/>
        </w:rPr>
        <w:t>the</w:t>
      </w:r>
      <w:r w:rsidRPr="1A10F2A7" w:rsidR="00210B46">
        <w:rPr>
          <w:color w:val="000000" w:themeColor="text1"/>
        </w:rPr>
        <w:t xml:space="preserve"> burden on respondents. It</w:t>
      </w:r>
      <w:r w:rsidRPr="1A10F2A7" w:rsidR="002B4474">
        <w:rPr>
          <w:color w:val="000000" w:themeColor="text1"/>
        </w:rPr>
        <w:t xml:space="preserve"> should be </w:t>
      </w:r>
      <w:r w:rsidRPr="1A10F2A7" w:rsidR="00622641">
        <w:rPr>
          <w:color w:val="000000" w:themeColor="text1"/>
        </w:rPr>
        <w:t>noted</w:t>
      </w:r>
      <w:r w:rsidRPr="1A10F2A7" w:rsidR="002B4474">
        <w:rPr>
          <w:color w:val="000000" w:themeColor="text1"/>
        </w:rPr>
        <w:t xml:space="preserve"> that the great majority of responses</w:t>
      </w:r>
      <w:r w:rsidRPr="1A10F2A7" w:rsidR="00210B46">
        <w:rPr>
          <w:color w:val="000000" w:themeColor="text1"/>
        </w:rPr>
        <w:t xml:space="preserve">, and </w:t>
      </w:r>
      <w:r w:rsidRPr="1A10F2A7" w:rsidR="00090FD1">
        <w:rPr>
          <w:color w:val="000000" w:themeColor="text1"/>
        </w:rPr>
        <w:t xml:space="preserve">associated estimated paperwork </w:t>
      </w:r>
      <w:r w:rsidRPr="1A10F2A7" w:rsidR="00210B46">
        <w:rPr>
          <w:color w:val="000000" w:themeColor="text1"/>
        </w:rPr>
        <w:t>burden</w:t>
      </w:r>
      <w:r w:rsidRPr="1A10F2A7" w:rsidR="00090FD1">
        <w:rPr>
          <w:color w:val="000000" w:themeColor="text1"/>
        </w:rPr>
        <w:t>s</w:t>
      </w:r>
      <w:r w:rsidRPr="1A10F2A7" w:rsidR="00210B46">
        <w:rPr>
          <w:color w:val="000000" w:themeColor="text1"/>
        </w:rPr>
        <w:t>, i</w:t>
      </w:r>
      <w:r w:rsidRPr="1A10F2A7" w:rsidR="002B4474">
        <w:rPr>
          <w:color w:val="000000" w:themeColor="text1"/>
        </w:rPr>
        <w:t xml:space="preserve">nvolve markings/instructions of windows and doors.  </w:t>
      </w:r>
    </w:p>
    <w:p w:rsidR="00384AC1" w14:paraId="682AC350" w14:textId="77777777">
      <w:pPr>
        <w:widowControl w:val="0"/>
        <w:rPr>
          <w:b/>
          <w:color w:val="000000"/>
        </w:rPr>
      </w:pPr>
    </w:p>
    <w:p w:rsidR="00DC4E32" w:rsidP="00DC4E32" w14:paraId="4B93BB9D"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384AC1" w:rsidP="00DC4E32" w14:paraId="7D9150EB" w14:textId="77777777">
      <w:pPr>
        <w:widowControl w:val="0"/>
        <w:rPr>
          <w:b/>
          <w:color w:val="000000"/>
        </w:rPr>
      </w:pPr>
    </w:p>
    <w:p w:rsidR="00384AC1" w:rsidP="006D27A6" w14:paraId="54372DD0" w14:textId="2E8F0406">
      <w:pPr>
        <w:widowControl w:val="0"/>
        <w:ind w:left="720"/>
        <w:rPr>
          <w:color w:val="000000"/>
        </w:rPr>
      </w:pPr>
      <w:r>
        <w:t xml:space="preserve">We are not aware of any duplication of </w:t>
      </w:r>
      <w:r w:rsidR="01366C40">
        <w:t>t</w:t>
      </w:r>
      <w:r w:rsidR="007C56C0">
        <w:t xml:space="preserve">he information collection requirements </w:t>
      </w:r>
      <w:r w:rsidR="63D4725B">
        <w:t>in this ICR</w:t>
      </w:r>
      <w:r w:rsidR="006D27A6">
        <w:t xml:space="preserve">. </w:t>
      </w:r>
      <w:r w:rsidRPr="1A10F2A7">
        <w:rPr>
          <w:color w:val="000000" w:themeColor="text1"/>
        </w:rPr>
        <w:t xml:space="preserve">Similar data are not available from any other source.  </w:t>
      </w:r>
    </w:p>
    <w:p w:rsidR="00384AC1" w14:paraId="63E56BBD" w14:textId="77777777">
      <w:pPr>
        <w:widowControl w:val="0"/>
        <w:rPr>
          <w:color w:val="000000"/>
        </w:rPr>
      </w:pPr>
    </w:p>
    <w:p w:rsidR="00384AC1" w14:paraId="73631011" w14:textId="77777777">
      <w:pPr>
        <w:widowControl w:val="0"/>
        <w:rPr>
          <w:color w:val="000000"/>
        </w:rPr>
      </w:pPr>
      <w:r w:rsidRPr="00AD423C">
        <w:rPr>
          <w:b/>
        </w:rPr>
        <w:t>5.</w:t>
      </w:r>
      <w:r w:rsidRPr="00AD423C">
        <w:rPr>
          <w:b/>
        </w:rPr>
        <w:tab/>
      </w:r>
      <w:r w:rsidRPr="00AD423C">
        <w:rPr>
          <w:b/>
          <w:u w:val="single"/>
        </w:rPr>
        <w:t>Efforts to minimize the burden on small businesses</w:t>
      </w:r>
      <w:r w:rsidRPr="00AD423C">
        <w:rPr>
          <w:b/>
        </w:rPr>
        <w:t>.</w:t>
      </w:r>
    </w:p>
    <w:p w:rsidR="008414A3" w:rsidP="003E0253" w14:paraId="15132659" w14:textId="552124DB">
      <w:pPr>
        <w:pStyle w:val="BodyText"/>
        <w:ind w:left="720"/>
      </w:pPr>
    </w:p>
    <w:p w:rsidR="00866EE3" w:rsidP="00866EE3" w14:paraId="5B4F29B4" w14:textId="16A2B9D5">
      <w:pPr>
        <w:ind w:left="720"/>
        <w:rPr>
          <w:szCs w:val="24"/>
        </w:rPr>
      </w:pPr>
      <w:r w:rsidRPr="008074ED">
        <w:rPr>
          <w:szCs w:val="24"/>
        </w:rPr>
        <w:t>With respect to passenger emergency</w:t>
      </w:r>
      <w:r w:rsidRPr="008074ED" w:rsidR="001A696A">
        <w:rPr>
          <w:szCs w:val="24"/>
        </w:rPr>
        <w:t xml:space="preserve"> systems</w:t>
      </w:r>
      <w:r w:rsidRPr="008074ED">
        <w:rPr>
          <w:szCs w:val="24"/>
        </w:rPr>
        <w:t>,</w:t>
      </w:r>
      <w:r>
        <w:rPr>
          <w:szCs w:val="24"/>
        </w:rPr>
        <w:t xml:space="preserve"> t</w:t>
      </w:r>
      <w:r w:rsidRPr="00D36142">
        <w:rPr>
          <w:szCs w:val="24"/>
        </w:rPr>
        <w:t>here are two intercity passenger railroads</w:t>
      </w:r>
      <w:r>
        <w:rPr>
          <w:szCs w:val="24"/>
        </w:rPr>
        <w:t xml:space="preserve"> subject to this information collection request (ICR)</w:t>
      </w:r>
      <w:r w:rsidRPr="00D36142">
        <w:rPr>
          <w:szCs w:val="24"/>
        </w:rPr>
        <w:t>, the National Railroad Passenger Corporation (Amtrak) and Alaska Railroad, of which, neither can be considered a small entity.  Amtrak is a Class I railroad and Alaska Railroad is a Class II railroad.  Alaska Railroad is owned by the State of Alaska, which has a population well above 50,000.  There are 34 commuter or other short-haul passenger railroad operations in the United States</w:t>
      </w:r>
      <w:r>
        <w:rPr>
          <w:szCs w:val="24"/>
        </w:rPr>
        <w:t xml:space="preserve"> also subject to this ICR</w:t>
      </w:r>
      <w:r w:rsidRPr="00D36142">
        <w:rPr>
          <w:szCs w:val="24"/>
        </w:rPr>
        <w:t>.  Most of these commuter railroads are part of larger transit organizations that receive Federal funds and serve major metropolitan areas with populations greater than 50,000</w:t>
      </w:r>
      <w:r>
        <w:rPr>
          <w:szCs w:val="24"/>
        </w:rPr>
        <w:t xml:space="preserve">.  </w:t>
      </w:r>
      <w:r w:rsidRPr="00D36142">
        <w:rPr>
          <w:szCs w:val="24"/>
        </w:rPr>
        <w:t>All other passenger railroad operations in the United States are part of larger governmental entities, whose service jurisdictions exceed 50,000 in population.  Based on the definition, they are not considered to be small entities</w:t>
      </w:r>
      <w:r>
        <w:rPr>
          <w:rStyle w:val="FootnoteReference"/>
          <w:szCs w:val="24"/>
        </w:rPr>
        <w:footnoteReference w:id="10"/>
      </w:r>
      <w:r w:rsidRPr="00D36142">
        <w:rPr>
          <w:szCs w:val="24"/>
        </w:rPr>
        <w:t>.</w:t>
      </w:r>
    </w:p>
    <w:p w:rsidR="00384AC1" w:rsidRPr="00596AE8" w:rsidP="00596AE8" w14:paraId="3FFD0EF6" w14:textId="77777777">
      <w:pPr>
        <w:widowControl w:val="0"/>
        <w:spacing w:before="100" w:beforeAutospacing="1" w:after="100" w:afterAutospacing="1"/>
      </w:pPr>
      <w:r w:rsidRPr="00AD423C">
        <w:rPr>
          <w:b/>
        </w:rPr>
        <w:t>6.</w:t>
      </w:r>
      <w:r w:rsidRPr="00AD423C">
        <w:rPr>
          <w:b/>
        </w:rPr>
        <w:tab/>
      </w:r>
      <w:r w:rsidRPr="00AD423C">
        <w:rPr>
          <w:b/>
          <w:u w:val="single"/>
        </w:rPr>
        <w:t>Impact of less frequent collection of information</w:t>
      </w:r>
      <w:r w:rsidRPr="00AD423C">
        <w:rPr>
          <w:b/>
        </w:rPr>
        <w:t>.</w:t>
      </w:r>
    </w:p>
    <w:p w:rsidR="00637B95" w:rsidP="00596AE8" w14:paraId="6A33C0FE" w14:textId="1D72049C">
      <w:pPr>
        <w:widowControl w:val="0"/>
        <w:spacing w:before="100" w:beforeAutospacing="1" w:after="100" w:afterAutospacing="1"/>
        <w:ind w:left="720"/>
        <w:rPr>
          <w:color w:val="000000"/>
        </w:rPr>
      </w:pPr>
      <w:r w:rsidRPr="1A10F2A7">
        <w:rPr>
          <w:color w:val="000000" w:themeColor="text1"/>
        </w:rPr>
        <w:t>If this information were not collected or collected less frequently, railroad safety might be seriously jeopardized.  Specifically, without this collection of information, the public and train crews might suffer more serious injuries, and possibly death, if they could not quickly det</w:t>
      </w:r>
      <w:r w:rsidRPr="1A10F2A7" w:rsidR="00565DA7">
        <w:rPr>
          <w:color w:val="000000" w:themeColor="text1"/>
        </w:rPr>
        <w:t xml:space="preserve">ermine how to </w:t>
      </w:r>
      <w:r w:rsidRPr="1A10F2A7" w:rsidR="005D554E">
        <w:rPr>
          <w:color w:val="000000" w:themeColor="text1"/>
        </w:rPr>
        <w:t>evacuate a train safely, and efficiently</w:t>
      </w:r>
      <w:r w:rsidRPr="1A10F2A7">
        <w:rPr>
          <w:color w:val="000000" w:themeColor="text1"/>
        </w:rPr>
        <w:t xml:space="preserve"> after an accident/incident occurred.  If single-level and multi-level passenger cars, including sleeping cars, did not have the prescribed minimum number of emergency window exits with legible and understandable operating instructions</w:t>
      </w:r>
      <w:r w:rsidRPr="1A10F2A7" w:rsidR="003A1B14">
        <w:rPr>
          <w:color w:val="000000" w:themeColor="text1"/>
        </w:rPr>
        <w:t>,</w:t>
      </w:r>
      <w:r w:rsidRPr="1A10F2A7">
        <w:rPr>
          <w:color w:val="000000" w:themeColor="text1"/>
        </w:rPr>
        <w:t xml:space="preserve"> and if they were not readily accessible, clearly marked</w:t>
      </w:r>
      <w:r w:rsidRPr="1A10F2A7" w:rsidR="003A1B14">
        <w:rPr>
          <w:color w:val="000000" w:themeColor="text1"/>
        </w:rPr>
        <w:t>,</w:t>
      </w:r>
      <w:r w:rsidRPr="1A10F2A7">
        <w:rPr>
          <w:color w:val="000000" w:themeColor="text1"/>
        </w:rPr>
        <w:t xml:space="preserve"> and well-maintained, railroad passengers might not know how and where to exit a passenger car in the event of an emergency such as a collision, derailment, fire, explosion, </w:t>
      </w:r>
      <w:r w:rsidRPr="1A10F2A7" w:rsidR="00B73A7F">
        <w:rPr>
          <w:color w:val="000000" w:themeColor="text1"/>
        </w:rPr>
        <w:t>or</w:t>
      </w:r>
      <w:r w:rsidRPr="1A10F2A7">
        <w:rPr>
          <w:color w:val="000000" w:themeColor="text1"/>
        </w:rPr>
        <w:t xml:space="preserve"> other unexpected oc</w:t>
      </w:r>
      <w:r w:rsidRPr="1A10F2A7" w:rsidR="00500B5E">
        <w:rPr>
          <w:color w:val="000000" w:themeColor="text1"/>
        </w:rPr>
        <w:t>currence.  Any delay in</w:t>
      </w:r>
      <w:r w:rsidRPr="1A10F2A7" w:rsidR="10676434">
        <w:rPr>
          <w:color w:val="000000" w:themeColor="text1"/>
        </w:rPr>
        <w:t xml:space="preserve"> the</w:t>
      </w:r>
      <w:r w:rsidRPr="1A10F2A7" w:rsidR="00500B5E">
        <w:rPr>
          <w:color w:val="000000" w:themeColor="text1"/>
        </w:rPr>
        <w:t xml:space="preserve"> </w:t>
      </w:r>
      <w:r w:rsidRPr="1A10F2A7" w:rsidR="752D7264">
        <w:rPr>
          <w:color w:val="000000" w:themeColor="text1"/>
        </w:rPr>
        <w:t>quick</w:t>
      </w:r>
      <w:r w:rsidRPr="1A10F2A7" w:rsidR="3B33C552">
        <w:rPr>
          <w:color w:val="000000" w:themeColor="text1"/>
        </w:rPr>
        <w:t xml:space="preserve"> and efficient</w:t>
      </w:r>
      <w:r w:rsidRPr="1A10F2A7">
        <w:rPr>
          <w:color w:val="000000" w:themeColor="text1"/>
        </w:rPr>
        <w:t xml:space="preserve"> exit </w:t>
      </w:r>
      <w:r w:rsidRPr="1A10F2A7" w:rsidR="46BF6752">
        <w:rPr>
          <w:color w:val="000000" w:themeColor="text1"/>
        </w:rPr>
        <w:t>of</w:t>
      </w:r>
      <w:r w:rsidRPr="1A10F2A7">
        <w:rPr>
          <w:color w:val="000000" w:themeColor="text1"/>
        </w:rPr>
        <w:t xml:space="preserve"> </w:t>
      </w:r>
      <w:r w:rsidRPr="1A10F2A7" w:rsidR="00C01D21">
        <w:rPr>
          <w:color w:val="000000" w:themeColor="text1"/>
        </w:rPr>
        <w:t xml:space="preserve">such </w:t>
      </w:r>
      <w:r w:rsidRPr="1A10F2A7">
        <w:rPr>
          <w:color w:val="000000" w:themeColor="text1"/>
        </w:rPr>
        <w:t>passenger car</w:t>
      </w:r>
      <w:r w:rsidRPr="1A10F2A7" w:rsidR="00C01D21">
        <w:rPr>
          <w:color w:val="000000" w:themeColor="text1"/>
        </w:rPr>
        <w:t>s</w:t>
      </w:r>
      <w:r w:rsidRPr="1A10F2A7">
        <w:rPr>
          <w:color w:val="000000" w:themeColor="text1"/>
        </w:rPr>
        <w:t xml:space="preserve"> could potentially cause numerous injuries and fatalities to the American public.  </w:t>
      </w:r>
    </w:p>
    <w:p w:rsidR="00384AC1" w14:paraId="5E7FB101" w14:textId="77777777">
      <w:pPr>
        <w:widowControl w:val="0"/>
        <w:rPr>
          <w:color w:val="000000"/>
        </w:rPr>
      </w:pPr>
    </w:p>
    <w:p w:rsidR="00384AC1" w14:paraId="63B6604F" w14:textId="3A296670">
      <w:pPr>
        <w:widowControl w:val="0"/>
        <w:ind w:left="720"/>
        <w:rPr>
          <w:color w:val="000000"/>
        </w:rPr>
      </w:pPr>
      <w:r>
        <w:rPr>
          <w:color w:val="000000"/>
        </w:rPr>
        <w:t xml:space="preserve">Also, without this collection of information, passenger cars might not have </w:t>
      </w:r>
      <w:r w:rsidR="00677084">
        <w:rPr>
          <w:color w:val="000000"/>
        </w:rPr>
        <w:t>enough</w:t>
      </w:r>
      <w:r>
        <w:rPr>
          <w:color w:val="000000"/>
        </w:rPr>
        <w:t xml:space="preserve"> clearly marked access windows for rescue workers to evacuate passengers in the event of a train emergency.  In the event of an emergency, rescue workers must be able to find these passenger car access windows </w:t>
      </w:r>
      <w:r w:rsidR="003935A9">
        <w:rPr>
          <w:color w:val="000000"/>
        </w:rPr>
        <w:t>prompt</w:t>
      </w:r>
      <w:r>
        <w:rPr>
          <w:color w:val="000000"/>
        </w:rPr>
        <w:t xml:space="preserve">ly and must be able to figure out how to open them once they do find them.  Rescue workers </w:t>
      </w:r>
      <w:r w:rsidR="003A1B14">
        <w:rPr>
          <w:color w:val="000000"/>
        </w:rPr>
        <w:t>must</w:t>
      </w:r>
      <w:r>
        <w:rPr>
          <w:color w:val="000000"/>
        </w:rPr>
        <w:t xml:space="preserve"> be able to find where these rescue access windows are located on both single-level and multi-level passenger cars by means of clearly marked signs/placard</w:t>
      </w:r>
      <w:r w:rsidR="005D4785">
        <w:rPr>
          <w:color w:val="000000"/>
        </w:rPr>
        <w:t>s</w:t>
      </w:r>
      <w:r>
        <w:rPr>
          <w:color w:val="000000"/>
        </w:rPr>
        <w:t xml:space="preserve"> that have understandable instructions and that are posted at or near each rescue access window in </w:t>
      </w:r>
      <w:r w:rsidR="00995676">
        <w:rPr>
          <w:color w:val="000000"/>
        </w:rPr>
        <w:t>high-performance</w:t>
      </w:r>
      <w:r>
        <w:rPr>
          <w:color w:val="000000"/>
        </w:rPr>
        <w:t xml:space="preserve"> </w:t>
      </w:r>
      <w:r w:rsidR="00995676">
        <w:rPr>
          <w:color w:val="000000"/>
        </w:rPr>
        <w:t>photo</w:t>
      </w:r>
      <w:r w:rsidR="003935A9">
        <w:rPr>
          <w:color w:val="000000"/>
        </w:rPr>
        <w:t>-</w:t>
      </w:r>
      <w:r w:rsidR="00995676">
        <w:rPr>
          <w:color w:val="000000"/>
        </w:rPr>
        <w:t xml:space="preserve">luminescent </w:t>
      </w:r>
      <w:r w:rsidR="002D1451">
        <w:rPr>
          <w:color w:val="000000"/>
        </w:rPr>
        <w:t xml:space="preserve">(HPPL) </w:t>
      </w:r>
      <w:r>
        <w:rPr>
          <w:color w:val="000000"/>
        </w:rPr>
        <w:t xml:space="preserve">material.  Delays caused by being unable to find or quickly open access windows on the part of rescue workers could result in serious injury and death to </w:t>
      </w:r>
      <w:r w:rsidR="00105166">
        <w:rPr>
          <w:color w:val="000000"/>
        </w:rPr>
        <w:t xml:space="preserve">train crew members and to </w:t>
      </w:r>
      <w:r>
        <w:rPr>
          <w:color w:val="000000"/>
        </w:rPr>
        <w:t xml:space="preserve">substantial numbers of railroad passengers.  </w:t>
      </w:r>
    </w:p>
    <w:p w:rsidR="00384AC1" w14:paraId="66999495" w14:textId="77777777">
      <w:pPr>
        <w:widowControl w:val="0"/>
        <w:rPr>
          <w:color w:val="000000"/>
        </w:rPr>
      </w:pPr>
    </w:p>
    <w:p w:rsidR="00384AC1" w14:paraId="2CE608D3" w14:textId="2411EAB9">
      <w:pPr>
        <w:widowControl w:val="0"/>
        <w:ind w:left="720"/>
        <w:rPr>
          <w:color w:val="000000"/>
        </w:rPr>
      </w:pPr>
      <w:r w:rsidRPr="1A10F2A7">
        <w:rPr>
          <w:color w:val="000000" w:themeColor="text1"/>
        </w:rPr>
        <w:t>Without a means of emergency communication</w:t>
      </w:r>
      <w:r w:rsidRPr="1A10F2A7" w:rsidR="001A5655">
        <w:rPr>
          <w:color w:val="000000" w:themeColor="text1"/>
        </w:rPr>
        <w:t>,</w:t>
      </w:r>
      <w:r w:rsidRPr="1A10F2A7">
        <w:rPr>
          <w:color w:val="000000" w:themeColor="text1"/>
        </w:rPr>
        <w:t xml:space="preserve"> such as the prescribed public address and intercom systems that must be installed within new Tier I and all Tier II passenger cars, train crews could not quickly notify passengers about an emergency and </w:t>
      </w:r>
      <w:r w:rsidRPr="1A10F2A7" w:rsidR="003A1B14">
        <w:rPr>
          <w:color w:val="000000" w:themeColor="text1"/>
        </w:rPr>
        <w:t xml:space="preserve">the </w:t>
      </w:r>
      <w:r w:rsidRPr="1A10F2A7">
        <w:rPr>
          <w:color w:val="000000" w:themeColor="text1"/>
        </w:rPr>
        <w:t xml:space="preserve">necessary actions they must take, and railroad passengers and train crews would be unable to talk to one another in </w:t>
      </w:r>
      <w:r w:rsidRPr="1A10F2A7" w:rsidR="00103A7E">
        <w:rPr>
          <w:color w:val="000000" w:themeColor="text1"/>
        </w:rPr>
        <w:t xml:space="preserve">such </w:t>
      </w:r>
      <w:r w:rsidRPr="1A10F2A7">
        <w:rPr>
          <w:color w:val="000000" w:themeColor="text1"/>
        </w:rPr>
        <w:t xml:space="preserve">an emergency situation.  </w:t>
      </w:r>
    </w:p>
    <w:p w:rsidR="00384AC1" w14:paraId="1BEFC93F" w14:textId="3A278766">
      <w:pPr>
        <w:widowControl w:val="0"/>
        <w:ind w:left="720"/>
        <w:rPr>
          <w:color w:val="000000"/>
        </w:rPr>
      </w:pPr>
      <w:r w:rsidRPr="1A10F2A7">
        <w:rPr>
          <w:color w:val="000000" w:themeColor="text1"/>
        </w:rPr>
        <w:t xml:space="preserve">As with emergency access windows, emergency roof access </w:t>
      </w:r>
      <w:r w:rsidRPr="1A10F2A7" w:rsidR="20CE78DE">
        <w:rPr>
          <w:color w:val="000000" w:themeColor="text1"/>
        </w:rPr>
        <w:t>must</w:t>
      </w:r>
      <w:r w:rsidRPr="1A10F2A7">
        <w:rPr>
          <w:color w:val="000000" w:themeColor="text1"/>
        </w:rPr>
        <w:t xml:space="preserve"> be provided by means of a hatch or structural weak point in the roof that is a clearly marked so it can be found and operated by rescue personnel in the event of an emergency.  It is imperative that each emergency roof access location be conspicuously marked with </w:t>
      </w:r>
      <w:r w:rsidRPr="1A10F2A7" w:rsidR="00CA6A91">
        <w:rPr>
          <w:color w:val="000000" w:themeColor="text1"/>
        </w:rPr>
        <w:t xml:space="preserve">HPPL </w:t>
      </w:r>
      <w:r w:rsidRPr="1A10F2A7">
        <w:rPr>
          <w:color w:val="000000" w:themeColor="text1"/>
        </w:rPr>
        <w:t>material</w:t>
      </w:r>
      <w:r w:rsidRPr="1A10F2A7" w:rsidR="00091EC6">
        <w:rPr>
          <w:color w:val="000000" w:themeColor="text1"/>
        </w:rPr>
        <w:t>,</w:t>
      </w:r>
      <w:r w:rsidRPr="1A10F2A7">
        <w:rPr>
          <w:color w:val="000000" w:themeColor="text1"/>
        </w:rPr>
        <w:t xml:space="preserve"> and that legible and understandable instructions be posted at or near each location</w:t>
      </w:r>
      <w:r w:rsidRPr="1A10F2A7" w:rsidR="008C35B2">
        <w:rPr>
          <w:color w:val="000000" w:themeColor="text1"/>
        </w:rPr>
        <w:t>.</w:t>
      </w:r>
      <w:r w:rsidRPr="1A10F2A7">
        <w:rPr>
          <w:color w:val="000000" w:themeColor="text1"/>
        </w:rPr>
        <w:t xml:space="preserve"> </w:t>
      </w:r>
    </w:p>
    <w:p w:rsidR="007D3642" w14:paraId="7C54CE0F" w14:textId="6CA9FFF5">
      <w:pPr>
        <w:widowControl w:val="0"/>
        <w:ind w:left="720"/>
        <w:rPr>
          <w:color w:val="000000"/>
        </w:rPr>
      </w:pPr>
    </w:p>
    <w:p w:rsidR="008C35B2" w14:paraId="50CD558F" w14:textId="29A0C44B">
      <w:pPr>
        <w:widowControl w:val="0"/>
        <w:ind w:left="720"/>
        <w:rPr>
          <w:color w:val="000000"/>
        </w:rPr>
      </w:pPr>
      <w:r>
        <w:rPr>
          <w:color w:val="000000"/>
        </w:rPr>
        <w:t xml:space="preserve">The benefits of the information collected corresponds to a reduction of casualties and fatalities in the aftermath of collisions, derailments, and other emergency situations. </w:t>
      </w:r>
    </w:p>
    <w:p w:rsidR="008C35B2" w14:paraId="179745D8" w14:textId="77777777">
      <w:pPr>
        <w:widowControl w:val="0"/>
        <w:ind w:left="720"/>
        <w:rPr>
          <w:color w:val="000000"/>
        </w:rPr>
      </w:pPr>
    </w:p>
    <w:p w:rsidR="009B1420" w:rsidRPr="00AD423C" w:rsidP="00040EA3" w14:paraId="5CBCB979" w14:textId="77777777">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384AC1" w14:paraId="4F242B8D" w14:textId="77777777">
      <w:pPr>
        <w:widowControl w:val="0"/>
        <w:ind w:left="1440"/>
        <w:rPr>
          <w:color w:val="000000"/>
        </w:rPr>
      </w:pPr>
    </w:p>
    <w:p w:rsidR="00A65528" w:rsidRPr="00DF5407" w:rsidP="00A65528" w14:paraId="37643A94" w14:textId="7CACE691">
      <w:pPr>
        <w:widowControl w:val="0"/>
        <w:ind w:left="720"/>
        <w:rPr>
          <w:szCs w:val="24"/>
        </w:rPr>
      </w:pPr>
      <w:r>
        <w:rPr>
          <w:szCs w:val="24"/>
        </w:rPr>
        <w:t xml:space="preserve">This information collection does not have any special circumstances. </w:t>
      </w:r>
    </w:p>
    <w:p w:rsidR="00F3457F" w14:paraId="6E3884B2" w14:textId="77777777">
      <w:pPr>
        <w:widowControl w:val="0"/>
        <w:ind w:left="720"/>
        <w:rPr>
          <w:color w:val="000000"/>
        </w:rPr>
      </w:pPr>
    </w:p>
    <w:p w:rsidR="00E90983" w:rsidP="00040EA3" w14:paraId="0947A165" w14:textId="77777777">
      <w:pPr>
        <w:widowControl w:val="0"/>
        <w:numPr>
          <w:ilvl w:val="0"/>
          <w:numId w:val="10"/>
        </w:numPr>
        <w:ind w:hanging="720"/>
        <w:rPr>
          <w:b/>
        </w:rPr>
      </w:pPr>
      <w:r w:rsidRPr="00AD423C">
        <w:rPr>
          <w:b/>
          <w:u w:val="single"/>
        </w:rPr>
        <w:t>Compliance with 5 CFR 1320.8</w:t>
      </w:r>
      <w:r w:rsidRPr="00AD423C">
        <w:rPr>
          <w:b/>
        </w:rPr>
        <w:t>.</w:t>
      </w:r>
    </w:p>
    <w:p w:rsidR="00540542" w:rsidP="00540542" w14:paraId="1C075591" w14:textId="77777777">
      <w:pPr>
        <w:widowControl w:val="0"/>
        <w:rPr>
          <w:b/>
        </w:rPr>
      </w:pPr>
    </w:p>
    <w:p w:rsidR="0009671E" w:rsidRPr="0009671E" w:rsidP="0009671E" w14:paraId="2302CA3C" w14:textId="706763C9">
      <w:pPr>
        <w:ind w:left="720"/>
        <w:rPr>
          <w:szCs w:val="24"/>
        </w:rPr>
      </w:pPr>
      <w:r w:rsidRPr="0009671E">
        <w:rPr>
          <w:szCs w:val="24"/>
        </w:rPr>
        <w:t xml:space="preserve">As required by the Paperwork Reduction Act of 1995 (PRA) and 5 CFR 1320, FRA published a notice in the </w:t>
      </w:r>
      <w:r w:rsidRPr="0009671E">
        <w:rPr>
          <w:i/>
          <w:iCs/>
          <w:szCs w:val="24"/>
        </w:rPr>
        <w:t>Federal Register</w:t>
      </w:r>
      <w:r w:rsidRPr="0009671E">
        <w:rPr>
          <w:szCs w:val="24"/>
        </w:rPr>
        <w:t xml:space="preserve"> on </w:t>
      </w:r>
      <w:r w:rsidR="00E42704">
        <w:rPr>
          <w:szCs w:val="24"/>
        </w:rPr>
        <w:t>August 8</w:t>
      </w:r>
      <w:r w:rsidRPr="0009671E">
        <w:rPr>
          <w:szCs w:val="24"/>
        </w:rPr>
        <w:t>, 2023</w:t>
      </w:r>
      <w:r>
        <w:rPr>
          <w:szCs w:val="24"/>
          <w:vertAlign w:val="superscript"/>
        </w:rPr>
        <w:footnoteReference w:id="11"/>
      </w:r>
      <w:r w:rsidRPr="0009671E">
        <w:rPr>
          <w:szCs w:val="24"/>
        </w:rPr>
        <w:t xml:space="preserve">, soliciting comment from the public, railroads, and other interested parties on these information collection requirements.  FRA received </w:t>
      </w:r>
      <w:r w:rsidRPr="0009671E">
        <w:rPr>
          <w:szCs w:val="24"/>
          <w:u w:val="single"/>
        </w:rPr>
        <w:t>no</w:t>
      </w:r>
      <w:r w:rsidRPr="0009671E">
        <w:rPr>
          <w:szCs w:val="24"/>
        </w:rPr>
        <w:t xml:space="preserve"> comments from the public. </w:t>
      </w:r>
    </w:p>
    <w:p w:rsidR="0009671E" w:rsidRPr="0009671E" w:rsidP="0009671E" w14:paraId="3D152615" w14:textId="77777777">
      <w:pPr>
        <w:ind w:left="720"/>
        <w:rPr>
          <w:szCs w:val="24"/>
        </w:rPr>
      </w:pPr>
    </w:p>
    <w:p w:rsidR="0009671E" w:rsidRPr="0009671E" w:rsidP="0009671E" w14:paraId="6F62B5A3" w14:textId="77777777">
      <w:pPr>
        <w:ind w:left="720"/>
        <w:rPr>
          <w:i/>
          <w:iCs/>
          <w:color w:val="000000"/>
          <w:szCs w:val="24"/>
          <w:u w:val="single"/>
        </w:rPr>
      </w:pPr>
      <w:r w:rsidRPr="0009671E">
        <w:rPr>
          <w:i/>
          <w:iCs/>
          <w:color w:val="000000"/>
          <w:szCs w:val="24"/>
          <w:u w:val="single"/>
        </w:rPr>
        <w:t>Consultations with representatives of the affected population:</w:t>
      </w:r>
    </w:p>
    <w:p w:rsidR="0009671E" w:rsidRPr="0009671E" w:rsidP="0009671E" w14:paraId="38DF2F64" w14:textId="77777777">
      <w:pPr>
        <w:widowControl w:val="0"/>
        <w:ind w:left="720"/>
        <w:rPr>
          <w:szCs w:val="24"/>
        </w:rPr>
      </w:pPr>
    </w:p>
    <w:p w:rsidR="0009671E" w:rsidRPr="0009671E" w:rsidP="0009671E" w14:paraId="6529EEDC" w14:textId="77777777">
      <w:pPr>
        <w:ind w:left="720"/>
        <w:rPr>
          <w:szCs w:val="24"/>
        </w:rPr>
      </w:pPr>
      <w:r w:rsidRPr="0009671E">
        <w:rPr>
          <w:szCs w:val="24"/>
        </w:rPr>
        <w:t>As a part of FRA’s oversight and enforcement, individuals from the railroad industry are generally in direct contact with FRA’s inspectors at the time of site inspections and can provide any comments or concerns to them.</w:t>
      </w:r>
    </w:p>
    <w:p w:rsidR="006B3B00" w:rsidP="00A01C91" w14:paraId="6E30D3FA" w14:textId="77777777">
      <w:pPr>
        <w:widowControl w:val="0"/>
        <w:ind w:left="720"/>
        <w:rPr>
          <w:u w:val="single"/>
        </w:rPr>
      </w:pPr>
    </w:p>
    <w:p w:rsidR="00917530" w:rsidP="00917530" w14:paraId="154679EE" w14:textId="62EB4A6F">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8074ED" w:rsidRPr="00AD423C" w:rsidP="00917530" w14:paraId="779368CD" w14:textId="77777777">
      <w:pPr>
        <w:widowControl w:val="0"/>
        <w:ind w:left="720" w:hanging="720"/>
        <w:rPr>
          <w:b/>
        </w:rPr>
      </w:pPr>
    </w:p>
    <w:p w:rsidR="004B0B83" w14:paraId="3039E4D2" w14:textId="1A26C859">
      <w:pPr>
        <w:widowControl w:val="0"/>
        <w:ind w:left="720"/>
        <w:rPr>
          <w:color w:val="000000"/>
        </w:rPr>
      </w:pPr>
      <w:r>
        <w:rPr>
          <w:color w:val="000000"/>
        </w:rPr>
        <w:t xml:space="preserve">There are no monetary payments or gifts made to respondents associated with the information collection requirements contained in this </w:t>
      </w:r>
      <w:r w:rsidR="006B3B00">
        <w:rPr>
          <w:color w:val="000000"/>
        </w:rPr>
        <w:t xml:space="preserve">information collection request. </w:t>
      </w:r>
    </w:p>
    <w:p w:rsidR="00384AC1" w14:paraId="380C1C63" w14:textId="7EAE868D">
      <w:pPr>
        <w:widowControl w:val="0"/>
        <w:rPr>
          <w:color w:val="000000"/>
        </w:rPr>
      </w:pPr>
    </w:p>
    <w:p w:rsidR="006B3B00" w:rsidP="006B3B00" w14:paraId="14167324" w14:textId="228FAB57">
      <w:pPr>
        <w:widowControl w:val="0"/>
        <w:rPr>
          <w:color w:val="000000"/>
        </w:rPr>
      </w:pPr>
      <w:r w:rsidRPr="006B3B00">
        <w:rPr>
          <w:b/>
        </w:rPr>
        <w:t>10.</w:t>
      </w:r>
      <w:r w:rsidR="00467355">
        <w:rPr>
          <w:b/>
        </w:rPr>
        <w:t xml:space="preserve"> </w:t>
      </w:r>
      <w:r w:rsidRPr="00467355">
        <w:rPr>
          <w:b/>
        </w:rPr>
        <w:t xml:space="preserve"> </w:t>
      </w:r>
      <w:r w:rsidR="00467355">
        <w:rPr>
          <w:b/>
        </w:rPr>
        <w:tab/>
      </w:r>
      <w:r w:rsidRPr="00AD423C">
        <w:rPr>
          <w:b/>
          <w:u w:val="single"/>
        </w:rPr>
        <w:t>Assurance of confidentiality</w:t>
      </w:r>
      <w:r w:rsidRPr="00AD423C">
        <w:rPr>
          <w:b/>
        </w:rPr>
        <w:t>.</w:t>
      </w:r>
    </w:p>
    <w:p w:rsidR="006B3B00" w:rsidP="006B3B00" w14:paraId="3C4BEB18" w14:textId="77777777">
      <w:pPr>
        <w:widowControl w:val="0"/>
        <w:ind w:left="720"/>
        <w:rPr>
          <w:color w:val="000000"/>
        </w:rPr>
      </w:pPr>
    </w:p>
    <w:p w:rsidR="005D554E" w:rsidP="006B3B00" w14:paraId="39B8659E" w14:textId="0F5A56F0">
      <w:pPr>
        <w:widowControl w:val="0"/>
        <w:ind w:left="720"/>
        <w:rPr>
          <w:color w:val="000000"/>
        </w:rPr>
      </w:pPr>
      <w:r>
        <w:rPr>
          <w:color w:val="000000"/>
        </w:rPr>
        <w:t>The information collected is not of a confidential nature and FRA pledges no</w:t>
      </w:r>
      <w:r w:rsidR="008074ED">
        <w:rPr>
          <w:color w:val="000000"/>
        </w:rPr>
        <w:t xml:space="preserve"> assurance of</w:t>
      </w:r>
      <w:r>
        <w:rPr>
          <w:color w:val="000000"/>
        </w:rPr>
        <w:t xml:space="preserve"> confidentiality. </w:t>
      </w:r>
    </w:p>
    <w:p w:rsidR="006B3B00" w:rsidP="006B3B00" w14:paraId="18C09C88" w14:textId="77777777">
      <w:pPr>
        <w:widowControl w:val="0"/>
        <w:ind w:left="720"/>
        <w:rPr>
          <w:color w:val="000000"/>
        </w:rPr>
      </w:pPr>
    </w:p>
    <w:p w:rsidR="006B3B00" w:rsidP="006B3B00" w14:paraId="3041C89A" w14:textId="77777777">
      <w:pPr>
        <w:widowControl w:val="0"/>
        <w:ind w:left="720" w:hanging="720"/>
        <w:rPr>
          <w:b/>
        </w:rPr>
      </w:pPr>
      <w:r w:rsidRPr="006B3B00">
        <w:rPr>
          <w:b/>
        </w:rPr>
        <w:t>11.</w:t>
      </w:r>
      <w:r w:rsidRPr="006B3B00">
        <w:rPr>
          <w:b/>
        </w:rPr>
        <w:tab/>
      </w:r>
      <w:r w:rsidRPr="00AD423C">
        <w:rPr>
          <w:b/>
          <w:u w:val="single"/>
        </w:rPr>
        <w:t>Justification for any questions of a sensitive nature</w:t>
      </w:r>
      <w:r w:rsidRPr="00AD423C">
        <w:rPr>
          <w:b/>
        </w:rPr>
        <w:t>.</w:t>
      </w:r>
    </w:p>
    <w:p w:rsidR="006B3B00" w:rsidP="006B3B00" w14:paraId="66B98273" w14:textId="77777777">
      <w:pPr>
        <w:widowControl w:val="0"/>
        <w:ind w:left="720" w:hanging="720"/>
        <w:rPr>
          <w:b/>
        </w:rPr>
      </w:pPr>
    </w:p>
    <w:p w:rsidR="008074ED" w:rsidP="006B3B00" w14:paraId="74C1950C" w14:textId="7F6454EF">
      <w:pPr>
        <w:widowControl w:val="0"/>
        <w:ind w:left="720"/>
        <w:rPr>
          <w:szCs w:val="24"/>
        </w:rPr>
      </w:pPr>
      <w:r w:rsidRPr="008074ED">
        <w:rPr>
          <w:szCs w:val="24"/>
        </w:rPr>
        <w:t xml:space="preserve">The information collection does not contain any data of a personal or sensitive nature.  </w:t>
      </w:r>
    </w:p>
    <w:p w:rsidR="005D554E" w:rsidP="006B3B00" w14:paraId="1779DD02" w14:textId="77777777">
      <w:pPr>
        <w:widowControl w:val="0"/>
        <w:rPr>
          <w:szCs w:val="24"/>
        </w:rPr>
        <w:sectPr w:rsidSect="008074ED">
          <w:footerReference w:type="default" r:id="rId9"/>
          <w:footnotePr>
            <w:numStart w:val="7"/>
          </w:footnotePr>
          <w:pgSz w:w="12240" w:h="15840" w:code="1"/>
          <w:pgMar w:top="1584" w:right="1440" w:bottom="1584" w:left="1915" w:header="1152" w:footer="1152" w:gutter="0"/>
          <w:pgNumType w:start="1"/>
          <w:cols w:space="720"/>
          <w:titlePg/>
          <w:docGrid w:linePitch="326"/>
        </w:sectPr>
      </w:pPr>
    </w:p>
    <w:p w:rsidR="00384AC1" w:rsidP="007F2948" w14:paraId="223DB510" w14:textId="1067B99D">
      <w:pPr>
        <w:widowControl w:val="0"/>
        <w:rPr>
          <w:color w:val="000000"/>
        </w:rPr>
      </w:pPr>
      <w:bookmarkStart w:id="2" w:name="_Hlk133218741"/>
      <w:bookmarkStart w:id="3" w:name="_Hlk133218446"/>
      <w:r w:rsidRPr="00AD423C">
        <w:rPr>
          <w:b/>
          <w:bCs/>
        </w:rPr>
        <w:t>12.       </w:t>
      </w:r>
      <w:r w:rsidRPr="00AD423C">
        <w:rPr>
          <w:b/>
          <w:bCs/>
          <w:u w:val="single"/>
        </w:rPr>
        <w:t>Estimate of burden hours for information collected</w:t>
      </w:r>
      <w:r w:rsidRPr="00AD423C">
        <w:rPr>
          <w:b/>
          <w:bCs/>
        </w:rPr>
        <w:t>.</w:t>
      </w:r>
    </w:p>
    <w:bookmarkEnd w:id="2"/>
    <w:p w:rsidR="00596AE8" w:rsidP="006D27A6" w14:paraId="3886906F" w14:textId="77777777">
      <w:pPr>
        <w:widowControl w:val="0"/>
        <w:rPr>
          <w:color w:val="000000"/>
        </w:rPr>
      </w:pPr>
    </w:p>
    <w:p w:rsidR="00F87A91" w:rsidP="005D554E" w14:paraId="43EB06B1" w14:textId="40733AE3">
      <w:pPr>
        <w:widowControl w:val="0"/>
        <w:ind w:left="630"/>
        <w:rPr>
          <w:color w:val="000000"/>
        </w:rPr>
      </w:pPr>
      <w:r>
        <w:t>The estimates for the respondent universe, annual responses, and average time per response are based on the experience and expertise of FRA’s Office of Railroad Safety.</w:t>
      </w:r>
    </w:p>
    <w:p w:rsidR="00F87A91" w:rsidP="006D27A6" w14:paraId="06CBAB9C" w14:textId="77777777">
      <w:pPr>
        <w:widowControl w:val="0"/>
        <w:rPr>
          <w:color w:val="000000"/>
        </w:rPr>
      </w:pPr>
    </w:p>
    <w:tbl>
      <w:tblPr>
        <w:tblW w:w="1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440"/>
        <w:gridCol w:w="1620"/>
        <w:gridCol w:w="1170"/>
        <w:gridCol w:w="1300"/>
        <w:gridCol w:w="1490"/>
        <w:gridCol w:w="3633"/>
      </w:tblGrid>
      <w:tr w14:paraId="42AC5418" w14:textId="77777777" w:rsidTr="001C5CE1">
        <w:tblPrEx>
          <w:tblW w:w="1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0"/>
        </w:trPr>
        <w:tc>
          <w:tcPr>
            <w:tcW w:w="2515" w:type="dxa"/>
            <w:shd w:val="clear" w:color="auto" w:fill="auto"/>
            <w:hideMark/>
          </w:tcPr>
          <w:p w:rsidR="007C3660" w:rsidRPr="007C3660" w:rsidP="007C3660" w14:paraId="44A009F5" w14:textId="77777777">
            <w:pPr>
              <w:jc w:val="center"/>
              <w:rPr>
                <w:b/>
                <w:bCs/>
                <w:color w:val="000000"/>
                <w:sz w:val="20"/>
              </w:rPr>
            </w:pPr>
            <w:r w:rsidRPr="007C3660">
              <w:rPr>
                <w:b/>
                <w:bCs/>
                <w:color w:val="000000"/>
                <w:sz w:val="20"/>
              </w:rPr>
              <w:t>CFR Section</w:t>
            </w:r>
          </w:p>
        </w:tc>
        <w:tc>
          <w:tcPr>
            <w:tcW w:w="1440" w:type="dxa"/>
            <w:shd w:val="clear" w:color="auto" w:fill="auto"/>
            <w:hideMark/>
          </w:tcPr>
          <w:p w:rsidR="007C3660" w:rsidRPr="007C3660" w:rsidP="007C3660" w14:paraId="4AAADAA3" w14:textId="77777777">
            <w:pPr>
              <w:jc w:val="center"/>
              <w:rPr>
                <w:b/>
                <w:bCs/>
                <w:color w:val="000000"/>
                <w:sz w:val="20"/>
              </w:rPr>
            </w:pPr>
            <w:r w:rsidRPr="007C3660">
              <w:rPr>
                <w:b/>
                <w:bCs/>
                <w:color w:val="000000"/>
                <w:sz w:val="20"/>
              </w:rPr>
              <w:t>Respondent universe</w:t>
            </w:r>
          </w:p>
        </w:tc>
        <w:tc>
          <w:tcPr>
            <w:tcW w:w="1620" w:type="dxa"/>
            <w:shd w:val="clear" w:color="auto" w:fill="auto"/>
            <w:hideMark/>
          </w:tcPr>
          <w:p w:rsidR="001D591F" w:rsidP="007C3660" w14:paraId="0931B054" w14:textId="77777777">
            <w:pPr>
              <w:jc w:val="center"/>
              <w:rPr>
                <w:b/>
                <w:bCs/>
                <w:color w:val="000000"/>
                <w:sz w:val="20"/>
              </w:rPr>
            </w:pPr>
            <w:r w:rsidRPr="007C3660">
              <w:rPr>
                <w:b/>
                <w:bCs/>
                <w:color w:val="000000"/>
                <w:sz w:val="20"/>
              </w:rPr>
              <w:t xml:space="preserve">Total annual responses </w:t>
            </w:r>
          </w:p>
          <w:p w:rsidR="007C3660" w:rsidRPr="007C3660" w:rsidP="007C3660" w14:paraId="179288DE" w14:textId="606120BC">
            <w:pPr>
              <w:jc w:val="center"/>
              <w:rPr>
                <w:b/>
                <w:bCs/>
                <w:color w:val="000000"/>
                <w:sz w:val="20"/>
              </w:rPr>
            </w:pPr>
            <w:r w:rsidRPr="007C3660">
              <w:rPr>
                <w:b/>
                <w:bCs/>
                <w:color w:val="000000"/>
                <w:sz w:val="20"/>
              </w:rPr>
              <w:t>(A)</w:t>
            </w:r>
          </w:p>
        </w:tc>
        <w:tc>
          <w:tcPr>
            <w:tcW w:w="1170" w:type="dxa"/>
            <w:shd w:val="clear" w:color="auto" w:fill="auto"/>
            <w:hideMark/>
          </w:tcPr>
          <w:p w:rsidR="007C3660" w:rsidRPr="007C3660" w:rsidP="007C3660" w14:paraId="6B996478" w14:textId="19822CC6">
            <w:pPr>
              <w:jc w:val="center"/>
              <w:rPr>
                <w:b/>
                <w:bCs/>
                <w:color w:val="000000"/>
                <w:sz w:val="20"/>
              </w:rPr>
            </w:pPr>
            <w:r w:rsidRPr="1A10F2A7">
              <w:rPr>
                <w:b/>
                <w:color w:val="000000" w:themeColor="text1"/>
                <w:sz w:val="20"/>
              </w:rPr>
              <w:t>Average time per response (B)</w:t>
            </w:r>
          </w:p>
        </w:tc>
        <w:tc>
          <w:tcPr>
            <w:tcW w:w="1300" w:type="dxa"/>
            <w:shd w:val="clear" w:color="auto" w:fill="auto"/>
            <w:hideMark/>
          </w:tcPr>
          <w:p w:rsidR="001D591F" w:rsidP="007C3660" w14:paraId="1777B8C9" w14:textId="77777777">
            <w:pPr>
              <w:jc w:val="center"/>
              <w:rPr>
                <w:b/>
                <w:bCs/>
                <w:color w:val="000000"/>
                <w:sz w:val="20"/>
              </w:rPr>
            </w:pPr>
            <w:r w:rsidRPr="007C3660">
              <w:rPr>
                <w:b/>
                <w:bCs/>
                <w:color w:val="000000"/>
                <w:sz w:val="20"/>
              </w:rPr>
              <w:t xml:space="preserve">Total annual burden hours </w:t>
            </w:r>
          </w:p>
          <w:p w:rsidR="007C3660" w:rsidRPr="007C3660" w:rsidP="007C3660" w14:paraId="76B035CB" w14:textId="2E1284A7">
            <w:pPr>
              <w:jc w:val="center"/>
              <w:rPr>
                <w:b/>
                <w:bCs/>
                <w:color w:val="000000"/>
                <w:sz w:val="20"/>
              </w:rPr>
            </w:pPr>
            <w:r w:rsidRPr="007C3660">
              <w:rPr>
                <w:b/>
                <w:bCs/>
                <w:color w:val="000000"/>
                <w:sz w:val="20"/>
              </w:rPr>
              <w:t xml:space="preserve">(C = A * B) </w:t>
            </w:r>
          </w:p>
        </w:tc>
        <w:tc>
          <w:tcPr>
            <w:tcW w:w="1490" w:type="dxa"/>
            <w:shd w:val="clear" w:color="auto" w:fill="auto"/>
            <w:hideMark/>
          </w:tcPr>
          <w:p w:rsidR="00BC3275" w:rsidP="007C3660" w14:paraId="57191A70" w14:textId="77777777">
            <w:pPr>
              <w:jc w:val="center"/>
              <w:rPr>
                <w:b/>
                <w:bCs/>
                <w:color w:val="000000"/>
                <w:sz w:val="20"/>
              </w:rPr>
            </w:pPr>
            <w:r w:rsidRPr="007C3660">
              <w:rPr>
                <w:b/>
                <w:bCs/>
                <w:color w:val="000000"/>
                <w:sz w:val="20"/>
              </w:rPr>
              <w:t xml:space="preserve">Total cost equivalent in U.S. dollar </w:t>
            </w:r>
            <w:r w:rsidRPr="007C3660">
              <w:rPr>
                <w:b/>
                <w:bCs/>
                <w:color w:val="000000"/>
                <w:sz w:val="20"/>
              </w:rPr>
              <w:br/>
              <w:t xml:space="preserve">(D = C * </w:t>
            </w:r>
          </w:p>
          <w:p w:rsidR="007C3660" w:rsidRPr="007C3660" w:rsidP="007C3660" w14:paraId="610CA3A8" w14:textId="672D7CC9">
            <w:pPr>
              <w:jc w:val="center"/>
              <w:rPr>
                <w:b/>
                <w:bCs/>
                <w:color w:val="000000"/>
                <w:sz w:val="20"/>
              </w:rPr>
            </w:pPr>
            <w:r w:rsidRPr="007C3660">
              <w:rPr>
                <w:b/>
                <w:bCs/>
                <w:color w:val="000000"/>
                <w:sz w:val="20"/>
              </w:rPr>
              <w:t>wage rates)</w:t>
            </w:r>
            <w:r>
              <w:rPr>
                <w:rStyle w:val="FootnoteReference"/>
                <w:b w:val="0"/>
                <w:bCs/>
                <w:color w:val="000000"/>
                <w:sz w:val="20"/>
              </w:rPr>
              <w:footnoteReference w:id="12"/>
            </w:r>
          </w:p>
        </w:tc>
        <w:tc>
          <w:tcPr>
            <w:tcW w:w="3633" w:type="dxa"/>
            <w:shd w:val="clear" w:color="auto" w:fill="auto"/>
            <w:hideMark/>
          </w:tcPr>
          <w:p w:rsidR="007C3660" w:rsidRPr="007C3660" w:rsidP="007C3660" w14:paraId="3CEF4810" w14:textId="77777777">
            <w:pPr>
              <w:jc w:val="center"/>
              <w:rPr>
                <w:b/>
                <w:bCs/>
                <w:color w:val="000000"/>
                <w:sz w:val="20"/>
              </w:rPr>
            </w:pPr>
            <w:r w:rsidRPr="007C3660">
              <w:rPr>
                <w:b/>
                <w:bCs/>
                <w:color w:val="000000"/>
                <w:sz w:val="20"/>
              </w:rPr>
              <w:t>PRA Analyses and Estimates</w:t>
            </w:r>
          </w:p>
        </w:tc>
      </w:tr>
      <w:tr w14:paraId="3F459338" w14:textId="77777777" w:rsidTr="001C5CE1">
        <w:tblPrEx>
          <w:tblW w:w="13168" w:type="dxa"/>
          <w:tblLook w:val="04A0"/>
        </w:tblPrEx>
        <w:trPr>
          <w:trHeight w:val="445"/>
        </w:trPr>
        <w:tc>
          <w:tcPr>
            <w:tcW w:w="2515" w:type="dxa"/>
            <w:shd w:val="clear" w:color="auto" w:fill="auto"/>
            <w:hideMark/>
          </w:tcPr>
          <w:p w:rsidR="007C3660" w:rsidRPr="007C3660" w:rsidP="007C3660" w14:paraId="68230517" w14:textId="77777777">
            <w:pPr>
              <w:rPr>
                <w:color w:val="000000"/>
                <w:sz w:val="20"/>
              </w:rPr>
            </w:pPr>
            <w:r w:rsidRPr="007C3660">
              <w:rPr>
                <w:color w:val="000000"/>
                <w:sz w:val="20"/>
              </w:rPr>
              <w:t>238.112—Door emergency egress and rescue access systems:</w:t>
            </w:r>
            <w:r w:rsidRPr="007C3660">
              <w:rPr>
                <w:color w:val="000000"/>
                <w:sz w:val="20"/>
              </w:rPr>
              <w:br/>
              <w:t xml:space="preserve">—Markings, signage, instructions                                </w:t>
            </w:r>
            <w:r w:rsidRPr="007C3660">
              <w:rPr>
                <w:color w:val="000000"/>
                <w:sz w:val="20"/>
              </w:rPr>
              <w:br/>
              <w:t xml:space="preserve">                                                                  </w:t>
            </w:r>
            <w:r w:rsidRPr="007C3660">
              <w:rPr>
                <w:color w:val="000000"/>
                <w:sz w:val="20"/>
              </w:rPr>
              <w:br/>
              <w:t xml:space="preserve">                            </w:t>
            </w:r>
            <w:r w:rsidRPr="007C3660">
              <w:rPr>
                <w:color w:val="000000"/>
                <w:sz w:val="20"/>
              </w:rPr>
              <w:br/>
              <w:t xml:space="preserve">                                                               </w:t>
            </w:r>
          </w:p>
        </w:tc>
        <w:tc>
          <w:tcPr>
            <w:tcW w:w="1440" w:type="dxa"/>
            <w:shd w:val="clear" w:color="auto" w:fill="auto"/>
            <w:hideMark/>
          </w:tcPr>
          <w:p w:rsidR="001D591F" w:rsidP="007C3660" w14:paraId="7E019D6F" w14:textId="77777777">
            <w:pPr>
              <w:jc w:val="center"/>
              <w:rPr>
                <w:color w:val="000000"/>
                <w:sz w:val="20"/>
              </w:rPr>
            </w:pPr>
            <w:r w:rsidRPr="007C3660">
              <w:rPr>
                <w:color w:val="000000"/>
                <w:sz w:val="20"/>
              </w:rPr>
              <w:t>34</w:t>
            </w:r>
          </w:p>
          <w:p w:rsidR="007C3660" w:rsidRPr="007C3660" w:rsidP="007C3660" w14:paraId="22874489" w14:textId="5FCAB153">
            <w:pPr>
              <w:jc w:val="center"/>
              <w:rPr>
                <w:color w:val="000000"/>
                <w:sz w:val="20"/>
              </w:rPr>
            </w:pPr>
            <w:r w:rsidRPr="007C3660">
              <w:rPr>
                <w:color w:val="000000"/>
                <w:sz w:val="20"/>
              </w:rPr>
              <w:t xml:space="preserve"> railroads   </w:t>
            </w:r>
          </w:p>
        </w:tc>
        <w:tc>
          <w:tcPr>
            <w:tcW w:w="1620" w:type="dxa"/>
            <w:shd w:val="clear" w:color="auto" w:fill="auto"/>
            <w:hideMark/>
          </w:tcPr>
          <w:p w:rsidR="007C3660" w:rsidP="007C3660" w14:paraId="12306C5D" w14:textId="77777777">
            <w:pPr>
              <w:jc w:val="center"/>
              <w:rPr>
                <w:color w:val="000000"/>
                <w:sz w:val="20"/>
              </w:rPr>
            </w:pPr>
            <w:r w:rsidRPr="007C3660">
              <w:rPr>
                <w:color w:val="000000"/>
                <w:sz w:val="20"/>
              </w:rPr>
              <w:t>2,250</w:t>
            </w:r>
          </w:p>
          <w:p w:rsidR="007C3660" w:rsidRPr="007C3660" w:rsidP="007C3660" w14:paraId="3A5CF4F1" w14:textId="071D82D2">
            <w:pPr>
              <w:jc w:val="center"/>
              <w:rPr>
                <w:color w:val="000000"/>
                <w:sz w:val="20"/>
              </w:rPr>
            </w:pPr>
            <w:r w:rsidRPr="007C3660">
              <w:rPr>
                <w:color w:val="000000"/>
                <w:sz w:val="20"/>
              </w:rPr>
              <w:t xml:space="preserve"> markings/ signs/ instructions</w:t>
            </w:r>
          </w:p>
        </w:tc>
        <w:tc>
          <w:tcPr>
            <w:tcW w:w="1170" w:type="dxa"/>
            <w:shd w:val="clear" w:color="auto" w:fill="auto"/>
            <w:hideMark/>
          </w:tcPr>
          <w:p w:rsidR="001D591F" w:rsidP="007C3660" w14:paraId="44B834FB" w14:textId="77777777">
            <w:pPr>
              <w:jc w:val="center"/>
              <w:rPr>
                <w:color w:val="000000"/>
                <w:sz w:val="20"/>
              </w:rPr>
            </w:pPr>
            <w:r w:rsidRPr="007C3660">
              <w:rPr>
                <w:color w:val="000000"/>
                <w:sz w:val="20"/>
              </w:rPr>
              <w:t>5</w:t>
            </w:r>
          </w:p>
          <w:p w:rsidR="007C3660" w:rsidRPr="007C3660" w:rsidP="007C3660" w14:paraId="1B2D8BBB" w14:textId="13DDF2CC">
            <w:pPr>
              <w:jc w:val="center"/>
              <w:rPr>
                <w:color w:val="000000"/>
                <w:sz w:val="20"/>
              </w:rPr>
            </w:pPr>
            <w:r w:rsidRPr="007C3660">
              <w:rPr>
                <w:color w:val="000000"/>
                <w:sz w:val="20"/>
              </w:rPr>
              <w:t xml:space="preserve"> minutes</w:t>
            </w:r>
          </w:p>
        </w:tc>
        <w:tc>
          <w:tcPr>
            <w:tcW w:w="1300" w:type="dxa"/>
            <w:shd w:val="clear" w:color="auto" w:fill="auto"/>
            <w:hideMark/>
          </w:tcPr>
          <w:p w:rsidR="001D591F" w:rsidP="007C3660" w14:paraId="560475E3" w14:textId="77777777">
            <w:pPr>
              <w:jc w:val="center"/>
              <w:rPr>
                <w:color w:val="000000"/>
                <w:sz w:val="20"/>
              </w:rPr>
            </w:pPr>
            <w:r w:rsidRPr="007C3660">
              <w:rPr>
                <w:color w:val="000000"/>
                <w:sz w:val="20"/>
              </w:rPr>
              <w:t>18</w:t>
            </w:r>
            <w:r w:rsidR="007262F6">
              <w:rPr>
                <w:color w:val="000000"/>
                <w:sz w:val="20"/>
              </w:rPr>
              <w:t>7.50</w:t>
            </w:r>
          </w:p>
          <w:p w:rsidR="007C3660" w:rsidRPr="007C3660" w:rsidP="007C3660" w14:paraId="3D565808" w14:textId="3F4BB250">
            <w:pPr>
              <w:jc w:val="center"/>
              <w:rPr>
                <w:color w:val="000000"/>
                <w:sz w:val="20"/>
              </w:rPr>
            </w:pPr>
            <w:r w:rsidRPr="007C3660">
              <w:rPr>
                <w:color w:val="000000"/>
                <w:sz w:val="20"/>
              </w:rPr>
              <w:t xml:space="preserve"> hours</w:t>
            </w:r>
          </w:p>
        </w:tc>
        <w:tc>
          <w:tcPr>
            <w:tcW w:w="1490" w:type="dxa"/>
            <w:shd w:val="clear" w:color="auto" w:fill="auto"/>
            <w:hideMark/>
          </w:tcPr>
          <w:p w:rsidR="007C3660" w:rsidRPr="007C3660" w:rsidP="001C5CE1" w14:paraId="347BEF3E" w14:textId="18D5C698">
            <w:pPr>
              <w:jc w:val="center"/>
              <w:rPr>
                <w:color w:val="000000"/>
                <w:sz w:val="20"/>
              </w:rPr>
            </w:pPr>
            <w:r w:rsidRPr="007C3660">
              <w:rPr>
                <w:color w:val="000000"/>
                <w:sz w:val="20"/>
              </w:rPr>
              <w:t>$16,111.88</w:t>
            </w:r>
          </w:p>
        </w:tc>
        <w:tc>
          <w:tcPr>
            <w:tcW w:w="3633" w:type="dxa"/>
            <w:shd w:val="clear" w:color="auto" w:fill="auto"/>
            <w:hideMark/>
          </w:tcPr>
          <w:p w:rsidR="007C3660" w:rsidRPr="007C3660" w:rsidP="007C3660" w14:paraId="1195EA2E" w14:textId="2739AB63">
            <w:pPr>
              <w:rPr>
                <w:color w:val="000000"/>
                <w:sz w:val="20"/>
              </w:rPr>
            </w:pPr>
            <w:r w:rsidRPr="007C3660">
              <w:rPr>
                <w:color w:val="000000"/>
                <w:sz w:val="20"/>
              </w:rPr>
              <w:t>(</w:t>
            </w:r>
            <w:r w:rsidRPr="007C3660" w:rsidR="00DF4F0E">
              <w:rPr>
                <w:color w:val="000000"/>
                <w:sz w:val="20"/>
              </w:rPr>
              <w:t>1) Prior</w:t>
            </w:r>
            <w:r w:rsidRPr="007C3660">
              <w:rPr>
                <w:color w:val="000000"/>
                <w:sz w:val="20"/>
              </w:rPr>
              <w:t xml:space="preserve"> to January 28, 2015, all door exits intended for emergency egress shall either be lighted or conspicuously and legibly marked with luminescent material on the inside of each car, and legible and understandable instructions shall be provided for their use at or near each such door. </w:t>
            </w:r>
            <w:r w:rsidRPr="007C3660">
              <w:rPr>
                <w:color w:val="000000"/>
                <w:sz w:val="20"/>
              </w:rPr>
              <w:br/>
              <w:t>(2) On or after January 28, 2015, all door exits intended for emergency egress shall be marked, and instructions provided for their use, as specified in § 238.125.</w:t>
            </w:r>
            <w:r w:rsidRPr="007C3660">
              <w:rPr>
                <w:color w:val="000000"/>
                <w:sz w:val="20"/>
              </w:rPr>
              <w:br/>
            </w:r>
            <w:r w:rsidRPr="007C3660">
              <w:rPr>
                <w:color w:val="000000"/>
                <w:sz w:val="20"/>
              </w:rPr>
              <w:br/>
              <w:t>FRA estimates, after careful review, that it will take approximately 5 minutes for each marking.</w:t>
            </w:r>
          </w:p>
        </w:tc>
      </w:tr>
      <w:tr w14:paraId="03D9C16B" w14:textId="77777777" w:rsidTr="001C5CE1">
        <w:tblPrEx>
          <w:tblW w:w="13168" w:type="dxa"/>
          <w:tblLook w:val="04A0"/>
        </w:tblPrEx>
        <w:trPr>
          <w:trHeight w:val="2670"/>
        </w:trPr>
        <w:tc>
          <w:tcPr>
            <w:tcW w:w="2515" w:type="dxa"/>
            <w:shd w:val="clear" w:color="auto" w:fill="auto"/>
            <w:hideMark/>
          </w:tcPr>
          <w:p w:rsidR="007C3660" w:rsidRPr="007C3660" w:rsidP="007C3660" w14:paraId="6B2DA122" w14:textId="77777777">
            <w:pPr>
              <w:rPr>
                <w:color w:val="000000"/>
                <w:sz w:val="20"/>
              </w:rPr>
            </w:pPr>
            <w:r w:rsidRPr="007C3660">
              <w:rPr>
                <w:color w:val="000000"/>
                <w:sz w:val="20"/>
              </w:rPr>
              <w:t>—(e) Passenger car exterior doors intended for emergency access by responders marked with retro-reflective material and instructions provided for their use</w:t>
            </w:r>
          </w:p>
        </w:tc>
        <w:tc>
          <w:tcPr>
            <w:tcW w:w="1440" w:type="dxa"/>
            <w:shd w:val="clear" w:color="auto" w:fill="auto"/>
            <w:hideMark/>
          </w:tcPr>
          <w:p w:rsidR="001D591F" w:rsidP="007C3660" w14:paraId="6AE2862D" w14:textId="77777777">
            <w:pPr>
              <w:jc w:val="center"/>
              <w:rPr>
                <w:color w:val="000000"/>
                <w:sz w:val="20"/>
              </w:rPr>
            </w:pPr>
            <w:r w:rsidRPr="007C3660">
              <w:rPr>
                <w:color w:val="000000"/>
                <w:sz w:val="20"/>
              </w:rPr>
              <w:t xml:space="preserve">34 </w:t>
            </w:r>
          </w:p>
          <w:p w:rsidR="007C3660" w:rsidRPr="007C3660" w:rsidP="007C3660" w14:paraId="508B94BB" w14:textId="513EA23B">
            <w:pPr>
              <w:jc w:val="center"/>
              <w:rPr>
                <w:color w:val="000000"/>
                <w:sz w:val="20"/>
              </w:rPr>
            </w:pPr>
            <w:r w:rsidRPr="007C3660">
              <w:rPr>
                <w:color w:val="000000"/>
                <w:sz w:val="20"/>
              </w:rPr>
              <w:t xml:space="preserve">railroads   </w:t>
            </w:r>
          </w:p>
        </w:tc>
        <w:tc>
          <w:tcPr>
            <w:tcW w:w="1620" w:type="dxa"/>
            <w:shd w:val="clear" w:color="auto" w:fill="auto"/>
            <w:hideMark/>
          </w:tcPr>
          <w:p w:rsidR="007C3660" w:rsidP="007C3660" w14:paraId="5AE53544" w14:textId="77777777">
            <w:pPr>
              <w:jc w:val="center"/>
              <w:rPr>
                <w:color w:val="000000"/>
                <w:sz w:val="20"/>
              </w:rPr>
            </w:pPr>
            <w:r w:rsidRPr="007C3660">
              <w:rPr>
                <w:color w:val="000000"/>
                <w:sz w:val="20"/>
              </w:rPr>
              <w:t xml:space="preserve">2,250 </w:t>
            </w:r>
          </w:p>
          <w:p w:rsidR="007C3660" w:rsidRPr="007C3660" w:rsidP="007C3660" w14:paraId="15D59BAF" w14:textId="35DC2E33">
            <w:pPr>
              <w:jc w:val="center"/>
              <w:rPr>
                <w:color w:val="000000"/>
                <w:sz w:val="20"/>
              </w:rPr>
            </w:pPr>
            <w:r w:rsidRPr="007C3660">
              <w:rPr>
                <w:color w:val="000000"/>
                <w:sz w:val="20"/>
              </w:rPr>
              <w:t>exterior door markings</w:t>
            </w:r>
          </w:p>
        </w:tc>
        <w:tc>
          <w:tcPr>
            <w:tcW w:w="1170" w:type="dxa"/>
            <w:shd w:val="clear" w:color="auto" w:fill="auto"/>
            <w:hideMark/>
          </w:tcPr>
          <w:p w:rsidR="001D591F" w:rsidP="007C3660" w14:paraId="2FD1912B" w14:textId="77777777">
            <w:pPr>
              <w:jc w:val="center"/>
              <w:rPr>
                <w:color w:val="000000"/>
                <w:sz w:val="20"/>
              </w:rPr>
            </w:pPr>
            <w:r w:rsidRPr="007C3660">
              <w:rPr>
                <w:color w:val="000000"/>
                <w:sz w:val="20"/>
              </w:rPr>
              <w:t xml:space="preserve">5 </w:t>
            </w:r>
          </w:p>
          <w:p w:rsidR="007C3660" w:rsidRPr="007C3660" w:rsidP="007C3660" w14:paraId="3EC24292" w14:textId="2E73E980">
            <w:pPr>
              <w:jc w:val="center"/>
              <w:rPr>
                <w:color w:val="000000"/>
                <w:sz w:val="20"/>
              </w:rPr>
            </w:pPr>
            <w:r w:rsidRPr="007C3660">
              <w:rPr>
                <w:color w:val="000000"/>
                <w:sz w:val="20"/>
              </w:rPr>
              <w:t>minutes</w:t>
            </w:r>
          </w:p>
        </w:tc>
        <w:tc>
          <w:tcPr>
            <w:tcW w:w="1300" w:type="dxa"/>
            <w:shd w:val="clear" w:color="auto" w:fill="auto"/>
            <w:hideMark/>
          </w:tcPr>
          <w:p w:rsidR="001D591F" w:rsidP="007C3660" w14:paraId="36B70664" w14:textId="77777777">
            <w:pPr>
              <w:jc w:val="center"/>
              <w:rPr>
                <w:color w:val="000000"/>
                <w:sz w:val="20"/>
              </w:rPr>
            </w:pPr>
            <w:r w:rsidRPr="007C3660">
              <w:rPr>
                <w:color w:val="000000"/>
                <w:sz w:val="20"/>
              </w:rPr>
              <w:t>18</w:t>
            </w:r>
            <w:r w:rsidR="007262F6">
              <w:rPr>
                <w:color w:val="000000"/>
                <w:sz w:val="20"/>
              </w:rPr>
              <w:t>7.50</w:t>
            </w:r>
            <w:r w:rsidRPr="007C3660">
              <w:rPr>
                <w:color w:val="000000"/>
                <w:sz w:val="20"/>
              </w:rPr>
              <w:t xml:space="preserve"> </w:t>
            </w:r>
          </w:p>
          <w:p w:rsidR="007C3660" w:rsidRPr="007C3660" w:rsidP="007C3660" w14:paraId="3D80A525" w14:textId="130EB80A">
            <w:pPr>
              <w:jc w:val="center"/>
              <w:rPr>
                <w:color w:val="000000"/>
                <w:sz w:val="20"/>
              </w:rPr>
            </w:pPr>
            <w:r w:rsidRPr="007C3660">
              <w:rPr>
                <w:color w:val="000000"/>
                <w:sz w:val="20"/>
              </w:rPr>
              <w:t>hours</w:t>
            </w:r>
          </w:p>
        </w:tc>
        <w:tc>
          <w:tcPr>
            <w:tcW w:w="1490" w:type="dxa"/>
            <w:shd w:val="clear" w:color="auto" w:fill="auto"/>
            <w:hideMark/>
          </w:tcPr>
          <w:p w:rsidR="007C3660" w:rsidRPr="007C3660" w:rsidP="001C5CE1" w14:paraId="0B4C4892" w14:textId="14E9D37E">
            <w:pPr>
              <w:jc w:val="center"/>
              <w:rPr>
                <w:color w:val="000000"/>
                <w:sz w:val="20"/>
              </w:rPr>
            </w:pPr>
            <w:r w:rsidRPr="007C3660">
              <w:rPr>
                <w:color w:val="000000"/>
                <w:sz w:val="20"/>
              </w:rPr>
              <w:t>$16,111.88</w:t>
            </w:r>
          </w:p>
        </w:tc>
        <w:tc>
          <w:tcPr>
            <w:tcW w:w="3633" w:type="dxa"/>
            <w:shd w:val="clear" w:color="auto" w:fill="auto"/>
            <w:hideMark/>
          </w:tcPr>
          <w:p w:rsidR="007C3660" w:rsidRPr="007C3660" w:rsidP="007C3660" w14:paraId="0888D180" w14:textId="40F0B6E7">
            <w:pPr>
              <w:rPr>
                <w:color w:val="000000"/>
                <w:sz w:val="20"/>
              </w:rPr>
            </w:pPr>
            <w:r w:rsidRPr="007C3660">
              <w:rPr>
                <w:color w:val="000000"/>
                <w:sz w:val="20"/>
              </w:rPr>
              <w:t>(</w:t>
            </w:r>
            <w:r w:rsidRPr="007C3660" w:rsidR="007262F6">
              <w:rPr>
                <w:color w:val="000000"/>
                <w:sz w:val="20"/>
              </w:rPr>
              <w:t>1) Prior</w:t>
            </w:r>
            <w:r w:rsidRPr="007C3660">
              <w:rPr>
                <w:color w:val="000000"/>
                <w:sz w:val="20"/>
              </w:rPr>
              <w:t xml:space="preserve"> to January 28, 2015, all doors intended for access by emergency responders shall be marked on the exterior of the car with retroreflective material, and legible and understandable instructions shall be posted at or near each such door. </w:t>
            </w:r>
            <w:r w:rsidRPr="007C3660">
              <w:rPr>
                <w:color w:val="000000"/>
                <w:sz w:val="20"/>
              </w:rPr>
              <w:br/>
              <w:t>(2) On or after January 28, 2015, all doors intended for access by emergency responders shall be marked, and instructions provided for their use, as specified in § 238.125.</w:t>
            </w:r>
            <w:r w:rsidRPr="007C3660">
              <w:rPr>
                <w:color w:val="000000"/>
                <w:sz w:val="20"/>
              </w:rPr>
              <w:br/>
            </w:r>
            <w:r w:rsidRPr="007C3660">
              <w:rPr>
                <w:color w:val="000000"/>
                <w:sz w:val="20"/>
              </w:rPr>
              <w:br/>
              <w:t xml:space="preserve">FRA estimates, after careful review, that it will take approximately 5 minutes to mark each exterior door. </w:t>
            </w:r>
          </w:p>
        </w:tc>
      </w:tr>
      <w:tr w14:paraId="7A4E3117" w14:textId="77777777" w:rsidTr="001C5CE1">
        <w:tblPrEx>
          <w:tblW w:w="13168" w:type="dxa"/>
          <w:tblLook w:val="04A0"/>
        </w:tblPrEx>
        <w:trPr>
          <w:trHeight w:val="350"/>
        </w:trPr>
        <w:tc>
          <w:tcPr>
            <w:tcW w:w="2515" w:type="dxa"/>
            <w:shd w:val="clear" w:color="auto" w:fill="auto"/>
            <w:hideMark/>
          </w:tcPr>
          <w:p w:rsidR="007C3660" w:rsidRPr="007C3660" w:rsidP="007C3660" w14:paraId="53DDD5E6" w14:textId="77777777">
            <w:pPr>
              <w:rPr>
                <w:color w:val="000000"/>
                <w:sz w:val="20"/>
              </w:rPr>
            </w:pPr>
            <w:r w:rsidRPr="007C3660">
              <w:rPr>
                <w:color w:val="000000"/>
                <w:sz w:val="20"/>
              </w:rPr>
              <w:t>—(f)(5) Markings and instructions—interior doors/removable panels or windows</w:t>
            </w:r>
          </w:p>
        </w:tc>
        <w:tc>
          <w:tcPr>
            <w:tcW w:w="1440" w:type="dxa"/>
            <w:shd w:val="clear" w:color="auto" w:fill="auto"/>
            <w:hideMark/>
          </w:tcPr>
          <w:p w:rsidR="001D591F" w:rsidP="007C3660" w14:paraId="0D554B4F" w14:textId="77777777">
            <w:pPr>
              <w:jc w:val="center"/>
              <w:rPr>
                <w:color w:val="000000"/>
                <w:sz w:val="20"/>
              </w:rPr>
            </w:pPr>
            <w:r w:rsidRPr="007C3660">
              <w:rPr>
                <w:color w:val="000000"/>
                <w:sz w:val="20"/>
              </w:rPr>
              <w:t xml:space="preserve">34 </w:t>
            </w:r>
          </w:p>
          <w:p w:rsidR="007C3660" w:rsidRPr="007C3660" w:rsidP="007C3660" w14:paraId="0063C2F5" w14:textId="6A7E60D2">
            <w:pPr>
              <w:jc w:val="center"/>
              <w:rPr>
                <w:color w:val="000000"/>
                <w:sz w:val="20"/>
              </w:rPr>
            </w:pPr>
            <w:r w:rsidRPr="007C3660">
              <w:rPr>
                <w:color w:val="000000"/>
                <w:sz w:val="20"/>
              </w:rPr>
              <w:t xml:space="preserve">railroads   </w:t>
            </w:r>
          </w:p>
        </w:tc>
        <w:tc>
          <w:tcPr>
            <w:tcW w:w="1620" w:type="dxa"/>
            <w:shd w:val="clear" w:color="auto" w:fill="auto"/>
            <w:hideMark/>
          </w:tcPr>
          <w:p w:rsidR="007C3660" w:rsidP="007C3660" w14:paraId="7417B514" w14:textId="77777777">
            <w:pPr>
              <w:jc w:val="center"/>
              <w:rPr>
                <w:color w:val="000000"/>
                <w:sz w:val="20"/>
              </w:rPr>
            </w:pPr>
            <w:r w:rsidRPr="007C3660">
              <w:rPr>
                <w:color w:val="000000"/>
                <w:sz w:val="20"/>
              </w:rPr>
              <w:t>1,500</w:t>
            </w:r>
          </w:p>
          <w:p w:rsidR="007C3660" w:rsidRPr="007C3660" w:rsidP="007C3660" w14:paraId="0E3AE1C9" w14:textId="4735C01B">
            <w:pPr>
              <w:jc w:val="center"/>
              <w:rPr>
                <w:color w:val="000000"/>
                <w:sz w:val="20"/>
              </w:rPr>
            </w:pPr>
            <w:r w:rsidRPr="007C3660">
              <w:rPr>
                <w:color w:val="000000"/>
                <w:sz w:val="20"/>
              </w:rPr>
              <w:t xml:space="preserve"> marked panels /windows</w:t>
            </w:r>
          </w:p>
        </w:tc>
        <w:tc>
          <w:tcPr>
            <w:tcW w:w="1170" w:type="dxa"/>
            <w:shd w:val="clear" w:color="auto" w:fill="auto"/>
            <w:hideMark/>
          </w:tcPr>
          <w:p w:rsidR="001D591F" w:rsidP="007C3660" w14:paraId="445F0E97" w14:textId="77777777">
            <w:pPr>
              <w:jc w:val="center"/>
              <w:rPr>
                <w:color w:val="000000"/>
                <w:sz w:val="20"/>
              </w:rPr>
            </w:pPr>
            <w:r w:rsidRPr="007C3660">
              <w:rPr>
                <w:color w:val="000000"/>
                <w:sz w:val="20"/>
              </w:rPr>
              <w:t xml:space="preserve">5 </w:t>
            </w:r>
          </w:p>
          <w:p w:rsidR="007C3660" w:rsidRPr="007C3660" w:rsidP="007C3660" w14:paraId="03F49904" w14:textId="3097A343">
            <w:pPr>
              <w:jc w:val="center"/>
              <w:rPr>
                <w:color w:val="000000"/>
                <w:sz w:val="20"/>
              </w:rPr>
            </w:pPr>
            <w:r w:rsidRPr="007C3660">
              <w:rPr>
                <w:color w:val="000000"/>
                <w:sz w:val="20"/>
              </w:rPr>
              <w:t>minutes</w:t>
            </w:r>
          </w:p>
        </w:tc>
        <w:tc>
          <w:tcPr>
            <w:tcW w:w="1300" w:type="dxa"/>
            <w:shd w:val="clear" w:color="auto" w:fill="auto"/>
            <w:hideMark/>
          </w:tcPr>
          <w:p w:rsidR="001D591F" w:rsidP="007C3660" w14:paraId="59CE46D1" w14:textId="77777777">
            <w:pPr>
              <w:jc w:val="center"/>
              <w:rPr>
                <w:color w:val="000000"/>
                <w:sz w:val="20"/>
              </w:rPr>
            </w:pPr>
            <w:r w:rsidRPr="007C3660">
              <w:rPr>
                <w:color w:val="000000"/>
                <w:sz w:val="20"/>
              </w:rPr>
              <w:t>125</w:t>
            </w:r>
            <w:r w:rsidR="007262F6">
              <w:rPr>
                <w:color w:val="000000"/>
                <w:sz w:val="20"/>
              </w:rPr>
              <w:t>.00</w:t>
            </w:r>
          </w:p>
          <w:p w:rsidR="007C3660" w:rsidRPr="007C3660" w:rsidP="007C3660" w14:paraId="599EEAC0" w14:textId="39C51BF5">
            <w:pPr>
              <w:jc w:val="center"/>
              <w:rPr>
                <w:color w:val="000000"/>
                <w:sz w:val="20"/>
              </w:rPr>
            </w:pPr>
            <w:r w:rsidRPr="007C3660">
              <w:rPr>
                <w:color w:val="000000"/>
                <w:sz w:val="20"/>
              </w:rPr>
              <w:t xml:space="preserve"> hours</w:t>
            </w:r>
          </w:p>
        </w:tc>
        <w:tc>
          <w:tcPr>
            <w:tcW w:w="1490" w:type="dxa"/>
            <w:shd w:val="clear" w:color="auto" w:fill="auto"/>
            <w:hideMark/>
          </w:tcPr>
          <w:p w:rsidR="007C3660" w:rsidRPr="007C3660" w:rsidP="001C5CE1" w14:paraId="40A0B1E8" w14:textId="69635220">
            <w:pPr>
              <w:jc w:val="center"/>
              <w:rPr>
                <w:color w:val="000000"/>
                <w:sz w:val="20"/>
              </w:rPr>
            </w:pPr>
            <w:r w:rsidRPr="007C3660">
              <w:rPr>
                <w:color w:val="000000"/>
                <w:sz w:val="20"/>
              </w:rPr>
              <w:t>$10,741.25</w:t>
            </w:r>
          </w:p>
        </w:tc>
        <w:tc>
          <w:tcPr>
            <w:tcW w:w="3633" w:type="dxa"/>
            <w:shd w:val="clear" w:color="auto" w:fill="auto"/>
            <w:hideMark/>
          </w:tcPr>
          <w:p w:rsidR="007C3660" w:rsidRPr="007C3660" w:rsidP="007C3660" w14:paraId="6FD5DB62" w14:textId="084D5EE8">
            <w:pPr>
              <w:rPr>
                <w:color w:val="000000"/>
                <w:sz w:val="20"/>
              </w:rPr>
            </w:pPr>
            <w:r w:rsidRPr="007C3660">
              <w:rPr>
                <w:color w:val="000000"/>
                <w:sz w:val="20"/>
              </w:rPr>
              <w:t>Each removable panel or removable window in a vestibule door or other interior door intended for passage through a passenger car shall be conspicuously and legibly marked with luminescent material on each side of the door as specified in section 5.4.2 of A</w:t>
            </w:r>
            <w:r w:rsidR="00017E00">
              <w:rPr>
                <w:color w:val="000000"/>
                <w:sz w:val="20"/>
              </w:rPr>
              <w:t>merican Public Transportation Association (A</w:t>
            </w:r>
            <w:r w:rsidRPr="007C3660">
              <w:rPr>
                <w:color w:val="000000"/>
                <w:sz w:val="20"/>
              </w:rPr>
              <w:t>PTA</w:t>
            </w:r>
            <w:r w:rsidR="00017E00">
              <w:rPr>
                <w:color w:val="000000"/>
                <w:sz w:val="20"/>
              </w:rPr>
              <w:t>)</w:t>
            </w:r>
            <w:r w:rsidRPr="007C3660">
              <w:rPr>
                <w:color w:val="000000"/>
                <w:sz w:val="20"/>
              </w:rPr>
              <w:t xml:space="preserve"> PR–PS–S–002–98, Rev. 3, “Standard for Emergency Signage for Egress/Access of Passenger Rail Equipment,” Authorized October 7, 2007, or an alternative standard providing at least an equivalent level of safety, if approved by FRA pursuant to § 238.21. Legible and understandable operating </w:t>
            </w:r>
            <w:r w:rsidRPr="007C3660">
              <w:rPr>
                <w:color w:val="000000"/>
                <w:sz w:val="20"/>
              </w:rPr>
              <w:t>instructions shall be posted on each side of the door at each such panel or window.</w:t>
            </w:r>
            <w:r w:rsidRPr="007C3660">
              <w:rPr>
                <w:color w:val="000000"/>
                <w:sz w:val="20"/>
              </w:rPr>
              <w:br/>
            </w:r>
            <w:r w:rsidRPr="007C3660">
              <w:rPr>
                <w:color w:val="000000"/>
                <w:sz w:val="20"/>
              </w:rPr>
              <w:br/>
              <w:t xml:space="preserve">FRA estimates, after careful review, that it will take approximately 5 minutes to mark each interior door/panel or window. </w:t>
            </w:r>
          </w:p>
        </w:tc>
      </w:tr>
      <w:tr w14:paraId="3786EC3E" w14:textId="77777777" w:rsidTr="001C5CE1">
        <w:tblPrEx>
          <w:tblW w:w="13168" w:type="dxa"/>
          <w:tblLook w:val="04A0"/>
        </w:tblPrEx>
        <w:trPr>
          <w:trHeight w:val="1260"/>
        </w:trPr>
        <w:tc>
          <w:tcPr>
            <w:tcW w:w="2515" w:type="dxa"/>
            <w:shd w:val="clear" w:color="auto" w:fill="auto"/>
            <w:hideMark/>
          </w:tcPr>
          <w:p w:rsidR="007C3660" w:rsidRPr="007C3660" w:rsidP="007C3660" w14:paraId="24BE2E2D" w14:textId="1648A8FD">
            <w:pPr>
              <w:rPr>
                <w:color w:val="000000"/>
                <w:sz w:val="20"/>
              </w:rPr>
            </w:pPr>
            <w:r w:rsidRPr="007C3660">
              <w:rPr>
                <w:color w:val="000000"/>
                <w:sz w:val="20"/>
              </w:rPr>
              <w:t xml:space="preserve">—(f)(6) Testing of car door removable panels, removable windows, manual override </w:t>
            </w:r>
            <w:r w:rsidRPr="007C3660" w:rsidR="00DF4F0E">
              <w:rPr>
                <w:color w:val="000000"/>
                <w:sz w:val="20"/>
              </w:rPr>
              <w:t>devices, &amp;</w:t>
            </w:r>
            <w:r w:rsidRPr="007C3660">
              <w:rPr>
                <w:color w:val="000000"/>
                <w:sz w:val="20"/>
              </w:rPr>
              <w:t xml:space="preserve"> door retention mechanisms as part of periodic mechanical inspection. The sampling method must conform with a formalized statistical test method. </w:t>
            </w:r>
          </w:p>
        </w:tc>
        <w:tc>
          <w:tcPr>
            <w:tcW w:w="10653" w:type="dxa"/>
            <w:gridSpan w:val="6"/>
            <w:shd w:val="clear" w:color="auto" w:fill="auto"/>
            <w:hideMark/>
          </w:tcPr>
          <w:p w:rsidR="007C3660" w:rsidRPr="005D554E" w:rsidP="005D554E" w14:paraId="6B04F063" w14:textId="31FC5DCE">
            <w:pPr>
              <w:rPr>
                <w:i/>
                <w:iCs/>
                <w:color w:val="000000"/>
                <w:sz w:val="20"/>
              </w:rPr>
            </w:pPr>
            <w:r w:rsidRPr="005D554E">
              <w:rPr>
                <w:i/>
                <w:iCs/>
                <w:color w:val="000000"/>
                <w:sz w:val="20"/>
              </w:rPr>
              <w:t xml:space="preserve">The </w:t>
            </w:r>
            <w:r w:rsidR="00A77B93">
              <w:rPr>
                <w:i/>
                <w:iCs/>
                <w:color w:val="000000"/>
                <w:sz w:val="20"/>
              </w:rPr>
              <w:t xml:space="preserve">estimated </w:t>
            </w:r>
            <w:r w:rsidRPr="005D554E">
              <w:rPr>
                <w:i/>
                <w:iCs/>
                <w:color w:val="000000"/>
                <w:sz w:val="20"/>
              </w:rPr>
              <w:t xml:space="preserve">paperwork burden for this requirement is </w:t>
            </w:r>
            <w:r w:rsidRPr="007262F6" w:rsidR="001D591F">
              <w:rPr>
                <w:i/>
                <w:iCs/>
                <w:color w:val="000000"/>
                <w:sz w:val="20"/>
              </w:rPr>
              <w:t>included</w:t>
            </w:r>
            <w:r w:rsidR="001D591F">
              <w:rPr>
                <w:i/>
                <w:iCs/>
                <w:color w:val="000000"/>
                <w:sz w:val="20"/>
              </w:rPr>
              <w:t xml:space="preserve"> under</w:t>
            </w:r>
            <w:r w:rsidR="007262F6">
              <w:rPr>
                <w:i/>
                <w:iCs/>
                <w:color w:val="000000"/>
                <w:sz w:val="20"/>
              </w:rPr>
              <w:t xml:space="preserve"> § </w:t>
            </w:r>
            <w:r w:rsidRPr="0057146D" w:rsidR="007262F6">
              <w:rPr>
                <w:i/>
                <w:iCs/>
                <w:color w:val="000000"/>
                <w:sz w:val="20"/>
              </w:rPr>
              <w:t>238.307(e)(1)</w:t>
            </w:r>
            <w:r w:rsidR="007262F6">
              <w:rPr>
                <w:i/>
                <w:iCs/>
                <w:color w:val="000000"/>
                <w:sz w:val="20"/>
              </w:rPr>
              <w:t>,</w:t>
            </w:r>
            <w:r w:rsidRPr="005D554E">
              <w:rPr>
                <w:i/>
                <w:iCs/>
                <w:color w:val="000000"/>
                <w:sz w:val="20"/>
              </w:rPr>
              <w:t xml:space="preserve"> OMB Control N</w:t>
            </w:r>
            <w:r w:rsidR="00A77B93">
              <w:rPr>
                <w:i/>
                <w:iCs/>
                <w:color w:val="000000"/>
                <w:sz w:val="20"/>
              </w:rPr>
              <w:t>o.</w:t>
            </w:r>
            <w:r w:rsidRPr="005D554E">
              <w:rPr>
                <w:i/>
                <w:iCs/>
                <w:color w:val="000000"/>
                <w:sz w:val="20"/>
              </w:rPr>
              <w:t xml:space="preserve"> 2130-0544</w:t>
            </w:r>
            <w:r w:rsidR="007262F6">
              <w:rPr>
                <w:i/>
                <w:iCs/>
                <w:color w:val="000000"/>
                <w:sz w:val="20"/>
              </w:rPr>
              <w:t>.</w:t>
            </w:r>
          </w:p>
        </w:tc>
      </w:tr>
      <w:tr w14:paraId="0536A4C0" w14:textId="77777777" w:rsidTr="001C5CE1">
        <w:tblPrEx>
          <w:tblW w:w="13168" w:type="dxa"/>
          <w:tblLook w:val="04A0"/>
        </w:tblPrEx>
        <w:trPr>
          <w:trHeight w:val="1525"/>
        </w:trPr>
        <w:tc>
          <w:tcPr>
            <w:tcW w:w="2515" w:type="dxa"/>
            <w:shd w:val="clear" w:color="auto" w:fill="auto"/>
            <w:hideMark/>
          </w:tcPr>
          <w:p w:rsidR="007C3660" w:rsidRPr="007C3660" w:rsidP="007C3660" w14:paraId="4E21DE1D" w14:textId="77777777">
            <w:pPr>
              <w:rPr>
                <w:color w:val="000000"/>
                <w:sz w:val="20"/>
              </w:rPr>
            </w:pPr>
            <w:r w:rsidRPr="007C3660">
              <w:rPr>
                <w:color w:val="000000"/>
                <w:sz w:val="20"/>
              </w:rPr>
              <w:t>238.113(d)—Emergency window exits—Markings/and instructions</w:t>
            </w:r>
          </w:p>
        </w:tc>
        <w:tc>
          <w:tcPr>
            <w:tcW w:w="1440" w:type="dxa"/>
            <w:shd w:val="clear" w:color="auto" w:fill="auto"/>
            <w:hideMark/>
          </w:tcPr>
          <w:p w:rsidR="001D591F" w:rsidP="007C3660" w14:paraId="4CB41B82" w14:textId="77777777">
            <w:pPr>
              <w:jc w:val="center"/>
              <w:rPr>
                <w:color w:val="000000"/>
                <w:sz w:val="20"/>
              </w:rPr>
            </w:pPr>
            <w:r w:rsidRPr="007C3660">
              <w:rPr>
                <w:color w:val="000000"/>
                <w:sz w:val="20"/>
              </w:rPr>
              <w:t>34</w:t>
            </w:r>
          </w:p>
          <w:p w:rsidR="007C3660" w:rsidRPr="007C3660" w:rsidP="007C3660" w14:paraId="0452E557" w14:textId="7D58A4B8">
            <w:pPr>
              <w:jc w:val="center"/>
              <w:rPr>
                <w:color w:val="000000"/>
                <w:sz w:val="20"/>
              </w:rPr>
            </w:pPr>
            <w:r w:rsidRPr="007C3660">
              <w:rPr>
                <w:color w:val="000000"/>
                <w:sz w:val="20"/>
              </w:rPr>
              <w:t xml:space="preserve"> railroads   </w:t>
            </w:r>
          </w:p>
        </w:tc>
        <w:tc>
          <w:tcPr>
            <w:tcW w:w="1620" w:type="dxa"/>
            <w:shd w:val="clear" w:color="auto" w:fill="auto"/>
            <w:hideMark/>
          </w:tcPr>
          <w:p w:rsidR="007C3660" w:rsidP="007C3660" w14:paraId="6AA689E7" w14:textId="77777777">
            <w:pPr>
              <w:jc w:val="center"/>
              <w:rPr>
                <w:color w:val="000000"/>
                <w:sz w:val="20"/>
              </w:rPr>
            </w:pPr>
            <w:r w:rsidRPr="007C3660">
              <w:rPr>
                <w:color w:val="000000"/>
                <w:sz w:val="20"/>
              </w:rPr>
              <w:t xml:space="preserve">60 </w:t>
            </w:r>
          </w:p>
          <w:p w:rsidR="007C3660" w:rsidRPr="007C3660" w:rsidP="007C3660" w14:paraId="7B34F62C" w14:textId="60BA6AF8">
            <w:pPr>
              <w:jc w:val="center"/>
              <w:rPr>
                <w:color w:val="000000"/>
                <w:sz w:val="20"/>
              </w:rPr>
            </w:pPr>
            <w:r w:rsidRPr="007C3660">
              <w:rPr>
                <w:color w:val="000000"/>
                <w:sz w:val="20"/>
              </w:rPr>
              <w:t>window markings</w:t>
            </w:r>
          </w:p>
        </w:tc>
        <w:tc>
          <w:tcPr>
            <w:tcW w:w="1170" w:type="dxa"/>
            <w:shd w:val="clear" w:color="auto" w:fill="auto"/>
            <w:hideMark/>
          </w:tcPr>
          <w:p w:rsidR="007C3660" w:rsidRPr="007C3660" w:rsidP="007C3660" w14:paraId="39D4DF56" w14:textId="77777777">
            <w:pPr>
              <w:jc w:val="center"/>
              <w:rPr>
                <w:color w:val="000000"/>
                <w:sz w:val="20"/>
              </w:rPr>
            </w:pPr>
            <w:r w:rsidRPr="007C3660">
              <w:rPr>
                <w:color w:val="000000"/>
                <w:sz w:val="20"/>
              </w:rPr>
              <w:t>15 minutes</w:t>
            </w:r>
          </w:p>
        </w:tc>
        <w:tc>
          <w:tcPr>
            <w:tcW w:w="1300" w:type="dxa"/>
            <w:shd w:val="clear" w:color="auto" w:fill="auto"/>
            <w:hideMark/>
          </w:tcPr>
          <w:p w:rsidR="001D591F" w:rsidP="007C3660" w14:paraId="2C1DC21E" w14:textId="77777777">
            <w:pPr>
              <w:jc w:val="center"/>
              <w:rPr>
                <w:color w:val="000000"/>
                <w:sz w:val="20"/>
              </w:rPr>
            </w:pPr>
            <w:r w:rsidRPr="007C3660">
              <w:rPr>
                <w:color w:val="000000"/>
                <w:sz w:val="20"/>
              </w:rPr>
              <w:t>15</w:t>
            </w:r>
            <w:r w:rsidR="007262F6">
              <w:rPr>
                <w:color w:val="000000"/>
                <w:sz w:val="20"/>
              </w:rPr>
              <w:t>.00</w:t>
            </w:r>
            <w:r w:rsidRPr="007C3660">
              <w:rPr>
                <w:color w:val="000000"/>
                <w:sz w:val="20"/>
              </w:rPr>
              <w:t xml:space="preserve"> </w:t>
            </w:r>
          </w:p>
          <w:p w:rsidR="007C3660" w:rsidRPr="007C3660" w:rsidP="007C3660" w14:paraId="3688A8B4" w14:textId="367B1D3F">
            <w:pPr>
              <w:jc w:val="center"/>
              <w:rPr>
                <w:color w:val="000000"/>
                <w:sz w:val="20"/>
              </w:rPr>
            </w:pPr>
            <w:r w:rsidRPr="007C3660">
              <w:rPr>
                <w:color w:val="000000"/>
                <w:sz w:val="20"/>
              </w:rPr>
              <w:t>hours</w:t>
            </w:r>
          </w:p>
        </w:tc>
        <w:tc>
          <w:tcPr>
            <w:tcW w:w="1490" w:type="dxa"/>
            <w:shd w:val="clear" w:color="auto" w:fill="auto"/>
            <w:hideMark/>
          </w:tcPr>
          <w:p w:rsidR="007C3660" w:rsidRPr="007C3660" w:rsidP="001C5CE1" w14:paraId="33BCDFA7" w14:textId="4FB90156">
            <w:pPr>
              <w:jc w:val="center"/>
              <w:rPr>
                <w:color w:val="000000"/>
                <w:sz w:val="20"/>
              </w:rPr>
            </w:pPr>
            <w:r w:rsidRPr="007C3660">
              <w:rPr>
                <w:color w:val="000000"/>
                <w:sz w:val="20"/>
              </w:rPr>
              <w:t>$1,288.95</w:t>
            </w:r>
          </w:p>
        </w:tc>
        <w:tc>
          <w:tcPr>
            <w:tcW w:w="3633" w:type="dxa"/>
            <w:shd w:val="clear" w:color="auto" w:fill="auto"/>
            <w:hideMark/>
          </w:tcPr>
          <w:p w:rsidR="007C3660" w:rsidRPr="007C3660" w:rsidP="007C3660" w14:paraId="6FDCD079" w14:textId="65248BC7">
            <w:pPr>
              <w:rPr>
                <w:color w:val="000000"/>
                <w:sz w:val="20"/>
              </w:rPr>
            </w:pPr>
            <w:r w:rsidRPr="007C3660">
              <w:rPr>
                <w:color w:val="000000"/>
                <w:sz w:val="20"/>
              </w:rPr>
              <w:t>(</w:t>
            </w:r>
            <w:r w:rsidRPr="007C3660" w:rsidR="00DF4F0E">
              <w:rPr>
                <w:color w:val="000000"/>
                <w:sz w:val="20"/>
              </w:rPr>
              <w:t>1) Prior</w:t>
            </w:r>
            <w:r w:rsidRPr="007C3660">
              <w:rPr>
                <w:color w:val="000000"/>
                <w:sz w:val="20"/>
              </w:rPr>
              <w:t xml:space="preserve"> to January 28, 2015, each emergency window exit shall be conspicuously and legibly marked with luminescent material on the inside of each car to facilitate egress. Legible and understandable operating instructions, including instructions for removing the window, shall be posted at or near each such window exit. </w:t>
            </w:r>
            <w:r w:rsidRPr="007C3660">
              <w:rPr>
                <w:color w:val="000000"/>
                <w:sz w:val="20"/>
              </w:rPr>
              <w:br/>
              <w:t xml:space="preserve">(2) On or after January 28, 2015, each emergency window exit shall be marked, and instructions provided for its use, as specified in § 238.125. </w:t>
            </w:r>
            <w:r w:rsidRPr="007C3660">
              <w:rPr>
                <w:color w:val="000000"/>
                <w:sz w:val="20"/>
              </w:rPr>
              <w:br/>
              <w:t xml:space="preserve">(3) If window removal may be hindered by the presence of a seatback, headrest, luggage rack, or other fixture, the </w:t>
            </w:r>
            <w:r w:rsidRPr="007C3660">
              <w:rPr>
                <w:color w:val="000000"/>
                <w:sz w:val="20"/>
              </w:rPr>
              <w:t>instructions shall state the method for allowing rapid and easy removal of the window, taking into account the fixture(s), and this portion of the instructions may be in written or pictorial format. This paragraph (d)(3) applies to each emergency window exit subject to paragraph (d)(1) or (2) of this section.</w:t>
            </w:r>
            <w:r w:rsidRPr="007C3660">
              <w:rPr>
                <w:color w:val="000000"/>
                <w:sz w:val="20"/>
              </w:rPr>
              <w:br/>
            </w:r>
            <w:r w:rsidRPr="007C3660">
              <w:rPr>
                <w:color w:val="000000"/>
                <w:sz w:val="20"/>
              </w:rPr>
              <w:br/>
              <w:t xml:space="preserve">FRA estimates, after careful review, that it will take approximately 15 minutes to mark each window emergency exit. </w:t>
            </w:r>
          </w:p>
        </w:tc>
      </w:tr>
      <w:tr w14:paraId="72D3AA31" w14:textId="77777777" w:rsidTr="001C5CE1">
        <w:tblPrEx>
          <w:tblW w:w="13168" w:type="dxa"/>
          <w:tblLook w:val="04A0"/>
        </w:tblPrEx>
        <w:trPr>
          <w:trHeight w:val="530"/>
        </w:trPr>
        <w:tc>
          <w:tcPr>
            <w:tcW w:w="2515" w:type="dxa"/>
            <w:shd w:val="clear" w:color="auto" w:fill="auto"/>
            <w:hideMark/>
          </w:tcPr>
          <w:p w:rsidR="007C3660" w:rsidRPr="001C5CE1" w:rsidP="007C3660" w14:paraId="1C5B17B8" w14:textId="77777777">
            <w:pPr>
              <w:rPr>
                <w:color w:val="000000"/>
                <w:sz w:val="20"/>
              </w:rPr>
            </w:pPr>
            <w:r w:rsidRPr="001C5CE1">
              <w:rPr>
                <w:color w:val="000000"/>
                <w:sz w:val="20"/>
              </w:rPr>
              <w:t>—(e) Periodic Testing of representative sample of car emergency exit windows as part of periodic mechanical inspection. The sampling method must conform with a formalized statistical test method.</w:t>
            </w:r>
          </w:p>
        </w:tc>
        <w:tc>
          <w:tcPr>
            <w:tcW w:w="10653" w:type="dxa"/>
            <w:gridSpan w:val="6"/>
            <w:shd w:val="clear" w:color="auto" w:fill="auto"/>
            <w:hideMark/>
          </w:tcPr>
          <w:p w:rsidR="007C3660" w:rsidRPr="001C5CE1" w:rsidP="005D554E" w14:paraId="20DDAA1C" w14:textId="39A77251">
            <w:pPr>
              <w:rPr>
                <w:color w:val="000000"/>
                <w:sz w:val="20"/>
              </w:rPr>
            </w:pPr>
            <w:r w:rsidRPr="001C5CE1">
              <w:rPr>
                <w:i/>
                <w:iCs/>
                <w:color w:val="000000"/>
                <w:sz w:val="20"/>
              </w:rPr>
              <w:t xml:space="preserve">The </w:t>
            </w:r>
            <w:r w:rsidR="00A77B93">
              <w:rPr>
                <w:i/>
                <w:iCs/>
                <w:color w:val="000000"/>
                <w:sz w:val="20"/>
              </w:rPr>
              <w:t xml:space="preserve">estimated </w:t>
            </w:r>
            <w:r w:rsidRPr="001C5CE1">
              <w:rPr>
                <w:i/>
                <w:iCs/>
                <w:color w:val="000000"/>
                <w:sz w:val="20"/>
              </w:rPr>
              <w:t xml:space="preserve">paperwork burden for this requirement is included under </w:t>
            </w:r>
            <w:r w:rsidRPr="001C5CE1" w:rsidR="00DF4F0E">
              <w:rPr>
                <w:i/>
                <w:iCs/>
                <w:color w:val="000000"/>
                <w:sz w:val="20"/>
              </w:rPr>
              <w:t xml:space="preserve">§ 238.307(e)(1), </w:t>
            </w:r>
            <w:r w:rsidRPr="001C5CE1">
              <w:rPr>
                <w:i/>
                <w:iCs/>
                <w:color w:val="000000"/>
                <w:sz w:val="20"/>
              </w:rPr>
              <w:t>OMB Control N</w:t>
            </w:r>
            <w:r w:rsidR="00A77B93">
              <w:rPr>
                <w:i/>
                <w:iCs/>
                <w:color w:val="000000"/>
                <w:sz w:val="20"/>
              </w:rPr>
              <w:t>o.</w:t>
            </w:r>
            <w:r w:rsidRPr="001C5CE1">
              <w:rPr>
                <w:i/>
                <w:iCs/>
                <w:color w:val="000000"/>
                <w:sz w:val="20"/>
              </w:rPr>
              <w:t xml:space="preserve"> 2130-0544</w:t>
            </w:r>
            <w:r w:rsidRPr="001C5CE1" w:rsidR="00DF4F0E">
              <w:rPr>
                <w:i/>
                <w:iCs/>
                <w:color w:val="000000"/>
                <w:sz w:val="20"/>
              </w:rPr>
              <w:t>.</w:t>
            </w:r>
          </w:p>
        </w:tc>
      </w:tr>
      <w:tr w14:paraId="59A7C8F3" w14:textId="77777777" w:rsidTr="001C5CE1">
        <w:tblPrEx>
          <w:tblW w:w="13168" w:type="dxa"/>
          <w:tblLook w:val="04A0"/>
        </w:tblPrEx>
        <w:trPr>
          <w:trHeight w:val="445"/>
        </w:trPr>
        <w:tc>
          <w:tcPr>
            <w:tcW w:w="2515" w:type="dxa"/>
            <w:shd w:val="clear" w:color="auto" w:fill="auto"/>
            <w:hideMark/>
          </w:tcPr>
          <w:p w:rsidR="007C3660" w:rsidRPr="007C3660" w:rsidP="007C3660" w14:paraId="3D351894" w14:textId="77777777">
            <w:pPr>
              <w:rPr>
                <w:color w:val="000000"/>
                <w:sz w:val="20"/>
              </w:rPr>
            </w:pPr>
            <w:r w:rsidRPr="007C3660">
              <w:rPr>
                <w:color w:val="000000"/>
                <w:sz w:val="20"/>
              </w:rPr>
              <w:t>238.114(d)—Rescue access windows—Markings with retro-reflective material on each exterior car</w:t>
            </w:r>
          </w:p>
        </w:tc>
        <w:tc>
          <w:tcPr>
            <w:tcW w:w="1440" w:type="dxa"/>
            <w:shd w:val="clear" w:color="auto" w:fill="auto"/>
            <w:hideMark/>
          </w:tcPr>
          <w:p w:rsidR="001D591F" w:rsidP="007C3660" w14:paraId="5FA1EA38" w14:textId="77777777">
            <w:pPr>
              <w:jc w:val="center"/>
              <w:rPr>
                <w:color w:val="000000"/>
                <w:sz w:val="20"/>
              </w:rPr>
            </w:pPr>
            <w:r w:rsidRPr="007C3660">
              <w:rPr>
                <w:color w:val="000000"/>
                <w:sz w:val="20"/>
              </w:rPr>
              <w:t>34</w:t>
            </w:r>
          </w:p>
          <w:p w:rsidR="007C3660" w:rsidRPr="007C3660" w:rsidP="007C3660" w14:paraId="38FCCC7E" w14:textId="04FC56FD">
            <w:pPr>
              <w:jc w:val="center"/>
              <w:rPr>
                <w:color w:val="000000"/>
                <w:sz w:val="20"/>
              </w:rPr>
            </w:pPr>
            <w:r w:rsidRPr="007C3660">
              <w:rPr>
                <w:color w:val="000000"/>
                <w:sz w:val="20"/>
              </w:rPr>
              <w:t xml:space="preserve"> railroads   </w:t>
            </w:r>
          </w:p>
        </w:tc>
        <w:tc>
          <w:tcPr>
            <w:tcW w:w="1620" w:type="dxa"/>
            <w:shd w:val="clear" w:color="auto" w:fill="auto"/>
            <w:hideMark/>
          </w:tcPr>
          <w:p w:rsidR="007C3660" w:rsidP="007C3660" w14:paraId="7FBB2F38" w14:textId="77777777">
            <w:pPr>
              <w:jc w:val="center"/>
              <w:rPr>
                <w:color w:val="000000"/>
                <w:sz w:val="20"/>
              </w:rPr>
            </w:pPr>
            <w:r w:rsidRPr="007C3660">
              <w:rPr>
                <w:color w:val="000000"/>
                <w:sz w:val="20"/>
              </w:rPr>
              <w:t xml:space="preserve">1,500 </w:t>
            </w:r>
          </w:p>
          <w:p w:rsidR="007C3660" w:rsidRPr="007C3660" w:rsidP="007C3660" w14:paraId="553DD8BC" w14:textId="3AF5B8B1">
            <w:pPr>
              <w:jc w:val="center"/>
              <w:rPr>
                <w:color w:val="000000"/>
                <w:sz w:val="20"/>
              </w:rPr>
            </w:pPr>
            <w:r w:rsidRPr="007C3660">
              <w:rPr>
                <w:color w:val="000000"/>
                <w:sz w:val="20"/>
              </w:rPr>
              <w:t>access window markings</w:t>
            </w:r>
          </w:p>
        </w:tc>
        <w:tc>
          <w:tcPr>
            <w:tcW w:w="1170" w:type="dxa"/>
            <w:shd w:val="clear" w:color="auto" w:fill="auto"/>
            <w:hideMark/>
          </w:tcPr>
          <w:p w:rsidR="001D591F" w:rsidP="007C3660" w14:paraId="64D244E6" w14:textId="77777777">
            <w:pPr>
              <w:jc w:val="center"/>
              <w:rPr>
                <w:color w:val="000000"/>
                <w:sz w:val="20"/>
              </w:rPr>
            </w:pPr>
            <w:r w:rsidRPr="007C3660">
              <w:rPr>
                <w:color w:val="000000"/>
                <w:sz w:val="20"/>
              </w:rPr>
              <w:t xml:space="preserve">5 </w:t>
            </w:r>
          </w:p>
          <w:p w:rsidR="007C3660" w:rsidRPr="007C3660" w:rsidP="007C3660" w14:paraId="40B091C4" w14:textId="4125DE69">
            <w:pPr>
              <w:jc w:val="center"/>
              <w:rPr>
                <w:color w:val="000000"/>
                <w:sz w:val="20"/>
              </w:rPr>
            </w:pPr>
            <w:r w:rsidRPr="007C3660">
              <w:rPr>
                <w:color w:val="000000"/>
                <w:sz w:val="20"/>
              </w:rPr>
              <w:t>minutes</w:t>
            </w:r>
          </w:p>
        </w:tc>
        <w:tc>
          <w:tcPr>
            <w:tcW w:w="1300" w:type="dxa"/>
            <w:shd w:val="clear" w:color="auto" w:fill="auto"/>
            <w:hideMark/>
          </w:tcPr>
          <w:p w:rsidR="001D591F" w:rsidP="007C3660" w14:paraId="11A16725" w14:textId="77777777">
            <w:pPr>
              <w:jc w:val="center"/>
              <w:rPr>
                <w:color w:val="000000"/>
                <w:sz w:val="20"/>
              </w:rPr>
            </w:pPr>
            <w:r w:rsidRPr="007C3660">
              <w:rPr>
                <w:color w:val="000000"/>
                <w:sz w:val="20"/>
              </w:rPr>
              <w:t>125</w:t>
            </w:r>
            <w:r w:rsidR="007262F6">
              <w:rPr>
                <w:color w:val="000000"/>
                <w:sz w:val="20"/>
              </w:rPr>
              <w:t>.00</w:t>
            </w:r>
            <w:r w:rsidRPr="007C3660">
              <w:rPr>
                <w:color w:val="000000"/>
                <w:sz w:val="20"/>
              </w:rPr>
              <w:t xml:space="preserve"> </w:t>
            </w:r>
          </w:p>
          <w:p w:rsidR="007C3660" w:rsidRPr="007C3660" w:rsidP="007C3660" w14:paraId="50D4F481" w14:textId="645AFCCE">
            <w:pPr>
              <w:jc w:val="center"/>
              <w:rPr>
                <w:color w:val="000000"/>
                <w:sz w:val="20"/>
              </w:rPr>
            </w:pPr>
            <w:r w:rsidRPr="007C3660">
              <w:rPr>
                <w:color w:val="000000"/>
                <w:sz w:val="20"/>
              </w:rPr>
              <w:t>hours</w:t>
            </w:r>
          </w:p>
        </w:tc>
        <w:tc>
          <w:tcPr>
            <w:tcW w:w="1490" w:type="dxa"/>
            <w:shd w:val="clear" w:color="auto" w:fill="auto"/>
            <w:hideMark/>
          </w:tcPr>
          <w:p w:rsidR="007C3660" w:rsidRPr="007C3660" w:rsidP="001C5CE1" w14:paraId="14B4CCB6" w14:textId="788984D1">
            <w:pPr>
              <w:jc w:val="center"/>
              <w:rPr>
                <w:color w:val="000000"/>
                <w:sz w:val="20"/>
              </w:rPr>
            </w:pPr>
            <w:r w:rsidRPr="007C3660">
              <w:rPr>
                <w:color w:val="000000"/>
                <w:sz w:val="20"/>
              </w:rPr>
              <w:t>$10,741.25</w:t>
            </w:r>
          </w:p>
        </w:tc>
        <w:tc>
          <w:tcPr>
            <w:tcW w:w="3633" w:type="dxa"/>
            <w:shd w:val="clear" w:color="auto" w:fill="auto"/>
            <w:hideMark/>
          </w:tcPr>
          <w:p w:rsidR="007C3660" w:rsidRPr="007C3660" w:rsidP="007C3660" w14:paraId="771E1F68" w14:textId="465DE9AE">
            <w:pPr>
              <w:rPr>
                <w:color w:val="000000"/>
                <w:sz w:val="20"/>
              </w:rPr>
            </w:pPr>
            <w:r w:rsidRPr="007C3660">
              <w:rPr>
                <w:color w:val="000000"/>
                <w:sz w:val="20"/>
              </w:rPr>
              <w:t>(</w:t>
            </w:r>
            <w:r w:rsidRPr="007C3660" w:rsidR="00DF4F0E">
              <w:rPr>
                <w:color w:val="000000"/>
                <w:sz w:val="20"/>
              </w:rPr>
              <w:t>1) Prior</w:t>
            </w:r>
            <w:r w:rsidRPr="007C3660">
              <w:rPr>
                <w:color w:val="000000"/>
                <w:sz w:val="20"/>
              </w:rPr>
              <w:t xml:space="preserve"> to January 28, 2015, each rescue access window shall be marked with retroreflective material on the exterior of each car. A unique and easily recognizable symbol, sign, or other conspicuous marking shall also be used to identify each such window. Legible and understandable window-access instructions, including instructions for removing the window, shall be posted at or near each rescue access window. </w:t>
            </w:r>
            <w:r w:rsidRPr="007C3660">
              <w:rPr>
                <w:color w:val="000000"/>
                <w:sz w:val="20"/>
              </w:rPr>
              <w:br/>
              <w:t xml:space="preserve">(2) On or after January 28, 2015, each </w:t>
            </w:r>
            <w:r w:rsidRPr="007C3660">
              <w:rPr>
                <w:color w:val="000000"/>
                <w:sz w:val="20"/>
              </w:rPr>
              <w:t>rescue access window shall be marked, and instructions provided for its use, as specified in § 238.125.</w:t>
            </w:r>
            <w:r w:rsidRPr="007C3660">
              <w:rPr>
                <w:color w:val="000000"/>
                <w:sz w:val="20"/>
              </w:rPr>
              <w:br/>
            </w:r>
            <w:r w:rsidRPr="007C3660">
              <w:rPr>
                <w:color w:val="000000"/>
                <w:sz w:val="20"/>
              </w:rPr>
              <w:br/>
              <w:t xml:space="preserve">FRA estimates, after careful review, that it will take approximately 5 minutes to mark each rescue access window. </w:t>
            </w:r>
          </w:p>
        </w:tc>
      </w:tr>
      <w:tr w14:paraId="50B26F19" w14:textId="77777777" w:rsidTr="001C5CE1">
        <w:tblPrEx>
          <w:tblW w:w="13168" w:type="dxa"/>
          <w:tblLook w:val="04A0"/>
        </w:tblPrEx>
        <w:trPr>
          <w:trHeight w:val="3900"/>
        </w:trPr>
        <w:tc>
          <w:tcPr>
            <w:tcW w:w="2515" w:type="dxa"/>
            <w:shd w:val="clear" w:color="auto" w:fill="auto"/>
            <w:hideMark/>
          </w:tcPr>
          <w:p w:rsidR="007C3660" w:rsidRPr="007C3660" w:rsidP="007C3660" w14:paraId="14D4E8F9" w14:textId="77777777">
            <w:pPr>
              <w:rPr>
                <w:color w:val="000000"/>
                <w:sz w:val="20"/>
              </w:rPr>
            </w:pPr>
            <w:r w:rsidRPr="007C3660">
              <w:rPr>
                <w:color w:val="000000"/>
                <w:sz w:val="20"/>
              </w:rPr>
              <w:t>238.121(b)—Emergency communications—Marking of each intercom intended for passenger use on new Tier I &amp; Tier II passenger cars</w:t>
            </w:r>
          </w:p>
        </w:tc>
        <w:tc>
          <w:tcPr>
            <w:tcW w:w="1440" w:type="dxa"/>
            <w:shd w:val="clear" w:color="auto" w:fill="auto"/>
            <w:hideMark/>
          </w:tcPr>
          <w:p w:rsidR="005D554E" w:rsidP="007C3660" w14:paraId="5D8DAF51" w14:textId="77777777">
            <w:pPr>
              <w:jc w:val="center"/>
              <w:rPr>
                <w:color w:val="000000"/>
                <w:sz w:val="20"/>
              </w:rPr>
            </w:pPr>
            <w:r w:rsidRPr="007C3660">
              <w:rPr>
                <w:color w:val="000000"/>
                <w:sz w:val="20"/>
              </w:rPr>
              <w:t xml:space="preserve">34 </w:t>
            </w:r>
          </w:p>
          <w:p w:rsidR="007C3660" w:rsidRPr="007C3660" w:rsidP="007C3660" w14:paraId="46FA5200" w14:textId="4EF9BB27">
            <w:pPr>
              <w:jc w:val="center"/>
              <w:rPr>
                <w:color w:val="000000"/>
                <w:sz w:val="20"/>
              </w:rPr>
            </w:pPr>
            <w:r w:rsidRPr="007C3660">
              <w:rPr>
                <w:color w:val="000000"/>
                <w:sz w:val="20"/>
              </w:rPr>
              <w:t xml:space="preserve">railroads   </w:t>
            </w:r>
          </w:p>
        </w:tc>
        <w:tc>
          <w:tcPr>
            <w:tcW w:w="1620" w:type="dxa"/>
            <w:shd w:val="clear" w:color="auto" w:fill="auto"/>
            <w:hideMark/>
          </w:tcPr>
          <w:p w:rsidR="007C3660" w:rsidP="007C3660" w14:paraId="12AECFB4" w14:textId="77777777">
            <w:pPr>
              <w:jc w:val="center"/>
              <w:rPr>
                <w:color w:val="000000"/>
                <w:sz w:val="20"/>
              </w:rPr>
            </w:pPr>
            <w:r w:rsidRPr="007C3660">
              <w:rPr>
                <w:color w:val="000000"/>
                <w:sz w:val="20"/>
              </w:rPr>
              <w:t xml:space="preserve">375 </w:t>
            </w:r>
          </w:p>
          <w:p w:rsidR="007C3660" w:rsidRPr="007C3660" w:rsidP="007C3660" w14:paraId="0C28B706" w14:textId="77299E67">
            <w:pPr>
              <w:jc w:val="center"/>
              <w:rPr>
                <w:color w:val="000000"/>
                <w:sz w:val="20"/>
              </w:rPr>
            </w:pPr>
            <w:r w:rsidRPr="007C3660">
              <w:rPr>
                <w:color w:val="000000"/>
                <w:sz w:val="20"/>
              </w:rPr>
              <w:t>marked intercom locations</w:t>
            </w:r>
          </w:p>
        </w:tc>
        <w:tc>
          <w:tcPr>
            <w:tcW w:w="1170" w:type="dxa"/>
            <w:shd w:val="clear" w:color="auto" w:fill="auto"/>
            <w:hideMark/>
          </w:tcPr>
          <w:p w:rsidR="005D554E" w:rsidP="007C3660" w14:paraId="7533017D" w14:textId="77777777">
            <w:pPr>
              <w:jc w:val="center"/>
              <w:rPr>
                <w:color w:val="000000"/>
                <w:sz w:val="20"/>
              </w:rPr>
            </w:pPr>
            <w:r w:rsidRPr="007C3660">
              <w:rPr>
                <w:color w:val="000000"/>
                <w:sz w:val="20"/>
              </w:rPr>
              <w:t xml:space="preserve">5 </w:t>
            </w:r>
          </w:p>
          <w:p w:rsidR="007C3660" w:rsidRPr="007C3660" w:rsidP="007C3660" w14:paraId="11021FAC" w14:textId="4BF0EFF9">
            <w:pPr>
              <w:jc w:val="center"/>
              <w:rPr>
                <w:color w:val="000000"/>
                <w:sz w:val="20"/>
              </w:rPr>
            </w:pPr>
            <w:r w:rsidRPr="007C3660">
              <w:rPr>
                <w:color w:val="000000"/>
                <w:sz w:val="20"/>
              </w:rPr>
              <w:t>minutes</w:t>
            </w:r>
          </w:p>
        </w:tc>
        <w:tc>
          <w:tcPr>
            <w:tcW w:w="1300" w:type="dxa"/>
            <w:shd w:val="clear" w:color="auto" w:fill="auto"/>
            <w:hideMark/>
          </w:tcPr>
          <w:p w:rsidR="005D554E" w:rsidP="007C3660" w14:paraId="758D45D6" w14:textId="77777777">
            <w:pPr>
              <w:jc w:val="center"/>
              <w:rPr>
                <w:color w:val="000000"/>
                <w:sz w:val="20"/>
              </w:rPr>
            </w:pPr>
            <w:r w:rsidRPr="007C3660">
              <w:rPr>
                <w:color w:val="000000"/>
                <w:sz w:val="20"/>
              </w:rPr>
              <w:t>31</w:t>
            </w:r>
            <w:r w:rsidR="007262F6">
              <w:rPr>
                <w:color w:val="000000"/>
                <w:sz w:val="20"/>
              </w:rPr>
              <w:t>.25</w:t>
            </w:r>
          </w:p>
          <w:p w:rsidR="007C3660" w:rsidRPr="007C3660" w:rsidP="007C3660" w14:paraId="1985CFB2" w14:textId="4E74E54B">
            <w:pPr>
              <w:jc w:val="center"/>
              <w:rPr>
                <w:color w:val="000000"/>
                <w:sz w:val="20"/>
              </w:rPr>
            </w:pPr>
            <w:r w:rsidRPr="007C3660">
              <w:rPr>
                <w:color w:val="000000"/>
                <w:sz w:val="20"/>
              </w:rPr>
              <w:t xml:space="preserve"> hours</w:t>
            </w:r>
          </w:p>
        </w:tc>
        <w:tc>
          <w:tcPr>
            <w:tcW w:w="1490" w:type="dxa"/>
            <w:shd w:val="clear" w:color="auto" w:fill="auto"/>
            <w:hideMark/>
          </w:tcPr>
          <w:p w:rsidR="007C3660" w:rsidRPr="007C3660" w:rsidP="001C5CE1" w14:paraId="3D7D9AB5" w14:textId="77F622AF">
            <w:pPr>
              <w:jc w:val="center"/>
              <w:rPr>
                <w:color w:val="000000"/>
                <w:sz w:val="20"/>
              </w:rPr>
            </w:pPr>
            <w:r w:rsidRPr="007C3660">
              <w:rPr>
                <w:color w:val="000000"/>
                <w:sz w:val="20"/>
              </w:rPr>
              <w:t>$2,685.31</w:t>
            </w:r>
          </w:p>
        </w:tc>
        <w:tc>
          <w:tcPr>
            <w:tcW w:w="3633" w:type="dxa"/>
            <w:shd w:val="clear" w:color="auto" w:fill="auto"/>
            <w:hideMark/>
          </w:tcPr>
          <w:p w:rsidR="007C3660" w:rsidRPr="007C3660" w:rsidP="007C3660" w14:paraId="16A4F0B1" w14:textId="77777777">
            <w:pPr>
              <w:rPr>
                <w:color w:val="000000"/>
                <w:sz w:val="20"/>
              </w:rPr>
            </w:pPr>
            <w:r w:rsidRPr="007C3660">
              <w:rPr>
                <w:color w:val="000000"/>
                <w:sz w:val="20"/>
              </w:rPr>
              <w:t>(</w:t>
            </w:r>
            <w:r w:rsidRPr="007C3660">
              <w:rPr>
                <w:color w:val="000000"/>
                <w:sz w:val="20"/>
              </w:rPr>
              <w:t>i</w:t>
            </w:r>
            <w:r w:rsidRPr="007C3660">
              <w:rPr>
                <w:color w:val="000000"/>
                <w:sz w:val="20"/>
              </w:rPr>
              <w:t xml:space="preserve">)Prior to January 28, 2016, the location of each intercom intended for passenger use shall be conspicuously marked with luminescent material and legible and understandable operating instructions shall be posted at or near each such intercom. </w:t>
            </w:r>
            <w:r w:rsidRPr="007C3660">
              <w:rPr>
                <w:color w:val="000000"/>
                <w:sz w:val="20"/>
              </w:rPr>
              <w:br/>
              <w:t>(ii) On or after January 28, 2016, each intercom intended for passenger use shall be marked in accordance with section 5.4.2 of APTA PR–PS–S–002–98, Rev. 3, “Standard for Emergency Signage for Egress/Access of Passenger Rail Equipment,” Authorized October 7, 2007, or an alternative standard providing at least an equivalent level of safety, if approved by FRA pursuant to § 238.21. Legible and understandable operating instructions shall be posted at or near each such intercom.</w:t>
            </w:r>
            <w:r w:rsidRPr="007C3660">
              <w:rPr>
                <w:color w:val="000000"/>
                <w:sz w:val="20"/>
              </w:rPr>
              <w:br/>
            </w:r>
            <w:r w:rsidRPr="007C3660">
              <w:rPr>
                <w:color w:val="000000"/>
                <w:sz w:val="20"/>
              </w:rPr>
              <w:br/>
              <w:t xml:space="preserve">FRA estimates, after careful review, that it will take approximately 5 minutes to mark each intercom. </w:t>
            </w:r>
          </w:p>
        </w:tc>
      </w:tr>
      <w:tr w14:paraId="5871EE39" w14:textId="77777777" w:rsidTr="001C5CE1">
        <w:tblPrEx>
          <w:tblW w:w="13168" w:type="dxa"/>
          <w:tblLook w:val="04A0"/>
        </w:tblPrEx>
        <w:trPr>
          <w:trHeight w:val="805"/>
        </w:trPr>
        <w:tc>
          <w:tcPr>
            <w:tcW w:w="2515" w:type="dxa"/>
            <w:shd w:val="clear" w:color="auto" w:fill="auto"/>
            <w:hideMark/>
          </w:tcPr>
          <w:p w:rsidR="007C3660" w:rsidRPr="007C3660" w:rsidP="007C3660" w14:paraId="685CDFC8" w14:textId="77777777">
            <w:pPr>
              <w:rPr>
                <w:color w:val="000000"/>
                <w:sz w:val="20"/>
              </w:rPr>
            </w:pPr>
            <w:r w:rsidRPr="007C3660">
              <w:rPr>
                <w:color w:val="000000"/>
                <w:sz w:val="20"/>
              </w:rPr>
              <w:t>238.123(e)—Marked emergency roof access locations</w:t>
            </w:r>
          </w:p>
        </w:tc>
        <w:tc>
          <w:tcPr>
            <w:tcW w:w="1440" w:type="dxa"/>
            <w:shd w:val="clear" w:color="auto" w:fill="auto"/>
            <w:hideMark/>
          </w:tcPr>
          <w:p w:rsidR="005D554E" w:rsidP="007C3660" w14:paraId="0F6161E5" w14:textId="77777777">
            <w:pPr>
              <w:jc w:val="center"/>
              <w:rPr>
                <w:color w:val="000000"/>
                <w:sz w:val="20"/>
              </w:rPr>
            </w:pPr>
            <w:r w:rsidRPr="007C3660">
              <w:rPr>
                <w:color w:val="000000"/>
                <w:sz w:val="20"/>
              </w:rPr>
              <w:t xml:space="preserve">34 </w:t>
            </w:r>
          </w:p>
          <w:p w:rsidR="007C3660" w:rsidRPr="007C3660" w:rsidP="007C3660" w14:paraId="4E01E35B" w14:textId="0D1C3D1E">
            <w:pPr>
              <w:jc w:val="center"/>
              <w:rPr>
                <w:color w:val="000000"/>
                <w:sz w:val="20"/>
              </w:rPr>
            </w:pPr>
            <w:r w:rsidRPr="007C3660">
              <w:rPr>
                <w:color w:val="000000"/>
                <w:sz w:val="20"/>
              </w:rPr>
              <w:t xml:space="preserve">railroads   </w:t>
            </w:r>
          </w:p>
        </w:tc>
        <w:tc>
          <w:tcPr>
            <w:tcW w:w="1620" w:type="dxa"/>
            <w:shd w:val="clear" w:color="auto" w:fill="auto"/>
            <w:hideMark/>
          </w:tcPr>
          <w:p w:rsidR="007C3660" w:rsidP="007C3660" w14:paraId="1377B414" w14:textId="77777777">
            <w:pPr>
              <w:jc w:val="center"/>
              <w:rPr>
                <w:color w:val="000000"/>
                <w:sz w:val="20"/>
              </w:rPr>
            </w:pPr>
            <w:r w:rsidRPr="007C3660">
              <w:rPr>
                <w:color w:val="000000"/>
                <w:sz w:val="20"/>
              </w:rPr>
              <w:t>150</w:t>
            </w:r>
          </w:p>
          <w:p w:rsidR="007C3660" w:rsidRPr="007C3660" w:rsidP="007C3660" w14:paraId="397C02E2" w14:textId="099AD205">
            <w:pPr>
              <w:jc w:val="center"/>
              <w:rPr>
                <w:color w:val="000000"/>
                <w:sz w:val="20"/>
              </w:rPr>
            </w:pPr>
            <w:r w:rsidRPr="007C3660">
              <w:rPr>
                <w:color w:val="000000"/>
                <w:sz w:val="20"/>
              </w:rPr>
              <w:t xml:space="preserve"> marked emergency roof access locations</w:t>
            </w:r>
          </w:p>
        </w:tc>
        <w:tc>
          <w:tcPr>
            <w:tcW w:w="1170" w:type="dxa"/>
            <w:shd w:val="clear" w:color="auto" w:fill="auto"/>
            <w:hideMark/>
          </w:tcPr>
          <w:p w:rsidR="007C3660" w:rsidRPr="007C3660" w:rsidP="007C3660" w14:paraId="6587765C" w14:textId="77777777">
            <w:pPr>
              <w:jc w:val="center"/>
              <w:rPr>
                <w:color w:val="000000"/>
                <w:sz w:val="20"/>
              </w:rPr>
            </w:pPr>
            <w:r w:rsidRPr="007C3660">
              <w:rPr>
                <w:color w:val="000000"/>
                <w:sz w:val="20"/>
              </w:rPr>
              <w:t>30 minutes</w:t>
            </w:r>
          </w:p>
        </w:tc>
        <w:tc>
          <w:tcPr>
            <w:tcW w:w="1300" w:type="dxa"/>
            <w:shd w:val="clear" w:color="auto" w:fill="auto"/>
            <w:hideMark/>
          </w:tcPr>
          <w:p w:rsidR="005D554E" w:rsidP="007C3660" w14:paraId="42363775" w14:textId="77777777">
            <w:pPr>
              <w:jc w:val="center"/>
              <w:rPr>
                <w:color w:val="000000"/>
                <w:sz w:val="20"/>
              </w:rPr>
            </w:pPr>
            <w:r w:rsidRPr="007C3660">
              <w:rPr>
                <w:color w:val="000000"/>
                <w:sz w:val="20"/>
              </w:rPr>
              <w:t>75</w:t>
            </w:r>
            <w:r w:rsidR="007262F6">
              <w:rPr>
                <w:color w:val="000000"/>
                <w:sz w:val="20"/>
              </w:rPr>
              <w:t>.00</w:t>
            </w:r>
            <w:r w:rsidRPr="007C3660">
              <w:rPr>
                <w:color w:val="000000"/>
                <w:sz w:val="20"/>
              </w:rPr>
              <w:t xml:space="preserve"> </w:t>
            </w:r>
          </w:p>
          <w:p w:rsidR="007C3660" w:rsidRPr="007C3660" w:rsidP="007C3660" w14:paraId="18D49498" w14:textId="1030FBBD">
            <w:pPr>
              <w:jc w:val="center"/>
              <w:rPr>
                <w:color w:val="000000"/>
                <w:sz w:val="20"/>
              </w:rPr>
            </w:pPr>
            <w:r w:rsidRPr="007C3660">
              <w:rPr>
                <w:color w:val="000000"/>
                <w:sz w:val="20"/>
              </w:rPr>
              <w:t>hours</w:t>
            </w:r>
          </w:p>
        </w:tc>
        <w:tc>
          <w:tcPr>
            <w:tcW w:w="1490" w:type="dxa"/>
            <w:shd w:val="clear" w:color="auto" w:fill="auto"/>
            <w:hideMark/>
          </w:tcPr>
          <w:p w:rsidR="007C3660" w:rsidRPr="007C3660" w:rsidP="001C5CE1" w14:paraId="2E5557A6" w14:textId="120DA6A2">
            <w:pPr>
              <w:jc w:val="center"/>
              <w:rPr>
                <w:color w:val="000000"/>
                <w:sz w:val="20"/>
              </w:rPr>
            </w:pPr>
            <w:r w:rsidRPr="007C3660">
              <w:rPr>
                <w:color w:val="000000"/>
                <w:sz w:val="20"/>
              </w:rPr>
              <w:t>$6,444.75</w:t>
            </w:r>
          </w:p>
        </w:tc>
        <w:tc>
          <w:tcPr>
            <w:tcW w:w="3633" w:type="dxa"/>
            <w:shd w:val="clear" w:color="auto" w:fill="auto"/>
            <w:hideMark/>
          </w:tcPr>
          <w:p w:rsidR="007C3660" w:rsidRPr="007C3660" w:rsidP="007C3660" w14:paraId="1B103946" w14:textId="77777777">
            <w:pPr>
              <w:rPr>
                <w:color w:val="000000"/>
                <w:sz w:val="20"/>
              </w:rPr>
            </w:pPr>
            <w:r w:rsidRPr="007C3660">
              <w:rPr>
                <w:color w:val="000000"/>
                <w:sz w:val="20"/>
              </w:rPr>
              <w:t>Prior to January 28, 2015, each emergency roof access location shall be conspicuously marked with retroreflective material of contrasting color. As further specified, legible and understandable instructions shall be posted at or near each such location.</w:t>
            </w:r>
            <w:r w:rsidRPr="007C3660">
              <w:rPr>
                <w:color w:val="000000"/>
                <w:sz w:val="20"/>
              </w:rPr>
              <w:br/>
              <w:t>On or after January 28, 2015, each emergency roof access location shall be marked, and instructions provided for its use, as specified in § 238.125.</w:t>
            </w:r>
            <w:r w:rsidRPr="007C3660">
              <w:rPr>
                <w:color w:val="000000"/>
                <w:sz w:val="20"/>
              </w:rPr>
              <w:br/>
            </w:r>
            <w:r w:rsidRPr="007C3660">
              <w:rPr>
                <w:color w:val="000000"/>
                <w:sz w:val="20"/>
              </w:rPr>
              <w:br/>
              <w:t xml:space="preserve">FRA estimates, after careful review, that it will take approximately 30 minutes to mark each emergency roof access location. </w:t>
            </w:r>
          </w:p>
        </w:tc>
      </w:tr>
      <w:tr w14:paraId="798EBB0F" w14:textId="77777777" w:rsidTr="001C5CE1">
        <w:tblPrEx>
          <w:tblW w:w="13168" w:type="dxa"/>
          <w:tblLook w:val="04A0"/>
        </w:tblPrEx>
        <w:trPr>
          <w:trHeight w:val="1516"/>
        </w:trPr>
        <w:tc>
          <w:tcPr>
            <w:tcW w:w="2515" w:type="dxa"/>
            <w:shd w:val="clear" w:color="auto" w:fill="auto"/>
            <w:hideMark/>
          </w:tcPr>
          <w:p w:rsidR="007C3660" w:rsidRPr="007C3660" w:rsidP="007C3660" w14:paraId="25CCD89A" w14:textId="2905B801">
            <w:pPr>
              <w:rPr>
                <w:color w:val="000000"/>
                <w:sz w:val="20"/>
              </w:rPr>
            </w:pPr>
            <w:r w:rsidRPr="007C3660">
              <w:rPr>
                <w:color w:val="000000"/>
                <w:sz w:val="20"/>
              </w:rPr>
              <w:t xml:space="preserve">238.303—Exterior calendar day mechanical inspection of passenger equipment: Replacement of missing, illegible, or inconspicuous markings, signage, &amp; instructions          </w:t>
            </w:r>
          </w:p>
        </w:tc>
        <w:tc>
          <w:tcPr>
            <w:tcW w:w="10653" w:type="dxa"/>
            <w:gridSpan w:val="6"/>
            <w:shd w:val="clear" w:color="auto" w:fill="auto"/>
            <w:hideMark/>
          </w:tcPr>
          <w:p w:rsidR="007C3660" w:rsidRPr="005D554E" w:rsidP="005D554E" w14:paraId="5852BFA3" w14:textId="67D95607">
            <w:pPr>
              <w:rPr>
                <w:i/>
                <w:iCs/>
                <w:color w:val="000000"/>
                <w:sz w:val="20"/>
              </w:rPr>
            </w:pPr>
            <w:r w:rsidRPr="005D554E">
              <w:rPr>
                <w:i/>
                <w:iCs/>
                <w:color w:val="000000"/>
                <w:sz w:val="20"/>
              </w:rPr>
              <w:t>The</w:t>
            </w:r>
            <w:r w:rsidR="00090FD1">
              <w:rPr>
                <w:i/>
                <w:iCs/>
                <w:color w:val="000000"/>
                <w:sz w:val="20"/>
              </w:rPr>
              <w:t xml:space="preserve"> estimated paperwork</w:t>
            </w:r>
            <w:r w:rsidRPr="005D554E">
              <w:rPr>
                <w:i/>
                <w:iCs/>
                <w:color w:val="000000"/>
                <w:sz w:val="20"/>
              </w:rPr>
              <w:t xml:space="preserve"> burden for this requirement is included under</w:t>
            </w:r>
            <w:r w:rsidR="00DF4F0E">
              <w:rPr>
                <w:i/>
                <w:iCs/>
                <w:color w:val="000000"/>
                <w:sz w:val="20"/>
              </w:rPr>
              <w:t xml:space="preserve"> § </w:t>
            </w:r>
            <w:r w:rsidRPr="0057146D" w:rsidR="00DF4F0E">
              <w:rPr>
                <w:i/>
                <w:iCs/>
                <w:color w:val="000000"/>
                <w:sz w:val="20"/>
              </w:rPr>
              <w:t>238.303(e)(15)</w:t>
            </w:r>
            <w:r w:rsidR="00DF4F0E">
              <w:rPr>
                <w:i/>
                <w:iCs/>
                <w:color w:val="000000"/>
                <w:sz w:val="20"/>
              </w:rPr>
              <w:t>,</w:t>
            </w:r>
            <w:r w:rsidRPr="00DF4F0E" w:rsidR="00DF4F0E">
              <w:rPr>
                <w:i/>
                <w:iCs/>
                <w:color w:val="000000"/>
                <w:sz w:val="20"/>
              </w:rPr>
              <w:t xml:space="preserve"> OMB</w:t>
            </w:r>
            <w:r w:rsidRPr="005D554E">
              <w:rPr>
                <w:i/>
                <w:iCs/>
                <w:color w:val="000000"/>
                <w:sz w:val="20"/>
              </w:rPr>
              <w:t xml:space="preserve"> Control N</w:t>
            </w:r>
            <w:r w:rsidR="00090FD1">
              <w:rPr>
                <w:i/>
                <w:iCs/>
                <w:color w:val="000000"/>
                <w:sz w:val="20"/>
              </w:rPr>
              <w:t>o.</w:t>
            </w:r>
            <w:r w:rsidRPr="005D554E">
              <w:rPr>
                <w:i/>
                <w:iCs/>
                <w:color w:val="000000"/>
                <w:sz w:val="20"/>
              </w:rPr>
              <w:t xml:space="preserve"> 2130-0544</w:t>
            </w:r>
            <w:r w:rsidR="00DF4F0E">
              <w:rPr>
                <w:i/>
                <w:iCs/>
                <w:color w:val="000000"/>
                <w:sz w:val="20"/>
              </w:rPr>
              <w:t>.</w:t>
            </w:r>
            <w:r w:rsidRPr="005D554E">
              <w:rPr>
                <w:i/>
                <w:iCs/>
                <w:color w:val="000000"/>
                <w:sz w:val="20"/>
              </w:rPr>
              <w:t xml:space="preserve"> </w:t>
            </w:r>
          </w:p>
        </w:tc>
      </w:tr>
      <w:tr w14:paraId="2BE108A7" w14:textId="77777777" w:rsidTr="001C5CE1">
        <w:tblPrEx>
          <w:tblW w:w="13168" w:type="dxa"/>
          <w:tblLook w:val="04A0"/>
        </w:tblPrEx>
        <w:trPr>
          <w:trHeight w:val="675"/>
        </w:trPr>
        <w:tc>
          <w:tcPr>
            <w:tcW w:w="2515" w:type="dxa"/>
            <w:shd w:val="clear" w:color="auto" w:fill="auto"/>
            <w:hideMark/>
          </w:tcPr>
          <w:p w:rsidR="007C3660" w:rsidRPr="007C3660" w:rsidP="007C3660" w14:paraId="73AB2F66" w14:textId="77777777">
            <w:pPr>
              <w:rPr>
                <w:color w:val="000000"/>
                <w:sz w:val="20"/>
              </w:rPr>
            </w:pPr>
            <w:r w:rsidRPr="007C3660">
              <w:rPr>
                <w:color w:val="000000"/>
                <w:sz w:val="20"/>
              </w:rPr>
              <w:t>—Record of Non-complying marking, signage, or instruction</w:t>
            </w:r>
          </w:p>
        </w:tc>
        <w:tc>
          <w:tcPr>
            <w:tcW w:w="10653" w:type="dxa"/>
            <w:gridSpan w:val="6"/>
            <w:shd w:val="clear" w:color="auto" w:fill="auto"/>
            <w:hideMark/>
          </w:tcPr>
          <w:p w:rsidR="007C3660" w:rsidRPr="005D554E" w:rsidP="005D554E" w14:paraId="69097BD8" w14:textId="17C64B1F">
            <w:pPr>
              <w:rPr>
                <w:i/>
                <w:iCs/>
                <w:color w:val="000000"/>
                <w:sz w:val="20"/>
              </w:rPr>
            </w:pPr>
            <w:r w:rsidRPr="005D554E">
              <w:rPr>
                <w:i/>
                <w:iCs/>
                <w:color w:val="000000"/>
                <w:sz w:val="20"/>
              </w:rPr>
              <w:t xml:space="preserve">The </w:t>
            </w:r>
            <w:r w:rsidR="00090FD1">
              <w:rPr>
                <w:i/>
                <w:iCs/>
                <w:color w:val="000000"/>
                <w:sz w:val="20"/>
              </w:rPr>
              <w:t xml:space="preserve">estimated paperwork </w:t>
            </w:r>
            <w:r w:rsidRPr="005D554E">
              <w:rPr>
                <w:i/>
                <w:iCs/>
                <w:color w:val="000000"/>
                <w:sz w:val="20"/>
              </w:rPr>
              <w:t xml:space="preserve">burden for this requirement is included </w:t>
            </w:r>
            <w:r w:rsidRPr="0057146D" w:rsidR="00DF4F0E">
              <w:rPr>
                <w:i/>
                <w:iCs/>
                <w:color w:val="000000"/>
                <w:sz w:val="20"/>
              </w:rPr>
              <w:t>under 238.303(g)</w:t>
            </w:r>
            <w:r w:rsidR="00DF4F0E">
              <w:rPr>
                <w:i/>
                <w:iCs/>
                <w:color w:val="000000"/>
                <w:sz w:val="20"/>
              </w:rPr>
              <w:t xml:space="preserve">, </w:t>
            </w:r>
            <w:r w:rsidRPr="005D554E">
              <w:rPr>
                <w:i/>
                <w:iCs/>
                <w:color w:val="000000"/>
                <w:sz w:val="20"/>
              </w:rPr>
              <w:t>OMB Control N</w:t>
            </w:r>
            <w:r w:rsidR="00090FD1">
              <w:rPr>
                <w:i/>
                <w:iCs/>
                <w:color w:val="000000"/>
                <w:sz w:val="20"/>
              </w:rPr>
              <w:t>o.</w:t>
            </w:r>
            <w:r w:rsidRPr="005D554E">
              <w:rPr>
                <w:i/>
                <w:iCs/>
                <w:color w:val="000000"/>
                <w:sz w:val="20"/>
              </w:rPr>
              <w:t xml:space="preserve"> </w:t>
            </w:r>
            <w:r w:rsidR="00DF4F0E">
              <w:rPr>
                <w:i/>
                <w:iCs/>
                <w:color w:val="000000"/>
                <w:sz w:val="20"/>
              </w:rPr>
              <w:t>2130-0544.</w:t>
            </w:r>
          </w:p>
        </w:tc>
      </w:tr>
      <w:tr w14:paraId="6EFE0E23" w14:textId="77777777" w:rsidTr="001C5CE1">
        <w:tblPrEx>
          <w:tblW w:w="13168" w:type="dxa"/>
          <w:tblLook w:val="04A0"/>
        </w:tblPrEx>
        <w:trPr>
          <w:trHeight w:val="742"/>
        </w:trPr>
        <w:tc>
          <w:tcPr>
            <w:tcW w:w="2515" w:type="dxa"/>
            <w:shd w:val="clear" w:color="auto" w:fill="auto"/>
            <w:hideMark/>
          </w:tcPr>
          <w:p w:rsidR="007C3660" w:rsidRPr="007C3660" w:rsidP="007C3660" w14:paraId="7315B9D1" w14:textId="77777777">
            <w:pPr>
              <w:rPr>
                <w:color w:val="000000"/>
                <w:sz w:val="20"/>
              </w:rPr>
            </w:pPr>
            <w:r w:rsidRPr="007C3660">
              <w:rPr>
                <w:color w:val="000000"/>
                <w:sz w:val="20"/>
              </w:rPr>
              <w:t>238.305—Interior calendar day mechanical inspection of passenger cars:</w:t>
            </w:r>
          </w:p>
        </w:tc>
        <w:tc>
          <w:tcPr>
            <w:tcW w:w="10653" w:type="dxa"/>
            <w:gridSpan w:val="6"/>
            <w:shd w:val="clear" w:color="auto" w:fill="auto"/>
            <w:hideMark/>
          </w:tcPr>
          <w:p w:rsidR="007C3660" w:rsidRPr="005D554E" w:rsidP="005D554E" w14:paraId="7C0BE285" w14:textId="2D3CB26A">
            <w:pPr>
              <w:rPr>
                <w:i/>
                <w:iCs/>
                <w:color w:val="000000"/>
                <w:sz w:val="20"/>
              </w:rPr>
            </w:pPr>
            <w:r w:rsidRPr="005D554E">
              <w:rPr>
                <w:i/>
                <w:iCs/>
                <w:color w:val="000000"/>
                <w:sz w:val="20"/>
              </w:rPr>
              <w:t xml:space="preserve">The </w:t>
            </w:r>
            <w:r w:rsidR="00090FD1">
              <w:rPr>
                <w:i/>
                <w:iCs/>
                <w:color w:val="000000"/>
                <w:sz w:val="20"/>
              </w:rPr>
              <w:t xml:space="preserve">estimated paperwork </w:t>
            </w:r>
            <w:r w:rsidRPr="005D554E">
              <w:rPr>
                <w:i/>
                <w:iCs/>
                <w:color w:val="000000"/>
                <w:sz w:val="20"/>
              </w:rPr>
              <w:t xml:space="preserve">burden for this requirement is included under </w:t>
            </w:r>
            <w:r w:rsidR="00DF4F0E">
              <w:rPr>
                <w:i/>
                <w:iCs/>
                <w:color w:val="000000"/>
                <w:sz w:val="20"/>
              </w:rPr>
              <w:t xml:space="preserve">§ </w:t>
            </w:r>
            <w:r w:rsidRPr="005D554E">
              <w:rPr>
                <w:i/>
                <w:iCs/>
                <w:color w:val="000000"/>
                <w:sz w:val="20"/>
              </w:rPr>
              <w:t xml:space="preserve">238.305. </w:t>
            </w:r>
            <w:r w:rsidRPr="0057146D" w:rsidR="00DF4F0E">
              <w:rPr>
                <w:i/>
                <w:iCs/>
                <w:color w:val="000000"/>
                <w:sz w:val="20"/>
              </w:rPr>
              <w:t>OMB Control N</w:t>
            </w:r>
            <w:r w:rsidR="00090FD1">
              <w:rPr>
                <w:i/>
                <w:iCs/>
                <w:color w:val="000000"/>
                <w:sz w:val="20"/>
              </w:rPr>
              <w:t>o.</w:t>
            </w:r>
            <w:r w:rsidR="00DF4F0E">
              <w:rPr>
                <w:i/>
                <w:iCs/>
                <w:color w:val="000000"/>
                <w:sz w:val="20"/>
              </w:rPr>
              <w:t xml:space="preserve"> 2130-0544.</w:t>
            </w:r>
          </w:p>
        </w:tc>
      </w:tr>
      <w:tr w14:paraId="58A6DBFC" w14:textId="77777777" w:rsidTr="001C5CE1">
        <w:tblPrEx>
          <w:tblW w:w="13168" w:type="dxa"/>
          <w:tblLook w:val="04A0"/>
        </w:tblPrEx>
        <w:trPr>
          <w:trHeight w:val="1680"/>
        </w:trPr>
        <w:tc>
          <w:tcPr>
            <w:tcW w:w="2515" w:type="dxa"/>
            <w:shd w:val="clear" w:color="auto" w:fill="auto"/>
            <w:hideMark/>
          </w:tcPr>
          <w:p w:rsidR="007C3660" w:rsidRPr="007C3660" w:rsidP="007C3660" w14:paraId="23713E71" w14:textId="77777777">
            <w:pPr>
              <w:rPr>
                <w:color w:val="000000"/>
                <w:sz w:val="20"/>
              </w:rPr>
            </w:pPr>
            <w:r w:rsidRPr="007C3660">
              <w:rPr>
                <w:color w:val="000000"/>
                <w:sz w:val="20"/>
              </w:rPr>
              <w:t>—(c)(10), (12), and (13) Written notification to train crew of non-complying condition</w:t>
            </w:r>
          </w:p>
        </w:tc>
        <w:tc>
          <w:tcPr>
            <w:tcW w:w="1440" w:type="dxa"/>
            <w:shd w:val="clear" w:color="auto" w:fill="auto"/>
            <w:hideMark/>
          </w:tcPr>
          <w:p w:rsidR="007C3660" w:rsidRPr="007C3660" w:rsidP="007C3660" w14:paraId="4A7533EA" w14:textId="77777777">
            <w:pPr>
              <w:jc w:val="center"/>
              <w:rPr>
                <w:color w:val="000000"/>
                <w:sz w:val="20"/>
              </w:rPr>
            </w:pPr>
            <w:r w:rsidRPr="007C3660">
              <w:rPr>
                <w:color w:val="000000"/>
                <w:sz w:val="20"/>
              </w:rPr>
              <w:t xml:space="preserve">34 railroads   </w:t>
            </w:r>
          </w:p>
        </w:tc>
        <w:tc>
          <w:tcPr>
            <w:tcW w:w="1620" w:type="dxa"/>
            <w:shd w:val="clear" w:color="auto" w:fill="auto"/>
            <w:hideMark/>
          </w:tcPr>
          <w:p w:rsidR="005D554E" w:rsidP="007C3660" w14:paraId="604F8196" w14:textId="77777777">
            <w:pPr>
              <w:jc w:val="center"/>
              <w:rPr>
                <w:color w:val="000000"/>
                <w:sz w:val="20"/>
              </w:rPr>
            </w:pPr>
            <w:r w:rsidRPr="007C3660">
              <w:rPr>
                <w:color w:val="000000"/>
                <w:sz w:val="20"/>
              </w:rPr>
              <w:t xml:space="preserve">250 </w:t>
            </w:r>
          </w:p>
          <w:p w:rsidR="007C3660" w:rsidRPr="007C3660" w:rsidP="007C3660" w14:paraId="0D558110" w14:textId="59244A9E">
            <w:pPr>
              <w:jc w:val="center"/>
              <w:rPr>
                <w:color w:val="000000"/>
                <w:sz w:val="20"/>
              </w:rPr>
            </w:pPr>
            <w:r w:rsidRPr="007C3660">
              <w:rPr>
                <w:color w:val="000000"/>
                <w:sz w:val="20"/>
              </w:rPr>
              <w:t>notices</w:t>
            </w:r>
          </w:p>
        </w:tc>
        <w:tc>
          <w:tcPr>
            <w:tcW w:w="1170" w:type="dxa"/>
            <w:shd w:val="clear" w:color="auto" w:fill="auto"/>
            <w:hideMark/>
          </w:tcPr>
          <w:p w:rsidR="005D554E" w:rsidP="007C3660" w14:paraId="1F72E825" w14:textId="77777777">
            <w:pPr>
              <w:jc w:val="center"/>
              <w:rPr>
                <w:color w:val="000000"/>
                <w:sz w:val="20"/>
              </w:rPr>
            </w:pPr>
            <w:r w:rsidRPr="007C3660">
              <w:rPr>
                <w:color w:val="000000"/>
                <w:sz w:val="20"/>
              </w:rPr>
              <w:t xml:space="preserve">2 </w:t>
            </w:r>
          </w:p>
          <w:p w:rsidR="007C3660" w:rsidRPr="007C3660" w:rsidP="007C3660" w14:paraId="2444E941" w14:textId="528A51DA">
            <w:pPr>
              <w:jc w:val="center"/>
              <w:rPr>
                <w:color w:val="000000"/>
                <w:sz w:val="20"/>
              </w:rPr>
            </w:pPr>
            <w:r w:rsidRPr="007C3660">
              <w:rPr>
                <w:color w:val="000000"/>
                <w:sz w:val="20"/>
              </w:rPr>
              <w:t>minutes</w:t>
            </w:r>
          </w:p>
        </w:tc>
        <w:tc>
          <w:tcPr>
            <w:tcW w:w="1300" w:type="dxa"/>
            <w:shd w:val="clear" w:color="auto" w:fill="auto"/>
            <w:hideMark/>
          </w:tcPr>
          <w:p w:rsidR="005D554E" w:rsidP="007C3660" w14:paraId="08A0B7DB" w14:textId="77777777">
            <w:pPr>
              <w:jc w:val="center"/>
              <w:rPr>
                <w:color w:val="000000"/>
                <w:sz w:val="20"/>
              </w:rPr>
            </w:pPr>
            <w:r w:rsidRPr="007C3660">
              <w:rPr>
                <w:color w:val="000000"/>
                <w:sz w:val="20"/>
              </w:rPr>
              <w:t>8</w:t>
            </w:r>
            <w:r w:rsidR="007262F6">
              <w:rPr>
                <w:color w:val="000000"/>
                <w:sz w:val="20"/>
              </w:rPr>
              <w:t>.33</w:t>
            </w:r>
            <w:r w:rsidRPr="007C3660">
              <w:rPr>
                <w:color w:val="000000"/>
                <w:sz w:val="20"/>
              </w:rPr>
              <w:t xml:space="preserve"> </w:t>
            </w:r>
          </w:p>
          <w:p w:rsidR="007C3660" w:rsidRPr="007C3660" w:rsidP="007C3660" w14:paraId="02B51D10" w14:textId="2F591C55">
            <w:pPr>
              <w:jc w:val="center"/>
              <w:rPr>
                <w:color w:val="000000"/>
                <w:sz w:val="20"/>
              </w:rPr>
            </w:pPr>
            <w:r w:rsidRPr="007C3660">
              <w:rPr>
                <w:color w:val="000000"/>
                <w:sz w:val="20"/>
              </w:rPr>
              <w:t>hours</w:t>
            </w:r>
          </w:p>
        </w:tc>
        <w:tc>
          <w:tcPr>
            <w:tcW w:w="1490" w:type="dxa"/>
            <w:shd w:val="clear" w:color="auto" w:fill="auto"/>
            <w:hideMark/>
          </w:tcPr>
          <w:p w:rsidR="007C3660" w:rsidRPr="007C3660" w:rsidP="001C5CE1" w14:paraId="792895FF" w14:textId="2E4CB53D">
            <w:pPr>
              <w:jc w:val="center"/>
              <w:rPr>
                <w:color w:val="000000"/>
                <w:sz w:val="20"/>
              </w:rPr>
            </w:pPr>
            <w:r w:rsidRPr="007C3660">
              <w:rPr>
                <w:color w:val="000000"/>
                <w:sz w:val="20"/>
              </w:rPr>
              <w:t>$715.80</w:t>
            </w:r>
          </w:p>
        </w:tc>
        <w:tc>
          <w:tcPr>
            <w:tcW w:w="3633" w:type="dxa"/>
            <w:shd w:val="clear" w:color="auto" w:fill="auto"/>
            <w:hideMark/>
          </w:tcPr>
          <w:p w:rsidR="007C3660" w:rsidRPr="007C3660" w:rsidP="007C3660" w14:paraId="250F57C5" w14:textId="0A33ABE9">
            <w:pPr>
              <w:rPr>
                <w:color w:val="000000"/>
                <w:sz w:val="20"/>
              </w:rPr>
            </w:pPr>
            <w:r w:rsidRPr="007C3660">
              <w:rPr>
                <w:color w:val="000000"/>
                <w:sz w:val="20"/>
              </w:rPr>
              <w:t>A noncomplying car may continue in passenger service pursuant to paragraph (d) of this section—If the train crew are provided written notification of the noncomplying condition.</w:t>
            </w:r>
            <w:r w:rsidRPr="007C3660">
              <w:rPr>
                <w:color w:val="000000"/>
                <w:sz w:val="20"/>
              </w:rPr>
              <w:br/>
            </w:r>
            <w:r w:rsidRPr="007C3660">
              <w:rPr>
                <w:color w:val="000000"/>
                <w:sz w:val="20"/>
              </w:rPr>
              <w:br/>
              <w:t xml:space="preserve">FRA estimates, after careful review, that it will take approximately 2 minutes for each written notice. </w:t>
            </w:r>
          </w:p>
        </w:tc>
      </w:tr>
      <w:tr w14:paraId="6D5105CA" w14:textId="77777777" w:rsidTr="001C5CE1">
        <w:tblPrEx>
          <w:tblW w:w="13168" w:type="dxa"/>
          <w:tblLook w:val="04A0"/>
        </w:tblPrEx>
        <w:trPr>
          <w:trHeight w:val="900"/>
        </w:trPr>
        <w:tc>
          <w:tcPr>
            <w:tcW w:w="2515" w:type="dxa"/>
            <w:shd w:val="clear" w:color="auto" w:fill="auto"/>
            <w:hideMark/>
          </w:tcPr>
          <w:p w:rsidR="007C3660" w:rsidRPr="007C3660" w:rsidP="007C3660" w14:paraId="14522DF6" w14:textId="77777777">
            <w:pPr>
              <w:rPr>
                <w:color w:val="000000"/>
                <w:sz w:val="20"/>
              </w:rPr>
            </w:pPr>
            <w:r w:rsidRPr="007C3660">
              <w:rPr>
                <w:color w:val="000000"/>
                <w:sz w:val="20"/>
              </w:rPr>
              <w:t>—(c)(13)(</w:t>
            </w:r>
            <w:r w:rsidRPr="007C3660">
              <w:rPr>
                <w:color w:val="000000"/>
                <w:sz w:val="20"/>
              </w:rPr>
              <w:t>i</w:t>
            </w:r>
            <w:r w:rsidRPr="007C3660">
              <w:rPr>
                <w:color w:val="000000"/>
                <w:sz w:val="20"/>
              </w:rPr>
              <w:t>) Written procedure for mitigating hazards of non-complying condition</w:t>
            </w:r>
          </w:p>
        </w:tc>
        <w:tc>
          <w:tcPr>
            <w:tcW w:w="10653" w:type="dxa"/>
            <w:gridSpan w:val="6"/>
            <w:shd w:val="clear" w:color="auto" w:fill="auto"/>
            <w:hideMark/>
          </w:tcPr>
          <w:p w:rsidR="007C3660" w:rsidRPr="005D554E" w:rsidP="005D554E" w14:paraId="498576D7" w14:textId="0C95514C">
            <w:pPr>
              <w:rPr>
                <w:i/>
                <w:iCs/>
                <w:color w:val="000000"/>
                <w:sz w:val="20"/>
              </w:rPr>
            </w:pPr>
            <w:r w:rsidRPr="005D554E">
              <w:rPr>
                <w:i/>
                <w:iCs/>
                <w:color w:val="000000"/>
                <w:sz w:val="20"/>
              </w:rPr>
              <w:t xml:space="preserve">The </w:t>
            </w:r>
            <w:r w:rsidR="00090FD1">
              <w:rPr>
                <w:i/>
                <w:iCs/>
                <w:color w:val="000000"/>
                <w:sz w:val="20"/>
              </w:rPr>
              <w:t xml:space="preserve">estimated </w:t>
            </w:r>
            <w:r w:rsidRPr="005D554E">
              <w:rPr>
                <w:i/>
                <w:iCs/>
                <w:color w:val="000000"/>
                <w:sz w:val="20"/>
              </w:rPr>
              <w:t xml:space="preserve">burden for this requirement is included under </w:t>
            </w:r>
            <w:r w:rsidRPr="005D554E" w:rsidR="00DF4F0E">
              <w:rPr>
                <w:i/>
                <w:iCs/>
                <w:color w:val="000000"/>
                <w:sz w:val="20"/>
              </w:rPr>
              <w:t xml:space="preserve">§ 270.103, </w:t>
            </w:r>
            <w:r w:rsidRPr="005D554E">
              <w:rPr>
                <w:i/>
                <w:iCs/>
                <w:color w:val="000000"/>
                <w:sz w:val="20"/>
              </w:rPr>
              <w:t>OMB Control N</w:t>
            </w:r>
            <w:r w:rsidR="00090FD1">
              <w:rPr>
                <w:i/>
                <w:iCs/>
                <w:color w:val="000000"/>
                <w:sz w:val="20"/>
              </w:rPr>
              <w:t>o.</w:t>
            </w:r>
            <w:r w:rsidR="00A052E6">
              <w:rPr>
                <w:i/>
                <w:iCs/>
                <w:color w:val="000000"/>
                <w:sz w:val="20"/>
              </w:rPr>
              <w:t xml:space="preserve"> 2130-0599</w:t>
            </w:r>
            <w:r w:rsidRPr="005D554E" w:rsidR="00DF4F0E">
              <w:rPr>
                <w:i/>
                <w:iCs/>
                <w:color w:val="000000"/>
                <w:sz w:val="20"/>
              </w:rPr>
              <w:t>.</w:t>
            </w:r>
          </w:p>
          <w:p w:rsidR="007C3660" w:rsidRPr="007C3660" w:rsidP="007C3660" w14:paraId="0DC22D50" w14:textId="60737CBE">
            <w:pPr>
              <w:jc w:val="right"/>
              <w:rPr>
                <w:color w:val="000000"/>
                <w:sz w:val="20"/>
              </w:rPr>
            </w:pPr>
            <w:r w:rsidRPr="007C3660">
              <w:rPr>
                <w:color w:val="000000"/>
                <w:sz w:val="20"/>
              </w:rPr>
              <w:t xml:space="preserve"> </w:t>
            </w:r>
          </w:p>
        </w:tc>
      </w:tr>
      <w:tr w14:paraId="15298DEA" w14:textId="77777777" w:rsidTr="001C5CE1">
        <w:tblPrEx>
          <w:tblW w:w="13168" w:type="dxa"/>
          <w:tblLook w:val="04A0"/>
        </w:tblPrEx>
        <w:trPr>
          <w:trHeight w:val="985"/>
        </w:trPr>
        <w:tc>
          <w:tcPr>
            <w:tcW w:w="2515" w:type="dxa"/>
            <w:shd w:val="clear" w:color="auto" w:fill="auto"/>
            <w:hideMark/>
          </w:tcPr>
          <w:p w:rsidR="007C3660" w:rsidRPr="007C3660" w:rsidP="007C3660" w14:paraId="58580B45" w14:textId="77777777">
            <w:pPr>
              <w:rPr>
                <w:color w:val="000000"/>
                <w:sz w:val="20"/>
              </w:rPr>
            </w:pPr>
            <w:r w:rsidRPr="007C3660">
              <w:rPr>
                <w:color w:val="000000"/>
                <w:sz w:val="20"/>
              </w:rPr>
              <w:t>238.307—Records of inspection, testing, and maintenance of passenger car emergency window exits</w:t>
            </w:r>
          </w:p>
        </w:tc>
        <w:tc>
          <w:tcPr>
            <w:tcW w:w="10653" w:type="dxa"/>
            <w:gridSpan w:val="6"/>
            <w:shd w:val="clear" w:color="auto" w:fill="auto"/>
            <w:hideMark/>
          </w:tcPr>
          <w:p w:rsidR="007C3660" w:rsidRPr="005D554E" w:rsidP="005D554E" w14:paraId="780C9127" w14:textId="575C7A58">
            <w:pPr>
              <w:rPr>
                <w:i/>
                <w:iCs/>
                <w:color w:val="000000"/>
                <w:sz w:val="20"/>
              </w:rPr>
            </w:pPr>
            <w:r w:rsidRPr="005D554E">
              <w:rPr>
                <w:i/>
                <w:iCs/>
                <w:color w:val="000000"/>
                <w:sz w:val="20"/>
              </w:rPr>
              <w:t xml:space="preserve">The </w:t>
            </w:r>
            <w:r w:rsidR="00090FD1">
              <w:rPr>
                <w:i/>
                <w:iCs/>
                <w:color w:val="000000"/>
                <w:sz w:val="20"/>
              </w:rPr>
              <w:t xml:space="preserve">estimated paperwork </w:t>
            </w:r>
            <w:r w:rsidRPr="005D554E">
              <w:rPr>
                <w:i/>
                <w:iCs/>
                <w:color w:val="000000"/>
                <w:sz w:val="20"/>
              </w:rPr>
              <w:t>burden for this requirement is included under</w:t>
            </w:r>
            <w:r w:rsidR="00DF4F0E">
              <w:rPr>
                <w:i/>
                <w:iCs/>
                <w:color w:val="000000"/>
                <w:sz w:val="20"/>
              </w:rPr>
              <w:t>§238.307(e)(1),</w:t>
            </w:r>
            <w:r w:rsidRPr="005D554E">
              <w:rPr>
                <w:i/>
                <w:iCs/>
                <w:color w:val="000000"/>
                <w:sz w:val="20"/>
              </w:rPr>
              <w:t xml:space="preserve"> OMB Control N</w:t>
            </w:r>
            <w:r w:rsidR="00090FD1">
              <w:rPr>
                <w:i/>
                <w:iCs/>
                <w:color w:val="000000"/>
                <w:sz w:val="20"/>
              </w:rPr>
              <w:t>o.</w:t>
            </w:r>
            <w:r w:rsidRPr="005D554E">
              <w:rPr>
                <w:i/>
                <w:iCs/>
                <w:color w:val="000000"/>
                <w:sz w:val="20"/>
              </w:rPr>
              <w:t xml:space="preserve"> 2130-0544</w:t>
            </w:r>
            <w:r w:rsidR="00DF4F0E">
              <w:rPr>
                <w:i/>
                <w:iCs/>
                <w:color w:val="000000"/>
                <w:sz w:val="20"/>
              </w:rPr>
              <w:t>.</w:t>
            </w:r>
            <w:r w:rsidRPr="005D554E">
              <w:rPr>
                <w:i/>
                <w:iCs/>
                <w:color w:val="000000"/>
                <w:sz w:val="20"/>
              </w:rPr>
              <w:t xml:space="preserve"> </w:t>
            </w:r>
          </w:p>
        </w:tc>
      </w:tr>
      <w:tr w14:paraId="562FA286" w14:textId="77777777" w:rsidTr="001C5CE1">
        <w:tblPrEx>
          <w:tblW w:w="13168" w:type="dxa"/>
          <w:tblLook w:val="04A0"/>
        </w:tblPrEx>
        <w:trPr>
          <w:trHeight w:val="855"/>
        </w:trPr>
        <w:tc>
          <w:tcPr>
            <w:tcW w:w="2515" w:type="dxa"/>
            <w:shd w:val="clear" w:color="auto" w:fill="auto"/>
            <w:hideMark/>
          </w:tcPr>
          <w:p w:rsidR="007C3660" w:rsidRPr="007C3660" w:rsidP="007C3660" w14:paraId="76361083" w14:textId="77777777">
            <w:pPr>
              <w:rPr>
                <w:color w:val="000000"/>
                <w:sz w:val="20"/>
              </w:rPr>
            </w:pPr>
            <w:r w:rsidRPr="007C3660">
              <w:rPr>
                <w:color w:val="000000"/>
                <w:sz w:val="20"/>
              </w:rPr>
              <w:t>238.311—Single Car Test: RR Copy of APTA Standard (SS-M-005-98) for RR Head Trainer</w:t>
            </w:r>
          </w:p>
        </w:tc>
        <w:tc>
          <w:tcPr>
            <w:tcW w:w="10653" w:type="dxa"/>
            <w:gridSpan w:val="6"/>
            <w:shd w:val="clear" w:color="auto" w:fill="auto"/>
            <w:hideMark/>
          </w:tcPr>
          <w:p w:rsidR="007C3660" w:rsidRPr="005D554E" w:rsidP="005D554E" w14:paraId="15E065DF" w14:textId="77777777">
            <w:pPr>
              <w:rPr>
                <w:i/>
                <w:iCs/>
                <w:color w:val="000000"/>
                <w:sz w:val="20"/>
              </w:rPr>
            </w:pPr>
            <w:r w:rsidRPr="005D554E">
              <w:rPr>
                <w:i/>
                <w:iCs/>
                <w:color w:val="000000"/>
                <w:sz w:val="20"/>
              </w:rPr>
              <w:t xml:space="preserve">All the members have the option to obtain a copy of APTA’s Standard on APTA’s website for free. </w:t>
            </w:r>
          </w:p>
          <w:p w:rsidR="007C3660" w:rsidRPr="005D554E" w:rsidP="005D554E" w14:paraId="77BE2F75" w14:textId="317FFB82">
            <w:pPr>
              <w:jc w:val="center"/>
              <w:rPr>
                <w:i/>
                <w:iCs/>
                <w:color w:val="000000"/>
                <w:sz w:val="20"/>
              </w:rPr>
            </w:pPr>
            <w:r w:rsidRPr="005D554E">
              <w:rPr>
                <w:i/>
                <w:iCs/>
                <w:color w:val="000000"/>
                <w:sz w:val="20"/>
              </w:rPr>
              <w:t xml:space="preserve"> </w:t>
            </w:r>
          </w:p>
        </w:tc>
      </w:tr>
      <w:tr w14:paraId="4FC32F31" w14:textId="77777777" w:rsidTr="001C5CE1">
        <w:tblPrEx>
          <w:tblW w:w="13168" w:type="dxa"/>
          <w:tblLook w:val="04A0"/>
        </w:tblPrEx>
        <w:trPr>
          <w:trHeight w:val="562"/>
        </w:trPr>
        <w:tc>
          <w:tcPr>
            <w:tcW w:w="2515" w:type="dxa"/>
            <w:shd w:val="clear" w:color="auto" w:fill="auto"/>
            <w:hideMark/>
          </w:tcPr>
          <w:p w:rsidR="007C3660" w:rsidRPr="007C3660" w:rsidP="007C3660" w14:paraId="7C7AD4CE" w14:textId="77777777">
            <w:pPr>
              <w:rPr>
                <w:color w:val="000000"/>
                <w:sz w:val="20"/>
              </w:rPr>
            </w:pPr>
            <w:r w:rsidRPr="007C3660">
              <w:rPr>
                <w:color w:val="000000"/>
                <w:sz w:val="20"/>
              </w:rPr>
              <w:t>—Other RR copies of APTA Standard</w:t>
            </w:r>
          </w:p>
        </w:tc>
        <w:tc>
          <w:tcPr>
            <w:tcW w:w="10653" w:type="dxa"/>
            <w:gridSpan w:val="6"/>
            <w:shd w:val="clear" w:color="auto" w:fill="auto"/>
            <w:hideMark/>
          </w:tcPr>
          <w:p w:rsidR="007C3660" w:rsidRPr="005D554E" w:rsidP="005D554E" w14:paraId="119D0485" w14:textId="6CF43552">
            <w:pPr>
              <w:rPr>
                <w:i/>
                <w:iCs/>
                <w:color w:val="000000"/>
                <w:sz w:val="20"/>
              </w:rPr>
            </w:pPr>
            <w:r w:rsidRPr="005D554E">
              <w:rPr>
                <w:i/>
                <w:iCs/>
                <w:color w:val="000000"/>
                <w:sz w:val="20"/>
              </w:rPr>
              <w:t xml:space="preserve">All the members have the option to obtain a copy of APTA’s Standard on APTA’s website for free. </w:t>
            </w:r>
          </w:p>
        </w:tc>
      </w:tr>
      <w:tr w14:paraId="1DB60E8F" w14:textId="77777777" w:rsidTr="008C24D0">
        <w:tblPrEx>
          <w:tblW w:w="13168" w:type="dxa"/>
          <w:tblLook w:val="04A0"/>
        </w:tblPrEx>
        <w:trPr>
          <w:trHeight w:val="390"/>
        </w:trPr>
        <w:tc>
          <w:tcPr>
            <w:tcW w:w="2515" w:type="dxa"/>
            <w:shd w:val="clear" w:color="auto" w:fill="auto"/>
            <w:hideMark/>
          </w:tcPr>
          <w:p w:rsidR="007C3660" w:rsidRPr="007C3660" w:rsidP="008C24D0" w14:paraId="0DF65294" w14:textId="37A11C98">
            <w:pPr>
              <w:rPr>
                <w:color w:val="000000"/>
                <w:sz w:val="20"/>
              </w:rPr>
            </w:pPr>
            <w:r w:rsidRPr="007C3660">
              <w:rPr>
                <w:color w:val="000000"/>
                <w:sz w:val="20"/>
              </w:rPr>
              <w:t>Total</w:t>
            </w:r>
            <w:r>
              <w:rPr>
                <w:rStyle w:val="FootnoteReference"/>
                <w:color w:val="000000"/>
                <w:sz w:val="20"/>
              </w:rPr>
              <w:footnoteReference w:id="13"/>
            </w:r>
          </w:p>
        </w:tc>
        <w:tc>
          <w:tcPr>
            <w:tcW w:w="1440" w:type="dxa"/>
            <w:shd w:val="clear" w:color="auto" w:fill="auto"/>
            <w:vAlign w:val="bottom"/>
            <w:hideMark/>
          </w:tcPr>
          <w:p w:rsidR="005D554E" w:rsidP="007856C3" w14:paraId="5C48EDFC" w14:textId="51EB341B">
            <w:pPr>
              <w:jc w:val="center"/>
              <w:rPr>
                <w:color w:val="000000"/>
                <w:sz w:val="20"/>
              </w:rPr>
            </w:pPr>
            <w:r w:rsidRPr="007C3660">
              <w:rPr>
                <w:color w:val="000000"/>
                <w:sz w:val="20"/>
              </w:rPr>
              <w:t>34</w:t>
            </w:r>
          </w:p>
          <w:p w:rsidR="007C3660" w:rsidRPr="007C3660" w:rsidP="007856C3" w14:paraId="3DCAC132" w14:textId="01D8267B">
            <w:pPr>
              <w:jc w:val="center"/>
              <w:rPr>
                <w:color w:val="000000"/>
                <w:sz w:val="20"/>
              </w:rPr>
            </w:pPr>
            <w:r w:rsidRPr="007C3660">
              <w:rPr>
                <w:color w:val="000000"/>
                <w:sz w:val="20"/>
              </w:rPr>
              <w:t>railroads</w:t>
            </w:r>
          </w:p>
        </w:tc>
        <w:tc>
          <w:tcPr>
            <w:tcW w:w="1620" w:type="dxa"/>
            <w:shd w:val="clear" w:color="auto" w:fill="auto"/>
            <w:vAlign w:val="bottom"/>
            <w:hideMark/>
          </w:tcPr>
          <w:p w:rsidR="005D554E" w:rsidP="007856C3" w14:paraId="27111416" w14:textId="473AD8EF">
            <w:pPr>
              <w:jc w:val="center"/>
              <w:rPr>
                <w:color w:val="000000"/>
                <w:sz w:val="20"/>
              </w:rPr>
            </w:pPr>
            <w:r w:rsidRPr="007C3660">
              <w:rPr>
                <w:color w:val="000000"/>
                <w:sz w:val="20"/>
              </w:rPr>
              <w:t>8,335</w:t>
            </w:r>
          </w:p>
          <w:p w:rsidR="007C3660" w:rsidRPr="007C3660" w:rsidP="007856C3" w14:paraId="2662754E" w14:textId="380B5D8F">
            <w:pPr>
              <w:jc w:val="center"/>
              <w:rPr>
                <w:color w:val="000000"/>
                <w:sz w:val="20"/>
              </w:rPr>
            </w:pPr>
            <w:r w:rsidRPr="007C3660">
              <w:rPr>
                <w:color w:val="000000"/>
                <w:sz w:val="20"/>
              </w:rPr>
              <w:t>responses</w:t>
            </w:r>
          </w:p>
        </w:tc>
        <w:tc>
          <w:tcPr>
            <w:tcW w:w="1170" w:type="dxa"/>
            <w:shd w:val="clear" w:color="auto" w:fill="auto"/>
            <w:hideMark/>
          </w:tcPr>
          <w:p w:rsidR="007C3660" w:rsidRPr="007C3660" w:rsidP="008C24D0" w14:paraId="2A3AF885" w14:textId="54AE72A4">
            <w:pPr>
              <w:jc w:val="center"/>
              <w:rPr>
                <w:color w:val="000000"/>
                <w:sz w:val="20"/>
              </w:rPr>
            </w:pPr>
            <w:r>
              <w:rPr>
                <w:color w:val="000000"/>
                <w:sz w:val="20"/>
              </w:rPr>
              <w:t>N/A</w:t>
            </w:r>
          </w:p>
        </w:tc>
        <w:tc>
          <w:tcPr>
            <w:tcW w:w="1300" w:type="dxa"/>
            <w:shd w:val="clear" w:color="auto" w:fill="auto"/>
            <w:vAlign w:val="center"/>
            <w:hideMark/>
          </w:tcPr>
          <w:p w:rsidR="005D554E" w14:paraId="641B7A3A" w14:textId="77777777">
            <w:pPr>
              <w:jc w:val="center"/>
              <w:rPr>
                <w:color w:val="000000"/>
                <w:sz w:val="20"/>
              </w:rPr>
            </w:pPr>
            <w:r w:rsidRPr="007C3660">
              <w:rPr>
                <w:color w:val="000000"/>
                <w:sz w:val="20"/>
              </w:rPr>
              <w:t xml:space="preserve">755 </w:t>
            </w:r>
          </w:p>
          <w:p w:rsidR="007C3660" w:rsidRPr="007C3660" w:rsidP="005D554E" w14:paraId="335CCF39" w14:textId="2A8FA78C">
            <w:pPr>
              <w:jc w:val="center"/>
              <w:rPr>
                <w:color w:val="000000"/>
                <w:sz w:val="20"/>
              </w:rPr>
            </w:pPr>
            <w:r w:rsidRPr="007C3660">
              <w:rPr>
                <w:color w:val="000000"/>
                <w:sz w:val="20"/>
              </w:rPr>
              <w:t>hours</w:t>
            </w:r>
          </w:p>
        </w:tc>
        <w:tc>
          <w:tcPr>
            <w:tcW w:w="1490" w:type="dxa"/>
            <w:shd w:val="clear" w:color="auto" w:fill="auto"/>
            <w:hideMark/>
          </w:tcPr>
          <w:p w:rsidR="007C3660" w:rsidRPr="007C3660" w:rsidP="008C24D0" w14:paraId="0A868D6F" w14:textId="61438554">
            <w:pPr>
              <w:jc w:val="center"/>
              <w:rPr>
                <w:color w:val="000000"/>
                <w:sz w:val="20"/>
              </w:rPr>
            </w:pPr>
            <w:r w:rsidRPr="007C3660">
              <w:rPr>
                <w:color w:val="000000"/>
                <w:sz w:val="20"/>
              </w:rPr>
              <w:t>$64,841</w:t>
            </w:r>
          </w:p>
        </w:tc>
        <w:tc>
          <w:tcPr>
            <w:tcW w:w="3633" w:type="dxa"/>
            <w:shd w:val="clear" w:color="auto" w:fill="auto"/>
            <w:noWrap/>
            <w:hideMark/>
          </w:tcPr>
          <w:p w:rsidR="007C3660" w:rsidRPr="007C3660" w:rsidP="007C3660" w14:paraId="66EC98FD" w14:textId="77777777">
            <w:pPr>
              <w:rPr>
                <w:color w:val="000000"/>
                <w:sz w:val="20"/>
              </w:rPr>
            </w:pPr>
            <w:r w:rsidRPr="007C3660">
              <w:rPr>
                <w:color w:val="000000"/>
                <w:sz w:val="20"/>
              </w:rPr>
              <w:t> </w:t>
            </w:r>
          </w:p>
        </w:tc>
      </w:tr>
    </w:tbl>
    <w:p w:rsidR="00F87A91" w:rsidP="006D27A6" w14:paraId="2FA7B26B" w14:textId="77777777">
      <w:pPr>
        <w:widowControl w:val="0"/>
        <w:rPr>
          <w:color w:val="000000"/>
        </w:rPr>
      </w:pPr>
    </w:p>
    <w:p w:rsidR="00F87A91" w:rsidP="006D27A6" w14:paraId="2965834C" w14:textId="77777777">
      <w:pPr>
        <w:widowControl w:val="0"/>
        <w:rPr>
          <w:color w:val="000000"/>
        </w:rPr>
      </w:pPr>
    </w:p>
    <w:p w:rsidR="00F87A91" w:rsidP="006D27A6" w14:paraId="0AF8F6EB" w14:textId="77777777">
      <w:pPr>
        <w:widowControl w:val="0"/>
        <w:rPr>
          <w:color w:val="000000"/>
        </w:rPr>
      </w:pPr>
    </w:p>
    <w:bookmarkEnd w:id="3"/>
    <w:p w:rsidR="00384AC1" w:rsidP="00191502" w14:paraId="02442D4F" w14:textId="2639B9A3">
      <w:pPr>
        <w:widowControl w:val="0"/>
        <w:ind w:left="720" w:hanging="720"/>
        <w:rPr>
          <w:b/>
          <w:color w:val="000000"/>
        </w:rPr>
      </w:pPr>
      <w:r w:rsidRPr="00AD423C">
        <w:rPr>
          <w:b/>
        </w:rPr>
        <w:t>13.</w:t>
      </w:r>
      <w:r w:rsidRPr="00AD423C">
        <w:rPr>
          <w:b/>
        </w:rPr>
        <w:tab/>
      </w:r>
      <w:r w:rsidRPr="00AD423C">
        <w:rPr>
          <w:b/>
          <w:u w:val="single"/>
        </w:rPr>
        <w:t>Estimate of total annual costs to respondents</w:t>
      </w:r>
      <w:r w:rsidRPr="00AD423C">
        <w:t>.</w:t>
      </w:r>
    </w:p>
    <w:p w:rsidR="00384AC1" w14:paraId="0C8AF17D" w14:textId="77777777">
      <w:pPr>
        <w:rPr>
          <w:color w:val="000000"/>
        </w:rPr>
      </w:pPr>
    </w:p>
    <w:p w:rsidR="00634A8B" w:rsidRPr="00760955" w:rsidP="00760955" w14:paraId="1E16C238" w14:textId="544667C0">
      <w:pPr>
        <w:ind w:left="720"/>
        <w:rPr>
          <w:rFonts w:asciiTheme="minorHAnsi" w:eastAsiaTheme="minorHAnsi" w:hAnsiTheme="minorHAnsi" w:cstheme="minorBidi"/>
          <w:szCs w:val="24"/>
        </w:rPr>
      </w:pPr>
      <w:r>
        <w:rPr>
          <w:color w:val="000000"/>
        </w:rPr>
        <w:t>FRA estimates</w:t>
      </w:r>
      <w:r w:rsidR="00297DB8">
        <w:rPr>
          <w:color w:val="000000"/>
        </w:rPr>
        <w:t xml:space="preserve"> that railroads will incur </w:t>
      </w:r>
      <w:r>
        <w:rPr>
          <w:color w:val="000000"/>
        </w:rPr>
        <w:t xml:space="preserve">costs </w:t>
      </w:r>
      <w:r w:rsidR="00D6075C">
        <w:rPr>
          <w:color w:val="000000"/>
        </w:rPr>
        <w:t xml:space="preserve">to </w:t>
      </w:r>
      <w:r w:rsidR="00297DB8">
        <w:rPr>
          <w:color w:val="000000"/>
        </w:rPr>
        <w:t xml:space="preserve">meet the requirements under section 238.112 associated with marking and posting instructions on emergency egress doors and marking/posting instructions on removable panels in car vestibule doors.  </w:t>
      </w:r>
      <w:r>
        <w:rPr>
          <w:color w:val="000000"/>
        </w:rPr>
        <w:t xml:space="preserve">The hourly wage rate used to calculate cost to respondents is </w:t>
      </w:r>
      <w:r w:rsidRPr="00760955">
        <w:rPr>
          <w:rFonts w:eastAsiaTheme="minorHAnsi"/>
          <w:szCs w:val="24"/>
        </w:rPr>
        <w:t>from the 2022 Surface Transportation Board Full Year Wage A&amp;B data series using employee group 400, (Maintenance of Equipment &amp; Stores)</w:t>
      </w:r>
      <w:r w:rsidR="00760955">
        <w:rPr>
          <w:rFonts w:eastAsiaTheme="minorHAnsi"/>
          <w:szCs w:val="24"/>
        </w:rPr>
        <w:t>,</w:t>
      </w:r>
      <w:r w:rsidRPr="00760955">
        <w:rPr>
          <w:rFonts w:eastAsiaTheme="minorHAnsi"/>
          <w:szCs w:val="24"/>
        </w:rPr>
        <w:t xml:space="preserve"> hourly wage rate of $38.35.  The total burden wage rate (straight time plus 75%) is $67.11 ($38.35 x 1.75 = $67.11).</w:t>
      </w:r>
    </w:p>
    <w:p w:rsidR="00937AF9" w14:paraId="1EA678C5" w14:textId="6A259676">
      <w:pPr>
        <w:ind w:left="720"/>
        <w:rPr>
          <w:color w:val="000000"/>
        </w:rPr>
      </w:pPr>
    </w:p>
    <w:p w:rsidR="006673D7" w14:paraId="495F0E52" w14:textId="2C071FDF">
      <w:pPr>
        <w:ind w:left="720"/>
        <w:rPr>
          <w:color w:val="000000"/>
        </w:rPr>
      </w:pPr>
      <w:r>
        <w:rPr>
          <w:color w:val="000000"/>
        </w:rPr>
        <w:t xml:space="preserve">FRA estimates that </w:t>
      </w:r>
      <w:r w:rsidR="00937AF9">
        <w:rPr>
          <w:color w:val="000000"/>
        </w:rPr>
        <w:t xml:space="preserve">approximately </w:t>
      </w:r>
      <w:r>
        <w:rPr>
          <w:color w:val="000000"/>
        </w:rPr>
        <w:t>7,</w:t>
      </w:r>
      <w:r w:rsidR="00937AF9">
        <w:rPr>
          <w:color w:val="000000"/>
        </w:rPr>
        <w:t>700</w:t>
      </w:r>
      <w:r>
        <w:rPr>
          <w:color w:val="000000"/>
        </w:rPr>
        <w:t xml:space="preserve"> cars will be affected</w:t>
      </w:r>
      <w:r w:rsidR="00937AF9">
        <w:rPr>
          <w:color w:val="000000"/>
        </w:rPr>
        <w:t xml:space="preserve"> by this requirement</w:t>
      </w:r>
      <w:r>
        <w:rPr>
          <w:color w:val="000000"/>
        </w:rPr>
        <w:t>.</w:t>
      </w:r>
      <w:r w:rsidR="00404341">
        <w:rPr>
          <w:color w:val="000000"/>
        </w:rPr>
        <w:t xml:space="preserve">  </w:t>
      </w:r>
      <w:r w:rsidR="00937AF9">
        <w:rPr>
          <w:color w:val="000000"/>
        </w:rPr>
        <w:t>FRA</w:t>
      </w:r>
      <w:r w:rsidR="00404341">
        <w:rPr>
          <w:color w:val="000000"/>
        </w:rPr>
        <w:t xml:space="preserve"> estimates that it will cost $</w:t>
      </w:r>
      <w:r w:rsidR="003E7358">
        <w:rPr>
          <w:color w:val="000000"/>
        </w:rPr>
        <w:t>130.68</w:t>
      </w:r>
      <w:r w:rsidR="00760955">
        <w:rPr>
          <w:color w:val="000000"/>
        </w:rPr>
        <w:t xml:space="preserve"> </w:t>
      </w:r>
      <w:r w:rsidR="00404341">
        <w:rPr>
          <w:color w:val="000000"/>
        </w:rPr>
        <w:t>per car to complete the marking requirements [($5 per sign/marking + (</w:t>
      </w:r>
      <w:r w:rsidR="00937AF9">
        <w:rPr>
          <w:color w:val="000000"/>
        </w:rPr>
        <w:t>0.25 hours labor</w:t>
      </w:r>
      <w:r w:rsidR="00404341">
        <w:rPr>
          <w:color w:val="000000"/>
        </w:rPr>
        <w:t xml:space="preserve"> </w:t>
      </w:r>
      <w:r w:rsidR="00937AF9">
        <w:rPr>
          <w:color w:val="000000"/>
        </w:rPr>
        <w:t>x</w:t>
      </w:r>
      <w:r w:rsidR="00404341">
        <w:rPr>
          <w:color w:val="000000"/>
        </w:rPr>
        <w:t xml:space="preserve"> $</w:t>
      </w:r>
      <w:r w:rsidR="003E7358">
        <w:rPr>
          <w:color w:val="000000"/>
        </w:rPr>
        <w:t>67.11</w:t>
      </w:r>
      <w:r w:rsidR="00404341">
        <w:rPr>
          <w:color w:val="000000"/>
        </w:rPr>
        <w:t xml:space="preserve"> per hour) </w:t>
      </w:r>
      <w:r w:rsidR="00937AF9">
        <w:rPr>
          <w:color w:val="000000"/>
        </w:rPr>
        <w:t>x</w:t>
      </w:r>
      <w:r w:rsidR="00404341">
        <w:rPr>
          <w:color w:val="000000"/>
        </w:rPr>
        <w:t xml:space="preserve"> 6 signs/markings per car = $</w:t>
      </w:r>
      <w:r w:rsidR="003E7358">
        <w:rPr>
          <w:color w:val="000000"/>
        </w:rPr>
        <w:t>130.68</w:t>
      </w:r>
      <w:r w:rsidR="00404341">
        <w:rPr>
          <w:color w:val="000000"/>
        </w:rPr>
        <w:t>]</w:t>
      </w:r>
      <w:r>
        <w:rPr>
          <w:color w:val="000000"/>
        </w:rPr>
        <w:t xml:space="preserve">. </w:t>
      </w:r>
    </w:p>
    <w:p w:rsidR="006673D7" w14:paraId="5EB53C51" w14:textId="77777777">
      <w:pPr>
        <w:ind w:left="720"/>
        <w:rPr>
          <w:color w:val="000000"/>
        </w:rPr>
      </w:pPr>
    </w:p>
    <w:p w:rsidR="00DD73FF" w:rsidP="00596AE8" w14:paraId="69D7C67D" w14:textId="2F180F7B">
      <w:pPr>
        <w:ind w:left="720"/>
        <w:rPr>
          <w:color w:val="000000"/>
        </w:rPr>
      </w:pPr>
      <w:r w:rsidRPr="00D67291">
        <w:rPr>
          <w:color w:val="000000"/>
        </w:rPr>
        <w:t>TOTAL COST =</w:t>
      </w:r>
      <w:r w:rsidRPr="00D67291" w:rsidR="00297DB8">
        <w:rPr>
          <w:color w:val="000000"/>
        </w:rPr>
        <w:t xml:space="preserve"> </w:t>
      </w:r>
      <w:r w:rsidRPr="00D67291">
        <w:rPr>
          <w:color w:val="000000"/>
        </w:rPr>
        <w:t>$</w:t>
      </w:r>
      <w:r w:rsidR="003E7358">
        <w:rPr>
          <w:color w:val="000000"/>
        </w:rPr>
        <w:t>1,006,236</w:t>
      </w:r>
      <w:r>
        <w:rPr>
          <w:color w:val="000000"/>
        </w:rPr>
        <w:t xml:space="preserve"> (7,</w:t>
      </w:r>
      <w:r w:rsidR="00937AF9">
        <w:rPr>
          <w:color w:val="000000"/>
        </w:rPr>
        <w:t xml:space="preserve">700 </w:t>
      </w:r>
      <w:r>
        <w:rPr>
          <w:color w:val="000000"/>
        </w:rPr>
        <w:t>cars x $</w:t>
      </w:r>
      <w:r w:rsidR="003E7358">
        <w:rPr>
          <w:color w:val="000000"/>
        </w:rPr>
        <w:t>130.68</w:t>
      </w:r>
      <w:r>
        <w:rPr>
          <w:color w:val="000000"/>
        </w:rPr>
        <w:t>)</w:t>
      </w:r>
      <w:r w:rsidR="00384AC1">
        <w:rPr>
          <w:color w:val="000000"/>
        </w:rPr>
        <w:t xml:space="preserve">  </w:t>
      </w:r>
    </w:p>
    <w:p w:rsidR="00BC3275" w:rsidP="00385DAD" w14:paraId="788D4AA4" w14:textId="77777777">
      <w:pPr>
        <w:widowControl w:val="0"/>
        <w:rPr>
          <w:b/>
        </w:rPr>
      </w:pPr>
    </w:p>
    <w:p w:rsidR="00BE07E4" w:rsidP="00385DAD" w14:paraId="4D67794F" w14:textId="77777777">
      <w:pPr>
        <w:widowControl w:val="0"/>
        <w:rPr>
          <w:b/>
        </w:rPr>
      </w:pPr>
      <w:r w:rsidRPr="00AD423C">
        <w:rPr>
          <w:b/>
        </w:rPr>
        <w:t>14.</w:t>
      </w:r>
      <w:r w:rsidRPr="00AD423C">
        <w:rPr>
          <w:b/>
        </w:rPr>
        <w:tab/>
      </w:r>
      <w:r w:rsidRPr="00AD423C">
        <w:rPr>
          <w:b/>
          <w:u w:val="single"/>
        </w:rPr>
        <w:t>Estimate of Cost to Federal Government</w:t>
      </w:r>
      <w:r w:rsidRPr="00AD423C">
        <w:t>.</w:t>
      </w:r>
    </w:p>
    <w:p w:rsidR="00384AC1" w14:paraId="15A5B26E" w14:textId="77777777">
      <w:pPr>
        <w:rPr>
          <w:color w:val="000000"/>
        </w:rPr>
      </w:pPr>
    </w:p>
    <w:p w:rsidR="00CF38F8" w14:paraId="10BADA90" w14:textId="074F020E">
      <w:pPr>
        <w:ind w:left="720"/>
        <w:rPr>
          <w:color w:val="000000"/>
        </w:rPr>
      </w:pPr>
      <w:r>
        <w:rPr>
          <w:color w:val="000000"/>
        </w:rPr>
        <w:t>T</w:t>
      </w:r>
      <w:r w:rsidR="00384AC1">
        <w:rPr>
          <w:color w:val="000000"/>
        </w:rPr>
        <w:t>here is no additional cost to the Federal Government (FRA) beyond the normal salaries that it pays its inspectors to do their jobs.</w:t>
      </w:r>
    </w:p>
    <w:p w:rsidR="00385DAD" w:rsidP="00385DAD" w14:paraId="6B5F8D6B" w14:textId="77777777">
      <w:pPr>
        <w:ind w:left="360"/>
        <w:rPr>
          <w:b/>
          <w:u w:val="single"/>
        </w:rPr>
      </w:pPr>
    </w:p>
    <w:p w:rsidR="00CD43E3" w:rsidP="00385DAD" w14:paraId="4BC12A2C" w14:textId="77777777">
      <w:pPr>
        <w:rPr>
          <w:b/>
        </w:rPr>
      </w:pPr>
      <w:bookmarkStart w:id="4" w:name="_Hlk47091927"/>
      <w:r w:rsidRPr="00AD423C">
        <w:rPr>
          <w:b/>
        </w:rPr>
        <w:t>15.</w:t>
      </w:r>
      <w:r w:rsidRPr="00AD423C">
        <w:rPr>
          <w:b/>
        </w:rPr>
        <w:tab/>
      </w:r>
      <w:r w:rsidRPr="00AD423C">
        <w:rPr>
          <w:b/>
          <w:u w:val="single"/>
        </w:rPr>
        <w:t>Explanation of program changes and adjustments</w:t>
      </w:r>
      <w:r w:rsidRPr="00AD423C">
        <w:t>.</w:t>
      </w:r>
      <w:r w:rsidRPr="00AD423C">
        <w:rPr>
          <w:b/>
        </w:rPr>
        <w:tab/>
      </w:r>
    </w:p>
    <w:p w:rsidR="00385DAD" w:rsidP="00385DAD" w14:paraId="4C7BADD4" w14:textId="3038FDD8">
      <w:pPr>
        <w:rPr>
          <w:color w:val="000000"/>
        </w:rPr>
      </w:pPr>
    </w:p>
    <w:p w:rsidR="00F27008" w:rsidP="00B30806" w14:paraId="254A9374" w14:textId="09BB6157">
      <w:pPr>
        <w:ind w:left="720"/>
      </w:pPr>
      <w:r>
        <w:t>This is an extension without change (with changes in estimates</w:t>
      </w:r>
      <w:r w:rsidR="009E7C15">
        <w:t>)</w:t>
      </w:r>
      <w:r>
        <w:t xml:space="preserve"> to a current </w:t>
      </w:r>
      <w:r w:rsidR="00E828A6">
        <w:t>ICR</w:t>
      </w:r>
      <w:r>
        <w:t xml:space="preserve">. </w:t>
      </w:r>
      <w:r w:rsidRPr="006562FF">
        <w:t xml:space="preserve">The current OMB inventory for this </w:t>
      </w:r>
      <w:r>
        <w:t xml:space="preserve">ICR </w:t>
      </w:r>
      <w:r w:rsidRPr="006562FF">
        <w:t xml:space="preserve">shows a total burden of </w:t>
      </w:r>
      <w:r>
        <w:t>859</w:t>
      </w:r>
      <w:r w:rsidRPr="006562FF">
        <w:t xml:space="preserve"> hours and </w:t>
      </w:r>
      <w:r>
        <w:t>8,310</w:t>
      </w:r>
      <w:r w:rsidRPr="006562FF">
        <w:t xml:space="preserve"> responses, while the requesting inventory estimates a total burden of </w:t>
      </w:r>
      <w:r>
        <w:t>755</w:t>
      </w:r>
      <w:r w:rsidRPr="006562FF">
        <w:t xml:space="preserve"> hours and </w:t>
      </w:r>
      <w:r>
        <w:t>8,335</w:t>
      </w:r>
      <w:r w:rsidRPr="006562FF">
        <w:t xml:space="preserve"> responses.  Overall, the burden for this submission has </w:t>
      </w:r>
      <w:r>
        <w:t>decreased</w:t>
      </w:r>
      <w:r w:rsidRPr="006562FF">
        <w:t xml:space="preserve"> by </w:t>
      </w:r>
      <w:r>
        <w:t>104</w:t>
      </w:r>
      <w:r w:rsidRPr="006562FF">
        <w:t xml:space="preserve"> hours and </w:t>
      </w:r>
      <w:r>
        <w:t xml:space="preserve">increased responses </w:t>
      </w:r>
      <w:r w:rsidRPr="006562FF">
        <w:t xml:space="preserve">by </w:t>
      </w:r>
      <w:r>
        <w:t>25.</w:t>
      </w:r>
    </w:p>
    <w:p w:rsidR="00BC3275" w:rsidP="00B30806" w14:paraId="329EE418" w14:textId="68A11A2F">
      <w:pPr>
        <w:ind w:left="720"/>
      </w:pPr>
    </w:p>
    <w:p w:rsidR="00BC3275" w:rsidP="00B30806" w14:paraId="07766468" w14:textId="38670464">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453"/>
        <w:gridCol w:w="1454"/>
        <w:gridCol w:w="1378"/>
        <w:gridCol w:w="1267"/>
        <w:gridCol w:w="1263"/>
        <w:gridCol w:w="1328"/>
        <w:gridCol w:w="2370"/>
      </w:tblGrid>
      <w:tr w14:paraId="5BA371C7" w14:textId="77777777" w:rsidTr="00F2700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80"/>
        </w:trPr>
        <w:tc>
          <w:tcPr>
            <w:tcW w:w="0" w:type="auto"/>
            <w:vMerge w:val="restart"/>
            <w:shd w:val="clear" w:color="auto" w:fill="auto"/>
            <w:vAlign w:val="center"/>
            <w:hideMark/>
          </w:tcPr>
          <w:p w:rsidR="00F27008" w:rsidRPr="00F27008" w:rsidP="00F27008" w14:paraId="64D580FD" w14:textId="77777777">
            <w:pPr>
              <w:jc w:val="center"/>
              <w:rPr>
                <w:b/>
                <w:bCs/>
                <w:color w:val="000000"/>
                <w:sz w:val="20"/>
              </w:rPr>
            </w:pPr>
            <w:r w:rsidRPr="00F27008">
              <w:rPr>
                <w:b/>
                <w:bCs/>
                <w:color w:val="000000"/>
                <w:sz w:val="20"/>
              </w:rPr>
              <w:t>CFR Section</w:t>
            </w:r>
          </w:p>
        </w:tc>
        <w:tc>
          <w:tcPr>
            <w:tcW w:w="0" w:type="auto"/>
            <w:gridSpan w:val="3"/>
            <w:shd w:val="clear" w:color="auto" w:fill="auto"/>
            <w:vAlign w:val="center"/>
            <w:hideMark/>
          </w:tcPr>
          <w:p w:rsidR="00F27008" w:rsidRPr="00F27008" w:rsidP="00F27008" w14:paraId="6DC250EF" w14:textId="77777777">
            <w:pPr>
              <w:jc w:val="center"/>
              <w:rPr>
                <w:b/>
                <w:bCs/>
                <w:color w:val="000000"/>
                <w:sz w:val="20"/>
              </w:rPr>
            </w:pPr>
            <w:r w:rsidRPr="00F27008">
              <w:rPr>
                <w:b/>
                <w:bCs/>
                <w:color w:val="000000"/>
                <w:sz w:val="20"/>
              </w:rPr>
              <w:t>Total Annual Responses (A)</w:t>
            </w:r>
          </w:p>
        </w:tc>
        <w:tc>
          <w:tcPr>
            <w:tcW w:w="0" w:type="auto"/>
            <w:gridSpan w:val="3"/>
            <w:shd w:val="clear" w:color="auto" w:fill="auto"/>
            <w:vAlign w:val="center"/>
            <w:hideMark/>
          </w:tcPr>
          <w:p w:rsidR="00F27008" w:rsidRPr="00F27008" w:rsidP="00F27008" w14:paraId="52A7D7A9" w14:textId="77777777">
            <w:pPr>
              <w:jc w:val="center"/>
              <w:rPr>
                <w:b/>
                <w:bCs/>
                <w:color w:val="000000"/>
                <w:sz w:val="20"/>
              </w:rPr>
            </w:pPr>
            <w:r w:rsidRPr="00F27008">
              <w:rPr>
                <w:b/>
                <w:bCs/>
                <w:color w:val="000000"/>
                <w:sz w:val="20"/>
              </w:rPr>
              <w:t>Total Annual Burden Hours</w:t>
            </w:r>
          </w:p>
        </w:tc>
        <w:tc>
          <w:tcPr>
            <w:tcW w:w="0" w:type="auto"/>
            <w:vMerge w:val="restart"/>
            <w:shd w:val="clear" w:color="auto" w:fill="auto"/>
            <w:vAlign w:val="center"/>
            <w:hideMark/>
          </w:tcPr>
          <w:p w:rsidR="00F27008" w:rsidRPr="00F27008" w:rsidP="00F27008" w14:paraId="0C094B89" w14:textId="77777777">
            <w:pPr>
              <w:jc w:val="center"/>
              <w:rPr>
                <w:b/>
                <w:bCs/>
                <w:color w:val="000000"/>
                <w:sz w:val="20"/>
              </w:rPr>
            </w:pPr>
            <w:r w:rsidRPr="00F27008">
              <w:rPr>
                <w:b/>
                <w:bCs/>
                <w:color w:val="000000"/>
                <w:sz w:val="20"/>
              </w:rPr>
              <w:t>PRA Analyses and Estimates</w:t>
            </w:r>
          </w:p>
        </w:tc>
      </w:tr>
      <w:tr w14:paraId="20762BB8" w14:textId="77777777" w:rsidTr="005D554E">
        <w:tblPrEx>
          <w:tblW w:w="0" w:type="auto"/>
          <w:tblLook w:val="04A0"/>
        </w:tblPrEx>
        <w:trPr>
          <w:trHeight w:val="495"/>
        </w:trPr>
        <w:tc>
          <w:tcPr>
            <w:tcW w:w="0" w:type="auto"/>
            <w:vMerge/>
            <w:vAlign w:val="center"/>
            <w:hideMark/>
          </w:tcPr>
          <w:p w:rsidR="00F27008" w:rsidRPr="00F27008" w:rsidP="00F27008" w14:paraId="2850C32D" w14:textId="77777777">
            <w:pPr>
              <w:rPr>
                <w:b/>
                <w:bCs/>
                <w:color w:val="000000"/>
                <w:sz w:val="20"/>
              </w:rPr>
            </w:pPr>
          </w:p>
        </w:tc>
        <w:tc>
          <w:tcPr>
            <w:tcW w:w="0" w:type="auto"/>
            <w:shd w:val="clear" w:color="auto" w:fill="auto"/>
            <w:vAlign w:val="center"/>
            <w:hideMark/>
          </w:tcPr>
          <w:p w:rsidR="00F27008" w:rsidRPr="00F27008" w:rsidP="00F27008" w14:paraId="3D5C4DB2" w14:textId="77777777">
            <w:pPr>
              <w:jc w:val="center"/>
              <w:rPr>
                <w:b/>
                <w:bCs/>
                <w:color w:val="000000"/>
                <w:sz w:val="20"/>
              </w:rPr>
            </w:pPr>
            <w:r w:rsidRPr="00F27008">
              <w:rPr>
                <w:b/>
                <w:bCs/>
                <w:color w:val="000000"/>
                <w:sz w:val="20"/>
              </w:rPr>
              <w:t>Previous Submission</w:t>
            </w:r>
          </w:p>
        </w:tc>
        <w:tc>
          <w:tcPr>
            <w:tcW w:w="0" w:type="auto"/>
            <w:shd w:val="clear" w:color="auto" w:fill="auto"/>
            <w:vAlign w:val="center"/>
            <w:hideMark/>
          </w:tcPr>
          <w:p w:rsidR="00F27008" w:rsidRPr="00F27008" w:rsidP="00F27008" w14:paraId="191D6FEC" w14:textId="77777777">
            <w:pPr>
              <w:jc w:val="center"/>
              <w:rPr>
                <w:b/>
                <w:bCs/>
                <w:color w:val="000000"/>
                <w:sz w:val="20"/>
              </w:rPr>
            </w:pPr>
            <w:r w:rsidRPr="00F27008">
              <w:rPr>
                <w:b/>
                <w:bCs/>
                <w:color w:val="000000"/>
                <w:sz w:val="20"/>
              </w:rPr>
              <w:t xml:space="preserve">Current Submission </w:t>
            </w:r>
          </w:p>
        </w:tc>
        <w:tc>
          <w:tcPr>
            <w:tcW w:w="0" w:type="auto"/>
            <w:shd w:val="clear" w:color="auto" w:fill="auto"/>
            <w:vAlign w:val="center"/>
            <w:hideMark/>
          </w:tcPr>
          <w:p w:rsidR="00F27008" w:rsidRPr="00F27008" w:rsidP="00F27008" w14:paraId="195B6470" w14:textId="77777777">
            <w:pPr>
              <w:jc w:val="center"/>
              <w:rPr>
                <w:b/>
                <w:bCs/>
                <w:color w:val="000000"/>
                <w:sz w:val="20"/>
              </w:rPr>
            </w:pPr>
            <w:r w:rsidRPr="00F27008">
              <w:rPr>
                <w:b/>
                <w:bCs/>
                <w:color w:val="000000"/>
                <w:sz w:val="20"/>
              </w:rPr>
              <w:t>Difference</w:t>
            </w:r>
          </w:p>
        </w:tc>
        <w:tc>
          <w:tcPr>
            <w:tcW w:w="0" w:type="auto"/>
            <w:shd w:val="clear" w:color="auto" w:fill="auto"/>
            <w:vAlign w:val="center"/>
            <w:hideMark/>
          </w:tcPr>
          <w:p w:rsidR="00F27008" w:rsidRPr="00F27008" w:rsidP="00F27008" w14:paraId="6228DCE6" w14:textId="77777777">
            <w:pPr>
              <w:jc w:val="center"/>
              <w:rPr>
                <w:b/>
                <w:bCs/>
                <w:color w:val="000000"/>
                <w:sz w:val="20"/>
              </w:rPr>
            </w:pPr>
            <w:r w:rsidRPr="00F27008">
              <w:rPr>
                <w:b/>
                <w:bCs/>
                <w:color w:val="000000"/>
                <w:sz w:val="20"/>
              </w:rPr>
              <w:t>Previous Submission</w:t>
            </w:r>
          </w:p>
        </w:tc>
        <w:tc>
          <w:tcPr>
            <w:tcW w:w="0" w:type="auto"/>
            <w:shd w:val="clear" w:color="auto" w:fill="auto"/>
            <w:vAlign w:val="center"/>
            <w:hideMark/>
          </w:tcPr>
          <w:p w:rsidR="00F27008" w:rsidRPr="00F27008" w:rsidP="00F27008" w14:paraId="54AF56F1" w14:textId="77777777">
            <w:pPr>
              <w:jc w:val="center"/>
              <w:rPr>
                <w:b/>
                <w:bCs/>
                <w:color w:val="000000"/>
                <w:sz w:val="20"/>
              </w:rPr>
            </w:pPr>
            <w:r w:rsidRPr="00F27008">
              <w:rPr>
                <w:b/>
                <w:bCs/>
                <w:color w:val="000000"/>
                <w:sz w:val="20"/>
              </w:rPr>
              <w:t xml:space="preserve">Current Submission </w:t>
            </w:r>
          </w:p>
        </w:tc>
        <w:tc>
          <w:tcPr>
            <w:tcW w:w="0" w:type="auto"/>
            <w:shd w:val="clear" w:color="auto" w:fill="auto"/>
            <w:vAlign w:val="center"/>
            <w:hideMark/>
          </w:tcPr>
          <w:p w:rsidR="00F27008" w:rsidRPr="00F27008" w:rsidP="00F27008" w14:paraId="65A75143" w14:textId="77777777">
            <w:pPr>
              <w:jc w:val="center"/>
              <w:rPr>
                <w:b/>
                <w:bCs/>
                <w:color w:val="000000"/>
                <w:sz w:val="20"/>
              </w:rPr>
            </w:pPr>
            <w:r w:rsidRPr="00F27008">
              <w:rPr>
                <w:b/>
                <w:bCs/>
                <w:color w:val="000000"/>
                <w:sz w:val="20"/>
              </w:rPr>
              <w:t>Difference</w:t>
            </w:r>
          </w:p>
        </w:tc>
        <w:tc>
          <w:tcPr>
            <w:tcW w:w="0" w:type="auto"/>
            <w:vMerge/>
            <w:vAlign w:val="center"/>
            <w:hideMark/>
          </w:tcPr>
          <w:p w:rsidR="00F27008" w:rsidRPr="00F27008" w:rsidP="00F27008" w14:paraId="5EE55EE4" w14:textId="77777777">
            <w:pPr>
              <w:rPr>
                <w:b/>
                <w:bCs/>
                <w:color w:val="000000"/>
                <w:sz w:val="20"/>
              </w:rPr>
            </w:pPr>
          </w:p>
        </w:tc>
      </w:tr>
      <w:tr w14:paraId="0C92DD19" w14:textId="77777777" w:rsidTr="005D554E">
        <w:tblPrEx>
          <w:tblW w:w="0" w:type="auto"/>
          <w:tblLook w:val="04A0"/>
        </w:tblPrEx>
        <w:trPr>
          <w:trHeight w:val="1275"/>
        </w:trPr>
        <w:tc>
          <w:tcPr>
            <w:tcW w:w="0" w:type="auto"/>
            <w:shd w:val="clear" w:color="auto" w:fill="auto"/>
            <w:hideMark/>
          </w:tcPr>
          <w:p w:rsidR="00F27008" w:rsidRPr="00F27008" w:rsidP="00F27008" w14:paraId="7077F1FB" w14:textId="77777777">
            <w:pPr>
              <w:rPr>
                <w:color w:val="000000"/>
                <w:sz w:val="20"/>
              </w:rPr>
            </w:pPr>
            <w:r w:rsidRPr="00F27008">
              <w:rPr>
                <w:color w:val="000000"/>
                <w:sz w:val="20"/>
              </w:rPr>
              <w:t>238.123(e)—Marked emergency roof access locations</w:t>
            </w:r>
          </w:p>
        </w:tc>
        <w:tc>
          <w:tcPr>
            <w:tcW w:w="0" w:type="auto"/>
            <w:shd w:val="clear" w:color="auto" w:fill="auto"/>
            <w:hideMark/>
          </w:tcPr>
          <w:p w:rsidR="00F27008" w:rsidRPr="00F27008" w:rsidP="00F27008" w14:paraId="448B169B" w14:textId="77777777">
            <w:pPr>
              <w:jc w:val="center"/>
              <w:rPr>
                <w:color w:val="000000"/>
                <w:sz w:val="20"/>
              </w:rPr>
            </w:pPr>
            <w:r w:rsidRPr="00F27008">
              <w:rPr>
                <w:color w:val="000000"/>
                <w:sz w:val="20"/>
              </w:rPr>
              <w:t>375.00 marked emergency roof access locations</w:t>
            </w:r>
            <w:r w:rsidRPr="00F27008">
              <w:rPr>
                <w:color w:val="000000"/>
                <w:sz w:val="20"/>
              </w:rPr>
              <w:br/>
              <w:t>(30.00 minutes)</w:t>
            </w:r>
          </w:p>
        </w:tc>
        <w:tc>
          <w:tcPr>
            <w:tcW w:w="0" w:type="auto"/>
            <w:shd w:val="clear" w:color="auto" w:fill="auto"/>
            <w:hideMark/>
          </w:tcPr>
          <w:p w:rsidR="00F27008" w:rsidRPr="00F27008" w:rsidP="00F27008" w14:paraId="26EF0BDB" w14:textId="77777777">
            <w:pPr>
              <w:jc w:val="center"/>
              <w:rPr>
                <w:color w:val="000000"/>
                <w:sz w:val="20"/>
              </w:rPr>
            </w:pPr>
            <w:r w:rsidRPr="00F27008">
              <w:rPr>
                <w:color w:val="000000"/>
                <w:sz w:val="20"/>
              </w:rPr>
              <w:t>150.00 marked emergency roof access locations</w:t>
            </w:r>
            <w:r w:rsidRPr="00F27008">
              <w:rPr>
                <w:color w:val="000000"/>
                <w:sz w:val="20"/>
              </w:rPr>
              <w:br/>
              <w:t>(30.00 minutes)</w:t>
            </w:r>
          </w:p>
        </w:tc>
        <w:tc>
          <w:tcPr>
            <w:tcW w:w="0" w:type="auto"/>
            <w:shd w:val="clear" w:color="auto" w:fill="auto"/>
            <w:hideMark/>
          </w:tcPr>
          <w:p w:rsidR="00F27008" w:rsidRPr="00F27008" w:rsidP="00F27008" w14:paraId="3BA69857" w14:textId="77777777">
            <w:pPr>
              <w:jc w:val="center"/>
              <w:rPr>
                <w:color w:val="000000"/>
                <w:sz w:val="20"/>
              </w:rPr>
            </w:pPr>
            <w:r w:rsidRPr="00F27008">
              <w:rPr>
                <w:color w:val="000000"/>
                <w:sz w:val="20"/>
              </w:rPr>
              <w:t>-225.00 marked emergency roof access locations</w:t>
            </w:r>
          </w:p>
        </w:tc>
        <w:tc>
          <w:tcPr>
            <w:tcW w:w="0" w:type="auto"/>
            <w:shd w:val="clear" w:color="auto" w:fill="auto"/>
            <w:hideMark/>
          </w:tcPr>
          <w:p w:rsidR="00F27008" w:rsidRPr="00F27008" w:rsidP="00F27008" w14:paraId="012F1BE6" w14:textId="77777777">
            <w:pPr>
              <w:jc w:val="center"/>
              <w:rPr>
                <w:color w:val="000000"/>
                <w:sz w:val="20"/>
              </w:rPr>
            </w:pPr>
            <w:r w:rsidRPr="00F27008">
              <w:rPr>
                <w:color w:val="000000"/>
                <w:sz w:val="20"/>
              </w:rPr>
              <w:t>187.50 hours</w:t>
            </w:r>
          </w:p>
        </w:tc>
        <w:tc>
          <w:tcPr>
            <w:tcW w:w="0" w:type="auto"/>
            <w:shd w:val="clear" w:color="auto" w:fill="auto"/>
            <w:hideMark/>
          </w:tcPr>
          <w:p w:rsidR="00F27008" w:rsidRPr="00F27008" w:rsidP="00F27008" w14:paraId="074DF550" w14:textId="77777777">
            <w:pPr>
              <w:jc w:val="center"/>
              <w:rPr>
                <w:color w:val="000000"/>
                <w:sz w:val="20"/>
              </w:rPr>
            </w:pPr>
            <w:r w:rsidRPr="00F27008">
              <w:rPr>
                <w:color w:val="000000"/>
                <w:sz w:val="20"/>
              </w:rPr>
              <w:t>75.00 hours</w:t>
            </w:r>
          </w:p>
        </w:tc>
        <w:tc>
          <w:tcPr>
            <w:tcW w:w="0" w:type="auto"/>
            <w:shd w:val="clear" w:color="auto" w:fill="auto"/>
            <w:noWrap/>
            <w:hideMark/>
          </w:tcPr>
          <w:p w:rsidR="00F27008" w:rsidRPr="00F27008" w:rsidP="00F27008" w14:paraId="54C8BEBA" w14:textId="77777777">
            <w:pPr>
              <w:jc w:val="center"/>
              <w:rPr>
                <w:color w:val="000000"/>
                <w:sz w:val="20"/>
              </w:rPr>
            </w:pPr>
            <w:r w:rsidRPr="00F27008">
              <w:rPr>
                <w:color w:val="000000"/>
                <w:sz w:val="20"/>
              </w:rPr>
              <w:t>-112.50 hours</w:t>
            </w:r>
          </w:p>
        </w:tc>
        <w:tc>
          <w:tcPr>
            <w:tcW w:w="0" w:type="auto"/>
            <w:shd w:val="clear" w:color="auto" w:fill="auto"/>
            <w:hideMark/>
          </w:tcPr>
          <w:p w:rsidR="00467355" w:rsidP="00F27008" w14:paraId="7CB1F165" w14:textId="77777777">
            <w:pPr>
              <w:rPr>
                <w:sz w:val="20"/>
              </w:rPr>
            </w:pPr>
            <w:r>
              <w:rPr>
                <w:sz w:val="20"/>
              </w:rPr>
              <w:t xml:space="preserve">The decrease in burden is due to and adjustment. </w:t>
            </w:r>
          </w:p>
          <w:p w:rsidR="00467355" w:rsidP="00F27008" w14:paraId="34CC5052" w14:textId="77777777">
            <w:pPr>
              <w:rPr>
                <w:sz w:val="20"/>
              </w:rPr>
            </w:pPr>
          </w:p>
          <w:p w:rsidR="00E12E36" w:rsidRPr="00F27008" w:rsidP="00F27008" w14:paraId="3449C18C" w14:textId="5186A09C">
            <w:pPr>
              <w:rPr>
                <w:color w:val="FF0000"/>
                <w:sz w:val="20"/>
              </w:rPr>
            </w:pPr>
            <w:r>
              <w:rPr>
                <w:sz w:val="20"/>
              </w:rPr>
              <w:t xml:space="preserve"> FRA anticipates, after careful review, that the</w:t>
            </w:r>
            <w:r w:rsidRPr="001C5CE1">
              <w:rPr>
                <w:sz w:val="20"/>
              </w:rPr>
              <w:t xml:space="preserve"> number of annual reporting of legible markings and instruction in passenger cars will decrease during this 3-year </w:t>
            </w:r>
            <w:r>
              <w:rPr>
                <w:sz w:val="20"/>
              </w:rPr>
              <w:t xml:space="preserve">ICR </w:t>
            </w:r>
            <w:r w:rsidRPr="001C5CE1">
              <w:rPr>
                <w:sz w:val="20"/>
              </w:rPr>
              <w:t>period.</w:t>
            </w:r>
          </w:p>
        </w:tc>
      </w:tr>
      <w:tr w14:paraId="13A02964" w14:textId="77777777" w:rsidTr="005D554E">
        <w:tblPrEx>
          <w:tblW w:w="0" w:type="auto"/>
          <w:tblLook w:val="04A0"/>
        </w:tblPrEx>
        <w:trPr>
          <w:trHeight w:val="1467"/>
        </w:trPr>
        <w:tc>
          <w:tcPr>
            <w:tcW w:w="0" w:type="auto"/>
            <w:shd w:val="clear" w:color="auto" w:fill="auto"/>
            <w:hideMark/>
          </w:tcPr>
          <w:p w:rsidR="00F27008" w:rsidRPr="00F27008" w:rsidP="00F27008" w14:paraId="7938B543" w14:textId="77777777">
            <w:pPr>
              <w:rPr>
                <w:color w:val="000000"/>
                <w:sz w:val="20"/>
              </w:rPr>
            </w:pPr>
            <w:r w:rsidRPr="00F27008">
              <w:rPr>
                <w:color w:val="000000"/>
                <w:sz w:val="20"/>
              </w:rPr>
              <w:t>—(c)(10), (12), and (13) Written notification to train crew of non-complying condition</w:t>
            </w:r>
          </w:p>
        </w:tc>
        <w:tc>
          <w:tcPr>
            <w:tcW w:w="0" w:type="auto"/>
            <w:shd w:val="clear" w:color="auto" w:fill="auto"/>
            <w:hideMark/>
          </w:tcPr>
          <w:p w:rsidR="00F27008" w:rsidRPr="00F27008" w:rsidP="00F27008" w14:paraId="0F8EB97D" w14:textId="77777777">
            <w:pPr>
              <w:jc w:val="center"/>
              <w:rPr>
                <w:color w:val="000000"/>
                <w:sz w:val="20"/>
              </w:rPr>
            </w:pPr>
            <w:r w:rsidRPr="00F27008">
              <w:rPr>
                <w:color w:val="000000"/>
                <w:sz w:val="20"/>
              </w:rPr>
              <w:t>.00 notices</w:t>
            </w:r>
            <w:r w:rsidRPr="00F27008">
              <w:rPr>
                <w:color w:val="000000"/>
                <w:sz w:val="20"/>
              </w:rPr>
              <w:br/>
              <w:t>(.00 minutes)</w:t>
            </w:r>
          </w:p>
        </w:tc>
        <w:tc>
          <w:tcPr>
            <w:tcW w:w="0" w:type="auto"/>
            <w:shd w:val="clear" w:color="auto" w:fill="auto"/>
            <w:hideMark/>
          </w:tcPr>
          <w:p w:rsidR="00F27008" w:rsidRPr="00F27008" w:rsidP="00F27008" w14:paraId="716EA47C" w14:textId="77777777">
            <w:pPr>
              <w:jc w:val="center"/>
              <w:rPr>
                <w:color w:val="000000"/>
                <w:sz w:val="20"/>
              </w:rPr>
            </w:pPr>
            <w:r w:rsidRPr="00F27008">
              <w:rPr>
                <w:color w:val="000000"/>
                <w:sz w:val="20"/>
              </w:rPr>
              <w:t>250.00 notices</w:t>
            </w:r>
            <w:r w:rsidRPr="00F27008">
              <w:rPr>
                <w:color w:val="000000"/>
                <w:sz w:val="20"/>
              </w:rPr>
              <w:br/>
              <w:t>(2.00 minutes)</w:t>
            </w:r>
          </w:p>
        </w:tc>
        <w:tc>
          <w:tcPr>
            <w:tcW w:w="0" w:type="auto"/>
            <w:shd w:val="clear" w:color="auto" w:fill="auto"/>
            <w:hideMark/>
          </w:tcPr>
          <w:p w:rsidR="00F27008" w:rsidRPr="00F27008" w:rsidP="00F27008" w14:paraId="3CA90C1A" w14:textId="77777777">
            <w:pPr>
              <w:jc w:val="center"/>
              <w:rPr>
                <w:color w:val="000000"/>
                <w:sz w:val="20"/>
              </w:rPr>
            </w:pPr>
            <w:r w:rsidRPr="00F27008">
              <w:rPr>
                <w:color w:val="000000"/>
                <w:sz w:val="20"/>
              </w:rPr>
              <w:t>250.00 notices</w:t>
            </w:r>
          </w:p>
        </w:tc>
        <w:tc>
          <w:tcPr>
            <w:tcW w:w="0" w:type="auto"/>
            <w:shd w:val="clear" w:color="auto" w:fill="auto"/>
            <w:hideMark/>
          </w:tcPr>
          <w:p w:rsidR="00F27008" w:rsidRPr="00F27008" w:rsidP="00F27008" w14:paraId="3C422061" w14:textId="77777777">
            <w:pPr>
              <w:jc w:val="center"/>
              <w:rPr>
                <w:color w:val="000000"/>
                <w:sz w:val="20"/>
              </w:rPr>
            </w:pPr>
            <w:r w:rsidRPr="00F27008">
              <w:rPr>
                <w:color w:val="000000"/>
                <w:sz w:val="20"/>
              </w:rPr>
              <w:t>.00 hours</w:t>
            </w:r>
          </w:p>
        </w:tc>
        <w:tc>
          <w:tcPr>
            <w:tcW w:w="0" w:type="auto"/>
            <w:shd w:val="clear" w:color="auto" w:fill="auto"/>
            <w:hideMark/>
          </w:tcPr>
          <w:p w:rsidR="00F27008" w:rsidRPr="00F27008" w:rsidP="00F27008" w14:paraId="4FE10866" w14:textId="77777777">
            <w:pPr>
              <w:jc w:val="center"/>
              <w:rPr>
                <w:color w:val="000000"/>
                <w:sz w:val="20"/>
              </w:rPr>
            </w:pPr>
            <w:r w:rsidRPr="00F27008">
              <w:rPr>
                <w:color w:val="000000"/>
                <w:sz w:val="20"/>
              </w:rPr>
              <w:t>8.33 hours</w:t>
            </w:r>
          </w:p>
        </w:tc>
        <w:tc>
          <w:tcPr>
            <w:tcW w:w="0" w:type="auto"/>
            <w:shd w:val="clear" w:color="auto" w:fill="auto"/>
            <w:noWrap/>
            <w:hideMark/>
          </w:tcPr>
          <w:p w:rsidR="00F27008" w:rsidRPr="00F27008" w:rsidP="00F27008" w14:paraId="070BFEC2" w14:textId="77777777">
            <w:pPr>
              <w:jc w:val="center"/>
              <w:rPr>
                <w:color w:val="000000"/>
                <w:sz w:val="20"/>
              </w:rPr>
            </w:pPr>
            <w:r w:rsidRPr="00F27008">
              <w:rPr>
                <w:color w:val="000000"/>
                <w:sz w:val="20"/>
              </w:rPr>
              <w:t>8.33 hours</w:t>
            </w:r>
          </w:p>
        </w:tc>
        <w:tc>
          <w:tcPr>
            <w:tcW w:w="0" w:type="auto"/>
            <w:shd w:val="clear" w:color="auto" w:fill="auto"/>
            <w:hideMark/>
          </w:tcPr>
          <w:p w:rsidR="00467355" w:rsidP="00F27008" w14:paraId="2A6F139A" w14:textId="77777777">
            <w:pPr>
              <w:rPr>
                <w:color w:val="000000"/>
                <w:sz w:val="20"/>
              </w:rPr>
            </w:pPr>
            <w:r w:rsidRPr="00F27008">
              <w:rPr>
                <w:color w:val="000000"/>
                <w:sz w:val="20"/>
              </w:rPr>
              <w:t xml:space="preserve">The increase in burden is due to an adjustment.  </w:t>
            </w:r>
            <w:r w:rsidRPr="00F27008">
              <w:rPr>
                <w:color w:val="000000"/>
                <w:sz w:val="20"/>
              </w:rPr>
              <w:br/>
            </w:r>
          </w:p>
          <w:p w:rsidR="00F27008" w:rsidRPr="00F27008" w:rsidP="00F27008" w14:paraId="723919D0" w14:textId="1D3236DA">
            <w:pPr>
              <w:rPr>
                <w:color w:val="000000"/>
                <w:sz w:val="20"/>
              </w:rPr>
            </w:pPr>
            <w:r w:rsidRPr="00F27008">
              <w:rPr>
                <w:color w:val="000000"/>
                <w:sz w:val="20"/>
              </w:rPr>
              <w:t xml:space="preserve">FRA anticipates, after careful review, that the number of expected written notifications will increase during this 3-year ICR period. </w:t>
            </w:r>
          </w:p>
        </w:tc>
      </w:tr>
      <w:tr w14:paraId="205C4221" w14:textId="77777777" w:rsidTr="002541B1">
        <w:tblPrEx>
          <w:tblW w:w="0" w:type="auto"/>
          <w:tblLook w:val="04A0"/>
        </w:tblPrEx>
        <w:trPr>
          <w:trHeight w:val="465"/>
        </w:trPr>
        <w:tc>
          <w:tcPr>
            <w:tcW w:w="0" w:type="auto"/>
            <w:shd w:val="clear" w:color="auto" w:fill="auto"/>
            <w:vAlign w:val="center"/>
            <w:hideMark/>
          </w:tcPr>
          <w:p w:rsidR="00F27008" w:rsidRPr="00F27008" w:rsidP="002541B1" w14:paraId="0260994E" w14:textId="77777777">
            <w:pPr>
              <w:rPr>
                <w:color w:val="000000"/>
                <w:sz w:val="20"/>
              </w:rPr>
            </w:pPr>
            <w:r w:rsidRPr="00F27008">
              <w:rPr>
                <w:color w:val="000000"/>
                <w:sz w:val="20"/>
              </w:rPr>
              <w:t>Total</w:t>
            </w:r>
          </w:p>
        </w:tc>
        <w:tc>
          <w:tcPr>
            <w:tcW w:w="0" w:type="auto"/>
            <w:shd w:val="clear" w:color="auto" w:fill="auto"/>
            <w:vAlign w:val="center"/>
            <w:hideMark/>
          </w:tcPr>
          <w:p w:rsidR="00F27008" w:rsidRPr="00F27008" w:rsidP="00F27008" w14:paraId="4EE5ECBF" w14:textId="77777777">
            <w:pPr>
              <w:jc w:val="center"/>
              <w:rPr>
                <w:color w:val="000000"/>
                <w:sz w:val="20"/>
              </w:rPr>
            </w:pPr>
            <w:r w:rsidRPr="00F27008">
              <w:rPr>
                <w:color w:val="000000"/>
                <w:sz w:val="20"/>
              </w:rPr>
              <w:t>8,310 responses</w:t>
            </w:r>
          </w:p>
        </w:tc>
        <w:tc>
          <w:tcPr>
            <w:tcW w:w="0" w:type="auto"/>
            <w:shd w:val="clear" w:color="auto" w:fill="auto"/>
            <w:vAlign w:val="center"/>
            <w:hideMark/>
          </w:tcPr>
          <w:p w:rsidR="00F27008" w:rsidRPr="00F27008" w:rsidP="00F27008" w14:paraId="65B84A0E" w14:textId="77777777">
            <w:pPr>
              <w:jc w:val="center"/>
              <w:rPr>
                <w:color w:val="000000"/>
                <w:sz w:val="20"/>
              </w:rPr>
            </w:pPr>
            <w:r w:rsidRPr="00F27008">
              <w:rPr>
                <w:color w:val="000000"/>
                <w:sz w:val="20"/>
              </w:rPr>
              <w:t>8,335 responses</w:t>
            </w:r>
          </w:p>
        </w:tc>
        <w:tc>
          <w:tcPr>
            <w:tcW w:w="0" w:type="auto"/>
            <w:shd w:val="clear" w:color="auto" w:fill="auto"/>
            <w:vAlign w:val="center"/>
            <w:hideMark/>
          </w:tcPr>
          <w:p w:rsidR="00F27008" w:rsidRPr="00F27008" w:rsidP="00F27008" w14:paraId="69FDF6CA" w14:textId="77777777">
            <w:pPr>
              <w:jc w:val="center"/>
              <w:rPr>
                <w:color w:val="000000"/>
                <w:sz w:val="20"/>
              </w:rPr>
            </w:pPr>
            <w:r w:rsidRPr="00F27008">
              <w:rPr>
                <w:color w:val="000000"/>
                <w:sz w:val="20"/>
              </w:rPr>
              <w:t>25.00 responses</w:t>
            </w:r>
          </w:p>
        </w:tc>
        <w:tc>
          <w:tcPr>
            <w:tcW w:w="0" w:type="auto"/>
            <w:shd w:val="clear" w:color="auto" w:fill="auto"/>
            <w:hideMark/>
          </w:tcPr>
          <w:p w:rsidR="002541B1" w:rsidP="002541B1" w14:paraId="63367E7A" w14:textId="3C9F0827">
            <w:pPr>
              <w:jc w:val="center"/>
              <w:rPr>
                <w:color w:val="000000"/>
                <w:sz w:val="20"/>
              </w:rPr>
            </w:pPr>
            <w:r w:rsidRPr="00F27008">
              <w:rPr>
                <w:color w:val="000000"/>
                <w:sz w:val="20"/>
              </w:rPr>
              <w:t>859</w:t>
            </w:r>
          </w:p>
          <w:p w:rsidR="00F27008" w:rsidRPr="00F27008" w:rsidP="002541B1" w14:paraId="4EF19F50" w14:textId="2F0EBB5C">
            <w:pPr>
              <w:jc w:val="center"/>
              <w:rPr>
                <w:color w:val="000000"/>
                <w:sz w:val="20"/>
              </w:rPr>
            </w:pPr>
            <w:r w:rsidRPr="00F27008">
              <w:rPr>
                <w:color w:val="000000"/>
                <w:sz w:val="20"/>
              </w:rPr>
              <w:t>hours</w:t>
            </w:r>
          </w:p>
        </w:tc>
        <w:tc>
          <w:tcPr>
            <w:tcW w:w="0" w:type="auto"/>
            <w:shd w:val="clear" w:color="auto" w:fill="auto"/>
            <w:noWrap/>
            <w:vAlign w:val="bottom"/>
            <w:hideMark/>
          </w:tcPr>
          <w:p w:rsidR="002541B1" w:rsidP="007B16DD" w14:paraId="3308B961" w14:textId="77777777">
            <w:pPr>
              <w:jc w:val="center"/>
              <w:rPr>
                <w:color w:val="000000"/>
                <w:sz w:val="20"/>
              </w:rPr>
            </w:pPr>
            <w:r w:rsidRPr="00F27008">
              <w:rPr>
                <w:color w:val="000000"/>
                <w:sz w:val="20"/>
              </w:rPr>
              <w:t xml:space="preserve">755 </w:t>
            </w:r>
          </w:p>
          <w:p w:rsidR="00F27008" w:rsidRPr="00F27008" w:rsidP="007B16DD" w14:paraId="2679AA8A" w14:textId="3C08A758">
            <w:pPr>
              <w:jc w:val="center"/>
              <w:rPr>
                <w:color w:val="000000"/>
                <w:sz w:val="20"/>
              </w:rPr>
            </w:pPr>
            <w:r w:rsidRPr="00F27008">
              <w:rPr>
                <w:color w:val="000000"/>
                <w:sz w:val="20"/>
              </w:rPr>
              <w:t>hours</w:t>
            </w:r>
          </w:p>
        </w:tc>
        <w:tc>
          <w:tcPr>
            <w:tcW w:w="0" w:type="auto"/>
            <w:shd w:val="clear" w:color="auto" w:fill="auto"/>
            <w:noWrap/>
            <w:vAlign w:val="center"/>
            <w:hideMark/>
          </w:tcPr>
          <w:p w:rsidR="00F27008" w:rsidRPr="00F27008" w:rsidP="002541B1" w14:paraId="249027E2" w14:textId="77777777">
            <w:pPr>
              <w:jc w:val="center"/>
              <w:rPr>
                <w:color w:val="000000"/>
                <w:sz w:val="20"/>
              </w:rPr>
            </w:pPr>
            <w:r w:rsidRPr="00F27008">
              <w:rPr>
                <w:color w:val="000000"/>
                <w:sz w:val="20"/>
              </w:rPr>
              <w:t>-104 hours</w:t>
            </w:r>
          </w:p>
        </w:tc>
        <w:tc>
          <w:tcPr>
            <w:tcW w:w="0" w:type="auto"/>
            <w:shd w:val="clear" w:color="auto" w:fill="auto"/>
            <w:noWrap/>
            <w:vAlign w:val="bottom"/>
            <w:hideMark/>
          </w:tcPr>
          <w:p w:rsidR="00F27008" w:rsidRPr="00F27008" w:rsidP="00F27008" w14:paraId="4956C1F9" w14:textId="77777777">
            <w:pPr>
              <w:rPr>
                <w:color w:val="000000"/>
                <w:sz w:val="20"/>
              </w:rPr>
            </w:pPr>
            <w:r w:rsidRPr="00F27008">
              <w:rPr>
                <w:color w:val="000000"/>
                <w:sz w:val="20"/>
              </w:rPr>
              <w:t> </w:t>
            </w:r>
          </w:p>
        </w:tc>
      </w:tr>
    </w:tbl>
    <w:p w:rsidR="00F27008" w:rsidP="00B30806" w14:paraId="10165FFB" w14:textId="77777777">
      <w:pPr>
        <w:ind w:left="720"/>
        <w:rPr>
          <w:color w:val="000000"/>
        </w:rPr>
      </w:pPr>
    </w:p>
    <w:p w:rsidR="00F27008" w:rsidP="00B30806" w14:paraId="27ED43D4" w14:textId="77777777">
      <w:pPr>
        <w:ind w:left="720"/>
        <w:rPr>
          <w:color w:val="000000"/>
        </w:rPr>
      </w:pPr>
    </w:p>
    <w:bookmarkEnd w:id="4"/>
    <w:p w:rsidR="00D3430E" w:rsidP="00D3430E" w14:paraId="0A236D4B" w14:textId="77777777">
      <w:pPr>
        <w:widowControl w:val="0"/>
      </w:pPr>
      <w:r w:rsidRPr="00AD423C">
        <w:rPr>
          <w:b/>
        </w:rPr>
        <w:t>16.</w:t>
      </w:r>
      <w:r w:rsidRPr="00AD423C">
        <w:rPr>
          <w:b/>
        </w:rPr>
        <w:tab/>
      </w:r>
      <w:r w:rsidRPr="00AD423C">
        <w:rPr>
          <w:b/>
          <w:u w:val="single"/>
        </w:rPr>
        <w:t>Publication of results of data collection</w:t>
      </w:r>
      <w:r w:rsidRPr="00AD423C">
        <w:rPr>
          <w:b/>
        </w:rPr>
        <w:t>.</w:t>
      </w:r>
    </w:p>
    <w:p w:rsidR="00384AC1" w14:paraId="0C248681" w14:textId="77777777">
      <w:pPr>
        <w:rPr>
          <w:color w:val="000000"/>
        </w:rPr>
      </w:pPr>
    </w:p>
    <w:p w:rsidR="0099497F" w:rsidP="0099497F" w14:paraId="19EF9CA0" w14:textId="77777777">
      <w:pPr>
        <w:widowControl w:val="0"/>
        <w:ind w:left="720"/>
      </w:pPr>
      <w:r>
        <w:t>FRA does not plan to publish the results of the data collection.</w:t>
      </w:r>
    </w:p>
    <w:p w:rsidR="00384AC1" w14:paraId="7048B570" w14:textId="2673690E">
      <w:pPr>
        <w:ind w:left="720"/>
        <w:rPr>
          <w:color w:val="000000"/>
        </w:rPr>
      </w:pPr>
      <w:r>
        <w:rPr>
          <w:color w:val="000000"/>
        </w:rPr>
        <w:t xml:space="preserve"> </w:t>
      </w:r>
    </w:p>
    <w:p w:rsidR="00384AC1" w14:paraId="30657AD5" w14:textId="77777777">
      <w:pPr>
        <w:rPr>
          <w:color w:val="000000"/>
        </w:rPr>
      </w:pPr>
    </w:p>
    <w:p w:rsidR="00D3430E" w:rsidRPr="00AD423C" w:rsidP="00D3430E" w14:paraId="4025FBA5"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384AC1" w14:paraId="0C33C09C" w14:textId="77777777">
      <w:pPr>
        <w:rPr>
          <w:color w:val="000000"/>
        </w:rPr>
      </w:pPr>
    </w:p>
    <w:p w:rsidR="00F27008" w:rsidP="00F27008" w14:paraId="24387C48" w14:textId="71385E79">
      <w:pPr>
        <w:widowControl w:val="0"/>
        <w:ind w:left="720"/>
        <w:rPr>
          <w:szCs w:val="24"/>
        </w:rPr>
      </w:pPr>
      <w:r>
        <w:rPr>
          <w:szCs w:val="24"/>
        </w:rPr>
        <w:t>FRA is not</w:t>
      </w:r>
      <w:r w:rsidRPr="00F73522">
        <w:rPr>
          <w:szCs w:val="24"/>
        </w:rPr>
        <w:t xml:space="preserve"> seeking approval to not display the expiration date.</w:t>
      </w:r>
    </w:p>
    <w:p w:rsidR="002B62E2" w:rsidRPr="00164DED" w:rsidP="00F27008" w14:paraId="1A8D4829" w14:textId="77777777">
      <w:pPr>
        <w:widowControl w:val="0"/>
        <w:ind w:left="720"/>
        <w:rPr>
          <w:b/>
          <w:szCs w:val="24"/>
        </w:rPr>
      </w:pPr>
    </w:p>
    <w:p w:rsidR="00716C9F" w:rsidRPr="00AD423C" w:rsidP="00AC4F22" w14:paraId="0E8F33A1" w14:textId="55AA8A18">
      <w:pPr>
        <w:rPr>
          <w:b/>
        </w:rPr>
      </w:pPr>
      <w:r w:rsidRPr="00AD423C">
        <w:rPr>
          <w:b/>
        </w:rPr>
        <w:t>18.</w:t>
      </w:r>
      <w:r w:rsidRPr="00AD423C">
        <w:rPr>
          <w:b/>
        </w:rPr>
        <w:tab/>
      </w:r>
      <w:r w:rsidRPr="00AD423C">
        <w:rPr>
          <w:b/>
          <w:u w:val="single"/>
        </w:rPr>
        <w:t>Exception to certification statement</w:t>
      </w:r>
      <w:r w:rsidRPr="00AD423C">
        <w:rPr>
          <w:b/>
        </w:rPr>
        <w:t>.</w:t>
      </w:r>
    </w:p>
    <w:p w:rsidR="00384AC1" w14:paraId="26BC6648" w14:textId="77777777">
      <w:pPr>
        <w:rPr>
          <w:color w:val="000000"/>
        </w:rPr>
      </w:pPr>
    </w:p>
    <w:p w:rsidR="003A2CB2" w:rsidRPr="0075150E" w:rsidP="0075150E" w14:paraId="24AC93E0" w14:textId="77777777">
      <w:pPr>
        <w:tabs>
          <w:tab w:val="center" w:pos="5040"/>
        </w:tabs>
        <w:ind w:left="720"/>
        <w:rPr>
          <w:color w:val="000000"/>
          <w:sz w:val="20"/>
        </w:rPr>
      </w:pPr>
      <w:r>
        <w:rPr>
          <w:color w:val="000000"/>
        </w:rPr>
        <w:t>No exceptions are taken at this time.</w:t>
      </w:r>
      <w:r w:rsidR="00743885">
        <w:rPr>
          <w:color w:val="000000"/>
        </w:rPr>
        <w:tab/>
      </w:r>
    </w:p>
    <w:p w:rsidR="003A2CB2" w14:paraId="0BB1C94D" w14:textId="77777777">
      <w:pPr>
        <w:ind w:left="720"/>
        <w:rPr>
          <w:color w:val="000000"/>
          <w:u w:val="single"/>
        </w:rPr>
      </w:pPr>
    </w:p>
    <w:p w:rsidR="00384AC1" w14:paraId="7837BBEC" w14:textId="77777777">
      <w:pPr>
        <w:rPr>
          <w:color w:val="000000"/>
          <w:sz w:val="20"/>
        </w:rPr>
      </w:pPr>
    </w:p>
    <w:p w:rsidR="00384AC1" w14:paraId="0D315721" w14:textId="77777777">
      <w:pPr>
        <w:rPr>
          <w:color w:val="000000"/>
          <w:sz w:val="20"/>
        </w:rPr>
      </w:pPr>
    </w:p>
    <w:p w:rsidR="00384AC1" w14:paraId="38E85359" w14:textId="77777777">
      <w:pPr>
        <w:rPr>
          <w:color w:val="000000"/>
          <w:sz w:val="20"/>
        </w:rPr>
      </w:pPr>
    </w:p>
    <w:p w:rsidR="00384AC1" w14:paraId="43D24650" w14:textId="77777777">
      <w:pPr>
        <w:spacing w:line="0" w:lineRule="atLeast"/>
      </w:pPr>
    </w:p>
    <w:sectPr w:rsidSect="008074ED">
      <w:pgSz w:w="15840" w:h="12240" w:orient="landscape" w:code="1"/>
      <w:pgMar w:top="2434" w:right="1584" w:bottom="1440" w:left="1915"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8232738"/>
      <w:docPartObj>
        <w:docPartGallery w:val="Page Numbers (Bottom of Page)"/>
        <w:docPartUnique/>
      </w:docPartObj>
    </w:sdtPr>
    <w:sdtEndPr>
      <w:rPr>
        <w:noProof/>
      </w:rPr>
    </w:sdtEndPr>
    <w:sdtContent>
      <w:p w:rsidR="005E06FC" w14:paraId="5DC7C0B8" w14:textId="77777777">
        <w:pPr>
          <w:pStyle w:val="Footer"/>
          <w:jc w:val="center"/>
        </w:pPr>
      </w:p>
      <w:p w:rsidR="005E06FC" w14:paraId="46843B14" w14:textId="02EAE856">
        <w:pPr>
          <w:pStyle w:val="Footer"/>
          <w:jc w:val="center"/>
        </w:pPr>
        <w:r>
          <w:fldChar w:fldCharType="begin"/>
        </w:r>
        <w:r>
          <w:instrText xml:space="preserve"> PAGE   \* MERGEFORMAT </w:instrText>
        </w:r>
        <w:r>
          <w:fldChar w:fldCharType="separate"/>
        </w:r>
        <w:r w:rsidR="003E125A">
          <w:rPr>
            <w:noProof/>
          </w:rPr>
          <w:t>17</w:t>
        </w:r>
        <w:r>
          <w:rPr>
            <w:noProof/>
          </w:rPr>
          <w:fldChar w:fldCharType="end"/>
        </w:r>
      </w:p>
    </w:sdtContent>
  </w:sdt>
  <w:p w:rsidR="005E06FC" w14:paraId="7E901FF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6E57" w14:paraId="3EA769C3" w14:textId="77777777">
      <w:r>
        <w:separator/>
      </w:r>
    </w:p>
  </w:footnote>
  <w:footnote w:type="continuationSeparator" w:id="1">
    <w:p w:rsidR="00A06E57" w14:paraId="59795B3A" w14:textId="77777777">
      <w:r>
        <w:continuationSeparator/>
      </w:r>
    </w:p>
  </w:footnote>
  <w:footnote w:type="continuationNotice" w:id="2">
    <w:p w:rsidR="00A06E57" w14:paraId="62A8894C" w14:textId="77777777"/>
  </w:footnote>
  <w:footnote w:id="3">
    <w:p w:rsidR="00090FD1" w:rsidRPr="002D6263" w:rsidP="008074ED" w14:paraId="41BC0E38" w14:textId="7F59E8E6">
      <w:pPr>
        <w:pStyle w:val="FootnoteText"/>
        <w:ind w:firstLine="0"/>
        <w:rPr>
          <w:sz w:val="20"/>
        </w:rPr>
      </w:pPr>
      <w:r w:rsidRPr="002D6263">
        <w:rPr>
          <w:rStyle w:val="FootnoteReference"/>
          <w:sz w:val="20"/>
        </w:rPr>
        <w:footnoteRef/>
      </w:r>
      <w:r w:rsidRPr="002D6263">
        <w:rPr>
          <w:sz w:val="20"/>
        </w:rPr>
        <w:t xml:space="preserve"> 49 U.S.C. 20133.</w:t>
      </w:r>
    </w:p>
  </w:footnote>
  <w:footnote w:id="4">
    <w:p w:rsidR="00507B77" w:rsidRPr="002D6263" w:rsidP="008074ED" w14:paraId="1B2D7BE9" w14:textId="43B54120">
      <w:pPr>
        <w:pStyle w:val="FootnoteText"/>
        <w:ind w:firstLine="0"/>
        <w:rPr>
          <w:sz w:val="20"/>
        </w:rPr>
      </w:pPr>
      <w:r w:rsidRPr="002D6263">
        <w:rPr>
          <w:rStyle w:val="FootnoteReference"/>
          <w:sz w:val="20"/>
        </w:rPr>
        <w:footnoteRef/>
      </w:r>
      <w:r w:rsidRPr="002D6263">
        <w:rPr>
          <w:sz w:val="20"/>
        </w:rPr>
        <w:t xml:space="preserve"> </w:t>
      </w:r>
      <w:r w:rsidRPr="002D6263">
        <w:rPr>
          <w:sz w:val="20"/>
          <w:u w:val="single"/>
        </w:rPr>
        <w:t>See</w:t>
      </w:r>
      <w:r w:rsidRPr="002D6263">
        <w:rPr>
          <w:sz w:val="20"/>
        </w:rPr>
        <w:t xml:space="preserve"> 49 CFR 1.49(m).</w:t>
      </w:r>
    </w:p>
  </w:footnote>
  <w:footnote w:id="5">
    <w:p w:rsidR="00090FD1" w:rsidRPr="002D6263" w:rsidP="008074ED" w14:paraId="5D211DE1" w14:textId="60A0E421">
      <w:pPr>
        <w:pStyle w:val="FootnoteText"/>
        <w:ind w:firstLine="0"/>
        <w:rPr>
          <w:sz w:val="20"/>
        </w:rPr>
      </w:pPr>
      <w:r w:rsidRPr="002D6263">
        <w:rPr>
          <w:rStyle w:val="FootnoteReference"/>
          <w:sz w:val="20"/>
        </w:rPr>
        <w:footnoteRef/>
      </w:r>
      <w:r w:rsidRPr="002D6263">
        <w:rPr>
          <w:sz w:val="20"/>
        </w:rPr>
        <w:t xml:space="preserve"> </w:t>
      </w:r>
      <w:r w:rsidRPr="002D6263">
        <w:rPr>
          <w:color w:val="000000"/>
          <w:sz w:val="20"/>
        </w:rPr>
        <w:t xml:space="preserve">63 FR 24629.  </w:t>
      </w:r>
    </w:p>
  </w:footnote>
  <w:footnote w:id="6">
    <w:p w:rsidR="00091EC6" w:rsidRPr="00677084" w:rsidP="002D6263" w14:paraId="38533E48" w14:textId="76DA9657">
      <w:pPr>
        <w:pStyle w:val="FootnoteText"/>
        <w:ind w:firstLine="0"/>
        <w:rPr>
          <w:sz w:val="20"/>
        </w:rPr>
      </w:pPr>
    </w:p>
    <w:p w:rsidR="00D811D4" w:rsidRPr="00677084" w:rsidP="00D3432B" w14:paraId="7A5C2802" w14:textId="321FEB55">
      <w:pPr>
        <w:pStyle w:val="FootnoteText"/>
        <w:ind w:firstLine="0"/>
        <w:rPr>
          <w:sz w:val="20"/>
        </w:rPr>
      </w:pPr>
      <w:r>
        <w:rPr>
          <w:rStyle w:val="FootnoteReference"/>
          <w:color w:val="000000"/>
        </w:rPr>
        <w:footnoteRef/>
      </w:r>
      <w:r w:rsidR="00361AF3">
        <w:rPr>
          <w:sz w:val="20"/>
        </w:rPr>
        <w:t>6</w:t>
      </w:r>
      <w:r w:rsidRPr="00677084">
        <w:rPr>
          <w:sz w:val="20"/>
        </w:rPr>
        <w:t>4 FR 25540</w:t>
      </w:r>
      <w:r w:rsidRPr="00677084" w:rsidR="00091EC6">
        <w:rPr>
          <w:sz w:val="20"/>
        </w:rPr>
        <w:t xml:space="preserve"> (May 12, 1999)</w:t>
      </w:r>
      <w:r w:rsidR="00677084">
        <w:rPr>
          <w:sz w:val="20"/>
        </w:rPr>
        <w:t>.</w:t>
      </w:r>
      <w:r w:rsidRPr="00677084">
        <w:rPr>
          <w:sz w:val="20"/>
        </w:rPr>
        <w:t xml:space="preserve"> </w:t>
      </w:r>
    </w:p>
  </w:footnote>
  <w:footnote w:id="7">
    <w:p w:rsidR="00D811D4" w:rsidRPr="00677084" w:rsidP="00D3432B" w14:paraId="033241BE" w14:textId="334B0B70">
      <w:pPr>
        <w:pStyle w:val="FootnoteText"/>
        <w:ind w:firstLine="0"/>
        <w:rPr>
          <w:sz w:val="20"/>
        </w:rPr>
      </w:pPr>
      <w:r w:rsidRPr="00677084">
        <w:rPr>
          <w:rStyle w:val="FootnoteReference"/>
          <w:sz w:val="20"/>
        </w:rPr>
        <w:footnoteRef/>
      </w:r>
      <w:r w:rsidRPr="00677084">
        <w:rPr>
          <w:sz w:val="20"/>
        </w:rPr>
        <w:t>65 FR 41284; 67</w:t>
      </w:r>
      <w:r w:rsidRPr="00677084">
        <w:rPr>
          <w:color w:val="000000"/>
          <w:sz w:val="20"/>
        </w:rPr>
        <w:t xml:space="preserve"> FR 19970; and 67 FR 42892.</w:t>
      </w:r>
    </w:p>
  </w:footnote>
  <w:footnote w:id="8">
    <w:p w:rsidR="00091EC6" w:rsidRPr="00677084" w:rsidP="00D3432B" w14:paraId="3B8C65F6" w14:textId="1F9C109E">
      <w:pPr>
        <w:pStyle w:val="FootnoteText"/>
        <w:ind w:firstLine="0"/>
        <w:rPr>
          <w:sz w:val="20"/>
        </w:rPr>
      </w:pPr>
      <w:r w:rsidRPr="00677084">
        <w:rPr>
          <w:rStyle w:val="FootnoteReference"/>
          <w:sz w:val="20"/>
        </w:rPr>
        <w:footnoteRef/>
      </w:r>
      <w:r w:rsidRPr="00677084">
        <w:rPr>
          <w:sz w:val="20"/>
        </w:rPr>
        <w:t>73 FR 6370 (Feb. 1, 2008)</w:t>
      </w:r>
      <w:r w:rsidR="00677084">
        <w:rPr>
          <w:sz w:val="20"/>
        </w:rPr>
        <w:t>.</w:t>
      </w:r>
    </w:p>
  </w:footnote>
  <w:footnote w:id="9">
    <w:p w:rsidR="00677084" w:rsidRPr="00677084" w:rsidP="00D3432B" w14:paraId="2646C639" w14:textId="143064EA">
      <w:pPr>
        <w:pStyle w:val="FootnoteText"/>
        <w:ind w:firstLine="0"/>
        <w:rPr>
          <w:sz w:val="16"/>
          <w:szCs w:val="16"/>
        </w:rPr>
      </w:pPr>
      <w:r w:rsidRPr="00677084">
        <w:rPr>
          <w:rStyle w:val="FootnoteReference"/>
          <w:sz w:val="20"/>
        </w:rPr>
        <w:footnoteRef/>
      </w:r>
      <w:r w:rsidRPr="00677084">
        <w:rPr>
          <w:sz w:val="20"/>
        </w:rPr>
        <w:t>78 FR 71785</w:t>
      </w:r>
      <w:r w:rsidRPr="00677084">
        <w:rPr>
          <w:sz w:val="16"/>
          <w:szCs w:val="16"/>
        </w:rPr>
        <w:t xml:space="preserve"> </w:t>
      </w:r>
      <w:r w:rsidRPr="00677084">
        <w:rPr>
          <w:sz w:val="20"/>
        </w:rPr>
        <w:t>(November 29, 2013).</w:t>
      </w:r>
    </w:p>
  </w:footnote>
  <w:footnote w:id="10">
    <w:p w:rsidR="00B23F08" w:rsidRPr="002D6263" w:rsidP="008074ED" w14:paraId="5FE55FE7" w14:textId="77777777">
      <w:pPr>
        <w:rPr>
          <w:rFonts w:eastAsia="Calibri"/>
          <w:sz w:val="20"/>
        </w:rPr>
      </w:pPr>
      <w:r>
        <w:rPr>
          <w:rStyle w:val="FootnoteReference"/>
        </w:rPr>
        <w:footnoteRef/>
      </w:r>
      <w:r>
        <w:t xml:space="preserve"> </w:t>
      </w:r>
      <w:r w:rsidRPr="002D6263">
        <w:rPr>
          <w:rFonts w:eastAsia="Calibri"/>
          <w:sz w:val="20"/>
        </w:rPr>
        <w:t xml:space="preserve">“Small entity” is defined in 5 U.S.C. 601.  Section 601(6) defines “small entity” as having “the same meaning as the terms ‘small business,’ ‘small organization,’ and ‘small governmental jurisdiction.’”  Section 601(3) defines a “small business” as having the same meaning as a “small business concern” under Section 3 of the Small Business Act.  Section 601(4) defines “small organization” as “any not-for-profit enterprise which is independently owned and operated and is not dominant in its field.”  Section 601(5) defines “small governmental jurisdiction” as “governments of cities, counties, towns, townships, villages, school districts, or special districts with a population of less than fifty thousand.”  </w:t>
      </w:r>
    </w:p>
    <w:p w:rsidR="00B23F08" w:rsidRPr="002D6263" w:rsidP="008074ED" w14:paraId="7D9D0817" w14:textId="49CD6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2D6263">
        <w:rPr>
          <w:rFonts w:eastAsia="Calibri"/>
          <w:sz w:val="20"/>
        </w:rPr>
        <w:t xml:space="preserve">The U.S. Small Business Administration (SBA) stipulates “size standards” for small entities.  It provides that the largest a for-profit railroad business firm may be (and remain classified as a “small entity”) is 1,500 employees for “Line-Haul Operating” railroads and 500 employees for “Short-Line Operating” railroads.  </w:t>
      </w:r>
      <w:r w:rsidRPr="002D6263">
        <w:rPr>
          <w:sz w:val="20"/>
        </w:rPr>
        <w:t>Federal agencies may adopt their own size standards</w:t>
      </w:r>
      <w:r w:rsidRPr="00D36142">
        <w:rPr>
          <w:szCs w:val="24"/>
        </w:rPr>
        <w:t xml:space="preserve"> for </w:t>
      </w:r>
      <w:r w:rsidRPr="002D6263">
        <w:rPr>
          <w:sz w:val="20"/>
        </w:rPr>
        <w:t>small entities in consultation with SBA and in conjunction with public comment.  Pursuant to the authority provided to it by SBA, FRA has published a final policy, which formally establishes small entities as railroads that meet the line haulage revenue requirements of a Class III railroad.</w:t>
      </w:r>
      <w:r w:rsidRPr="002D6263">
        <w:rPr>
          <w:b/>
          <w:sz w:val="20"/>
        </w:rPr>
        <w:t xml:space="preserve"> </w:t>
      </w:r>
      <w:r w:rsidRPr="002D6263">
        <w:rPr>
          <w:sz w:val="20"/>
        </w:rPr>
        <w:t xml:space="preserve"> FRA used this definition along with the stipulation on government entities or agencies that serve small communities as stated above.</w:t>
      </w:r>
    </w:p>
    <w:p w:rsidR="008804EE" w14:paraId="29EB296E" w14:textId="0C4C5F22">
      <w:pPr>
        <w:pStyle w:val="FootnoteText"/>
      </w:pPr>
    </w:p>
  </w:footnote>
  <w:footnote w:id="11">
    <w:p w:rsidR="0009671E" w:rsidRPr="002D6263" w:rsidP="00091EC6" w14:paraId="3FDDCE54" w14:textId="2EA8FA94">
      <w:pPr>
        <w:pStyle w:val="FootnoteText"/>
        <w:ind w:firstLine="0"/>
        <w:rPr>
          <w:sz w:val="20"/>
        </w:rPr>
      </w:pPr>
      <w:r w:rsidRPr="002D6263">
        <w:rPr>
          <w:rStyle w:val="FootnoteReference"/>
          <w:sz w:val="20"/>
        </w:rPr>
        <w:footnoteRef/>
      </w:r>
      <w:r w:rsidRPr="002D6263">
        <w:rPr>
          <w:sz w:val="20"/>
        </w:rPr>
        <w:t xml:space="preserve"> 88 FR </w:t>
      </w:r>
      <w:r w:rsidRPr="002D6263" w:rsidR="00E42704">
        <w:rPr>
          <w:sz w:val="20"/>
        </w:rPr>
        <w:t>5358</w:t>
      </w:r>
      <w:r w:rsidRPr="002D6263" w:rsidR="00250CCB">
        <w:rPr>
          <w:sz w:val="20"/>
        </w:rPr>
        <w:t>1</w:t>
      </w:r>
      <w:r w:rsidRPr="002D6263">
        <w:rPr>
          <w:sz w:val="20"/>
        </w:rPr>
        <w:t xml:space="preserve"> </w:t>
      </w:r>
    </w:p>
  </w:footnote>
  <w:footnote w:id="12">
    <w:p w:rsidR="007C3660" w:rsidRPr="005D554E" w:rsidP="005D554E" w14:paraId="446640B6" w14:textId="77777777">
      <w:pPr>
        <w:pStyle w:val="FootnoteText"/>
        <w:ind w:left="720" w:firstLine="0"/>
        <w:rPr>
          <w:sz w:val="20"/>
        </w:rPr>
      </w:pPr>
      <w:r>
        <w:rPr>
          <w:rStyle w:val="FootnoteReference"/>
        </w:rPr>
        <w:footnoteRef/>
      </w:r>
      <w:r>
        <w:t xml:space="preserve"> </w:t>
      </w:r>
      <w:r w:rsidRPr="005D554E">
        <w:rPr>
          <w:sz w:val="20"/>
        </w:rPr>
        <w:t>The dollar equivalent cost is derived from the 2022 Surface Transportation Board Full Year Wage A&amp;B data series using employee group 200 (Professional &amp; Administrative) hourly wage rate of $49.10.  The total burden wage rate (straight time plus 75%) used in the table is $85.93 ($49.10 x 1.75 = $85.93).</w:t>
      </w:r>
    </w:p>
    <w:p w:rsidR="007C3660" w:rsidRPr="005D554E" w14:paraId="4E6905AC" w14:textId="21CD52B2">
      <w:pPr>
        <w:pStyle w:val="FootnoteText"/>
        <w:rPr>
          <w:sz w:val="20"/>
        </w:rPr>
      </w:pPr>
    </w:p>
  </w:footnote>
  <w:footnote w:id="13">
    <w:p w:rsidR="007856C3" w14:paraId="3AD2CFE8" w14:textId="77D2A8FB">
      <w:pPr>
        <w:pStyle w:val="FootnoteText"/>
      </w:pPr>
      <w:r>
        <w:rPr>
          <w:rStyle w:val="FootnoteReference"/>
        </w:rPr>
        <w:footnoteRef/>
      </w:r>
      <w:r w:rsidRPr="007856C3">
        <w:rPr>
          <w:sz w:val="20"/>
        </w:rPr>
        <w:t>Totals may not add up due to rounding</w:t>
      </w:r>
      <w:r w:rsidR="005A4B1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nsid w:val="04957A5C"/>
    <w:multiLevelType w:val="hybridMultilevel"/>
    <w:tmpl w:val="464C60C6"/>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B1F0B0A"/>
    <w:multiLevelType w:val="hybridMultilevel"/>
    <w:tmpl w:val="7A1E401A"/>
    <w:lvl w:ilvl="0">
      <w:start w:val="15"/>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005CBF"/>
    <w:multiLevelType w:val="hybridMultilevel"/>
    <w:tmpl w:val="0060AE58"/>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3EA61A6"/>
    <w:multiLevelType w:val="hybridMultilevel"/>
    <w:tmpl w:val="61F691AC"/>
    <w:lvl w:ilvl="0">
      <w:start w:val="1"/>
      <w:numFmt w:val="decimal"/>
      <w:lvlText w:val="%1."/>
      <w:lvlJc w:val="left"/>
      <w:pPr>
        <w:tabs>
          <w:tab w:val="num" w:pos="720"/>
        </w:tabs>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180"/>
      </w:pPr>
    </w:lvl>
    <w:lvl w:ilvl="3">
      <w:start w:val="238"/>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635A5F"/>
    <w:multiLevelType w:val="hybridMultilevel"/>
    <w:tmpl w:val="9246074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02513079">
    <w:abstractNumId w:val="0"/>
  </w:num>
  <w:num w:numId="2" w16cid:durableId="668362369">
    <w:abstractNumId w:val="1"/>
  </w:num>
  <w:num w:numId="3" w16cid:durableId="1755126134">
    <w:abstractNumId w:val="2"/>
  </w:num>
  <w:num w:numId="4" w16cid:durableId="2080058813">
    <w:abstractNumId w:val="3"/>
  </w:num>
  <w:num w:numId="5" w16cid:durableId="1260530079">
    <w:abstractNumId w:val="9"/>
  </w:num>
  <w:num w:numId="6" w16cid:durableId="1481849078">
    <w:abstractNumId w:val="7"/>
  </w:num>
  <w:num w:numId="7" w16cid:durableId="1262492318">
    <w:abstractNumId w:val="8"/>
  </w:num>
  <w:num w:numId="8" w16cid:durableId="1714577968">
    <w:abstractNumId w:val="5"/>
  </w:num>
  <w:num w:numId="9" w16cid:durableId="314996359">
    <w:abstractNumId w:val="4"/>
  </w:num>
  <w:num w:numId="10" w16cid:durableId="1344432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7"/>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EB"/>
    <w:rsid w:val="000005AC"/>
    <w:rsid w:val="00000A49"/>
    <w:rsid w:val="00001E73"/>
    <w:rsid w:val="00002259"/>
    <w:rsid w:val="00004460"/>
    <w:rsid w:val="00004EEB"/>
    <w:rsid w:val="000051D2"/>
    <w:rsid w:val="00005763"/>
    <w:rsid w:val="000073F5"/>
    <w:rsid w:val="000074FC"/>
    <w:rsid w:val="00007BE3"/>
    <w:rsid w:val="00007D8A"/>
    <w:rsid w:val="000105F9"/>
    <w:rsid w:val="00011BA5"/>
    <w:rsid w:val="00011E4A"/>
    <w:rsid w:val="00012EB8"/>
    <w:rsid w:val="000140A0"/>
    <w:rsid w:val="00015C60"/>
    <w:rsid w:val="000162F8"/>
    <w:rsid w:val="00017E00"/>
    <w:rsid w:val="0002022A"/>
    <w:rsid w:val="00020ACC"/>
    <w:rsid w:val="00020D41"/>
    <w:rsid w:val="00021FE4"/>
    <w:rsid w:val="000227FD"/>
    <w:rsid w:val="00023249"/>
    <w:rsid w:val="00024594"/>
    <w:rsid w:val="0002492E"/>
    <w:rsid w:val="00030774"/>
    <w:rsid w:val="00032705"/>
    <w:rsid w:val="0003347A"/>
    <w:rsid w:val="000359F3"/>
    <w:rsid w:val="00035EC7"/>
    <w:rsid w:val="00037212"/>
    <w:rsid w:val="000378A5"/>
    <w:rsid w:val="00040EA3"/>
    <w:rsid w:val="0004150F"/>
    <w:rsid w:val="000434B3"/>
    <w:rsid w:val="000453BD"/>
    <w:rsid w:val="00045D47"/>
    <w:rsid w:val="00046164"/>
    <w:rsid w:val="00046422"/>
    <w:rsid w:val="00046453"/>
    <w:rsid w:val="00046E60"/>
    <w:rsid w:val="00051C4C"/>
    <w:rsid w:val="0005465A"/>
    <w:rsid w:val="00054A0E"/>
    <w:rsid w:val="00054C08"/>
    <w:rsid w:val="00054C30"/>
    <w:rsid w:val="00055BDF"/>
    <w:rsid w:val="00055F04"/>
    <w:rsid w:val="0005608E"/>
    <w:rsid w:val="000575ED"/>
    <w:rsid w:val="000608CB"/>
    <w:rsid w:val="0006246A"/>
    <w:rsid w:val="000629F4"/>
    <w:rsid w:val="0006313A"/>
    <w:rsid w:val="000638CB"/>
    <w:rsid w:val="000641A6"/>
    <w:rsid w:val="000641F1"/>
    <w:rsid w:val="00065FEC"/>
    <w:rsid w:val="000662C8"/>
    <w:rsid w:val="00067FFB"/>
    <w:rsid w:val="00070854"/>
    <w:rsid w:val="00070A82"/>
    <w:rsid w:val="00070AE0"/>
    <w:rsid w:val="0007356C"/>
    <w:rsid w:val="00073A79"/>
    <w:rsid w:val="000752E5"/>
    <w:rsid w:val="00075B93"/>
    <w:rsid w:val="00076D29"/>
    <w:rsid w:val="000802E7"/>
    <w:rsid w:val="0008285A"/>
    <w:rsid w:val="00082FF5"/>
    <w:rsid w:val="00083DB0"/>
    <w:rsid w:val="0008480D"/>
    <w:rsid w:val="00084F5A"/>
    <w:rsid w:val="00085EB7"/>
    <w:rsid w:val="00086132"/>
    <w:rsid w:val="000863F5"/>
    <w:rsid w:val="00087ED1"/>
    <w:rsid w:val="000904AC"/>
    <w:rsid w:val="00090FD1"/>
    <w:rsid w:val="00091EC6"/>
    <w:rsid w:val="00094072"/>
    <w:rsid w:val="00095940"/>
    <w:rsid w:val="00095D9C"/>
    <w:rsid w:val="0009660D"/>
    <w:rsid w:val="0009671E"/>
    <w:rsid w:val="0009693E"/>
    <w:rsid w:val="00097DDE"/>
    <w:rsid w:val="000A1FD6"/>
    <w:rsid w:val="000A37CD"/>
    <w:rsid w:val="000A3893"/>
    <w:rsid w:val="000A3EF6"/>
    <w:rsid w:val="000A3EFD"/>
    <w:rsid w:val="000A4388"/>
    <w:rsid w:val="000A4E96"/>
    <w:rsid w:val="000A5633"/>
    <w:rsid w:val="000B082A"/>
    <w:rsid w:val="000B14BA"/>
    <w:rsid w:val="000B19BE"/>
    <w:rsid w:val="000B300A"/>
    <w:rsid w:val="000B3724"/>
    <w:rsid w:val="000B3810"/>
    <w:rsid w:val="000B65CF"/>
    <w:rsid w:val="000B7369"/>
    <w:rsid w:val="000B78CD"/>
    <w:rsid w:val="000C0211"/>
    <w:rsid w:val="000C0CBF"/>
    <w:rsid w:val="000C1BFE"/>
    <w:rsid w:val="000C2CC7"/>
    <w:rsid w:val="000C4F6E"/>
    <w:rsid w:val="000C5A7F"/>
    <w:rsid w:val="000C5CD5"/>
    <w:rsid w:val="000C737B"/>
    <w:rsid w:val="000D0CEE"/>
    <w:rsid w:val="000D210A"/>
    <w:rsid w:val="000D2A73"/>
    <w:rsid w:val="000D4FFA"/>
    <w:rsid w:val="000D6BDF"/>
    <w:rsid w:val="000E03A7"/>
    <w:rsid w:val="000E0532"/>
    <w:rsid w:val="000E1BD5"/>
    <w:rsid w:val="000E33F6"/>
    <w:rsid w:val="000E43DA"/>
    <w:rsid w:val="000E49A3"/>
    <w:rsid w:val="000E4F2B"/>
    <w:rsid w:val="000E51A9"/>
    <w:rsid w:val="000E5A56"/>
    <w:rsid w:val="000E6055"/>
    <w:rsid w:val="000E63BD"/>
    <w:rsid w:val="000E7B5A"/>
    <w:rsid w:val="000F0090"/>
    <w:rsid w:val="000F05E3"/>
    <w:rsid w:val="000F3277"/>
    <w:rsid w:val="000F4376"/>
    <w:rsid w:val="000F5ABB"/>
    <w:rsid w:val="000F5E81"/>
    <w:rsid w:val="000F67AE"/>
    <w:rsid w:val="000F73A8"/>
    <w:rsid w:val="00100ABA"/>
    <w:rsid w:val="00101F73"/>
    <w:rsid w:val="0010369C"/>
    <w:rsid w:val="00103A7E"/>
    <w:rsid w:val="00103BF0"/>
    <w:rsid w:val="0010459C"/>
    <w:rsid w:val="00104FB0"/>
    <w:rsid w:val="00105166"/>
    <w:rsid w:val="0010518D"/>
    <w:rsid w:val="0010764F"/>
    <w:rsid w:val="00107E85"/>
    <w:rsid w:val="001119FE"/>
    <w:rsid w:val="001158F6"/>
    <w:rsid w:val="00115976"/>
    <w:rsid w:val="001179C1"/>
    <w:rsid w:val="00117CD7"/>
    <w:rsid w:val="00120245"/>
    <w:rsid w:val="0012044C"/>
    <w:rsid w:val="00120787"/>
    <w:rsid w:val="00120955"/>
    <w:rsid w:val="00120C92"/>
    <w:rsid w:val="001218DA"/>
    <w:rsid w:val="00122ABB"/>
    <w:rsid w:val="00123436"/>
    <w:rsid w:val="0012349A"/>
    <w:rsid w:val="00126821"/>
    <w:rsid w:val="00127B5E"/>
    <w:rsid w:val="00132E3C"/>
    <w:rsid w:val="0013437A"/>
    <w:rsid w:val="00135B69"/>
    <w:rsid w:val="001376FA"/>
    <w:rsid w:val="00140CC2"/>
    <w:rsid w:val="00140ECC"/>
    <w:rsid w:val="00141757"/>
    <w:rsid w:val="00143250"/>
    <w:rsid w:val="00143FAA"/>
    <w:rsid w:val="001464F2"/>
    <w:rsid w:val="00147AEC"/>
    <w:rsid w:val="001512A6"/>
    <w:rsid w:val="00151753"/>
    <w:rsid w:val="00151D0C"/>
    <w:rsid w:val="00152366"/>
    <w:rsid w:val="0015273E"/>
    <w:rsid w:val="00153B7B"/>
    <w:rsid w:val="00154228"/>
    <w:rsid w:val="00154384"/>
    <w:rsid w:val="0015457C"/>
    <w:rsid w:val="001550A7"/>
    <w:rsid w:val="00156590"/>
    <w:rsid w:val="001570AF"/>
    <w:rsid w:val="0016150C"/>
    <w:rsid w:val="00162D67"/>
    <w:rsid w:val="00162DBE"/>
    <w:rsid w:val="00164179"/>
    <w:rsid w:val="001648B7"/>
    <w:rsid w:val="00164DED"/>
    <w:rsid w:val="001670ED"/>
    <w:rsid w:val="00170290"/>
    <w:rsid w:val="00170EF5"/>
    <w:rsid w:val="001742F3"/>
    <w:rsid w:val="00176E4B"/>
    <w:rsid w:val="00177C75"/>
    <w:rsid w:val="00180474"/>
    <w:rsid w:val="0018063F"/>
    <w:rsid w:val="00180F40"/>
    <w:rsid w:val="00181499"/>
    <w:rsid w:val="00182371"/>
    <w:rsid w:val="001831E8"/>
    <w:rsid w:val="00183974"/>
    <w:rsid w:val="00183EAD"/>
    <w:rsid w:val="00184F57"/>
    <w:rsid w:val="00184F5C"/>
    <w:rsid w:val="0018713F"/>
    <w:rsid w:val="0018771E"/>
    <w:rsid w:val="00187D04"/>
    <w:rsid w:val="00190B6B"/>
    <w:rsid w:val="00191502"/>
    <w:rsid w:val="001932D3"/>
    <w:rsid w:val="00193B44"/>
    <w:rsid w:val="001941C0"/>
    <w:rsid w:val="0019503D"/>
    <w:rsid w:val="0019553E"/>
    <w:rsid w:val="00196B2A"/>
    <w:rsid w:val="0019759C"/>
    <w:rsid w:val="001A131B"/>
    <w:rsid w:val="001A2893"/>
    <w:rsid w:val="001A3091"/>
    <w:rsid w:val="001A5655"/>
    <w:rsid w:val="001A5FC9"/>
    <w:rsid w:val="001A657E"/>
    <w:rsid w:val="001A696A"/>
    <w:rsid w:val="001B0FB7"/>
    <w:rsid w:val="001B10E3"/>
    <w:rsid w:val="001B5E17"/>
    <w:rsid w:val="001B626E"/>
    <w:rsid w:val="001B6D1B"/>
    <w:rsid w:val="001B6E6F"/>
    <w:rsid w:val="001B7F59"/>
    <w:rsid w:val="001C21D4"/>
    <w:rsid w:val="001C3359"/>
    <w:rsid w:val="001C3D4F"/>
    <w:rsid w:val="001C4CF0"/>
    <w:rsid w:val="001C5CE1"/>
    <w:rsid w:val="001C5D9B"/>
    <w:rsid w:val="001C73F2"/>
    <w:rsid w:val="001C7BF0"/>
    <w:rsid w:val="001D0ADF"/>
    <w:rsid w:val="001D4B99"/>
    <w:rsid w:val="001D591F"/>
    <w:rsid w:val="001D609B"/>
    <w:rsid w:val="001D6819"/>
    <w:rsid w:val="001D7099"/>
    <w:rsid w:val="001E0068"/>
    <w:rsid w:val="001E03DA"/>
    <w:rsid w:val="001E078C"/>
    <w:rsid w:val="001E2BB2"/>
    <w:rsid w:val="001E3905"/>
    <w:rsid w:val="001E47FD"/>
    <w:rsid w:val="001E5E32"/>
    <w:rsid w:val="001E5F5A"/>
    <w:rsid w:val="001E6E19"/>
    <w:rsid w:val="001F068B"/>
    <w:rsid w:val="001F148B"/>
    <w:rsid w:val="001F2BA0"/>
    <w:rsid w:val="001F3D7A"/>
    <w:rsid w:val="001F4B6A"/>
    <w:rsid w:val="001F4DA8"/>
    <w:rsid w:val="001F6EAA"/>
    <w:rsid w:val="001F7D2F"/>
    <w:rsid w:val="002000A4"/>
    <w:rsid w:val="0020064D"/>
    <w:rsid w:val="0020146B"/>
    <w:rsid w:val="002029EB"/>
    <w:rsid w:val="002036AD"/>
    <w:rsid w:val="002101B0"/>
    <w:rsid w:val="00210B46"/>
    <w:rsid w:val="002125EF"/>
    <w:rsid w:val="00214AF4"/>
    <w:rsid w:val="002159E1"/>
    <w:rsid w:val="00215C37"/>
    <w:rsid w:val="002166F1"/>
    <w:rsid w:val="0022045D"/>
    <w:rsid w:val="00223C3F"/>
    <w:rsid w:val="00224F07"/>
    <w:rsid w:val="002260E7"/>
    <w:rsid w:val="002271D0"/>
    <w:rsid w:val="00232F4F"/>
    <w:rsid w:val="0023352A"/>
    <w:rsid w:val="00235416"/>
    <w:rsid w:val="00237041"/>
    <w:rsid w:val="002376D4"/>
    <w:rsid w:val="002410EA"/>
    <w:rsid w:val="00241E28"/>
    <w:rsid w:val="0024241F"/>
    <w:rsid w:val="00242B6D"/>
    <w:rsid w:val="0024388E"/>
    <w:rsid w:val="002438FD"/>
    <w:rsid w:val="00243C77"/>
    <w:rsid w:val="00244B17"/>
    <w:rsid w:val="00246C76"/>
    <w:rsid w:val="00247711"/>
    <w:rsid w:val="00250ACB"/>
    <w:rsid w:val="00250CCB"/>
    <w:rsid w:val="00250F11"/>
    <w:rsid w:val="00252C8D"/>
    <w:rsid w:val="002541B1"/>
    <w:rsid w:val="002545F3"/>
    <w:rsid w:val="002545FD"/>
    <w:rsid w:val="00256403"/>
    <w:rsid w:val="00256739"/>
    <w:rsid w:val="00261942"/>
    <w:rsid w:val="00263D31"/>
    <w:rsid w:val="002679F0"/>
    <w:rsid w:val="00267BAC"/>
    <w:rsid w:val="00267E1F"/>
    <w:rsid w:val="00275B1E"/>
    <w:rsid w:val="00277A29"/>
    <w:rsid w:val="00277D81"/>
    <w:rsid w:val="0028090E"/>
    <w:rsid w:val="00282025"/>
    <w:rsid w:val="00283D17"/>
    <w:rsid w:val="00286FD7"/>
    <w:rsid w:val="002874AE"/>
    <w:rsid w:val="002877D4"/>
    <w:rsid w:val="00287D04"/>
    <w:rsid w:val="00290AA8"/>
    <w:rsid w:val="00290BA1"/>
    <w:rsid w:val="0029189C"/>
    <w:rsid w:val="00292572"/>
    <w:rsid w:val="00292C3D"/>
    <w:rsid w:val="002943BE"/>
    <w:rsid w:val="002945A8"/>
    <w:rsid w:val="00295D7C"/>
    <w:rsid w:val="00296FD0"/>
    <w:rsid w:val="00297DB8"/>
    <w:rsid w:val="002A067C"/>
    <w:rsid w:val="002A312F"/>
    <w:rsid w:val="002A37E3"/>
    <w:rsid w:val="002A5F3C"/>
    <w:rsid w:val="002A605B"/>
    <w:rsid w:val="002A6B2C"/>
    <w:rsid w:val="002A771A"/>
    <w:rsid w:val="002B01B1"/>
    <w:rsid w:val="002B021F"/>
    <w:rsid w:val="002B085F"/>
    <w:rsid w:val="002B10D9"/>
    <w:rsid w:val="002B132C"/>
    <w:rsid w:val="002B4474"/>
    <w:rsid w:val="002B62E2"/>
    <w:rsid w:val="002B6C9F"/>
    <w:rsid w:val="002C0AD9"/>
    <w:rsid w:val="002C20CE"/>
    <w:rsid w:val="002C422E"/>
    <w:rsid w:val="002C4820"/>
    <w:rsid w:val="002C5D72"/>
    <w:rsid w:val="002C5DDA"/>
    <w:rsid w:val="002C72A1"/>
    <w:rsid w:val="002D010E"/>
    <w:rsid w:val="002D0D23"/>
    <w:rsid w:val="002D1451"/>
    <w:rsid w:val="002D253C"/>
    <w:rsid w:val="002D25F5"/>
    <w:rsid w:val="002D26EF"/>
    <w:rsid w:val="002D3618"/>
    <w:rsid w:val="002D3647"/>
    <w:rsid w:val="002D547E"/>
    <w:rsid w:val="002D6263"/>
    <w:rsid w:val="002D68FF"/>
    <w:rsid w:val="002D78C4"/>
    <w:rsid w:val="002E02F4"/>
    <w:rsid w:val="002E0C35"/>
    <w:rsid w:val="002E20E4"/>
    <w:rsid w:val="002E2643"/>
    <w:rsid w:val="002E2985"/>
    <w:rsid w:val="002E447C"/>
    <w:rsid w:val="002E4C73"/>
    <w:rsid w:val="002E64C6"/>
    <w:rsid w:val="002E69C1"/>
    <w:rsid w:val="002F007F"/>
    <w:rsid w:val="002F16C3"/>
    <w:rsid w:val="002F2445"/>
    <w:rsid w:val="002F2DA9"/>
    <w:rsid w:val="002F35E4"/>
    <w:rsid w:val="002F6122"/>
    <w:rsid w:val="002F648C"/>
    <w:rsid w:val="002F6F83"/>
    <w:rsid w:val="002F7040"/>
    <w:rsid w:val="002F75F3"/>
    <w:rsid w:val="002F7C34"/>
    <w:rsid w:val="00302284"/>
    <w:rsid w:val="00302347"/>
    <w:rsid w:val="00302963"/>
    <w:rsid w:val="003055CA"/>
    <w:rsid w:val="00305620"/>
    <w:rsid w:val="00306031"/>
    <w:rsid w:val="00306A46"/>
    <w:rsid w:val="00306F7B"/>
    <w:rsid w:val="003114ED"/>
    <w:rsid w:val="00312A4D"/>
    <w:rsid w:val="003130FA"/>
    <w:rsid w:val="00313151"/>
    <w:rsid w:val="0031402F"/>
    <w:rsid w:val="00315F08"/>
    <w:rsid w:val="0032064A"/>
    <w:rsid w:val="003217AE"/>
    <w:rsid w:val="00322511"/>
    <w:rsid w:val="00323EE8"/>
    <w:rsid w:val="00323FA7"/>
    <w:rsid w:val="003250F3"/>
    <w:rsid w:val="003256FC"/>
    <w:rsid w:val="003310D0"/>
    <w:rsid w:val="00334F6D"/>
    <w:rsid w:val="003350E6"/>
    <w:rsid w:val="00340E70"/>
    <w:rsid w:val="003416CE"/>
    <w:rsid w:val="00341D11"/>
    <w:rsid w:val="003421CE"/>
    <w:rsid w:val="00342EA8"/>
    <w:rsid w:val="003457BB"/>
    <w:rsid w:val="00346C42"/>
    <w:rsid w:val="00347F53"/>
    <w:rsid w:val="003513F4"/>
    <w:rsid w:val="00351CE2"/>
    <w:rsid w:val="0035296D"/>
    <w:rsid w:val="00352A12"/>
    <w:rsid w:val="0035407C"/>
    <w:rsid w:val="003550C0"/>
    <w:rsid w:val="0035783B"/>
    <w:rsid w:val="00361AF3"/>
    <w:rsid w:val="00361BBD"/>
    <w:rsid w:val="00363B87"/>
    <w:rsid w:val="00364229"/>
    <w:rsid w:val="00366310"/>
    <w:rsid w:val="00367A4E"/>
    <w:rsid w:val="0037084A"/>
    <w:rsid w:val="00371ACB"/>
    <w:rsid w:val="00372FAD"/>
    <w:rsid w:val="003744B4"/>
    <w:rsid w:val="00376376"/>
    <w:rsid w:val="003779E8"/>
    <w:rsid w:val="00381B5C"/>
    <w:rsid w:val="00383626"/>
    <w:rsid w:val="00384932"/>
    <w:rsid w:val="00384AC1"/>
    <w:rsid w:val="00385DAD"/>
    <w:rsid w:val="003860B6"/>
    <w:rsid w:val="00392CD4"/>
    <w:rsid w:val="00392FD4"/>
    <w:rsid w:val="003935A9"/>
    <w:rsid w:val="00393EE2"/>
    <w:rsid w:val="003941D6"/>
    <w:rsid w:val="00394841"/>
    <w:rsid w:val="00394842"/>
    <w:rsid w:val="00394FAA"/>
    <w:rsid w:val="00395434"/>
    <w:rsid w:val="003A0CD7"/>
    <w:rsid w:val="003A1B14"/>
    <w:rsid w:val="003A2A79"/>
    <w:rsid w:val="003A2AB4"/>
    <w:rsid w:val="003A2CB2"/>
    <w:rsid w:val="003A3944"/>
    <w:rsid w:val="003A5F5A"/>
    <w:rsid w:val="003B22FC"/>
    <w:rsid w:val="003B4FB0"/>
    <w:rsid w:val="003B7F77"/>
    <w:rsid w:val="003B7FC9"/>
    <w:rsid w:val="003C1322"/>
    <w:rsid w:val="003C51D9"/>
    <w:rsid w:val="003C5796"/>
    <w:rsid w:val="003C6F34"/>
    <w:rsid w:val="003D031B"/>
    <w:rsid w:val="003D2DC9"/>
    <w:rsid w:val="003D2F38"/>
    <w:rsid w:val="003D3FAD"/>
    <w:rsid w:val="003D5DE4"/>
    <w:rsid w:val="003D7AA2"/>
    <w:rsid w:val="003E0253"/>
    <w:rsid w:val="003E125A"/>
    <w:rsid w:val="003E1E83"/>
    <w:rsid w:val="003E4093"/>
    <w:rsid w:val="003E56D7"/>
    <w:rsid w:val="003E5F65"/>
    <w:rsid w:val="003E7358"/>
    <w:rsid w:val="003F02D0"/>
    <w:rsid w:val="003F04D2"/>
    <w:rsid w:val="003F19A7"/>
    <w:rsid w:val="003F278D"/>
    <w:rsid w:val="003F4989"/>
    <w:rsid w:val="003F5244"/>
    <w:rsid w:val="003F5591"/>
    <w:rsid w:val="003F5723"/>
    <w:rsid w:val="003F5790"/>
    <w:rsid w:val="003F68D8"/>
    <w:rsid w:val="003F78C3"/>
    <w:rsid w:val="003F7C3A"/>
    <w:rsid w:val="0040128C"/>
    <w:rsid w:val="004019D8"/>
    <w:rsid w:val="0040324E"/>
    <w:rsid w:val="00404341"/>
    <w:rsid w:val="00407B8D"/>
    <w:rsid w:val="00411BFC"/>
    <w:rsid w:val="00412089"/>
    <w:rsid w:val="0041371C"/>
    <w:rsid w:val="00413781"/>
    <w:rsid w:val="004152B5"/>
    <w:rsid w:val="00415946"/>
    <w:rsid w:val="0041685A"/>
    <w:rsid w:val="00416EC8"/>
    <w:rsid w:val="00417328"/>
    <w:rsid w:val="00417BA9"/>
    <w:rsid w:val="0042069B"/>
    <w:rsid w:val="00421153"/>
    <w:rsid w:val="00423221"/>
    <w:rsid w:val="00423AE9"/>
    <w:rsid w:val="00425FCD"/>
    <w:rsid w:val="00431DC7"/>
    <w:rsid w:val="00432190"/>
    <w:rsid w:val="00432AD2"/>
    <w:rsid w:val="004330DB"/>
    <w:rsid w:val="00434AA8"/>
    <w:rsid w:val="0043583F"/>
    <w:rsid w:val="00435EFC"/>
    <w:rsid w:val="0043726E"/>
    <w:rsid w:val="0044086C"/>
    <w:rsid w:val="00443A4C"/>
    <w:rsid w:val="004449CB"/>
    <w:rsid w:val="00444D4C"/>
    <w:rsid w:val="00444E43"/>
    <w:rsid w:val="00446AAA"/>
    <w:rsid w:val="00446AEE"/>
    <w:rsid w:val="00450388"/>
    <w:rsid w:val="00452429"/>
    <w:rsid w:val="004531C7"/>
    <w:rsid w:val="0045342C"/>
    <w:rsid w:val="00453A78"/>
    <w:rsid w:val="00453CD8"/>
    <w:rsid w:val="00453D01"/>
    <w:rsid w:val="00455A74"/>
    <w:rsid w:val="00455C28"/>
    <w:rsid w:val="004570B8"/>
    <w:rsid w:val="0045764E"/>
    <w:rsid w:val="00457EA8"/>
    <w:rsid w:val="00460F2F"/>
    <w:rsid w:val="00462171"/>
    <w:rsid w:val="00463C78"/>
    <w:rsid w:val="00464857"/>
    <w:rsid w:val="004654FA"/>
    <w:rsid w:val="004663DD"/>
    <w:rsid w:val="0046678F"/>
    <w:rsid w:val="00466C02"/>
    <w:rsid w:val="00467355"/>
    <w:rsid w:val="004709B3"/>
    <w:rsid w:val="00470A5E"/>
    <w:rsid w:val="00475398"/>
    <w:rsid w:val="00475C19"/>
    <w:rsid w:val="00476561"/>
    <w:rsid w:val="00480163"/>
    <w:rsid w:val="00484859"/>
    <w:rsid w:val="0048538F"/>
    <w:rsid w:val="00487A6D"/>
    <w:rsid w:val="00493186"/>
    <w:rsid w:val="00493E5A"/>
    <w:rsid w:val="00496550"/>
    <w:rsid w:val="00496CB1"/>
    <w:rsid w:val="004A00C0"/>
    <w:rsid w:val="004A032A"/>
    <w:rsid w:val="004A0BCA"/>
    <w:rsid w:val="004A109F"/>
    <w:rsid w:val="004A2354"/>
    <w:rsid w:val="004A2840"/>
    <w:rsid w:val="004A38AB"/>
    <w:rsid w:val="004A3B54"/>
    <w:rsid w:val="004A4F86"/>
    <w:rsid w:val="004A52CA"/>
    <w:rsid w:val="004A65C0"/>
    <w:rsid w:val="004A6622"/>
    <w:rsid w:val="004A7709"/>
    <w:rsid w:val="004B07E1"/>
    <w:rsid w:val="004B0B83"/>
    <w:rsid w:val="004B269B"/>
    <w:rsid w:val="004B5DC5"/>
    <w:rsid w:val="004B6571"/>
    <w:rsid w:val="004B6F39"/>
    <w:rsid w:val="004C1CE2"/>
    <w:rsid w:val="004C3D5B"/>
    <w:rsid w:val="004C6501"/>
    <w:rsid w:val="004C7B29"/>
    <w:rsid w:val="004C7EB0"/>
    <w:rsid w:val="004D0B66"/>
    <w:rsid w:val="004D1294"/>
    <w:rsid w:val="004D1A6E"/>
    <w:rsid w:val="004D2336"/>
    <w:rsid w:val="004D3132"/>
    <w:rsid w:val="004D3811"/>
    <w:rsid w:val="004D3EF8"/>
    <w:rsid w:val="004D4ECE"/>
    <w:rsid w:val="004D7E91"/>
    <w:rsid w:val="004E2ECE"/>
    <w:rsid w:val="004E35CA"/>
    <w:rsid w:val="004E4237"/>
    <w:rsid w:val="004E6342"/>
    <w:rsid w:val="004E67F4"/>
    <w:rsid w:val="004E7C21"/>
    <w:rsid w:val="004F3FD6"/>
    <w:rsid w:val="004F7468"/>
    <w:rsid w:val="004F7A3E"/>
    <w:rsid w:val="00500B5E"/>
    <w:rsid w:val="00500F0B"/>
    <w:rsid w:val="005019CB"/>
    <w:rsid w:val="00501B5D"/>
    <w:rsid w:val="0050230A"/>
    <w:rsid w:val="00503D48"/>
    <w:rsid w:val="00504028"/>
    <w:rsid w:val="00506065"/>
    <w:rsid w:val="00506CA8"/>
    <w:rsid w:val="00507B77"/>
    <w:rsid w:val="00511460"/>
    <w:rsid w:val="00513158"/>
    <w:rsid w:val="00516A8B"/>
    <w:rsid w:val="005243D0"/>
    <w:rsid w:val="00525627"/>
    <w:rsid w:val="005256D3"/>
    <w:rsid w:val="00527573"/>
    <w:rsid w:val="005278C4"/>
    <w:rsid w:val="00527FD6"/>
    <w:rsid w:val="0053020F"/>
    <w:rsid w:val="00533A88"/>
    <w:rsid w:val="0053445B"/>
    <w:rsid w:val="00534C48"/>
    <w:rsid w:val="00540542"/>
    <w:rsid w:val="00540847"/>
    <w:rsid w:val="00541179"/>
    <w:rsid w:val="00541916"/>
    <w:rsid w:val="00541C07"/>
    <w:rsid w:val="005430FC"/>
    <w:rsid w:val="00543CEF"/>
    <w:rsid w:val="00544871"/>
    <w:rsid w:val="00544BE4"/>
    <w:rsid w:val="005469E4"/>
    <w:rsid w:val="00547477"/>
    <w:rsid w:val="00547629"/>
    <w:rsid w:val="0055031B"/>
    <w:rsid w:val="00551718"/>
    <w:rsid w:val="00552D0E"/>
    <w:rsid w:val="0055580A"/>
    <w:rsid w:val="005560E6"/>
    <w:rsid w:val="00556B16"/>
    <w:rsid w:val="005572DD"/>
    <w:rsid w:val="00557D45"/>
    <w:rsid w:val="005601B9"/>
    <w:rsid w:val="005609F0"/>
    <w:rsid w:val="0056160C"/>
    <w:rsid w:val="005634F0"/>
    <w:rsid w:val="00565DA7"/>
    <w:rsid w:val="005665D9"/>
    <w:rsid w:val="00566690"/>
    <w:rsid w:val="00566BAD"/>
    <w:rsid w:val="00567611"/>
    <w:rsid w:val="0057146D"/>
    <w:rsid w:val="00571E97"/>
    <w:rsid w:val="00571F5D"/>
    <w:rsid w:val="005724A4"/>
    <w:rsid w:val="005764D0"/>
    <w:rsid w:val="00585171"/>
    <w:rsid w:val="00586084"/>
    <w:rsid w:val="0058759D"/>
    <w:rsid w:val="00587B60"/>
    <w:rsid w:val="00591A90"/>
    <w:rsid w:val="0059237E"/>
    <w:rsid w:val="0059696B"/>
    <w:rsid w:val="00596AE8"/>
    <w:rsid w:val="00597F4E"/>
    <w:rsid w:val="005A04E8"/>
    <w:rsid w:val="005A110C"/>
    <w:rsid w:val="005A150E"/>
    <w:rsid w:val="005A1C9C"/>
    <w:rsid w:val="005A2059"/>
    <w:rsid w:val="005A4B1B"/>
    <w:rsid w:val="005A4E9A"/>
    <w:rsid w:val="005A5642"/>
    <w:rsid w:val="005A5FE1"/>
    <w:rsid w:val="005A6EF7"/>
    <w:rsid w:val="005B1CB4"/>
    <w:rsid w:val="005B2866"/>
    <w:rsid w:val="005B2BF5"/>
    <w:rsid w:val="005B400D"/>
    <w:rsid w:val="005B52F6"/>
    <w:rsid w:val="005B592A"/>
    <w:rsid w:val="005B60E6"/>
    <w:rsid w:val="005B62F3"/>
    <w:rsid w:val="005B6887"/>
    <w:rsid w:val="005B7470"/>
    <w:rsid w:val="005C2775"/>
    <w:rsid w:val="005C42AB"/>
    <w:rsid w:val="005C47CE"/>
    <w:rsid w:val="005C59B7"/>
    <w:rsid w:val="005C5AC2"/>
    <w:rsid w:val="005C6904"/>
    <w:rsid w:val="005D0C3F"/>
    <w:rsid w:val="005D4785"/>
    <w:rsid w:val="005D4EF6"/>
    <w:rsid w:val="005D54FF"/>
    <w:rsid w:val="005D554E"/>
    <w:rsid w:val="005D5983"/>
    <w:rsid w:val="005E00E1"/>
    <w:rsid w:val="005E06FC"/>
    <w:rsid w:val="005E1951"/>
    <w:rsid w:val="005E1993"/>
    <w:rsid w:val="005E1E68"/>
    <w:rsid w:val="005E2BDD"/>
    <w:rsid w:val="005E6A60"/>
    <w:rsid w:val="005E6BD5"/>
    <w:rsid w:val="005F2904"/>
    <w:rsid w:val="005F3C2C"/>
    <w:rsid w:val="005F4A21"/>
    <w:rsid w:val="005F5F18"/>
    <w:rsid w:val="005F751D"/>
    <w:rsid w:val="00600D8E"/>
    <w:rsid w:val="00600DFD"/>
    <w:rsid w:val="00601EA3"/>
    <w:rsid w:val="00602D4F"/>
    <w:rsid w:val="00602DFE"/>
    <w:rsid w:val="00604995"/>
    <w:rsid w:val="006052F0"/>
    <w:rsid w:val="00605579"/>
    <w:rsid w:val="0060610B"/>
    <w:rsid w:val="0060655A"/>
    <w:rsid w:val="006075C4"/>
    <w:rsid w:val="006131A4"/>
    <w:rsid w:val="006163AB"/>
    <w:rsid w:val="00617F19"/>
    <w:rsid w:val="00620904"/>
    <w:rsid w:val="006218EF"/>
    <w:rsid w:val="006223F3"/>
    <w:rsid w:val="00622641"/>
    <w:rsid w:val="006232C0"/>
    <w:rsid w:val="006244FB"/>
    <w:rsid w:val="006247B4"/>
    <w:rsid w:val="0062589C"/>
    <w:rsid w:val="00625A13"/>
    <w:rsid w:val="00625F98"/>
    <w:rsid w:val="00626F30"/>
    <w:rsid w:val="00627087"/>
    <w:rsid w:val="00627171"/>
    <w:rsid w:val="00627480"/>
    <w:rsid w:val="00630492"/>
    <w:rsid w:val="00630A6C"/>
    <w:rsid w:val="00630DBA"/>
    <w:rsid w:val="00632016"/>
    <w:rsid w:val="006340F5"/>
    <w:rsid w:val="00634A8B"/>
    <w:rsid w:val="006358C0"/>
    <w:rsid w:val="00635DBE"/>
    <w:rsid w:val="00636156"/>
    <w:rsid w:val="00636D59"/>
    <w:rsid w:val="00637B95"/>
    <w:rsid w:val="006405ED"/>
    <w:rsid w:val="006426AD"/>
    <w:rsid w:val="00643F36"/>
    <w:rsid w:val="006440DB"/>
    <w:rsid w:val="0064486B"/>
    <w:rsid w:val="00645549"/>
    <w:rsid w:val="00646F16"/>
    <w:rsid w:val="00647983"/>
    <w:rsid w:val="00650C1D"/>
    <w:rsid w:val="0065284F"/>
    <w:rsid w:val="00652A4B"/>
    <w:rsid w:val="006562FF"/>
    <w:rsid w:val="00657F7F"/>
    <w:rsid w:val="006603FC"/>
    <w:rsid w:val="00661C69"/>
    <w:rsid w:val="00662893"/>
    <w:rsid w:val="0066577E"/>
    <w:rsid w:val="00665D81"/>
    <w:rsid w:val="00665F50"/>
    <w:rsid w:val="00667268"/>
    <w:rsid w:val="006673D7"/>
    <w:rsid w:val="00667E1D"/>
    <w:rsid w:val="006702C0"/>
    <w:rsid w:val="0067207B"/>
    <w:rsid w:val="00674A40"/>
    <w:rsid w:val="0067651C"/>
    <w:rsid w:val="00677084"/>
    <w:rsid w:val="006773C2"/>
    <w:rsid w:val="006805F5"/>
    <w:rsid w:val="006805F7"/>
    <w:rsid w:val="006816A6"/>
    <w:rsid w:val="00681BD2"/>
    <w:rsid w:val="0068201B"/>
    <w:rsid w:val="006831FC"/>
    <w:rsid w:val="00683966"/>
    <w:rsid w:val="00683BC6"/>
    <w:rsid w:val="0068641D"/>
    <w:rsid w:val="006872C0"/>
    <w:rsid w:val="00687BC3"/>
    <w:rsid w:val="00690426"/>
    <w:rsid w:val="00690F38"/>
    <w:rsid w:val="006910E3"/>
    <w:rsid w:val="0069119E"/>
    <w:rsid w:val="0069139F"/>
    <w:rsid w:val="0069147B"/>
    <w:rsid w:val="006934A8"/>
    <w:rsid w:val="00694BAD"/>
    <w:rsid w:val="00696EC9"/>
    <w:rsid w:val="0069780E"/>
    <w:rsid w:val="006A15F0"/>
    <w:rsid w:val="006A18BA"/>
    <w:rsid w:val="006A1943"/>
    <w:rsid w:val="006A2404"/>
    <w:rsid w:val="006A29A7"/>
    <w:rsid w:val="006A3C48"/>
    <w:rsid w:val="006B0670"/>
    <w:rsid w:val="006B187B"/>
    <w:rsid w:val="006B3B00"/>
    <w:rsid w:val="006B3D22"/>
    <w:rsid w:val="006B3D9A"/>
    <w:rsid w:val="006B4CD5"/>
    <w:rsid w:val="006B4F41"/>
    <w:rsid w:val="006B586C"/>
    <w:rsid w:val="006B7C95"/>
    <w:rsid w:val="006C0306"/>
    <w:rsid w:val="006C1D49"/>
    <w:rsid w:val="006C2E2E"/>
    <w:rsid w:val="006C3C24"/>
    <w:rsid w:val="006C4AF8"/>
    <w:rsid w:val="006C4FAB"/>
    <w:rsid w:val="006C5730"/>
    <w:rsid w:val="006C5F43"/>
    <w:rsid w:val="006C66CC"/>
    <w:rsid w:val="006C71EF"/>
    <w:rsid w:val="006C769D"/>
    <w:rsid w:val="006C7EB2"/>
    <w:rsid w:val="006D0BD7"/>
    <w:rsid w:val="006D10AE"/>
    <w:rsid w:val="006D10EE"/>
    <w:rsid w:val="006D115C"/>
    <w:rsid w:val="006D174E"/>
    <w:rsid w:val="006D27A6"/>
    <w:rsid w:val="006D3113"/>
    <w:rsid w:val="006D459D"/>
    <w:rsid w:val="006D5007"/>
    <w:rsid w:val="006D67CB"/>
    <w:rsid w:val="006E034B"/>
    <w:rsid w:val="006E1420"/>
    <w:rsid w:val="006E4713"/>
    <w:rsid w:val="006E52A2"/>
    <w:rsid w:val="006E5498"/>
    <w:rsid w:val="006E559F"/>
    <w:rsid w:val="006E6A42"/>
    <w:rsid w:val="006E719E"/>
    <w:rsid w:val="006F01C1"/>
    <w:rsid w:val="006F0C2F"/>
    <w:rsid w:val="006F228E"/>
    <w:rsid w:val="006F3660"/>
    <w:rsid w:val="006F3744"/>
    <w:rsid w:val="006F3973"/>
    <w:rsid w:val="006F3AB3"/>
    <w:rsid w:val="006F3DFD"/>
    <w:rsid w:val="006F42B4"/>
    <w:rsid w:val="006F42C1"/>
    <w:rsid w:val="006F4392"/>
    <w:rsid w:val="006F43AB"/>
    <w:rsid w:val="006F4915"/>
    <w:rsid w:val="006F5B34"/>
    <w:rsid w:val="006F756B"/>
    <w:rsid w:val="00701001"/>
    <w:rsid w:val="00701C5E"/>
    <w:rsid w:val="00705B9D"/>
    <w:rsid w:val="00713CF7"/>
    <w:rsid w:val="00714B5E"/>
    <w:rsid w:val="0071574C"/>
    <w:rsid w:val="00716C9F"/>
    <w:rsid w:val="0072301C"/>
    <w:rsid w:val="00725A26"/>
    <w:rsid w:val="0072625B"/>
    <w:rsid w:val="007262F6"/>
    <w:rsid w:val="0072632D"/>
    <w:rsid w:val="00726351"/>
    <w:rsid w:val="00726441"/>
    <w:rsid w:val="00726BED"/>
    <w:rsid w:val="00730841"/>
    <w:rsid w:val="00731183"/>
    <w:rsid w:val="00731375"/>
    <w:rsid w:val="00731742"/>
    <w:rsid w:val="00732FFD"/>
    <w:rsid w:val="007332E7"/>
    <w:rsid w:val="007365AB"/>
    <w:rsid w:val="00736BF9"/>
    <w:rsid w:val="00737A92"/>
    <w:rsid w:val="00740C8E"/>
    <w:rsid w:val="00742CC3"/>
    <w:rsid w:val="00743353"/>
    <w:rsid w:val="00743885"/>
    <w:rsid w:val="00744821"/>
    <w:rsid w:val="0074579B"/>
    <w:rsid w:val="00747553"/>
    <w:rsid w:val="00747613"/>
    <w:rsid w:val="00750116"/>
    <w:rsid w:val="00750391"/>
    <w:rsid w:val="007511BD"/>
    <w:rsid w:val="0075150E"/>
    <w:rsid w:val="00753D90"/>
    <w:rsid w:val="00756510"/>
    <w:rsid w:val="00760955"/>
    <w:rsid w:val="00763EA6"/>
    <w:rsid w:val="007661E6"/>
    <w:rsid w:val="00766A2A"/>
    <w:rsid w:val="00767A9E"/>
    <w:rsid w:val="00771046"/>
    <w:rsid w:val="00772A5B"/>
    <w:rsid w:val="00773837"/>
    <w:rsid w:val="007755B6"/>
    <w:rsid w:val="00776230"/>
    <w:rsid w:val="00776A13"/>
    <w:rsid w:val="007817C6"/>
    <w:rsid w:val="00781ADC"/>
    <w:rsid w:val="00781DAA"/>
    <w:rsid w:val="0078496E"/>
    <w:rsid w:val="007854EA"/>
    <w:rsid w:val="007856C3"/>
    <w:rsid w:val="007859B5"/>
    <w:rsid w:val="0078786D"/>
    <w:rsid w:val="00787994"/>
    <w:rsid w:val="007926DC"/>
    <w:rsid w:val="00795358"/>
    <w:rsid w:val="00795CB1"/>
    <w:rsid w:val="007963B4"/>
    <w:rsid w:val="007A0330"/>
    <w:rsid w:val="007A033F"/>
    <w:rsid w:val="007A080D"/>
    <w:rsid w:val="007A1AA5"/>
    <w:rsid w:val="007A2053"/>
    <w:rsid w:val="007A243C"/>
    <w:rsid w:val="007A3AD1"/>
    <w:rsid w:val="007B00AF"/>
    <w:rsid w:val="007B16DD"/>
    <w:rsid w:val="007B25AD"/>
    <w:rsid w:val="007B3153"/>
    <w:rsid w:val="007B4BDA"/>
    <w:rsid w:val="007B5210"/>
    <w:rsid w:val="007B64CD"/>
    <w:rsid w:val="007B6B94"/>
    <w:rsid w:val="007B7258"/>
    <w:rsid w:val="007B774A"/>
    <w:rsid w:val="007C0445"/>
    <w:rsid w:val="007C1028"/>
    <w:rsid w:val="007C3660"/>
    <w:rsid w:val="007C3FA1"/>
    <w:rsid w:val="007C56C0"/>
    <w:rsid w:val="007C6D2E"/>
    <w:rsid w:val="007C7D57"/>
    <w:rsid w:val="007D212C"/>
    <w:rsid w:val="007D3642"/>
    <w:rsid w:val="007D445D"/>
    <w:rsid w:val="007D4462"/>
    <w:rsid w:val="007D4765"/>
    <w:rsid w:val="007D68BC"/>
    <w:rsid w:val="007D6C3C"/>
    <w:rsid w:val="007D6F35"/>
    <w:rsid w:val="007D70D3"/>
    <w:rsid w:val="007D7978"/>
    <w:rsid w:val="007E0572"/>
    <w:rsid w:val="007E05A3"/>
    <w:rsid w:val="007E1FF2"/>
    <w:rsid w:val="007E24F9"/>
    <w:rsid w:val="007E59B3"/>
    <w:rsid w:val="007E6853"/>
    <w:rsid w:val="007E6D50"/>
    <w:rsid w:val="007F06A9"/>
    <w:rsid w:val="007F0D22"/>
    <w:rsid w:val="007F1BE1"/>
    <w:rsid w:val="007F2948"/>
    <w:rsid w:val="007F2E22"/>
    <w:rsid w:val="007F3741"/>
    <w:rsid w:val="007F445E"/>
    <w:rsid w:val="007F709D"/>
    <w:rsid w:val="007F7325"/>
    <w:rsid w:val="007F7564"/>
    <w:rsid w:val="007F7ED4"/>
    <w:rsid w:val="008011DD"/>
    <w:rsid w:val="008012A2"/>
    <w:rsid w:val="00801FA4"/>
    <w:rsid w:val="00803CC5"/>
    <w:rsid w:val="008044B3"/>
    <w:rsid w:val="00804C67"/>
    <w:rsid w:val="00805BC1"/>
    <w:rsid w:val="0080719D"/>
    <w:rsid w:val="00807307"/>
    <w:rsid w:val="008074ED"/>
    <w:rsid w:val="00807913"/>
    <w:rsid w:val="008102A7"/>
    <w:rsid w:val="00812229"/>
    <w:rsid w:val="00813739"/>
    <w:rsid w:val="00817663"/>
    <w:rsid w:val="008201CE"/>
    <w:rsid w:val="00820BB0"/>
    <w:rsid w:val="00822719"/>
    <w:rsid w:val="00822A42"/>
    <w:rsid w:val="008245E9"/>
    <w:rsid w:val="0082541F"/>
    <w:rsid w:val="00827BA3"/>
    <w:rsid w:val="008303A0"/>
    <w:rsid w:val="0083299F"/>
    <w:rsid w:val="00833739"/>
    <w:rsid w:val="008351C7"/>
    <w:rsid w:val="00835B72"/>
    <w:rsid w:val="00836515"/>
    <w:rsid w:val="008374C7"/>
    <w:rsid w:val="00837978"/>
    <w:rsid w:val="0084096F"/>
    <w:rsid w:val="008412AC"/>
    <w:rsid w:val="008414A3"/>
    <w:rsid w:val="00844C79"/>
    <w:rsid w:val="00845729"/>
    <w:rsid w:val="008457FE"/>
    <w:rsid w:val="00850A4B"/>
    <w:rsid w:val="008515E7"/>
    <w:rsid w:val="0085558A"/>
    <w:rsid w:val="00855FA7"/>
    <w:rsid w:val="008606C4"/>
    <w:rsid w:val="00861022"/>
    <w:rsid w:val="00861C89"/>
    <w:rsid w:val="00861EBC"/>
    <w:rsid w:val="008667E3"/>
    <w:rsid w:val="00866EE3"/>
    <w:rsid w:val="008671E2"/>
    <w:rsid w:val="008710F7"/>
    <w:rsid w:val="008720E9"/>
    <w:rsid w:val="008743DB"/>
    <w:rsid w:val="00874807"/>
    <w:rsid w:val="008754BC"/>
    <w:rsid w:val="00876306"/>
    <w:rsid w:val="008804E4"/>
    <w:rsid w:val="008804EE"/>
    <w:rsid w:val="008815C9"/>
    <w:rsid w:val="00881F7E"/>
    <w:rsid w:val="00885262"/>
    <w:rsid w:val="00885676"/>
    <w:rsid w:val="00885A76"/>
    <w:rsid w:val="00885B3B"/>
    <w:rsid w:val="00887920"/>
    <w:rsid w:val="0089064D"/>
    <w:rsid w:val="00892024"/>
    <w:rsid w:val="00892814"/>
    <w:rsid w:val="00892DE9"/>
    <w:rsid w:val="0089343F"/>
    <w:rsid w:val="00893848"/>
    <w:rsid w:val="00893A69"/>
    <w:rsid w:val="00893FBB"/>
    <w:rsid w:val="00894317"/>
    <w:rsid w:val="00897095"/>
    <w:rsid w:val="0089724D"/>
    <w:rsid w:val="008A20BB"/>
    <w:rsid w:val="008A36D5"/>
    <w:rsid w:val="008A4153"/>
    <w:rsid w:val="008A5FA2"/>
    <w:rsid w:val="008A7EB8"/>
    <w:rsid w:val="008B0AF7"/>
    <w:rsid w:val="008B111D"/>
    <w:rsid w:val="008B3502"/>
    <w:rsid w:val="008B5CFC"/>
    <w:rsid w:val="008B6FE8"/>
    <w:rsid w:val="008C0E29"/>
    <w:rsid w:val="008C24D0"/>
    <w:rsid w:val="008C35B2"/>
    <w:rsid w:val="008C4FA5"/>
    <w:rsid w:val="008C50E3"/>
    <w:rsid w:val="008C65E0"/>
    <w:rsid w:val="008D1D62"/>
    <w:rsid w:val="008D3F7B"/>
    <w:rsid w:val="008D40C9"/>
    <w:rsid w:val="008D4618"/>
    <w:rsid w:val="008D5BBE"/>
    <w:rsid w:val="008D62AD"/>
    <w:rsid w:val="008D6D2A"/>
    <w:rsid w:val="008D7C38"/>
    <w:rsid w:val="008E04A3"/>
    <w:rsid w:val="008E31E7"/>
    <w:rsid w:val="008E33C4"/>
    <w:rsid w:val="008E3958"/>
    <w:rsid w:val="008E68CB"/>
    <w:rsid w:val="008E7F38"/>
    <w:rsid w:val="008F0A22"/>
    <w:rsid w:val="008F39FD"/>
    <w:rsid w:val="008F49ED"/>
    <w:rsid w:val="008F6596"/>
    <w:rsid w:val="008F6B4B"/>
    <w:rsid w:val="008F76A9"/>
    <w:rsid w:val="008F793D"/>
    <w:rsid w:val="00900F95"/>
    <w:rsid w:val="00902065"/>
    <w:rsid w:val="009020EF"/>
    <w:rsid w:val="00905832"/>
    <w:rsid w:val="00910BA8"/>
    <w:rsid w:val="009138FD"/>
    <w:rsid w:val="00914CB0"/>
    <w:rsid w:val="00916729"/>
    <w:rsid w:val="00916CF5"/>
    <w:rsid w:val="00917530"/>
    <w:rsid w:val="00917E66"/>
    <w:rsid w:val="00920184"/>
    <w:rsid w:val="00921D87"/>
    <w:rsid w:val="00921F9C"/>
    <w:rsid w:val="00922993"/>
    <w:rsid w:val="0092473F"/>
    <w:rsid w:val="00924889"/>
    <w:rsid w:val="00924B34"/>
    <w:rsid w:val="00924B8F"/>
    <w:rsid w:val="00930DDF"/>
    <w:rsid w:val="00930F02"/>
    <w:rsid w:val="00931A07"/>
    <w:rsid w:val="00933A3F"/>
    <w:rsid w:val="009341A0"/>
    <w:rsid w:val="00936715"/>
    <w:rsid w:val="00936E9F"/>
    <w:rsid w:val="00937577"/>
    <w:rsid w:val="00937AF9"/>
    <w:rsid w:val="00942065"/>
    <w:rsid w:val="009453F2"/>
    <w:rsid w:val="00947DAA"/>
    <w:rsid w:val="00947DD0"/>
    <w:rsid w:val="00950BE5"/>
    <w:rsid w:val="00952D4B"/>
    <w:rsid w:val="00955A16"/>
    <w:rsid w:val="00956495"/>
    <w:rsid w:val="00956963"/>
    <w:rsid w:val="00961207"/>
    <w:rsid w:val="00961313"/>
    <w:rsid w:val="009627CB"/>
    <w:rsid w:val="00963D32"/>
    <w:rsid w:val="00964B37"/>
    <w:rsid w:val="00966030"/>
    <w:rsid w:val="00966889"/>
    <w:rsid w:val="00972B34"/>
    <w:rsid w:val="00974463"/>
    <w:rsid w:val="00976325"/>
    <w:rsid w:val="00977310"/>
    <w:rsid w:val="00980D59"/>
    <w:rsid w:val="00981316"/>
    <w:rsid w:val="00985179"/>
    <w:rsid w:val="00985EAF"/>
    <w:rsid w:val="00986137"/>
    <w:rsid w:val="00986809"/>
    <w:rsid w:val="00986FC3"/>
    <w:rsid w:val="009912D1"/>
    <w:rsid w:val="009939BB"/>
    <w:rsid w:val="0099497F"/>
    <w:rsid w:val="00995676"/>
    <w:rsid w:val="0099570E"/>
    <w:rsid w:val="009962C2"/>
    <w:rsid w:val="009A0D7C"/>
    <w:rsid w:val="009A19F9"/>
    <w:rsid w:val="009A1FE8"/>
    <w:rsid w:val="009A25FC"/>
    <w:rsid w:val="009A2F67"/>
    <w:rsid w:val="009A44A2"/>
    <w:rsid w:val="009A59ED"/>
    <w:rsid w:val="009A5F66"/>
    <w:rsid w:val="009A7B0D"/>
    <w:rsid w:val="009B1420"/>
    <w:rsid w:val="009B2969"/>
    <w:rsid w:val="009B29A4"/>
    <w:rsid w:val="009B314A"/>
    <w:rsid w:val="009B3C92"/>
    <w:rsid w:val="009B44ED"/>
    <w:rsid w:val="009B48E8"/>
    <w:rsid w:val="009B4B7F"/>
    <w:rsid w:val="009B4E0A"/>
    <w:rsid w:val="009B697B"/>
    <w:rsid w:val="009C04A0"/>
    <w:rsid w:val="009C1E98"/>
    <w:rsid w:val="009C29DC"/>
    <w:rsid w:val="009C42B1"/>
    <w:rsid w:val="009C4A23"/>
    <w:rsid w:val="009C50EC"/>
    <w:rsid w:val="009C7AAB"/>
    <w:rsid w:val="009C7FEE"/>
    <w:rsid w:val="009D0208"/>
    <w:rsid w:val="009D0695"/>
    <w:rsid w:val="009D09FB"/>
    <w:rsid w:val="009D3544"/>
    <w:rsid w:val="009E2039"/>
    <w:rsid w:val="009E3265"/>
    <w:rsid w:val="009E3547"/>
    <w:rsid w:val="009E38FD"/>
    <w:rsid w:val="009E3BF4"/>
    <w:rsid w:val="009E467D"/>
    <w:rsid w:val="009E68FB"/>
    <w:rsid w:val="009E6F53"/>
    <w:rsid w:val="009E7C15"/>
    <w:rsid w:val="009F1400"/>
    <w:rsid w:val="009F26B0"/>
    <w:rsid w:val="009F2922"/>
    <w:rsid w:val="009F4D98"/>
    <w:rsid w:val="009F52F8"/>
    <w:rsid w:val="009F5DF5"/>
    <w:rsid w:val="009F633B"/>
    <w:rsid w:val="009F6651"/>
    <w:rsid w:val="009F692A"/>
    <w:rsid w:val="00A00F98"/>
    <w:rsid w:val="00A01C91"/>
    <w:rsid w:val="00A052E6"/>
    <w:rsid w:val="00A055E2"/>
    <w:rsid w:val="00A06A22"/>
    <w:rsid w:val="00A06E57"/>
    <w:rsid w:val="00A075B0"/>
    <w:rsid w:val="00A10161"/>
    <w:rsid w:val="00A15305"/>
    <w:rsid w:val="00A1552F"/>
    <w:rsid w:val="00A1647B"/>
    <w:rsid w:val="00A174E1"/>
    <w:rsid w:val="00A210CD"/>
    <w:rsid w:val="00A21CAB"/>
    <w:rsid w:val="00A22715"/>
    <w:rsid w:val="00A229D0"/>
    <w:rsid w:val="00A22A59"/>
    <w:rsid w:val="00A23690"/>
    <w:rsid w:val="00A23EED"/>
    <w:rsid w:val="00A249A3"/>
    <w:rsid w:val="00A251C9"/>
    <w:rsid w:val="00A2558B"/>
    <w:rsid w:val="00A256A3"/>
    <w:rsid w:val="00A32DC9"/>
    <w:rsid w:val="00A3403B"/>
    <w:rsid w:val="00A35867"/>
    <w:rsid w:val="00A35A7B"/>
    <w:rsid w:val="00A36151"/>
    <w:rsid w:val="00A366E2"/>
    <w:rsid w:val="00A36761"/>
    <w:rsid w:val="00A41B3E"/>
    <w:rsid w:val="00A420DC"/>
    <w:rsid w:val="00A438C2"/>
    <w:rsid w:val="00A45193"/>
    <w:rsid w:val="00A47AC9"/>
    <w:rsid w:val="00A50404"/>
    <w:rsid w:val="00A5452E"/>
    <w:rsid w:val="00A5623A"/>
    <w:rsid w:val="00A57A26"/>
    <w:rsid w:val="00A57ADE"/>
    <w:rsid w:val="00A61884"/>
    <w:rsid w:val="00A625A7"/>
    <w:rsid w:val="00A62690"/>
    <w:rsid w:val="00A64073"/>
    <w:rsid w:val="00A65528"/>
    <w:rsid w:val="00A65693"/>
    <w:rsid w:val="00A65A3B"/>
    <w:rsid w:val="00A66F38"/>
    <w:rsid w:val="00A7221C"/>
    <w:rsid w:val="00A76072"/>
    <w:rsid w:val="00A767C8"/>
    <w:rsid w:val="00A76857"/>
    <w:rsid w:val="00A77B93"/>
    <w:rsid w:val="00A8040B"/>
    <w:rsid w:val="00A8098C"/>
    <w:rsid w:val="00A82D58"/>
    <w:rsid w:val="00A833F9"/>
    <w:rsid w:val="00A8459B"/>
    <w:rsid w:val="00A84AD4"/>
    <w:rsid w:val="00A85888"/>
    <w:rsid w:val="00A862BB"/>
    <w:rsid w:val="00A86378"/>
    <w:rsid w:val="00A8678D"/>
    <w:rsid w:val="00A87761"/>
    <w:rsid w:val="00A9010E"/>
    <w:rsid w:val="00A907AE"/>
    <w:rsid w:val="00A95DD7"/>
    <w:rsid w:val="00A97ADA"/>
    <w:rsid w:val="00AA1095"/>
    <w:rsid w:val="00AA302B"/>
    <w:rsid w:val="00AA3D44"/>
    <w:rsid w:val="00AA41CA"/>
    <w:rsid w:val="00AA4EC5"/>
    <w:rsid w:val="00AA6558"/>
    <w:rsid w:val="00AA6F9E"/>
    <w:rsid w:val="00AB2F8A"/>
    <w:rsid w:val="00AB494E"/>
    <w:rsid w:val="00AB5250"/>
    <w:rsid w:val="00AB6164"/>
    <w:rsid w:val="00AB6955"/>
    <w:rsid w:val="00AC1685"/>
    <w:rsid w:val="00AC16E4"/>
    <w:rsid w:val="00AC2F65"/>
    <w:rsid w:val="00AC43CE"/>
    <w:rsid w:val="00AC4F22"/>
    <w:rsid w:val="00AC5283"/>
    <w:rsid w:val="00AC5904"/>
    <w:rsid w:val="00AC6EAF"/>
    <w:rsid w:val="00AC750D"/>
    <w:rsid w:val="00AC7594"/>
    <w:rsid w:val="00AD07F2"/>
    <w:rsid w:val="00AD2806"/>
    <w:rsid w:val="00AD423C"/>
    <w:rsid w:val="00AD6DBE"/>
    <w:rsid w:val="00AD7777"/>
    <w:rsid w:val="00AE06DB"/>
    <w:rsid w:val="00AE274C"/>
    <w:rsid w:val="00AE2FB8"/>
    <w:rsid w:val="00AE547C"/>
    <w:rsid w:val="00AE57CC"/>
    <w:rsid w:val="00AE6070"/>
    <w:rsid w:val="00AF04CD"/>
    <w:rsid w:val="00AF0A9D"/>
    <w:rsid w:val="00AF1897"/>
    <w:rsid w:val="00AF18B6"/>
    <w:rsid w:val="00AF2348"/>
    <w:rsid w:val="00AF5F40"/>
    <w:rsid w:val="00AF6487"/>
    <w:rsid w:val="00AF7BC8"/>
    <w:rsid w:val="00B00477"/>
    <w:rsid w:val="00B02222"/>
    <w:rsid w:val="00B059D9"/>
    <w:rsid w:val="00B06779"/>
    <w:rsid w:val="00B06FB4"/>
    <w:rsid w:val="00B07108"/>
    <w:rsid w:val="00B14511"/>
    <w:rsid w:val="00B16866"/>
    <w:rsid w:val="00B21220"/>
    <w:rsid w:val="00B215CC"/>
    <w:rsid w:val="00B22D40"/>
    <w:rsid w:val="00B23F08"/>
    <w:rsid w:val="00B25F5E"/>
    <w:rsid w:val="00B30806"/>
    <w:rsid w:val="00B32105"/>
    <w:rsid w:val="00B32494"/>
    <w:rsid w:val="00B33DB8"/>
    <w:rsid w:val="00B3430D"/>
    <w:rsid w:val="00B37F19"/>
    <w:rsid w:val="00B403A0"/>
    <w:rsid w:val="00B4657A"/>
    <w:rsid w:val="00B46768"/>
    <w:rsid w:val="00B47189"/>
    <w:rsid w:val="00B4740B"/>
    <w:rsid w:val="00B50B4B"/>
    <w:rsid w:val="00B51E76"/>
    <w:rsid w:val="00B52299"/>
    <w:rsid w:val="00B53840"/>
    <w:rsid w:val="00B53B8A"/>
    <w:rsid w:val="00B543B1"/>
    <w:rsid w:val="00B546CF"/>
    <w:rsid w:val="00B54FDA"/>
    <w:rsid w:val="00B558F8"/>
    <w:rsid w:val="00B56FD9"/>
    <w:rsid w:val="00B62FD1"/>
    <w:rsid w:val="00B641DE"/>
    <w:rsid w:val="00B648E8"/>
    <w:rsid w:val="00B64CE1"/>
    <w:rsid w:val="00B64E91"/>
    <w:rsid w:val="00B65294"/>
    <w:rsid w:val="00B6631F"/>
    <w:rsid w:val="00B66465"/>
    <w:rsid w:val="00B7197E"/>
    <w:rsid w:val="00B71F17"/>
    <w:rsid w:val="00B72423"/>
    <w:rsid w:val="00B73A7F"/>
    <w:rsid w:val="00B73C1E"/>
    <w:rsid w:val="00B75384"/>
    <w:rsid w:val="00B76371"/>
    <w:rsid w:val="00B768A7"/>
    <w:rsid w:val="00B772A0"/>
    <w:rsid w:val="00B77E50"/>
    <w:rsid w:val="00B77EAA"/>
    <w:rsid w:val="00B800EA"/>
    <w:rsid w:val="00B81D8A"/>
    <w:rsid w:val="00B82FB5"/>
    <w:rsid w:val="00B84A98"/>
    <w:rsid w:val="00B8587A"/>
    <w:rsid w:val="00B85BA6"/>
    <w:rsid w:val="00B871B1"/>
    <w:rsid w:val="00B91640"/>
    <w:rsid w:val="00B9230C"/>
    <w:rsid w:val="00B96106"/>
    <w:rsid w:val="00B97992"/>
    <w:rsid w:val="00BA1A1D"/>
    <w:rsid w:val="00BA1A80"/>
    <w:rsid w:val="00BA1BD6"/>
    <w:rsid w:val="00BA1F99"/>
    <w:rsid w:val="00BA2C73"/>
    <w:rsid w:val="00BA33B4"/>
    <w:rsid w:val="00BA7B35"/>
    <w:rsid w:val="00BB1573"/>
    <w:rsid w:val="00BB2CB6"/>
    <w:rsid w:val="00BB34F9"/>
    <w:rsid w:val="00BC048E"/>
    <w:rsid w:val="00BC2817"/>
    <w:rsid w:val="00BC2B4C"/>
    <w:rsid w:val="00BC3275"/>
    <w:rsid w:val="00BC468E"/>
    <w:rsid w:val="00BD0FC0"/>
    <w:rsid w:val="00BD22A8"/>
    <w:rsid w:val="00BD47AB"/>
    <w:rsid w:val="00BD581B"/>
    <w:rsid w:val="00BD677D"/>
    <w:rsid w:val="00BE07E4"/>
    <w:rsid w:val="00BE10DA"/>
    <w:rsid w:val="00BE34E1"/>
    <w:rsid w:val="00BE51E8"/>
    <w:rsid w:val="00BE581F"/>
    <w:rsid w:val="00BE5FB9"/>
    <w:rsid w:val="00BE6B4C"/>
    <w:rsid w:val="00BF3CE7"/>
    <w:rsid w:val="00BF42EF"/>
    <w:rsid w:val="00BF4D95"/>
    <w:rsid w:val="00BF5C50"/>
    <w:rsid w:val="00BF5DD2"/>
    <w:rsid w:val="00BF7F55"/>
    <w:rsid w:val="00C0112F"/>
    <w:rsid w:val="00C01D21"/>
    <w:rsid w:val="00C0405B"/>
    <w:rsid w:val="00C04322"/>
    <w:rsid w:val="00C06264"/>
    <w:rsid w:val="00C064CC"/>
    <w:rsid w:val="00C06A05"/>
    <w:rsid w:val="00C06B41"/>
    <w:rsid w:val="00C07930"/>
    <w:rsid w:val="00C13E4B"/>
    <w:rsid w:val="00C143D4"/>
    <w:rsid w:val="00C14B3E"/>
    <w:rsid w:val="00C14D20"/>
    <w:rsid w:val="00C16143"/>
    <w:rsid w:val="00C20473"/>
    <w:rsid w:val="00C2098B"/>
    <w:rsid w:val="00C20A85"/>
    <w:rsid w:val="00C20F3B"/>
    <w:rsid w:val="00C245AD"/>
    <w:rsid w:val="00C2674D"/>
    <w:rsid w:val="00C26B62"/>
    <w:rsid w:val="00C324CD"/>
    <w:rsid w:val="00C33318"/>
    <w:rsid w:val="00C339AA"/>
    <w:rsid w:val="00C33E3F"/>
    <w:rsid w:val="00C35CD8"/>
    <w:rsid w:val="00C36776"/>
    <w:rsid w:val="00C37035"/>
    <w:rsid w:val="00C371F6"/>
    <w:rsid w:val="00C377E4"/>
    <w:rsid w:val="00C37DD9"/>
    <w:rsid w:val="00C41254"/>
    <w:rsid w:val="00C417CA"/>
    <w:rsid w:val="00C41F11"/>
    <w:rsid w:val="00C42A04"/>
    <w:rsid w:val="00C4458E"/>
    <w:rsid w:val="00C44E96"/>
    <w:rsid w:val="00C4652B"/>
    <w:rsid w:val="00C46A34"/>
    <w:rsid w:val="00C46BBC"/>
    <w:rsid w:val="00C50570"/>
    <w:rsid w:val="00C52132"/>
    <w:rsid w:val="00C52FAC"/>
    <w:rsid w:val="00C53062"/>
    <w:rsid w:val="00C53521"/>
    <w:rsid w:val="00C56E5A"/>
    <w:rsid w:val="00C56F25"/>
    <w:rsid w:val="00C61CB5"/>
    <w:rsid w:val="00C621EF"/>
    <w:rsid w:val="00C62731"/>
    <w:rsid w:val="00C63FA0"/>
    <w:rsid w:val="00C64D60"/>
    <w:rsid w:val="00C7207C"/>
    <w:rsid w:val="00C73ABB"/>
    <w:rsid w:val="00C73E8E"/>
    <w:rsid w:val="00C74630"/>
    <w:rsid w:val="00C7521E"/>
    <w:rsid w:val="00C754DC"/>
    <w:rsid w:val="00C76792"/>
    <w:rsid w:val="00C7679F"/>
    <w:rsid w:val="00C80052"/>
    <w:rsid w:val="00C811D9"/>
    <w:rsid w:val="00C822F8"/>
    <w:rsid w:val="00C83442"/>
    <w:rsid w:val="00C85E38"/>
    <w:rsid w:val="00C85EE3"/>
    <w:rsid w:val="00C85FE0"/>
    <w:rsid w:val="00C85FF3"/>
    <w:rsid w:val="00C86FC1"/>
    <w:rsid w:val="00C87211"/>
    <w:rsid w:val="00C91337"/>
    <w:rsid w:val="00C921C4"/>
    <w:rsid w:val="00C92E21"/>
    <w:rsid w:val="00C93FF8"/>
    <w:rsid w:val="00C94715"/>
    <w:rsid w:val="00C953C3"/>
    <w:rsid w:val="00C96E87"/>
    <w:rsid w:val="00CA01D5"/>
    <w:rsid w:val="00CA2387"/>
    <w:rsid w:val="00CA3139"/>
    <w:rsid w:val="00CA35E6"/>
    <w:rsid w:val="00CA4596"/>
    <w:rsid w:val="00CA4FE6"/>
    <w:rsid w:val="00CA6A91"/>
    <w:rsid w:val="00CA7F13"/>
    <w:rsid w:val="00CB0767"/>
    <w:rsid w:val="00CB0822"/>
    <w:rsid w:val="00CB10CD"/>
    <w:rsid w:val="00CB16AB"/>
    <w:rsid w:val="00CB5672"/>
    <w:rsid w:val="00CB7141"/>
    <w:rsid w:val="00CB73A6"/>
    <w:rsid w:val="00CC064B"/>
    <w:rsid w:val="00CC2041"/>
    <w:rsid w:val="00CC33D6"/>
    <w:rsid w:val="00CC3704"/>
    <w:rsid w:val="00CC3E54"/>
    <w:rsid w:val="00CC6D52"/>
    <w:rsid w:val="00CC7053"/>
    <w:rsid w:val="00CC7603"/>
    <w:rsid w:val="00CD090C"/>
    <w:rsid w:val="00CD43E3"/>
    <w:rsid w:val="00CD4432"/>
    <w:rsid w:val="00CD6A02"/>
    <w:rsid w:val="00CD7A83"/>
    <w:rsid w:val="00CD7D7A"/>
    <w:rsid w:val="00CE294D"/>
    <w:rsid w:val="00CE3776"/>
    <w:rsid w:val="00CE3A94"/>
    <w:rsid w:val="00CE41D5"/>
    <w:rsid w:val="00CE4436"/>
    <w:rsid w:val="00CE5AEA"/>
    <w:rsid w:val="00CF0053"/>
    <w:rsid w:val="00CF0CC8"/>
    <w:rsid w:val="00CF1F33"/>
    <w:rsid w:val="00CF2250"/>
    <w:rsid w:val="00CF275F"/>
    <w:rsid w:val="00CF2A51"/>
    <w:rsid w:val="00CF32A2"/>
    <w:rsid w:val="00CF38F8"/>
    <w:rsid w:val="00CF47C9"/>
    <w:rsid w:val="00CF5EFD"/>
    <w:rsid w:val="00CF693E"/>
    <w:rsid w:val="00CF6952"/>
    <w:rsid w:val="00D017A5"/>
    <w:rsid w:val="00D035DB"/>
    <w:rsid w:val="00D0551B"/>
    <w:rsid w:val="00D05795"/>
    <w:rsid w:val="00D0652C"/>
    <w:rsid w:val="00D06F94"/>
    <w:rsid w:val="00D070F7"/>
    <w:rsid w:val="00D124CB"/>
    <w:rsid w:val="00D1295D"/>
    <w:rsid w:val="00D12D89"/>
    <w:rsid w:val="00D1355A"/>
    <w:rsid w:val="00D15A55"/>
    <w:rsid w:val="00D161B3"/>
    <w:rsid w:val="00D21973"/>
    <w:rsid w:val="00D236C0"/>
    <w:rsid w:val="00D23C8D"/>
    <w:rsid w:val="00D250B0"/>
    <w:rsid w:val="00D252A9"/>
    <w:rsid w:val="00D25993"/>
    <w:rsid w:val="00D2625D"/>
    <w:rsid w:val="00D266B1"/>
    <w:rsid w:val="00D27376"/>
    <w:rsid w:val="00D27E1D"/>
    <w:rsid w:val="00D3060E"/>
    <w:rsid w:val="00D310AC"/>
    <w:rsid w:val="00D31DF0"/>
    <w:rsid w:val="00D31EF0"/>
    <w:rsid w:val="00D32EC2"/>
    <w:rsid w:val="00D3430E"/>
    <w:rsid w:val="00D3432B"/>
    <w:rsid w:val="00D356F6"/>
    <w:rsid w:val="00D36142"/>
    <w:rsid w:val="00D37741"/>
    <w:rsid w:val="00D40DC0"/>
    <w:rsid w:val="00D41D66"/>
    <w:rsid w:val="00D42278"/>
    <w:rsid w:val="00D42B71"/>
    <w:rsid w:val="00D43303"/>
    <w:rsid w:val="00D43DE2"/>
    <w:rsid w:val="00D455C0"/>
    <w:rsid w:val="00D47CFF"/>
    <w:rsid w:val="00D515C6"/>
    <w:rsid w:val="00D53C37"/>
    <w:rsid w:val="00D5468E"/>
    <w:rsid w:val="00D556CF"/>
    <w:rsid w:val="00D558ED"/>
    <w:rsid w:val="00D56A76"/>
    <w:rsid w:val="00D56CFF"/>
    <w:rsid w:val="00D5790A"/>
    <w:rsid w:val="00D57A9D"/>
    <w:rsid w:val="00D6075C"/>
    <w:rsid w:val="00D60C89"/>
    <w:rsid w:val="00D61073"/>
    <w:rsid w:val="00D6110A"/>
    <w:rsid w:val="00D62E55"/>
    <w:rsid w:val="00D63919"/>
    <w:rsid w:val="00D670B8"/>
    <w:rsid w:val="00D6712F"/>
    <w:rsid w:val="00D67291"/>
    <w:rsid w:val="00D67595"/>
    <w:rsid w:val="00D700E6"/>
    <w:rsid w:val="00D71588"/>
    <w:rsid w:val="00D7393A"/>
    <w:rsid w:val="00D73BDE"/>
    <w:rsid w:val="00D7721A"/>
    <w:rsid w:val="00D8060F"/>
    <w:rsid w:val="00D80C9F"/>
    <w:rsid w:val="00D811D4"/>
    <w:rsid w:val="00D81462"/>
    <w:rsid w:val="00D81C06"/>
    <w:rsid w:val="00D821C7"/>
    <w:rsid w:val="00D85C07"/>
    <w:rsid w:val="00D86683"/>
    <w:rsid w:val="00D8722A"/>
    <w:rsid w:val="00D87EBD"/>
    <w:rsid w:val="00D91107"/>
    <w:rsid w:val="00D916CA"/>
    <w:rsid w:val="00D92169"/>
    <w:rsid w:val="00D93809"/>
    <w:rsid w:val="00D93C40"/>
    <w:rsid w:val="00D96324"/>
    <w:rsid w:val="00DA0770"/>
    <w:rsid w:val="00DA25E1"/>
    <w:rsid w:val="00DA2958"/>
    <w:rsid w:val="00DA2B35"/>
    <w:rsid w:val="00DA4B16"/>
    <w:rsid w:val="00DA4FCC"/>
    <w:rsid w:val="00DA6AFC"/>
    <w:rsid w:val="00DA7258"/>
    <w:rsid w:val="00DB0A90"/>
    <w:rsid w:val="00DB1C51"/>
    <w:rsid w:val="00DB481F"/>
    <w:rsid w:val="00DB4984"/>
    <w:rsid w:val="00DB4C0B"/>
    <w:rsid w:val="00DB6EDD"/>
    <w:rsid w:val="00DB70CB"/>
    <w:rsid w:val="00DB725B"/>
    <w:rsid w:val="00DB7F37"/>
    <w:rsid w:val="00DC07A1"/>
    <w:rsid w:val="00DC205D"/>
    <w:rsid w:val="00DC300F"/>
    <w:rsid w:val="00DC327C"/>
    <w:rsid w:val="00DC384A"/>
    <w:rsid w:val="00DC4E32"/>
    <w:rsid w:val="00DC7E2C"/>
    <w:rsid w:val="00DC7FB1"/>
    <w:rsid w:val="00DD0D67"/>
    <w:rsid w:val="00DD2049"/>
    <w:rsid w:val="00DD22F8"/>
    <w:rsid w:val="00DD706B"/>
    <w:rsid w:val="00DD73FF"/>
    <w:rsid w:val="00DD768D"/>
    <w:rsid w:val="00DE0ACE"/>
    <w:rsid w:val="00DE1F8D"/>
    <w:rsid w:val="00DE2475"/>
    <w:rsid w:val="00DE3B0D"/>
    <w:rsid w:val="00DE4C86"/>
    <w:rsid w:val="00DE508F"/>
    <w:rsid w:val="00DE7219"/>
    <w:rsid w:val="00DE76EA"/>
    <w:rsid w:val="00DF02E7"/>
    <w:rsid w:val="00DF0D52"/>
    <w:rsid w:val="00DF2C6A"/>
    <w:rsid w:val="00DF2CCB"/>
    <w:rsid w:val="00DF4F0E"/>
    <w:rsid w:val="00DF5407"/>
    <w:rsid w:val="00DF60C4"/>
    <w:rsid w:val="00DF6C8F"/>
    <w:rsid w:val="00E00123"/>
    <w:rsid w:val="00E01D4C"/>
    <w:rsid w:val="00E03E8B"/>
    <w:rsid w:val="00E12E36"/>
    <w:rsid w:val="00E13ABB"/>
    <w:rsid w:val="00E14026"/>
    <w:rsid w:val="00E1618B"/>
    <w:rsid w:val="00E1656B"/>
    <w:rsid w:val="00E166CE"/>
    <w:rsid w:val="00E24784"/>
    <w:rsid w:val="00E24DD7"/>
    <w:rsid w:val="00E25458"/>
    <w:rsid w:val="00E25C25"/>
    <w:rsid w:val="00E26EA6"/>
    <w:rsid w:val="00E2719D"/>
    <w:rsid w:val="00E3017E"/>
    <w:rsid w:val="00E30514"/>
    <w:rsid w:val="00E31996"/>
    <w:rsid w:val="00E325EA"/>
    <w:rsid w:val="00E330CA"/>
    <w:rsid w:val="00E36741"/>
    <w:rsid w:val="00E410D4"/>
    <w:rsid w:val="00E4170D"/>
    <w:rsid w:val="00E42373"/>
    <w:rsid w:val="00E4237E"/>
    <w:rsid w:val="00E42423"/>
    <w:rsid w:val="00E42704"/>
    <w:rsid w:val="00E4418C"/>
    <w:rsid w:val="00E47115"/>
    <w:rsid w:val="00E47378"/>
    <w:rsid w:val="00E51601"/>
    <w:rsid w:val="00E523E7"/>
    <w:rsid w:val="00E53EE3"/>
    <w:rsid w:val="00E53FB5"/>
    <w:rsid w:val="00E57704"/>
    <w:rsid w:val="00E60335"/>
    <w:rsid w:val="00E60870"/>
    <w:rsid w:val="00E627C8"/>
    <w:rsid w:val="00E63210"/>
    <w:rsid w:val="00E643C7"/>
    <w:rsid w:val="00E64B9A"/>
    <w:rsid w:val="00E70EF0"/>
    <w:rsid w:val="00E7163B"/>
    <w:rsid w:val="00E71A8A"/>
    <w:rsid w:val="00E72294"/>
    <w:rsid w:val="00E732A6"/>
    <w:rsid w:val="00E73E8C"/>
    <w:rsid w:val="00E74241"/>
    <w:rsid w:val="00E75351"/>
    <w:rsid w:val="00E77A61"/>
    <w:rsid w:val="00E77D1F"/>
    <w:rsid w:val="00E77FAD"/>
    <w:rsid w:val="00E805D0"/>
    <w:rsid w:val="00E809EC"/>
    <w:rsid w:val="00E814B5"/>
    <w:rsid w:val="00E8208F"/>
    <w:rsid w:val="00E828A6"/>
    <w:rsid w:val="00E85A39"/>
    <w:rsid w:val="00E87494"/>
    <w:rsid w:val="00E90043"/>
    <w:rsid w:val="00E9006E"/>
    <w:rsid w:val="00E90983"/>
    <w:rsid w:val="00E909DD"/>
    <w:rsid w:val="00E90DDE"/>
    <w:rsid w:val="00E92244"/>
    <w:rsid w:val="00E92512"/>
    <w:rsid w:val="00E932B0"/>
    <w:rsid w:val="00E95AC0"/>
    <w:rsid w:val="00E976E3"/>
    <w:rsid w:val="00EA10C2"/>
    <w:rsid w:val="00EA2675"/>
    <w:rsid w:val="00EA2AA6"/>
    <w:rsid w:val="00EA540E"/>
    <w:rsid w:val="00EA61B7"/>
    <w:rsid w:val="00EA79DD"/>
    <w:rsid w:val="00EB776D"/>
    <w:rsid w:val="00EB7A00"/>
    <w:rsid w:val="00EC0BB2"/>
    <w:rsid w:val="00EC1964"/>
    <w:rsid w:val="00EC2B52"/>
    <w:rsid w:val="00EC2D11"/>
    <w:rsid w:val="00EC487A"/>
    <w:rsid w:val="00EC5754"/>
    <w:rsid w:val="00EC721B"/>
    <w:rsid w:val="00ED15E3"/>
    <w:rsid w:val="00ED34DF"/>
    <w:rsid w:val="00ED3958"/>
    <w:rsid w:val="00ED3DA1"/>
    <w:rsid w:val="00ED4349"/>
    <w:rsid w:val="00ED5B3A"/>
    <w:rsid w:val="00ED61B9"/>
    <w:rsid w:val="00ED6CD8"/>
    <w:rsid w:val="00ED71A8"/>
    <w:rsid w:val="00ED7E8C"/>
    <w:rsid w:val="00EE10B8"/>
    <w:rsid w:val="00EE218B"/>
    <w:rsid w:val="00EE3CEE"/>
    <w:rsid w:val="00EE611C"/>
    <w:rsid w:val="00EE6BF4"/>
    <w:rsid w:val="00EE6D08"/>
    <w:rsid w:val="00EF3962"/>
    <w:rsid w:val="00EF3B42"/>
    <w:rsid w:val="00EF3F8D"/>
    <w:rsid w:val="00EF4DC0"/>
    <w:rsid w:val="00EF5726"/>
    <w:rsid w:val="00EF7658"/>
    <w:rsid w:val="00EF76C4"/>
    <w:rsid w:val="00EF7E14"/>
    <w:rsid w:val="00F05548"/>
    <w:rsid w:val="00F10E8A"/>
    <w:rsid w:val="00F10F0E"/>
    <w:rsid w:val="00F11AB0"/>
    <w:rsid w:val="00F12ACC"/>
    <w:rsid w:val="00F14AC0"/>
    <w:rsid w:val="00F15867"/>
    <w:rsid w:val="00F174B1"/>
    <w:rsid w:val="00F204B6"/>
    <w:rsid w:val="00F24900"/>
    <w:rsid w:val="00F250E1"/>
    <w:rsid w:val="00F27008"/>
    <w:rsid w:val="00F30755"/>
    <w:rsid w:val="00F3196B"/>
    <w:rsid w:val="00F3260C"/>
    <w:rsid w:val="00F32AAD"/>
    <w:rsid w:val="00F32D81"/>
    <w:rsid w:val="00F33745"/>
    <w:rsid w:val="00F338F9"/>
    <w:rsid w:val="00F340BB"/>
    <w:rsid w:val="00F3457F"/>
    <w:rsid w:val="00F36A54"/>
    <w:rsid w:val="00F4069A"/>
    <w:rsid w:val="00F41202"/>
    <w:rsid w:val="00F414C7"/>
    <w:rsid w:val="00F43D17"/>
    <w:rsid w:val="00F44257"/>
    <w:rsid w:val="00F44478"/>
    <w:rsid w:val="00F457F9"/>
    <w:rsid w:val="00F46BD0"/>
    <w:rsid w:val="00F47E90"/>
    <w:rsid w:val="00F50BEF"/>
    <w:rsid w:val="00F51BD4"/>
    <w:rsid w:val="00F52267"/>
    <w:rsid w:val="00F52623"/>
    <w:rsid w:val="00F554F4"/>
    <w:rsid w:val="00F555D5"/>
    <w:rsid w:val="00F56B7E"/>
    <w:rsid w:val="00F56CB9"/>
    <w:rsid w:val="00F615EA"/>
    <w:rsid w:val="00F619E8"/>
    <w:rsid w:val="00F61EA2"/>
    <w:rsid w:val="00F6427D"/>
    <w:rsid w:val="00F657C2"/>
    <w:rsid w:val="00F661D4"/>
    <w:rsid w:val="00F6662C"/>
    <w:rsid w:val="00F66D41"/>
    <w:rsid w:val="00F70054"/>
    <w:rsid w:val="00F7058E"/>
    <w:rsid w:val="00F70B8D"/>
    <w:rsid w:val="00F718E2"/>
    <w:rsid w:val="00F71E76"/>
    <w:rsid w:val="00F73522"/>
    <w:rsid w:val="00F75430"/>
    <w:rsid w:val="00F76019"/>
    <w:rsid w:val="00F76697"/>
    <w:rsid w:val="00F80A36"/>
    <w:rsid w:val="00F8132D"/>
    <w:rsid w:val="00F82238"/>
    <w:rsid w:val="00F83A88"/>
    <w:rsid w:val="00F84D85"/>
    <w:rsid w:val="00F85071"/>
    <w:rsid w:val="00F8556A"/>
    <w:rsid w:val="00F87A91"/>
    <w:rsid w:val="00F950AF"/>
    <w:rsid w:val="00F96536"/>
    <w:rsid w:val="00F97154"/>
    <w:rsid w:val="00F97165"/>
    <w:rsid w:val="00F97A39"/>
    <w:rsid w:val="00F97FFC"/>
    <w:rsid w:val="00FA0B12"/>
    <w:rsid w:val="00FA3A89"/>
    <w:rsid w:val="00FA3FC0"/>
    <w:rsid w:val="00FA5A90"/>
    <w:rsid w:val="00FB048B"/>
    <w:rsid w:val="00FB1C23"/>
    <w:rsid w:val="00FB1F59"/>
    <w:rsid w:val="00FB24E3"/>
    <w:rsid w:val="00FB2ABA"/>
    <w:rsid w:val="00FB39EE"/>
    <w:rsid w:val="00FB5D6A"/>
    <w:rsid w:val="00FC234C"/>
    <w:rsid w:val="00FC2499"/>
    <w:rsid w:val="00FC3624"/>
    <w:rsid w:val="00FC3628"/>
    <w:rsid w:val="00FC40ED"/>
    <w:rsid w:val="00FC467D"/>
    <w:rsid w:val="00FC4D31"/>
    <w:rsid w:val="00FC4D9B"/>
    <w:rsid w:val="00FD11B4"/>
    <w:rsid w:val="00FD1FA5"/>
    <w:rsid w:val="00FD2A0C"/>
    <w:rsid w:val="00FD33D8"/>
    <w:rsid w:val="00FD4262"/>
    <w:rsid w:val="00FD4E4F"/>
    <w:rsid w:val="00FD55CD"/>
    <w:rsid w:val="00FD5B3C"/>
    <w:rsid w:val="00FE1C02"/>
    <w:rsid w:val="00FE311B"/>
    <w:rsid w:val="00FE3C87"/>
    <w:rsid w:val="00FE4F6D"/>
    <w:rsid w:val="00FF0CB3"/>
    <w:rsid w:val="00FF1160"/>
    <w:rsid w:val="00FF219C"/>
    <w:rsid w:val="00FF2DDF"/>
    <w:rsid w:val="00FF3F1B"/>
    <w:rsid w:val="00FF4965"/>
    <w:rsid w:val="00FF5EDD"/>
    <w:rsid w:val="00FF67C9"/>
    <w:rsid w:val="00FF6825"/>
    <w:rsid w:val="00FF6988"/>
    <w:rsid w:val="00FF7654"/>
    <w:rsid w:val="01366C40"/>
    <w:rsid w:val="02AC9CA5"/>
    <w:rsid w:val="10676434"/>
    <w:rsid w:val="10D284B0"/>
    <w:rsid w:val="1A10F2A7"/>
    <w:rsid w:val="1B565F6C"/>
    <w:rsid w:val="20CE78DE"/>
    <w:rsid w:val="2A6F0D50"/>
    <w:rsid w:val="378938FB"/>
    <w:rsid w:val="399775D4"/>
    <w:rsid w:val="3B33C552"/>
    <w:rsid w:val="465697F7"/>
    <w:rsid w:val="46866F43"/>
    <w:rsid w:val="46BF6752"/>
    <w:rsid w:val="49F21886"/>
    <w:rsid w:val="4B34FD4B"/>
    <w:rsid w:val="4DED3CA4"/>
    <w:rsid w:val="5A3B2E1F"/>
    <w:rsid w:val="6038AE03"/>
    <w:rsid w:val="618E6AEC"/>
    <w:rsid w:val="63D4725B"/>
    <w:rsid w:val="64C561CF"/>
    <w:rsid w:val="6B2EAFB9"/>
    <w:rsid w:val="70C75203"/>
    <w:rsid w:val="752D72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B6B071"/>
  <w15:chartTrackingRefBased/>
  <w15:docId w15:val="{9DFF4828-D86D-4F36-A5A3-B4986B26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558A"/>
    <w:pPr>
      <w:tabs>
        <w:tab w:val="center" w:pos="4320"/>
        <w:tab w:val="right" w:pos="8640"/>
      </w:tabs>
    </w:pPr>
  </w:style>
  <w:style w:type="paragraph" w:customStyle="1" w:styleId="Level1">
    <w:name w:val="Level 1"/>
    <w:basedOn w:val="Normal"/>
    <w:uiPriority w:val="99"/>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link w:val="FootnoteTextChar"/>
    <w:uiPriority w:val="99"/>
    <w:pPr>
      <w:widowControl w:val="0"/>
      <w:ind w:firstLine="720"/>
    </w:pPr>
  </w:style>
  <w:style w:type="character" w:styleId="FootnoteReference">
    <w:name w:val="footnote reference"/>
    <w:uiPriority w:val="99"/>
    <w:rPr>
      <w:b/>
      <w:vertAlign w:val="superscript"/>
    </w:rPr>
  </w:style>
  <w:style w:type="character" w:styleId="PageNumber">
    <w:name w:val="page number"/>
    <w:basedOn w:val="DefaultParagraphFont"/>
    <w:rsid w:val="0085558A"/>
  </w:style>
  <w:style w:type="paragraph" w:styleId="BodyTextIndent2">
    <w:name w:val="Body Text Indent 2"/>
    <w:basedOn w:val="Normal"/>
    <w:link w:val="BodyTextIndent2Char"/>
    <w:uiPriority w:val="99"/>
    <w:rsid w:val="00974463"/>
    <w:pPr>
      <w:widowControl w:val="0"/>
      <w:autoSpaceDE w:val="0"/>
      <w:autoSpaceDN w:val="0"/>
      <w:spacing w:after="120" w:line="480" w:lineRule="auto"/>
      <w:ind w:left="360"/>
    </w:pPr>
    <w:rPr>
      <w:sz w:val="20"/>
    </w:rPr>
  </w:style>
  <w:style w:type="character" w:customStyle="1" w:styleId="BodyTextIndent2Char">
    <w:name w:val="Body Text Indent 2 Char"/>
    <w:basedOn w:val="DefaultParagraphFont"/>
    <w:link w:val="BodyTextIndent2"/>
    <w:uiPriority w:val="99"/>
    <w:rsid w:val="00974463"/>
  </w:style>
  <w:style w:type="character" w:styleId="Emphasis">
    <w:name w:val="Emphasis"/>
    <w:qFormat/>
    <w:rsid w:val="00FB048B"/>
    <w:rPr>
      <w:rFonts w:cs="Times New Roman"/>
      <w:i/>
      <w:iCs/>
    </w:rPr>
  </w:style>
  <w:style w:type="paragraph" w:styleId="NormalWeb">
    <w:name w:val="Normal (Web)"/>
    <w:basedOn w:val="Normal"/>
    <w:uiPriority w:val="99"/>
    <w:unhideWhenUsed/>
    <w:rsid w:val="00732FFD"/>
    <w:pPr>
      <w:spacing w:before="100" w:beforeAutospacing="1" w:after="100" w:afterAutospacing="1"/>
    </w:pPr>
    <w:rPr>
      <w:szCs w:val="24"/>
    </w:rPr>
  </w:style>
  <w:style w:type="character" w:styleId="Hyperlink">
    <w:name w:val="Hyperlink"/>
    <w:uiPriority w:val="99"/>
    <w:rsid w:val="00773837"/>
    <w:rPr>
      <w:rFonts w:cs="Times New Roman"/>
      <w:color w:val="0000FF"/>
      <w:u w:val="single"/>
    </w:rPr>
  </w:style>
  <w:style w:type="paragraph" w:styleId="BodyText2">
    <w:name w:val="Body Text 2"/>
    <w:basedOn w:val="Normal"/>
    <w:link w:val="BodyText2Char"/>
    <w:uiPriority w:val="99"/>
    <w:rsid w:val="00731742"/>
    <w:pPr>
      <w:widowControl w:val="0"/>
      <w:autoSpaceDE w:val="0"/>
      <w:autoSpaceDN w:val="0"/>
      <w:adjustRightInd w:val="0"/>
      <w:spacing w:after="120" w:line="480" w:lineRule="auto"/>
    </w:pPr>
    <w:rPr>
      <w:szCs w:val="24"/>
    </w:rPr>
  </w:style>
  <w:style w:type="character" w:customStyle="1" w:styleId="BodyText2Char">
    <w:name w:val="Body Text 2 Char"/>
    <w:link w:val="BodyText2"/>
    <w:uiPriority w:val="99"/>
    <w:rsid w:val="00731742"/>
    <w:rPr>
      <w:sz w:val="24"/>
      <w:szCs w:val="24"/>
    </w:rPr>
  </w:style>
  <w:style w:type="paragraph" w:styleId="ListParagraph">
    <w:name w:val="List Paragraph"/>
    <w:basedOn w:val="Normal"/>
    <w:uiPriority w:val="34"/>
    <w:qFormat/>
    <w:rsid w:val="00351CE2"/>
    <w:pPr>
      <w:ind w:left="720"/>
    </w:pPr>
  </w:style>
  <w:style w:type="paragraph" w:styleId="Header">
    <w:name w:val="header"/>
    <w:basedOn w:val="Normal"/>
    <w:link w:val="HeaderChar"/>
    <w:uiPriority w:val="99"/>
    <w:rsid w:val="00EE611C"/>
    <w:pPr>
      <w:tabs>
        <w:tab w:val="center" w:pos="4680"/>
        <w:tab w:val="right" w:pos="9360"/>
      </w:tabs>
    </w:pPr>
  </w:style>
  <w:style w:type="character" w:customStyle="1" w:styleId="HeaderChar">
    <w:name w:val="Header Char"/>
    <w:link w:val="Header"/>
    <w:uiPriority w:val="99"/>
    <w:rsid w:val="00EE611C"/>
    <w:rPr>
      <w:sz w:val="24"/>
    </w:rPr>
  </w:style>
  <w:style w:type="character" w:customStyle="1" w:styleId="FooterChar">
    <w:name w:val="Footer Char"/>
    <w:link w:val="Footer"/>
    <w:uiPriority w:val="99"/>
    <w:rsid w:val="00EE611C"/>
    <w:rPr>
      <w:sz w:val="24"/>
    </w:rPr>
  </w:style>
  <w:style w:type="character" w:styleId="CommentReference">
    <w:name w:val="annotation reference"/>
    <w:unhideWhenUsed/>
    <w:rsid w:val="00D8060F"/>
    <w:rPr>
      <w:sz w:val="16"/>
      <w:szCs w:val="16"/>
    </w:rPr>
  </w:style>
  <w:style w:type="paragraph" w:styleId="CommentText">
    <w:name w:val="annotation text"/>
    <w:basedOn w:val="Normal"/>
    <w:link w:val="CommentTextChar"/>
    <w:unhideWhenUsed/>
    <w:rsid w:val="00D8060F"/>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D8060F"/>
  </w:style>
  <w:style w:type="paragraph" w:styleId="BalloonText">
    <w:name w:val="Balloon Text"/>
    <w:basedOn w:val="Normal"/>
    <w:link w:val="BalloonTextChar"/>
    <w:rsid w:val="00D8060F"/>
    <w:rPr>
      <w:rFonts w:ascii="Tahoma" w:hAnsi="Tahoma" w:cs="Tahoma"/>
      <w:sz w:val="16"/>
      <w:szCs w:val="16"/>
    </w:rPr>
  </w:style>
  <w:style w:type="character" w:customStyle="1" w:styleId="BalloonTextChar">
    <w:name w:val="Balloon Text Char"/>
    <w:link w:val="BalloonText"/>
    <w:rsid w:val="00D8060F"/>
    <w:rPr>
      <w:rFonts w:ascii="Tahoma" w:hAnsi="Tahoma" w:cs="Tahoma"/>
      <w:sz w:val="16"/>
      <w:szCs w:val="16"/>
    </w:rPr>
  </w:style>
  <w:style w:type="paragraph" w:styleId="BodyText">
    <w:name w:val="Body Text"/>
    <w:basedOn w:val="Normal"/>
    <w:link w:val="BodyTextChar"/>
    <w:uiPriority w:val="99"/>
    <w:unhideWhenUsed/>
    <w:rsid w:val="00844C79"/>
    <w:pPr>
      <w:widowControl w:val="0"/>
      <w:autoSpaceDE w:val="0"/>
      <w:autoSpaceDN w:val="0"/>
      <w:adjustRightInd w:val="0"/>
      <w:spacing w:after="120"/>
    </w:pPr>
    <w:rPr>
      <w:szCs w:val="24"/>
    </w:rPr>
  </w:style>
  <w:style w:type="character" w:customStyle="1" w:styleId="BodyTextChar">
    <w:name w:val="Body Text Char"/>
    <w:link w:val="BodyText"/>
    <w:uiPriority w:val="99"/>
    <w:rsid w:val="00844C79"/>
    <w:rPr>
      <w:sz w:val="24"/>
      <w:szCs w:val="24"/>
    </w:rPr>
  </w:style>
  <w:style w:type="character" w:customStyle="1" w:styleId="FootnoteTextChar">
    <w:name w:val="Footnote Text Char"/>
    <w:link w:val="FootnoteText"/>
    <w:uiPriority w:val="99"/>
    <w:rsid w:val="00F338F9"/>
    <w:rPr>
      <w:sz w:val="24"/>
    </w:rPr>
  </w:style>
  <w:style w:type="character" w:customStyle="1" w:styleId="CommentTextChar1">
    <w:name w:val="Comment Text Char1"/>
    <w:locked/>
    <w:rsid w:val="000B736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5150E"/>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75150E"/>
    <w:rPr>
      <w:b/>
      <w:bCs/>
    </w:rPr>
  </w:style>
  <w:style w:type="paragraph" w:styleId="Revision">
    <w:name w:val="Revision"/>
    <w:hidden/>
    <w:uiPriority w:val="99"/>
    <w:semiHidden/>
    <w:rsid w:val="00E42704"/>
    <w:rPr>
      <w:sz w:val="24"/>
    </w:rPr>
  </w:style>
  <w:style w:type="paragraph" w:styleId="NoSpacing">
    <w:name w:val="No Spacing"/>
    <w:uiPriority w:val="1"/>
    <w:qFormat/>
    <w:rsid w:val="00D811D4"/>
    <w:rPr>
      <w:sz w:val="24"/>
    </w:rPr>
  </w:style>
  <w:style w:type="character" w:styleId="UnresolvedMention">
    <w:name w:val="Unresolved Mention"/>
    <w:basedOn w:val="DefaultParagraphFont"/>
    <w:uiPriority w:val="99"/>
    <w:unhideWhenUsed/>
    <w:rsid w:val="00A420DC"/>
    <w:rPr>
      <w:color w:val="605E5C"/>
      <w:shd w:val="clear" w:color="auto" w:fill="E1DFDD"/>
    </w:rPr>
  </w:style>
  <w:style w:type="character" w:styleId="Mention">
    <w:name w:val="Mention"/>
    <w:basedOn w:val="DefaultParagraphFont"/>
    <w:uiPriority w:val="99"/>
    <w:unhideWhenUsed/>
    <w:rsid w:val="00A420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B98D6-A09E-45F9-927B-3DC6F66CCD45}">
  <ds:schemaRefs>
    <ds:schemaRef ds:uri="http://schemas.openxmlformats.org/officeDocument/2006/bibliography"/>
  </ds:schemaRefs>
</ds:datastoreItem>
</file>

<file path=customXml/itemProps2.xml><?xml version="1.0" encoding="utf-8"?>
<ds:datastoreItem xmlns:ds="http://schemas.openxmlformats.org/officeDocument/2006/customXml" ds:itemID="{C0612395-47F4-4D98-90BE-EF3AE598F6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55c7d747-dc5b-4f68-ad38-82fb59419ad8"/>
    <ds:schemaRef ds:uri="http://www.w3.org/XML/1998/namespace"/>
    <ds:schemaRef ds:uri="http://purl.org/dc/dcmitype/"/>
  </ds:schemaRefs>
</ds:datastoreItem>
</file>

<file path=customXml/itemProps3.xml><?xml version="1.0" encoding="utf-8"?>
<ds:datastoreItem xmlns:ds="http://schemas.openxmlformats.org/officeDocument/2006/customXml" ds:itemID="{F31C4F68-4A15-4D5B-84A4-47DB3B4CE61C}">
  <ds:schemaRefs>
    <ds:schemaRef ds:uri="http://schemas.microsoft.com/sharepoint/v3/contenttype/forms"/>
  </ds:schemaRefs>
</ds:datastoreItem>
</file>

<file path=customXml/itemProps4.xml><?xml version="1.0" encoding="utf-8"?>
<ds:datastoreItem xmlns:ds="http://schemas.openxmlformats.org/officeDocument/2006/customXml" ds:itemID="{5DDC50D7-4B0D-4FD3-82A2-8602B5F7F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3439</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Swafford, Joanne (FRA)</cp:lastModifiedBy>
  <cp:revision>3</cp:revision>
  <cp:lastPrinted>2017-02-23T00:34:00Z</cp:lastPrinted>
  <dcterms:created xsi:type="dcterms:W3CDTF">2023-10-19T15:49:00Z</dcterms:created>
  <dcterms:modified xsi:type="dcterms:W3CDTF">2023-10-19T15:52:00Z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