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0047" w14:paraId="326CC622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11F9C5AB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4627E639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3620F741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29BA530E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6C10FCC7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62BE3D13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6406CF" w14:paraId="3739F990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503-0033"/>
                  </w:textInput>
                </w:ffData>
              </w:fldChar>
            </w:r>
            <w:bookmarkStart w:id="0" w:name="Text1"/>
            <w:r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>
              <w:rPr>
                <w:rFonts w:ascii="Helvetica" w:hAnsi="Helvetica"/>
                <w:b/>
                <w:color w:val="000000"/>
              </w:rPr>
              <w:fldChar w:fldCharType="separate"/>
            </w:r>
            <w:r>
              <w:rPr>
                <w:rFonts w:ascii="Helvetica" w:hAnsi="Helvetica"/>
                <w:b/>
                <w:noProof/>
                <w:color w:val="000000"/>
              </w:rPr>
              <w:t>2503-0033</w:t>
            </w:r>
            <w:r>
              <w:rPr>
                <w:rFonts w:ascii="Helvetica" w:hAnsi="Helvetica"/>
                <w:b/>
                <w:color w:val="000000"/>
              </w:rPr>
              <w:fldChar w:fldCharType="end"/>
            </w:r>
            <w:bookmarkEnd w:id="0"/>
          </w:p>
        </w:tc>
      </w:tr>
      <w:tr w14:paraId="236BF0A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03B7FB8B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4439A703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72C8FBAC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0824F9F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7EFC9B45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3BDDAD63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Appendix VI-20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42518A9A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4D3F156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9E8C81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0D975C7E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2C411BD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36E92979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29477B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6250457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C85A16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D8E991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423</w:t>
            </w:r>
          </w:p>
        </w:tc>
      </w:tr>
      <w:tr w14:paraId="3E246AE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64C1E90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E15457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111718F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</w:t>
            </w:r>
          </w:p>
        </w:tc>
      </w:tr>
      <w:tr w14:paraId="7317CC1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16261735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4E55065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EE06F3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100%</w:t>
            </w:r>
          </w:p>
        </w:tc>
      </w:tr>
      <w:tr w14:paraId="1133DF0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2FCE41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6AC75BD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D1B08F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423</w:t>
            </w:r>
          </w:p>
        </w:tc>
      </w:tr>
      <w:tr w14:paraId="7C40B28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C5BAE" w:rsidP="008C5BAE" w14:paraId="0E0097D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C5BAE" w:rsidP="008C5BAE" w14:paraId="47CCF93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C5BAE" w:rsidP="008C5BAE" w14:paraId="1D811649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14:paraId="76C7C3A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8C5BAE" w:rsidP="008C5BAE" w14:paraId="590EC8B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8C5BAE" w:rsidP="008C5BAE" w14:paraId="27376B01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8C5BAE" w:rsidP="008C5BAE" w14:paraId="1410BA44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C5BAE" w:rsidP="008C5BAE" w14:paraId="60C67F5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8C5BAE" w:rsidP="008C5BAE" w14:paraId="3A0F449B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Centralized  process</w:t>
            </w:r>
            <w:r>
              <w:rPr>
                <w:rFonts w:ascii="Helvetica" w:hAnsi="Helvetica"/>
                <w:color w:val="000000"/>
                <w:sz w:val="22"/>
              </w:rPr>
              <w:t xml:space="preserve"> for uploading documentation</w:t>
            </w:r>
          </w:p>
        </w:tc>
      </w:tr>
      <w:tr w14:paraId="7190595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8C5BAE" w:rsidP="008C5BAE" w14:paraId="68A9B33C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8C5BAE" w:rsidP="008C5BAE" w14:paraId="514DEF6B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8C5BAE" w:rsidP="008C5BAE" w14:paraId="35E6C7EB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22958C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C5BAE" w:rsidP="008C5BAE" w14:paraId="49C11A3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5BAE" w:rsidP="008C5BAE" w14:paraId="1017196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8C5BAE" w:rsidP="008C5BAE" w14:paraId="613750F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29E361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8C5BAE" w:rsidP="008C5BAE" w14:paraId="273F0C8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BAE" w:rsidP="008C5BAE" w14:paraId="38D163A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C5BAE" w:rsidP="008C5BAE" w14:paraId="53E8BCC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FEFA2C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C5BAE" w:rsidP="008C5BAE" w14:paraId="2A8D10F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5BAE" w:rsidP="008C5BAE" w14:paraId="00D128C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8C5BAE" w:rsidP="008C5BAE" w14:paraId="7315371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A90E8A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8C5BAE" w:rsidP="008C5BAE" w14:paraId="7743C86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8C5BAE" w:rsidP="008C5BAE" w14:paraId="7E6C5F7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C5BAE" w:rsidP="008C5BAE" w14:paraId="1E97A49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7777038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C5BAE" w:rsidP="008C5BAE" w14:paraId="643B0FC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8C5BAE" w:rsidP="008C5BAE" w14:paraId="48DA65AB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8C5BAE" w:rsidP="008C5BAE" w14:paraId="7D7B396B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C5BAE" w:rsidP="008C5BAE" w14:paraId="7B56B81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8C5BAE" w:rsidP="008C5BAE" w14:paraId="48E0BAFF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8C5BAE" w:rsidP="008C5BAE" w14:paraId="7072997B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2BCE8DEF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740047" w:rsidRPr="00D86EAA" w14:paraId="2E27DF78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D86EAA">
        <w:rPr>
          <w:rFonts w:ascii="Helvetica" w:hAnsi="Helvetica" w:cs="Helvetica"/>
          <w:b/>
          <w:bCs/>
          <w:color w:val="000000"/>
          <w:sz w:val="22"/>
          <w:szCs w:val="22"/>
        </w:rPr>
        <w:t>Appendix VI-20</w:t>
      </w:r>
    </w:p>
    <w:p w:rsidR="00121DAD" w:rsidRPr="00D86EAA" w:rsidP="00121DAD" w14:paraId="4AB4C9AC" w14:textId="77777777">
      <w:pPr>
        <w:pStyle w:val="ListParagraph"/>
        <w:numPr>
          <w:ilvl w:val="0"/>
          <w:numId w:val="1"/>
        </w:numPr>
        <w:tabs>
          <w:tab w:val="num" w:pos="680"/>
        </w:tabs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Issuers will use the Ginnie Mae Central (GMC) System within </w:t>
      </w:r>
      <w:r w:rsidRPr="00D86EAA">
        <w:rPr>
          <w:rFonts w:ascii="Helvetica" w:hAnsi="Helvetica" w:cs="Helvetica"/>
        </w:rPr>
        <w:t>MyGinnieMae</w:t>
      </w:r>
      <w:r w:rsidRPr="00D86EAA">
        <w:rPr>
          <w:rFonts w:ascii="Helvetica" w:hAnsi="Helvetica" w:cs="Helvetica"/>
        </w:rPr>
        <w:t xml:space="preserve"> instead of submitting to the Independent Public Accounting (IPA) in Ginnie Mae Enterprise Portal (GMEP)</w:t>
      </w:r>
    </w:p>
    <w:p w:rsidR="00121DAD" w:rsidRPr="00D86EAA" w:rsidP="00121DAD" w14:paraId="14A9A57A" w14:textId="77777777">
      <w:pPr>
        <w:pStyle w:val="ListParagraph"/>
        <w:numPr>
          <w:ilvl w:val="0"/>
          <w:numId w:val="1"/>
        </w:numPr>
        <w:tabs>
          <w:tab w:val="num" w:pos="680"/>
        </w:tabs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>Issuers will submit Annual Fidelity Bond Insurance renewal and Annual Errors and Omissions Insurance via GMC portal instead of sending them to Ginnie Mae’s Financial Reports Review Agent</w:t>
      </w:r>
    </w:p>
    <w:p w:rsidR="00121DAD" w:rsidRPr="00D86EAA" w:rsidP="00121DAD" w14:paraId="4B3DF291" w14:textId="77777777">
      <w:pPr>
        <w:pStyle w:val="ListParagraph"/>
        <w:numPr>
          <w:ilvl w:val="0"/>
          <w:numId w:val="1"/>
        </w:numPr>
        <w:tabs>
          <w:tab w:val="num" w:pos="680"/>
        </w:tabs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The </w:t>
      </w:r>
      <w:r w:rsidRPr="00D86EAA" w:rsidR="00B427D7">
        <w:rPr>
          <w:rFonts w:ascii="Helvetica" w:hAnsi="Helvetica" w:cs="Helvetica"/>
        </w:rPr>
        <w:t>i</w:t>
      </w:r>
      <w:r w:rsidRPr="00D86EAA">
        <w:rPr>
          <w:rFonts w:ascii="Helvetica" w:hAnsi="Helvetica" w:cs="Helvetica"/>
        </w:rPr>
        <w:t xml:space="preserve">nstructions for submitting the documentation </w:t>
      </w:r>
      <w:r w:rsidRPr="00D86EAA" w:rsidR="00B427D7">
        <w:rPr>
          <w:rFonts w:ascii="Helvetica" w:hAnsi="Helvetica" w:cs="Helvetica"/>
        </w:rPr>
        <w:t xml:space="preserve">have </w:t>
      </w:r>
      <w:r w:rsidRPr="00D86EAA">
        <w:rPr>
          <w:rFonts w:ascii="Helvetica" w:hAnsi="Helvetica" w:cs="Helvetica"/>
        </w:rPr>
        <w:t xml:space="preserve">been changed to represent the new process in GMC, including having an authorized signatory attest to </w:t>
      </w:r>
      <w:r w:rsidRPr="00D86EAA" w:rsidR="00B427D7">
        <w:rPr>
          <w:rFonts w:ascii="Helvetica" w:hAnsi="Helvetica" w:cs="Helvetica"/>
        </w:rPr>
        <w:t xml:space="preserve">the </w:t>
      </w:r>
      <w:r w:rsidRPr="00D86EAA">
        <w:rPr>
          <w:rFonts w:ascii="Helvetica" w:hAnsi="Helvetica" w:cs="Helvetica"/>
        </w:rPr>
        <w:t>validity of the submission before it is submitted to Ginnie Mae</w:t>
      </w:r>
    </w:p>
    <w:p w:rsidR="00FB2BA8" w14:paraId="228F75D3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FB2BA8" w14:paraId="74A7EEA0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2400"/>
        <w:gridCol w:w="2160"/>
      </w:tblGrid>
      <w:tr w14:paraId="5EC51DF3" w14:textId="77777777" w:rsidTr="00374757">
        <w:tblPrEx>
          <w:tblW w:w="0" w:type="auto"/>
          <w:tblBorders>
            <w:top w:val="single" w:sz="6" w:space="0" w:color="auto"/>
            <w:bottom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FB2BA8" w:rsidP="00374757" w14:paraId="697A5B32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tcBorders>
              <w:bottom w:val="nil"/>
            </w:tcBorders>
          </w:tcPr>
          <w:p w:rsidR="00FB2BA8" w:rsidP="00374757" w14:paraId="16097CBC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FB2BA8" w:rsidP="00374757" w14:paraId="0502FD89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40C0D343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FB2BA8" w:rsidP="00374757" w14:paraId="4B1AE16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FB2BA8" w:rsidP="00374757" w14:paraId="6146C685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Appendix VI-22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2BA8" w:rsidP="00374757" w14:paraId="733AD7CC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2BA8" w:rsidP="00374757" w14:paraId="3375942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95D2EE0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FB2BA8" w:rsidP="00374757" w14:paraId="4075954B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A8" w:rsidP="00374757" w14:paraId="79ED43EC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FB2BA8" w:rsidP="00374757" w14:paraId="1E53A13C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3CBFACC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FB2BA8" w:rsidP="00374757" w14:paraId="56DC041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BA8" w:rsidP="00374757" w14:paraId="5194DEF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FB2BA8" w:rsidP="00374757" w14:paraId="573A549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306</w:t>
            </w:r>
          </w:p>
        </w:tc>
      </w:tr>
      <w:tr w14:paraId="207CD08F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FB2BA8" w:rsidP="00374757" w14:paraId="73614B0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A8" w:rsidP="00374757" w14:paraId="76896E7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FB2BA8" w:rsidP="00374757" w14:paraId="115FBA5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12</w:t>
            </w:r>
          </w:p>
        </w:tc>
      </w:tr>
      <w:tr w14:paraId="4C72EF56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FB2BA8" w:rsidP="00374757" w14:paraId="6F59CAD3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BA8" w:rsidP="00374757" w14:paraId="62C6E86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2BA8" w:rsidP="00374757" w14:paraId="03CF8D7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03BA5E02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FB2BA8" w:rsidP="00374757" w14:paraId="70549FA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BA8" w:rsidP="00374757" w14:paraId="797E2C6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734.4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FB2BA8" w:rsidP="00374757" w14:paraId="787A37C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734.4</w:t>
            </w:r>
          </w:p>
        </w:tc>
      </w:tr>
      <w:tr w14:paraId="284CA786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2BA8" w:rsidP="00374757" w14:paraId="1FB5135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FB2BA8" w:rsidP="00374757" w14:paraId="00B30B2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2BA8" w:rsidP="00374757" w14:paraId="6FBFB34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14:paraId="20034C68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FB2BA8" w:rsidP="00374757" w14:paraId="1FC375B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FB2BA8" w:rsidP="00374757" w14:paraId="288752CF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FB2BA8" w:rsidP="00374757" w14:paraId="6A808F8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FB2BA8" w:rsidP="00374757" w14:paraId="6110624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Provided additional instructions for clarity, adjusted field lengths, removed one field, simplified one field.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FB2BA8" w:rsidP="00374757" w14:paraId="4C9704E6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FB2BA8" w:rsidP="00374757" w14:paraId="58A3D3DB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6AE5074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FB2BA8" w:rsidP="00374757" w14:paraId="3996EF1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FB2BA8" w:rsidP="00374757" w14:paraId="6E5E75B4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FB2BA8" w:rsidP="00374757" w14:paraId="38D6775F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015D6BF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2BA8" w:rsidP="00374757" w14:paraId="38513CE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BA8" w:rsidP="00374757" w14:paraId="1F9AE7D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FB2BA8" w:rsidP="00374757" w14:paraId="14BD5FE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03F1874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FB2BA8" w:rsidP="00374757" w14:paraId="20DC3A7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A8" w:rsidP="00374757" w14:paraId="3BBB182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2BA8" w:rsidP="00374757" w14:paraId="139B84B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3ADA6DC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2BA8" w:rsidP="00374757" w14:paraId="1F99E7E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BA8" w:rsidP="00374757" w14:paraId="6E62EAA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FB2BA8" w:rsidP="00374757" w14:paraId="63D1D38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F7FE560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FB2BA8" w:rsidP="00374757" w14:paraId="37E7093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FB2BA8" w:rsidP="00374757" w14:paraId="355914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2BA8" w:rsidP="00374757" w14:paraId="3571F2E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7CA49C7" w14:textId="77777777" w:rsidTr="00374757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2BA8" w:rsidP="00374757" w14:paraId="188F77D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FB2BA8" w:rsidP="00374757" w14:paraId="52F4E5D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FB2BA8" w:rsidP="00374757" w14:paraId="1822638B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FB2BA8" w:rsidP="00374757" w14:paraId="7A51775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FB2BA8" w:rsidP="00374757" w14:paraId="225BB55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FB2BA8" w:rsidP="00374757" w14:paraId="3347E288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FB2BA8" w14:paraId="567D5758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FB2BA8" w14:paraId="218CB512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FB2BA8" w14:paraId="2E0B2ECF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FB2BA8" w14:paraId="7E0F88AC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FB2BA8" w14:paraId="34FB27A5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6E7851" w:rsidRPr="00D86EAA" w14:paraId="222CB3D8" w14:textId="77777777">
      <w:pPr>
        <w:spacing w:before="40" w:line="260" w:lineRule="exact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D86EAA">
        <w:rPr>
          <w:rFonts w:ascii="Helvetica" w:hAnsi="Helvetica" w:cs="Helvetica"/>
          <w:b/>
          <w:bCs/>
          <w:color w:val="000000"/>
          <w:sz w:val="22"/>
          <w:szCs w:val="22"/>
        </w:rPr>
        <w:t>Appendix VI-22</w:t>
      </w:r>
    </w:p>
    <w:p w:rsidR="00C313F8" w:rsidRPr="00D86EAA" w:rsidP="00121DAD" w14:paraId="27FC2336" w14:textId="77777777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bookmarkStart w:id="3" w:name="_Hlk142291716"/>
      <w:r w:rsidRPr="00D86EAA">
        <w:rPr>
          <w:rFonts w:ascii="Helvetica" w:hAnsi="Helvetica" w:cs="Helvetica"/>
        </w:rPr>
        <w:t>Due Date</w:t>
      </w:r>
    </w:p>
    <w:p w:rsidR="00C313F8" w:rsidRPr="00D86EAA" w:rsidP="00C313F8" w14:paraId="0EDF9BDF" w14:textId="77777777">
      <w:pPr>
        <w:pStyle w:val="ListParagraph"/>
        <w:numPr>
          <w:ilvl w:val="0"/>
          <w:numId w:val="2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Updated to specify when E, C, and H level exceptions need to be </w:t>
      </w:r>
      <w:r w:rsidRPr="00D86EAA">
        <w:rPr>
          <w:rFonts w:ascii="Helvetica" w:hAnsi="Helvetica" w:cs="Helvetica"/>
        </w:rPr>
        <w:t>cleared</w:t>
      </w:r>
    </w:p>
    <w:p w:rsidR="00121DAD" w:rsidRPr="00D86EAA" w:rsidP="00121DAD" w14:paraId="336B77E7" w14:textId="77777777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>Record Layout for Delinquency Record</w:t>
      </w:r>
    </w:p>
    <w:p w:rsidR="00121DAD" w:rsidRPr="00D86EAA" w:rsidP="00121DAD" w14:paraId="3CE3B41B" w14:textId="77777777">
      <w:pPr>
        <w:pStyle w:val="ListParagraph"/>
        <w:numPr>
          <w:ilvl w:val="0"/>
          <w:numId w:val="2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Max Record length reduced from 277 to </w:t>
      </w:r>
      <w:r w:rsidRPr="00D86EAA">
        <w:rPr>
          <w:rFonts w:ascii="Helvetica" w:hAnsi="Helvetica" w:cs="Helvetica"/>
        </w:rPr>
        <w:t>261</w:t>
      </w:r>
    </w:p>
    <w:p w:rsidR="00121DAD" w:rsidRPr="00D86EAA" w:rsidP="00121DAD" w14:paraId="06814BD3" w14:textId="77777777">
      <w:pPr>
        <w:pStyle w:val="ListParagraph"/>
        <w:numPr>
          <w:ilvl w:val="0"/>
          <w:numId w:val="2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Min Record length reduced from 79 to </w:t>
      </w:r>
      <w:r w:rsidRPr="00D86EAA">
        <w:rPr>
          <w:rFonts w:ascii="Helvetica" w:hAnsi="Helvetica" w:cs="Helvetica"/>
        </w:rPr>
        <w:t>52</w:t>
      </w:r>
    </w:p>
    <w:p w:rsidR="00121DAD" w:rsidRPr="00D86EAA" w:rsidP="00121DAD" w14:paraId="2946933A" w14:textId="77777777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Issuer PDS Reporting Data File Specifications </w:t>
      </w:r>
    </w:p>
    <w:p w:rsidR="00121DAD" w:rsidRPr="00D86EAA" w:rsidP="00121DAD" w14:paraId="138AED0B" w14:textId="77777777">
      <w:pPr>
        <w:pStyle w:val="ListParagraph"/>
        <w:numPr>
          <w:ilvl w:val="0"/>
          <w:numId w:val="2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A new section that describes the data file specifications for the delinquency record that need to be followed when submitting </w:t>
      </w:r>
      <w:r w:rsidRPr="00D86EAA">
        <w:rPr>
          <w:rFonts w:ascii="Helvetica" w:hAnsi="Helvetica" w:cs="Helvetica"/>
        </w:rPr>
        <w:t>files</w:t>
      </w:r>
    </w:p>
    <w:p w:rsidR="00121DAD" w:rsidRPr="00D86EAA" w:rsidP="00121DAD" w14:paraId="53B471B9" w14:textId="77777777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>PDS Record Layout Formats</w:t>
      </w:r>
    </w:p>
    <w:p w:rsidR="00121DAD" w:rsidRPr="00D86EAA" w:rsidP="00121DAD" w14:paraId="4C7B9EEC" w14:textId="77777777">
      <w:pPr>
        <w:pStyle w:val="ListParagraph"/>
        <w:numPr>
          <w:ilvl w:val="0"/>
          <w:numId w:val="2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>H-Header Issuer Record</w:t>
      </w:r>
    </w:p>
    <w:p w:rsidR="00121DAD" w:rsidRPr="00D86EAA" w:rsidP="00121DAD" w14:paraId="3D8C9FF9" w14:textId="77777777">
      <w:pPr>
        <w:pStyle w:val="ListParagraph"/>
        <w:numPr>
          <w:ilvl w:val="0"/>
          <w:numId w:val="2"/>
        </w:numPr>
        <w:tabs>
          <w:tab w:val="clear" w:pos="340"/>
          <w:tab w:val="num" w:pos="1020"/>
        </w:tabs>
        <w:ind w:left="102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Removed a field for “Record </w:t>
      </w:r>
      <w:r w:rsidRPr="00D86EAA">
        <w:rPr>
          <w:rFonts w:ascii="Helvetica" w:hAnsi="Helvetica" w:cs="Helvetica"/>
        </w:rPr>
        <w:t>Count</w:t>
      </w:r>
      <w:r w:rsidRPr="00D86EAA">
        <w:rPr>
          <w:rFonts w:ascii="Helvetica" w:hAnsi="Helvetica" w:cs="Helvetica"/>
        </w:rPr>
        <w:t>”</w:t>
      </w:r>
    </w:p>
    <w:p w:rsidR="00121DAD" w:rsidRPr="00D86EAA" w:rsidP="00121DAD" w14:paraId="56E1DDEF" w14:textId="77777777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>PDS Field Instructions</w:t>
      </w:r>
    </w:p>
    <w:p w:rsidR="00121DAD" w:rsidRPr="00D86EAA" w:rsidP="00121DAD" w14:paraId="320C08CB" w14:textId="77777777">
      <w:pPr>
        <w:pStyle w:val="ListParagraph"/>
        <w:numPr>
          <w:ilvl w:val="0"/>
          <w:numId w:val="2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3 of the ‘Exception Messages’ have been </w:t>
      </w:r>
      <w:r w:rsidRPr="00D86EAA">
        <w:rPr>
          <w:rFonts w:ascii="Helvetica" w:hAnsi="Helvetica" w:cs="Helvetica"/>
        </w:rPr>
        <w:t>removed</w:t>
      </w:r>
    </w:p>
    <w:p w:rsidR="00121DAD" w:rsidRPr="00D86EAA" w:rsidP="00121DAD" w14:paraId="12BA2DF6" w14:textId="77777777">
      <w:pPr>
        <w:pStyle w:val="ListParagraph"/>
        <w:numPr>
          <w:ilvl w:val="0"/>
          <w:numId w:val="3"/>
        </w:numPr>
        <w:tabs>
          <w:tab w:val="num" w:pos="680"/>
        </w:tabs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>Trailer Issuers Record</w:t>
      </w:r>
    </w:p>
    <w:p w:rsidR="00121DAD" w:rsidRPr="00D86EAA" w:rsidP="00121DAD" w14:paraId="0B820485" w14:textId="77777777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rPr>
          <w:rFonts w:ascii="Helvetica" w:hAnsi="Helvetica" w:cs="Helvetica"/>
        </w:rPr>
      </w:pPr>
      <w:r w:rsidRPr="00D86EAA">
        <w:rPr>
          <w:rFonts w:ascii="Helvetica" w:hAnsi="Helvetica" w:cs="Helvetica"/>
        </w:rPr>
        <w:t xml:space="preserve">Adjusted the </w:t>
      </w:r>
      <w:r w:rsidRPr="00D86EAA" w:rsidR="009F714F">
        <w:rPr>
          <w:rFonts w:ascii="Helvetica" w:hAnsi="Helvetica" w:cs="Helvetica"/>
        </w:rPr>
        <w:t>‘</w:t>
      </w:r>
      <w:r w:rsidRPr="00D86EAA">
        <w:rPr>
          <w:rFonts w:ascii="Helvetica" w:hAnsi="Helvetica" w:cs="Helvetica"/>
        </w:rPr>
        <w:t>Start</w:t>
      </w:r>
      <w:r w:rsidRPr="00D86EAA" w:rsidR="009F714F">
        <w:rPr>
          <w:rFonts w:ascii="Helvetica" w:hAnsi="Helvetica" w:cs="Helvetica"/>
        </w:rPr>
        <w:t>’</w:t>
      </w:r>
      <w:r w:rsidRPr="00D86EAA">
        <w:rPr>
          <w:rFonts w:ascii="Helvetica" w:hAnsi="Helvetica" w:cs="Helvetica"/>
        </w:rPr>
        <w:t xml:space="preserve"> and </w:t>
      </w:r>
      <w:r w:rsidRPr="00D86EAA" w:rsidR="009F714F">
        <w:rPr>
          <w:rFonts w:ascii="Helvetica" w:hAnsi="Helvetica" w:cs="Helvetica"/>
        </w:rPr>
        <w:t>‘</w:t>
      </w:r>
      <w:r w:rsidRPr="00D86EAA">
        <w:rPr>
          <w:rFonts w:ascii="Helvetica" w:hAnsi="Helvetica" w:cs="Helvetica"/>
        </w:rPr>
        <w:t>End</w:t>
      </w:r>
      <w:r w:rsidRPr="00D86EAA" w:rsidR="009F714F">
        <w:rPr>
          <w:rFonts w:ascii="Helvetica" w:hAnsi="Helvetica" w:cs="Helvetica"/>
        </w:rPr>
        <w:t>’</w:t>
      </w:r>
      <w:r w:rsidRPr="00D86EAA">
        <w:rPr>
          <w:rFonts w:ascii="Helvetica" w:hAnsi="Helvetica" w:cs="Helvetica"/>
        </w:rPr>
        <w:t xml:space="preserve"> for Field 4. Start was 18 and is now 12. End was 24 and is now </w:t>
      </w:r>
      <w:r w:rsidRPr="00D86EAA">
        <w:rPr>
          <w:rFonts w:ascii="Helvetica" w:hAnsi="Helvetica" w:cs="Helvetica"/>
        </w:rPr>
        <w:t>18</w:t>
      </w:r>
      <w:r w:rsidRPr="00D86EAA">
        <w:rPr>
          <w:rFonts w:ascii="Helvetica" w:hAnsi="Helvetica" w:cs="Helvetica"/>
        </w:rPr>
        <w:t xml:space="preserve"> </w:t>
      </w:r>
    </w:p>
    <w:p w:rsidR="00121DAD" w:rsidRPr="00D86EAA" w:rsidP="00E05A7A" w14:paraId="15F4271A" w14:textId="77777777">
      <w:pPr>
        <w:pStyle w:val="ListParagraph"/>
        <w:ind w:left="3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Slightly </w:t>
      </w:r>
      <w:r w:rsidR="00C41C18">
        <w:rPr>
          <w:rFonts w:ascii="Helvetica" w:hAnsi="Helvetica" w:cs="Helvetica"/>
        </w:rPr>
        <w:t xml:space="preserve">adjusted </w:t>
      </w:r>
      <w:r w:rsidRPr="00D86EAA" w:rsidR="00C41C18">
        <w:rPr>
          <w:rFonts w:ascii="Helvetica" w:hAnsi="Helvetica" w:cs="Helvetica"/>
        </w:rPr>
        <w:t>the</w:t>
      </w:r>
      <w:r w:rsidRPr="00D86EAA">
        <w:rPr>
          <w:rFonts w:ascii="Helvetica" w:hAnsi="Helvetica" w:cs="Helvetica"/>
        </w:rPr>
        <w:t xml:space="preserve"> ‘Considerations for Issuer PDS Reporting via Data Files’</w:t>
      </w:r>
      <w:bookmarkEnd w:id="3"/>
      <w:r>
        <w:rPr>
          <w:rFonts w:ascii="Helvetica" w:hAnsi="Helvetica" w:cs="Helvetica"/>
        </w:rPr>
        <w:t xml:space="preserve"> section title to </w:t>
      </w:r>
      <w:r w:rsidRPr="006406CF">
        <w:rPr>
          <w:rFonts w:ascii="Helvetica" w:hAnsi="Helvetica" w:cs="Helvetica"/>
        </w:rPr>
        <w:t>“Issuer PDS Reporting Data File Specifications”</w:t>
      </w:r>
      <w:r w:rsidR="009038C8">
        <w:rPr>
          <w:rFonts w:ascii="Helvetica" w:hAnsi="Helvetica" w:cs="Helvetica"/>
        </w:rPr>
        <w:t xml:space="preserve"> and moved its location in the </w:t>
      </w:r>
      <w:r w:rsidR="009038C8">
        <w:rPr>
          <w:rFonts w:ascii="Helvetica" w:hAnsi="Helvetica" w:cs="Helvetica"/>
        </w:rPr>
        <w:t>Appendix</w:t>
      </w:r>
    </w:p>
    <w:p w:rsidR="00633033" w:rsidRPr="00D86EAA" w:rsidP="00633033" w14:paraId="528CE08B" w14:textId="77777777">
      <w:pPr>
        <w:pStyle w:val="ListParagraph"/>
        <w:ind w:left="0"/>
        <w:rPr>
          <w:rFonts w:ascii="Helvetica" w:hAnsi="Helvetica" w:cs="Helvetica"/>
        </w:rPr>
      </w:pPr>
    </w:p>
    <w:p w:rsidR="00633033" w:rsidP="00633033" w14:paraId="018F1502" w14:textId="77777777">
      <w:pPr>
        <w:pStyle w:val="ListParagraph"/>
        <w:ind w:left="0"/>
      </w:pPr>
    </w:p>
    <w:p w:rsidR="00633033" w:rsidRPr="00652C54" w:rsidP="00633033" w14:paraId="69259F67" w14:textId="77777777">
      <w:pPr>
        <w:pStyle w:val="ListParagraph"/>
        <w:ind w:left="0"/>
      </w:pPr>
    </w:p>
    <w:tbl>
      <w:tblPr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5628"/>
        <w:gridCol w:w="2040"/>
        <w:gridCol w:w="3348"/>
      </w:tblGrid>
      <w:tr w14:paraId="1F0C4B5B" w14:textId="77777777">
        <w:tblPrEx>
          <w:tblW w:w="0" w:type="auto"/>
          <w:tblBorders>
            <w:top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5628" w:type="dxa"/>
            <w:tcBorders>
              <w:right w:val="nil"/>
            </w:tcBorders>
          </w:tcPr>
          <w:p w:rsidR="00121DAD" w14:paraId="63611CAA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Signature of Senior Official or Designee:</w:t>
            </w:r>
          </w:p>
          <w:p w:rsidR="00121DAD" w14:paraId="1F95A0CB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sz w:val="16"/>
              </w:rPr>
            </w:pPr>
          </w:p>
          <w:p w:rsidR="00121DAD" w14:paraId="4A4648F6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sz w:val="16"/>
              </w:rPr>
            </w:pPr>
          </w:p>
          <w:p w:rsidR="00121DAD" w14:paraId="0569EE92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sz w:val="16"/>
              </w:rPr>
            </w:pPr>
          </w:p>
          <w:p w:rsidR="00121DAD" w14:paraId="4BF20B6A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sz w:val="16"/>
              </w:rPr>
            </w:pPr>
          </w:p>
          <w:p w:rsidR="00121DAD" w14:paraId="1FACBA13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18"/>
              </w:rPr>
              <w:t>X</w:t>
            </w:r>
            <w:r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1DAD" w14:paraId="406B3934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16"/>
              </w:rPr>
              <w:t>Date:</w:t>
            </w:r>
          </w:p>
        </w:tc>
        <w:tc>
          <w:tcPr>
            <w:tcW w:w="3348" w:type="dxa"/>
            <w:tcBorders>
              <w:left w:val="nil"/>
            </w:tcBorders>
          </w:tcPr>
          <w:p w:rsidR="00121DAD" w14:paraId="6C7E529C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jc w:val="center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For OIRA Use</w:t>
            </w:r>
          </w:p>
          <w:p w:rsidR="00121DAD" w14:paraId="453418E4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b/>
                <w:sz w:val="16"/>
              </w:rPr>
            </w:pPr>
          </w:p>
          <w:p w:rsidR="00121DAD" w14:paraId="7AABC428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b/>
                <w:sz w:val="16"/>
              </w:rPr>
            </w:pPr>
          </w:p>
          <w:p w:rsidR="00121DAD" w14:paraId="2A9130DD" w14:textId="77777777">
            <w:pPr>
              <w:pStyle w:val="Footer"/>
              <w:tabs>
                <w:tab w:val="clear" w:pos="4320"/>
                <w:tab w:val="left" w:pos="4560"/>
                <w:tab w:val="clear" w:pos="8640"/>
                <w:tab w:val="left" w:pos="9600"/>
                <w:tab w:val="right" w:pos="10920"/>
              </w:tabs>
              <w:ind w:right="-120"/>
              <w:rPr>
                <w:rFonts w:ascii="Helvetica" w:hAnsi="Helvetica"/>
                <w:b/>
                <w:sz w:val="16"/>
              </w:rPr>
            </w:pPr>
          </w:p>
        </w:tc>
      </w:tr>
    </w:tbl>
    <w:p w:rsidR="00121DAD" w:rsidP="00121DAD" w14:paraId="35B396F5" w14:textId="77777777">
      <w:pPr>
        <w:pStyle w:val="Footer"/>
        <w:pBdr>
          <w:top w:val="single" w:sz="6" w:space="1" w:color="auto"/>
        </w:pBdr>
        <w:tabs>
          <w:tab w:val="clear" w:pos="4320"/>
          <w:tab w:val="left" w:pos="4560"/>
          <w:tab w:val="clear" w:pos="8640"/>
          <w:tab w:val="left" w:pos="9600"/>
          <w:tab w:val="right" w:pos="10920"/>
        </w:tabs>
        <w:spacing w:after="60"/>
        <w:ind w:right="-120"/>
        <w:rPr>
          <w:rFonts w:ascii="Helvetica" w:hAnsi="Helvetica"/>
          <w:sz w:val="16"/>
        </w:rPr>
      </w:pPr>
      <w:r>
        <w:rPr>
          <w:rFonts w:ascii="Helvetica" w:hAnsi="Helvetica"/>
          <w:b/>
          <w:sz w:val="24"/>
        </w:rPr>
        <w:t>**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sz w:val="16"/>
        </w:rPr>
        <w:t>This form cannot be used to extend an expiration date.</w:t>
      </w:r>
    </w:p>
    <w:p w:rsidR="00121DAD" w:rsidRPr="00121DAD" w14:paraId="45B317FC" w14:textId="77777777">
      <w:pPr>
        <w:spacing w:before="40" w:line="260" w:lineRule="exact"/>
        <w:rPr>
          <w:color w:val="000000"/>
          <w:sz w:val="22"/>
          <w:szCs w:val="22"/>
        </w:rPr>
      </w:pPr>
    </w:p>
    <w:sectPr>
      <w:footerReference w:type="default" r:id="rId4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0047" w14:paraId="4E06826C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885FF2"/>
    <w:multiLevelType w:val="singleLevel"/>
    <w:tmpl w:val="BA8C2D6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>
    <w:nsid w:val="506568F4"/>
    <w:multiLevelType w:val="singleLevel"/>
    <w:tmpl w:val="84FEA1F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">
    <w:nsid w:val="7F122226"/>
    <w:multiLevelType w:val="singleLevel"/>
    <w:tmpl w:val="4FA4C23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 w16cid:durableId="165706969">
    <w:abstractNumId w:val="1"/>
  </w:num>
  <w:num w:numId="2" w16cid:durableId="1549486987">
    <w:abstractNumId w:val="2"/>
  </w:num>
  <w:num w:numId="3" w16cid:durableId="149378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NotTrackMoves/>
  <w:defaultTabStop w:val="720"/>
  <w:characterSpacingControl w:val="doNotCompress"/>
  <w:compat>
    <w:forgetLastTabAlignment/>
    <w:autoSpaceLikeWord95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78"/>
    <w:rsid w:val="00121DAD"/>
    <w:rsid w:val="001960CE"/>
    <w:rsid w:val="001961DD"/>
    <w:rsid w:val="002661E5"/>
    <w:rsid w:val="00267C1B"/>
    <w:rsid w:val="00374757"/>
    <w:rsid w:val="00374F6F"/>
    <w:rsid w:val="00384CD5"/>
    <w:rsid w:val="00475042"/>
    <w:rsid w:val="00492A08"/>
    <w:rsid w:val="004A2F55"/>
    <w:rsid w:val="004F328C"/>
    <w:rsid w:val="005501D4"/>
    <w:rsid w:val="005635D9"/>
    <w:rsid w:val="00580EAC"/>
    <w:rsid w:val="00633033"/>
    <w:rsid w:val="006406CF"/>
    <w:rsid w:val="00652C54"/>
    <w:rsid w:val="006C0E69"/>
    <w:rsid w:val="006E45E9"/>
    <w:rsid w:val="006E7851"/>
    <w:rsid w:val="0071717E"/>
    <w:rsid w:val="00737A5E"/>
    <w:rsid w:val="00740047"/>
    <w:rsid w:val="00742D88"/>
    <w:rsid w:val="007825D3"/>
    <w:rsid w:val="007A358C"/>
    <w:rsid w:val="008129D2"/>
    <w:rsid w:val="008226B3"/>
    <w:rsid w:val="00825018"/>
    <w:rsid w:val="008B53DD"/>
    <w:rsid w:val="008C5BAE"/>
    <w:rsid w:val="0090119B"/>
    <w:rsid w:val="009038C8"/>
    <w:rsid w:val="0094388F"/>
    <w:rsid w:val="00965210"/>
    <w:rsid w:val="009F714F"/>
    <w:rsid w:val="00A92423"/>
    <w:rsid w:val="00B427D7"/>
    <w:rsid w:val="00C11A54"/>
    <w:rsid w:val="00C313F8"/>
    <w:rsid w:val="00C41C18"/>
    <w:rsid w:val="00D57C9A"/>
    <w:rsid w:val="00D86EAA"/>
    <w:rsid w:val="00D96F1E"/>
    <w:rsid w:val="00E05A7A"/>
    <w:rsid w:val="00E355A1"/>
    <w:rsid w:val="00E61878"/>
    <w:rsid w:val="00EF3EA6"/>
    <w:rsid w:val="00FB2B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357444"/>
  <w15:docId w15:val="{C8E23DFE-C856-4746-8B55-40BF457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37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A5E"/>
  </w:style>
  <w:style w:type="character" w:customStyle="1" w:styleId="CommentTextChar">
    <w:name w:val="Comment Text Char"/>
    <w:basedOn w:val="DefaultParagraphFont"/>
    <w:link w:val="CommentText"/>
    <w:uiPriority w:val="99"/>
    <w:rsid w:val="00737A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7A5E"/>
    <w:rPr>
      <w:b/>
      <w:bCs/>
    </w:rPr>
  </w:style>
  <w:style w:type="paragraph" w:styleId="ListParagraph">
    <w:name w:val="List Paragraph"/>
    <w:basedOn w:val="Normal"/>
    <w:uiPriority w:val="34"/>
    <w:qFormat/>
    <w:rsid w:val="00121DAD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4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0</TotalTime>
  <Pages>2</Pages>
  <Words>540</Words>
  <Characters>3078</Characters>
  <Application>Microsoft Office Word</Application>
  <DocSecurity>0</DocSecurity>
  <Lines>192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Cooper, Diane J</cp:lastModifiedBy>
  <cp:revision>2</cp:revision>
  <cp:lastPrinted>2001-03-13T17:43:00Z</cp:lastPrinted>
  <dcterms:created xsi:type="dcterms:W3CDTF">2023-09-20T14:01:00Z</dcterms:created>
  <dcterms:modified xsi:type="dcterms:W3CDTF">2023-09-20T14:01:00Z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a2a99a86cc2beb8b5b46cf8f59bdda2e99c91dc110115da45e8779d580115928</vt:lpwstr>
  </property>
</Properties>
</file>