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84728D" w:rsidP="0084728D" w14:paraId="3FA18CB1" w14:textId="77777777">
      <w:pPr>
        <w:spacing w:line="360" w:lineRule="auto"/>
        <w:jc w:val="center"/>
        <w:rPr>
          <w:b/>
          <w:bCs/>
          <w:sz w:val="24"/>
          <w:szCs w:val="24"/>
        </w:rPr>
      </w:pPr>
      <w:r w:rsidRPr="0084728D">
        <w:rPr>
          <w:b/>
          <w:bCs/>
          <w:sz w:val="24"/>
          <w:szCs w:val="24"/>
        </w:rPr>
        <w:t>Supporting Statement for Paperwork Reduction Act Submissions</w:t>
      </w:r>
    </w:p>
    <w:p w:rsidR="0084728D" w:rsidRPr="0084728D" w:rsidP="0084728D" w14:paraId="339F28F6" w14:textId="77777777">
      <w:pPr>
        <w:spacing w:line="360" w:lineRule="auto"/>
        <w:jc w:val="center"/>
        <w:rPr>
          <w:b/>
          <w:bCs/>
          <w:color w:val="000000"/>
          <w:sz w:val="24"/>
          <w:szCs w:val="24"/>
        </w:rPr>
      </w:pPr>
      <w:r w:rsidRPr="0084728D">
        <w:rPr>
          <w:b/>
          <w:bCs/>
          <w:color w:val="000000"/>
          <w:sz w:val="24"/>
          <w:szCs w:val="24"/>
        </w:rPr>
        <w:t>Study of Child Care in Public Housing:</w:t>
      </w:r>
    </w:p>
    <w:p w:rsidR="00167E53" w:rsidRPr="0084728D" w:rsidP="0084728D" w14:paraId="7BF323DB" w14:textId="77777777">
      <w:pPr>
        <w:spacing w:line="360" w:lineRule="auto"/>
        <w:jc w:val="center"/>
        <w:rPr>
          <w:b/>
          <w:bCs/>
          <w:color w:val="000000"/>
          <w:sz w:val="24"/>
          <w:szCs w:val="24"/>
        </w:rPr>
      </w:pPr>
      <w:r w:rsidRPr="0084728D">
        <w:rPr>
          <w:b/>
          <w:bCs/>
          <w:color w:val="000000"/>
          <w:sz w:val="24"/>
          <w:szCs w:val="24"/>
        </w:rPr>
        <w:t>PHA and ECE Center Interviews Data Collection</w:t>
      </w:r>
    </w:p>
    <w:p w:rsidR="00167E53" w:rsidRPr="0084728D" w:rsidP="0084728D" w14:paraId="39B37521" w14:textId="77777777">
      <w:pPr>
        <w:spacing w:line="360" w:lineRule="auto"/>
        <w:jc w:val="center"/>
        <w:rPr>
          <w:b/>
          <w:bCs/>
          <w:sz w:val="24"/>
          <w:szCs w:val="24"/>
        </w:rPr>
      </w:pPr>
      <w:r w:rsidRPr="0084728D">
        <w:rPr>
          <w:b/>
          <w:bCs/>
          <w:sz w:val="24"/>
          <w:szCs w:val="24"/>
        </w:rPr>
        <w:t xml:space="preserve">(OMB# </w:t>
      </w:r>
      <w:r w:rsidR="0084728D">
        <w:rPr>
          <w:b/>
          <w:bCs/>
          <w:sz w:val="24"/>
          <w:szCs w:val="24"/>
        </w:rPr>
        <w:t>2528</w:t>
      </w:r>
      <w:r w:rsidRPr="0084728D" w:rsidR="006C7FAE">
        <w:rPr>
          <w:b/>
          <w:bCs/>
          <w:sz w:val="24"/>
          <w:szCs w:val="24"/>
        </w:rPr>
        <w:t>-</w:t>
      </w:r>
      <w:r w:rsidR="0084728D">
        <w:rPr>
          <w:b/>
          <w:bCs/>
          <w:sz w:val="24"/>
          <w:szCs w:val="24"/>
        </w:rPr>
        <w:t>New</w:t>
      </w:r>
      <w:r w:rsidRPr="0084728D">
        <w:rPr>
          <w:b/>
          <w:bCs/>
          <w:sz w:val="24"/>
          <w:szCs w:val="24"/>
        </w:rPr>
        <w:t>)</w:t>
      </w:r>
    </w:p>
    <w:p w:rsidR="009E13B1" w:rsidP="006C7FAE" w14:paraId="34A15479" w14:textId="77777777">
      <w:pPr>
        <w:rPr>
          <w:b/>
          <w:sz w:val="24"/>
          <w:szCs w:val="24"/>
        </w:rPr>
      </w:pPr>
    </w:p>
    <w:p w:rsidR="009E13B1" w:rsidRPr="006C7FAE" w14:paraId="2C32657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246C94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747D506C"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51F0" w:rsidP="00AE51F0" w14:paraId="0683236B" w14:textId="77777777">
      <w:pPr>
        <w:overflowPunct/>
        <w:autoSpaceDE/>
        <w:autoSpaceDN/>
        <w:adjustRightInd/>
        <w:spacing w:after="120" w:line="22" w:lineRule="atLeast"/>
        <w:ind w:left="360"/>
        <w:textAlignment w:val="auto"/>
        <w:rPr>
          <w:sz w:val="24"/>
          <w:szCs w:val="24"/>
        </w:rPr>
      </w:pPr>
    </w:p>
    <w:p w:rsidR="00AE51F0" w:rsidRPr="00AE51F0" w:rsidP="00AE51F0" w14:paraId="6FF26DCD" w14:textId="77777777">
      <w:pPr>
        <w:overflowPunct/>
        <w:autoSpaceDE/>
        <w:autoSpaceDN/>
        <w:adjustRightInd/>
        <w:spacing w:after="120" w:line="22" w:lineRule="atLeast"/>
        <w:ind w:left="360"/>
        <w:textAlignment w:val="auto"/>
        <w:rPr>
          <w:sz w:val="24"/>
          <w:szCs w:val="24"/>
        </w:rPr>
      </w:pPr>
      <w:r w:rsidRPr="00AE51F0">
        <w:rPr>
          <w:sz w:val="24"/>
          <w:szCs w:val="24"/>
        </w:rPr>
        <w:t>The Consolidated Appropriations Act, 2021, enacted on December 27, 2020, Pub. L. 116-260, authorizes the U.S. Department of Housing and Urban Development (HUD) to pursue a “collaboration with the Department of Health and Human Services (HHS) to better prioritize or promote on-site child care supportive services for HUD-assisted Families.” To address this charge, HUD seeks to understand the early care and education (ECE) needs and preferences of families living in public housing developments,</w:t>
      </w:r>
      <w:r>
        <w:rPr>
          <w:sz w:val="24"/>
          <w:szCs w:val="24"/>
          <w:vertAlign w:val="superscript"/>
        </w:rPr>
        <w:footnoteReference w:id="2"/>
      </w:r>
      <w:r w:rsidRPr="00AE51F0">
        <w:rPr>
          <w:sz w:val="24"/>
          <w:szCs w:val="24"/>
        </w:rPr>
        <w:t xml:space="preserve"> in addition to the accessibility of ECE for those families, including their use of ECE programs co-located within their public housing development. The study will explore (1) ECE program access for families living in public housing developments, including any supports received for identifying or enrolling in ECE; (2) the availability of ECE programs in proximity to public housing developments, including co-located programs; (3) the operation of co-located public housing developments and ECE programs; and (4) the ECE needs and preferences of families living in public housing developments. For this study, </w:t>
      </w:r>
      <w:r w:rsidRPr="00AE51F0">
        <w:rPr>
          <w:i/>
          <w:sz w:val="24"/>
          <w:szCs w:val="24"/>
        </w:rPr>
        <w:t xml:space="preserve">ECE </w:t>
      </w:r>
      <w:r w:rsidRPr="00AE51F0">
        <w:rPr>
          <w:sz w:val="24"/>
          <w:szCs w:val="24"/>
        </w:rPr>
        <w:t>refers to the range of child care options for children younger than 13 years old and may include formal center-based programs, home-based programs, and informal care options.</w:t>
      </w:r>
    </w:p>
    <w:p w:rsidR="00AE51F0" w:rsidRPr="00AE51F0" w:rsidP="00AE51F0" w14:paraId="426B3893" w14:textId="77777777">
      <w:pPr>
        <w:pStyle w:val="NoSpacing"/>
      </w:pPr>
      <w:r w:rsidRPr="00AE51F0">
        <w:t xml:space="preserve"> </w:t>
      </w:r>
    </w:p>
    <w:p w:rsidR="00AE51F0" w:rsidRPr="00AE51F0" w:rsidP="00AE51F0" w14:paraId="266636D8" w14:textId="77777777">
      <w:pPr>
        <w:overflowPunct/>
        <w:autoSpaceDE/>
        <w:autoSpaceDN/>
        <w:adjustRightInd/>
        <w:spacing w:after="120" w:line="22" w:lineRule="atLeast"/>
        <w:ind w:left="360"/>
        <w:textAlignment w:val="auto"/>
        <w:rPr>
          <w:sz w:val="24"/>
          <w:szCs w:val="24"/>
        </w:rPr>
      </w:pPr>
      <w:r w:rsidRPr="00AE51F0">
        <w:rPr>
          <w:sz w:val="24"/>
          <w:szCs w:val="24"/>
        </w:rPr>
        <w:t>Experiencing housing instability early in life can have negative and long-lasting effects on children’s health, development, and well-being</w:t>
      </w:r>
      <w:bookmarkStart w:id="0" w:name="_Ref126834192"/>
      <w:r w:rsidRPr="00AE51F0">
        <w:rPr>
          <w:sz w:val="24"/>
          <w:szCs w:val="24"/>
        </w:rPr>
        <w:t>.</w:t>
      </w:r>
      <w:bookmarkEnd w:id="0"/>
      <w:r>
        <w:rPr>
          <w:sz w:val="24"/>
          <w:szCs w:val="24"/>
          <w:vertAlign w:val="superscript"/>
        </w:rPr>
        <w:footnoteReference w:id="3"/>
      </w:r>
      <w:r w:rsidRPr="00AE51F0">
        <w:rPr>
          <w:sz w:val="24"/>
          <w:szCs w:val="24"/>
        </w:rPr>
        <w:t xml:space="preserve"> However, research has found that high-quality ECE can mitigate some of these impacts.</w:t>
      </w:r>
      <w:bookmarkStart w:id="1" w:name="_Ref137116454"/>
      <w:r>
        <w:rPr>
          <w:sz w:val="24"/>
          <w:szCs w:val="24"/>
          <w:vertAlign w:val="superscript"/>
        </w:rPr>
        <w:footnoteReference w:id="4"/>
      </w:r>
      <w:bookmarkEnd w:id="1"/>
      <w:r w:rsidRPr="00AE51F0">
        <w:rPr>
          <w:sz w:val="24"/>
          <w:szCs w:val="24"/>
        </w:rPr>
        <w:t xml:space="preserve"> Developing strategies for affordable housing and ECE is an important lever for supporting families’ well-being, but both housing and ECE systems are underfunded and fragmented</w:t>
      </w:r>
      <w:bookmarkStart w:id="2" w:name="_Ref126834276"/>
      <w:r w:rsidRPr="00AE51F0">
        <w:rPr>
          <w:sz w:val="24"/>
          <w:szCs w:val="24"/>
        </w:rPr>
        <w:t>.</w:t>
      </w:r>
      <w:bookmarkEnd w:id="2"/>
      <w:r>
        <w:rPr>
          <w:sz w:val="24"/>
          <w:szCs w:val="24"/>
          <w:vertAlign w:val="superscript"/>
        </w:rPr>
        <w:footnoteReference w:id="5"/>
      </w:r>
      <w:r w:rsidRPr="00AE51F0">
        <w:rPr>
          <w:sz w:val="24"/>
          <w:szCs w:val="24"/>
          <w:vertAlign w:val="superscript"/>
        </w:rPr>
        <w:t>,</w:t>
      </w:r>
      <w:r>
        <w:rPr>
          <w:sz w:val="24"/>
          <w:szCs w:val="24"/>
          <w:vertAlign w:val="superscript"/>
        </w:rPr>
        <w:footnoteReference w:id="6"/>
      </w:r>
      <w:r w:rsidRPr="00AE51F0">
        <w:rPr>
          <w:sz w:val="24"/>
          <w:szCs w:val="24"/>
        </w:rPr>
        <w:t xml:space="preserve"> ECE programs can be a resource and support to families, enabling </w:t>
      </w:r>
      <w:r w:rsidRPr="00AE51F0">
        <w:rPr>
          <w:sz w:val="24"/>
          <w:szCs w:val="24"/>
        </w:rPr>
        <w:t>parents to attend work or school</w:t>
      </w:r>
      <w:r>
        <w:rPr>
          <w:sz w:val="24"/>
          <w:szCs w:val="24"/>
          <w:vertAlign w:val="superscript"/>
        </w:rPr>
        <w:footnoteReference w:id="7"/>
      </w:r>
      <w:r w:rsidRPr="00AE51F0">
        <w:rPr>
          <w:sz w:val="24"/>
          <w:szCs w:val="24"/>
        </w:rPr>
        <w:t xml:space="preserve"> and providing educational experiences for children that have the potential to put them on a course for later academic success.</w:t>
      </w:r>
      <w:r w:rsidRPr="00AE51F0">
        <w:rPr>
          <w:sz w:val="24"/>
          <w:szCs w:val="24"/>
        </w:rPr>
        <w:fldChar w:fldCharType="begin"/>
      </w:r>
      <w:r w:rsidRPr="00AE51F0">
        <w:rPr>
          <w:sz w:val="24"/>
          <w:szCs w:val="24"/>
        </w:rPr>
        <w:instrText xml:space="preserve"> NOTEREF _Ref137116454 \f \h  \* MERGEFORMAT </w:instrText>
      </w:r>
      <w:r w:rsidRPr="00AE51F0">
        <w:rPr>
          <w:sz w:val="24"/>
          <w:szCs w:val="24"/>
        </w:rPr>
        <w:fldChar w:fldCharType="separate"/>
      </w:r>
      <w:r w:rsidRPr="00AE51F0">
        <w:rPr>
          <w:sz w:val="24"/>
          <w:szCs w:val="24"/>
          <w:vertAlign w:val="superscript"/>
        </w:rPr>
        <w:t>3</w:t>
      </w:r>
      <w:r w:rsidRPr="00AE51F0">
        <w:rPr>
          <w:sz w:val="24"/>
          <w:szCs w:val="24"/>
        </w:rPr>
        <w:fldChar w:fldCharType="end"/>
      </w:r>
      <w:r w:rsidRPr="00AE51F0">
        <w:rPr>
          <w:sz w:val="24"/>
          <w:szCs w:val="24"/>
        </w:rPr>
        <w:t xml:space="preserve"> ECE programs have demonstrated positive effects on the physical, cognitive, and social-emotional development of children,</w:t>
      </w:r>
      <w:r>
        <w:rPr>
          <w:sz w:val="24"/>
          <w:szCs w:val="24"/>
          <w:vertAlign w:val="superscript"/>
        </w:rPr>
        <w:footnoteReference w:id="8"/>
      </w:r>
      <w:r w:rsidRPr="00AE51F0">
        <w:rPr>
          <w:sz w:val="24"/>
          <w:szCs w:val="24"/>
        </w:rPr>
        <w:t xml:space="preserve"> and these effects are even more profound for children experiencing housing instability.</w:t>
      </w:r>
      <w:r>
        <w:rPr>
          <w:sz w:val="24"/>
          <w:szCs w:val="24"/>
          <w:vertAlign w:val="superscript"/>
        </w:rPr>
        <w:footnoteReference w:id="9"/>
      </w:r>
      <w:r w:rsidRPr="00AE51F0">
        <w:rPr>
          <w:sz w:val="24"/>
          <w:szCs w:val="24"/>
        </w:rPr>
        <w:t xml:space="preserve"> However, we know very little about the ECE needs and preferences of families living in public housing developments.</w:t>
      </w:r>
      <w:r>
        <w:rPr>
          <w:sz w:val="24"/>
          <w:szCs w:val="24"/>
          <w:vertAlign w:val="superscript"/>
        </w:rPr>
        <w:footnoteReference w:id="10"/>
      </w:r>
    </w:p>
    <w:p w:rsidR="00AE51F0" w:rsidRPr="00AE51F0" w:rsidP="00AE51F0" w14:paraId="3A52D556" w14:textId="77777777">
      <w:pPr>
        <w:pStyle w:val="NoSpacing"/>
      </w:pPr>
    </w:p>
    <w:p w:rsidR="00AE51F0" w:rsidRPr="00AE51F0" w:rsidP="00AE51F0" w14:paraId="16CF080E" w14:textId="77777777">
      <w:pPr>
        <w:overflowPunct/>
        <w:autoSpaceDE/>
        <w:autoSpaceDN/>
        <w:adjustRightInd/>
        <w:spacing w:after="120" w:line="22" w:lineRule="atLeast"/>
        <w:ind w:left="360"/>
        <w:textAlignment w:val="auto"/>
        <w:rPr>
          <w:bCs/>
          <w:sz w:val="24"/>
          <w:szCs w:val="24"/>
        </w:rPr>
      </w:pPr>
      <w:r w:rsidRPr="00AE51F0">
        <w:rPr>
          <w:bCs/>
          <w:sz w:val="24"/>
          <w:szCs w:val="24"/>
        </w:rPr>
        <w:t xml:space="preserve">The Public Housing Child Care Demonstration Program was funded under Section 117 of the Housing and Community Development Act of 1987 to explore whether increasing access to ECE by co-locating these programs with public housing developments facilitated educational or work stability for families living in these developments. Findings from the demonstration program suggested that overall, co-locating ECE in public housing benefited families in </w:t>
      </w:r>
      <w:r w:rsidRPr="00AE51F0">
        <w:rPr>
          <w:sz w:val="24"/>
          <w:szCs w:val="24"/>
        </w:rPr>
        <w:t>many</w:t>
      </w:r>
      <w:r w:rsidRPr="00AE51F0">
        <w:rPr>
          <w:bCs/>
          <w:sz w:val="24"/>
          <w:szCs w:val="24"/>
        </w:rPr>
        <w:t xml:space="preserve"> ways, with 90% of </w:t>
      </w:r>
      <w:r w:rsidRPr="00AE51F0">
        <w:rPr>
          <w:sz w:val="24"/>
          <w:szCs w:val="24"/>
        </w:rPr>
        <w:t>those sponsoring</w:t>
      </w:r>
      <w:r w:rsidRPr="00AE51F0">
        <w:rPr>
          <w:bCs/>
          <w:sz w:val="24"/>
          <w:szCs w:val="24"/>
        </w:rPr>
        <w:t xml:space="preserve"> demonstration sites reporting that the ECE programs had a positive impact on families’ employment, including supporting families with seeking education, training, and finding jobs</w:t>
      </w:r>
      <w:bookmarkStart w:id="3" w:name="_Ref126834338"/>
      <w:r w:rsidRPr="00AE51F0">
        <w:rPr>
          <w:bCs/>
          <w:sz w:val="24"/>
          <w:szCs w:val="24"/>
        </w:rPr>
        <w:t>.</w:t>
      </w:r>
      <w:bookmarkStart w:id="4" w:name="_Ref137117003"/>
      <w:bookmarkEnd w:id="3"/>
      <w:r>
        <w:rPr>
          <w:bCs/>
          <w:sz w:val="24"/>
          <w:szCs w:val="24"/>
          <w:vertAlign w:val="superscript"/>
        </w:rPr>
        <w:footnoteReference w:id="11"/>
      </w:r>
      <w:bookmarkEnd w:id="4"/>
      <w:r w:rsidRPr="00AE51F0">
        <w:rPr>
          <w:bCs/>
          <w:sz w:val="24"/>
          <w:szCs w:val="24"/>
        </w:rPr>
        <w:t xml:space="preserve"> To date, there has not been another comprehensive study of the co-location of ECE and public housing.</w:t>
      </w:r>
    </w:p>
    <w:p w:rsidR="00AE51F0" w:rsidRPr="00AE51F0" w:rsidP="00AE51F0" w14:paraId="1F74C353" w14:textId="77777777">
      <w:pPr>
        <w:pStyle w:val="NoSpacing"/>
      </w:pPr>
    </w:p>
    <w:p w:rsidR="00AE51F0" w:rsidP="00AE51F0" w14:paraId="5D761081" w14:textId="77777777">
      <w:pPr>
        <w:overflowPunct/>
        <w:autoSpaceDE/>
        <w:autoSpaceDN/>
        <w:adjustRightInd/>
        <w:spacing w:after="120" w:line="22" w:lineRule="atLeast"/>
        <w:ind w:left="360"/>
        <w:textAlignment w:val="auto"/>
        <w:rPr>
          <w:sz w:val="24"/>
          <w:szCs w:val="24"/>
        </w:rPr>
      </w:pPr>
      <w:r w:rsidRPr="00AE51F0">
        <w:rPr>
          <w:sz w:val="24"/>
          <w:szCs w:val="24"/>
        </w:rPr>
        <w:t xml:space="preserve">In summary, there is limited research and understanding about the ECE needs and preferences of families living in public housing developments, and about how accessible ECE programs are to families. The reason for this lack of research and understanding is, in part, the way data for these programs are collected, resulting in numerous analytic and methodological challenges for researchers, policy makers, and practitioners. The current proposed study looks to bridge these gaps and present options for HUD and HHS to improve ECE access, especially for families living in public housing developments. </w:t>
      </w:r>
    </w:p>
    <w:p w:rsidR="00821BF1" w:rsidP="00AE51F0" w14:paraId="15641E66" w14:textId="77777777">
      <w:pPr>
        <w:overflowPunct/>
        <w:autoSpaceDE/>
        <w:autoSpaceDN/>
        <w:adjustRightInd/>
        <w:spacing w:after="120" w:line="22" w:lineRule="atLeast"/>
        <w:ind w:left="360"/>
        <w:textAlignment w:val="auto"/>
        <w:rPr>
          <w:sz w:val="24"/>
          <w:szCs w:val="24"/>
        </w:rPr>
      </w:pPr>
    </w:p>
    <w:p w:rsidR="00821BF1" w:rsidP="00AE51F0" w14:paraId="3CEEFA5C" w14:textId="77777777">
      <w:pPr>
        <w:overflowPunct/>
        <w:autoSpaceDE/>
        <w:autoSpaceDN/>
        <w:adjustRightInd/>
        <w:spacing w:after="120" w:line="22" w:lineRule="atLeast"/>
        <w:ind w:left="360"/>
        <w:textAlignment w:val="auto"/>
        <w:rPr>
          <w:sz w:val="24"/>
          <w:szCs w:val="24"/>
        </w:rPr>
      </w:pPr>
    </w:p>
    <w:p w:rsidR="00821BF1" w:rsidP="00AE51F0" w14:paraId="370763F4" w14:textId="77777777">
      <w:pPr>
        <w:overflowPunct/>
        <w:autoSpaceDE/>
        <w:autoSpaceDN/>
        <w:adjustRightInd/>
        <w:spacing w:after="120" w:line="22" w:lineRule="atLeast"/>
        <w:ind w:left="360"/>
        <w:textAlignment w:val="auto"/>
        <w:rPr>
          <w:sz w:val="24"/>
          <w:szCs w:val="24"/>
        </w:rPr>
      </w:pPr>
    </w:p>
    <w:p w:rsidR="00821BF1" w:rsidP="00AE51F0" w14:paraId="31925AE3" w14:textId="77777777">
      <w:pPr>
        <w:overflowPunct/>
        <w:autoSpaceDE/>
        <w:autoSpaceDN/>
        <w:adjustRightInd/>
        <w:spacing w:after="120" w:line="22" w:lineRule="atLeast"/>
        <w:ind w:left="360"/>
        <w:textAlignment w:val="auto"/>
        <w:rPr>
          <w:sz w:val="24"/>
          <w:szCs w:val="24"/>
        </w:rPr>
      </w:pPr>
    </w:p>
    <w:p w:rsidR="00821BF1" w:rsidP="00AE51F0" w14:paraId="56B588BC" w14:textId="77777777">
      <w:pPr>
        <w:overflowPunct/>
        <w:autoSpaceDE/>
        <w:autoSpaceDN/>
        <w:adjustRightInd/>
        <w:spacing w:after="120" w:line="22" w:lineRule="atLeast"/>
        <w:ind w:left="360"/>
        <w:textAlignment w:val="auto"/>
        <w:rPr>
          <w:sz w:val="24"/>
          <w:szCs w:val="24"/>
        </w:rPr>
      </w:pPr>
    </w:p>
    <w:p w:rsidR="00821BF1" w:rsidP="00AE51F0" w14:paraId="0D4B7F13" w14:textId="77777777">
      <w:pPr>
        <w:overflowPunct/>
        <w:autoSpaceDE/>
        <w:autoSpaceDN/>
        <w:adjustRightInd/>
        <w:spacing w:after="120" w:line="22" w:lineRule="atLeast"/>
        <w:ind w:left="360"/>
        <w:textAlignment w:val="auto"/>
        <w:rPr>
          <w:sz w:val="24"/>
          <w:szCs w:val="24"/>
        </w:rPr>
      </w:pPr>
    </w:p>
    <w:p w:rsidR="00821BF1" w:rsidRPr="00AE51F0" w:rsidP="00AE51F0" w14:paraId="2456A929" w14:textId="77777777">
      <w:pPr>
        <w:overflowPunct/>
        <w:autoSpaceDE/>
        <w:autoSpaceDN/>
        <w:adjustRightInd/>
        <w:spacing w:after="120" w:line="22" w:lineRule="atLeast"/>
        <w:ind w:left="360"/>
        <w:textAlignment w:val="auto"/>
        <w:rPr>
          <w:sz w:val="24"/>
          <w:szCs w:val="24"/>
        </w:rPr>
      </w:pPr>
    </w:p>
    <w:p w:rsidR="00DF2551" w:rsidP="00AE51F0" w14:paraId="2BA458A5" w14:textId="77777777">
      <w:pPr>
        <w:widowControl w:val="0"/>
        <w:kinsoku w:val="0"/>
        <w:overflowPunct/>
        <w:autoSpaceDE/>
        <w:autoSpaceDN/>
        <w:adjustRightInd/>
        <w:spacing w:after="120" w:line="22" w:lineRule="atLeast"/>
        <w:ind w:left="360"/>
        <w:textAlignment w:val="auto"/>
        <w:rPr>
          <w:sz w:val="24"/>
          <w:szCs w:val="24"/>
        </w:rPr>
      </w:pPr>
      <w:r w:rsidRPr="00AE51F0">
        <w:rPr>
          <w:sz w:val="24"/>
          <w:szCs w:val="24"/>
        </w:rPr>
        <w:t>This submission requests OMB approval for the following data collection activities:</w:t>
      </w:r>
      <w:r w:rsidRPr="00AE51F0">
        <w:rPr>
          <w:sz w:val="24"/>
          <w:szCs w:val="24"/>
        </w:rPr>
        <w:br/>
      </w:r>
    </w:p>
    <w:tbl>
      <w:tblPr>
        <w:tblW w:w="10098" w:type="dxa"/>
        <w:tblCellMar>
          <w:left w:w="0" w:type="dxa"/>
          <w:right w:w="0" w:type="dxa"/>
        </w:tblCellMar>
        <w:tblLook w:val="04A0"/>
      </w:tblPr>
      <w:tblGrid>
        <w:gridCol w:w="1278"/>
        <w:gridCol w:w="2700"/>
        <w:gridCol w:w="3420"/>
        <w:gridCol w:w="1350"/>
        <w:gridCol w:w="1528"/>
      </w:tblGrid>
      <w:tr w14:paraId="78966EBE" w14:textId="77777777" w:rsidTr="00821BF1">
        <w:tblPrEx>
          <w:tblW w:w="10098" w:type="dxa"/>
          <w:tblCellMar>
            <w:left w:w="0" w:type="dxa"/>
            <w:right w:w="0" w:type="dxa"/>
          </w:tblCellMar>
          <w:tblLook w:val="04A0"/>
        </w:tblPrEx>
        <w:trPr>
          <w:trHeight w:val="880"/>
        </w:trPr>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B3CF4" w:rsidRPr="00821BF1" w14:paraId="5AE9881C" w14:textId="77777777">
            <w:pPr>
              <w:rPr>
                <w:b/>
                <w:bCs/>
                <w:color w:val="000000"/>
              </w:rPr>
            </w:pPr>
            <w:r w:rsidRPr="00821BF1">
              <w:rPr>
                <w:b/>
                <w:bCs/>
                <w:color w:val="000000"/>
              </w:rPr>
              <w:t xml:space="preserve">Item in the </w:t>
            </w:r>
            <w:r w:rsidRPr="00821BF1">
              <w:rPr>
                <w:b/>
                <w:bCs/>
                <w:color w:val="000000"/>
              </w:rPr>
              <w:br/>
              <w:t>Appendix</w:t>
            </w:r>
          </w:p>
        </w:tc>
        <w:tc>
          <w:tcPr>
            <w:tcW w:w="27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4C176FAA" w14:textId="77777777">
            <w:pPr>
              <w:rPr>
                <w:b/>
                <w:bCs/>
                <w:color w:val="000000"/>
              </w:rPr>
            </w:pPr>
            <w:r w:rsidRPr="00821BF1">
              <w:rPr>
                <w:b/>
                <w:bCs/>
                <w:color w:val="000000"/>
              </w:rPr>
              <w:t>Title</w:t>
            </w:r>
          </w:p>
        </w:tc>
        <w:tc>
          <w:tcPr>
            <w:tcW w:w="34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A23B043" w14:textId="77777777">
            <w:pPr>
              <w:rPr>
                <w:b/>
                <w:bCs/>
                <w:color w:val="000000"/>
              </w:rPr>
            </w:pPr>
            <w:r w:rsidRPr="00821BF1">
              <w:rPr>
                <w:b/>
                <w:bCs/>
                <w:color w:val="000000"/>
              </w:rPr>
              <w:t>Description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062DDC93" w14:textId="77777777">
            <w:pPr>
              <w:rPr>
                <w:b/>
                <w:bCs/>
                <w:color w:val="000000"/>
              </w:rPr>
            </w:pPr>
            <w:r w:rsidRPr="00821BF1">
              <w:rPr>
                <w:b/>
                <w:bCs/>
                <w:color w:val="000000"/>
              </w:rPr>
              <w:t>OMB Review and Approval Required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2873ABE6" w14:textId="77777777">
            <w:pPr>
              <w:rPr>
                <w:b/>
                <w:bCs/>
                <w:color w:val="000000"/>
              </w:rPr>
            </w:pPr>
            <w:r w:rsidRPr="00821BF1">
              <w:rPr>
                <w:b/>
                <w:bCs/>
                <w:color w:val="000000"/>
              </w:rPr>
              <w:t>Supporting Documentation Only</w:t>
            </w:r>
          </w:p>
        </w:tc>
      </w:tr>
      <w:tr w14:paraId="5713627E" w14:textId="77777777" w:rsidTr="00821BF1">
        <w:tblPrEx>
          <w:tblW w:w="10098" w:type="dxa"/>
          <w:tblCellMar>
            <w:left w:w="0" w:type="dxa"/>
            <w:right w:w="0" w:type="dxa"/>
          </w:tblCellMar>
          <w:tblLook w:val="04A0"/>
        </w:tblPrEx>
        <w:trPr>
          <w:trHeight w:val="29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E236735" w14:textId="77777777">
            <w:pPr>
              <w:rPr>
                <w:color w:val="000000"/>
              </w:rPr>
            </w:pPr>
            <w:r w:rsidRPr="00821BF1">
              <w:rPr>
                <w:color w:val="000000"/>
              </w:rPr>
              <w:t>Appendix A</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6F3B4394" w14:textId="77777777">
            <w:pPr>
              <w:rPr>
                <w:color w:val="000000"/>
              </w:rPr>
            </w:pPr>
            <w:r w:rsidRPr="00821BF1">
              <w:rPr>
                <w:color w:val="000000"/>
              </w:rPr>
              <w:t xml:space="preserve">Appendix </w:t>
            </w:r>
            <w:r w:rsidRPr="00821BF1">
              <w:rPr>
                <w:color w:val="000000"/>
              </w:rPr>
              <w:t>A_IRB_Approval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4F9C711C" w14:textId="77777777">
            <w:pPr>
              <w:rPr>
                <w:color w:val="000000"/>
              </w:rPr>
            </w:pPr>
            <w:r w:rsidRPr="00821BF1">
              <w:rPr>
                <w:color w:val="000000"/>
              </w:rPr>
              <w:t>IRB approval letter</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FAC3230" w14:textId="77777777">
            <w:pPr>
              <w:rPr>
                <w:color w:val="000000"/>
              </w:rPr>
            </w:pPr>
            <w:r w:rsidRPr="00821BF1">
              <w:rPr>
                <w:color w:val="000000"/>
              </w:rPr>
              <w:t>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4C0E2E4F" w14:textId="77777777">
            <w:pPr>
              <w:rPr>
                <w:color w:val="000000"/>
              </w:rPr>
            </w:pPr>
            <w:r w:rsidRPr="00821BF1">
              <w:rPr>
                <w:color w:val="000000"/>
              </w:rPr>
              <w:t>X</w:t>
            </w:r>
          </w:p>
        </w:tc>
      </w:tr>
      <w:tr w14:paraId="13E95709" w14:textId="77777777" w:rsidTr="00821BF1">
        <w:tblPrEx>
          <w:tblW w:w="10098" w:type="dxa"/>
          <w:tblCellMar>
            <w:left w:w="0" w:type="dxa"/>
            <w:right w:w="0" w:type="dxa"/>
          </w:tblCellMar>
          <w:tblLook w:val="04A0"/>
        </w:tblPrEx>
        <w:trPr>
          <w:trHeight w:val="29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1DB654CA" w14:textId="77777777">
            <w:pPr>
              <w:rPr>
                <w:color w:val="000000"/>
              </w:rPr>
            </w:pPr>
            <w:r w:rsidRPr="00821BF1">
              <w:rPr>
                <w:color w:val="000000"/>
              </w:rPr>
              <w:t>Appendix B</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76DF9B20" w14:textId="77777777">
            <w:pPr>
              <w:rPr>
                <w:color w:val="000000"/>
              </w:rPr>
            </w:pPr>
            <w:r w:rsidRPr="00821BF1">
              <w:rPr>
                <w:color w:val="000000"/>
              </w:rPr>
              <w:t xml:space="preserve">Appendix </w:t>
            </w:r>
            <w:r w:rsidRPr="00821BF1">
              <w:rPr>
                <w:color w:val="000000"/>
              </w:rPr>
              <w:t>B_Family</w:t>
            </w:r>
            <w:r w:rsidRPr="00821BF1">
              <w:rPr>
                <w:color w:val="000000"/>
              </w:rPr>
              <w:t xml:space="preserve"> Consent Form</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7B4F2158" w14:textId="77777777">
            <w:pPr>
              <w:rPr>
                <w:color w:val="000000"/>
              </w:rPr>
            </w:pPr>
            <w:r w:rsidRPr="00821BF1">
              <w:rPr>
                <w:color w:val="000000"/>
              </w:rPr>
              <w:t xml:space="preserve">Consent Form for families living in public housing developments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25BF1D97" w14:textId="77777777">
            <w:pPr>
              <w:rPr>
                <w:color w:val="000000"/>
              </w:rPr>
            </w:pPr>
            <w:r w:rsidRPr="00821BF1">
              <w:rPr>
                <w:color w:val="000000"/>
              </w:rPr>
              <w:t>X</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2FDEDDA2" w14:textId="77777777">
            <w:pPr>
              <w:rPr>
                <w:color w:val="000000"/>
              </w:rPr>
            </w:pPr>
            <w:r w:rsidRPr="00821BF1">
              <w:rPr>
                <w:color w:val="000000"/>
              </w:rPr>
              <w:t> </w:t>
            </w:r>
          </w:p>
        </w:tc>
      </w:tr>
      <w:tr w14:paraId="01444426" w14:textId="77777777" w:rsidTr="00821BF1">
        <w:tblPrEx>
          <w:tblW w:w="10098" w:type="dxa"/>
          <w:tblCellMar>
            <w:left w:w="0" w:type="dxa"/>
            <w:right w:w="0" w:type="dxa"/>
          </w:tblCellMar>
          <w:tblLook w:val="04A0"/>
        </w:tblPrEx>
        <w:trPr>
          <w:trHeight w:val="29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79BCBD2C" w14:textId="77777777">
            <w:pPr>
              <w:rPr>
                <w:color w:val="000000"/>
              </w:rPr>
            </w:pPr>
            <w:r w:rsidRPr="00821BF1">
              <w:rPr>
                <w:color w:val="000000"/>
              </w:rPr>
              <w:t>Appendix C</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58B23712" w14:textId="77777777">
            <w:pPr>
              <w:rPr>
                <w:color w:val="000000"/>
              </w:rPr>
            </w:pPr>
            <w:r w:rsidRPr="00821BF1">
              <w:rPr>
                <w:color w:val="000000"/>
              </w:rPr>
              <w:t xml:space="preserve">Appendix </w:t>
            </w:r>
            <w:r w:rsidRPr="00821BF1">
              <w:rPr>
                <w:color w:val="000000"/>
              </w:rPr>
              <w:t>C_Constituent</w:t>
            </w:r>
            <w:r w:rsidRPr="00821BF1">
              <w:rPr>
                <w:color w:val="000000"/>
              </w:rPr>
              <w:t xml:space="preserve"> Consent Form</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47F79191" w14:textId="77777777">
            <w:pPr>
              <w:rPr>
                <w:color w:val="000000"/>
              </w:rPr>
            </w:pPr>
            <w:r w:rsidRPr="00821BF1">
              <w:rPr>
                <w:color w:val="000000"/>
              </w:rPr>
              <w:t>Consent form to be administered to key constituents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7F985451" w14:textId="77777777">
            <w:pPr>
              <w:rPr>
                <w:color w:val="000000"/>
              </w:rPr>
            </w:pPr>
            <w:r w:rsidRPr="00821BF1">
              <w:rPr>
                <w:color w:val="000000"/>
              </w:rPr>
              <w:t>X</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11E7B62B" w14:textId="77777777">
            <w:pPr>
              <w:rPr>
                <w:color w:val="000000"/>
              </w:rPr>
            </w:pPr>
            <w:r w:rsidRPr="00821BF1">
              <w:rPr>
                <w:color w:val="000000"/>
              </w:rPr>
              <w:t> </w:t>
            </w:r>
          </w:p>
        </w:tc>
      </w:tr>
      <w:tr w14:paraId="48404A07" w14:textId="77777777" w:rsidTr="00821BF1">
        <w:tblPrEx>
          <w:tblW w:w="10098" w:type="dxa"/>
          <w:tblCellMar>
            <w:left w:w="0" w:type="dxa"/>
            <w:right w:w="0" w:type="dxa"/>
          </w:tblCellMar>
          <w:tblLook w:val="04A0"/>
        </w:tblPrEx>
        <w:trPr>
          <w:trHeight w:val="29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2F725F2" w14:textId="77777777">
            <w:pPr>
              <w:rPr>
                <w:color w:val="000000"/>
              </w:rPr>
            </w:pPr>
            <w:r w:rsidRPr="00821BF1">
              <w:rPr>
                <w:color w:val="000000"/>
              </w:rPr>
              <w:t>Appendix D</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4E777AF9" w14:textId="77777777">
            <w:pPr>
              <w:rPr>
                <w:color w:val="000000"/>
              </w:rPr>
            </w:pPr>
            <w:r w:rsidRPr="00821BF1">
              <w:rPr>
                <w:color w:val="000000"/>
              </w:rPr>
              <w:t xml:space="preserve">Appendix </w:t>
            </w:r>
            <w:r w:rsidRPr="00821BF1">
              <w:rPr>
                <w:color w:val="000000"/>
              </w:rPr>
              <w:t>D_Housing</w:t>
            </w:r>
            <w:r w:rsidRPr="00821BF1">
              <w:rPr>
                <w:color w:val="000000"/>
              </w:rPr>
              <w:t xml:space="preserve"> Constituents Interview Protocol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58B5816D" w14:textId="77777777">
            <w:pPr>
              <w:rPr>
                <w:color w:val="000000"/>
              </w:rPr>
            </w:pPr>
            <w:r w:rsidRPr="00821BF1">
              <w:rPr>
                <w:color w:val="000000"/>
              </w:rPr>
              <w:t xml:space="preserve">Data collection protocol for interviews with housing constituents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46332863" w14:textId="77777777">
            <w:pPr>
              <w:rPr>
                <w:color w:val="000000"/>
              </w:rPr>
            </w:pPr>
            <w:r w:rsidRPr="00821BF1">
              <w:rPr>
                <w:color w:val="000000"/>
              </w:rPr>
              <w:t>X</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3A1261F" w14:textId="77777777">
            <w:pPr>
              <w:rPr>
                <w:color w:val="000000"/>
              </w:rPr>
            </w:pPr>
            <w:r w:rsidRPr="00821BF1">
              <w:rPr>
                <w:color w:val="000000"/>
              </w:rPr>
              <w:t> </w:t>
            </w:r>
          </w:p>
        </w:tc>
      </w:tr>
      <w:tr w14:paraId="08EEE975" w14:textId="77777777" w:rsidTr="00821BF1">
        <w:tblPrEx>
          <w:tblW w:w="10098" w:type="dxa"/>
          <w:tblCellMar>
            <w:left w:w="0" w:type="dxa"/>
            <w:right w:w="0" w:type="dxa"/>
          </w:tblCellMar>
          <w:tblLook w:val="04A0"/>
        </w:tblPrEx>
        <w:trPr>
          <w:trHeight w:val="58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6564D56B" w14:textId="77777777">
            <w:pPr>
              <w:rPr>
                <w:color w:val="000000"/>
              </w:rPr>
            </w:pPr>
            <w:r w:rsidRPr="00821BF1">
              <w:rPr>
                <w:color w:val="000000"/>
              </w:rPr>
              <w:t>Appendix E</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685C52C5" w14:textId="77777777">
            <w:pPr>
              <w:rPr>
                <w:color w:val="000000"/>
              </w:rPr>
            </w:pPr>
            <w:r w:rsidRPr="00821BF1">
              <w:rPr>
                <w:color w:val="000000"/>
              </w:rPr>
              <w:t xml:space="preserve">Appendix </w:t>
            </w:r>
            <w:r w:rsidRPr="00821BF1">
              <w:rPr>
                <w:color w:val="000000"/>
              </w:rPr>
              <w:t>E_CCRandR</w:t>
            </w:r>
            <w:r w:rsidRPr="00821BF1">
              <w:rPr>
                <w:color w:val="000000"/>
              </w:rPr>
              <w:t xml:space="preserve"> Administrators Interview Protocol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38E034CC" w14:textId="77777777">
            <w:pPr>
              <w:rPr>
                <w:color w:val="000000"/>
              </w:rPr>
            </w:pPr>
            <w:r w:rsidRPr="00821BF1">
              <w:rPr>
                <w:color w:val="000000"/>
              </w:rPr>
              <w:t>Data collection protocol for interviews with child care resource and referral centers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0C5638CD" w14:textId="77777777">
            <w:pPr>
              <w:rPr>
                <w:color w:val="000000"/>
              </w:rPr>
            </w:pPr>
            <w:r w:rsidRPr="00821BF1">
              <w:rPr>
                <w:color w:val="000000"/>
              </w:rPr>
              <w:t>X</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62CDB6E9" w14:textId="77777777">
            <w:pPr>
              <w:rPr>
                <w:color w:val="000000"/>
              </w:rPr>
            </w:pPr>
            <w:r w:rsidRPr="00821BF1">
              <w:rPr>
                <w:color w:val="000000"/>
              </w:rPr>
              <w:t> </w:t>
            </w:r>
          </w:p>
        </w:tc>
      </w:tr>
      <w:tr w14:paraId="5421B4B8" w14:textId="77777777" w:rsidTr="00821BF1">
        <w:tblPrEx>
          <w:tblW w:w="10098" w:type="dxa"/>
          <w:tblCellMar>
            <w:left w:w="0" w:type="dxa"/>
            <w:right w:w="0" w:type="dxa"/>
          </w:tblCellMar>
          <w:tblLook w:val="04A0"/>
        </w:tblPrEx>
        <w:trPr>
          <w:trHeight w:val="87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507ED4B1" w14:textId="77777777">
            <w:pPr>
              <w:rPr>
                <w:color w:val="000000"/>
              </w:rPr>
            </w:pPr>
            <w:r w:rsidRPr="00821BF1">
              <w:rPr>
                <w:color w:val="000000"/>
              </w:rPr>
              <w:t>Appendix F</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2CB26411" w14:textId="77777777">
            <w:pPr>
              <w:rPr>
                <w:color w:val="000000"/>
              </w:rPr>
            </w:pPr>
            <w:r w:rsidRPr="00821BF1">
              <w:rPr>
                <w:color w:val="000000"/>
              </w:rPr>
              <w:t>Appendix F_CCDF State Administrators and HSCO Directors Interview Protocol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52B5AAE1" w14:textId="77777777">
            <w:pPr>
              <w:rPr>
                <w:color w:val="000000"/>
              </w:rPr>
            </w:pPr>
            <w:r w:rsidRPr="00821BF1">
              <w:rPr>
                <w:color w:val="000000"/>
              </w:rPr>
              <w:t>Data collection protocol for interviews with Child Care Development Fund (CCDF) State Administrators and Head Start Collaboration Office (HSCO) Directors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1E695740" w14:textId="77777777">
            <w:pPr>
              <w:rPr>
                <w:color w:val="000000"/>
              </w:rPr>
            </w:pPr>
            <w:r w:rsidRPr="00821BF1">
              <w:rPr>
                <w:color w:val="000000"/>
              </w:rPr>
              <w:t>X</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4A45001A" w14:textId="77777777">
            <w:pPr>
              <w:rPr>
                <w:color w:val="000000"/>
              </w:rPr>
            </w:pPr>
            <w:r w:rsidRPr="00821BF1">
              <w:rPr>
                <w:color w:val="000000"/>
              </w:rPr>
              <w:t> </w:t>
            </w:r>
          </w:p>
        </w:tc>
      </w:tr>
      <w:tr w14:paraId="11093099" w14:textId="77777777" w:rsidTr="00821BF1">
        <w:tblPrEx>
          <w:tblW w:w="10098" w:type="dxa"/>
          <w:tblCellMar>
            <w:left w:w="0" w:type="dxa"/>
            <w:right w:w="0" w:type="dxa"/>
          </w:tblCellMar>
          <w:tblLook w:val="04A0"/>
        </w:tblPrEx>
        <w:trPr>
          <w:trHeight w:val="58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2C1ED76E" w14:textId="77777777">
            <w:pPr>
              <w:rPr>
                <w:color w:val="000000"/>
              </w:rPr>
            </w:pPr>
            <w:r w:rsidRPr="00821BF1">
              <w:rPr>
                <w:color w:val="000000"/>
              </w:rPr>
              <w:t>Appendix G</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63B4F9C" w14:textId="77777777">
            <w:pPr>
              <w:rPr>
                <w:color w:val="000000"/>
              </w:rPr>
            </w:pPr>
            <w:r w:rsidRPr="00821BF1">
              <w:rPr>
                <w:color w:val="000000"/>
              </w:rPr>
              <w:t xml:space="preserve">Appendix </w:t>
            </w:r>
            <w:r w:rsidRPr="00821BF1">
              <w:rPr>
                <w:color w:val="000000"/>
              </w:rPr>
              <w:t>G_CoLocated</w:t>
            </w:r>
            <w:r w:rsidRPr="00821BF1">
              <w:rPr>
                <w:color w:val="000000"/>
              </w:rPr>
              <w:t xml:space="preserve"> ECE Program Directors Interview Protocol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1C69D370" w14:textId="77777777">
            <w:pPr>
              <w:rPr>
                <w:color w:val="000000"/>
              </w:rPr>
            </w:pPr>
            <w:r w:rsidRPr="00821BF1">
              <w:rPr>
                <w:color w:val="000000"/>
              </w:rPr>
              <w:t xml:space="preserve">Data collection protocol for interviews with Co-located ECE Program Directors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22E13945" w14:textId="77777777">
            <w:pPr>
              <w:rPr>
                <w:color w:val="000000"/>
              </w:rPr>
            </w:pPr>
            <w:r w:rsidRPr="00821BF1">
              <w:rPr>
                <w:color w:val="000000"/>
              </w:rPr>
              <w:t>X</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55ECDC8" w14:textId="77777777">
            <w:pPr>
              <w:rPr>
                <w:color w:val="000000"/>
              </w:rPr>
            </w:pPr>
            <w:r w:rsidRPr="00821BF1">
              <w:rPr>
                <w:color w:val="000000"/>
              </w:rPr>
              <w:t> </w:t>
            </w:r>
          </w:p>
        </w:tc>
      </w:tr>
      <w:tr w14:paraId="35F42033" w14:textId="77777777" w:rsidTr="00821BF1">
        <w:tblPrEx>
          <w:tblW w:w="10098" w:type="dxa"/>
          <w:tblCellMar>
            <w:left w:w="0" w:type="dxa"/>
            <w:right w:w="0" w:type="dxa"/>
          </w:tblCellMar>
          <w:tblLook w:val="04A0"/>
        </w:tblPrEx>
        <w:trPr>
          <w:trHeight w:val="300"/>
        </w:trPr>
        <w:tc>
          <w:tcPr>
            <w:tcW w:w="12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289A273D" w14:textId="77777777">
            <w:pPr>
              <w:rPr>
                <w:color w:val="000000"/>
              </w:rPr>
            </w:pPr>
            <w:r w:rsidRPr="00821BF1">
              <w:rPr>
                <w:color w:val="000000"/>
              </w:rPr>
              <w:t>Appendix H</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3CE017D7" w14:textId="77777777">
            <w:pPr>
              <w:rPr>
                <w:color w:val="000000"/>
              </w:rPr>
            </w:pPr>
            <w:r w:rsidRPr="00821BF1">
              <w:rPr>
                <w:color w:val="000000"/>
              </w:rPr>
              <w:t xml:space="preserve">Appendix </w:t>
            </w:r>
            <w:r w:rsidRPr="00821BF1">
              <w:rPr>
                <w:color w:val="000000"/>
              </w:rPr>
              <w:t>H_Family</w:t>
            </w:r>
            <w:r w:rsidRPr="00821BF1">
              <w:rPr>
                <w:color w:val="000000"/>
              </w:rPr>
              <w:t xml:space="preserve"> Interview Protocol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B3CF4" w:rsidRPr="00821BF1" w14:paraId="7BFF7449" w14:textId="77777777">
            <w:pPr>
              <w:rPr>
                <w:color w:val="000000"/>
              </w:rPr>
            </w:pPr>
            <w:r w:rsidRPr="00821BF1">
              <w:rPr>
                <w:color w:val="000000"/>
              </w:rPr>
              <w:t>Data collection protocol for interviews with families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121D04EA" w14:textId="77777777">
            <w:pPr>
              <w:rPr>
                <w:color w:val="000000"/>
              </w:rPr>
            </w:pPr>
            <w:r w:rsidRPr="00821BF1">
              <w:rPr>
                <w:color w:val="000000"/>
              </w:rPr>
              <w:t>X</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B3CF4" w:rsidRPr="00821BF1" w14:paraId="7E524A2A" w14:textId="77777777">
            <w:pPr>
              <w:rPr>
                <w:color w:val="000000"/>
              </w:rPr>
            </w:pPr>
            <w:r w:rsidRPr="00821BF1">
              <w:rPr>
                <w:color w:val="000000"/>
              </w:rPr>
              <w:t> </w:t>
            </w:r>
          </w:p>
        </w:tc>
      </w:tr>
    </w:tbl>
    <w:p w:rsidR="00AE51F0" w:rsidRPr="006C7FAE" w14:paraId="71841094" w14:textId="77777777">
      <w:pPr>
        <w:tabs>
          <w:tab w:val="left" w:pos="360"/>
        </w:tabs>
        <w:ind w:left="360" w:hanging="360"/>
        <w:rPr>
          <w:sz w:val="24"/>
          <w:szCs w:val="24"/>
        </w:rPr>
      </w:pPr>
    </w:p>
    <w:p w:rsidR="009E13B1" w14:paraId="727CE59D"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AE51F0" w:rsidRPr="00AE51F0" w:rsidP="00AE51F0" w14:paraId="3C81AEF2" w14:textId="77777777">
      <w:pPr>
        <w:pStyle w:val="NoSpacing"/>
        <w:ind w:left="360"/>
        <w:rPr>
          <w:sz w:val="24"/>
          <w:szCs w:val="24"/>
        </w:rPr>
      </w:pPr>
      <w:r w:rsidRPr="00AE51F0">
        <w:rPr>
          <w:sz w:val="24"/>
          <w:szCs w:val="24"/>
        </w:rPr>
        <w:t>This is a new data collection. This study seeks to explore (1) ECE access for families living in public housing developments, including any supports received for identifying or enrolling in ECE; (2) the availability of ECE programs in proximity to public housing developments, including co-located programs; (3) the operation of co-located public housing developments and ECE programs; and (4) the ECE needs and preferences of families living in public housing developments. To address these questions primary qualitative data will be collected during case studies in six sites. Data collection will include interviews with key constituents and families, as described below. This study defines sites as public housing developments and the communities in which they are located. The study team identified a mix of sites meeting various criteria across three states.</w:t>
      </w:r>
    </w:p>
    <w:p w:rsidR="00AE51F0" w:rsidP="00AE51F0" w14:paraId="56215DF1" w14:textId="77777777">
      <w:pPr>
        <w:pStyle w:val="NoSpacing"/>
        <w:ind w:left="360"/>
        <w:rPr>
          <w:b/>
          <w:bCs/>
          <w:sz w:val="24"/>
          <w:szCs w:val="24"/>
        </w:rPr>
      </w:pPr>
    </w:p>
    <w:p w:rsidR="00AE51F0" w:rsidRPr="00AE51F0" w:rsidP="00AE51F0" w14:paraId="591DD332" w14:textId="77777777">
      <w:pPr>
        <w:pStyle w:val="NoSpacing"/>
        <w:ind w:left="360"/>
        <w:rPr>
          <w:sz w:val="24"/>
          <w:szCs w:val="24"/>
        </w:rPr>
      </w:pPr>
      <w:r w:rsidRPr="00AE51F0">
        <w:rPr>
          <w:b/>
          <w:bCs/>
          <w:sz w:val="24"/>
          <w:szCs w:val="24"/>
        </w:rPr>
        <w:t>Site visits, key constituent interviews, and family interviews.</w:t>
      </w:r>
      <w:r w:rsidRPr="00AE51F0">
        <w:rPr>
          <w:sz w:val="24"/>
          <w:szCs w:val="24"/>
        </w:rPr>
        <w:t xml:space="preserve"> We will conduct in-depth case studies at six sites to better understand the ECE needs and preferences of families living in public housing developments, as well as the benefits and challenges of operating co-located public housing developments and ECE programs. The site visits include key constituent interviews with public housing development administrators and staff, and ECE administrators and staff, and will be used to explore the process of co-locating ECE and public housing, as well as any supports or resources provided to families living in public housing developments to locate or enroll in ECE.  Site visits </w:t>
      </w:r>
      <w:r w:rsidRPr="00AE51F0">
        <w:rPr>
          <w:sz w:val="24"/>
          <w:szCs w:val="24"/>
        </w:rPr>
        <w:t>will also include i</w:t>
      </w:r>
      <w:r w:rsidRPr="00AE51F0">
        <w:rPr>
          <w:rFonts w:eastAsia="Calibri"/>
          <w:sz w:val="24"/>
          <w:szCs w:val="24"/>
        </w:rPr>
        <w:t>nterviews with families living in public housing developments to better understand their access to ECE as well as their ECE needs and preferences.</w:t>
      </w:r>
    </w:p>
    <w:p w:rsidR="00AE51F0" w:rsidP="00AE51F0" w14:paraId="683C0D89" w14:textId="77777777">
      <w:pPr>
        <w:pStyle w:val="NoSpacing"/>
        <w:ind w:left="360"/>
        <w:rPr>
          <w:color w:val="000000"/>
          <w:sz w:val="24"/>
          <w:szCs w:val="24"/>
        </w:rPr>
      </w:pPr>
    </w:p>
    <w:p w:rsidR="00AE51F0" w:rsidRPr="00AE51F0" w:rsidP="00AE51F0" w14:paraId="62E041F2" w14:textId="77777777">
      <w:pPr>
        <w:pStyle w:val="NoSpacing"/>
        <w:ind w:left="360"/>
        <w:rPr>
          <w:sz w:val="24"/>
          <w:szCs w:val="24"/>
        </w:rPr>
      </w:pPr>
      <w:r w:rsidRPr="00AE51F0">
        <w:rPr>
          <w:color w:val="000000"/>
          <w:sz w:val="24"/>
          <w:szCs w:val="24"/>
        </w:rPr>
        <w:t xml:space="preserve">Information from this research will enhance HUD and HHS’s efforts </w:t>
      </w:r>
      <w:r w:rsidRPr="00AE51F0">
        <w:rPr>
          <w:sz w:val="24"/>
          <w:szCs w:val="24"/>
        </w:rPr>
        <w:t xml:space="preserve">to better prioritize or promote the co-location of ECE and public housing developments as authorized in the </w:t>
      </w:r>
      <w:r w:rsidRPr="00AE51F0">
        <w:rPr>
          <w:bCs/>
          <w:sz w:val="24"/>
          <w:szCs w:val="24"/>
        </w:rPr>
        <w:t>Consolidated Appropriations Act, 2021</w:t>
      </w:r>
      <w:r w:rsidRPr="00AE51F0">
        <w:rPr>
          <w:sz w:val="24"/>
          <w:szCs w:val="24"/>
        </w:rPr>
        <w:t>.</w:t>
      </w:r>
    </w:p>
    <w:p w:rsidR="009E13B1" w:rsidRPr="006C7FAE" w14:paraId="504EC072" w14:textId="77777777">
      <w:pPr>
        <w:keepLines/>
        <w:tabs>
          <w:tab w:val="left" w:pos="360"/>
          <w:tab w:val="left" w:pos="720"/>
        </w:tabs>
        <w:ind w:left="360"/>
        <w:rPr>
          <w:sz w:val="24"/>
          <w:szCs w:val="24"/>
        </w:rPr>
      </w:pPr>
    </w:p>
    <w:p w:rsidR="009E13B1" w:rsidRPr="006C7FAE" w14:paraId="7839C5F4"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E51F0" w:rsidRPr="00AE51F0" w:rsidP="00821BF1" w14:paraId="5B6C1B19" w14:textId="77777777">
      <w:pPr>
        <w:overflowPunct/>
        <w:autoSpaceDE/>
        <w:autoSpaceDN/>
        <w:adjustRightInd/>
        <w:spacing w:after="120" w:line="22" w:lineRule="atLeast"/>
        <w:ind w:left="360"/>
        <w:textAlignment w:val="auto"/>
        <w:rPr>
          <w:sz w:val="24"/>
          <w:szCs w:val="24"/>
        </w:rPr>
      </w:pPr>
      <w:r w:rsidRPr="00AE51F0">
        <w:rPr>
          <w:sz w:val="24"/>
          <w:szCs w:val="24"/>
        </w:rPr>
        <w:t xml:space="preserve">The study includes the collection of qualitative data from key constituents and family interviews. Collection of </w:t>
      </w:r>
      <w:r w:rsidRPr="00AE51F0" w:rsidR="00821BF1">
        <w:rPr>
          <w:sz w:val="24"/>
          <w:szCs w:val="24"/>
        </w:rPr>
        <w:t>this</w:t>
      </w:r>
      <w:r w:rsidRPr="00AE51F0">
        <w:rPr>
          <w:sz w:val="24"/>
          <w:szCs w:val="24"/>
        </w:rPr>
        <w:t xml:space="preserve"> data will not be automated. Information from key constituents and families will be collected using open-ended, semi-structured interviews, enabling the study team to explore nuances in the respective interviewee’s experience with ECE and public housing assistance. This is necessary to capture relevant and current contexts, and participants will be compensated for their time.</w:t>
      </w:r>
    </w:p>
    <w:p w:rsidR="009E13B1" w14:paraId="5D5878DA" w14:textId="77777777">
      <w:pPr>
        <w:tabs>
          <w:tab w:val="left" w:pos="360"/>
        </w:tabs>
        <w:ind w:left="360" w:hanging="360"/>
        <w:rPr>
          <w:sz w:val="24"/>
          <w:szCs w:val="24"/>
        </w:rPr>
      </w:pPr>
    </w:p>
    <w:p w:rsidR="009E13B1" w:rsidRPr="006C7FAE" w14:paraId="26213D2E"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AE51F0" w14:paraId="6434DC75" w14:textId="77777777">
      <w:pPr>
        <w:keepLines/>
        <w:tabs>
          <w:tab w:val="left" w:pos="360"/>
          <w:tab w:val="left" w:pos="720"/>
        </w:tabs>
        <w:ind w:left="360"/>
        <w:rPr>
          <w:sz w:val="24"/>
          <w:szCs w:val="24"/>
        </w:rPr>
      </w:pPr>
    </w:p>
    <w:p w:rsidR="009E13B1" w14:paraId="5AFA7109" w14:textId="77777777">
      <w:pPr>
        <w:keepLines/>
        <w:tabs>
          <w:tab w:val="left" w:pos="360"/>
          <w:tab w:val="left" w:pos="720"/>
        </w:tabs>
        <w:ind w:left="360"/>
        <w:rPr>
          <w:sz w:val="24"/>
          <w:szCs w:val="24"/>
        </w:rPr>
      </w:pPr>
      <w:r w:rsidRPr="00AE51F0">
        <w:rPr>
          <w:sz w:val="24"/>
          <w:szCs w:val="24"/>
        </w:rPr>
        <w:t>To the study team’s knowledge, there are no other duplicative research studies exploring the same constructs in the same contexts. To avoid duplication of information, the study includes a literature review and state and local policy scans to assess availability of similar information.</w:t>
      </w:r>
    </w:p>
    <w:p w:rsidR="00AE51F0" w:rsidRPr="006C7FAE" w14:paraId="54CF3BC3" w14:textId="77777777">
      <w:pPr>
        <w:keepLines/>
        <w:tabs>
          <w:tab w:val="left" w:pos="360"/>
          <w:tab w:val="left" w:pos="720"/>
        </w:tabs>
        <w:ind w:left="360"/>
        <w:rPr>
          <w:sz w:val="24"/>
          <w:szCs w:val="24"/>
        </w:rPr>
      </w:pPr>
    </w:p>
    <w:p w:rsidR="009E13B1" w:rsidRPr="006C7FAE" w14:paraId="2D348B59"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AE51F0" w14:paraId="53D29133" w14:textId="77777777">
      <w:pPr>
        <w:tabs>
          <w:tab w:val="left" w:pos="360"/>
        </w:tabs>
        <w:ind w:left="360" w:hanging="360"/>
        <w:rPr>
          <w:sz w:val="24"/>
          <w:szCs w:val="24"/>
        </w:rPr>
      </w:pPr>
      <w:r>
        <w:rPr>
          <w:sz w:val="24"/>
          <w:szCs w:val="24"/>
        </w:rPr>
        <w:tab/>
      </w:r>
    </w:p>
    <w:p w:rsidR="009E13B1" w14:paraId="50193063" w14:textId="77777777">
      <w:pPr>
        <w:tabs>
          <w:tab w:val="left" w:pos="360"/>
        </w:tabs>
        <w:ind w:left="360" w:hanging="360"/>
        <w:rPr>
          <w:sz w:val="24"/>
          <w:szCs w:val="24"/>
        </w:rPr>
      </w:pPr>
      <w:r>
        <w:rPr>
          <w:sz w:val="24"/>
          <w:szCs w:val="24"/>
        </w:rPr>
        <w:tab/>
      </w:r>
      <w:r w:rsidRPr="00AE51F0">
        <w:rPr>
          <w:sz w:val="24"/>
          <w:szCs w:val="24"/>
        </w:rPr>
        <w:t>The collection of information does not impact small businesses or other small entities directly</w:t>
      </w:r>
      <w:r>
        <w:rPr>
          <w:sz w:val="24"/>
          <w:szCs w:val="24"/>
        </w:rPr>
        <w:t>.</w:t>
      </w:r>
    </w:p>
    <w:p w:rsidR="00AE51F0" w:rsidRPr="006C7FAE" w14:paraId="71621E27" w14:textId="77777777">
      <w:pPr>
        <w:tabs>
          <w:tab w:val="left" w:pos="360"/>
        </w:tabs>
        <w:ind w:left="360" w:hanging="360"/>
        <w:rPr>
          <w:sz w:val="24"/>
          <w:szCs w:val="24"/>
        </w:rPr>
      </w:pPr>
    </w:p>
    <w:p w:rsidR="009E13B1" w14:paraId="5C2BB65A"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AE51F0" w:rsidP="00AE51F0" w14:paraId="13FF8206" w14:textId="77777777">
      <w:pPr>
        <w:keepLines/>
        <w:tabs>
          <w:tab w:val="left" w:pos="360"/>
        </w:tabs>
        <w:spacing w:after="80"/>
        <w:ind w:left="360" w:hanging="360"/>
        <w:rPr>
          <w:sz w:val="24"/>
          <w:szCs w:val="24"/>
        </w:rPr>
      </w:pPr>
      <w:r>
        <w:rPr>
          <w:sz w:val="24"/>
          <w:szCs w:val="24"/>
        </w:rPr>
        <w:tab/>
      </w:r>
    </w:p>
    <w:p w:rsidR="00AE51F0" w:rsidRPr="00AE51F0" w:rsidP="00AE51F0" w14:paraId="4C2BE62A" w14:textId="77777777">
      <w:pPr>
        <w:keepLines/>
        <w:tabs>
          <w:tab w:val="left" w:pos="360"/>
        </w:tabs>
        <w:spacing w:after="80"/>
        <w:ind w:left="360" w:hanging="360"/>
        <w:rPr>
          <w:sz w:val="24"/>
          <w:szCs w:val="24"/>
        </w:rPr>
      </w:pPr>
      <w:r>
        <w:rPr>
          <w:sz w:val="24"/>
          <w:szCs w:val="24"/>
        </w:rPr>
        <w:tab/>
      </w:r>
      <w:r w:rsidRPr="00AE51F0">
        <w:rPr>
          <w:sz w:val="24"/>
          <w:szCs w:val="24"/>
        </w:rPr>
        <w:t>The most recent and comprehensive study of ECE services co-located in public housing developments was conducted as part of a demonstration project commissioned by HUD in 1992.10 The demonstration project found positive employment and family outcomes, but the relevance of findings is limited in today’s ECE landscape. Therefore, there is a critical need for HUD to collect new information on current ECE contexts, the accessibility of the programs, and the ECE needs and preferences of families living in public housing developments to promote equitable access to ECE for families. Given this need, the Consolidated Appropriations Act, 2021 authorized HUD to collaborate with HHS to better prioritize or promote co-located ECE for families living in public housing developments.</w:t>
      </w:r>
    </w:p>
    <w:p w:rsidR="00AE51F0" w:rsidP="00AE51F0" w14:paraId="4B29A5C2" w14:textId="77777777">
      <w:pPr>
        <w:keepLines/>
        <w:tabs>
          <w:tab w:val="left" w:pos="360"/>
        </w:tabs>
        <w:spacing w:after="80"/>
        <w:ind w:left="360" w:hanging="360"/>
        <w:rPr>
          <w:sz w:val="24"/>
          <w:szCs w:val="24"/>
        </w:rPr>
      </w:pPr>
      <w:r>
        <w:rPr>
          <w:sz w:val="24"/>
          <w:szCs w:val="24"/>
        </w:rPr>
        <w:tab/>
      </w:r>
    </w:p>
    <w:p w:rsidR="00AE51F0" w:rsidP="00AE51F0" w14:paraId="17C8EEC7" w14:textId="77777777">
      <w:pPr>
        <w:keepLines/>
        <w:tabs>
          <w:tab w:val="left" w:pos="360"/>
        </w:tabs>
        <w:spacing w:after="80"/>
        <w:ind w:left="360" w:hanging="360"/>
        <w:rPr>
          <w:sz w:val="24"/>
          <w:szCs w:val="24"/>
        </w:rPr>
      </w:pPr>
      <w:r>
        <w:rPr>
          <w:sz w:val="24"/>
          <w:szCs w:val="24"/>
        </w:rPr>
        <w:tab/>
      </w:r>
      <w:r w:rsidRPr="00AE51F0">
        <w:rPr>
          <w:sz w:val="24"/>
          <w:szCs w:val="24"/>
        </w:rPr>
        <w:t>The information collected for the study will enable HUD and HHS to meet Congressional requirements to enhance and streamline service delivery for impacted key constituents / residents where there are overlaps between those in need of housing and ECE assistance. In lack of such data collection would delay meeting Congressional requirements and deprive families of better access to housing and ECE assistance.</w:t>
      </w:r>
    </w:p>
    <w:p w:rsidR="00AE51F0" w:rsidRPr="006C7FAE" w14:paraId="127CFFF8" w14:textId="77777777">
      <w:pPr>
        <w:keepLines/>
        <w:tabs>
          <w:tab w:val="left" w:pos="360"/>
        </w:tabs>
        <w:spacing w:after="80"/>
        <w:ind w:left="360" w:hanging="360"/>
        <w:rPr>
          <w:sz w:val="24"/>
          <w:szCs w:val="24"/>
        </w:rPr>
      </w:pPr>
    </w:p>
    <w:p w:rsidR="00A65F9E" w14:paraId="60747EFF"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7038D56D" w14:textId="77777777">
      <w:pPr>
        <w:tabs>
          <w:tab w:val="left" w:pos="360"/>
        </w:tabs>
        <w:ind w:left="360"/>
        <w:rPr>
          <w:sz w:val="24"/>
          <w:szCs w:val="24"/>
        </w:rPr>
      </w:pPr>
      <w:r w:rsidRPr="006C7FAE">
        <w:rPr>
          <w:sz w:val="24"/>
          <w:szCs w:val="24"/>
        </w:rPr>
        <w:t xml:space="preserve"> </w:t>
      </w:r>
    </w:p>
    <w:p w:rsidR="00AE51F0" w:rsidRPr="00AE51F0" w:rsidP="00AE51F0" w14:paraId="4F6099CD"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respondents to report information to the agency more than quarterly – “</w:t>
      </w:r>
      <w:r w:rsidRPr="00AE51F0">
        <w:rPr>
          <w:b/>
          <w:sz w:val="24"/>
          <w:szCs w:val="24"/>
        </w:rPr>
        <w:t>Not Applicable</w:t>
      </w:r>
      <w:r w:rsidRPr="00AE51F0">
        <w:rPr>
          <w:sz w:val="24"/>
          <w:szCs w:val="24"/>
        </w:rPr>
        <w:t>”</w:t>
      </w:r>
    </w:p>
    <w:p w:rsidR="00AE51F0" w:rsidRPr="00AE51F0" w:rsidP="00AE51F0" w14:paraId="47F93A32"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respondents to prepare a written response to a collection of information in fewer than 30 days after receipt of the request – “</w:t>
      </w:r>
      <w:r w:rsidRPr="00AE51F0">
        <w:rPr>
          <w:b/>
          <w:sz w:val="24"/>
          <w:szCs w:val="24"/>
        </w:rPr>
        <w:t>Not Applicable</w:t>
      </w:r>
      <w:r w:rsidRPr="00AE51F0">
        <w:rPr>
          <w:sz w:val="24"/>
          <w:szCs w:val="24"/>
        </w:rPr>
        <w:t>”</w:t>
      </w:r>
    </w:p>
    <w:p w:rsidR="00AE51F0" w:rsidRPr="00AE51F0" w:rsidP="00AE51F0" w14:paraId="3F3A5925"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respondents to submit more than an original and two copies of any document – “</w:t>
      </w:r>
      <w:r w:rsidRPr="00AE51F0">
        <w:rPr>
          <w:b/>
          <w:sz w:val="24"/>
          <w:szCs w:val="24"/>
        </w:rPr>
        <w:t>Not Applicable</w:t>
      </w:r>
      <w:r w:rsidRPr="00AE51F0">
        <w:rPr>
          <w:sz w:val="24"/>
          <w:szCs w:val="24"/>
        </w:rPr>
        <w:t>”</w:t>
      </w:r>
    </w:p>
    <w:p w:rsidR="00AE51F0" w:rsidRPr="00AE51F0" w:rsidP="00AE51F0" w14:paraId="3C7AB722"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respondents to retain records other than health, medical, government contract, grant-in-aid, or tax records for more than three years – “</w:t>
      </w:r>
      <w:r w:rsidRPr="00AE51F0">
        <w:rPr>
          <w:b/>
          <w:sz w:val="24"/>
          <w:szCs w:val="24"/>
        </w:rPr>
        <w:t>Not Applicable</w:t>
      </w:r>
      <w:r w:rsidRPr="00AE51F0">
        <w:rPr>
          <w:sz w:val="24"/>
          <w:szCs w:val="24"/>
        </w:rPr>
        <w:t>”</w:t>
      </w:r>
    </w:p>
    <w:p w:rsidR="00AE51F0" w:rsidRPr="00AE51F0" w:rsidP="00AE51F0" w14:paraId="4AD07342"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a request in connection with a statistical survey that is not designed to produce valid and reliable results than can be generalized to the universe of study – “</w:t>
      </w:r>
      <w:r w:rsidRPr="00AE51F0">
        <w:rPr>
          <w:b/>
          <w:sz w:val="24"/>
          <w:szCs w:val="24"/>
        </w:rPr>
        <w:t>Not Applicable</w:t>
      </w:r>
      <w:r w:rsidRPr="00AE51F0">
        <w:rPr>
          <w:sz w:val="24"/>
          <w:szCs w:val="24"/>
        </w:rPr>
        <w:t>”</w:t>
      </w:r>
    </w:p>
    <w:p w:rsidR="00AE51F0" w:rsidRPr="00AE51F0" w:rsidP="00AE51F0" w14:paraId="39E297FF"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the use of a statistical data classification that has not been reviewed and approved by OMB – “</w:t>
      </w:r>
      <w:r w:rsidRPr="00AE51F0">
        <w:rPr>
          <w:b/>
          <w:sz w:val="24"/>
          <w:szCs w:val="24"/>
        </w:rPr>
        <w:t>Not Applicable</w:t>
      </w:r>
      <w:r w:rsidRPr="00AE51F0">
        <w:rPr>
          <w:sz w:val="24"/>
          <w:szCs w:val="24"/>
        </w:rPr>
        <w:t>”</w:t>
      </w:r>
    </w:p>
    <w:p w:rsidR="00AE51F0" w:rsidRPr="00AE51F0" w:rsidP="00AE51F0" w14:paraId="44EDF67D"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a request that includes a pledge of confidentiality that is not supported by authority established in statute or regulation (and that is not supported by disclosure and data security policies that are consistent with the pledge, or which unnecessarily impedes sharing of data with other agencies for compatible confidential use) – “</w:t>
      </w:r>
      <w:r w:rsidRPr="00AE51F0">
        <w:rPr>
          <w:b/>
          <w:sz w:val="24"/>
          <w:szCs w:val="24"/>
        </w:rPr>
        <w:t>Not Applicable</w:t>
      </w:r>
      <w:r w:rsidRPr="00AE51F0">
        <w:rPr>
          <w:sz w:val="24"/>
          <w:szCs w:val="24"/>
        </w:rPr>
        <w:t xml:space="preserve">” </w:t>
      </w:r>
    </w:p>
    <w:p w:rsidR="00AE51F0" w:rsidRPr="00AE51F0" w:rsidP="00AE51F0" w14:paraId="781605FA" w14:textId="77777777">
      <w:pPr>
        <w:widowControl w:val="0"/>
        <w:numPr>
          <w:ilvl w:val="0"/>
          <w:numId w:val="16"/>
        </w:numPr>
        <w:tabs>
          <w:tab w:val="left" w:pos="-1440"/>
        </w:tabs>
        <w:overflowPunct/>
        <w:autoSpaceDE/>
        <w:autoSpaceDN/>
        <w:adjustRightInd/>
        <w:spacing w:after="120" w:line="22" w:lineRule="atLeast"/>
        <w:ind w:left="1035"/>
        <w:textAlignment w:val="auto"/>
        <w:rPr>
          <w:sz w:val="24"/>
          <w:szCs w:val="24"/>
        </w:rPr>
      </w:pPr>
      <w:r w:rsidRPr="00AE51F0">
        <w:rPr>
          <w:sz w:val="24"/>
          <w:szCs w:val="24"/>
        </w:rPr>
        <w:t>requiring respondents to submit proprietary trade secrets or other confidential information unless the agency can demonstrate that it has instituted procedures to protect the information’s confidentiality to the fullest extent permitted by law – “</w:t>
      </w:r>
      <w:r w:rsidRPr="00AE51F0">
        <w:rPr>
          <w:b/>
          <w:sz w:val="24"/>
          <w:szCs w:val="24"/>
        </w:rPr>
        <w:t>Not Applicable</w:t>
      </w:r>
      <w:r w:rsidRPr="00AE51F0">
        <w:rPr>
          <w:sz w:val="24"/>
          <w:szCs w:val="24"/>
        </w:rPr>
        <w:t>”</w:t>
      </w:r>
    </w:p>
    <w:p w:rsidR="009E13B1" w:rsidRPr="006C7FAE" w14:paraId="7FF04F96" w14:textId="77777777">
      <w:pPr>
        <w:tabs>
          <w:tab w:val="left" w:pos="360"/>
        </w:tabs>
        <w:ind w:left="360" w:hanging="360"/>
        <w:rPr>
          <w:sz w:val="24"/>
          <w:szCs w:val="24"/>
        </w:rPr>
      </w:pPr>
    </w:p>
    <w:p w:rsidR="00A65F9E" w:rsidP="00A65F9E" w14:paraId="412A32CA"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0AEB4E9F" w14:textId="77777777">
      <w:pPr>
        <w:tabs>
          <w:tab w:val="left" w:pos="360"/>
        </w:tabs>
        <w:ind w:left="360"/>
        <w:rPr>
          <w:sz w:val="24"/>
          <w:szCs w:val="24"/>
        </w:rPr>
      </w:pPr>
      <w:r w:rsidRPr="006C7FAE">
        <w:rPr>
          <w:sz w:val="24"/>
          <w:szCs w:val="24"/>
        </w:rPr>
        <w:t xml:space="preserve"> </w:t>
      </w:r>
    </w:p>
    <w:p w:rsidR="009E13B1" w:rsidRPr="006C7FAE" w14:paraId="0033D81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5FF4E7C1" w14:textId="77777777">
      <w:pPr>
        <w:keepLines/>
        <w:tabs>
          <w:tab w:val="left" w:pos="360"/>
        </w:tabs>
        <w:spacing w:after="80"/>
        <w:ind w:left="480"/>
        <w:rPr>
          <w:sz w:val="24"/>
          <w:szCs w:val="24"/>
        </w:rPr>
      </w:pPr>
    </w:p>
    <w:p w:rsidR="009E13B1" w:rsidRPr="006C7FAE" w14:paraId="516BC050"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E51F0" w:rsidP="00AE51F0" w14:paraId="2DBDA630" w14:textId="77777777">
      <w:pPr>
        <w:tabs>
          <w:tab w:val="left" w:pos="360"/>
        </w:tabs>
        <w:ind w:left="480"/>
        <w:rPr>
          <w:sz w:val="24"/>
          <w:szCs w:val="24"/>
        </w:rPr>
      </w:pPr>
    </w:p>
    <w:p w:rsidR="009E13B1" w14:paraId="5F9D5335" w14:textId="77777777">
      <w:pPr>
        <w:tabs>
          <w:tab w:val="left" w:pos="360"/>
        </w:tabs>
        <w:ind w:left="360" w:hanging="360"/>
        <w:rPr>
          <w:sz w:val="24"/>
          <w:szCs w:val="24"/>
        </w:rPr>
      </w:pPr>
      <w:r>
        <w:rPr>
          <w:sz w:val="24"/>
          <w:szCs w:val="24"/>
        </w:rPr>
        <w:tab/>
      </w:r>
      <w:r w:rsidRPr="00AE51F0">
        <w:rPr>
          <w:sz w:val="24"/>
          <w:szCs w:val="24"/>
        </w:rPr>
        <w:t>In accordance with 5 CFR 1320.8 (Paperwork Reduction Act of 1995), a Notice of Proposed Information Collection for publication in the Federal Register has been prepared to announce the agency’s intention to request an OMB review of data collection activities for the Study of Child Care in Public Housing. HUD published a 60-Day Notice of Proposed Information Collection in the Federal Register on March 10, 2023, (Docket No. FR-15061). The notice provided a 60-day period for public comments. No public comments were received during the review period which concluded on May 9, 2023.</w:t>
      </w:r>
    </w:p>
    <w:p w:rsidR="00AE51F0" w14:paraId="318DF4F1" w14:textId="77777777">
      <w:pPr>
        <w:tabs>
          <w:tab w:val="left" w:pos="360"/>
        </w:tabs>
        <w:ind w:left="360" w:hanging="360"/>
        <w:rPr>
          <w:sz w:val="24"/>
          <w:szCs w:val="24"/>
        </w:rPr>
      </w:pPr>
    </w:p>
    <w:p w:rsidR="009E13B1" w:rsidRPr="006C7FAE" w14:paraId="2DFA8F7A"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D52822" w:rsidP="00AE51F0" w14:paraId="005F1191" w14:textId="77777777">
      <w:pPr>
        <w:overflowPunct/>
        <w:autoSpaceDE/>
        <w:autoSpaceDN/>
        <w:adjustRightInd/>
        <w:spacing w:after="120" w:line="22" w:lineRule="atLeast"/>
        <w:textAlignment w:val="auto"/>
        <w:rPr>
          <w:sz w:val="24"/>
          <w:szCs w:val="24"/>
        </w:rPr>
      </w:pPr>
    </w:p>
    <w:p w:rsidR="00AE51F0" w:rsidRPr="00AE51F0" w:rsidP="00D52822" w14:paraId="5A319DC6" w14:textId="77777777">
      <w:pPr>
        <w:overflowPunct/>
        <w:autoSpaceDE/>
        <w:autoSpaceDN/>
        <w:adjustRightInd/>
        <w:spacing w:after="120" w:line="22" w:lineRule="atLeast"/>
        <w:ind w:left="360"/>
        <w:textAlignment w:val="auto"/>
        <w:rPr>
          <w:sz w:val="24"/>
          <w:szCs w:val="24"/>
        </w:rPr>
      </w:pPr>
      <w:r w:rsidRPr="00AE51F0">
        <w:rPr>
          <w:sz w:val="24"/>
          <w:szCs w:val="24"/>
        </w:rPr>
        <w:t>The study includes conducting semi-structured interviews with up to 16 key constituents involved in the operations of either a public housing development, an ECE program, or a co-located ECE program in public housing development housing at each of the six sites in three states. We will also conduct up to 18 interviews with families at each of the six public housing development sites selected for the study. It is important to respect the time and contributions of the key constituents and families. Interviewees will receive a $50 gift card as a thank you for their time. See the interview protocols in Appendices D-H.</w:t>
      </w:r>
    </w:p>
    <w:p w:rsidR="009E13B1" w14:paraId="3C7E9451" w14:textId="77777777">
      <w:pPr>
        <w:tabs>
          <w:tab w:val="left" w:pos="360"/>
        </w:tabs>
        <w:ind w:left="360" w:hanging="360"/>
        <w:rPr>
          <w:sz w:val="24"/>
          <w:szCs w:val="24"/>
        </w:rPr>
      </w:pPr>
    </w:p>
    <w:p w:rsidR="009E13B1" w:rsidRPr="006C7FAE" w14:paraId="5F0CB20E"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9E13B1" w14:paraId="051799A2" w14:textId="77777777">
      <w:pPr>
        <w:tabs>
          <w:tab w:val="left" w:pos="360"/>
        </w:tabs>
        <w:ind w:left="360" w:hanging="360"/>
        <w:rPr>
          <w:sz w:val="24"/>
          <w:szCs w:val="24"/>
        </w:rPr>
      </w:pPr>
    </w:p>
    <w:p w:rsidR="00D52822" w:rsidRPr="00D52822" w:rsidP="00D52822" w14:paraId="756D8775" w14:textId="77777777">
      <w:pPr>
        <w:overflowPunct/>
        <w:autoSpaceDE/>
        <w:autoSpaceDN/>
        <w:adjustRightInd/>
        <w:spacing w:after="120" w:line="22" w:lineRule="atLeast"/>
        <w:ind w:left="360"/>
        <w:textAlignment w:val="auto"/>
        <w:rPr>
          <w:sz w:val="24"/>
          <w:szCs w:val="24"/>
        </w:rPr>
      </w:pPr>
      <w:r w:rsidRPr="00D52822">
        <w:rPr>
          <w:sz w:val="24"/>
          <w:szCs w:val="24"/>
        </w:rPr>
        <w:t>The study design and data collection approach ensure that our research approach is rigorous and ethical. The design meets the requirements of the Privacy Act, 5 U.S.C. 552a, ensuring that any personally identifying information (PII) required as part of the recruitment for qualitative interviews is stored with the appropriate safeguards.  To ensure that all staff are adhering to proper data collection procedures and protocols for human subjects, the study has sought official Institutional Review Board (IRB) review approval for all aspects of the study. The approval was granted on June 6, 2023 (see Appendix A).</w:t>
      </w:r>
    </w:p>
    <w:p w:rsidR="00D52822" w:rsidP="00D52822" w14:paraId="05F288C5" w14:textId="77777777">
      <w:pPr>
        <w:tabs>
          <w:tab w:val="left" w:pos="360"/>
        </w:tabs>
        <w:ind w:left="360" w:hanging="360"/>
        <w:rPr>
          <w:sz w:val="24"/>
          <w:szCs w:val="24"/>
        </w:rPr>
      </w:pPr>
      <w:r>
        <w:rPr>
          <w:sz w:val="24"/>
          <w:szCs w:val="24"/>
        </w:rPr>
        <w:tab/>
      </w:r>
      <w:r w:rsidRPr="00D52822">
        <w:rPr>
          <w:sz w:val="24"/>
          <w:szCs w:val="24"/>
        </w:rPr>
        <w:t>All interviewees will also be informed about data safety and protection protocols through a consent process. They will be asked to review consent forms outlining safeguards for privacy protection. (See consent forms in Appendices B and C.) Given that written consent would be the only information tying individual participants to the study, the study team sought IRB approval for a waiver of written consent. The approval was granted on June 6, 2023 (see Appendix A). All participants will be asked to provide verbal consent to participate in the research and will have the opportunity and flexibility to decline participation in the study at any point in time. Participants names and any other PII will not be tied to individual responses or included in any reports.</w:t>
      </w:r>
      <w:r w:rsidR="0052717E">
        <w:rPr>
          <w:sz w:val="24"/>
          <w:szCs w:val="24"/>
        </w:rPr>
        <w:t xml:space="preserve"> Participant consent forms were updated to include a burden statement, which was approved as an </w:t>
      </w:r>
      <w:r w:rsidR="0052717E">
        <w:rPr>
          <w:sz w:val="24"/>
          <w:szCs w:val="24"/>
        </w:rPr>
        <w:t xml:space="preserve">administrative change by the IRB. The IRB statement indicating the change qualifies as administrative is also included in Appendix A. </w:t>
      </w:r>
    </w:p>
    <w:p w:rsidR="00D52822" w14:paraId="4475AB62" w14:textId="77777777">
      <w:pPr>
        <w:tabs>
          <w:tab w:val="left" w:pos="360"/>
        </w:tabs>
        <w:ind w:left="360" w:hanging="360"/>
        <w:rPr>
          <w:sz w:val="24"/>
          <w:szCs w:val="24"/>
        </w:rPr>
      </w:pPr>
    </w:p>
    <w:p w:rsidR="009E13B1" w:rsidRPr="006C7FAE" w14:paraId="713CA2D1"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6C7FAE" w14:paraId="3E3F326C" w14:textId="77777777">
      <w:pPr>
        <w:tabs>
          <w:tab w:val="left" w:pos="360"/>
        </w:tabs>
        <w:ind w:left="360" w:hanging="360"/>
        <w:rPr>
          <w:sz w:val="24"/>
          <w:szCs w:val="24"/>
        </w:rPr>
      </w:pPr>
    </w:p>
    <w:p w:rsidR="00D52822" w:rsidRPr="00D52822" w:rsidP="00D52822" w14:paraId="197E34E0" w14:textId="77777777">
      <w:pPr>
        <w:overflowPunct/>
        <w:autoSpaceDE/>
        <w:autoSpaceDN/>
        <w:adjustRightInd/>
        <w:spacing w:after="120" w:line="22" w:lineRule="atLeast"/>
        <w:ind w:left="360"/>
        <w:textAlignment w:val="auto"/>
        <w:rPr>
          <w:color w:val="000000"/>
          <w:sz w:val="24"/>
          <w:szCs w:val="24"/>
        </w:rPr>
      </w:pPr>
      <w:r w:rsidRPr="00D52822">
        <w:rPr>
          <w:sz w:val="24"/>
          <w:szCs w:val="24"/>
        </w:rPr>
        <w:t xml:space="preserve">This information collection does not include any questions of a sensitive nature, such as sexual behavior and attitudes, religious beliefs, and other matters that are commonly considered private. </w:t>
      </w:r>
    </w:p>
    <w:p w:rsidR="00D52822" w14:paraId="19BF2E79" w14:textId="77777777">
      <w:pPr>
        <w:tabs>
          <w:tab w:val="left" w:pos="360"/>
        </w:tabs>
        <w:ind w:left="360" w:hanging="360"/>
        <w:rPr>
          <w:sz w:val="24"/>
          <w:szCs w:val="24"/>
        </w:rPr>
      </w:pPr>
    </w:p>
    <w:p w:rsidR="000D5079" w14:paraId="56669B2B"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395B97D7" w14:textId="77777777">
      <w:pPr>
        <w:tabs>
          <w:tab w:val="left" w:pos="360"/>
        </w:tabs>
        <w:ind w:left="360" w:hanging="360"/>
        <w:rPr>
          <w:sz w:val="24"/>
          <w:szCs w:val="24"/>
        </w:rPr>
      </w:pPr>
      <w:r w:rsidRPr="006C7FAE">
        <w:rPr>
          <w:sz w:val="24"/>
          <w:szCs w:val="24"/>
        </w:rPr>
        <w:t xml:space="preserve"> </w:t>
      </w:r>
    </w:p>
    <w:p w:rsidR="009E13B1" w:rsidRPr="006C7FAE" w14:paraId="09DCD712"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78337759"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697678CE"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BC50C0" w:rsidP="00BC50C0" w14:paraId="01057133" w14:textId="77777777">
      <w:pPr>
        <w:keepLines/>
        <w:tabs>
          <w:tab w:val="left" w:pos="480"/>
        </w:tabs>
        <w:spacing w:after="80"/>
        <w:ind w:left="480"/>
        <w:rPr>
          <w:sz w:val="24"/>
          <w:szCs w:val="24"/>
        </w:rPr>
      </w:pPr>
      <w:r>
        <w:rPr>
          <w:sz w:val="24"/>
          <w:szCs w:val="24"/>
        </w:rPr>
        <w:br w:type="page"/>
      </w:r>
    </w:p>
    <w:tbl>
      <w:tblPr>
        <w:tblW w:w="10710" w:type="dxa"/>
        <w:tblInd w:w="-342" w:type="dxa"/>
        <w:tblLook w:val="04A0"/>
      </w:tblPr>
      <w:tblGrid>
        <w:gridCol w:w="2117"/>
        <w:gridCol w:w="1306"/>
        <w:gridCol w:w="1257"/>
        <w:gridCol w:w="1350"/>
        <w:gridCol w:w="1170"/>
        <w:gridCol w:w="1080"/>
        <w:gridCol w:w="1260"/>
        <w:gridCol w:w="1170"/>
      </w:tblGrid>
      <w:tr w14:paraId="31203F50" w14:textId="77777777" w:rsidTr="00821BF1">
        <w:tblPrEx>
          <w:tblW w:w="10710" w:type="dxa"/>
          <w:tblInd w:w="-342" w:type="dxa"/>
          <w:tblLook w:val="04A0"/>
        </w:tblPrEx>
        <w:trPr>
          <w:trHeight w:val="530"/>
        </w:trPr>
        <w:tc>
          <w:tcPr>
            <w:tcW w:w="21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51D4B" w:rsidRPr="00951D4B" w:rsidP="00951D4B" w14:paraId="48D45664" w14:textId="77777777">
            <w:pPr>
              <w:overflowPunct/>
              <w:autoSpaceDE/>
              <w:autoSpaceDN/>
              <w:adjustRightInd/>
              <w:textAlignment w:val="auto"/>
              <w:rPr>
                <w:b/>
                <w:bCs/>
                <w:color w:val="000000"/>
              </w:rPr>
            </w:pPr>
            <w:r w:rsidRPr="00951D4B">
              <w:rPr>
                <w:rFonts w:eastAsia="Calibri"/>
                <w:b/>
                <w:bCs/>
                <w:color w:val="000000"/>
              </w:rPr>
              <w:t>Information Collection</w:t>
            </w:r>
          </w:p>
        </w:tc>
        <w:tc>
          <w:tcPr>
            <w:tcW w:w="1305" w:type="dxa"/>
            <w:tcBorders>
              <w:top w:val="single" w:sz="8" w:space="0" w:color="auto"/>
              <w:left w:val="nil"/>
              <w:bottom w:val="single" w:sz="8" w:space="0" w:color="auto"/>
              <w:right w:val="single" w:sz="4" w:space="0" w:color="auto"/>
            </w:tcBorders>
            <w:shd w:val="clear" w:color="auto" w:fill="auto"/>
            <w:vAlign w:val="center"/>
            <w:hideMark/>
          </w:tcPr>
          <w:p w:rsidR="00951D4B" w:rsidRPr="00951D4B" w:rsidP="00951D4B" w14:paraId="15032242" w14:textId="77777777">
            <w:pPr>
              <w:overflowPunct/>
              <w:autoSpaceDE/>
              <w:autoSpaceDN/>
              <w:adjustRightInd/>
              <w:textAlignment w:val="auto"/>
              <w:rPr>
                <w:b/>
                <w:bCs/>
                <w:color w:val="000000"/>
              </w:rPr>
            </w:pPr>
            <w:r w:rsidRPr="00951D4B">
              <w:rPr>
                <w:rFonts w:eastAsia="Calibri"/>
                <w:b/>
                <w:bCs/>
                <w:color w:val="000000"/>
              </w:rPr>
              <w:t>Number of Respondents</w:t>
            </w:r>
          </w:p>
        </w:tc>
        <w:tc>
          <w:tcPr>
            <w:tcW w:w="1257" w:type="dxa"/>
            <w:tcBorders>
              <w:top w:val="single" w:sz="8" w:space="0" w:color="auto"/>
              <w:left w:val="nil"/>
              <w:bottom w:val="single" w:sz="8" w:space="0" w:color="auto"/>
              <w:right w:val="single" w:sz="4" w:space="0" w:color="auto"/>
            </w:tcBorders>
            <w:shd w:val="clear" w:color="auto" w:fill="auto"/>
            <w:vAlign w:val="center"/>
            <w:hideMark/>
          </w:tcPr>
          <w:p w:rsidR="00951D4B" w:rsidRPr="00951D4B" w:rsidP="00951D4B" w14:paraId="3445FA72" w14:textId="77777777">
            <w:pPr>
              <w:overflowPunct/>
              <w:autoSpaceDE/>
              <w:autoSpaceDN/>
              <w:adjustRightInd/>
              <w:textAlignment w:val="auto"/>
              <w:rPr>
                <w:b/>
                <w:bCs/>
                <w:color w:val="000000"/>
              </w:rPr>
            </w:pPr>
            <w:r w:rsidRPr="00951D4B">
              <w:rPr>
                <w:rFonts w:eastAsia="Calibri"/>
                <w:b/>
                <w:bCs/>
                <w:color w:val="000000"/>
              </w:rPr>
              <w:t>Frequency of Response</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rsidR="00951D4B" w:rsidRPr="00951D4B" w:rsidP="00951D4B" w14:paraId="7BA5B14A" w14:textId="77777777">
            <w:pPr>
              <w:overflowPunct/>
              <w:autoSpaceDE/>
              <w:autoSpaceDN/>
              <w:adjustRightInd/>
              <w:textAlignment w:val="auto"/>
              <w:rPr>
                <w:b/>
                <w:bCs/>
                <w:color w:val="000000"/>
              </w:rPr>
            </w:pPr>
            <w:r w:rsidRPr="00951D4B">
              <w:rPr>
                <w:rFonts w:eastAsia="Calibri"/>
                <w:b/>
                <w:bCs/>
                <w:color w:val="000000"/>
              </w:rPr>
              <w:t>Responses Per Annum</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rsidR="00951D4B" w:rsidRPr="00951D4B" w:rsidP="00951D4B" w14:paraId="1E8F67D5" w14:textId="77777777">
            <w:pPr>
              <w:overflowPunct/>
              <w:autoSpaceDE/>
              <w:autoSpaceDN/>
              <w:adjustRightInd/>
              <w:textAlignment w:val="auto"/>
              <w:rPr>
                <w:b/>
                <w:bCs/>
                <w:color w:val="000000"/>
              </w:rPr>
            </w:pPr>
            <w:r w:rsidRPr="00951D4B">
              <w:rPr>
                <w:rFonts w:eastAsia="Calibri"/>
                <w:b/>
                <w:bCs/>
                <w:color w:val="000000"/>
              </w:rPr>
              <w:t xml:space="preserve">Burden Hour Per Response </w:t>
            </w:r>
          </w:p>
        </w:tc>
        <w:tc>
          <w:tcPr>
            <w:tcW w:w="1080" w:type="dxa"/>
            <w:tcBorders>
              <w:top w:val="single" w:sz="8" w:space="0" w:color="auto"/>
              <w:left w:val="nil"/>
              <w:bottom w:val="single" w:sz="8" w:space="0" w:color="auto"/>
              <w:right w:val="single" w:sz="4" w:space="0" w:color="auto"/>
            </w:tcBorders>
            <w:shd w:val="clear" w:color="auto" w:fill="auto"/>
            <w:vAlign w:val="center"/>
            <w:hideMark/>
          </w:tcPr>
          <w:p w:rsidR="00951D4B" w:rsidRPr="00951D4B" w:rsidP="00951D4B" w14:paraId="7E8F2B45" w14:textId="77777777">
            <w:pPr>
              <w:overflowPunct/>
              <w:autoSpaceDE/>
              <w:autoSpaceDN/>
              <w:adjustRightInd/>
              <w:textAlignment w:val="auto"/>
              <w:rPr>
                <w:b/>
                <w:bCs/>
                <w:color w:val="000000"/>
              </w:rPr>
            </w:pPr>
            <w:r w:rsidRPr="00951D4B">
              <w:rPr>
                <w:rFonts w:eastAsia="Calibri"/>
                <w:b/>
                <w:bCs/>
                <w:color w:val="000000"/>
              </w:rPr>
              <w:t>Annual Burden Hours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951D4B" w:rsidRPr="00951D4B" w:rsidP="00951D4B" w14:paraId="557BEE8D" w14:textId="77777777">
            <w:pPr>
              <w:overflowPunct/>
              <w:autoSpaceDE/>
              <w:autoSpaceDN/>
              <w:adjustRightInd/>
              <w:textAlignment w:val="auto"/>
              <w:rPr>
                <w:b/>
                <w:bCs/>
                <w:color w:val="000000"/>
              </w:rPr>
            </w:pPr>
            <w:r w:rsidRPr="00951D4B">
              <w:rPr>
                <w:rFonts w:eastAsia="Calibri"/>
                <w:b/>
                <w:bCs/>
                <w:color w:val="000000"/>
              </w:rPr>
              <w:t>Hourly Cost Per Response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951D4B" w:rsidRPr="00951D4B" w:rsidP="00951D4B" w14:paraId="0E7B7410" w14:textId="77777777">
            <w:pPr>
              <w:overflowPunct/>
              <w:autoSpaceDE/>
              <w:autoSpaceDN/>
              <w:adjustRightInd/>
              <w:textAlignment w:val="auto"/>
              <w:rPr>
                <w:b/>
                <w:bCs/>
                <w:color w:val="000000"/>
              </w:rPr>
            </w:pPr>
            <w:r w:rsidRPr="00951D4B">
              <w:rPr>
                <w:rFonts w:eastAsia="Calibri"/>
                <w:b/>
                <w:bCs/>
                <w:color w:val="000000"/>
              </w:rPr>
              <w:t>Annual Cost</w:t>
            </w:r>
          </w:p>
        </w:tc>
      </w:tr>
      <w:tr w14:paraId="1E04C8BF" w14:textId="77777777" w:rsidTr="00030CC8">
        <w:tblPrEx>
          <w:tblW w:w="10710" w:type="dxa"/>
          <w:tblInd w:w="-342" w:type="dxa"/>
          <w:tblLook w:val="04A0"/>
        </w:tblPrEx>
        <w:trPr>
          <w:trHeight w:val="1120"/>
        </w:trPr>
        <w:tc>
          <w:tcPr>
            <w:tcW w:w="2118" w:type="dxa"/>
            <w:tcBorders>
              <w:top w:val="nil"/>
              <w:left w:val="single" w:sz="8" w:space="0" w:color="auto"/>
              <w:bottom w:val="single" w:sz="4" w:space="0" w:color="auto"/>
              <w:right w:val="single" w:sz="4" w:space="0" w:color="auto"/>
            </w:tcBorders>
            <w:shd w:val="clear" w:color="auto" w:fill="auto"/>
            <w:vAlign w:val="center"/>
            <w:hideMark/>
          </w:tcPr>
          <w:p w:rsidR="00821BF1" w:rsidRPr="00951D4B" w:rsidP="00030CC8" w14:paraId="3D29AE10" w14:textId="77777777">
            <w:pPr>
              <w:overflowPunct/>
              <w:autoSpaceDE/>
              <w:autoSpaceDN/>
              <w:adjustRightInd/>
              <w:textAlignment w:val="auto"/>
              <w:rPr>
                <w:color w:val="000000"/>
                <w:sz w:val="22"/>
                <w:szCs w:val="22"/>
              </w:rPr>
            </w:pPr>
            <w:r w:rsidRPr="00951D4B">
              <w:rPr>
                <w:color w:val="000000"/>
                <w:sz w:val="22"/>
                <w:szCs w:val="22"/>
              </w:rPr>
              <w:t>Consent Form for Families Living in Public Housing Developments (Appendix B)</w:t>
            </w:r>
          </w:p>
        </w:tc>
        <w:tc>
          <w:tcPr>
            <w:tcW w:w="1305" w:type="dxa"/>
            <w:tcBorders>
              <w:top w:val="nil"/>
              <w:left w:val="nil"/>
              <w:bottom w:val="single" w:sz="4" w:space="0" w:color="auto"/>
              <w:right w:val="single" w:sz="4" w:space="0" w:color="auto"/>
            </w:tcBorders>
            <w:shd w:val="clear" w:color="auto" w:fill="auto"/>
            <w:vAlign w:val="center"/>
            <w:hideMark/>
          </w:tcPr>
          <w:p w:rsidR="00821BF1" w:rsidRPr="00951D4B" w:rsidP="00030CC8" w14:paraId="03077907" w14:textId="77777777">
            <w:pPr>
              <w:overflowPunct/>
              <w:autoSpaceDE/>
              <w:autoSpaceDN/>
              <w:adjustRightInd/>
              <w:jc w:val="center"/>
              <w:textAlignment w:val="auto"/>
              <w:rPr>
                <w:color w:val="000000"/>
                <w:sz w:val="22"/>
                <w:szCs w:val="22"/>
              </w:rPr>
            </w:pPr>
            <w:r w:rsidRPr="00951D4B">
              <w:rPr>
                <w:color w:val="000000"/>
                <w:sz w:val="22"/>
                <w:szCs w:val="22"/>
              </w:rPr>
              <w:t>108</w:t>
            </w:r>
          </w:p>
        </w:tc>
        <w:tc>
          <w:tcPr>
            <w:tcW w:w="1257" w:type="dxa"/>
            <w:tcBorders>
              <w:top w:val="nil"/>
              <w:left w:val="nil"/>
              <w:bottom w:val="single" w:sz="4" w:space="0" w:color="auto"/>
              <w:right w:val="single" w:sz="4" w:space="0" w:color="auto"/>
            </w:tcBorders>
            <w:shd w:val="clear" w:color="auto" w:fill="auto"/>
            <w:vAlign w:val="center"/>
            <w:hideMark/>
          </w:tcPr>
          <w:p w:rsidR="00821BF1" w:rsidRPr="00951D4B" w:rsidP="00030CC8" w14:paraId="50BAB385" w14:textId="77777777">
            <w:pPr>
              <w:overflowPunct/>
              <w:autoSpaceDE/>
              <w:autoSpaceDN/>
              <w:adjustRightInd/>
              <w:jc w:val="center"/>
              <w:textAlignment w:val="auto"/>
              <w:rPr>
                <w:color w:val="000000"/>
                <w:sz w:val="22"/>
                <w:szCs w:val="22"/>
              </w:rPr>
            </w:pPr>
            <w:r w:rsidRPr="00951D4B">
              <w:rPr>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821BF1" w:rsidRPr="00951D4B" w:rsidP="00030CC8" w14:paraId="2585D514" w14:textId="77777777">
            <w:pPr>
              <w:overflowPunct/>
              <w:autoSpaceDE/>
              <w:autoSpaceDN/>
              <w:adjustRightInd/>
              <w:jc w:val="center"/>
              <w:textAlignment w:val="auto"/>
              <w:rPr>
                <w:color w:val="000000"/>
                <w:sz w:val="22"/>
                <w:szCs w:val="22"/>
              </w:rPr>
            </w:pPr>
            <w:r w:rsidRPr="00951D4B">
              <w:rPr>
                <w:color w:val="000000"/>
                <w:sz w:val="22"/>
                <w:szCs w:val="22"/>
              </w:rPr>
              <w:t>108</w:t>
            </w:r>
          </w:p>
        </w:tc>
        <w:tc>
          <w:tcPr>
            <w:tcW w:w="1170" w:type="dxa"/>
            <w:tcBorders>
              <w:top w:val="nil"/>
              <w:left w:val="nil"/>
              <w:bottom w:val="single" w:sz="4" w:space="0" w:color="auto"/>
              <w:right w:val="single" w:sz="4" w:space="0" w:color="auto"/>
            </w:tcBorders>
            <w:shd w:val="clear" w:color="auto" w:fill="auto"/>
            <w:vAlign w:val="center"/>
            <w:hideMark/>
          </w:tcPr>
          <w:p w:rsidR="00821BF1" w:rsidRPr="00951D4B" w:rsidP="00030CC8" w14:paraId="1A4C2FFE" w14:textId="77777777">
            <w:pPr>
              <w:overflowPunct/>
              <w:autoSpaceDE/>
              <w:autoSpaceDN/>
              <w:adjustRightInd/>
              <w:jc w:val="center"/>
              <w:textAlignment w:val="auto"/>
              <w:rPr>
                <w:color w:val="000000"/>
                <w:sz w:val="22"/>
                <w:szCs w:val="22"/>
              </w:rPr>
            </w:pPr>
            <w:r w:rsidRPr="00951D4B">
              <w:rPr>
                <w:color w:val="000000"/>
                <w:sz w:val="22"/>
                <w:szCs w:val="22"/>
              </w:rPr>
              <w:t>0.16</w:t>
            </w:r>
          </w:p>
        </w:tc>
        <w:tc>
          <w:tcPr>
            <w:tcW w:w="1080" w:type="dxa"/>
            <w:tcBorders>
              <w:top w:val="nil"/>
              <w:left w:val="nil"/>
              <w:bottom w:val="single" w:sz="4" w:space="0" w:color="auto"/>
              <w:right w:val="single" w:sz="4" w:space="0" w:color="auto"/>
            </w:tcBorders>
            <w:shd w:val="clear" w:color="auto" w:fill="auto"/>
            <w:vAlign w:val="center"/>
            <w:hideMark/>
          </w:tcPr>
          <w:p w:rsidR="00821BF1" w:rsidRPr="00951D4B" w:rsidP="00030CC8" w14:paraId="77D9E0F0" w14:textId="77777777">
            <w:pPr>
              <w:overflowPunct/>
              <w:autoSpaceDE/>
              <w:autoSpaceDN/>
              <w:adjustRightInd/>
              <w:jc w:val="center"/>
              <w:textAlignment w:val="auto"/>
              <w:rPr>
                <w:color w:val="000000"/>
                <w:sz w:val="22"/>
                <w:szCs w:val="22"/>
              </w:rPr>
            </w:pPr>
            <w:r w:rsidRPr="00951D4B">
              <w:rPr>
                <w:color w:val="000000"/>
                <w:sz w:val="22"/>
                <w:szCs w:val="22"/>
              </w:rPr>
              <w:t>17.28</w:t>
            </w:r>
          </w:p>
        </w:tc>
        <w:tc>
          <w:tcPr>
            <w:tcW w:w="1260" w:type="dxa"/>
            <w:tcBorders>
              <w:top w:val="nil"/>
              <w:left w:val="nil"/>
              <w:bottom w:val="single" w:sz="4" w:space="0" w:color="auto"/>
              <w:right w:val="single" w:sz="4" w:space="0" w:color="auto"/>
            </w:tcBorders>
            <w:shd w:val="clear" w:color="auto" w:fill="auto"/>
            <w:vAlign w:val="center"/>
            <w:hideMark/>
          </w:tcPr>
          <w:p w:rsidR="00821BF1" w:rsidRPr="00951D4B" w:rsidP="00030CC8" w14:paraId="7C9743D5" w14:textId="77777777">
            <w:pPr>
              <w:overflowPunct/>
              <w:autoSpaceDE/>
              <w:autoSpaceDN/>
              <w:adjustRightInd/>
              <w:jc w:val="center"/>
              <w:textAlignment w:val="auto"/>
              <w:rPr>
                <w:color w:val="000000"/>
                <w:sz w:val="22"/>
                <w:szCs w:val="22"/>
              </w:rPr>
            </w:pPr>
            <w:r w:rsidRPr="00951D4B">
              <w:rPr>
                <w:rFonts w:eastAsia="Calibri"/>
                <w:bCs/>
                <w:color w:val="000000"/>
                <w:sz w:val="22"/>
                <w:szCs w:val="22"/>
              </w:rPr>
              <w:t xml:space="preserve">$10.62 </w:t>
            </w:r>
          </w:p>
        </w:tc>
        <w:tc>
          <w:tcPr>
            <w:tcW w:w="1170" w:type="dxa"/>
            <w:tcBorders>
              <w:top w:val="nil"/>
              <w:left w:val="nil"/>
              <w:bottom w:val="single" w:sz="4" w:space="0" w:color="auto"/>
              <w:right w:val="single" w:sz="8" w:space="0" w:color="auto"/>
            </w:tcBorders>
            <w:shd w:val="clear" w:color="auto" w:fill="auto"/>
            <w:vAlign w:val="center"/>
            <w:hideMark/>
          </w:tcPr>
          <w:p w:rsidR="00821BF1" w:rsidRPr="00951D4B" w:rsidP="00030CC8" w14:paraId="52122AE7" w14:textId="77777777">
            <w:pPr>
              <w:overflowPunct/>
              <w:autoSpaceDE/>
              <w:autoSpaceDN/>
              <w:adjustRightInd/>
              <w:jc w:val="center"/>
              <w:textAlignment w:val="auto"/>
              <w:rPr>
                <w:color w:val="000000"/>
                <w:sz w:val="22"/>
                <w:szCs w:val="22"/>
              </w:rPr>
            </w:pPr>
            <w:r w:rsidRPr="00951D4B">
              <w:rPr>
                <w:color w:val="000000"/>
                <w:sz w:val="22"/>
                <w:szCs w:val="22"/>
              </w:rPr>
              <w:t xml:space="preserve">$183.51 </w:t>
            </w:r>
          </w:p>
        </w:tc>
      </w:tr>
      <w:tr w14:paraId="2DDE97E4" w14:textId="77777777" w:rsidTr="00821BF1">
        <w:tblPrEx>
          <w:tblW w:w="10710" w:type="dxa"/>
          <w:tblInd w:w="-342" w:type="dxa"/>
          <w:tblLook w:val="04A0"/>
        </w:tblPrEx>
        <w:trPr>
          <w:trHeight w:val="560"/>
        </w:trPr>
        <w:tc>
          <w:tcPr>
            <w:tcW w:w="2118" w:type="dxa"/>
            <w:tcBorders>
              <w:top w:val="nil"/>
              <w:left w:val="single" w:sz="8" w:space="0" w:color="auto"/>
              <w:bottom w:val="single" w:sz="4" w:space="0" w:color="auto"/>
              <w:right w:val="single" w:sz="4" w:space="0" w:color="auto"/>
            </w:tcBorders>
            <w:shd w:val="clear" w:color="auto" w:fill="auto"/>
            <w:vAlign w:val="center"/>
            <w:hideMark/>
          </w:tcPr>
          <w:p w:rsidR="00951D4B" w:rsidRPr="00951D4B" w:rsidP="00951D4B" w14:paraId="3895FF49" w14:textId="77777777">
            <w:pPr>
              <w:overflowPunct/>
              <w:autoSpaceDE/>
              <w:autoSpaceDN/>
              <w:adjustRightInd/>
              <w:textAlignment w:val="auto"/>
              <w:rPr>
                <w:color w:val="000000"/>
                <w:sz w:val="22"/>
                <w:szCs w:val="22"/>
              </w:rPr>
            </w:pPr>
            <w:r w:rsidRPr="00951D4B">
              <w:rPr>
                <w:color w:val="000000"/>
                <w:sz w:val="22"/>
                <w:szCs w:val="22"/>
              </w:rPr>
              <w:t>Constituent Consent Form (Appendix C)</w:t>
            </w:r>
          </w:p>
        </w:tc>
        <w:tc>
          <w:tcPr>
            <w:tcW w:w="1305" w:type="dxa"/>
            <w:tcBorders>
              <w:top w:val="nil"/>
              <w:left w:val="nil"/>
              <w:bottom w:val="single" w:sz="4" w:space="0" w:color="auto"/>
              <w:right w:val="single" w:sz="4" w:space="0" w:color="auto"/>
            </w:tcBorders>
            <w:shd w:val="clear" w:color="auto" w:fill="auto"/>
            <w:vAlign w:val="center"/>
            <w:hideMark/>
          </w:tcPr>
          <w:p w:rsidR="00951D4B" w:rsidRPr="00951D4B" w:rsidP="00951D4B" w14:paraId="6D6F5A53" w14:textId="77777777">
            <w:pPr>
              <w:overflowPunct/>
              <w:autoSpaceDE/>
              <w:autoSpaceDN/>
              <w:adjustRightInd/>
              <w:jc w:val="center"/>
              <w:textAlignment w:val="auto"/>
              <w:rPr>
                <w:color w:val="000000"/>
                <w:sz w:val="22"/>
                <w:szCs w:val="22"/>
              </w:rPr>
            </w:pPr>
            <w:r w:rsidRPr="00951D4B">
              <w:rPr>
                <w:color w:val="000000"/>
                <w:sz w:val="22"/>
                <w:szCs w:val="22"/>
              </w:rPr>
              <w:t>96</w:t>
            </w:r>
          </w:p>
        </w:tc>
        <w:tc>
          <w:tcPr>
            <w:tcW w:w="1257" w:type="dxa"/>
            <w:tcBorders>
              <w:top w:val="nil"/>
              <w:left w:val="nil"/>
              <w:bottom w:val="single" w:sz="4" w:space="0" w:color="auto"/>
              <w:right w:val="single" w:sz="4" w:space="0" w:color="auto"/>
            </w:tcBorders>
            <w:shd w:val="clear" w:color="auto" w:fill="auto"/>
            <w:vAlign w:val="center"/>
            <w:hideMark/>
          </w:tcPr>
          <w:p w:rsidR="00951D4B" w:rsidRPr="00951D4B" w:rsidP="00951D4B" w14:paraId="63E914F1" w14:textId="77777777">
            <w:pPr>
              <w:overflowPunct/>
              <w:autoSpaceDE/>
              <w:autoSpaceDN/>
              <w:adjustRightInd/>
              <w:jc w:val="center"/>
              <w:textAlignment w:val="auto"/>
              <w:rPr>
                <w:color w:val="000000"/>
                <w:sz w:val="22"/>
                <w:szCs w:val="22"/>
              </w:rPr>
            </w:pPr>
            <w:r w:rsidRPr="00951D4B">
              <w:rPr>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951D4B" w:rsidRPr="00951D4B" w:rsidP="00951D4B" w14:paraId="7FD545E0" w14:textId="77777777">
            <w:pPr>
              <w:overflowPunct/>
              <w:autoSpaceDE/>
              <w:autoSpaceDN/>
              <w:adjustRightInd/>
              <w:jc w:val="center"/>
              <w:textAlignment w:val="auto"/>
              <w:rPr>
                <w:color w:val="000000"/>
                <w:sz w:val="22"/>
                <w:szCs w:val="22"/>
              </w:rPr>
            </w:pPr>
            <w:r w:rsidRPr="00951D4B">
              <w:rPr>
                <w:color w:val="000000"/>
                <w:sz w:val="22"/>
                <w:szCs w:val="22"/>
              </w:rPr>
              <w:t>96</w:t>
            </w:r>
          </w:p>
        </w:tc>
        <w:tc>
          <w:tcPr>
            <w:tcW w:w="1170" w:type="dxa"/>
            <w:tcBorders>
              <w:top w:val="nil"/>
              <w:left w:val="nil"/>
              <w:bottom w:val="single" w:sz="4" w:space="0" w:color="auto"/>
              <w:right w:val="single" w:sz="4" w:space="0" w:color="auto"/>
            </w:tcBorders>
            <w:shd w:val="clear" w:color="auto" w:fill="auto"/>
            <w:vAlign w:val="center"/>
            <w:hideMark/>
          </w:tcPr>
          <w:p w:rsidR="00951D4B" w:rsidRPr="00951D4B" w:rsidP="00951D4B" w14:paraId="33E6AAE5" w14:textId="77777777">
            <w:pPr>
              <w:overflowPunct/>
              <w:autoSpaceDE/>
              <w:autoSpaceDN/>
              <w:adjustRightInd/>
              <w:jc w:val="center"/>
              <w:textAlignment w:val="auto"/>
              <w:rPr>
                <w:color w:val="000000"/>
                <w:sz w:val="22"/>
                <w:szCs w:val="22"/>
              </w:rPr>
            </w:pPr>
            <w:r w:rsidRPr="00951D4B">
              <w:rPr>
                <w:color w:val="000000"/>
                <w:sz w:val="22"/>
                <w:szCs w:val="22"/>
              </w:rPr>
              <w:t>0.16</w:t>
            </w:r>
          </w:p>
        </w:tc>
        <w:tc>
          <w:tcPr>
            <w:tcW w:w="1080" w:type="dxa"/>
            <w:tcBorders>
              <w:top w:val="nil"/>
              <w:left w:val="nil"/>
              <w:bottom w:val="single" w:sz="4" w:space="0" w:color="auto"/>
              <w:right w:val="single" w:sz="4" w:space="0" w:color="auto"/>
            </w:tcBorders>
            <w:shd w:val="clear" w:color="auto" w:fill="auto"/>
            <w:vAlign w:val="center"/>
            <w:hideMark/>
          </w:tcPr>
          <w:p w:rsidR="00951D4B" w:rsidRPr="00951D4B" w:rsidP="00951D4B" w14:paraId="3336EB3C" w14:textId="77777777">
            <w:pPr>
              <w:overflowPunct/>
              <w:autoSpaceDE/>
              <w:autoSpaceDN/>
              <w:adjustRightInd/>
              <w:jc w:val="center"/>
              <w:textAlignment w:val="auto"/>
              <w:rPr>
                <w:color w:val="000000"/>
                <w:sz w:val="22"/>
                <w:szCs w:val="22"/>
              </w:rPr>
            </w:pPr>
            <w:r w:rsidRPr="00951D4B">
              <w:rPr>
                <w:color w:val="000000"/>
                <w:sz w:val="22"/>
                <w:szCs w:val="22"/>
              </w:rPr>
              <w:t>15.36</w:t>
            </w:r>
          </w:p>
        </w:tc>
        <w:tc>
          <w:tcPr>
            <w:tcW w:w="1260" w:type="dxa"/>
            <w:tcBorders>
              <w:top w:val="nil"/>
              <w:left w:val="nil"/>
              <w:bottom w:val="single" w:sz="4" w:space="0" w:color="auto"/>
              <w:right w:val="single" w:sz="4" w:space="0" w:color="auto"/>
            </w:tcBorders>
            <w:shd w:val="clear" w:color="auto" w:fill="auto"/>
            <w:vAlign w:val="center"/>
            <w:hideMark/>
          </w:tcPr>
          <w:p w:rsidR="00951D4B" w:rsidRPr="00951D4B" w:rsidP="00951D4B" w14:paraId="5CEB20AE" w14:textId="77777777">
            <w:pPr>
              <w:overflowPunct/>
              <w:autoSpaceDE/>
              <w:autoSpaceDN/>
              <w:adjustRightInd/>
              <w:jc w:val="center"/>
              <w:textAlignment w:val="auto"/>
              <w:rPr>
                <w:color w:val="000000"/>
                <w:sz w:val="22"/>
                <w:szCs w:val="22"/>
              </w:rPr>
            </w:pPr>
            <w:r w:rsidRPr="00951D4B">
              <w:rPr>
                <w:rFonts w:eastAsia="Calibri"/>
                <w:bCs/>
                <w:color w:val="000000"/>
                <w:sz w:val="22"/>
                <w:szCs w:val="22"/>
              </w:rPr>
              <w:t xml:space="preserve">$43.33 </w:t>
            </w:r>
          </w:p>
        </w:tc>
        <w:tc>
          <w:tcPr>
            <w:tcW w:w="1170" w:type="dxa"/>
            <w:tcBorders>
              <w:top w:val="nil"/>
              <w:left w:val="nil"/>
              <w:bottom w:val="single" w:sz="4" w:space="0" w:color="auto"/>
              <w:right w:val="single" w:sz="8" w:space="0" w:color="auto"/>
            </w:tcBorders>
            <w:shd w:val="clear" w:color="auto" w:fill="auto"/>
            <w:vAlign w:val="center"/>
            <w:hideMark/>
          </w:tcPr>
          <w:p w:rsidR="00951D4B" w:rsidRPr="00951D4B" w:rsidP="00951D4B" w14:paraId="4351A2C7" w14:textId="77777777">
            <w:pPr>
              <w:overflowPunct/>
              <w:autoSpaceDE/>
              <w:autoSpaceDN/>
              <w:adjustRightInd/>
              <w:jc w:val="center"/>
              <w:textAlignment w:val="auto"/>
              <w:rPr>
                <w:color w:val="000000"/>
                <w:sz w:val="22"/>
                <w:szCs w:val="22"/>
              </w:rPr>
            </w:pPr>
            <w:r w:rsidRPr="00951D4B">
              <w:rPr>
                <w:color w:val="000000"/>
                <w:sz w:val="22"/>
                <w:szCs w:val="22"/>
              </w:rPr>
              <w:t xml:space="preserve">$665.55 </w:t>
            </w:r>
          </w:p>
        </w:tc>
      </w:tr>
      <w:tr w14:paraId="1D4292DC" w14:textId="77777777" w:rsidTr="00821BF1">
        <w:tblPrEx>
          <w:tblW w:w="10710" w:type="dxa"/>
          <w:tblInd w:w="-342" w:type="dxa"/>
          <w:tblLook w:val="04A0"/>
        </w:tblPrEx>
        <w:trPr>
          <w:trHeight w:val="840"/>
        </w:trPr>
        <w:tc>
          <w:tcPr>
            <w:tcW w:w="2118" w:type="dxa"/>
            <w:tcBorders>
              <w:top w:val="nil"/>
              <w:left w:val="single" w:sz="8" w:space="0" w:color="auto"/>
              <w:bottom w:val="single" w:sz="4" w:space="0" w:color="auto"/>
              <w:right w:val="single" w:sz="4" w:space="0" w:color="auto"/>
            </w:tcBorders>
            <w:shd w:val="clear" w:color="auto" w:fill="auto"/>
            <w:vAlign w:val="center"/>
            <w:hideMark/>
          </w:tcPr>
          <w:p w:rsidR="00951D4B" w:rsidRPr="00951D4B" w:rsidP="00951D4B" w14:paraId="4F75D95F" w14:textId="77777777">
            <w:pPr>
              <w:overflowPunct/>
              <w:autoSpaceDE/>
              <w:autoSpaceDN/>
              <w:adjustRightInd/>
              <w:textAlignment w:val="auto"/>
              <w:rPr>
                <w:color w:val="000000"/>
                <w:sz w:val="22"/>
                <w:szCs w:val="22"/>
              </w:rPr>
            </w:pPr>
            <w:r w:rsidRPr="00951D4B">
              <w:rPr>
                <w:color w:val="000000"/>
                <w:sz w:val="22"/>
                <w:szCs w:val="22"/>
              </w:rPr>
              <w:t>Interviews with Housing Constituents (Appendix D)</w:t>
            </w:r>
          </w:p>
        </w:tc>
        <w:tc>
          <w:tcPr>
            <w:tcW w:w="1305" w:type="dxa"/>
            <w:tcBorders>
              <w:top w:val="nil"/>
              <w:left w:val="nil"/>
              <w:bottom w:val="single" w:sz="4" w:space="0" w:color="auto"/>
              <w:right w:val="single" w:sz="4" w:space="0" w:color="auto"/>
            </w:tcBorders>
            <w:shd w:val="clear" w:color="auto" w:fill="auto"/>
            <w:vAlign w:val="center"/>
            <w:hideMark/>
          </w:tcPr>
          <w:p w:rsidR="00951D4B" w:rsidRPr="00951D4B" w:rsidP="00951D4B" w14:paraId="7720FFA7"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257" w:type="dxa"/>
            <w:tcBorders>
              <w:top w:val="nil"/>
              <w:left w:val="nil"/>
              <w:bottom w:val="single" w:sz="4" w:space="0" w:color="auto"/>
              <w:right w:val="single" w:sz="4" w:space="0" w:color="auto"/>
            </w:tcBorders>
            <w:shd w:val="clear" w:color="auto" w:fill="auto"/>
            <w:vAlign w:val="center"/>
            <w:hideMark/>
          </w:tcPr>
          <w:p w:rsidR="00951D4B" w:rsidRPr="00951D4B" w:rsidP="00951D4B" w14:paraId="47FCAA52" w14:textId="77777777">
            <w:pPr>
              <w:overflowPunct/>
              <w:autoSpaceDE/>
              <w:autoSpaceDN/>
              <w:adjustRightInd/>
              <w:jc w:val="center"/>
              <w:textAlignment w:val="auto"/>
              <w:rPr>
                <w:color w:val="000000"/>
                <w:sz w:val="22"/>
                <w:szCs w:val="22"/>
              </w:rPr>
            </w:pPr>
            <w:r w:rsidRPr="00951D4B">
              <w:rPr>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951D4B" w:rsidRPr="00951D4B" w:rsidP="00951D4B" w14:paraId="431EE0FC"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170" w:type="dxa"/>
            <w:tcBorders>
              <w:top w:val="nil"/>
              <w:left w:val="nil"/>
              <w:bottom w:val="single" w:sz="4" w:space="0" w:color="auto"/>
              <w:right w:val="single" w:sz="4" w:space="0" w:color="auto"/>
            </w:tcBorders>
            <w:shd w:val="clear" w:color="auto" w:fill="auto"/>
            <w:vAlign w:val="center"/>
            <w:hideMark/>
          </w:tcPr>
          <w:p w:rsidR="00951D4B" w:rsidRPr="00951D4B" w:rsidP="00951D4B" w14:paraId="12A9EB2E" w14:textId="77777777">
            <w:pPr>
              <w:overflowPunct/>
              <w:autoSpaceDE/>
              <w:autoSpaceDN/>
              <w:adjustRightInd/>
              <w:jc w:val="center"/>
              <w:textAlignment w:val="auto"/>
              <w:rPr>
                <w:color w:val="000000"/>
                <w:sz w:val="22"/>
                <w:szCs w:val="22"/>
              </w:rPr>
            </w:pPr>
            <w:r w:rsidRPr="00951D4B">
              <w:rPr>
                <w:color w:val="000000"/>
                <w:sz w:val="22"/>
                <w:szCs w:val="22"/>
              </w:rPr>
              <w:t>0.83</w:t>
            </w:r>
          </w:p>
        </w:tc>
        <w:tc>
          <w:tcPr>
            <w:tcW w:w="1080" w:type="dxa"/>
            <w:tcBorders>
              <w:top w:val="nil"/>
              <w:left w:val="nil"/>
              <w:bottom w:val="single" w:sz="4" w:space="0" w:color="auto"/>
              <w:right w:val="single" w:sz="4" w:space="0" w:color="auto"/>
            </w:tcBorders>
            <w:shd w:val="clear" w:color="auto" w:fill="auto"/>
            <w:vAlign w:val="center"/>
            <w:hideMark/>
          </w:tcPr>
          <w:p w:rsidR="00951D4B" w:rsidRPr="00951D4B" w:rsidP="00951D4B" w14:paraId="1BB01011" w14:textId="77777777">
            <w:pPr>
              <w:overflowPunct/>
              <w:autoSpaceDE/>
              <w:autoSpaceDN/>
              <w:adjustRightInd/>
              <w:jc w:val="center"/>
              <w:textAlignment w:val="auto"/>
              <w:rPr>
                <w:color w:val="000000"/>
                <w:sz w:val="22"/>
                <w:szCs w:val="22"/>
              </w:rPr>
            </w:pPr>
            <w:r w:rsidRPr="00951D4B">
              <w:rPr>
                <w:color w:val="000000"/>
                <w:sz w:val="22"/>
                <w:szCs w:val="22"/>
              </w:rPr>
              <w:t>19.92</w:t>
            </w:r>
          </w:p>
        </w:tc>
        <w:tc>
          <w:tcPr>
            <w:tcW w:w="1260" w:type="dxa"/>
            <w:tcBorders>
              <w:top w:val="nil"/>
              <w:left w:val="nil"/>
              <w:bottom w:val="single" w:sz="4" w:space="0" w:color="auto"/>
              <w:right w:val="single" w:sz="4" w:space="0" w:color="auto"/>
            </w:tcBorders>
            <w:shd w:val="clear" w:color="auto" w:fill="auto"/>
            <w:vAlign w:val="center"/>
            <w:hideMark/>
          </w:tcPr>
          <w:p w:rsidR="00951D4B" w:rsidRPr="00951D4B" w:rsidP="00951D4B" w14:paraId="4C65132C" w14:textId="77777777">
            <w:pPr>
              <w:overflowPunct/>
              <w:autoSpaceDE/>
              <w:autoSpaceDN/>
              <w:adjustRightInd/>
              <w:jc w:val="center"/>
              <w:textAlignment w:val="auto"/>
              <w:rPr>
                <w:color w:val="000000"/>
                <w:sz w:val="22"/>
                <w:szCs w:val="22"/>
              </w:rPr>
            </w:pPr>
            <w:r w:rsidRPr="00951D4B">
              <w:rPr>
                <w:color w:val="000000"/>
                <w:sz w:val="22"/>
                <w:szCs w:val="22"/>
              </w:rPr>
              <w:t xml:space="preserve">$43.33 </w:t>
            </w:r>
          </w:p>
        </w:tc>
        <w:tc>
          <w:tcPr>
            <w:tcW w:w="1170" w:type="dxa"/>
            <w:tcBorders>
              <w:top w:val="nil"/>
              <w:left w:val="nil"/>
              <w:bottom w:val="single" w:sz="4" w:space="0" w:color="auto"/>
              <w:right w:val="single" w:sz="8" w:space="0" w:color="auto"/>
            </w:tcBorders>
            <w:shd w:val="clear" w:color="auto" w:fill="auto"/>
            <w:vAlign w:val="center"/>
            <w:hideMark/>
          </w:tcPr>
          <w:p w:rsidR="00951D4B" w:rsidRPr="00951D4B" w:rsidP="00951D4B" w14:paraId="5C9D6543" w14:textId="77777777">
            <w:pPr>
              <w:overflowPunct/>
              <w:autoSpaceDE/>
              <w:autoSpaceDN/>
              <w:adjustRightInd/>
              <w:jc w:val="center"/>
              <w:textAlignment w:val="auto"/>
              <w:rPr>
                <w:color w:val="000000"/>
                <w:sz w:val="22"/>
                <w:szCs w:val="22"/>
              </w:rPr>
            </w:pPr>
            <w:r w:rsidRPr="00951D4B">
              <w:rPr>
                <w:color w:val="000000"/>
                <w:sz w:val="22"/>
                <w:szCs w:val="22"/>
              </w:rPr>
              <w:t xml:space="preserve">$863.13 </w:t>
            </w:r>
          </w:p>
        </w:tc>
      </w:tr>
      <w:tr w14:paraId="3210B966" w14:textId="77777777" w:rsidTr="00821BF1">
        <w:tblPrEx>
          <w:tblW w:w="10710" w:type="dxa"/>
          <w:tblInd w:w="-342" w:type="dxa"/>
          <w:tblLook w:val="04A0"/>
        </w:tblPrEx>
        <w:trPr>
          <w:trHeight w:val="840"/>
        </w:trPr>
        <w:tc>
          <w:tcPr>
            <w:tcW w:w="2118" w:type="dxa"/>
            <w:tcBorders>
              <w:top w:val="nil"/>
              <w:left w:val="single" w:sz="8" w:space="0" w:color="auto"/>
              <w:bottom w:val="single" w:sz="4" w:space="0" w:color="auto"/>
              <w:right w:val="single" w:sz="4" w:space="0" w:color="auto"/>
            </w:tcBorders>
            <w:shd w:val="clear" w:color="auto" w:fill="auto"/>
            <w:vAlign w:val="center"/>
            <w:hideMark/>
          </w:tcPr>
          <w:p w:rsidR="00951D4B" w:rsidRPr="00951D4B" w:rsidP="00951D4B" w14:paraId="1E08BB65" w14:textId="77777777">
            <w:pPr>
              <w:overflowPunct/>
              <w:autoSpaceDE/>
              <w:autoSpaceDN/>
              <w:adjustRightInd/>
              <w:textAlignment w:val="auto"/>
              <w:rPr>
                <w:color w:val="000000"/>
                <w:sz w:val="22"/>
                <w:szCs w:val="22"/>
              </w:rPr>
            </w:pPr>
            <w:r w:rsidRPr="00951D4B">
              <w:rPr>
                <w:color w:val="000000"/>
                <w:sz w:val="22"/>
                <w:szCs w:val="22"/>
              </w:rPr>
              <w:t>Interviews with CC&amp;R Administrators (Appendix E)</w:t>
            </w:r>
          </w:p>
        </w:tc>
        <w:tc>
          <w:tcPr>
            <w:tcW w:w="1305" w:type="dxa"/>
            <w:tcBorders>
              <w:top w:val="nil"/>
              <w:left w:val="nil"/>
              <w:bottom w:val="single" w:sz="4" w:space="0" w:color="auto"/>
              <w:right w:val="single" w:sz="4" w:space="0" w:color="auto"/>
            </w:tcBorders>
            <w:shd w:val="clear" w:color="auto" w:fill="auto"/>
            <w:vAlign w:val="center"/>
            <w:hideMark/>
          </w:tcPr>
          <w:p w:rsidR="00951D4B" w:rsidRPr="00951D4B" w:rsidP="00951D4B" w14:paraId="5009D161"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257" w:type="dxa"/>
            <w:tcBorders>
              <w:top w:val="nil"/>
              <w:left w:val="nil"/>
              <w:bottom w:val="single" w:sz="4" w:space="0" w:color="auto"/>
              <w:right w:val="single" w:sz="4" w:space="0" w:color="auto"/>
            </w:tcBorders>
            <w:shd w:val="clear" w:color="auto" w:fill="auto"/>
            <w:vAlign w:val="center"/>
            <w:hideMark/>
          </w:tcPr>
          <w:p w:rsidR="00951D4B" w:rsidRPr="00951D4B" w:rsidP="00951D4B" w14:paraId="23B25F37" w14:textId="77777777">
            <w:pPr>
              <w:overflowPunct/>
              <w:autoSpaceDE/>
              <w:autoSpaceDN/>
              <w:adjustRightInd/>
              <w:jc w:val="center"/>
              <w:textAlignment w:val="auto"/>
              <w:rPr>
                <w:color w:val="000000"/>
                <w:sz w:val="22"/>
                <w:szCs w:val="22"/>
              </w:rPr>
            </w:pPr>
            <w:r w:rsidRPr="00951D4B">
              <w:rPr>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951D4B" w:rsidRPr="00951D4B" w:rsidP="00951D4B" w14:paraId="0CFB86D1"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170" w:type="dxa"/>
            <w:tcBorders>
              <w:top w:val="nil"/>
              <w:left w:val="nil"/>
              <w:bottom w:val="single" w:sz="4" w:space="0" w:color="auto"/>
              <w:right w:val="single" w:sz="4" w:space="0" w:color="auto"/>
            </w:tcBorders>
            <w:shd w:val="clear" w:color="auto" w:fill="auto"/>
            <w:vAlign w:val="center"/>
            <w:hideMark/>
          </w:tcPr>
          <w:p w:rsidR="00951D4B" w:rsidRPr="00951D4B" w:rsidP="00951D4B" w14:paraId="286FBE7E" w14:textId="77777777">
            <w:pPr>
              <w:overflowPunct/>
              <w:autoSpaceDE/>
              <w:autoSpaceDN/>
              <w:adjustRightInd/>
              <w:jc w:val="center"/>
              <w:textAlignment w:val="auto"/>
              <w:rPr>
                <w:color w:val="000000"/>
                <w:sz w:val="22"/>
                <w:szCs w:val="22"/>
              </w:rPr>
            </w:pPr>
            <w:r w:rsidRPr="00951D4B">
              <w:rPr>
                <w:color w:val="000000"/>
                <w:sz w:val="22"/>
                <w:szCs w:val="22"/>
              </w:rPr>
              <w:t>0.83</w:t>
            </w:r>
          </w:p>
        </w:tc>
        <w:tc>
          <w:tcPr>
            <w:tcW w:w="1080" w:type="dxa"/>
            <w:tcBorders>
              <w:top w:val="nil"/>
              <w:left w:val="nil"/>
              <w:bottom w:val="single" w:sz="4" w:space="0" w:color="auto"/>
              <w:right w:val="single" w:sz="4" w:space="0" w:color="auto"/>
            </w:tcBorders>
            <w:shd w:val="clear" w:color="auto" w:fill="auto"/>
            <w:vAlign w:val="center"/>
            <w:hideMark/>
          </w:tcPr>
          <w:p w:rsidR="00951D4B" w:rsidRPr="00951D4B" w:rsidP="00951D4B" w14:paraId="61EBB4F3" w14:textId="77777777">
            <w:pPr>
              <w:overflowPunct/>
              <w:autoSpaceDE/>
              <w:autoSpaceDN/>
              <w:adjustRightInd/>
              <w:jc w:val="center"/>
              <w:textAlignment w:val="auto"/>
              <w:rPr>
                <w:color w:val="000000"/>
                <w:sz w:val="22"/>
                <w:szCs w:val="22"/>
              </w:rPr>
            </w:pPr>
            <w:r w:rsidRPr="00951D4B">
              <w:rPr>
                <w:color w:val="000000"/>
                <w:sz w:val="22"/>
                <w:szCs w:val="22"/>
              </w:rPr>
              <w:t>19.92</w:t>
            </w:r>
          </w:p>
        </w:tc>
        <w:tc>
          <w:tcPr>
            <w:tcW w:w="1260" w:type="dxa"/>
            <w:tcBorders>
              <w:top w:val="nil"/>
              <w:left w:val="nil"/>
              <w:bottom w:val="single" w:sz="4" w:space="0" w:color="auto"/>
              <w:right w:val="single" w:sz="4" w:space="0" w:color="auto"/>
            </w:tcBorders>
            <w:shd w:val="clear" w:color="auto" w:fill="auto"/>
            <w:vAlign w:val="center"/>
            <w:hideMark/>
          </w:tcPr>
          <w:p w:rsidR="00951D4B" w:rsidRPr="00951D4B" w:rsidP="00951D4B" w14:paraId="2A89AB91" w14:textId="77777777">
            <w:pPr>
              <w:overflowPunct/>
              <w:autoSpaceDE/>
              <w:autoSpaceDN/>
              <w:adjustRightInd/>
              <w:jc w:val="center"/>
              <w:textAlignment w:val="auto"/>
              <w:rPr>
                <w:color w:val="000000"/>
                <w:sz w:val="22"/>
                <w:szCs w:val="22"/>
              </w:rPr>
            </w:pPr>
            <w:r w:rsidRPr="00951D4B">
              <w:rPr>
                <w:color w:val="000000"/>
                <w:sz w:val="22"/>
                <w:szCs w:val="22"/>
              </w:rPr>
              <w:t xml:space="preserve">$43.33 </w:t>
            </w:r>
          </w:p>
        </w:tc>
        <w:tc>
          <w:tcPr>
            <w:tcW w:w="1170" w:type="dxa"/>
            <w:tcBorders>
              <w:top w:val="nil"/>
              <w:left w:val="nil"/>
              <w:bottom w:val="single" w:sz="4" w:space="0" w:color="auto"/>
              <w:right w:val="single" w:sz="8" w:space="0" w:color="auto"/>
            </w:tcBorders>
            <w:shd w:val="clear" w:color="auto" w:fill="auto"/>
            <w:vAlign w:val="center"/>
            <w:hideMark/>
          </w:tcPr>
          <w:p w:rsidR="00951D4B" w:rsidRPr="00951D4B" w:rsidP="00951D4B" w14:paraId="7E87929E" w14:textId="77777777">
            <w:pPr>
              <w:overflowPunct/>
              <w:autoSpaceDE/>
              <w:autoSpaceDN/>
              <w:adjustRightInd/>
              <w:jc w:val="center"/>
              <w:textAlignment w:val="auto"/>
              <w:rPr>
                <w:color w:val="000000"/>
                <w:sz w:val="22"/>
                <w:szCs w:val="22"/>
              </w:rPr>
            </w:pPr>
            <w:r w:rsidRPr="00951D4B">
              <w:rPr>
                <w:color w:val="000000"/>
                <w:sz w:val="22"/>
                <w:szCs w:val="22"/>
              </w:rPr>
              <w:t xml:space="preserve">$863.13 </w:t>
            </w:r>
          </w:p>
        </w:tc>
      </w:tr>
      <w:tr w14:paraId="63617C14" w14:textId="77777777" w:rsidTr="00821BF1">
        <w:tblPrEx>
          <w:tblW w:w="10710" w:type="dxa"/>
          <w:tblInd w:w="-342" w:type="dxa"/>
          <w:tblLook w:val="04A0"/>
        </w:tblPrEx>
        <w:trPr>
          <w:trHeight w:val="1120"/>
        </w:trPr>
        <w:tc>
          <w:tcPr>
            <w:tcW w:w="2118" w:type="dxa"/>
            <w:tcBorders>
              <w:top w:val="nil"/>
              <w:left w:val="single" w:sz="8" w:space="0" w:color="auto"/>
              <w:bottom w:val="single" w:sz="4" w:space="0" w:color="auto"/>
              <w:right w:val="single" w:sz="4" w:space="0" w:color="auto"/>
            </w:tcBorders>
            <w:shd w:val="clear" w:color="auto" w:fill="auto"/>
            <w:vAlign w:val="center"/>
            <w:hideMark/>
          </w:tcPr>
          <w:p w:rsidR="00951D4B" w:rsidRPr="00951D4B" w:rsidP="00951D4B" w14:paraId="46A55D97" w14:textId="77777777">
            <w:pPr>
              <w:overflowPunct/>
              <w:autoSpaceDE/>
              <w:autoSpaceDN/>
              <w:adjustRightInd/>
              <w:textAlignment w:val="auto"/>
              <w:rPr>
                <w:color w:val="000000"/>
                <w:sz w:val="22"/>
                <w:szCs w:val="22"/>
              </w:rPr>
            </w:pPr>
            <w:r w:rsidRPr="00951D4B">
              <w:rPr>
                <w:color w:val="000000"/>
                <w:sz w:val="22"/>
                <w:szCs w:val="22"/>
              </w:rPr>
              <w:t>Interviews with CCDF State Administrators and HSCO Directors (Appendix F)</w:t>
            </w:r>
          </w:p>
        </w:tc>
        <w:tc>
          <w:tcPr>
            <w:tcW w:w="1305" w:type="dxa"/>
            <w:tcBorders>
              <w:top w:val="nil"/>
              <w:left w:val="nil"/>
              <w:bottom w:val="single" w:sz="4" w:space="0" w:color="auto"/>
              <w:right w:val="single" w:sz="4" w:space="0" w:color="auto"/>
            </w:tcBorders>
            <w:shd w:val="clear" w:color="auto" w:fill="auto"/>
            <w:vAlign w:val="center"/>
            <w:hideMark/>
          </w:tcPr>
          <w:p w:rsidR="00951D4B" w:rsidRPr="00951D4B" w:rsidP="00951D4B" w14:paraId="51043409"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257" w:type="dxa"/>
            <w:tcBorders>
              <w:top w:val="nil"/>
              <w:left w:val="nil"/>
              <w:bottom w:val="single" w:sz="4" w:space="0" w:color="auto"/>
              <w:right w:val="single" w:sz="4" w:space="0" w:color="auto"/>
            </w:tcBorders>
            <w:shd w:val="clear" w:color="auto" w:fill="auto"/>
            <w:vAlign w:val="center"/>
            <w:hideMark/>
          </w:tcPr>
          <w:p w:rsidR="00951D4B" w:rsidRPr="00951D4B" w:rsidP="00951D4B" w14:paraId="294D105E" w14:textId="77777777">
            <w:pPr>
              <w:overflowPunct/>
              <w:autoSpaceDE/>
              <w:autoSpaceDN/>
              <w:adjustRightInd/>
              <w:jc w:val="center"/>
              <w:textAlignment w:val="auto"/>
              <w:rPr>
                <w:color w:val="000000"/>
                <w:sz w:val="22"/>
                <w:szCs w:val="22"/>
              </w:rPr>
            </w:pPr>
            <w:r w:rsidRPr="00951D4B">
              <w:rPr>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951D4B" w:rsidRPr="00951D4B" w:rsidP="00951D4B" w14:paraId="0C79AA7D"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170" w:type="dxa"/>
            <w:tcBorders>
              <w:top w:val="nil"/>
              <w:left w:val="nil"/>
              <w:bottom w:val="single" w:sz="4" w:space="0" w:color="auto"/>
              <w:right w:val="single" w:sz="4" w:space="0" w:color="auto"/>
            </w:tcBorders>
            <w:shd w:val="clear" w:color="auto" w:fill="auto"/>
            <w:vAlign w:val="center"/>
            <w:hideMark/>
          </w:tcPr>
          <w:p w:rsidR="00951D4B" w:rsidRPr="00951D4B" w:rsidP="00951D4B" w14:paraId="328E23B3" w14:textId="77777777">
            <w:pPr>
              <w:overflowPunct/>
              <w:autoSpaceDE/>
              <w:autoSpaceDN/>
              <w:adjustRightInd/>
              <w:jc w:val="center"/>
              <w:textAlignment w:val="auto"/>
              <w:rPr>
                <w:color w:val="000000"/>
                <w:sz w:val="22"/>
                <w:szCs w:val="22"/>
              </w:rPr>
            </w:pPr>
            <w:r w:rsidRPr="00951D4B">
              <w:rPr>
                <w:color w:val="000000"/>
                <w:sz w:val="22"/>
                <w:szCs w:val="22"/>
              </w:rPr>
              <w:t>0.83</w:t>
            </w:r>
          </w:p>
        </w:tc>
        <w:tc>
          <w:tcPr>
            <w:tcW w:w="1080" w:type="dxa"/>
            <w:tcBorders>
              <w:top w:val="nil"/>
              <w:left w:val="nil"/>
              <w:bottom w:val="single" w:sz="4" w:space="0" w:color="auto"/>
              <w:right w:val="single" w:sz="4" w:space="0" w:color="auto"/>
            </w:tcBorders>
            <w:shd w:val="clear" w:color="auto" w:fill="auto"/>
            <w:vAlign w:val="center"/>
            <w:hideMark/>
          </w:tcPr>
          <w:p w:rsidR="00951D4B" w:rsidRPr="00951D4B" w:rsidP="00951D4B" w14:paraId="11FC5CE7" w14:textId="77777777">
            <w:pPr>
              <w:overflowPunct/>
              <w:autoSpaceDE/>
              <w:autoSpaceDN/>
              <w:adjustRightInd/>
              <w:jc w:val="center"/>
              <w:textAlignment w:val="auto"/>
              <w:rPr>
                <w:color w:val="000000"/>
                <w:sz w:val="22"/>
                <w:szCs w:val="22"/>
              </w:rPr>
            </w:pPr>
            <w:r w:rsidRPr="00951D4B">
              <w:rPr>
                <w:color w:val="000000"/>
                <w:sz w:val="22"/>
                <w:szCs w:val="22"/>
              </w:rPr>
              <w:t>19.92</w:t>
            </w:r>
          </w:p>
        </w:tc>
        <w:tc>
          <w:tcPr>
            <w:tcW w:w="1260" w:type="dxa"/>
            <w:tcBorders>
              <w:top w:val="nil"/>
              <w:left w:val="nil"/>
              <w:bottom w:val="single" w:sz="4" w:space="0" w:color="auto"/>
              <w:right w:val="single" w:sz="4" w:space="0" w:color="auto"/>
            </w:tcBorders>
            <w:shd w:val="clear" w:color="auto" w:fill="auto"/>
            <w:vAlign w:val="center"/>
            <w:hideMark/>
          </w:tcPr>
          <w:p w:rsidR="00951D4B" w:rsidRPr="00951D4B" w:rsidP="00951D4B" w14:paraId="1984B95A" w14:textId="77777777">
            <w:pPr>
              <w:overflowPunct/>
              <w:autoSpaceDE/>
              <w:autoSpaceDN/>
              <w:adjustRightInd/>
              <w:jc w:val="center"/>
              <w:textAlignment w:val="auto"/>
              <w:rPr>
                <w:color w:val="000000"/>
                <w:sz w:val="22"/>
                <w:szCs w:val="22"/>
              </w:rPr>
            </w:pPr>
            <w:r w:rsidRPr="00951D4B">
              <w:rPr>
                <w:color w:val="000000"/>
                <w:sz w:val="22"/>
                <w:szCs w:val="22"/>
              </w:rPr>
              <w:t xml:space="preserve">$43.33 </w:t>
            </w:r>
          </w:p>
        </w:tc>
        <w:tc>
          <w:tcPr>
            <w:tcW w:w="1170" w:type="dxa"/>
            <w:tcBorders>
              <w:top w:val="nil"/>
              <w:left w:val="nil"/>
              <w:bottom w:val="single" w:sz="4" w:space="0" w:color="auto"/>
              <w:right w:val="single" w:sz="8" w:space="0" w:color="auto"/>
            </w:tcBorders>
            <w:shd w:val="clear" w:color="auto" w:fill="auto"/>
            <w:vAlign w:val="center"/>
            <w:hideMark/>
          </w:tcPr>
          <w:p w:rsidR="00951D4B" w:rsidRPr="00951D4B" w:rsidP="00951D4B" w14:paraId="13C7645A" w14:textId="77777777">
            <w:pPr>
              <w:overflowPunct/>
              <w:autoSpaceDE/>
              <w:autoSpaceDN/>
              <w:adjustRightInd/>
              <w:jc w:val="center"/>
              <w:textAlignment w:val="auto"/>
              <w:rPr>
                <w:color w:val="000000"/>
                <w:sz w:val="22"/>
                <w:szCs w:val="22"/>
              </w:rPr>
            </w:pPr>
            <w:r w:rsidRPr="00951D4B">
              <w:rPr>
                <w:color w:val="000000"/>
                <w:sz w:val="22"/>
                <w:szCs w:val="22"/>
              </w:rPr>
              <w:t xml:space="preserve">$863.13 </w:t>
            </w:r>
          </w:p>
        </w:tc>
      </w:tr>
      <w:tr w14:paraId="0A3EC51E" w14:textId="77777777" w:rsidTr="00821BF1">
        <w:tblPrEx>
          <w:tblW w:w="10710" w:type="dxa"/>
          <w:tblInd w:w="-342" w:type="dxa"/>
          <w:tblLook w:val="04A0"/>
        </w:tblPrEx>
        <w:trPr>
          <w:trHeight w:val="1120"/>
        </w:trPr>
        <w:tc>
          <w:tcPr>
            <w:tcW w:w="2118" w:type="dxa"/>
            <w:tcBorders>
              <w:top w:val="nil"/>
              <w:left w:val="single" w:sz="8" w:space="0" w:color="auto"/>
              <w:bottom w:val="single" w:sz="4" w:space="0" w:color="auto"/>
              <w:right w:val="single" w:sz="4" w:space="0" w:color="auto"/>
            </w:tcBorders>
            <w:shd w:val="clear" w:color="auto" w:fill="auto"/>
            <w:vAlign w:val="center"/>
            <w:hideMark/>
          </w:tcPr>
          <w:p w:rsidR="00951D4B" w:rsidRPr="00951D4B" w:rsidP="00951D4B" w14:paraId="2DE1EBA0" w14:textId="77777777">
            <w:pPr>
              <w:overflowPunct/>
              <w:autoSpaceDE/>
              <w:autoSpaceDN/>
              <w:adjustRightInd/>
              <w:textAlignment w:val="auto"/>
              <w:rPr>
                <w:color w:val="000000"/>
                <w:sz w:val="22"/>
                <w:szCs w:val="22"/>
              </w:rPr>
            </w:pPr>
            <w:r w:rsidRPr="00951D4B">
              <w:rPr>
                <w:color w:val="000000"/>
                <w:sz w:val="22"/>
                <w:szCs w:val="22"/>
              </w:rPr>
              <w:t>Interviews with Co</w:t>
            </w:r>
            <w:r w:rsidR="00FA08F9">
              <w:rPr>
                <w:color w:val="000000"/>
                <w:sz w:val="22"/>
                <w:szCs w:val="22"/>
              </w:rPr>
              <w:t>-</w:t>
            </w:r>
            <w:r w:rsidRPr="00951D4B">
              <w:rPr>
                <w:color w:val="000000"/>
                <w:sz w:val="22"/>
                <w:szCs w:val="22"/>
              </w:rPr>
              <w:t>Located ECE Program Directors (Appendix G)</w:t>
            </w:r>
          </w:p>
        </w:tc>
        <w:tc>
          <w:tcPr>
            <w:tcW w:w="1305" w:type="dxa"/>
            <w:tcBorders>
              <w:top w:val="nil"/>
              <w:left w:val="nil"/>
              <w:bottom w:val="single" w:sz="4" w:space="0" w:color="auto"/>
              <w:right w:val="single" w:sz="4" w:space="0" w:color="auto"/>
            </w:tcBorders>
            <w:shd w:val="clear" w:color="auto" w:fill="auto"/>
            <w:vAlign w:val="center"/>
            <w:hideMark/>
          </w:tcPr>
          <w:p w:rsidR="00951D4B" w:rsidRPr="00951D4B" w:rsidP="00951D4B" w14:paraId="4F19233A"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257" w:type="dxa"/>
            <w:tcBorders>
              <w:top w:val="nil"/>
              <w:left w:val="nil"/>
              <w:bottom w:val="single" w:sz="4" w:space="0" w:color="auto"/>
              <w:right w:val="single" w:sz="4" w:space="0" w:color="auto"/>
            </w:tcBorders>
            <w:shd w:val="clear" w:color="auto" w:fill="auto"/>
            <w:vAlign w:val="center"/>
            <w:hideMark/>
          </w:tcPr>
          <w:p w:rsidR="00951D4B" w:rsidRPr="00951D4B" w:rsidP="00951D4B" w14:paraId="12695A90" w14:textId="77777777">
            <w:pPr>
              <w:overflowPunct/>
              <w:autoSpaceDE/>
              <w:autoSpaceDN/>
              <w:adjustRightInd/>
              <w:jc w:val="center"/>
              <w:textAlignment w:val="auto"/>
              <w:rPr>
                <w:color w:val="000000"/>
                <w:sz w:val="22"/>
                <w:szCs w:val="22"/>
              </w:rPr>
            </w:pPr>
            <w:r w:rsidRPr="00951D4B">
              <w:rPr>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951D4B" w:rsidRPr="00951D4B" w:rsidP="00951D4B" w14:paraId="6EC40EC4" w14:textId="77777777">
            <w:pPr>
              <w:overflowPunct/>
              <w:autoSpaceDE/>
              <w:autoSpaceDN/>
              <w:adjustRightInd/>
              <w:jc w:val="center"/>
              <w:textAlignment w:val="auto"/>
              <w:rPr>
                <w:color w:val="000000"/>
                <w:sz w:val="22"/>
                <w:szCs w:val="22"/>
              </w:rPr>
            </w:pPr>
            <w:r w:rsidRPr="00951D4B">
              <w:rPr>
                <w:color w:val="000000"/>
                <w:sz w:val="22"/>
                <w:szCs w:val="22"/>
              </w:rPr>
              <w:t>24</w:t>
            </w:r>
          </w:p>
        </w:tc>
        <w:tc>
          <w:tcPr>
            <w:tcW w:w="1170" w:type="dxa"/>
            <w:tcBorders>
              <w:top w:val="nil"/>
              <w:left w:val="nil"/>
              <w:bottom w:val="single" w:sz="4" w:space="0" w:color="auto"/>
              <w:right w:val="single" w:sz="4" w:space="0" w:color="auto"/>
            </w:tcBorders>
            <w:shd w:val="clear" w:color="auto" w:fill="auto"/>
            <w:vAlign w:val="center"/>
            <w:hideMark/>
          </w:tcPr>
          <w:p w:rsidR="00951D4B" w:rsidRPr="00951D4B" w:rsidP="00951D4B" w14:paraId="727767D7" w14:textId="77777777">
            <w:pPr>
              <w:overflowPunct/>
              <w:autoSpaceDE/>
              <w:autoSpaceDN/>
              <w:adjustRightInd/>
              <w:jc w:val="center"/>
              <w:textAlignment w:val="auto"/>
              <w:rPr>
                <w:color w:val="000000"/>
                <w:sz w:val="22"/>
                <w:szCs w:val="22"/>
              </w:rPr>
            </w:pPr>
            <w:r w:rsidRPr="00951D4B">
              <w:rPr>
                <w:color w:val="000000"/>
                <w:sz w:val="22"/>
                <w:szCs w:val="22"/>
              </w:rPr>
              <w:t>0.83</w:t>
            </w:r>
          </w:p>
        </w:tc>
        <w:tc>
          <w:tcPr>
            <w:tcW w:w="1080" w:type="dxa"/>
            <w:tcBorders>
              <w:top w:val="nil"/>
              <w:left w:val="nil"/>
              <w:bottom w:val="single" w:sz="4" w:space="0" w:color="auto"/>
              <w:right w:val="single" w:sz="4" w:space="0" w:color="auto"/>
            </w:tcBorders>
            <w:shd w:val="clear" w:color="auto" w:fill="auto"/>
            <w:vAlign w:val="center"/>
            <w:hideMark/>
          </w:tcPr>
          <w:p w:rsidR="00951D4B" w:rsidRPr="00951D4B" w:rsidP="00951D4B" w14:paraId="69D7A002" w14:textId="77777777">
            <w:pPr>
              <w:overflowPunct/>
              <w:autoSpaceDE/>
              <w:autoSpaceDN/>
              <w:adjustRightInd/>
              <w:jc w:val="center"/>
              <w:textAlignment w:val="auto"/>
              <w:rPr>
                <w:color w:val="000000"/>
                <w:sz w:val="22"/>
                <w:szCs w:val="22"/>
              </w:rPr>
            </w:pPr>
            <w:r w:rsidRPr="00951D4B">
              <w:rPr>
                <w:color w:val="000000"/>
                <w:sz w:val="22"/>
                <w:szCs w:val="22"/>
              </w:rPr>
              <w:t>19.92</w:t>
            </w:r>
          </w:p>
        </w:tc>
        <w:tc>
          <w:tcPr>
            <w:tcW w:w="1260" w:type="dxa"/>
            <w:tcBorders>
              <w:top w:val="nil"/>
              <w:left w:val="nil"/>
              <w:bottom w:val="single" w:sz="4" w:space="0" w:color="auto"/>
              <w:right w:val="single" w:sz="4" w:space="0" w:color="auto"/>
            </w:tcBorders>
            <w:shd w:val="clear" w:color="auto" w:fill="auto"/>
            <w:vAlign w:val="center"/>
            <w:hideMark/>
          </w:tcPr>
          <w:p w:rsidR="00951D4B" w:rsidRPr="00951D4B" w:rsidP="00951D4B" w14:paraId="10226524" w14:textId="77777777">
            <w:pPr>
              <w:overflowPunct/>
              <w:autoSpaceDE/>
              <w:autoSpaceDN/>
              <w:adjustRightInd/>
              <w:jc w:val="center"/>
              <w:textAlignment w:val="auto"/>
              <w:rPr>
                <w:color w:val="000000"/>
                <w:sz w:val="22"/>
                <w:szCs w:val="22"/>
              </w:rPr>
            </w:pPr>
            <w:r w:rsidRPr="00951D4B">
              <w:rPr>
                <w:color w:val="000000"/>
                <w:sz w:val="22"/>
                <w:szCs w:val="22"/>
              </w:rPr>
              <w:t xml:space="preserve">$43.33 </w:t>
            </w:r>
          </w:p>
        </w:tc>
        <w:tc>
          <w:tcPr>
            <w:tcW w:w="1170" w:type="dxa"/>
            <w:tcBorders>
              <w:top w:val="nil"/>
              <w:left w:val="nil"/>
              <w:bottom w:val="single" w:sz="4" w:space="0" w:color="auto"/>
              <w:right w:val="single" w:sz="8" w:space="0" w:color="auto"/>
            </w:tcBorders>
            <w:shd w:val="clear" w:color="auto" w:fill="auto"/>
            <w:vAlign w:val="center"/>
            <w:hideMark/>
          </w:tcPr>
          <w:p w:rsidR="00951D4B" w:rsidRPr="00951D4B" w:rsidP="00951D4B" w14:paraId="128EC596" w14:textId="77777777">
            <w:pPr>
              <w:overflowPunct/>
              <w:autoSpaceDE/>
              <w:autoSpaceDN/>
              <w:adjustRightInd/>
              <w:jc w:val="center"/>
              <w:textAlignment w:val="auto"/>
              <w:rPr>
                <w:color w:val="000000"/>
                <w:sz w:val="22"/>
                <w:szCs w:val="22"/>
              </w:rPr>
            </w:pPr>
            <w:r w:rsidRPr="00951D4B">
              <w:rPr>
                <w:color w:val="000000"/>
                <w:sz w:val="22"/>
                <w:szCs w:val="22"/>
              </w:rPr>
              <w:t xml:space="preserve">$863.13 </w:t>
            </w:r>
          </w:p>
        </w:tc>
      </w:tr>
      <w:tr w14:paraId="133452C2" w14:textId="77777777" w:rsidTr="00821BF1">
        <w:tblPrEx>
          <w:tblW w:w="10710" w:type="dxa"/>
          <w:tblInd w:w="-342" w:type="dxa"/>
          <w:tblLook w:val="04A0"/>
        </w:tblPrEx>
        <w:trPr>
          <w:trHeight w:val="1120"/>
        </w:trPr>
        <w:tc>
          <w:tcPr>
            <w:tcW w:w="2118" w:type="dxa"/>
            <w:tcBorders>
              <w:top w:val="nil"/>
              <w:left w:val="single" w:sz="8" w:space="0" w:color="auto"/>
              <w:bottom w:val="single" w:sz="4" w:space="0" w:color="auto"/>
              <w:right w:val="single" w:sz="4" w:space="0" w:color="auto"/>
            </w:tcBorders>
            <w:shd w:val="clear" w:color="auto" w:fill="auto"/>
            <w:vAlign w:val="center"/>
            <w:hideMark/>
          </w:tcPr>
          <w:p w:rsidR="00951D4B" w:rsidRPr="00951D4B" w:rsidP="00951D4B" w14:paraId="251CB72A" w14:textId="77777777">
            <w:pPr>
              <w:overflowPunct/>
              <w:autoSpaceDE/>
              <w:autoSpaceDN/>
              <w:adjustRightInd/>
              <w:textAlignment w:val="auto"/>
              <w:rPr>
                <w:color w:val="000000"/>
                <w:sz w:val="22"/>
                <w:szCs w:val="22"/>
              </w:rPr>
            </w:pPr>
            <w:r w:rsidRPr="00951D4B">
              <w:rPr>
                <w:color w:val="000000"/>
                <w:sz w:val="22"/>
                <w:szCs w:val="22"/>
              </w:rPr>
              <w:t>Interviews with Families Living in Public Housing Developments (Appendix H)</w:t>
            </w:r>
          </w:p>
        </w:tc>
        <w:tc>
          <w:tcPr>
            <w:tcW w:w="1305" w:type="dxa"/>
            <w:tcBorders>
              <w:top w:val="nil"/>
              <w:left w:val="nil"/>
              <w:bottom w:val="single" w:sz="4" w:space="0" w:color="auto"/>
              <w:right w:val="single" w:sz="4" w:space="0" w:color="auto"/>
            </w:tcBorders>
            <w:shd w:val="clear" w:color="auto" w:fill="auto"/>
            <w:vAlign w:val="center"/>
            <w:hideMark/>
          </w:tcPr>
          <w:p w:rsidR="00951D4B" w:rsidRPr="00951D4B" w:rsidP="00951D4B" w14:paraId="59AB80A0" w14:textId="77777777">
            <w:pPr>
              <w:overflowPunct/>
              <w:autoSpaceDE/>
              <w:autoSpaceDN/>
              <w:adjustRightInd/>
              <w:jc w:val="center"/>
              <w:textAlignment w:val="auto"/>
              <w:rPr>
                <w:color w:val="000000"/>
                <w:sz w:val="22"/>
                <w:szCs w:val="22"/>
              </w:rPr>
            </w:pPr>
            <w:r w:rsidRPr="00951D4B">
              <w:rPr>
                <w:color w:val="000000"/>
                <w:sz w:val="22"/>
                <w:szCs w:val="22"/>
              </w:rPr>
              <w:t>108</w:t>
            </w:r>
          </w:p>
        </w:tc>
        <w:tc>
          <w:tcPr>
            <w:tcW w:w="1257" w:type="dxa"/>
            <w:tcBorders>
              <w:top w:val="nil"/>
              <w:left w:val="nil"/>
              <w:bottom w:val="single" w:sz="4" w:space="0" w:color="auto"/>
              <w:right w:val="single" w:sz="4" w:space="0" w:color="auto"/>
            </w:tcBorders>
            <w:shd w:val="clear" w:color="auto" w:fill="auto"/>
            <w:vAlign w:val="center"/>
            <w:hideMark/>
          </w:tcPr>
          <w:p w:rsidR="00951D4B" w:rsidRPr="00951D4B" w:rsidP="00951D4B" w14:paraId="23726713" w14:textId="77777777">
            <w:pPr>
              <w:overflowPunct/>
              <w:autoSpaceDE/>
              <w:autoSpaceDN/>
              <w:adjustRightInd/>
              <w:jc w:val="center"/>
              <w:textAlignment w:val="auto"/>
              <w:rPr>
                <w:color w:val="000000"/>
                <w:sz w:val="22"/>
                <w:szCs w:val="22"/>
              </w:rPr>
            </w:pPr>
            <w:r w:rsidRPr="00951D4B">
              <w:rPr>
                <w:color w:val="000000"/>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951D4B" w:rsidRPr="00951D4B" w:rsidP="00951D4B" w14:paraId="76E8FB6C" w14:textId="77777777">
            <w:pPr>
              <w:overflowPunct/>
              <w:autoSpaceDE/>
              <w:autoSpaceDN/>
              <w:adjustRightInd/>
              <w:jc w:val="center"/>
              <w:textAlignment w:val="auto"/>
              <w:rPr>
                <w:color w:val="000000"/>
                <w:sz w:val="22"/>
                <w:szCs w:val="22"/>
              </w:rPr>
            </w:pPr>
            <w:r w:rsidRPr="00951D4B">
              <w:rPr>
                <w:color w:val="000000"/>
                <w:sz w:val="22"/>
                <w:szCs w:val="22"/>
              </w:rPr>
              <w:t>108</w:t>
            </w:r>
          </w:p>
        </w:tc>
        <w:tc>
          <w:tcPr>
            <w:tcW w:w="1170" w:type="dxa"/>
            <w:tcBorders>
              <w:top w:val="nil"/>
              <w:left w:val="nil"/>
              <w:bottom w:val="single" w:sz="4" w:space="0" w:color="auto"/>
              <w:right w:val="single" w:sz="4" w:space="0" w:color="auto"/>
            </w:tcBorders>
            <w:shd w:val="clear" w:color="auto" w:fill="auto"/>
            <w:vAlign w:val="center"/>
            <w:hideMark/>
          </w:tcPr>
          <w:p w:rsidR="00951D4B" w:rsidRPr="00951D4B" w:rsidP="00951D4B" w14:paraId="63024EED" w14:textId="77777777">
            <w:pPr>
              <w:overflowPunct/>
              <w:autoSpaceDE/>
              <w:autoSpaceDN/>
              <w:adjustRightInd/>
              <w:jc w:val="center"/>
              <w:textAlignment w:val="auto"/>
              <w:rPr>
                <w:color w:val="000000"/>
                <w:sz w:val="22"/>
                <w:szCs w:val="22"/>
              </w:rPr>
            </w:pPr>
            <w:r w:rsidRPr="00951D4B">
              <w:rPr>
                <w:color w:val="000000"/>
                <w:sz w:val="22"/>
                <w:szCs w:val="22"/>
              </w:rPr>
              <w:t>0.83</w:t>
            </w:r>
          </w:p>
        </w:tc>
        <w:tc>
          <w:tcPr>
            <w:tcW w:w="1080" w:type="dxa"/>
            <w:tcBorders>
              <w:top w:val="nil"/>
              <w:left w:val="nil"/>
              <w:bottom w:val="single" w:sz="4" w:space="0" w:color="auto"/>
              <w:right w:val="single" w:sz="4" w:space="0" w:color="auto"/>
            </w:tcBorders>
            <w:shd w:val="clear" w:color="auto" w:fill="auto"/>
            <w:vAlign w:val="center"/>
            <w:hideMark/>
          </w:tcPr>
          <w:p w:rsidR="00951D4B" w:rsidRPr="00951D4B" w:rsidP="00951D4B" w14:paraId="6A9ABB21" w14:textId="77777777">
            <w:pPr>
              <w:overflowPunct/>
              <w:autoSpaceDE/>
              <w:autoSpaceDN/>
              <w:adjustRightInd/>
              <w:jc w:val="center"/>
              <w:textAlignment w:val="auto"/>
              <w:rPr>
                <w:color w:val="000000"/>
                <w:sz w:val="22"/>
                <w:szCs w:val="22"/>
              </w:rPr>
            </w:pPr>
            <w:r w:rsidRPr="00951D4B">
              <w:rPr>
                <w:color w:val="000000"/>
                <w:sz w:val="22"/>
                <w:szCs w:val="22"/>
              </w:rPr>
              <w:t>89.64</w:t>
            </w:r>
          </w:p>
        </w:tc>
        <w:tc>
          <w:tcPr>
            <w:tcW w:w="1260" w:type="dxa"/>
            <w:tcBorders>
              <w:top w:val="nil"/>
              <w:left w:val="nil"/>
              <w:bottom w:val="single" w:sz="4" w:space="0" w:color="auto"/>
              <w:right w:val="single" w:sz="4" w:space="0" w:color="auto"/>
            </w:tcBorders>
            <w:shd w:val="clear" w:color="auto" w:fill="auto"/>
            <w:vAlign w:val="center"/>
            <w:hideMark/>
          </w:tcPr>
          <w:p w:rsidR="00951D4B" w:rsidRPr="00951D4B" w:rsidP="00951D4B" w14:paraId="4D09C372" w14:textId="77777777">
            <w:pPr>
              <w:overflowPunct/>
              <w:autoSpaceDE/>
              <w:autoSpaceDN/>
              <w:adjustRightInd/>
              <w:jc w:val="center"/>
              <w:textAlignment w:val="auto"/>
              <w:rPr>
                <w:color w:val="000000"/>
                <w:sz w:val="22"/>
                <w:szCs w:val="22"/>
              </w:rPr>
            </w:pPr>
            <w:r w:rsidRPr="00951D4B">
              <w:rPr>
                <w:rFonts w:eastAsia="Calibri"/>
                <w:bCs/>
                <w:color w:val="000000"/>
                <w:sz w:val="22"/>
                <w:szCs w:val="22"/>
              </w:rPr>
              <w:t xml:space="preserve">$10.62 </w:t>
            </w:r>
          </w:p>
        </w:tc>
        <w:tc>
          <w:tcPr>
            <w:tcW w:w="1170" w:type="dxa"/>
            <w:tcBorders>
              <w:top w:val="nil"/>
              <w:left w:val="nil"/>
              <w:bottom w:val="single" w:sz="4" w:space="0" w:color="auto"/>
              <w:right w:val="single" w:sz="8" w:space="0" w:color="auto"/>
            </w:tcBorders>
            <w:shd w:val="clear" w:color="auto" w:fill="auto"/>
            <w:vAlign w:val="center"/>
            <w:hideMark/>
          </w:tcPr>
          <w:p w:rsidR="00951D4B" w:rsidRPr="00951D4B" w:rsidP="00951D4B" w14:paraId="0A9BB9D2" w14:textId="77777777">
            <w:pPr>
              <w:overflowPunct/>
              <w:autoSpaceDE/>
              <w:autoSpaceDN/>
              <w:adjustRightInd/>
              <w:jc w:val="center"/>
              <w:textAlignment w:val="auto"/>
              <w:rPr>
                <w:color w:val="000000"/>
                <w:sz w:val="22"/>
                <w:szCs w:val="22"/>
              </w:rPr>
            </w:pPr>
            <w:r w:rsidRPr="00951D4B">
              <w:rPr>
                <w:color w:val="000000"/>
                <w:sz w:val="22"/>
                <w:szCs w:val="22"/>
              </w:rPr>
              <w:t xml:space="preserve">$951.98 </w:t>
            </w:r>
          </w:p>
        </w:tc>
      </w:tr>
      <w:tr w14:paraId="5603977A" w14:textId="77777777" w:rsidTr="00821BF1">
        <w:tblPrEx>
          <w:tblW w:w="10710" w:type="dxa"/>
          <w:tblInd w:w="-342" w:type="dxa"/>
          <w:tblLook w:val="04A0"/>
        </w:tblPrEx>
        <w:trPr>
          <w:trHeight w:val="242"/>
        </w:trPr>
        <w:tc>
          <w:tcPr>
            <w:tcW w:w="2118" w:type="dxa"/>
            <w:tcBorders>
              <w:top w:val="nil"/>
              <w:left w:val="single" w:sz="8" w:space="0" w:color="auto"/>
              <w:bottom w:val="single" w:sz="8" w:space="0" w:color="auto"/>
              <w:right w:val="single" w:sz="4" w:space="0" w:color="auto"/>
            </w:tcBorders>
            <w:shd w:val="clear" w:color="000000" w:fill="FFFFFF"/>
            <w:vAlign w:val="center"/>
            <w:hideMark/>
          </w:tcPr>
          <w:p w:rsidR="00951D4B" w:rsidRPr="00951D4B" w:rsidP="00951D4B" w14:paraId="5957890F" w14:textId="77777777">
            <w:pPr>
              <w:overflowPunct/>
              <w:autoSpaceDE/>
              <w:autoSpaceDN/>
              <w:adjustRightInd/>
              <w:jc w:val="center"/>
              <w:textAlignment w:val="auto"/>
              <w:rPr>
                <w:b/>
                <w:bCs/>
                <w:color w:val="000000"/>
                <w:sz w:val="22"/>
                <w:szCs w:val="22"/>
              </w:rPr>
            </w:pPr>
            <w:r w:rsidRPr="00951D4B">
              <w:rPr>
                <w:b/>
                <w:bCs/>
                <w:color w:val="000000"/>
                <w:sz w:val="22"/>
                <w:szCs w:val="22"/>
              </w:rPr>
              <w:t>Total</w:t>
            </w:r>
          </w:p>
        </w:tc>
        <w:tc>
          <w:tcPr>
            <w:tcW w:w="1305" w:type="dxa"/>
            <w:tcBorders>
              <w:top w:val="nil"/>
              <w:left w:val="nil"/>
              <w:bottom w:val="single" w:sz="8" w:space="0" w:color="auto"/>
              <w:right w:val="single" w:sz="4" w:space="0" w:color="auto"/>
            </w:tcBorders>
            <w:shd w:val="clear" w:color="000000" w:fill="FFFFFF"/>
            <w:vAlign w:val="center"/>
            <w:hideMark/>
          </w:tcPr>
          <w:p w:rsidR="00951D4B" w:rsidRPr="00951D4B" w:rsidP="00951D4B" w14:paraId="0E31E137" w14:textId="77777777">
            <w:pPr>
              <w:overflowPunct/>
              <w:autoSpaceDE/>
              <w:autoSpaceDN/>
              <w:adjustRightInd/>
              <w:jc w:val="center"/>
              <w:textAlignment w:val="auto"/>
              <w:rPr>
                <w:b/>
                <w:bCs/>
                <w:color w:val="000000"/>
                <w:sz w:val="22"/>
                <w:szCs w:val="22"/>
              </w:rPr>
            </w:pPr>
            <w:r w:rsidRPr="00951D4B">
              <w:rPr>
                <w:b/>
                <w:bCs/>
                <w:color w:val="000000"/>
                <w:sz w:val="22"/>
                <w:szCs w:val="22"/>
              </w:rPr>
              <w:t> </w:t>
            </w:r>
          </w:p>
        </w:tc>
        <w:tc>
          <w:tcPr>
            <w:tcW w:w="1257" w:type="dxa"/>
            <w:tcBorders>
              <w:top w:val="nil"/>
              <w:left w:val="nil"/>
              <w:bottom w:val="single" w:sz="8" w:space="0" w:color="auto"/>
              <w:right w:val="single" w:sz="4" w:space="0" w:color="auto"/>
            </w:tcBorders>
            <w:shd w:val="clear" w:color="000000" w:fill="FFFFFF"/>
            <w:vAlign w:val="center"/>
            <w:hideMark/>
          </w:tcPr>
          <w:p w:rsidR="00951D4B" w:rsidRPr="00951D4B" w:rsidP="00951D4B" w14:paraId="2A99A983" w14:textId="77777777">
            <w:pPr>
              <w:overflowPunct/>
              <w:autoSpaceDE/>
              <w:autoSpaceDN/>
              <w:adjustRightInd/>
              <w:jc w:val="center"/>
              <w:textAlignment w:val="auto"/>
              <w:rPr>
                <w:b/>
                <w:bCs/>
                <w:color w:val="000000"/>
                <w:sz w:val="22"/>
                <w:szCs w:val="22"/>
              </w:rPr>
            </w:pPr>
            <w:r w:rsidRPr="00951D4B">
              <w:rPr>
                <w:b/>
                <w:bCs/>
                <w:color w:val="000000"/>
                <w:sz w:val="22"/>
                <w:szCs w:val="22"/>
              </w:rPr>
              <w:t> </w:t>
            </w:r>
          </w:p>
        </w:tc>
        <w:tc>
          <w:tcPr>
            <w:tcW w:w="1350" w:type="dxa"/>
            <w:tcBorders>
              <w:top w:val="nil"/>
              <w:left w:val="nil"/>
              <w:bottom w:val="single" w:sz="8" w:space="0" w:color="auto"/>
              <w:right w:val="single" w:sz="4" w:space="0" w:color="auto"/>
            </w:tcBorders>
            <w:shd w:val="clear" w:color="000000" w:fill="FFFFFF"/>
            <w:vAlign w:val="center"/>
            <w:hideMark/>
          </w:tcPr>
          <w:p w:rsidR="00951D4B" w:rsidRPr="00951D4B" w:rsidP="00951D4B" w14:paraId="6408D8B6" w14:textId="77777777">
            <w:pPr>
              <w:overflowPunct/>
              <w:autoSpaceDE/>
              <w:autoSpaceDN/>
              <w:adjustRightInd/>
              <w:jc w:val="center"/>
              <w:textAlignment w:val="auto"/>
              <w:rPr>
                <w:b/>
                <w:bCs/>
                <w:color w:val="000000"/>
                <w:sz w:val="22"/>
                <w:szCs w:val="22"/>
              </w:rPr>
            </w:pPr>
            <w:r w:rsidRPr="00951D4B">
              <w:rPr>
                <w:b/>
                <w:bCs/>
                <w:color w:val="000000"/>
                <w:sz w:val="22"/>
                <w:szCs w:val="22"/>
              </w:rPr>
              <w:t> </w:t>
            </w:r>
          </w:p>
        </w:tc>
        <w:tc>
          <w:tcPr>
            <w:tcW w:w="1170" w:type="dxa"/>
            <w:tcBorders>
              <w:top w:val="nil"/>
              <w:left w:val="nil"/>
              <w:bottom w:val="single" w:sz="8" w:space="0" w:color="auto"/>
              <w:right w:val="single" w:sz="4" w:space="0" w:color="auto"/>
            </w:tcBorders>
            <w:shd w:val="clear" w:color="000000" w:fill="FFFFFF"/>
            <w:vAlign w:val="center"/>
            <w:hideMark/>
          </w:tcPr>
          <w:p w:rsidR="00951D4B" w:rsidRPr="00951D4B" w:rsidP="00951D4B" w14:paraId="426E9AF4" w14:textId="77777777">
            <w:pPr>
              <w:overflowPunct/>
              <w:autoSpaceDE/>
              <w:autoSpaceDN/>
              <w:adjustRightInd/>
              <w:jc w:val="center"/>
              <w:textAlignment w:val="auto"/>
              <w:rPr>
                <w:b/>
                <w:bCs/>
                <w:color w:val="000000"/>
                <w:sz w:val="22"/>
                <w:szCs w:val="22"/>
              </w:rPr>
            </w:pPr>
            <w:r w:rsidRPr="00951D4B">
              <w:rPr>
                <w:b/>
                <w:bCs/>
                <w:color w:val="000000"/>
                <w:sz w:val="22"/>
                <w:szCs w:val="22"/>
              </w:rPr>
              <w:t> </w:t>
            </w:r>
          </w:p>
        </w:tc>
        <w:tc>
          <w:tcPr>
            <w:tcW w:w="1080" w:type="dxa"/>
            <w:tcBorders>
              <w:top w:val="nil"/>
              <w:left w:val="nil"/>
              <w:bottom w:val="single" w:sz="8" w:space="0" w:color="auto"/>
              <w:right w:val="single" w:sz="4" w:space="0" w:color="auto"/>
            </w:tcBorders>
            <w:shd w:val="clear" w:color="000000" w:fill="FFFFFF"/>
            <w:vAlign w:val="center"/>
            <w:hideMark/>
          </w:tcPr>
          <w:p w:rsidR="00951D4B" w:rsidRPr="00951D4B" w:rsidP="00951D4B" w14:paraId="283B5E81" w14:textId="77777777">
            <w:pPr>
              <w:overflowPunct/>
              <w:autoSpaceDE/>
              <w:autoSpaceDN/>
              <w:adjustRightInd/>
              <w:jc w:val="center"/>
              <w:textAlignment w:val="auto"/>
              <w:rPr>
                <w:b/>
                <w:bCs/>
                <w:color w:val="000000"/>
                <w:sz w:val="22"/>
                <w:szCs w:val="22"/>
              </w:rPr>
            </w:pPr>
            <w:r w:rsidRPr="00951D4B">
              <w:rPr>
                <w:b/>
                <w:bCs/>
                <w:color w:val="000000"/>
                <w:sz w:val="22"/>
                <w:szCs w:val="22"/>
              </w:rPr>
              <w:t>201.96</w:t>
            </w:r>
          </w:p>
        </w:tc>
        <w:tc>
          <w:tcPr>
            <w:tcW w:w="1260" w:type="dxa"/>
            <w:tcBorders>
              <w:top w:val="nil"/>
              <w:left w:val="nil"/>
              <w:bottom w:val="single" w:sz="8" w:space="0" w:color="auto"/>
              <w:right w:val="single" w:sz="4" w:space="0" w:color="auto"/>
            </w:tcBorders>
            <w:shd w:val="clear" w:color="000000" w:fill="FFFFFF"/>
            <w:vAlign w:val="center"/>
            <w:hideMark/>
          </w:tcPr>
          <w:p w:rsidR="00951D4B" w:rsidRPr="00951D4B" w:rsidP="00951D4B" w14:paraId="08A548DE" w14:textId="77777777">
            <w:pPr>
              <w:overflowPunct/>
              <w:autoSpaceDE/>
              <w:autoSpaceDN/>
              <w:adjustRightInd/>
              <w:jc w:val="center"/>
              <w:textAlignment w:val="auto"/>
              <w:rPr>
                <w:b/>
                <w:bCs/>
                <w:color w:val="000000"/>
                <w:sz w:val="22"/>
                <w:szCs w:val="22"/>
              </w:rPr>
            </w:pPr>
            <w:r w:rsidRPr="00951D4B">
              <w:rPr>
                <w:b/>
                <w:bCs/>
                <w:color w:val="000000"/>
                <w:sz w:val="22"/>
                <w:szCs w:val="22"/>
              </w:rPr>
              <w:t> </w:t>
            </w:r>
          </w:p>
        </w:tc>
        <w:tc>
          <w:tcPr>
            <w:tcW w:w="1170" w:type="dxa"/>
            <w:tcBorders>
              <w:top w:val="nil"/>
              <w:left w:val="nil"/>
              <w:bottom w:val="single" w:sz="8" w:space="0" w:color="auto"/>
              <w:right w:val="single" w:sz="8" w:space="0" w:color="auto"/>
            </w:tcBorders>
            <w:shd w:val="clear" w:color="000000" w:fill="FFFFFF"/>
            <w:vAlign w:val="center"/>
            <w:hideMark/>
          </w:tcPr>
          <w:p w:rsidR="00951D4B" w:rsidRPr="00951D4B" w:rsidP="00951D4B" w14:paraId="47E9237F" w14:textId="77777777">
            <w:pPr>
              <w:overflowPunct/>
              <w:autoSpaceDE/>
              <w:autoSpaceDN/>
              <w:adjustRightInd/>
              <w:jc w:val="center"/>
              <w:textAlignment w:val="auto"/>
              <w:rPr>
                <w:b/>
                <w:bCs/>
                <w:color w:val="000000"/>
                <w:sz w:val="22"/>
                <w:szCs w:val="22"/>
              </w:rPr>
            </w:pPr>
            <w:r w:rsidRPr="00951D4B">
              <w:rPr>
                <w:b/>
                <w:bCs/>
                <w:color w:val="000000"/>
                <w:sz w:val="22"/>
                <w:szCs w:val="22"/>
              </w:rPr>
              <w:t xml:space="preserve">$5,253.57 </w:t>
            </w:r>
          </w:p>
        </w:tc>
      </w:tr>
    </w:tbl>
    <w:p w:rsidR="006D6A75" w:rsidP="00BC50C0" w14:paraId="62D70314" w14:textId="77777777">
      <w:pPr>
        <w:keepLines/>
        <w:tabs>
          <w:tab w:val="left" w:pos="480"/>
        </w:tabs>
        <w:spacing w:after="80"/>
        <w:ind w:left="480"/>
        <w:rPr>
          <w:sz w:val="24"/>
          <w:szCs w:val="24"/>
        </w:rPr>
      </w:pPr>
    </w:p>
    <w:p w:rsidR="00167E53" w:rsidRPr="006C7FAE" w:rsidP="00167E53" w14:paraId="6D9DF559"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5FDA446D"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537FF56B" w14:textId="77777777">
      <w:pPr>
        <w:tabs>
          <w:tab w:val="left" w:pos="360"/>
        </w:tabs>
        <w:ind w:left="360" w:hanging="360"/>
        <w:rPr>
          <w:sz w:val="24"/>
          <w:szCs w:val="24"/>
        </w:rPr>
      </w:pPr>
      <w:r w:rsidRPr="006C7FAE">
        <w:rPr>
          <w:sz w:val="24"/>
          <w:szCs w:val="24"/>
        </w:rPr>
        <w:t xml:space="preserve"> </w:t>
      </w:r>
    </w:p>
    <w:p w:rsidR="009E13B1" w:rsidRPr="006C7FAE" w14:paraId="6EF6F252"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r w:rsidRPr="006C7FAE">
        <w:rPr>
          <w:sz w:val="24"/>
          <w:szCs w:val="24"/>
        </w:rPr>
        <w:t xml:space="preserve">information such as purchasing computers and software; monitoring, sampling, drilling and testing equipment; and record storage facilities; </w:t>
      </w:r>
    </w:p>
    <w:p w:rsidR="009E13B1" w:rsidRPr="006C7FAE" w14:paraId="12BB1593"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2E375D87"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79EF" w:rsidP="000079EF" w14:paraId="1D0BD591" w14:textId="77777777">
      <w:pPr>
        <w:overflowPunct/>
        <w:autoSpaceDE/>
        <w:autoSpaceDN/>
        <w:adjustRightInd/>
        <w:spacing w:after="120" w:line="22" w:lineRule="atLeast"/>
        <w:ind w:left="336"/>
        <w:textAlignment w:val="auto"/>
        <w:rPr>
          <w:sz w:val="24"/>
          <w:szCs w:val="24"/>
        </w:rPr>
      </w:pPr>
    </w:p>
    <w:p w:rsidR="000079EF" w:rsidRPr="000079EF" w:rsidP="000079EF" w14:paraId="6A0CE720" w14:textId="77777777">
      <w:pPr>
        <w:overflowPunct/>
        <w:autoSpaceDE/>
        <w:autoSpaceDN/>
        <w:adjustRightInd/>
        <w:spacing w:after="120" w:line="22" w:lineRule="atLeast"/>
        <w:ind w:left="336"/>
        <w:textAlignment w:val="auto"/>
        <w:rPr>
          <w:sz w:val="24"/>
          <w:szCs w:val="24"/>
        </w:rPr>
      </w:pPr>
      <w:r w:rsidRPr="000079EF">
        <w:rPr>
          <w:sz w:val="24"/>
          <w:szCs w:val="24"/>
        </w:rPr>
        <w:t>This data collection effort involves no recordkeeping or reporting costs for respondents other than the time burden to respond to questions on the data collection instruments as described in Item 12 above. There is no known additional cost burden to the respondents.</w:t>
      </w:r>
    </w:p>
    <w:p w:rsidR="000079EF" w14:paraId="0C0BB376" w14:textId="77777777">
      <w:pPr>
        <w:keepLines/>
        <w:tabs>
          <w:tab w:val="left" w:pos="360"/>
        </w:tabs>
        <w:spacing w:after="80"/>
        <w:ind w:left="360" w:hanging="360"/>
        <w:rPr>
          <w:sz w:val="24"/>
          <w:szCs w:val="24"/>
        </w:rPr>
      </w:pPr>
    </w:p>
    <w:p w:rsidR="009E13B1" w:rsidRPr="006C7FAE" w14:paraId="37F05A82"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1ACD0040" w14:textId="77777777">
      <w:pPr>
        <w:overflowPunct/>
        <w:autoSpaceDE/>
        <w:autoSpaceDN/>
        <w:adjustRightInd/>
        <w:spacing w:after="80"/>
        <w:ind w:left="360"/>
        <w:textAlignment w:val="auto"/>
        <w:rPr>
          <w:rFonts w:eastAsia="Calibri"/>
          <w:color w:val="000000"/>
        </w:rPr>
      </w:pPr>
    </w:p>
    <w:p w:rsidR="009E13B1" w:rsidRPr="000079EF" w14:paraId="458F549E" w14:textId="77777777">
      <w:pPr>
        <w:tabs>
          <w:tab w:val="left" w:pos="360"/>
        </w:tabs>
        <w:ind w:left="360" w:hanging="360"/>
        <w:rPr>
          <w:sz w:val="24"/>
          <w:szCs w:val="24"/>
        </w:rPr>
      </w:pPr>
      <w:r>
        <w:tab/>
      </w:r>
      <w:r w:rsidRPr="000079EF">
        <w:rPr>
          <w:sz w:val="24"/>
          <w:szCs w:val="24"/>
        </w:rPr>
        <w:t>The study costs to the Federal Government are associated with review of the OMB PRA and IRB packets for the study, data collection, and data disposition. These costs total $310,240.00.</w:t>
      </w:r>
    </w:p>
    <w:p w:rsidR="006C7FAE" w:rsidRPr="006C7FAE" w14:paraId="26AE022C" w14:textId="77777777">
      <w:pPr>
        <w:tabs>
          <w:tab w:val="left" w:pos="360"/>
        </w:tabs>
        <w:ind w:left="360" w:hanging="360"/>
        <w:rPr>
          <w:sz w:val="24"/>
          <w:szCs w:val="24"/>
        </w:rPr>
      </w:pPr>
    </w:p>
    <w:p w:rsidR="009E13B1" w14:paraId="7C96247A"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0079EF" w14:paraId="27025C00" w14:textId="77777777">
      <w:pPr>
        <w:keepLines/>
        <w:tabs>
          <w:tab w:val="left" w:pos="360"/>
        </w:tabs>
        <w:spacing w:after="80"/>
        <w:ind w:left="360" w:hanging="360"/>
        <w:rPr>
          <w:sz w:val="24"/>
          <w:szCs w:val="24"/>
        </w:rPr>
      </w:pPr>
    </w:p>
    <w:p w:rsidR="000079EF" w:rsidRPr="000079EF" w:rsidP="000079EF" w14:paraId="20903342" w14:textId="77777777">
      <w:pPr>
        <w:overflowPunct/>
        <w:autoSpaceDE/>
        <w:autoSpaceDN/>
        <w:adjustRightInd/>
        <w:spacing w:after="120" w:line="22" w:lineRule="atLeast"/>
        <w:ind w:left="360"/>
        <w:textAlignment w:val="auto"/>
        <w:rPr>
          <w:sz w:val="24"/>
          <w:szCs w:val="24"/>
        </w:rPr>
      </w:pPr>
      <w:r w:rsidRPr="000079EF">
        <w:rPr>
          <w:sz w:val="24"/>
          <w:szCs w:val="24"/>
        </w:rPr>
        <w:t>This submission to OMB is an initial submission and does not involve any program changes or adjustments.</w:t>
      </w:r>
    </w:p>
    <w:p w:rsidR="009E13B1" w:rsidRPr="006C7FAE" w14:paraId="570B3AD9" w14:textId="77777777">
      <w:pPr>
        <w:keepLines/>
        <w:tabs>
          <w:tab w:val="left" w:pos="360"/>
          <w:tab w:val="left" w:pos="720"/>
        </w:tabs>
        <w:ind w:left="360"/>
        <w:rPr>
          <w:sz w:val="24"/>
          <w:szCs w:val="24"/>
        </w:rPr>
      </w:pPr>
    </w:p>
    <w:p w:rsidR="009E13B1" w14:paraId="64DD88CC"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79EF" w14:paraId="21D5DE84" w14:textId="77777777">
      <w:pPr>
        <w:keepLines/>
        <w:tabs>
          <w:tab w:val="left" w:pos="360"/>
        </w:tabs>
        <w:spacing w:after="80"/>
        <w:ind w:left="360" w:hanging="360"/>
        <w:rPr>
          <w:sz w:val="24"/>
          <w:szCs w:val="24"/>
        </w:rPr>
      </w:pPr>
    </w:p>
    <w:p w:rsidR="000079EF" w:rsidP="000079EF" w14:paraId="24C630B7" w14:textId="77777777">
      <w:pPr>
        <w:keepLines/>
        <w:tabs>
          <w:tab w:val="left" w:pos="360"/>
        </w:tabs>
        <w:spacing w:after="80"/>
        <w:ind w:left="360" w:hanging="360"/>
        <w:rPr>
          <w:sz w:val="24"/>
          <w:szCs w:val="24"/>
        </w:rPr>
      </w:pPr>
      <w:r>
        <w:rPr>
          <w:sz w:val="24"/>
          <w:szCs w:val="24"/>
        </w:rPr>
        <w:tab/>
      </w:r>
      <w:r w:rsidRPr="000079EF">
        <w:rPr>
          <w:sz w:val="24"/>
          <w:szCs w:val="24"/>
        </w:rPr>
        <w:t>The outcome of this study will be a public report. The report will include findings from the exploratory information gathering, qualitative data collection and syntheses, and findings from an analysis of ECE and public housing development secondary administrative data efforts and associated quantitative analyses. Quantitative analyses associated with this project do not involve direct data collection, or pose any additional burden to the public and therefore are not included for consideration in this OMB application. Where applicable, findings will be aggregated at the site- or state-level.</w:t>
      </w:r>
    </w:p>
    <w:p w:rsidR="000079EF" w:rsidP="00821BF1" w14:paraId="6247B040" w14:textId="77777777">
      <w:pPr>
        <w:pStyle w:val="NoSpacing"/>
      </w:pPr>
    </w:p>
    <w:p w:rsidR="000079EF" w:rsidRPr="000079EF" w:rsidP="000079EF" w14:paraId="734163EF" w14:textId="77777777">
      <w:pPr>
        <w:keepLines/>
        <w:tabs>
          <w:tab w:val="left" w:pos="360"/>
        </w:tabs>
        <w:spacing w:after="80"/>
        <w:ind w:left="360" w:hanging="360"/>
        <w:rPr>
          <w:sz w:val="24"/>
          <w:szCs w:val="24"/>
        </w:rPr>
      </w:pPr>
      <w:r>
        <w:rPr>
          <w:sz w:val="24"/>
          <w:szCs w:val="24"/>
        </w:rPr>
        <w:tab/>
      </w:r>
      <w:r w:rsidRPr="000079EF">
        <w:rPr>
          <w:sz w:val="24"/>
          <w:szCs w:val="24"/>
        </w:rPr>
        <w:t>The table below presents an overview of the time schedule for the entire project. This schedule assumes that data collection begins after OMB clearance in December 2023.</w:t>
      </w:r>
    </w:p>
    <w:tbl>
      <w:tblPr>
        <w:tblW w:w="10195" w:type="dxa"/>
        <w:tblLook w:val="04A0"/>
      </w:tblPr>
      <w:tblGrid>
        <w:gridCol w:w="1380"/>
        <w:gridCol w:w="5388"/>
        <w:gridCol w:w="2038"/>
        <w:gridCol w:w="1389"/>
      </w:tblGrid>
      <w:tr w14:paraId="27FFA9BF" w14:textId="77777777" w:rsidTr="000079EF">
        <w:tblPrEx>
          <w:tblW w:w="10195" w:type="dxa"/>
          <w:tblLook w:val="04A0"/>
        </w:tblPrEx>
        <w:trPr>
          <w:trHeight w:val="732"/>
          <w:tblHeader/>
        </w:trPr>
        <w:tc>
          <w:tcPr>
            <w:tcW w:w="1380" w:type="dxa"/>
            <w:tcBorders>
              <w:top w:val="single" w:sz="8" w:space="0" w:color="auto"/>
              <w:left w:val="single" w:sz="8" w:space="0" w:color="auto"/>
              <w:bottom w:val="single" w:sz="8" w:space="0" w:color="auto"/>
              <w:right w:val="single" w:sz="8" w:space="0" w:color="auto"/>
            </w:tcBorders>
            <w:shd w:val="clear" w:color="000000" w:fill="177BAD"/>
            <w:noWrap/>
            <w:vAlign w:val="center"/>
            <w:hideMark/>
          </w:tcPr>
          <w:p w:rsidR="000079EF" w:rsidRPr="000079EF" w:rsidP="000079EF" w14:paraId="2EA3BC1D" w14:textId="77777777">
            <w:pPr>
              <w:keepLines/>
              <w:tabs>
                <w:tab w:val="left" w:pos="360"/>
              </w:tabs>
              <w:spacing w:after="80"/>
              <w:ind w:left="360" w:hanging="360"/>
              <w:rPr>
                <w:b/>
                <w:bCs/>
                <w:sz w:val="24"/>
                <w:szCs w:val="24"/>
              </w:rPr>
            </w:pPr>
            <w:r w:rsidRPr="000079EF">
              <w:rPr>
                <w:b/>
                <w:bCs/>
                <w:sz w:val="24"/>
                <w:szCs w:val="24"/>
              </w:rPr>
              <w:t>Task</w:t>
            </w:r>
          </w:p>
        </w:tc>
        <w:tc>
          <w:tcPr>
            <w:tcW w:w="5388" w:type="dxa"/>
            <w:tcBorders>
              <w:top w:val="single" w:sz="8" w:space="0" w:color="auto"/>
              <w:left w:val="nil"/>
              <w:bottom w:val="single" w:sz="8" w:space="0" w:color="auto"/>
              <w:right w:val="single" w:sz="8" w:space="0" w:color="auto"/>
            </w:tcBorders>
            <w:shd w:val="clear" w:color="000000" w:fill="177BAD"/>
            <w:vAlign w:val="center"/>
            <w:hideMark/>
          </w:tcPr>
          <w:p w:rsidR="000079EF" w:rsidRPr="000079EF" w:rsidP="000079EF" w14:paraId="5A747AC7" w14:textId="77777777">
            <w:pPr>
              <w:keepLines/>
              <w:tabs>
                <w:tab w:val="left" w:pos="360"/>
              </w:tabs>
              <w:spacing w:after="80"/>
              <w:ind w:left="360" w:hanging="360"/>
              <w:rPr>
                <w:b/>
                <w:bCs/>
                <w:sz w:val="24"/>
                <w:szCs w:val="24"/>
              </w:rPr>
            </w:pPr>
            <w:r w:rsidRPr="000079EF">
              <w:rPr>
                <w:b/>
                <w:bCs/>
                <w:sz w:val="24"/>
                <w:szCs w:val="24"/>
              </w:rPr>
              <w:t>Deliverable</w:t>
            </w:r>
          </w:p>
        </w:tc>
        <w:tc>
          <w:tcPr>
            <w:tcW w:w="2038" w:type="dxa"/>
            <w:tcBorders>
              <w:top w:val="single" w:sz="8" w:space="0" w:color="auto"/>
              <w:left w:val="nil"/>
              <w:bottom w:val="single" w:sz="8" w:space="0" w:color="auto"/>
              <w:right w:val="single" w:sz="8" w:space="0" w:color="auto"/>
            </w:tcBorders>
            <w:shd w:val="clear" w:color="000000" w:fill="177BAD"/>
            <w:vAlign w:val="center"/>
            <w:hideMark/>
          </w:tcPr>
          <w:p w:rsidR="000079EF" w:rsidRPr="000079EF" w:rsidP="000079EF" w14:paraId="419700C1" w14:textId="77777777">
            <w:pPr>
              <w:pStyle w:val="NoSpacing"/>
              <w:rPr>
                <w:b/>
                <w:bCs/>
                <w:sz w:val="24"/>
                <w:szCs w:val="24"/>
              </w:rPr>
            </w:pPr>
            <w:r w:rsidRPr="000079EF">
              <w:rPr>
                <w:b/>
                <w:bCs/>
                <w:sz w:val="24"/>
                <w:szCs w:val="24"/>
              </w:rPr>
              <w:t>Status (Pending, Ongoing, Submitted, Complete, Delayed)</w:t>
            </w:r>
          </w:p>
        </w:tc>
        <w:tc>
          <w:tcPr>
            <w:tcW w:w="1389" w:type="dxa"/>
            <w:tcBorders>
              <w:top w:val="single" w:sz="8" w:space="0" w:color="auto"/>
              <w:left w:val="nil"/>
              <w:bottom w:val="single" w:sz="8" w:space="0" w:color="auto"/>
              <w:right w:val="single" w:sz="8" w:space="0" w:color="auto"/>
            </w:tcBorders>
            <w:shd w:val="clear" w:color="000000" w:fill="177BAD"/>
            <w:vAlign w:val="center"/>
            <w:hideMark/>
          </w:tcPr>
          <w:p w:rsidR="000079EF" w:rsidRPr="000079EF" w:rsidP="000079EF" w14:paraId="5904CB7F" w14:textId="77777777">
            <w:pPr>
              <w:keepLines/>
              <w:tabs>
                <w:tab w:val="left" w:pos="360"/>
              </w:tabs>
              <w:spacing w:after="80"/>
              <w:ind w:left="360" w:hanging="360"/>
              <w:rPr>
                <w:b/>
                <w:bCs/>
                <w:sz w:val="24"/>
                <w:szCs w:val="24"/>
              </w:rPr>
            </w:pPr>
            <w:r w:rsidRPr="000079EF">
              <w:rPr>
                <w:b/>
                <w:bCs/>
                <w:sz w:val="24"/>
                <w:szCs w:val="24"/>
              </w:rPr>
              <w:t>Deliverable Due Date</w:t>
            </w:r>
          </w:p>
        </w:tc>
      </w:tr>
      <w:tr w14:paraId="358DBEF9" w14:textId="77777777" w:rsidTr="000079EF">
        <w:tblPrEx>
          <w:tblW w:w="10195" w:type="dxa"/>
          <w:tblLook w:val="04A0"/>
        </w:tblPrEx>
        <w:trPr>
          <w:trHeight w:val="300"/>
        </w:trPr>
        <w:tc>
          <w:tcPr>
            <w:tcW w:w="6768"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0079EF" w:rsidRPr="000079EF" w:rsidP="000079EF" w14:paraId="161FB95D" w14:textId="77777777">
            <w:pPr>
              <w:keepLines/>
              <w:tabs>
                <w:tab w:val="left" w:pos="360"/>
              </w:tabs>
              <w:spacing w:after="80"/>
              <w:ind w:left="360" w:hanging="360"/>
              <w:rPr>
                <w:b/>
                <w:bCs/>
                <w:sz w:val="24"/>
                <w:szCs w:val="24"/>
              </w:rPr>
            </w:pPr>
            <w:r w:rsidRPr="000079EF">
              <w:rPr>
                <w:b/>
                <w:bCs/>
                <w:sz w:val="24"/>
                <w:szCs w:val="24"/>
              </w:rPr>
              <w:t>Task 5.1 Project management </w:t>
            </w:r>
          </w:p>
        </w:tc>
        <w:tc>
          <w:tcPr>
            <w:tcW w:w="2038" w:type="dxa"/>
            <w:tcBorders>
              <w:top w:val="nil"/>
              <w:left w:val="nil"/>
              <w:bottom w:val="single" w:sz="8" w:space="0" w:color="auto"/>
              <w:right w:val="nil"/>
            </w:tcBorders>
            <w:shd w:val="clear" w:color="000000" w:fill="F2F2F2"/>
            <w:noWrap/>
            <w:vAlign w:val="center"/>
            <w:hideMark/>
          </w:tcPr>
          <w:p w:rsidR="000079EF" w:rsidRPr="000079EF" w:rsidP="000079EF" w14:paraId="5A16E85F" w14:textId="77777777">
            <w:pPr>
              <w:keepLines/>
              <w:tabs>
                <w:tab w:val="left" w:pos="360"/>
              </w:tabs>
              <w:spacing w:after="80"/>
              <w:ind w:left="360" w:hanging="360"/>
              <w:rPr>
                <w:b/>
                <w:bCs/>
                <w:sz w:val="24"/>
                <w:szCs w:val="24"/>
              </w:rPr>
            </w:pPr>
            <w:r w:rsidRPr="000079EF">
              <w:rPr>
                <w:b/>
                <w:bCs/>
                <w:sz w:val="24"/>
                <w:szCs w:val="24"/>
              </w:rPr>
              <w:t> </w:t>
            </w:r>
          </w:p>
        </w:tc>
        <w:tc>
          <w:tcPr>
            <w:tcW w:w="1389" w:type="dxa"/>
            <w:tcBorders>
              <w:top w:val="nil"/>
              <w:left w:val="nil"/>
              <w:bottom w:val="single" w:sz="8" w:space="0" w:color="auto"/>
              <w:right w:val="nil"/>
            </w:tcBorders>
            <w:shd w:val="clear" w:color="000000" w:fill="F2F2F2"/>
            <w:noWrap/>
            <w:vAlign w:val="center"/>
            <w:hideMark/>
          </w:tcPr>
          <w:p w:rsidR="000079EF" w:rsidRPr="000079EF" w:rsidP="000079EF" w14:paraId="3BDD5835" w14:textId="77777777">
            <w:pPr>
              <w:keepLines/>
              <w:tabs>
                <w:tab w:val="left" w:pos="360"/>
              </w:tabs>
              <w:spacing w:after="80"/>
              <w:ind w:left="360" w:hanging="360"/>
              <w:rPr>
                <w:b/>
                <w:bCs/>
                <w:sz w:val="24"/>
                <w:szCs w:val="24"/>
              </w:rPr>
            </w:pPr>
            <w:r w:rsidRPr="000079EF">
              <w:rPr>
                <w:b/>
                <w:bCs/>
                <w:sz w:val="24"/>
                <w:szCs w:val="24"/>
              </w:rPr>
              <w:t> </w:t>
            </w:r>
          </w:p>
        </w:tc>
      </w:tr>
      <w:tr w14:paraId="3136D25F"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19E42882" w14:textId="77777777">
            <w:pPr>
              <w:keepLines/>
              <w:tabs>
                <w:tab w:val="left" w:pos="360"/>
              </w:tabs>
              <w:spacing w:after="80"/>
              <w:ind w:left="360" w:hanging="360"/>
              <w:rPr>
                <w:sz w:val="24"/>
                <w:szCs w:val="24"/>
              </w:rPr>
            </w:pPr>
            <w:r w:rsidRPr="000079EF">
              <w:rPr>
                <w:sz w:val="24"/>
                <w:szCs w:val="24"/>
              </w:rPr>
              <w:t>5.1.1</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60F2B2BB" w14:textId="77777777">
            <w:pPr>
              <w:keepLines/>
              <w:tabs>
                <w:tab w:val="left" w:pos="360"/>
              </w:tabs>
              <w:spacing w:after="80"/>
              <w:ind w:left="360" w:hanging="360"/>
              <w:rPr>
                <w:sz w:val="24"/>
                <w:szCs w:val="24"/>
              </w:rPr>
            </w:pPr>
            <w:r w:rsidRPr="000079EF">
              <w:rPr>
                <w:sz w:val="24"/>
                <w:szCs w:val="24"/>
              </w:rPr>
              <w:t>Kickoff meeting</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59BF8FEA" w14:textId="77777777">
            <w:pPr>
              <w:keepLines/>
              <w:tabs>
                <w:tab w:val="left" w:pos="360"/>
              </w:tabs>
              <w:spacing w:after="80"/>
              <w:ind w:left="360" w:hanging="360"/>
              <w:rPr>
                <w:sz w:val="24"/>
                <w:szCs w:val="24"/>
              </w:rPr>
            </w:pPr>
            <w:r w:rsidRPr="000079EF">
              <w:rPr>
                <w:sz w:val="24"/>
                <w:szCs w:val="24"/>
              </w:rPr>
              <w:t>Completed</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2500F800" w14:textId="77777777">
            <w:pPr>
              <w:keepLines/>
              <w:tabs>
                <w:tab w:val="left" w:pos="360"/>
              </w:tabs>
              <w:spacing w:after="80"/>
              <w:ind w:left="360" w:hanging="360"/>
              <w:rPr>
                <w:sz w:val="24"/>
                <w:szCs w:val="24"/>
              </w:rPr>
            </w:pPr>
            <w:r w:rsidRPr="000079EF">
              <w:rPr>
                <w:sz w:val="24"/>
                <w:szCs w:val="24"/>
              </w:rPr>
              <w:t> </w:t>
            </w:r>
          </w:p>
        </w:tc>
      </w:tr>
      <w:tr w14:paraId="762FF857"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1F314D19" w14:textId="77777777">
            <w:pPr>
              <w:keepLines/>
              <w:tabs>
                <w:tab w:val="left" w:pos="360"/>
              </w:tabs>
              <w:spacing w:after="80"/>
              <w:ind w:left="360" w:hanging="360"/>
              <w:rPr>
                <w:sz w:val="24"/>
                <w:szCs w:val="24"/>
              </w:rPr>
            </w:pPr>
            <w:r w:rsidRPr="000079EF">
              <w:rPr>
                <w:sz w:val="24"/>
                <w:szCs w:val="24"/>
              </w:rPr>
              <w:t>5.1.2</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41676F9B" w14:textId="77777777">
            <w:pPr>
              <w:keepLines/>
              <w:tabs>
                <w:tab w:val="left" w:pos="360"/>
              </w:tabs>
              <w:spacing w:after="80"/>
              <w:ind w:left="360" w:hanging="360"/>
              <w:rPr>
                <w:sz w:val="24"/>
                <w:szCs w:val="24"/>
              </w:rPr>
            </w:pPr>
            <w:r w:rsidRPr="000079EF">
              <w:rPr>
                <w:sz w:val="24"/>
                <w:szCs w:val="24"/>
              </w:rPr>
              <w:t>Draft management and work plan</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383157A3" w14:textId="77777777">
            <w:pPr>
              <w:keepLines/>
              <w:tabs>
                <w:tab w:val="left" w:pos="360"/>
              </w:tabs>
              <w:spacing w:after="80"/>
              <w:ind w:left="360" w:hanging="360"/>
              <w:rPr>
                <w:sz w:val="24"/>
                <w:szCs w:val="24"/>
              </w:rPr>
            </w:pPr>
            <w:r w:rsidRPr="000079EF">
              <w:rPr>
                <w:sz w:val="24"/>
                <w:szCs w:val="24"/>
              </w:rPr>
              <w:t>Completed</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57FBE93F" w14:textId="77777777">
            <w:pPr>
              <w:keepLines/>
              <w:tabs>
                <w:tab w:val="left" w:pos="360"/>
              </w:tabs>
              <w:spacing w:after="80"/>
              <w:ind w:left="360" w:hanging="360"/>
              <w:rPr>
                <w:sz w:val="24"/>
                <w:szCs w:val="24"/>
              </w:rPr>
            </w:pPr>
            <w:r w:rsidRPr="000079EF">
              <w:rPr>
                <w:sz w:val="24"/>
                <w:szCs w:val="24"/>
              </w:rPr>
              <w:t>4-Nov-22</w:t>
            </w:r>
          </w:p>
        </w:tc>
      </w:tr>
      <w:tr w14:paraId="2F71DAA5"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2957155F" w14:textId="77777777">
            <w:pPr>
              <w:keepLines/>
              <w:tabs>
                <w:tab w:val="left" w:pos="360"/>
              </w:tabs>
              <w:spacing w:after="80"/>
              <w:ind w:left="360" w:hanging="360"/>
              <w:rPr>
                <w:sz w:val="24"/>
                <w:szCs w:val="24"/>
              </w:rPr>
            </w:pPr>
            <w:r w:rsidRPr="000079EF">
              <w:rPr>
                <w:sz w:val="24"/>
                <w:szCs w:val="24"/>
              </w:rPr>
              <w:t>5.1.2</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0CDBA96B" w14:textId="77777777">
            <w:pPr>
              <w:keepLines/>
              <w:tabs>
                <w:tab w:val="left" w:pos="360"/>
              </w:tabs>
              <w:spacing w:after="80"/>
              <w:ind w:left="360" w:hanging="360"/>
              <w:rPr>
                <w:sz w:val="24"/>
                <w:szCs w:val="24"/>
              </w:rPr>
            </w:pPr>
            <w:r w:rsidRPr="000079EF">
              <w:rPr>
                <w:sz w:val="24"/>
                <w:szCs w:val="24"/>
              </w:rPr>
              <w:t>Final management and work plan</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61FF216C" w14:textId="77777777">
            <w:pPr>
              <w:keepLines/>
              <w:tabs>
                <w:tab w:val="left" w:pos="360"/>
              </w:tabs>
              <w:spacing w:after="80"/>
              <w:ind w:left="360" w:hanging="360"/>
              <w:rPr>
                <w:sz w:val="24"/>
                <w:szCs w:val="24"/>
              </w:rPr>
            </w:pPr>
            <w:r w:rsidRPr="000079EF">
              <w:rPr>
                <w:sz w:val="24"/>
                <w:szCs w:val="24"/>
              </w:rPr>
              <w:t>Completed</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13B204E1" w14:textId="77777777">
            <w:pPr>
              <w:keepLines/>
              <w:tabs>
                <w:tab w:val="left" w:pos="360"/>
              </w:tabs>
              <w:spacing w:after="80"/>
              <w:ind w:left="360" w:hanging="360"/>
              <w:rPr>
                <w:sz w:val="24"/>
                <w:szCs w:val="24"/>
              </w:rPr>
            </w:pPr>
            <w:r w:rsidRPr="000079EF">
              <w:rPr>
                <w:sz w:val="24"/>
                <w:szCs w:val="24"/>
              </w:rPr>
              <w:t>18-Nov-22</w:t>
            </w:r>
          </w:p>
        </w:tc>
      </w:tr>
      <w:tr w14:paraId="57BAED93"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3DDDBA8B" w14:textId="77777777">
            <w:pPr>
              <w:keepLines/>
              <w:tabs>
                <w:tab w:val="left" w:pos="360"/>
              </w:tabs>
              <w:spacing w:after="80"/>
              <w:ind w:left="360" w:hanging="360"/>
              <w:rPr>
                <w:sz w:val="24"/>
                <w:szCs w:val="24"/>
              </w:rPr>
            </w:pPr>
            <w:r w:rsidRPr="000079EF">
              <w:rPr>
                <w:sz w:val="24"/>
                <w:szCs w:val="24"/>
              </w:rPr>
              <w:t>5.1.3</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7E4A2EB9" w14:textId="77777777">
            <w:pPr>
              <w:keepLines/>
              <w:tabs>
                <w:tab w:val="left" w:pos="360"/>
              </w:tabs>
              <w:spacing w:after="80"/>
              <w:ind w:left="360" w:hanging="360"/>
              <w:rPr>
                <w:sz w:val="24"/>
                <w:szCs w:val="24"/>
              </w:rPr>
            </w:pPr>
            <w:r w:rsidRPr="000079EF">
              <w:rPr>
                <w:sz w:val="24"/>
                <w:szCs w:val="24"/>
              </w:rPr>
              <w:t>Monthly reporting and ongoing communication</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7EEF734D" w14:textId="77777777">
            <w:pPr>
              <w:keepLines/>
              <w:tabs>
                <w:tab w:val="left" w:pos="360"/>
              </w:tabs>
              <w:spacing w:after="80"/>
              <w:ind w:left="360" w:hanging="360"/>
              <w:rPr>
                <w:sz w:val="24"/>
                <w:szCs w:val="24"/>
              </w:rPr>
            </w:pPr>
            <w:r w:rsidRPr="000079EF">
              <w:rPr>
                <w:sz w:val="24"/>
                <w:szCs w:val="24"/>
              </w:rPr>
              <w:t>Ongoing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43275A2B" w14:textId="77777777">
            <w:pPr>
              <w:keepLines/>
              <w:tabs>
                <w:tab w:val="left" w:pos="360"/>
              </w:tabs>
              <w:spacing w:after="80"/>
              <w:ind w:left="360" w:hanging="360"/>
              <w:rPr>
                <w:sz w:val="24"/>
                <w:szCs w:val="24"/>
              </w:rPr>
            </w:pPr>
            <w:r w:rsidRPr="000079EF">
              <w:rPr>
                <w:sz w:val="24"/>
                <w:szCs w:val="24"/>
              </w:rPr>
              <w:t>Monthly</w:t>
            </w:r>
          </w:p>
        </w:tc>
      </w:tr>
      <w:tr w14:paraId="78855BCE" w14:textId="77777777" w:rsidTr="000079EF">
        <w:tblPrEx>
          <w:tblW w:w="10195" w:type="dxa"/>
          <w:tblLook w:val="04A0"/>
        </w:tblPrEx>
        <w:trPr>
          <w:trHeight w:val="300"/>
        </w:trPr>
        <w:tc>
          <w:tcPr>
            <w:tcW w:w="6768"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0079EF" w:rsidRPr="000079EF" w:rsidP="000079EF" w14:paraId="393904F5" w14:textId="77777777">
            <w:pPr>
              <w:keepLines/>
              <w:tabs>
                <w:tab w:val="left" w:pos="360"/>
              </w:tabs>
              <w:spacing w:after="80"/>
              <w:ind w:left="360" w:hanging="360"/>
              <w:rPr>
                <w:b/>
                <w:bCs/>
                <w:sz w:val="24"/>
                <w:szCs w:val="24"/>
              </w:rPr>
            </w:pPr>
            <w:r w:rsidRPr="000079EF">
              <w:rPr>
                <w:b/>
                <w:bCs/>
                <w:sz w:val="24"/>
                <w:szCs w:val="24"/>
              </w:rPr>
              <w:t>Task 5.2 Research design/data collection and analysis plan</w:t>
            </w:r>
            <w:r w:rsidRPr="000079EF">
              <w:rPr>
                <w:sz w:val="24"/>
                <w:szCs w:val="24"/>
              </w:rPr>
              <w:t> </w:t>
            </w:r>
          </w:p>
        </w:tc>
        <w:tc>
          <w:tcPr>
            <w:tcW w:w="2038" w:type="dxa"/>
            <w:tcBorders>
              <w:top w:val="nil"/>
              <w:left w:val="nil"/>
              <w:bottom w:val="single" w:sz="8" w:space="0" w:color="auto"/>
              <w:right w:val="nil"/>
            </w:tcBorders>
            <w:shd w:val="clear" w:color="000000" w:fill="F2F2F2"/>
            <w:noWrap/>
            <w:vAlign w:val="center"/>
            <w:hideMark/>
          </w:tcPr>
          <w:p w:rsidR="000079EF" w:rsidRPr="000079EF" w:rsidP="000079EF" w14:paraId="5B7FFBB3" w14:textId="77777777">
            <w:pPr>
              <w:keepLines/>
              <w:tabs>
                <w:tab w:val="left" w:pos="360"/>
              </w:tabs>
              <w:spacing w:after="80"/>
              <w:ind w:left="360" w:hanging="360"/>
              <w:rPr>
                <w:b/>
                <w:bCs/>
                <w:sz w:val="24"/>
                <w:szCs w:val="24"/>
              </w:rPr>
            </w:pPr>
            <w:r w:rsidRPr="000079EF">
              <w:rPr>
                <w:b/>
                <w:bCs/>
                <w:sz w:val="24"/>
                <w:szCs w:val="24"/>
              </w:rPr>
              <w:t> </w:t>
            </w:r>
          </w:p>
        </w:tc>
        <w:tc>
          <w:tcPr>
            <w:tcW w:w="1389" w:type="dxa"/>
            <w:tcBorders>
              <w:top w:val="nil"/>
              <w:left w:val="nil"/>
              <w:bottom w:val="single" w:sz="8" w:space="0" w:color="auto"/>
              <w:right w:val="nil"/>
            </w:tcBorders>
            <w:shd w:val="clear" w:color="000000" w:fill="F2F2F2"/>
            <w:noWrap/>
            <w:vAlign w:val="center"/>
            <w:hideMark/>
          </w:tcPr>
          <w:p w:rsidR="000079EF" w:rsidRPr="000079EF" w:rsidP="000079EF" w14:paraId="57E7F3EB" w14:textId="77777777">
            <w:pPr>
              <w:keepLines/>
              <w:tabs>
                <w:tab w:val="left" w:pos="360"/>
              </w:tabs>
              <w:spacing w:after="80"/>
              <w:ind w:left="360" w:hanging="360"/>
              <w:rPr>
                <w:b/>
                <w:bCs/>
                <w:sz w:val="24"/>
                <w:szCs w:val="24"/>
              </w:rPr>
            </w:pPr>
            <w:r w:rsidRPr="000079EF">
              <w:rPr>
                <w:b/>
                <w:bCs/>
                <w:sz w:val="24"/>
                <w:szCs w:val="24"/>
              </w:rPr>
              <w:t> </w:t>
            </w:r>
          </w:p>
        </w:tc>
      </w:tr>
      <w:tr w14:paraId="221532A8" w14:textId="77777777" w:rsidTr="000079EF">
        <w:tblPrEx>
          <w:tblW w:w="10195" w:type="dxa"/>
          <w:tblLook w:val="04A0"/>
        </w:tblPrEx>
        <w:trPr>
          <w:trHeight w:val="300"/>
        </w:trPr>
        <w:tc>
          <w:tcPr>
            <w:tcW w:w="1380" w:type="dxa"/>
            <w:tcBorders>
              <w:top w:val="nil"/>
              <w:left w:val="single" w:sz="8" w:space="0" w:color="auto"/>
              <w:bottom w:val="nil"/>
              <w:right w:val="single" w:sz="8" w:space="0" w:color="auto"/>
            </w:tcBorders>
            <w:shd w:val="clear" w:color="auto" w:fill="auto"/>
            <w:noWrap/>
            <w:vAlign w:val="center"/>
            <w:hideMark/>
          </w:tcPr>
          <w:p w:rsidR="000079EF" w:rsidRPr="000079EF" w:rsidP="000079EF" w14:paraId="2F1FDB15" w14:textId="77777777">
            <w:pPr>
              <w:keepLines/>
              <w:tabs>
                <w:tab w:val="left" w:pos="360"/>
              </w:tabs>
              <w:spacing w:after="80"/>
              <w:ind w:left="360" w:hanging="360"/>
              <w:rPr>
                <w:sz w:val="24"/>
                <w:szCs w:val="24"/>
              </w:rPr>
            </w:pPr>
            <w:r w:rsidRPr="000079EF">
              <w:rPr>
                <w:sz w:val="24"/>
                <w:szCs w:val="24"/>
              </w:rPr>
              <w:t>5.2.1and 5.2.2</w:t>
            </w:r>
          </w:p>
        </w:tc>
        <w:tc>
          <w:tcPr>
            <w:tcW w:w="5388" w:type="dxa"/>
            <w:tcBorders>
              <w:top w:val="nil"/>
              <w:left w:val="nil"/>
              <w:bottom w:val="nil"/>
              <w:right w:val="single" w:sz="8" w:space="0" w:color="auto"/>
            </w:tcBorders>
            <w:shd w:val="clear" w:color="auto" w:fill="auto"/>
            <w:vAlign w:val="center"/>
            <w:hideMark/>
          </w:tcPr>
          <w:p w:rsidR="000079EF" w:rsidRPr="000079EF" w:rsidP="000079EF" w14:paraId="7424882C" w14:textId="77777777">
            <w:pPr>
              <w:keepLines/>
              <w:tabs>
                <w:tab w:val="left" w:pos="360"/>
              </w:tabs>
              <w:spacing w:after="80"/>
              <w:ind w:left="360" w:hanging="360"/>
              <w:rPr>
                <w:sz w:val="24"/>
                <w:szCs w:val="24"/>
              </w:rPr>
            </w:pPr>
            <w:r w:rsidRPr="000079EF">
              <w:rPr>
                <w:sz w:val="24"/>
                <w:szCs w:val="24"/>
              </w:rPr>
              <w:t>Literature review and state policy scan</w:t>
            </w:r>
          </w:p>
        </w:tc>
        <w:tc>
          <w:tcPr>
            <w:tcW w:w="2038" w:type="dxa"/>
            <w:tcBorders>
              <w:top w:val="nil"/>
              <w:left w:val="nil"/>
              <w:bottom w:val="nil"/>
              <w:right w:val="single" w:sz="8" w:space="0" w:color="auto"/>
            </w:tcBorders>
            <w:shd w:val="clear" w:color="auto" w:fill="auto"/>
            <w:vAlign w:val="center"/>
            <w:hideMark/>
          </w:tcPr>
          <w:p w:rsidR="000079EF" w:rsidRPr="000079EF" w:rsidP="000079EF" w14:paraId="3888EE21" w14:textId="77777777">
            <w:pPr>
              <w:keepLines/>
              <w:tabs>
                <w:tab w:val="left" w:pos="360"/>
              </w:tabs>
              <w:spacing w:after="80"/>
              <w:ind w:left="360" w:hanging="360"/>
              <w:rPr>
                <w:sz w:val="24"/>
                <w:szCs w:val="24"/>
              </w:rPr>
            </w:pPr>
            <w:r w:rsidRPr="000079EF">
              <w:rPr>
                <w:sz w:val="24"/>
                <w:szCs w:val="24"/>
              </w:rPr>
              <w:t>Completed</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7824426C" w14:textId="77777777">
            <w:pPr>
              <w:keepLines/>
              <w:tabs>
                <w:tab w:val="left" w:pos="360"/>
              </w:tabs>
              <w:spacing w:after="80"/>
              <w:ind w:left="360" w:hanging="360"/>
              <w:rPr>
                <w:sz w:val="24"/>
                <w:szCs w:val="24"/>
              </w:rPr>
            </w:pPr>
            <w:r w:rsidRPr="000079EF">
              <w:rPr>
                <w:sz w:val="24"/>
                <w:szCs w:val="24"/>
              </w:rPr>
              <w:t>17-Feb-23</w:t>
            </w:r>
          </w:p>
        </w:tc>
      </w:tr>
      <w:tr w14:paraId="65E565EC" w14:textId="77777777" w:rsidTr="000079EF">
        <w:tblPrEx>
          <w:tblW w:w="10195" w:type="dxa"/>
          <w:tblLook w:val="04A0"/>
        </w:tblPrEx>
        <w:trPr>
          <w:trHeight w:val="300"/>
        </w:trPr>
        <w:tc>
          <w:tcPr>
            <w:tcW w:w="1380" w:type="dxa"/>
            <w:tcBorders>
              <w:top w:val="single" w:sz="8" w:space="0" w:color="auto"/>
              <w:left w:val="single" w:sz="8" w:space="0" w:color="auto"/>
              <w:bottom w:val="nil"/>
              <w:right w:val="single" w:sz="8" w:space="0" w:color="auto"/>
            </w:tcBorders>
            <w:shd w:val="clear" w:color="auto" w:fill="auto"/>
            <w:noWrap/>
            <w:vAlign w:val="center"/>
            <w:hideMark/>
          </w:tcPr>
          <w:p w:rsidR="000079EF" w:rsidRPr="000079EF" w:rsidP="000079EF" w14:paraId="22450F9B" w14:textId="77777777">
            <w:pPr>
              <w:keepLines/>
              <w:tabs>
                <w:tab w:val="left" w:pos="360"/>
              </w:tabs>
              <w:spacing w:after="80"/>
              <w:ind w:left="360" w:hanging="360"/>
              <w:rPr>
                <w:sz w:val="24"/>
                <w:szCs w:val="24"/>
              </w:rPr>
            </w:pPr>
            <w:r w:rsidRPr="000079EF">
              <w:rPr>
                <w:sz w:val="24"/>
                <w:szCs w:val="24"/>
              </w:rPr>
              <w:t>5.2</w:t>
            </w:r>
          </w:p>
        </w:tc>
        <w:tc>
          <w:tcPr>
            <w:tcW w:w="5388" w:type="dxa"/>
            <w:tcBorders>
              <w:top w:val="single" w:sz="8" w:space="0" w:color="auto"/>
              <w:left w:val="nil"/>
              <w:bottom w:val="nil"/>
              <w:right w:val="single" w:sz="8" w:space="0" w:color="auto"/>
            </w:tcBorders>
            <w:shd w:val="clear" w:color="auto" w:fill="auto"/>
            <w:vAlign w:val="center"/>
            <w:hideMark/>
          </w:tcPr>
          <w:p w:rsidR="000079EF" w:rsidRPr="000079EF" w:rsidP="000079EF" w14:paraId="4E74661B" w14:textId="77777777">
            <w:pPr>
              <w:keepLines/>
              <w:tabs>
                <w:tab w:val="left" w:pos="360"/>
              </w:tabs>
              <w:spacing w:after="80"/>
              <w:ind w:left="360" w:hanging="360"/>
              <w:rPr>
                <w:sz w:val="24"/>
                <w:szCs w:val="24"/>
              </w:rPr>
            </w:pPr>
            <w:r w:rsidRPr="000079EF">
              <w:rPr>
                <w:sz w:val="24"/>
                <w:szCs w:val="24"/>
              </w:rPr>
              <w:t>Draft Research Design, Data Collection and Analysis Plan (RD/DCAP)</w:t>
            </w:r>
          </w:p>
        </w:tc>
        <w:tc>
          <w:tcPr>
            <w:tcW w:w="2038" w:type="dxa"/>
            <w:tcBorders>
              <w:top w:val="single" w:sz="8" w:space="0" w:color="auto"/>
              <w:left w:val="nil"/>
              <w:bottom w:val="nil"/>
              <w:right w:val="single" w:sz="8" w:space="0" w:color="auto"/>
            </w:tcBorders>
            <w:shd w:val="clear" w:color="auto" w:fill="auto"/>
            <w:vAlign w:val="center"/>
            <w:hideMark/>
          </w:tcPr>
          <w:p w:rsidR="000079EF" w:rsidRPr="000079EF" w:rsidP="000079EF" w14:paraId="627DE782" w14:textId="77777777">
            <w:pPr>
              <w:keepLines/>
              <w:tabs>
                <w:tab w:val="left" w:pos="360"/>
              </w:tabs>
              <w:spacing w:after="80"/>
              <w:ind w:left="360" w:hanging="360"/>
              <w:rPr>
                <w:sz w:val="24"/>
                <w:szCs w:val="24"/>
              </w:rPr>
            </w:pPr>
            <w:r w:rsidRPr="000079EF">
              <w:rPr>
                <w:sz w:val="24"/>
                <w:szCs w:val="24"/>
              </w:rPr>
              <w:t>Completed</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13274DEE" w14:textId="77777777">
            <w:pPr>
              <w:keepLines/>
              <w:tabs>
                <w:tab w:val="left" w:pos="360"/>
              </w:tabs>
              <w:spacing w:after="80"/>
              <w:ind w:left="360" w:hanging="360"/>
              <w:rPr>
                <w:sz w:val="24"/>
                <w:szCs w:val="24"/>
              </w:rPr>
            </w:pPr>
            <w:r w:rsidRPr="000079EF">
              <w:rPr>
                <w:sz w:val="24"/>
                <w:szCs w:val="24"/>
              </w:rPr>
              <w:t>31-Mar-23</w:t>
            </w:r>
          </w:p>
        </w:tc>
      </w:tr>
      <w:tr w14:paraId="3589F68E"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2C83ECFF" w14:textId="77777777">
            <w:pPr>
              <w:keepLines/>
              <w:tabs>
                <w:tab w:val="left" w:pos="360"/>
              </w:tabs>
              <w:spacing w:after="80"/>
              <w:ind w:left="360" w:hanging="360"/>
              <w:rPr>
                <w:sz w:val="24"/>
                <w:szCs w:val="24"/>
              </w:rPr>
            </w:pPr>
            <w:r w:rsidRPr="000079EF">
              <w:rPr>
                <w:sz w:val="24"/>
                <w:szCs w:val="24"/>
              </w:rPr>
              <w:t>5.2</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5C27B971" w14:textId="77777777">
            <w:pPr>
              <w:keepLines/>
              <w:tabs>
                <w:tab w:val="left" w:pos="360"/>
              </w:tabs>
              <w:spacing w:after="80"/>
              <w:ind w:left="360" w:hanging="360"/>
              <w:rPr>
                <w:sz w:val="24"/>
                <w:szCs w:val="24"/>
              </w:rPr>
            </w:pPr>
            <w:r w:rsidRPr="000079EF">
              <w:rPr>
                <w:sz w:val="24"/>
                <w:szCs w:val="24"/>
              </w:rPr>
              <w:t>Final RD/DCAP</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7B0216D6" w14:textId="77777777">
            <w:pPr>
              <w:keepLines/>
              <w:tabs>
                <w:tab w:val="left" w:pos="360"/>
              </w:tabs>
              <w:spacing w:after="80"/>
              <w:ind w:left="360" w:hanging="360"/>
              <w:rPr>
                <w:sz w:val="24"/>
                <w:szCs w:val="24"/>
              </w:rPr>
            </w:pPr>
            <w:r w:rsidRPr="000079EF">
              <w:rPr>
                <w:sz w:val="24"/>
                <w:szCs w:val="24"/>
              </w:rPr>
              <w:t>Completed</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1A331A70" w14:textId="77777777">
            <w:pPr>
              <w:keepLines/>
              <w:tabs>
                <w:tab w:val="left" w:pos="360"/>
              </w:tabs>
              <w:spacing w:after="80"/>
              <w:ind w:left="360" w:hanging="360"/>
              <w:rPr>
                <w:sz w:val="24"/>
                <w:szCs w:val="24"/>
              </w:rPr>
            </w:pPr>
            <w:r w:rsidRPr="000079EF">
              <w:rPr>
                <w:sz w:val="24"/>
                <w:szCs w:val="24"/>
              </w:rPr>
              <w:t>14-Jun-23</w:t>
            </w:r>
          </w:p>
        </w:tc>
      </w:tr>
      <w:tr w14:paraId="0560DE51" w14:textId="77777777" w:rsidTr="000079EF">
        <w:tblPrEx>
          <w:tblW w:w="10195" w:type="dxa"/>
          <w:tblLook w:val="04A0"/>
        </w:tblPrEx>
        <w:trPr>
          <w:trHeight w:val="300"/>
        </w:trPr>
        <w:tc>
          <w:tcPr>
            <w:tcW w:w="6768"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0079EF" w:rsidRPr="000079EF" w:rsidP="000079EF" w14:paraId="08C48473" w14:textId="77777777">
            <w:pPr>
              <w:keepLines/>
              <w:tabs>
                <w:tab w:val="left" w:pos="360"/>
              </w:tabs>
              <w:spacing w:after="80"/>
              <w:ind w:left="360" w:hanging="360"/>
              <w:rPr>
                <w:b/>
                <w:bCs/>
                <w:sz w:val="24"/>
                <w:szCs w:val="24"/>
              </w:rPr>
            </w:pPr>
            <w:r w:rsidRPr="000079EF">
              <w:rPr>
                <w:b/>
                <w:bCs/>
                <w:sz w:val="24"/>
                <w:szCs w:val="24"/>
              </w:rPr>
              <w:t>Task 5.3 OMB and PRA</w:t>
            </w:r>
            <w:r w:rsidRPr="000079EF">
              <w:rPr>
                <w:sz w:val="24"/>
                <w:szCs w:val="24"/>
              </w:rPr>
              <w:t> </w:t>
            </w:r>
            <w:r w:rsidRPr="000079EF">
              <w:rPr>
                <w:b/>
                <w:bCs/>
                <w:sz w:val="24"/>
                <w:szCs w:val="24"/>
              </w:rPr>
              <w:t>packages</w:t>
            </w:r>
          </w:p>
        </w:tc>
        <w:tc>
          <w:tcPr>
            <w:tcW w:w="2038" w:type="dxa"/>
            <w:tcBorders>
              <w:top w:val="nil"/>
              <w:left w:val="nil"/>
              <w:bottom w:val="single" w:sz="8" w:space="0" w:color="auto"/>
              <w:right w:val="nil"/>
            </w:tcBorders>
            <w:shd w:val="clear" w:color="000000" w:fill="F2F2F2"/>
            <w:noWrap/>
            <w:vAlign w:val="center"/>
            <w:hideMark/>
          </w:tcPr>
          <w:p w:rsidR="000079EF" w:rsidRPr="000079EF" w:rsidP="000079EF" w14:paraId="7619E19A" w14:textId="77777777">
            <w:pPr>
              <w:keepLines/>
              <w:tabs>
                <w:tab w:val="left" w:pos="360"/>
              </w:tabs>
              <w:spacing w:after="80"/>
              <w:ind w:left="360" w:hanging="360"/>
              <w:rPr>
                <w:b/>
                <w:bCs/>
                <w:sz w:val="24"/>
                <w:szCs w:val="24"/>
              </w:rPr>
            </w:pPr>
            <w:r w:rsidRPr="000079EF">
              <w:rPr>
                <w:b/>
                <w:bCs/>
                <w:sz w:val="24"/>
                <w:szCs w:val="24"/>
              </w:rPr>
              <w:t> </w:t>
            </w:r>
          </w:p>
        </w:tc>
        <w:tc>
          <w:tcPr>
            <w:tcW w:w="1389" w:type="dxa"/>
            <w:tcBorders>
              <w:top w:val="nil"/>
              <w:left w:val="nil"/>
              <w:bottom w:val="single" w:sz="8" w:space="0" w:color="auto"/>
              <w:right w:val="nil"/>
            </w:tcBorders>
            <w:shd w:val="clear" w:color="000000" w:fill="F2F2F2"/>
            <w:noWrap/>
            <w:vAlign w:val="center"/>
            <w:hideMark/>
          </w:tcPr>
          <w:p w:rsidR="000079EF" w:rsidRPr="000079EF" w:rsidP="000079EF" w14:paraId="59F0C921" w14:textId="77777777">
            <w:pPr>
              <w:keepLines/>
              <w:tabs>
                <w:tab w:val="left" w:pos="360"/>
              </w:tabs>
              <w:spacing w:after="80"/>
              <w:ind w:left="360" w:hanging="360"/>
              <w:rPr>
                <w:b/>
                <w:bCs/>
                <w:sz w:val="24"/>
                <w:szCs w:val="24"/>
              </w:rPr>
            </w:pPr>
            <w:r w:rsidRPr="000079EF">
              <w:rPr>
                <w:b/>
                <w:bCs/>
                <w:sz w:val="24"/>
                <w:szCs w:val="24"/>
              </w:rPr>
              <w:t> </w:t>
            </w:r>
          </w:p>
        </w:tc>
      </w:tr>
      <w:tr w14:paraId="0B9E6E53" w14:textId="77777777" w:rsidTr="000079EF">
        <w:tblPrEx>
          <w:tblW w:w="10195" w:type="dxa"/>
          <w:tblLook w:val="04A0"/>
        </w:tblPrEx>
        <w:trPr>
          <w:trHeight w:val="492"/>
        </w:trPr>
        <w:tc>
          <w:tcPr>
            <w:tcW w:w="1380" w:type="dxa"/>
            <w:tcBorders>
              <w:top w:val="nil"/>
              <w:left w:val="single" w:sz="8" w:space="0" w:color="auto"/>
              <w:bottom w:val="nil"/>
              <w:right w:val="single" w:sz="8" w:space="0" w:color="auto"/>
            </w:tcBorders>
            <w:shd w:val="clear" w:color="auto" w:fill="auto"/>
            <w:noWrap/>
            <w:vAlign w:val="center"/>
            <w:hideMark/>
          </w:tcPr>
          <w:p w:rsidR="000079EF" w:rsidRPr="000079EF" w:rsidP="000079EF" w14:paraId="703D8F68" w14:textId="77777777">
            <w:pPr>
              <w:keepLines/>
              <w:tabs>
                <w:tab w:val="left" w:pos="360"/>
              </w:tabs>
              <w:spacing w:after="80"/>
              <w:ind w:left="360" w:hanging="360"/>
              <w:rPr>
                <w:sz w:val="24"/>
                <w:szCs w:val="24"/>
              </w:rPr>
            </w:pPr>
            <w:r w:rsidRPr="000079EF">
              <w:rPr>
                <w:sz w:val="24"/>
                <w:szCs w:val="24"/>
              </w:rPr>
              <w:t>5.3</w:t>
            </w:r>
          </w:p>
        </w:tc>
        <w:tc>
          <w:tcPr>
            <w:tcW w:w="5388" w:type="dxa"/>
            <w:tcBorders>
              <w:top w:val="nil"/>
              <w:left w:val="nil"/>
              <w:bottom w:val="nil"/>
              <w:right w:val="single" w:sz="8" w:space="0" w:color="auto"/>
            </w:tcBorders>
            <w:shd w:val="clear" w:color="auto" w:fill="auto"/>
            <w:vAlign w:val="center"/>
            <w:hideMark/>
          </w:tcPr>
          <w:p w:rsidR="000079EF" w:rsidRPr="000079EF" w:rsidP="000079EF" w14:paraId="04B37BA6" w14:textId="77777777">
            <w:pPr>
              <w:keepLines/>
              <w:tabs>
                <w:tab w:val="left" w:pos="360"/>
              </w:tabs>
              <w:spacing w:after="80"/>
              <w:ind w:left="360" w:hanging="360"/>
              <w:rPr>
                <w:sz w:val="24"/>
                <w:szCs w:val="24"/>
              </w:rPr>
            </w:pPr>
            <w:r w:rsidRPr="000079EF">
              <w:rPr>
                <w:sz w:val="24"/>
                <w:szCs w:val="24"/>
              </w:rPr>
              <w:t>Draft Paperwork Reduction Act (PRA) and Institutional Review Board (IRB) packages and Privacy Act documentation</w:t>
            </w:r>
          </w:p>
        </w:tc>
        <w:tc>
          <w:tcPr>
            <w:tcW w:w="2038" w:type="dxa"/>
            <w:tcBorders>
              <w:top w:val="nil"/>
              <w:left w:val="nil"/>
              <w:bottom w:val="nil"/>
              <w:right w:val="single" w:sz="8" w:space="0" w:color="auto"/>
            </w:tcBorders>
            <w:shd w:val="clear" w:color="auto" w:fill="auto"/>
            <w:vAlign w:val="center"/>
            <w:hideMark/>
          </w:tcPr>
          <w:p w:rsidR="000079EF" w:rsidRPr="000079EF" w:rsidP="000079EF" w14:paraId="749B5450" w14:textId="77777777">
            <w:pPr>
              <w:keepLines/>
              <w:tabs>
                <w:tab w:val="left" w:pos="360"/>
              </w:tabs>
              <w:spacing w:after="80"/>
              <w:ind w:left="360" w:hanging="360"/>
              <w:rPr>
                <w:sz w:val="24"/>
                <w:szCs w:val="24"/>
              </w:rPr>
            </w:pPr>
            <w:r w:rsidRPr="000079EF">
              <w:rPr>
                <w:sz w:val="24"/>
                <w:szCs w:val="24"/>
              </w:rPr>
              <w:t>Completed</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05FE6612" w14:textId="77777777">
            <w:pPr>
              <w:keepLines/>
              <w:tabs>
                <w:tab w:val="left" w:pos="360"/>
              </w:tabs>
              <w:spacing w:after="80"/>
              <w:ind w:left="360" w:hanging="360"/>
              <w:rPr>
                <w:sz w:val="24"/>
                <w:szCs w:val="24"/>
              </w:rPr>
            </w:pPr>
            <w:r w:rsidRPr="000079EF">
              <w:rPr>
                <w:sz w:val="24"/>
                <w:szCs w:val="24"/>
              </w:rPr>
              <w:t>12-Jun-23</w:t>
            </w:r>
          </w:p>
        </w:tc>
      </w:tr>
      <w:tr w14:paraId="5C9C6FD1" w14:textId="77777777" w:rsidTr="000079EF">
        <w:tblPrEx>
          <w:tblW w:w="10195" w:type="dxa"/>
          <w:tblLook w:val="04A0"/>
        </w:tblPrEx>
        <w:trPr>
          <w:trHeight w:val="492"/>
        </w:trPr>
        <w:tc>
          <w:tcPr>
            <w:tcW w:w="1380" w:type="dxa"/>
            <w:tcBorders>
              <w:top w:val="single" w:sz="8" w:space="0" w:color="auto"/>
              <w:left w:val="single" w:sz="8" w:space="0" w:color="auto"/>
              <w:bottom w:val="nil"/>
              <w:right w:val="single" w:sz="8" w:space="0" w:color="auto"/>
            </w:tcBorders>
            <w:shd w:val="clear" w:color="auto" w:fill="auto"/>
            <w:noWrap/>
            <w:vAlign w:val="center"/>
            <w:hideMark/>
          </w:tcPr>
          <w:p w:rsidR="000079EF" w:rsidRPr="000079EF" w:rsidP="000079EF" w14:paraId="57FB18F4" w14:textId="77777777">
            <w:pPr>
              <w:keepLines/>
              <w:tabs>
                <w:tab w:val="left" w:pos="360"/>
              </w:tabs>
              <w:spacing w:after="80"/>
              <w:ind w:left="360" w:hanging="360"/>
              <w:rPr>
                <w:sz w:val="24"/>
                <w:szCs w:val="24"/>
              </w:rPr>
            </w:pPr>
            <w:r w:rsidRPr="000079EF">
              <w:rPr>
                <w:sz w:val="24"/>
                <w:szCs w:val="24"/>
              </w:rPr>
              <w:t>5.3</w:t>
            </w:r>
          </w:p>
        </w:tc>
        <w:tc>
          <w:tcPr>
            <w:tcW w:w="5388" w:type="dxa"/>
            <w:tcBorders>
              <w:top w:val="single" w:sz="8" w:space="0" w:color="auto"/>
              <w:left w:val="nil"/>
              <w:bottom w:val="nil"/>
              <w:right w:val="single" w:sz="8" w:space="0" w:color="auto"/>
            </w:tcBorders>
            <w:shd w:val="clear" w:color="auto" w:fill="auto"/>
            <w:vAlign w:val="center"/>
            <w:hideMark/>
          </w:tcPr>
          <w:p w:rsidR="000079EF" w:rsidRPr="000079EF" w:rsidP="000079EF" w14:paraId="56F92853" w14:textId="77777777">
            <w:pPr>
              <w:keepLines/>
              <w:tabs>
                <w:tab w:val="left" w:pos="360"/>
              </w:tabs>
              <w:spacing w:after="80"/>
              <w:ind w:left="360" w:hanging="360"/>
              <w:rPr>
                <w:sz w:val="24"/>
                <w:szCs w:val="24"/>
              </w:rPr>
            </w:pPr>
            <w:r w:rsidRPr="000079EF">
              <w:rPr>
                <w:sz w:val="24"/>
                <w:szCs w:val="24"/>
              </w:rPr>
              <w:t>Final PRA and IRB packages and Privacy Act documentation</w:t>
            </w:r>
          </w:p>
        </w:tc>
        <w:tc>
          <w:tcPr>
            <w:tcW w:w="2038" w:type="dxa"/>
            <w:tcBorders>
              <w:top w:val="single" w:sz="8" w:space="0" w:color="auto"/>
              <w:left w:val="nil"/>
              <w:bottom w:val="nil"/>
              <w:right w:val="single" w:sz="8" w:space="0" w:color="auto"/>
            </w:tcBorders>
            <w:shd w:val="clear" w:color="auto" w:fill="auto"/>
            <w:vAlign w:val="center"/>
            <w:hideMark/>
          </w:tcPr>
          <w:p w:rsidR="000079EF" w:rsidRPr="000079EF" w:rsidP="000079EF" w14:paraId="2F8CD045"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481EB1EB" w14:textId="77777777">
            <w:pPr>
              <w:keepLines/>
              <w:tabs>
                <w:tab w:val="left" w:pos="360"/>
              </w:tabs>
              <w:spacing w:after="80"/>
              <w:ind w:left="360" w:hanging="360"/>
              <w:rPr>
                <w:sz w:val="24"/>
                <w:szCs w:val="24"/>
              </w:rPr>
            </w:pPr>
            <w:r w:rsidRPr="000079EF">
              <w:rPr>
                <w:sz w:val="24"/>
                <w:szCs w:val="24"/>
              </w:rPr>
              <w:t>23-Jun-23</w:t>
            </w:r>
          </w:p>
        </w:tc>
      </w:tr>
      <w:tr w14:paraId="2D4AA680" w14:textId="77777777" w:rsidTr="000079EF">
        <w:tblPrEx>
          <w:tblW w:w="10195" w:type="dxa"/>
          <w:tblLook w:val="04A0"/>
        </w:tblPrEx>
        <w:trPr>
          <w:trHeight w:val="300"/>
        </w:trPr>
        <w:tc>
          <w:tcPr>
            <w:tcW w:w="6768"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0079EF" w:rsidRPr="000079EF" w:rsidP="000079EF" w14:paraId="787A90E5" w14:textId="77777777">
            <w:pPr>
              <w:keepLines/>
              <w:tabs>
                <w:tab w:val="left" w:pos="360"/>
              </w:tabs>
              <w:spacing w:after="80"/>
              <w:ind w:left="360" w:hanging="360"/>
              <w:rPr>
                <w:b/>
                <w:bCs/>
                <w:sz w:val="24"/>
                <w:szCs w:val="24"/>
              </w:rPr>
            </w:pPr>
            <w:r w:rsidRPr="000079EF">
              <w:rPr>
                <w:b/>
                <w:bCs/>
                <w:sz w:val="24"/>
                <w:szCs w:val="24"/>
              </w:rPr>
              <w:t>Task 5.4 Data collection, analysis, and disposition </w:t>
            </w:r>
          </w:p>
        </w:tc>
        <w:tc>
          <w:tcPr>
            <w:tcW w:w="2038" w:type="dxa"/>
            <w:tcBorders>
              <w:top w:val="single" w:sz="8" w:space="0" w:color="auto"/>
              <w:left w:val="nil"/>
              <w:bottom w:val="single" w:sz="8" w:space="0" w:color="auto"/>
              <w:right w:val="nil"/>
            </w:tcBorders>
            <w:shd w:val="clear" w:color="000000" w:fill="F2F2F2"/>
            <w:noWrap/>
            <w:vAlign w:val="center"/>
            <w:hideMark/>
          </w:tcPr>
          <w:p w:rsidR="000079EF" w:rsidRPr="000079EF" w:rsidP="000079EF" w14:paraId="11159795" w14:textId="77777777">
            <w:pPr>
              <w:keepLines/>
              <w:tabs>
                <w:tab w:val="left" w:pos="360"/>
              </w:tabs>
              <w:spacing w:after="80"/>
              <w:ind w:left="360" w:hanging="360"/>
              <w:rPr>
                <w:b/>
                <w:bCs/>
                <w:sz w:val="24"/>
                <w:szCs w:val="24"/>
              </w:rPr>
            </w:pPr>
            <w:r w:rsidRPr="000079EF">
              <w:rPr>
                <w:b/>
                <w:bCs/>
                <w:sz w:val="24"/>
                <w:szCs w:val="24"/>
              </w:rPr>
              <w:t> </w:t>
            </w:r>
          </w:p>
        </w:tc>
        <w:tc>
          <w:tcPr>
            <w:tcW w:w="1389" w:type="dxa"/>
            <w:tcBorders>
              <w:top w:val="nil"/>
              <w:left w:val="nil"/>
              <w:bottom w:val="single" w:sz="8" w:space="0" w:color="auto"/>
              <w:right w:val="nil"/>
            </w:tcBorders>
            <w:shd w:val="clear" w:color="000000" w:fill="F2F2F2"/>
            <w:noWrap/>
            <w:vAlign w:val="center"/>
            <w:hideMark/>
          </w:tcPr>
          <w:p w:rsidR="000079EF" w:rsidRPr="000079EF" w:rsidP="000079EF" w14:paraId="0464E24F" w14:textId="77777777">
            <w:pPr>
              <w:keepLines/>
              <w:tabs>
                <w:tab w:val="left" w:pos="360"/>
              </w:tabs>
              <w:spacing w:after="80"/>
              <w:ind w:left="360" w:hanging="360"/>
              <w:rPr>
                <w:b/>
                <w:bCs/>
                <w:sz w:val="24"/>
                <w:szCs w:val="24"/>
              </w:rPr>
            </w:pPr>
            <w:r w:rsidRPr="000079EF">
              <w:rPr>
                <w:b/>
                <w:bCs/>
                <w:sz w:val="24"/>
                <w:szCs w:val="24"/>
              </w:rPr>
              <w:t> </w:t>
            </w:r>
          </w:p>
        </w:tc>
      </w:tr>
      <w:tr w14:paraId="63FF18C3" w14:textId="77777777" w:rsidTr="000079EF">
        <w:tblPrEx>
          <w:tblW w:w="10195" w:type="dxa"/>
          <w:tblLook w:val="04A0"/>
        </w:tblPrEx>
        <w:trPr>
          <w:trHeight w:val="492"/>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23E24003" w14:textId="77777777">
            <w:pPr>
              <w:keepLines/>
              <w:tabs>
                <w:tab w:val="left" w:pos="360"/>
              </w:tabs>
              <w:spacing w:after="80"/>
              <w:ind w:left="360" w:hanging="360"/>
              <w:rPr>
                <w:sz w:val="24"/>
                <w:szCs w:val="24"/>
              </w:rPr>
            </w:pPr>
            <w:r w:rsidRPr="000079EF">
              <w:rPr>
                <w:sz w:val="24"/>
                <w:szCs w:val="24"/>
              </w:rPr>
              <w:t>5.4</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39BE7FD1" w14:textId="77777777">
            <w:pPr>
              <w:keepLines/>
              <w:tabs>
                <w:tab w:val="left" w:pos="360"/>
              </w:tabs>
              <w:spacing w:after="80"/>
              <w:ind w:left="360" w:hanging="360"/>
              <w:rPr>
                <w:sz w:val="24"/>
                <w:szCs w:val="24"/>
              </w:rPr>
            </w:pPr>
            <w:r w:rsidRPr="000079EF">
              <w:rPr>
                <w:sz w:val="24"/>
                <w:szCs w:val="24"/>
              </w:rPr>
              <w:t>Memo summarizing status of activities related to data sharing agreements</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5C3A4EC3"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43EC86E0" w14:textId="77777777">
            <w:pPr>
              <w:keepLines/>
              <w:tabs>
                <w:tab w:val="left" w:pos="360"/>
              </w:tabs>
              <w:spacing w:after="80"/>
              <w:ind w:left="360" w:hanging="360"/>
              <w:rPr>
                <w:sz w:val="24"/>
                <w:szCs w:val="24"/>
              </w:rPr>
            </w:pPr>
            <w:r w:rsidRPr="000079EF">
              <w:rPr>
                <w:sz w:val="24"/>
                <w:szCs w:val="24"/>
              </w:rPr>
              <w:t>25-Aug-23</w:t>
            </w:r>
          </w:p>
        </w:tc>
      </w:tr>
      <w:tr w14:paraId="2F0CDF3A"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4C65E56E" w14:textId="77777777">
            <w:pPr>
              <w:keepLines/>
              <w:tabs>
                <w:tab w:val="left" w:pos="360"/>
              </w:tabs>
              <w:spacing w:after="80"/>
              <w:ind w:left="360" w:hanging="360"/>
              <w:rPr>
                <w:sz w:val="24"/>
                <w:szCs w:val="24"/>
              </w:rPr>
            </w:pPr>
            <w:r w:rsidRPr="000079EF">
              <w:rPr>
                <w:sz w:val="24"/>
                <w:szCs w:val="24"/>
              </w:rPr>
              <w:t>5.4</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7C1F78B6" w14:textId="77777777">
            <w:pPr>
              <w:keepLines/>
              <w:tabs>
                <w:tab w:val="left" w:pos="360"/>
              </w:tabs>
              <w:spacing w:after="80"/>
              <w:ind w:left="360" w:hanging="360"/>
              <w:rPr>
                <w:sz w:val="24"/>
                <w:szCs w:val="24"/>
              </w:rPr>
            </w:pPr>
            <w:r w:rsidRPr="000079EF">
              <w:rPr>
                <w:sz w:val="24"/>
                <w:szCs w:val="24"/>
              </w:rPr>
              <w:t>Memo summarizing first site visit</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5E66D075"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2957F98A" w14:textId="77777777">
            <w:pPr>
              <w:keepLines/>
              <w:tabs>
                <w:tab w:val="left" w:pos="360"/>
              </w:tabs>
              <w:spacing w:after="80"/>
              <w:ind w:left="360" w:hanging="360"/>
              <w:rPr>
                <w:sz w:val="24"/>
                <w:szCs w:val="24"/>
              </w:rPr>
            </w:pPr>
            <w:r w:rsidRPr="000079EF">
              <w:rPr>
                <w:sz w:val="24"/>
                <w:szCs w:val="24"/>
              </w:rPr>
              <w:t>15-Dec-23</w:t>
            </w:r>
          </w:p>
        </w:tc>
      </w:tr>
      <w:tr w14:paraId="59D4219D"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1BDC8179" w14:textId="77777777">
            <w:pPr>
              <w:keepLines/>
              <w:tabs>
                <w:tab w:val="left" w:pos="360"/>
              </w:tabs>
              <w:spacing w:after="80"/>
              <w:ind w:left="360" w:hanging="360"/>
              <w:rPr>
                <w:sz w:val="24"/>
                <w:szCs w:val="24"/>
              </w:rPr>
            </w:pPr>
            <w:r w:rsidRPr="000079EF">
              <w:rPr>
                <w:sz w:val="24"/>
                <w:szCs w:val="24"/>
              </w:rPr>
              <w:t>5.4.4</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755FCAC8" w14:textId="77777777">
            <w:pPr>
              <w:keepLines/>
              <w:tabs>
                <w:tab w:val="left" w:pos="360"/>
              </w:tabs>
              <w:spacing w:after="80"/>
              <w:ind w:left="360" w:hanging="360"/>
              <w:rPr>
                <w:sz w:val="24"/>
                <w:szCs w:val="24"/>
              </w:rPr>
            </w:pPr>
            <w:r w:rsidRPr="000079EF">
              <w:rPr>
                <w:sz w:val="24"/>
                <w:szCs w:val="24"/>
              </w:rPr>
              <w:t xml:space="preserve">Preliminary data briefing </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76F353F6"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6FE90790" w14:textId="77777777">
            <w:pPr>
              <w:keepLines/>
              <w:tabs>
                <w:tab w:val="left" w:pos="360"/>
              </w:tabs>
              <w:spacing w:after="80"/>
              <w:ind w:left="360" w:hanging="360"/>
              <w:rPr>
                <w:sz w:val="24"/>
                <w:szCs w:val="24"/>
              </w:rPr>
            </w:pPr>
            <w:r w:rsidRPr="000079EF">
              <w:rPr>
                <w:sz w:val="24"/>
                <w:szCs w:val="24"/>
              </w:rPr>
              <w:t>15-Mar-24</w:t>
            </w:r>
          </w:p>
        </w:tc>
      </w:tr>
      <w:tr w14:paraId="2F6A3AF5"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3A1A5914" w14:textId="77777777">
            <w:pPr>
              <w:keepLines/>
              <w:tabs>
                <w:tab w:val="left" w:pos="360"/>
              </w:tabs>
              <w:spacing w:after="80"/>
              <w:ind w:left="360" w:hanging="360"/>
              <w:rPr>
                <w:sz w:val="24"/>
                <w:szCs w:val="24"/>
              </w:rPr>
            </w:pPr>
            <w:r w:rsidRPr="000079EF">
              <w:rPr>
                <w:sz w:val="24"/>
                <w:szCs w:val="24"/>
              </w:rPr>
              <w:t>5.4.5</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1FD83453" w14:textId="77777777">
            <w:pPr>
              <w:keepLines/>
              <w:tabs>
                <w:tab w:val="left" w:pos="360"/>
              </w:tabs>
              <w:spacing w:after="80"/>
              <w:ind w:left="360" w:hanging="360"/>
              <w:rPr>
                <w:sz w:val="24"/>
                <w:szCs w:val="24"/>
              </w:rPr>
            </w:pPr>
            <w:r w:rsidRPr="000079EF">
              <w:rPr>
                <w:sz w:val="24"/>
                <w:szCs w:val="24"/>
              </w:rPr>
              <w:t>Final data deliverable</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445C28BF"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1E940400" w14:textId="77777777">
            <w:pPr>
              <w:keepLines/>
              <w:tabs>
                <w:tab w:val="left" w:pos="360"/>
              </w:tabs>
              <w:spacing w:after="80"/>
              <w:ind w:left="360" w:hanging="360"/>
              <w:rPr>
                <w:sz w:val="24"/>
                <w:szCs w:val="24"/>
              </w:rPr>
            </w:pPr>
            <w:r w:rsidRPr="000079EF">
              <w:rPr>
                <w:sz w:val="24"/>
                <w:szCs w:val="24"/>
              </w:rPr>
              <w:t>13-Sep-24</w:t>
            </w:r>
          </w:p>
        </w:tc>
      </w:tr>
      <w:tr w14:paraId="637B5B3D" w14:textId="77777777" w:rsidTr="000079EF">
        <w:tblPrEx>
          <w:tblW w:w="10195" w:type="dxa"/>
          <w:tblLook w:val="04A0"/>
        </w:tblPrEx>
        <w:trPr>
          <w:trHeight w:val="300"/>
        </w:trPr>
        <w:tc>
          <w:tcPr>
            <w:tcW w:w="6768"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0079EF" w:rsidRPr="000079EF" w:rsidP="000079EF" w14:paraId="1964A35F" w14:textId="77777777">
            <w:pPr>
              <w:keepLines/>
              <w:tabs>
                <w:tab w:val="left" w:pos="360"/>
              </w:tabs>
              <w:spacing w:after="80"/>
              <w:ind w:left="360" w:hanging="360"/>
              <w:rPr>
                <w:b/>
                <w:bCs/>
                <w:sz w:val="24"/>
                <w:szCs w:val="24"/>
              </w:rPr>
            </w:pPr>
            <w:r w:rsidRPr="000079EF">
              <w:rPr>
                <w:b/>
                <w:bCs/>
                <w:sz w:val="24"/>
                <w:szCs w:val="24"/>
              </w:rPr>
              <w:t>Task 5.5 Comprehensive report </w:t>
            </w:r>
          </w:p>
        </w:tc>
        <w:tc>
          <w:tcPr>
            <w:tcW w:w="2038" w:type="dxa"/>
            <w:tcBorders>
              <w:top w:val="nil"/>
              <w:left w:val="nil"/>
              <w:bottom w:val="single" w:sz="8" w:space="0" w:color="auto"/>
              <w:right w:val="nil"/>
            </w:tcBorders>
            <w:shd w:val="clear" w:color="000000" w:fill="F2F2F2"/>
            <w:noWrap/>
            <w:vAlign w:val="center"/>
            <w:hideMark/>
          </w:tcPr>
          <w:p w:rsidR="000079EF" w:rsidRPr="000079EF" w:rsidP="000079EF" w14:paraId="44DC293C" w14:textId="77777777">
            <w:pPr>
              <w:keepLines/>
              <w:tabs>
                <w:tab w:val="left" w:pos="360"/>
              </w:tabs>
              <w:spacing w:after="80"/>
              <w:ind w:left="360" w:hanging="360"/>
              <w:rPr>
                <w:b/>
                <w:bCs/>
                <w:sz w:val="24"/>
                <w:szCs w:val="24"/>
              </w:rPr>
            </w:pPr>
            <w:r w:rsidRPr="000079EF">
              <w:rPr>
                <w:b/>
                <w:bCs/>
                <w:sz w:val="24"/>
                <w:szCs w:val="24"/>
              </w:rPr>
              <w:t> </w:t>
            </w:r>
          </w:p>
        </w:tc>
        <w:tc>
          <w:tcPr>
            <w:tcW w:w="1389" w:type="dxa"/>
            <w:tcBorders>
              <w:top w:val="nil"/>
              <w:left w:val="nil"/>
              <w:bottom w:val="single" w:sz="8" w:space="0" w:color="auto"/>
              <w:right w:val="nil"/>
            </w:tcBorders>
            <w:shd w:val="clear" w:color="000000" w:fill="F2F2F2"/>
            <w:noWrap/>
            <w:vAlign w:val="center"/>
            <w:hideMark/>
          </w:tcPr>
          <w:p w:rsidR="000079EF" w:rsidRPr="000079EF" w:rsidP="000079EF" w14:paraId="4D26C5B4" w14:textId="77777777">
            <w:pPr>
              <w:keepLines/>
              <w:tabs>
                <w:tab w:val="left" w:pos="360"/>
              </w:tabs>
              <w:spacing w:after="80"/>
              <w:ind w:left="360" w:hanging="360"/>
              <w:rPr>
                <w:b/>
                <w:bCs/>
                <w:sz w:val="24"/>
                <w:szCs w:val="24"/>
              </w:rPr>
            </w:pPr>
            <w:r w:rsidRPr="000079EF">
              <w:rPr>
                <w:b/>
                <w:bCs/>
                <w:sz w:val="24"/>
                <w:szCs w:val="24"/>
              </w:rPr>
              <w:t> </w:t>
            </w:r>
          </w:p>
        </w:tc>
      </w:tr>
      <w:tr w14:paraId="3F5DB6DB"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0E680CA1" w14:textId="77777777">
            <w:pPr>
              <w:keepLines/>
              <w:tabs>
                <w:tab w:val="left" w:pos="360"/>
              </w:tabs>
              <w:spacing w:after="80"/>
              <w:ind w:left="360" w:hanging="360"/>
              <w:rPr>
                <w:sz w:val="24"/>
                <w:szCs w:val="24"/>
              </w:rPr>
            </w:pPr>
            <w:r w:rsidRPr="000079EF">
              <w:rPr>
                <w:sz w:val="24"/>
                <w:szCs w:val="24"/>
              </w:rPr>
              <w:t>5.5.1</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48B92B51" w14:textId="77777777">
            <w:pPr>
              <w:keepLines/>
              <w:tabs>
                <w:tab w:val="left" w:pos="360"/>
              </w:tabs>
              <w:spacing w:after="80"/>
              <w:ind w:left="360" w:hanging="360"/>
              <w:rPr>
                <w:sz w:val="24"/>
                <w:szCs w:val="24"/>
              </w:rPr>
            </w:pPr>
            <w:r w:rsidRPr="000079EF">
              <w:rPr>
                <w:sz w:val="24"/>
                <w:szCs w:val="24"/>
              </w:rPr>
              <w:t>Report outline</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02BFB06D"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0EDFEB97" w14:textId="77777777">
            <w:pPr>
              <w:keepLines/>
              <w:tabs>
                <w:tab w:val="left" w:pos="360"/>
              </w:tabs>
              <w:spacing w:after="80"/>
              <w:ind w:left="360" w:hanging="360"/>
              <w:rPr>
                <w:sz w:val="24"/>
                <w:szCs w:val="24"/>
              </w:rPr>
            </w:pPr>
            <w:r w:rsidRPr="000079EF">
              <w:rPr>
                <w:sz w:val="24"/>
                <w:szCs w:val="24"/>
              </w:rPr>
              <w:t>17-Feb-24</w:t>
            </w:r>
          </w:p>
        </w:tc>
      </w:tr>
      <w:tr w14:paraId="0D41B566"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093CC67B" w14:textId="77777777">
            <w:pPr>
              <w:keepLines/>
              <w:tabs>
                <w:tab w:val="left" w:pos="360"/>
              </w:tabs>
              <w:spacing w:after="80"/>
              <w:ind w:left="360" w:hanging="360"/>
              <w:rPr>
                <w:sz w:val="24"/>
                <w:szCs w:val="24"/>
              </w:rPr>
            </w:pPr>
            <w:r w:rsidRPr="000079EF">
              <w:rPr>
                <w:sz w:val="24"/>
                <w:szCs w:val="24"/>
              </w:rPr>
              <w:t>5.5.2</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7B9704C4" w14:textId="77777777">
            <w:pPr>
              <w:keepLines/>
              <w:tabs>
                <w:tab w:val="left" w:pos="360"/>
              </w:tabs>
              <w:spacing w:after="80"/>
              <w:ind w:left="360" w:hanging="360"/>
              <w:rPr>
                <w:sz w:val="24"/>
                <w:szCs w:val="24"/>
              </w:rPr>
            </w:pPr>
            <w:r w:rsidRPr="000079EF">
              <w:rPr>
                <w:sz w:val="24"/>
                <w:szCs w:val="24"/>
              </w:rPr>
              <w:t>Draft report</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6B9EDA39"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4826A2D6" w14:textId="77777777">
            <w:pPr>
              <w:keepLines/>
              <w:tabs>
                <w:tab w:val="left" w:pos="360"/>
              </w:tabs>
              <w:spacing w:after="80"/>
              <w:ind w:left="360" w:hanging="360"/>
              <w:rPr>
                <w:sz w:val="24"/>
                <w:szCs w:val="24"/>
              </w:rPr>
            </w:pPr>
            <w:r w:rsidRPr="000079EF">
              <w:rPr>
                <w:sz w:val="24"/>
                <w:szCs w:val="24"/>
              </w:rPr>
              <w:t>17-May-24</w:t>
            </w:r>
          </w:p>
        </w:tc>
      </w:tr>
      <w:tr w14:paraId="7A56D827"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2CD8D2BD" w14:textId="77777777">
            <w:pPr>
              <w:keepLines/>
              <w:tabs>
                <w:tab w:val="left" w:pos="360"/>
              </w:tabs>
              <w:spacing w:after="80"/>
              <w:ind w:left="360" w:hanging="360"/>
              <w:rPr>
                <w:sz w:val="24"/>
                <w:szCs w:val="24"/>
              </w:rPr>
            </w:pPr>
            <w:r w:rsidRPr="000079EF">
              <w:rPr>
                <w:sz w:val="24"/>
                <w:szCs w:val="24"/>
              </w:rPr>
              <w:t>5.5.3</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1519577B" w14:textId="77777777">
            <w:pPr>
              <w:keepLines/>
              <w:tabs>
                <w:tab w:val="left" w:pos="360"/>
              </w:tabs>
              <w:spacing w:after="80"/>
              <w:ind w:left="360" w:hanging="360"/>
              <w:rPr>
                <w:sz w:val="24"/>
                <w:szCs w:val="24"/>
              </w:rPr>
            </w:pPr>
            <w:r w:rsidRPr="000079EF">
              <w:rPr>
                <w:sz w:val="24"/>
                <w:szCs w:val="24"/>
              </w:rPr>
              <w:t>Final report</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083DD3B7"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46EFD8A4" w14:textId="77777777">
            <w:pPr>
              <w:keepLines/>
              <w:tabs>
                <w:tab w:val="left" w:pos="360"/>
              </w:tabs>
              <w:spacing w:after="80"/>
              <w:ind w:left="360" w:hanging="360"/>
              <w:rPr>
                <w:sz w:val="24"/>
                <w:szCs w:val="24"/>
              </w:rPr>
            </w:pPr>
            <w:r w:rsidRPr="000079EF">
              <w:rPr>
                <w:sz w:val="24"/>
                <w:szCs w:val="24"/>
              </w:rPr>
              <w:t>19-Jul-24</w:t>
            </w:r>
          </w:p>
        </w:tc>
      </w:tr>
      <w:tr w14:paraId="3B880981" w14:textId="77777777" w:rsidTr="000079EF">
        <w:tblPrEx>
          <w:tblW w:w="10195" w:type="dxa"/>
          <w:tblLook w:val="04A0"/>
        </w:tblPrEx>
        <w:trPr>
          <w:trHeight w:val="300"/>
        </w:trPr>
        <w:tc>
          <w:tcPr>
            <w:tcW w:w="6768" w:type="dxa"/>
            <w:gridSpan w:val="2"/>
            <w:tcBorders>
              <w:top w:val="single" w:sz="8" w:space="0" w:color="auto"/>
              <w:left w:val="single" w:sz="8" w:space="0" w:color="auto"/>
              <w:bottom w:val="single" w:sz="8" w:space="0" w:color="auto"/>
              <w:right w:val="nil"/>
            </w:tcBorders>
            <w:shd w:val="clear" w:color="000000" w:fill="F2F2F2"/>
            <w:noWrap/>
            <w:vAlign w:val="center"/>
            <w:hideMark/>
          </w:tcPr>
          <w:p w:rsidR="000079EF" w:rsidRPr="000079EF" w:rsidP="000079EF" w14:paraId="70AF426E" w14:textId="77777777">
            <w:pPr>
              <w:keepLines/>
              <w:tabs>
                <w:tab w:val="left" w:pos="360"/>
              </w:tabs>
              <w:spacing w:after="80"/>
              <w:ind w:left="360" w:hanging="360"/>
              <w:rPr>
                <w:b/>
                <w:bCs/>
                <w:sz w:val="24"/>
                <w:szCs w:val="24"/>
              </w:rPr>
            </w:pPr>
            <w:r w:rsidRPr="000079EF">
              <w:rPr>
                <w:b/>
                <w:bCs/>
                <w:sz w:val="24"/>
                <w:szCs w:val="24"/>
              </w:rPr>
              <w:t>Task 5.6 Final briefing and webinar</w:t>
            </w:r>
          </w:p>
        </w:tc>
        <w:tc>
          <w:tcPr>
            <w:tcW w:w="2038" w:type="dxa"/>
            <w:tcBorders>
              <w:top w:val="nil"/>
              <w:left w:val="nil"/>
              <w:bottom w:val="single" w:sz="8" w:space="0" w:color="auto"/>
              <w:right w:val="nil"/>
            </w:tcBorders>
            <w:shd w:val="clear" w:color="000000" w:fill="F2F2F2"/>
            <w:noWrap/>
            <w:vAlign w:val="center"/>
            <w:hideMark/>
          </w:tcPr>
          <w:p w:rsidR="000079EF" w:rsidRPr="000079EF" w:rsidP="000079EF" w14:paraId="0E947651" w14:textId="77777777">
            <w:pPr>
              <w:keepLines/>
              <w:tabs>
                <w:tab w:val="left" w:pos="360"/>
              </w:tabs>
              <w:spacing w:after="80"/>
              <w:ind w:left="360" w:hanging="360"/>
              <w:rPr>
                <w:b/>
                <w:bCs/>
                <w:sz w:val="24"/>
                <w:szCs w:val="24"/>
              </w:rPr>
            </w:pPr>
            <w:r w:rsidRPr="000079EF">
              <w:rPr>
                <w:b/>
                <w:bCs/>
                <w:sz w:val="24"/>
                <w:szCs w:val="24"/>
              </w:rPr>
              <w:t> </w:t>
            </w:r>
          </w:p>
        </w:tc>
        <w:tc>
          <w:tcPr>
            <w:tcW w:w="1389" w:type="dxa"/>
            <w:tcBorders>
              <w:top w:val="nil"/>
              <w:left w:val="nil"/>
              <w:bottom w:val="single" w:sz="8" w:space="0" w:color="auto"/>
              <w:right w:val="nil"/>
            </w:tcBorders>
            <w:shd w:val="clear" w:color="000000" w:fill="F2F2F2"/>
            <w:noWrap/>
            <w:vAlign w:val="center"/>
            <w:hideMark/>
          </w:tcPr>
          <w:p w:rsidR="000079EF" w:rsidRPr="000079EF" w:rsidP="000079EF" w14:paraId="708BBABE" w14:textId="77777777">
            <w:pPr>
              <w:keepLines/>
              <w:tabs>
                <w:tab w:val="left" w:pos="360"/>
              </w:tabs>
              <w:spacing w:after="80"/>
              <w:ind w:left="360" w:hanging="360"/>
              <w:rPr>
                <w:b/>
                <w:bCs/>
                <w:sz w:val="24"/>
                <w:szCs w:val="24"/>
              </w:rPr>
            </w:pPr>
            <w:r w:rsidRPr="000079EF">
              <w:rPr>
                <w:b/>
                <w:bCs/>
                <w:sz w:val="24"/>
                <w:szCs w:val="24"/>
              </w:rPr>
              <w:t> </w:t>
            </w:r>
          </w:p>
        </w:tc>
      </w:tr>
      <w:tr w14:paraId="1955C2C9"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6CE164B7" w14:textId="77777777">
            <w:pPr>
              <w:keepLines/>
              <w:tabs>
                <w:tab w:val="left" w:pos="360"/>
              </w:tabs>
              <w:spacing w:after="80"/>
              <w:ind w:left="360" w:hanging="360"/>
              <w:rPr>
                <w:sz w:val="24"/>
                <w:szCs w:val="24"/>
              </w:rPr>
            </w:pPr>
            <w:r w:rsidRPr="000079EF">
              <w:rPr>
                <w:sz w:val="24"/>
                <w:szCs w:val="24"/>
              </w:rPr>
              <w:t>5.6.1</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1DE1ABEE" w14:textId="77777777">
            <w:pPr>
              <w:keepLines/>
              <w:tabs>
                <w:tab w:val="left" w:pos="360"/>
              </w:tabs>
              <w:spacing w:after="80"/>
              <w:ind w:left="360" w:hanging="360"/>
              <w:rPr>
                <w:sz w:val="24"/>
                <w:szCs w:val="24"/>
              </w:rPr>
            </w:pPr>
            <w:r w:rsidRPr="000079EF">
              <w:rPr>
                <w:sz w:val="24"/>
                <w:szCs w:val="24"/>
              </w:rPr>
              <w:t xml:space="preserve">Draft briefing slides </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758D8F37"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52BC354E" w14:textId="77777777">
            <w:pPr>
              <w:keepLines/>
              <w:tabs>
                <w:tab w:val="left" w:pos="360"/>
              </w:tabs>
              <w:spacing w:after="80"/>
              <w:ind w:left="360" w:hanging="360"/>
              <w:rPr>
                <w:sz w:val="24"/>
                <w:szCs w:val="24"/>
              </w:rPr>
            </w:pPr>
            <w:r w:rsidRPr="000079EF">
              <w:rPr>
                <w:sz w:val="24"/>
                <w:szCs w:val="24"/>
              </w:rPr>
              <w:t>17-May-24</w:t>
            </w:r>
          </w:p>
        </w:tc>
      </w:tr>
      <w:tr w14:paraId="2BD6D438"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0A1E5D82" w14:textId="77777777">
            <w:pPr>
              <w:keepLines/>
              <w:tabs>
                <w:tab w:val="left" w:pos="360"/>
              </w:tabs>
              <w:spacing w:after="80"/>
              <w:ind w:left="360" w:hanging="360"/>
              <w:rPr>
                <w:sz w:val="24"/>
                <w:szCs w:val="24"/>
              </w:rPr>
            </w:pPr>
            <w:r w:rsidRPr="000079EF">
              <w:rPr>
                <w:sz w:val="24"/>
                <w:szCs w:val="24"/>
              </w:rPr>
              <w:t>5.6.2</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49F5F874" w14:textId="77777777">
            <w:pPr>
              <w:keepLines/>
              <w:tabs>
                <w:tab w:val="left" w:pos="360"/>
              </w:tabs>
              <w:spacing w:after="80"/>
              <w:ind w:left="360" w:hanging="360"/>
              <w:rPr>
                <w:sz w:val="24"/>
                <w:szCs w:val="24"/>
              </w:rPr>
            </w:pPr>
            <w:r w:rsidRPr="000079EF">
              <w:rPr>
                <w:sz w:val="24"/>
                <w:szCs w:val="24"/>
              </w:rPr>
              <w:t xml:space="preserve">Final briefing </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7C4944C4"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21E0101C" w14:textId="77777777">
            <w:pPr>
              <w:keepLines/>
              <w:tabs>
                <w:tab w:val="left" w:pos="360"/>
              </w:tabs>
              <w:spacing w:after="80"/>
              <w:ind w:left="360" w:hanging="360"/>
              <w:rPr>
                <w:sz w:val="24"/>
                <w:szCs w:val="24"/>
              </w:rPr>
            </w:pPr>
            <w:r w:rsidRPr="000079EF">
              <w:rPr>
                <w:sz w:val="24"/>
                <w:szCs w:val="24"/>
              </w:rPr>
              <w:t>24-May-24</w:t>
            </w:r>
          </w:p>
        </w:tc>
      </w:tr>
      <w:tr w14:paraId="0E9D1368"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6B983E36" w14:textId="77777777">
            <w:pPr>
              <w:keepLines/>
              <w:tabs>
                <w:tab w:val="left" w:pos="360"/>
              </w:tabs>
              <w:spacing w:after="80"/>
              <w:ind w:left="360" w:hanging="360"/>
              <w:rPr>
                <w:sz w:val="24"/>
                <w:szCs w:val="24"/>
              </w:rPr>
            </w:pPr>
            <w:r w:rsidRPr="000079EF">
              <w:rPr>
                <w:sz w:val="24"/>
                <w:szCs w:val="24"/>
              </w:rPr>
              <w:t>5.6.3</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4A977D9A" w14:textId="77777777">
            <w:pPr>
              <w:keepLines/>
              <w:tabs>
                <w:tab w:val="left" w:pos="360"/>
              </w:tabs>
              <w:spacing w:after="80"/>
              <w:ind w:left="360" w:hanging="360"/>
              <w:rPr>
                <w:sz w:val="24"/>
                <w:szCs w:val="24"/>
              </w:rPr>
            </w:pPr>
            <w:r w:rsidRPr="000079EF">
              <w:rPr>
                <w:sz w:val="24"/>
                <w:szCs w:val="24"/>
              </w:rPr>
              <w:t>Final briefing memo*</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30BA4AA6"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75CE83A4" w14:textId="77777777">
            <w:pPr>
              <w:keepLines/>
              <w:tabs>
                <w:tab w:val="left" w:pos="360"/>
              </w:tabs>
              <w:spacing w:after="80"/>
              <w:ind w:left="360" w:hanging="360"/>
              <w:rPr>
                <w:sz w:val="24"/>
                <w:szCs w:val="24"/>
              </w:rPr>
            </w:pPr>
            <w:r w:rsidRPr="000079EF">
              <w:rPr>
                <w:sz w:val="24"/>
                <w:szCs w:val="24"/>
              </w:rPr>
              <w:t>7-Jun-24</w:t>
            </w:r>
          </w:p>
        </w:tc>
      </w:tr>
      <w:tr w14:paraId="7636BCB8"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3AFE34C1" w14:textId="77777777">
            <w:pPr>
              <w:keepLines/>
              <w:tabs>
                <w:tab w:val="left" w:pos="360"/>
              </w:tabs>
              <w:spacing w:after="80"/>
              <w:ind w:left="360" w:hanging="360"/>
              <w:rPr>
                <w:sz w:val="24"/>
                <w:szCs w:val="24"/>
              </w:rPr>
            </w:pPr>
            <w:r w:rsidRPr="000079EF">
              <w:rPr>
                <w:sz w:val="24"/>
                <w:szCs w:val="24"/>
              </w:rPr>
              <w:t>5.6.4</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453A9DE4" w14:textId="77777777">
            <w:pPr>
              <w:keepLines/>
              <w:tabs>
                <w:tab w:val="left" w:pos="360"/>
              </w:tabs>
              <w:spacing w:after="80"/>
              <w:ind w:left="360" w:hanging="360"/>
              <w:rPr>
                <w:sz w:val="24"/>
                <w:szCs w:val="24"/>
              </w:rPr>
            </w:pPr>
            <w:r w:rsidRPr="000079EF">
              <w:rPr>
                <w:sz w:val="24"/>
                <w:szCs w:val="24"/>
              </w:rPr>
              <w:t>Draft webinar slides</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74C7FC22"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3720890E" w14:textId="77777777">
            <w:pPr>
              <w:keepLines/>
              <w:tabs>
                <w:tab w:val="left" w:pos="360"/>
              </w:tabs>
              <w:spacing w:after="80"/>
              <w:ind w:left="360" w:hanging="360"/>
              <w:rPr>
                <w:sz w:val="24"/>
                <w:szCs w:val="24"/>
              </w:rPr>
            </w:pPr>
            <w:r w:rsidRPr="000079EF">
              <w:rPr>
                <w:sz w:val="24"/>
                <w:szCs w:val="24"/>
              </w:rPr>
              <w:t>2-Aug-24</w:t>
            </w:r>
          </w:p>
        </w:tc>
      </w:tr>
      <w:tr w14:paraId="4D5B61A6"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2CF2C87F" w14:textId="77777777">
            <w:pPr>
              <w:keepLines/>
              <w:tabs>
                <w:tab w:val="left" w:pos="360"/>
              </w:tabs>
              <w:spacing w:after="80"/>
              <w:ind w:left="360" w:hanging="360"/>
              <w:rPr>
                <w:sz w:val="24"/>
                <w:szCs w:val="24"/>
              </w:rPr>
            </w:pPr>
            <w:r w:rsidRPr="000079EF">
              <w:rPr>
                <w:sz w:val="24"/>
                <w:szCs w:val="24"/>
              </w:rPr>
              <w:t>5.6.5</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7902681B" w14:textId="77777777">
            <w:pPr>
              <w:keepLines/>
              <w:tabs>
                <w:tab w:val="left" w:pos="360"/>
              </w:tabs>
              <w:spacing w:after="80"/>
              <w:ind w:left="360" w:hanging="360"/>
              <w:rPr>
                <w:sz w:val="24"/>
                <w:szCs w:val="24"/>
              </w:rPr>
            </w:pPr>
            <w:r w:rsidRPr="000079EF">
              <w:rPr>
                <w:sz w:val="24"/>
                <w:szCs w:val="24"/>
              </w:rPr>
              <w:t>Final webinar slides</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6C60C7F2"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57E37DBB" w14:textId="77777777">
            <w:pPr>
              <w:keepLines/>
              <w:tabs>
                <w:tab w:val="left" w:pos="360"/>
              </w:tabs>
              <w:spacing w:after="80"/>
              <w:ind w:left="360" w:hanging="360"/>
              <w:rPr>
                <w:sz w:val="24"/>
                <w:szCs w:val="24"/>
              </w:rPr>
            </w:pPr>
            <w:r w:rsidRPr="000079EF">
              <w:rPr>
                <w:sz w:val="24"/>
                <w:szCs w:val="24"/>
              </w:rPr>
              <w:t>16-Aug-24</w:t>
            </w:r>
          </w:p>
        </w:tc>
      </w:tr>
      <w:tr w14:paraId="25828140" w14:textId="77777777" w:rsidTr="000079EF">
        <w:tblPrEx>
          <w:tblW w:w="10195" w:type="dxa"/>
          <w:tblLook w:val="04A0"/>
        </w:tblPrEx>
        <w:trPr>
          <w:trHeight w:val="300"/>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rsidR="000079EF" w:rsidRPr="000079EF" w:rsidP="000079EF" w14:paraId="45BDFAAA" w14:textId="77777777">
            <w:pPr>
              <w:keepLines/>
              <w:tabs>
                <w:tab w:val="left" w:pos="360"/>
              </w:tabs>
              <w:spacing w:after="80"/>
              <w:ind w:left="360" w:hanging="360"/>
              <w:rPr>
                <w:sz w:val="24"/>
                <w:szCs w:val="24"/>
              </w:rPr>
            </w:pPr>
            <w:r w:rsidRPr="000079EF">
              <w:rPr>
                <w:sz w:val="24"/>
                <w:szCs w:val="24"/>
              </w:rPr>
              <w:t>5.6.6</w:t>
            </w:r>
          </w:p>
        </w:tc>
        <w:tc>
          <w:tcPr>
            <w:tcW w:w="5388" w:type="dxa"/>
            <w:tcBorders>
              <w:top w:val="nil"/>
              <w:left w:val="nil"/>
              <w:bottom w:val="single" w:sz="8" w:space="0" w:color="auto"/>
              <w:right w:val="single" w:sz="8" w:space="0" w:color="auto"/>
            </w:tcBorders>
            <w:shd w:val="clear" w:color="auto" w:fill="auto"/>
            <w:vAlign w:val="center"/>
            <w:hideMark/>
          </w:tcPr>
          <w:p w:rsidR="000079EF" w:rsidRPr="000079EF" w:rsidP="000079EF" w14:paraId="24463209" w14:textId="77777777">
            <w:pPr>
              <w:keepLines/>
              <w:tabs>
                <w:tab w:val="left" w:pos="360"/>
              </w:tabs>
              <w:spacing w:after="80"/>
              <w:ind w:left="360" w:hanging="360"/>
              <w:rPr>
                <w:sz w:val="24"/>
                <w:szCs w:val="24"/>
              </w:rPr>
            </w:pPr>
            <w:r w:rsidRPr="000079EF">
              <w:rPr>
                <w:sz w:val="24"/>
                <w:szCs w:val="24"/>
              </w:rPr>
              <w:t>Webinar and recording</w:t>
            </w:r>
          </w:p>
        </w:tc>
        <w:tc>
          <w:tcPr>
            <w:tcW w:w="2038" w:type="dxa"/>
            <w:tcBorders>
              <w:top w:val="nil"/>
              <w:left w:val="nil"/>
              <w:bottom w:val="single" w:sz="8" w:space="0" w:color="auto"/>
              <w:right w:val="single" w:sz="8" w:space="0" w:color="auto"/>
            </w:tcBorders>
            <w:shd w:val="clear" w:color="auto" w:fill="auto"/>
            <w:vAlign w:val="center"/>
            <w:hideMark/>
          </w:tcPr>
          <w:p w:rsidR="000079EF" w:rsidRPr="000079EF" w:rsidP="000079EF" w14:paraId="33FA5AC9" w14:textId="77777777">
            <w:pPr>
              <w:keepLines/>
              <w:tabs>
                <w:tab w:val="left" w:pos="360"/>
              </w:tabs>
              <w:spacing w:after="80"/>
              <w:ind w:left="360" w:hanging="360"/>
              <w:rPr>
                <w:sz w:val="24"/>
                <w:szCs w:val="24"/>
              </w:rPr>
            </w:pPr>
            <w:r w:rsidRPr="000079EF">
              <w:rPr>
                <w:sz w:val="24"/>
                <w:szCs w:val="24"/>
              </w:rPr>
              <w:t>Pending</w:t>
            </w:r>
          </w:p>
        </w:tc>
        <w:tc>
          <w:tcPr>
            <w:tcW w:w="1389" w:type="dxa"/>
            <w:tcBorders>
              <w:top w:val="nil"/>
              <w:left w:val="nil"/>
              <w:bottom w:val="single" w:sz="8" w:space="0" w:color="auto"/>
              <w:right w:val="single" w:sz="8" w:space="0" w:color="auto"/>
            </w:tcBorders>
            <w:shd w:val="clear" w:color="auto" w:fill="auto"/>
            <w:vAlign w:val="center"/>
            <w:hideMark/>
          </w:tcPr>
          <w:p w:rsidR="000079EF" w:rsidRPr="000079EF" w:rsidP="000079EF" w14:paraId="2679B0DB" w14:textId="77777777">
            <w:pPr>
              <w:keepLines/>
              <w:tabs>
                <w:tab w:val="left" w:pos="360"/>
              </w:tabs>
              <w:spacing w:after="80"/>
              <w:ind w:left="360" w:hanging="360"/>
              <w:rPr>
                <w:sz w:val="24"/>
                <w:szCs w:val="24"/>
              </w:rPr>
            </w:pPr>
            <w:r w:rsidRPr="000079EF">
              <w:rPr>
                <w:sz w:val="24"/>
                <w:szCs w:val="24"/>
              </w:rPr>
              <w:t>13-Sep-24</w:t>
            </w:r>
          </w:p>
        </w:tc>
      </w:tr>
    </w:tbl>
    <w:p w:rsidR="009E13B1" w:rsidRPr="006C7FAE" w14:paraId="1AA536DD" w14:textId="77777777">
      <w:pPr>
        <w:tabs>
          <w:tab w:val="left" w:pos="360"/>
        </w:tabs>
        <w:ind w:left="360" w:hanging="360"/>
        <w:rPr>
          <w:sz w:val="24"/>
          <w:szCs w:val="24"/>
        </w:rPr>
      </w:pPr>
    </w:p>
    <w:p w:rsidR="009E13B1" w:rsidRPr="006C7FAE" w14:paraId="4F36821E"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14:paraId="792A9DD3" w14:textId="77777777">
      <w:pPr>
        <w:keepLines/>
        <w:tabs>
          <w:tab w:val="left" w:pos="360"/>
          <w:tab w:val="left" w:pos="720"/>
        </w:tabs>
        <w:ind w:left="360"/>
        <w:rPr>
          <w:sz w:val="24"/>
          <w:szCs w:val="24"/>
        </w:rPr>
      </w:pPr>
    </w:p>
    <w:p w:rsidR="000079EF" w:rsidRPr="000079EF" w:rsidP="000079EF" w14:paraId="72F59B30" w14:textId="77777777">
      <w:pPr>
        <w:keepLines/>
        <w:tabs>
          <w:tab w:val="left" w:pos="360"/>
          <w:tab w:val="left" w:pos="720"/>
        </w:tabs>
        <w:ind w:left="360"/>
        <w:rPr>
          <w:sz w:val="24"/>
          <w:szCs w:val="24"/>
        </w:rPr>
      </w:pPr>
      <w:r w:rsidRPr="000079EF">
        <w:rPr>
          <w:sz w:val="24"/>
          <w:szCs w:val="24"/>
        </w:rPr>
        <w:t>No approval is sought to not display the expiration date for OMB approval of the information collection.</w:t>
      </w:r>
    </w:p>
    <w:p w:rsidR="000079EF" w14:paraId="534F843C" w14:textId="77777777">
      <w:pPr>
        <w:keepLines/>
        <w:tabs>
          <w:tab w:val="left" w:pos="360"/>
          <w:tab w:val="left" w:pos="720"/>
        </w:tabs>
        <w:ind w:left="360"/>
        <w:rPr>
          <w:sz w:val="24"/>
          <w:szCs w:val="24"/>
        </w:rPr>
      </w:pPr>
    </w:p>
    <w:p w:rsidR="009E13B1" w14:paraId="2C90DF1E"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0079EF" w14:paraId="4CCC5C43" w14:textId="77777777">
      <w:pPr>
        <w:keepLines/>
        <w:tabs>
          <w:tab w:val="left" w:pos="360"/>
        </w:tabs>
        <w:spacing w:after="80"/>
        <w:ind w:left="360" w:hanging="360"/>
        <w:rPr>
          <w:sz w:val="24"/>
          <w:szCs w:val="24"/>
        </w:rPr>
      </w:pPr>
      <w:r>
        <w:rPr>
          <w:sz w:val="24"/>
          <w:szCs w:val="24"/>
        </w:rPr>
        <w:tab/>
      </w:r>
    </w:p>
    <w:p w:rsidR="000079EF" w:rsidRPr="000079EF" w14:paraId="56FC526D" w14:textId="77777777">
      <w:pPr>
        <w:keepLines/>
        <w:tabs>
          <w:tab w:val="left" w:pos="360"/>
        </w:tabs>
        <w:spacing w:after="80"/>
        <w:ind w:left="360" w:hanging="360"/>
        <w:rPr>
          <w:rFonts w:ascii="Courier" w:hAnsi="Courier"/>
          <w:sz w:val="24"/>
          <w:szCs w:val="24"/>
        </w:rPr>
      </w:pPr>
      <w:r>
        <w:rPr>
          <w:sz w:val="24"/>
          <w:szCs w:val="24"/>
        </w:rPr>
        <w:tab/>
        <w:t>N</w:t>
      </w:r>
      <w:r w:rsidRPr="000079EF">
        <w:rPr>
          <w:sz w:val="24"/>
          <w:szCs w:val="24"/>
        </w:rPr>
        <w:t>o exceptions</w:t>
      </w:r>
    </w:p>
    <w:p w:rsidR="009E13B1" w:rsidRPr="006C7FAE" w14:paraId="28F30281" w14:textId="77777777">
      <w:pPr>
        <w:tabs>
          <w:tab w:val="left" w:pos="360"/>
          <w:tab w:val="left" w:pos="720"/>
        </w:tabs>
        <w:rPr>
          <w:sz w:val="24"/>
          <w:szCs w:val="24"/>
        </w:rPr>
      </w:pPr>
    </w:p>
    <w:p w:rsidR="009E13B1" w:rsidRPr="006C7FAE" w:rsidP="00167E53" w14:paraId="0DB3DFB7"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FB3CF4">
      <w:headerReference w:type="default" r:id="rId8"/>
      <w:pgSz w:w="12240" w:h="15840"/>
      <w:pgMar w:top="1440" w:right="900" w:bottom="1440" w:left="144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0CC8" w14:paraId="489A2295" w14:textId="77777777">
      <w:r>
        <w:separator/>
      </w:r>
    </w:p>
  </w:footnote>
  <w:footnote w:type="continuationSeparator" w:id="1">
    <w:p w:rsidR="00030CC8" w14:paraId="5913CEC8" w14:textId="77777777">
      <w:r>
        <w:continuationSeparator/>
      </w:r>
    </w:p>
  </w:footnote>
  <w:footnote w:id="2">
    <w:p w:rsidR="00AE51F0" w:rsidRPr="006A0F49" w:rsidP="00AE51F0" w14:paraId="6B82F91E" w14:textId="77777777">
      <w:pPr>
        <w:pStyle w:val="FootnoteText"/>
      </w:pPr>
      <w:r w:rsidRPr="006A0F49">
        <w:rPr>
          <w:rStyle w:val="FootnoteReference"/>
        </w:rPr>
        <w:footnoteRef/>
      </w:r>
      <w:r w:rsidRPr="006A0F49">
        <w:t xml:space="preserve"> Public housing developments are defined as public housing owned by public housing </w:t>
      </w:r>
      <w:r>
        <w:t xml:space="preserve">agencies </w:t>
      </w:r>
      <w:r w:rsidRPr="006A0F49">
        <w:t>that are not scattered sites. Meaning, the public housing units are centrally located within a small geographic area.</w:t>
      </w:r>
    </w:p>
  </w:footnote>
  <w:footnote w:id="3">
    <w:p w:rsidR="00AE51F0" w:rsidRPr="006A0F49" w:rsidP="00AE51F0" w14:paraId="1A9BDBAE" w14:textId="77777777">
      <w:pPr>
        <w:pStyle w:val="FootnoteText"/>
        <w:spacing w:after="120"/>
      </w:pPr>
      <w:r w:rsidRPr="006A0F49">
        <w:rPr>
          <w:vertAlign w:val="superscript"/>
        </w:rPr>
        <w:footnoteRef/>
      </w:r>
      <w:r w:rsidRPr="006A0F49">
        <w:t xml:space="preserve"> Fantuzzo, J. W., LeBoeuf, W. A., Chen, C. C., Rouse, H. L., &amp; Culhane, D. P. (2012). The unique and combined effects of homelessness and school mobility on the educational outcomes of young children. </w:t>
      </w:r>
      <w:r w:rsidRPr="006A0F49">
        <w:rPr>
          <w:i/>
          <w:iCs/>
        </w:rPr>
        <w:t>Educational Researcher, 41</w:t>
      </w:r>
      <w:r w:rsidRPr="006A0F49">
        <w:t>(9), 393-402.</w:t>
      </w:r>
    </w:p>
  </w:footnote>
  <w:footnote w:id="4">
    <w:p w:rsidR="00AE51F0" w:rsidRPr="002A5017" w:rsidP="00AE51F0" w14:paraId="68475C47" w14:textId="77777777">
      <w:pPr>
        <w:pStyle w:val="FootnoteText"/>
        <w:spacing w:after="120"/>
      </w:pPr>
      <w:r w:rsidRPr="00CC2F4C">
        <w:rPr>
          <w:vertAlign w:val="superscript"/>
        </w:rPr>
        <w:footnoteRef/>
      </w:r>
      <w:r w:rsidRPr="002A5017">
        <w:t xml:space="preserve"> </w:t>
      </w:r>
      <w:r w:rsidRPr="006A0F49">
        <w:t>U.S. Department of Health and Human Services, Administration for Children and Families. (2010). Head start impact study. https://www.acf.hhs.gov/opre/report/head-start-impact-study-final-report-executive-summary</w:t>
      </w:r>
    </w:p>
  </w:footnote>
  <w:footnote w:id="5">
    <w:p w:rsidR="00AE51F0" w:rsidP="00AE51F0" w14:paraId="14AC073B" w14:textId="77777777">
      <w:pPr>
        <w:pStyle w:val="FootnoteText"/>
        <w:spacing w:after="120"/>
      </w:pPr>
      <w:r w:rsidRPr="003608A3">
        <w:rPr>
          <w:vertAlign w:val="superscript"/>
        </w:rPr>
        <w:footnoteRef/>
      </w:r>
      <w:r>
        <w:t xml:space="preserve"> </w:t>
      </w:r>
      <w:r w:rsidRPr="006A0F49">
        <w:t xml:space="preserve">Lloyd, C.M., Shaw, S., Alvira-Hammond, M., &amp; Hazelwood, A. (2021). Racism and discrimination contribute to housing instability for Black families during the pandemic. </w:t>
      </w:r>
      <w:r w:rsidRPr="006A0F49">
        <w:rPr>
          <w:i/>
          <w:iCs/>
        </w:rPr>
        <w:t>Child Trends</w:t>
      </w:r>
      <w:r w:rsidRPr="006A0F49">
        <w:t>. https://www.childtrends.org/publications/racism-and-discrimination-contribute-to-housing-instability-for-black-families-during-the-pandemic</w:t>
      </w:r>
    </w:p>
  </w:footnote>
  <w:footnote w:id="6">
    <w:p w:rsidR="00AE51F0" w:rsidP="00AE51F0" w14:paraId="269E2A71" w14:textId="77777777">
      <w:pPr>
        <w:pStyle w:val="FootnoteText"/>
        <w:spacing w:after="120"/>
      </w:pPr>
      <w:r w:rsidRPr="003608A3">
        <w:rPr>
          <w:vertAlign w:val="superscript"/>
        </w:rPr>
        <w:footnoteRef/>
      </w:r>
      <w:r>
        <w:t xml:space="preserve"> </w:t>
      </w:r>
      <w:r w:rsidRPr="006A0F49">
        <w:t xml:space="preserve">Lloyd, C.M., Carlson, J. &amp; Logan, D. (2021). Federal policies can address the impact of structural racism on Black families’ access to early care and education. </w:t>
      </w:r>
      <w:r w:rsidRPr="006A0F49">
        <w:rPr>
          <w:i/>
          <w:iCs/>
        </w:rPr>
        <w:t>Child Trends.</w:t>
      </w:r>
      <w:r w:rsidRPr="006A0F49">
        <w:t xml:space="preserve"> https://www.childtrends.org/publications/federal-policies-can-address-the-impact-of-structural-racism-on-black-families-access-to-early-care-and-education</w:t>
      </w:r>
    </w:p>
  </w:footnote>
  <w:footnote w:id="7">
    <w:p w:rsidR="00AE51F0" w:rsidP="00AE51F0" w14:paraId="1CCEF9E2" w14:textId="77777777">
      <w:pPr>
        <w:pStyle w:val="FootnoteText"/>
        <w:spacing w:after="120"/>
      </w:pPr>
      <w:r w:rsidRPr="003608A3">
        <w:rPr>
          <w:vertAlign w:val="superscript"/>
        </w:rPr>
        <w:footnoteRef/>
      </w:r>
      <w:r>
        <w:t xml:space="preserve"> </w:t>
      </w:r>
      <w:r w:rsidRPr="006A0F49">
        <w:t xml:space="preserve">Glynn, Farrell, &amp; Wu (2013). The importance of preschool and child care for working mothers. </w:t>
      </w:r>
      <w:r w:rsidRPr="006A0F49">
        <w:rPr>
          <w:i/>
          <w:iCs/>
        </w:rPr>
        <w:t>Center for American Progress.</w:t>
      </w:r>
      <w:r w:rsidRPr="006A0F49">
        <w:t xml:space="preserve"> https://www.americanprogress.org/article/the-importance-of-preschool-and-child-care-for-working-mothers/</w:t>
      </w:r>
    </w:p>
  </w:footnote>
  <w:footnote w:id="8">
    <w:p w:rsidR="00AE51F0" w:rsidP="00AE51F0" w14:paraId="4B551BDB" w14:textId="77777777">
      <w:pPr>
        <w:pStyle w:val="FootnoteText"/>
        <w:spacing w:after="120"/>
      </w:pPr>
      <w:r w:rsidRPr="003608A3">
        <w:rPr>
          <w:vertAlign w:val="superscript"/>
        </w:rPr>
        <w:footnoteRef/>
      </w:r>
      <w:r>
        <w:t xml:space="preserve"> </w:t>
      </w:r>
      <w:r w:rsidRPr="006A0F49">
        <w:t xml:space="preserve">Elango, S., García, J. L., Heckman, J. J., &amp; </w:t>
      </w:r>
      <w:r w:rsidRPr="006A0F49">
        <w:t>Hojman</w:t>
      </w:r>
      <w:r w:rsidRPr="006A0F49">
        <w:t>, A. (2015). Early childhood education. In Economics of Means-Tested Transfer Programs in the United States, Volume 2 (pp. 235-297). University of Chicago Press.</w:t>
      </w:r>
    </w:p>
  </w:footnote>
  <w:footnote w:id="9">
    <w:p w:rsidR="00AE51F0" w:rsidP="00AE51F0" w14:paraId="1B1A88B6" w14:textId="77777777">
      <w:pPr>
        <w:pStyle w:val="FootnoteText"/>
        <w:spacing w:after="120"/>
      </w:pPr>
      <w:r w:rsidRPr="003608A3">
        <w:rPr>
          <w:vertAlign w:val="superscript"/>
        </w:rPr>
        <w:footnoteRef/>
      </w:r>
      <w:r>
        <w:t xml:space="preserve"> </w:t>
      </w:r>
      <w:r w:rsidRPr="006A0F49">
        <w:t xml:space="preserve">Perlman, S. M., Shaw, S. H., Kieffer, C. H., Whitney, G. A. C., &amp; Bires, C. (2017). Access to early childhood services for young children experiencing homelessness. </w:t>
      </w:r>
      <w:r w:rsidRPr="006A0F49">
        <w:rPr>
          <w:i/>
          <w:iCs/>
        </w:rPr>
        <w:t>Child and Family Well-Being and Homelessness: Integrating Research into Practice and Policy</w:t>
      </w:r>
      <w:r w:rsidRPr="006A0F49">
        <w:t>, 65-82.</w:t>
      </w:r>
    </w:p>
  </w:footnote>
  <w:footnote w:id="10">
    <w:p w:rsidR="00AE51F0" w:rsidP="00AE51F0" w14:paraId="63FB7406" w14:textId="77777777">
      <w:pPr>
        <w:pStyle w:val="FootnoteText"/>
        <w:spacing w:after="120"/>
      </w:pPr>
      <w:r w:rsidRPr="003608A3">
        <w:rPr>
          <w:vertAlign w:val="superscript"/>
        </w:rPr>
        <w:footnoteRef/>
      </w:r>
      <w:r>
        <w:t xml:space="preserve"> </w:t>
      </w:r>
      <w:r w:rsidRPr="006A0F49">
        <w:t xml:space="preserve">Rice, D., Schmit, S., &amp; Matthews, H. (2008). Child care and housing: Big expenses with too little help available. </w:t>
      </w:r>
      <w:r w:rsidRPr="006A0F49">
        <w:rPr>
          <w:i/>
          <w:iCs/>
        </w:rPr>
        <w:t>Evaluation, 19</w:t>
      </w:r>
      <w:r w:rsidRPr="006A0F49">
        <w:t>(2), 367-412.</w:t>
      </w:r>
    </w:p>
  </w:footnote>
  <w:footnote w:id="11">
    <w:p w:rsidR="00AE51F0" w:rsidRPr="00861B48" w:rsidP="00AE51F0" w14:paraId="409EF614" w14:textId="77777777">
      <w:pPr>
        <w:pStyle w:val="FootnoteText"/>
        <w:spacing w:after="120"/>
      </w:pPr>
      <w:r w:rsidRPr="003608A3">
        <w:rPr>
          <w:vertAlign w:val="superscript"/>
        </w:rPr>
        <w:footnoteRef/>
      </w:r>
      <w:r>
        <w:t xml:space="preserve"> </w:t>
      </w:r>
      <w:r w:rsidRPr="006A0F49">
        <w:t>Sextant Consultants</w:t>
      </w:r>
      <w:r>
        <w:t>, Inc.</w:t>
      </w:r>
      <w:r w:rsidRPr="006A0F49">
        <w:t xml:space="preserve"> (1992). Public Housing Child Care Demonstration Program. Program assessment: First round. </w:t>
      </w:r>
      <w:r w:rsidRPr="006A0F49">
        <w:rPr>
          <w:i/>
          <w:iCs/>
        </w:rPr>
        <w:t>U.S. Department of Housing and Urban Development.</w:t>
      </w:r>
      <w:r w:rsidRPr="006A0F49">
        <w:t xml:space="preserve"> https://www.huduser.gov/portal/publications/pubasst/pub_hsg_dem_first_rnd.html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CD5FB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0BD707B"/>
    <w:multiLevelType w:val="hybridMultilevel"/>
    <w:tmpl w:val="F920C3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2654489"/>
    <w:multiLevelType w:val="hybridMultilevel"/>
    <w:tmpl w:val="F0963FF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64919B2"/>
    <w:multiLevelType w:val="hybridMultilevel"/>
    <w:tmpl w:val="9B0ECE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1">
    <w:nsid w:val="552524F1"/>
    <w:multiLevelType w:val="hybridMultilevel"/>
    <w:tmpl w:val="781ADE5A"/>
    <w:lvl w:ilvl="0">
      <w:start w:val="1"/>
      <w:numFmt w:val="decimal"/>
      <w:lvlText w:val="%1)"/>
      <w:lvlJc w:val="left"/>
      <w:pPr>
        <w:ind w:left="-720" w:hanging="360"/>
      </w:pPr>
      <w:rPr>
        <w:rFonts w:hint="default"/>
      </w:rPr>
    </w:lvl>
    <w:lvl w:ilvl="1">
      <w:start w:val="1"/>
      <w:numFmt w:val="lowerLetter"/>
      <w:lvlText w:val="%2."/>
      <w:lvlJc w:val="left"/>
      <w:pPr>
        <w:ind w:left="0" w:hanging="360"/>
      </w:pPr>
    </w:lvl>
    <w:lvl w:ilvl="2">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2">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36648045">
    <w:abstractNumId w:val="6"/>
  </w:num>
  <w:num w:numId="2" w16cid:durableId="624969801">
    <w:abstractNumId w:val="3"/>
  </w:num>
  <w:num w:numId="3" w16cid:durableId="1447190938">
    <w:abstractNumId w:val="12"/>
  </w:num>
  <w:num w:numId="4" w16cid:durableId="229972295">
    <w:abstractNumId w:val="7"/>
  </w:num>
  <w:num w:numId="5" w16cid:durableId="2106340395">
    <w:abstractNumId w:val="8"/>
  </w:num>
  <w:num w:numId="6" w16cid:durableId="219488162">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96173789">
    <w:abstractNumId w:val="4"/>
  </w:num>
  <w:num w:numId="8" w16cid:durableId="2143108391">
    <w:abstractNumId w:val="16"/>
  </w:num>
  <w:num w:numId="9" w16cid:durableId="918636422">
    <w:abstractNumId w:val="2"/>
  </w:num>
  <w:num w:numId="10" w16cid:durableId="800152247">
    <w:abstractNumId w:val="15"/>
  </w:num>
  <w:num w:numId="11" w16cid:durableId="1989894892">
    <w:abstractNumId w:val="14"/>
  </w:num>
  <w:num w:numId="12" w16cid:durableId="981931860">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346837293">
    <w:abstractNumId w:val="10"/>
  </w:num>
  <w:num w:numId="14" w16cid:durableId="1798258474">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747072369">
    <w:abstractNumId w:val="11"/>
  </w:num>
  <w:num w:numId="16" w16cid:durableId="2014527676">
    <w:abstractNumId w:val="13"/>
  </w:num>
  <w:num w:numId="17" w16cid:durableId="512064190">
    <w:abstractNumId w:val="1"/>
  </w:num>
  <w:num w:numId="18" w16cid:durableId="206532866">
    <w:abstractNumId w:val="9"/>
  </w:num>
  <w:num w:numId="19" w16cid:durableId="606305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1"/>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79EF"/>
    <w:rsid w:val="00030CC8"/>
    <w:rsid w:val="00091CBD"/>
    <w:rsid w:val="000A1639"/>
    <w:rsid w:val="000A45DB"/>
    <w:rsid w:val="000C117C"/>
    <w:rsid w:val="000C3286"/>
    <w:rsid w:val="000C38FD"/>
    <w:rsid w:val="000D5079"/>
    <w:rsid w:val="000E00A8"/>
    <w:rsid w:val="000E2A89"/>
    <w:rsid w:val="00167E53"/>
    <w:rsid w:val="001E4E6B"/>
    <w:rsid w:val="0023256B"/>
    <w:rsid w:val="00243A88"/>
    <w:rsid w:val="00264372"/>
    <w:rsid w:val="002A5017"/>
    <w:rsid w:val="002C5BA8"/>
    <w:rsid w:val="002F2687"/>
    <w:rsid w:val="002F6CE8"/>
    <w:rsid w:val="00310446"/>
    <w:rsid w:val="00360090"/>
    <w:rsid w:val="00450591"/>
    <w:rsid w:val="00477DCE"/>
    <w:rsid w:val="004C60FA"/>
    <w:rsid w:val="00520383"/>
    <w:rsid w:val="0052717E"/>
    <w:rsid w:val="00532200"/>
    <w:rsid w:val="0058747D"/>
    <w:rsid w:val="006A0F49"/>
    <w:rsid w:val="006B7674"/>
    <w:rsid w:val="006C0F11"/>
    <w:rsid w:val="006C4830"/>
    <w:rsid w:val="006C7FAE"/>
    <w:rsid w:val="006D6A75"/>
    <w:rsid w:val="00792524"/>
    <w:rsid w:val="007B4A33"/>
    <w:rsid w:val="00821506"/>
    <w:rsid w:val="00821BF1"/>
    <w:rsid w:val="008314BA"/>
    <w:rsid w:val="0084728D"/>
    <w:rsid w:val="00861B48"/>
    <w:rsid w:val="00885CB6"/>
    <w:rsid w:val="008A7175"/>
    <w:rsid w:val="00951D4B"/>
    <w:rsid w:val="009E0C3E"/>
    <w:rsid w:val="009E13B1"/>
    <w:rsid w:val="00A33FD1"/>
    <w:rsid w:val="00A65F9E"/>
    <w:rsid w:val="00A83E46"/>
    <w:rsid w:val="00A912FB"/>
    <w:rsid w:val="00AE51F0"/>
    <w:rsid w:val="00B01940"/>
    <w:rsid w:val="00B03398"/>
    <w:rsid w:val="00B04BA6"/>
    <w:rsid w:val="00B169BF"/>
    <w:rsid w:val="00B94401"/>
    <w:rsid w:val="00BB2518"/>
    <w:rsid w:val="00BC10AF"/>
    <w:rsid w:val="00BC50C0"/>
    <w:rsid w:val="00BD6383"/>
    <w:rsid w:val="00CA06CC"/>
    <w:rsid w:val="00CE1567"/>
    <w:rsid w:val="00D52822"/>
    <w:rsid w:val="00D717DB"/>
    <w:rsid w:val="00D74136"/>
    <w:rsid w:val="00D817BE"/>
    <w:rsid w:val="00DA66E2"/>
    <w:rsid w:val="00DD3286"/>
    <w:rsid w:val="00DF2551"/>
    <w:rsid w:val="00DF7322"/>
    <w:rsid w:val="00E01140"/>
    <w:rsid w:val="00F27C8F"/>
    <w:rsid w:val="00F5145B"/>
    <w:rsid w:val="00FA08F9"/>
    <w:rsid w:val="00FA4AA7"/>
    <w:rsid w:val="00FB3C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621892"/>
  <w15:chartTrackingRefBased/>
  <w15:docId w15:val="{70E5DC4D-3CFE-48B2-BE2F-C596DDA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FootnoteText">
    <w:name w:val="footnote text"/>
    <w:basedOn w:val="Normal"/>
    <w:link w:val="FootnoteTextChar"/>
    <w:uiPriority w:val="99"/>
    <w:unhideWhenUsed/>
    <w:rsid w:val="00AE51F0"/>
    <w:pPr>
      <w:overflowPunct/>
      <w:autoSpaceDE/>
      <w:autoSpaceDN/>
      <w:adjustRightInd/>
      <w:textAlignment w:val="auto"/>
    </w:pPr>
  </w:style>
  <w:style w:type="character" w:customStyle="1" w:styleId="FootnoteTextChar">
    <w:name w:val="Footnote Text Char"/>
    <w:basedOn w:val="DefaultParagraphFont"/>
    <w:link w:val="FootnoteText"/>
    <w:uiPriority w:val="99"/>
    <w:rsid w:val="00AE51F0"/>
  </w:style>
  <w:style w:type="character" w:styleId="FootnoteReference">
    <w:name w:val="footnote reference"/>
    <w:uiPriority w:val="99"/>
    <w:unhideWhenUsed/>
    <w:rsid w:val="00AE51F0"/>
    <w:rPr>
      <w:vertAlign w:val="superscript"/>
    </w:rPr>
  </w:style>
  <w:style w:type="paragraph" w:styleId="NoSpacing">
    <w:name w:val="No Spacing"/>
    <w:uiPriority w:val="1"/>
    <w:qFormat/>
    <w:rsid w:val="00AE51F0"/>
    <w:pPr>
      <w:overflowPunct w:val="0"/>
      <w:autoSpaceDE w:val="0"/>
      <w:autoSpaceDN w:val="0"/>
      <w:adjustRightInd w:val="0"/>
      <w:textAlignment w:val="baseline"/>
    </w:pPr>
  </w:style>
  <w:style w:type="character" w:styleId="CommentReference">
    <w:name w:val="annotation reference"/>
    <w:uiPriority w:val="99"/>
    <w:semiHidden/>
    <w:unhideWhenUsed/>
    <w:rsid w:val="00821506"/>
    <w:rPr>
      <w:sz w:val="16"/>
      <w:szCs w:val="16"/>
    </w:rPr>
  </w:style>
  <w:style w:type="paragraph" w:styleId="CommentText">
    <w:name w:val="annotation text"/>
    <w:basedOn w:val="Normal"/>
    <w:link w:val="CommentTextChar"/>
    <w:uiPriority w:val="99"/>
    <w:unhideWhenUsed/>
    <w:rsid w:val="00821506"/>
  </w:style>
  <w:style w:type="character" w:customStyle="1" w:styleId="CommentTextChar">
    <w:name w:val="Comment Text Char"/>
    <w:basedOn w:val="DefaultParagraphFont"/>
    <w:link w:val="CommentText"/>
    <w:uiPriority w:val="99"/>
    <w:rsid w:val="00821506"/>
  </w:style>
  <w:style w:type="paragraph" w:styleId="CommentSubject">
    <w:name w:val="annotation subject"/>
    <w:basedOn w:val="CommentText"/>
    <w:next w:val="CommentText"/>
    <w:link w:val="CommentSubjectChar"/>
    <w:uiPriority w:val="99"/>
    <w:semiHidden/>
    <w:unhideWhenUsed/>
    <w:rsid w:val="00821506"/>
    <w:rPr>
      <w:b/>
      <w:bCs/>
    </w:rPr>
  </w:style>
  <w:style w:type="character" w:customStyle="1" w:styleId="CommentSubjectChar">
    <w:name w:val="Comment Subject Char"/>
    <w:link w:val="CommentSubject"/>
    <w:uiPriority w:val="99"/>
    <w:semiHidden/>
    <w:rsid w:val="00821506"/>
    <w:rPr>
      <w:b/>
      <w:bCs/>
    </w:rPr>
  </w:style>
  <w:style w:type="paragraph" w:styleId="Revision">
    <w:name w:val="Revision"/>
    <w:hidden/>
    <w:uiPriority w:val="99"/>
    <w:semiHidden/>
    <w:rsid w:val="0047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H:\AII.OLD\FORMS\Reports_Mgmt\83-I-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0D2F1D92C4280535CE6AE23F2E1" ma:contentTypeVersion="11" ma:contentTypeDescription="Create a new document." ma:contentTypeScope="" ma:versionID="df0d063e1ab3e2bc74e5eddbd471647e">
  <xsd:schema xmlns:xsd="http://www.w3.org/2001/XMLSchema" xmlns:xs="http://www.w3.org/2001/XMLSchema" xmlns:p="http://schemas.microsoft.com/office/2006/metadata/properties" xmlns:ns2="14251224-232c-42e7-b299-9c97172cf1e9" xmlns:ns3="9ca187ee-8213-4bc9-af54-849b359d4473" targetNamespace="http://schemas.microsoft.com/office/2006/metadata/properties" ma:root="true" ma:fieldsID="5547ee13a527308703cad6cf35e7e0ec" ns2:_="" ns3:_="">
    <xsd:import namespace="14251224-232c-42e7-b299-9c97172cf1e9"/>
    <xsd:import namespace="9ca187ee-8213-4bc9-af54-849b359d4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51224-232c-42e7-b299-9c97172c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187ee-8213-4bc9-af54-849b359d4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d7f450-8787-468c-9a38-c63e942e5f31}" ma:internalName="TaxCatchAll" ma:showField="CatchAllData" ma:web="9ca187ee-8213-4bc9-af54-849b359d4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51224-232c-42e7-b299-9c97172cf1e9">
      <Terms xmlns="http://schemas.microsoft.com/office/infopath/2007/PartnerControls"/>
    </lcf76f155ced4ddcb4097134ff3c332f>
    <TaxCatchAll xmlns="9ca187ee-8213-4bc9-af54-849b359d4473"/>
  </documentManagement>
</p:properties>
</file>

<file path=customXml/itemProps1.xml><?xml version="1.0" encoding="utf-8"?>
<ds:datastoreItem xmlns:ds="http://schemas.openxmlformats.org/officeDocument/2006/customXml" ds:itemID="{434C63F8-FAD7-4A42-A018-29374DF9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51224-232c-42e7-b299-9c97172cf1e9"/>
    <ds:schemaRef ds:uri="9ca187ee-8213-4bc9-af54-849b359d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A63FA-7102-4A41-8EC0-8C536C07D887}">
  <ds:schemaRefs>
    <ds:schemaRef ds:uri="http://schemas.microsoft.com/sharepoint/v3/contenttype/forms"/>
  </ds:schemaRefs>
</ds:datastoreItem>
</file>

<file path=customXml/itemProps3.xml><?xml version="1.0" encoding="utf-8"?>
<ds:datastoreItem xmlns:ds="http://schemas.openxmlformats.org/officeDocument/2006/customXml" ds:itemID="{B0F98B48-5432-464A-B57E-AD46728B3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83-I-OMB.DOT</Template>
  <TotalTime>1</TotalTime>
  <Pages>11</Pages>
  <Words>3822</Words>
  <Characters>21790</Characters>
  <Application>Microsoft Office Word</Application>
  <DocSecurity>2</DocSecurity>
  <Lines>181</Lines>
  <Paragraphs>51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Hill, Ronald M</cp:lastModifiedBy>
  <cp:revision>2</cp:revision>
  <cp:lastPrinted>2016-10-19T20:19:00Z</cp:lastPrinted>
  <dcterms:created xsi:type="dcterms:W3CDTF">2023-09-26T19:20:00Z</dcterms:created>
  <dcterms:modified xsi:type="dcterms:W3CDTF">2023-09-26T19:20:00Z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ip_UnifiedCompliancePolicyProperties">
    <vt:lpwstr/>
  </property>
  <property fmtid="{D5CDD505-2E9C-101B-9397-08002B2CF9AE}" pid="4" name="_ip_UnifiedCompliancePolicyUIAction">
    <vt:lpwstr/>
  </property>
  <property fmtid="{D5CDD505-2E9C-101B-9397-08002B2CF9AE}" pid="5" name="_NewReviewCycle">
    <vt:lpwstr/>
  </property>
</Properties>
</file>