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60C1" w:rsidRPr="003A46F9" w:rsidP="00AF37B7" w14:paraId="42B577EE" w14:textId="77777777">
      <w:pPr>
        <w:keepNext/>
        <w:keepLines/>
        <w:suppressAutoHyphens/>
        <w:jc w:val="center"/>
        <w:rPr>
          <w:rFonts w:ascii="Times New Roman" w:hAnsi="Times New Roman"/>
          <w:b/>
        </w:rPr>
      </w:pPr>
      <w:r w:rsidRPr="003A46F9">
        <w:rPr>
          <w:rFonts w:ascii="Times New Roman" w:hAnsi="Times New Roman"/>
          <w:b/>
        </w:rPr>
        <w:t>SUPPORTING STATEMENT FOR NEW AND</w:t>
      </w:r>
    </w:p>
    <w:p w:rsidR="00A960C1" w:rsidRPr="003A46F9" w14:paraId="46C6C718" w14:textId="77777777">
      <w:pPr>
        <w:suppressAutoHyphens/>
        <w:spacing w:after="240"/>
        <w:jc w:val="center"/>
        <w:rPr>
          <w:rFonts w:ascii="Times New Roman" w:hAnsi="Times New Roman"/>
          <w:b/>
        </w:rPr>
      </w:pPr>
      <w:r w:rsidRPr="003A46F9">
        <w:rPr>
          <w:rFonts w:ascii="Times New Roman" w:hAnsi="Times New Roman"/>
          <w:b/>
        </w:rPr>
        <w:t>REVISED INFORMATION COLLECTIONS</w:t>
      </w:r>
    </w:p>
    <w:p w:rsidR="00A960C1" w:rsidRPr="003A46F9" w:rsidP="001A76ED" w14:paraId="52D0B132" w14:textId="77777777">
      <w:pPr>
        <w:suppressAutoHyphens/>
        <w:spacing w:after="240"/>
        <w:jc w:val="center"/>
        <w:rPr>
          <w:rFonts w:ascii="Times New Roman" w:hAnsi="Times New Roman"/>
          <w:b/>
          <w:u w:val="single"/>
        </w:rPr>
      </w:pPr>
      <w:r w:rsidRPr="003A46F9">
        <w:rPr>
          <w:rFonts w:ascii="Times New Roman" w:hAnsi="Times New Roman"/>
          <w:b/>
          <w:u w:val="single"/>
        </w:rPr>
        <w:t>Swap Dealer and Major Swap Participant Conflicts of Interest and Business Conduct Standards with Counterparties</w:t>
      </w:r>
    </w:p>
    <w:p w:rsidR="00A960C1" w:rsidRPr="003A46F9" w14:paraId="2B2A9DF6" w14:textId="77777777">
      <w:pPr>
        <w:tabs>
          <w:tab w:val="center" w:pos="4680"/>
        </w:tabs>
        <w:suppressAutoHyphens/>
        <w:spacing w:after="240"/>
        <w:jc w:val="center"/>
        <w:rPr>
          <w:rFonts w:ascii="Times New Roman" w:hAnsi="Times New Roman"/>
          <w:b/>
        </w:rPr>
      </w:pPr>
      <w:r w:rsidRPr="003A46F9">
        <w:rPr>
          <w:rFonts w:ascii="Times New Roman" w:hAnsi="Times New Roman"/>
          <w:b/>
        </w:rPr>
        <w:t>OMB CONTROL NUMBER 3038-0079</w:t>
      </w:r>
    </w:p>
    <w:p w:rsidR="00A960C1" w:rsidRPr="003A46F9" w:rsidP="001D6099" w14:paraId="1CFAB532" w14:textId="77777777">
      <w:pPr>
        <w:pStyle w:val="Heading1"/>
        <w:keepLines/>
        <w:jc w:val="both"/>
        <w:rPr>
          <w:rFonts w:ascii="Times New Roman" w:hAnsi="Times New Roman"/>
          <w:szCs w:val="24"/>
        </w:rPr>
      </w:pPr>
      <w:r w:rsidRPr="003A46F9">
        <w:rPr>
          <w:rFonts w:ascii="Times New Roman" w:hAnsi="Times New Roman"/>
          <w:szCs w:val="24"/>
        </w:rPr>
        <w:t>Justification</w:t>
      </w:r>
    </w:p>
    <w:p w:rsidR="00A960C1" w:rsidRPr="003A46F9" w:rsidP="001D6099" w14:paraId="5905F5EF" w14:textId="77777777">
      <w:pPr>
        <w:jc w:val="both"/>
        <w:rPr>
          <w:rFonts w:ascii="Times New Roman" w:hAnsi="Times New Roman"/>
        </w:rPr>
      </w:pPr>
    </w:p>
    <w:p w:rsidR="00A960C1" w:rsidRPr="003A46F9" w:rsidP="001D6099" w14:paraId="54B8C98F" w14:textId="77777777">
      <w:pPr>
        <w:tabs>
          <w:tab w:val="left" w:pos="-720"/>
        </w:tabs>
        <w:ind w:left="720" w:hanging="720"/>
        <w:jc w:val="both"/>
        <w:rPr>
          <w:rFonts w:ascii="Times New Roman" w:hAnsi="Times New Roman"/>
        </w:rPr>
      </w:pPr>
      <w:r w:rsidRPr="003A46F9">
        <w:rPr>
          <w:rFonts w:ascii="Times New Roman" w:hAnsi="Times New Roman"/>
          <w:b/>
        </w:rPr>
        <w:t>1.</w:t>
      </w:r>
      <w:r w:rsidRPr="003A46F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60C1" w:rsidRPr="003A46F9" w:rsidP="001D6099" w14:paraId="501956D4" w14:textId="77777777">
      <w:pPr>
        <w:pStyle w:val="Default"/>
        <w:jc w:val="both"/>
        <w:rPr>
          <w:rFonts w:ascii="Times New Roman" w:hAnsi="Times New Roman" w:cs="Times New Roman"/>
        </w:rPr>
      </w:pPr>
    </w:p>
    <w:p w:rsidR="00A960C1" w:rsidRPr="003A46F9" w:rsidP="001D6099" w14:paraId="7724E1B9" w14:textId="68D16A1B">
      <w:pPr>
        <w:pStyle w:val="Default"/>
        <w:jc w:val="both"/>
        <w:rPr>
          <w:rFonts w:ascii="Times New Roman" w:hAnsi="Times New Roman" w:cs="Times New Roman"/>
        </w:rPr>
      </w:pPr>
      <w:r w:rsidRPr="003A46F9">
        <w:rPr>
          <w:rFonts w:ascii="Times New Roman" w:hAnsi="Times New Roman" w:cs="Times New Roman"/>
        </w:rPr>
        <w:t>Section 731 of Title VII of the Dodd-Frank Wall Street Reform and Consumer Protection Act</w:t>
      </w:r>
      <w:r>
        <w:rPr>
          <w:rStyle w:val="FootnoteReference"/>
          <w:rFonts w:ascii="Times New Roman" w:hAnsi="Times New Roman" w:cs="Times New Roman"/>
        </w:rPr>
        <w:footnoteReference w:id="3"/>
      </w:r>
      <w:r w:rsidRPr="003A46F9">
        <w:rPr>
          <w:rFonts w:ascii="Times New Roman" w:hAnsi="Times New Roman" w:cs="Times New Roman"/>
        </w:rPr>
        <w:t xml:space="preserve">  amended the Commodity Exchange Act (</w:t>
      </w:r>
      <w:r w:rsidR="004B0647">
        <w:rPr>
          <w:rFonts w:ascii="Times New Roman" w:hAnsi="Times New Roman" w:cs="Times New Roman"/>
        </w:rPr>
        <w:t>“</w:t>
      </w:r>
      <w:r w:rsidRPr="003A46F9">
        <w:rPr>
          <w:rFonts w:ascii="Times New Roman" w:hAnsi="Times New Roman" w:cs="Times New Roman"/>
        </w:rPr>
        <w:t>CEA</w:t>
      </w:r>
      <w:r w:rsidR="004B0647">
        <w:rPr>
          <w:rFonts w:ascii="Times New Roman" w:hAnsi="Times New Roman" w:cs="Times New Roman"/>
        </w:rPr>
        <w:t>”</w:t>
      </w:r>
      <w:r w:rsidRPr="003A46F9">
        <w:rPr>
          <w:rFonts w:ascii="Times New Roman" w:hAnsi="Times New Roman" w:cs="Times New Roman"/>
        </w:rPr>
        <w:t xml:space="preserve">) to add </w:t>
      </w:r>
      <w:r w:rsidR="00B00688">
        <w:rPr>
          <w:rFonts w:ascii="Times New Roman" w:hAnsi="Times New Roman" w:cs="Times New Roman"/>
        </w:rPr>
        <w:t>s</w:t>
      </w:r>
      <w:r w:rsidRPr="003A46F9" w:rsidR="00B00688">
        <w:rPr>
          <w:rFonts w:ascii="Times New Roman" w:hAnsi="Times New Roman" w:cs="Times New Roman"/>
        </w:rPr>
        <w:t xml:space="preserve">ections </w:t>
      </w:r>
      <w:r w:rsidRPr="003A46F9" w:rsidR="00922DA7">
        <w:rPr>
          <w:rFonts w:ascii="Times New Roman" w:hAnsi="Times New Roman" w:cs="Times New Roman"/>
        </w:rPr>
        <w:t>4s(h)</w:t>
      </w:r>
      <w:r w:rsidRPr="003A46F9">
        <w:rPr>
          <w:rFonts w:ascii="Times New Roman" w:hAnsi="Times New Roman" w:cs="Times New Roman"/>
        </w:rPr>
        <w:t xml:space="preserve"> </w:t>
      </w:r>
      <w:r w:rsidRPr="003A46F9" w:rsidR="00922DA7">
        <w:rPr>
          <w:rFonts w:ascii="Times New Roman" w:hAnsi="Times New Roman" w:cs="Times New Roman"/>
        </w:rPr>
        <w:t xml:space="preserve">and </w:t>
      </w:r>
      <w:r w:rsidRPr="003A46F9">
        <w:rPr>
          <w:rFonts w:ascii="Times New Roman" w:hAnsi="Times New Roman" w:cs="Times New Roman"/>
        </w:rPr>
        <w:t>4s(j)(5)</w:t>
      </w:r>
      <w:r>
        <w:rPr>
          <w:rStyle w:val="FootnoteReference"/>
          <w:rFonts w:ascii="Times New Roman" w:hAnsi="Times New Roman" w:cs="Times New Roman"/>
        </w:rPr>
        <w:footnoteReference w:id="4"/>
      </w:r>
      <w:r w:rsidR="004B0647">
        <w:rPr>
          <w:rFonts w:ascii="Times New Roman" w:hAnsi="Times New Roman" w:cs="Times New Roman"/>
        </w:rPr>
        <w:t>,</w:t>
      </w:r>
      <w:r w:rsidRPr="003A46F9">
        <w:rPr>
          <w:rFonts w:ascii="Times New Roman" w:hAnsi="Times New Roman" w:cs="Times New Roman"/>
        </w:rPr>
        <w:t xml:space="preserve"> which </w:t>
      </w:r>
      <w:r w:rsidRPr="003A46F9" w:rsidR="00AC28F2">
        <w:rPr>
          <w:rFonts w:ascii="Times New Roman" w:hAnsi="Times New Roman" w:cs="Times New Roman"/>
        </w:rPr>
        <w:t xml:space="preserve">provide the </w:t>
      </w:r>
      <w:r w:rsidR="00C61310">
        <w:rPr>
          <w:rFonts w:ascii="Times New Roman" w:hAnsi="Times New Roman" w:cs="Times New Roman"/>
        </w:rPr>
        <w:t>Commodity Futures Trading Commission (</w:t>
      </w:r>
      <w:r w:rsidR="004B0647">
        <w:rPr>
          <w:rFonts w:ascii="Times New Roman" w:hAnsi="Times New Roman" w:cs="Times New Roman"/>
        </w:rPr>
        <w:t>the “</w:t>
      </w:r>
      <w:r w:rsidRPr="003A46F9" w:rsidR="00AC28F2">
        <w:rPr>
          <w:rFonts w:ascii="Times New Roman" w:hAnsi="Times New Roman" w:cs="Times New Roman"/>
        </w:rPr>
        <w:t>Commission</w:t>
      </w:r>
      <w:r w:rsidR="00E27613">
        <w:rPr>
          <w:rFonts w:ascii="Times New Roman" w:hAnsi="Times New Roman" w:cs="Times New Roman"/>
        </w:rPr>
        <w:t>”</w:t>
      </w:r>
      <w:r w:rsidR="00B00688">
        <w:rPr>
          <w:rFonts w:ascii="Times New Roman" w:hAnsi="Times New Roman" w:cs="Times New Roman"/>
        </w:rPr>
        <w:t xml:space="preserve"> or </w:t>
      </w:r>
      <w:r w:rsidR="007F615D">
        <w:rPr>
          <w:rFonts w:ascii="Times New Roman" w:hAnsi="Times New Roman" w:cs="Times New Roman"/>
        </w:rPr>
        <w:t xml:space="preserve">the </w:t>
      </w:r>
      <w:r w:rsidR="00B00688">
        <w:rPr>
          <w:rFonts w:ascii="Times New Roman" w:hAnsi="Times New Roman" w:cs="Times New Roman"/>
        </w:rPr>
        <w:t>“CFTC”</w:t>
      </w:r>
      <w:r w:rsidR="00C61310">
        <w:rPr>
          <w:rFonts w:ascii="Times New Roman" w:hAnsi="Times New Roman" w:cs="Times New Roman"/>
        </w:rPr>
        <w:t>)</w:t>
      </w:r>
      <w:r w:rsidRPr="003A46F9" w:rsidR="00AC28F2">
        <w:rPr>
          <w:rFonts w:ascii="Times New Roman" w:hAnsi="Times New Roman" w:cs="Times New Roman"/>
        </w:rPr>
        <w:t xml:space="preserve"> with both mandatory and discretionary rulemaking authority to impose business conduct requirements on swap dealers </w:t>
      </w:r>
      <w:r w:rsidRPr="006F6A6C" w:rsidR="006F6A6C">
        <w:rPr>
          <w:rFonts w:ascii="Times New Roman" w:hAnsi="Times New Roman" w:cs="Times New Roman"/>
        </w:rPr>
        <w:t xml:space="preserve">(“SDs”) </w:t>
      </w:r>
      <w:r w:rsidRPr="003A46F9" w:rsidR="00AC28F2">
        <w:rPr>
          <w:rFonts w:ascii="Times New Roman" w:hAnsi="Times New Roman" w:cs="Times New Roman"/>
        </w:rPr>
        <w:t xml:space="preserve">and major swap participants </w:t>
      </w:r>
      <w:r w:rsidRPr="006F6A6C" w:rsidR="006F6A6C">
        <w:rPr>
          <w:rFonts w:ascii="Times New Roman" w:hAnsi="Times New Roman" w:cs="Times New Roman"/>
        </w:rPr>
        <w:t xml:space="preserve">(“MSPs”) </w:t>
      </w:r>
      <w:r w:rsidRPr="003A46F9" w:rsidR="00AC28F2">
        <w:rPr>
          <w:rFonts w:ascii="Times New Roman" w:hAnsi="Times New Roman" w:cs="Times New Roman"/>
        </w:rPr>
        <w:t>in their dealings with counterparties, including “Special Entities,”</w:t>
      </w:r>
      <w:r>
        <w:rPr>
          <w:rStyle w:val="FootnoteReference"/>
          <w:rFonts w:ascii="Times New Roman" w:hAnsi="Times New Roman" w:cs="Times New Roman"/>
        </w:rPr>
        <w:footnoteReference w:id="5"/>
      </w:r>
      <w:r w:rsidRPr="003A46F9" w:rsidR="00AC28F2">
        <w:rPr>
          <w:rFonts w:ascii="Times New Roman" w:hAnsi="Times New Roman" w:cs="Times New Roman"/>
        </w:rPr>
        <w:t xml:space="preserve"> and </w:t>
      </w:r>
      <w:r w:rsidRPr="003A46F9">
        <w:rPr>
          <w:rFonts w:ascii="Times New Roman" w:hAnsi="Times New Roman" w:cs="Times New Roman"/>
        </w:rPr>
        <w:t xml:space="preserve">require that each </w:t>
      </w:r>
      <w:r w:rsidR="006F6A6C">
        <w:rPr>
          <w:rFonts w:ascii="Times New Roman" w:hAnsi="Times New Roman" w:cs="Times New Roman"/>
        </w:rPr>
        <w:t>SD</w:t>
      </w:r>
      <w:r w:rsidRPr="003A46F9">
        <w:rPr>
          <w:rFonts w:ascii="Times New Roman" w:hAnsi="Times New Roman" w:cs="Times New Roman"/>
        </w:rPr>
        <w:t xml:space="preserve"> and </w:t>
      </w:r>
      <w:r w:rsidR="006F6A6C">
        <w:rPr>
          <w:rFonts w:ascii="Times New Roman" w:hAnsi="Times New Roman" w:cs="Times New Roman"/>
        </w:rPr>
        <w:t>MSP</w:t>
      </w:r>
      <w:r w:rsidRPr="003A46F9">
        <w:rPr>
          <w:rFonts w:ascii="Times New Roman" w:hAnsi="Times New Roman" w:cs="Times New Roman"/>
        </w:rPr>
        <w:t xml:space="preserve"> implement conflicts of interest systems and procedures</w:t>
      </w:r>
      <w:r w:rsidRPr="003A46F9" w:rsidR="00AC28F2">
        <w:rPr>
          <w:rFonts w:ascii="Times New Roman" w:hAnsi="Times New Roman" w:cs="Times New Roman"/>
        </w:rPr>
        <w:t>.</w:t>
      </w:r>
      <w:r w:rsidR="00D87061">
        <w:rPr>
          <w:rFonts w:ascii="Times New Roman" w:hAnsi="Times New Roman" w:cs="Times New Roman"/>
        </w:rPr>
        <w:t xml:space="preserve">  </w:t>
      </w:r>
      <w:r w:rsidRPr="003A46F9" w:rsidR="00922DA7">
        <w:rPr>
          <w:rFonts w:ascii="Times New Roman" w:hAnsi="Times New Roman" w:cs="Times New Roman"/>
        </w:rPr>
        <w:t>Congress granted the Commission broad discretionary authority to promulgate business conduct requirements, as appropriate in the public interest, for the protection of investors, or otherwise in furtherance of the purposes of the CEA.</w:t>
      </w:r>
      <w:r>
        <w:rPr>
          <w:rStyle w:val="FootnoteReference"/>
          <w:rFonts w:ascii="Times New Roman" w:hAnsi="Times New Roman" w:cs="Times New Roman"/>
        </w:rPr>
        <w:footnoteReference w:id="6"/>
      </w:r>
      <w:r w:rsidRPr="003A46F9">
        <w:rPr>
          <w:rFonts w:ascii="Times New Roman" w:hAnsi="Times New Roman" w:cs="Times New Roman"/>
        </w:rPr>
        <w:t xml:space="preserve">  </w:t>
      </w:r>
    </w:p>
    <w:p w:rsidR="00A960C1" w:rsidRPr="003A46F9" w:rsidP="001D6099" w14:paraId="5CF466D3" w14:textId="77777777">
      <w:pPr>
        <w:pStyle w:val="Default"/>
        <w:jc w:val="both"/>
        <w:rPr>
          <w:rFonts w:ascii="Times New Roman" w:hAnsi="Times New Roman" w:cs="Times New Roman"/>
        </w:rPr>
      </w:pPr>
    </w:p>
    <w:p w:rsidR="00A960C1" w:rsidP="001D6099" w14:paraId="6845D35D" w14:textId="49261688">
      <w:pPr>
        <w:pStyle w:val="Default"/>
        <w:jc w:val="both"/>
        <w:rPr>
          <w:rFonts w:ascii="Times New Roman" w:hAnsi="Times New Roman" w:cs="Times New Roman"/>
        </w:rPr>
      </w:pPr>
      <w:r w:rsidRPr="003A46F9">
        <w:rPr>
          <w:rFonts w:ascii="Times New Roman" w:hAnsi="Times New Roman" w:cs="Times New Roman"/>
        </w:rPr>
        <w:t xml:space="preserve">Accordingly, the Commission has </w:t>
      </w:r>
      <w:r w:rsidRPr="003A46F9" w:rsidR="000123A0">
        <w:rPr>
          <w:rFonts w:ascii="Times New Roman" w:hAnsi="Times New Roman" w:cs="Times New Roman"/>
        </w:rPr>
        <w:t xml:space="preserve">adopted </w:t>
      </w:r>
      <w:r w:rsidR="00B00688">
        <w:rPr>
          <w:rFonts w:ascii="Times New Roman" w:hAnsi="Times New Roman" w:cs="Times New Roman"/>
        </w:rPr>
        <w:t>s</w:t>
      </w:r>
      <w:r w:rsidRPr="003A46F9" w:rsidR="00B00688">
        <w:rPr>
          <w:rFonts w:ascii="Times New Roman" w:hAnsi="Times New Roman" w:cs="Times New Roman"/>
        </w:rPr>
        <w:t xml:space="preserve">ubpart </w:t>
      </w:r>
      <w:r w:rsidRPr="003A46F9" w:rsidR="00922DA7">
        <w:rPr>
          <w:rFonts w:ascii="Times New Roman" w:hAnsi="Times New Roman" w:cs="Times New Roman"/>
        </w:rPr>
        <w:t xml:space="preserve">H of </w:t>
      </w:r>
      <w:r w:rsidR="00B00688">
        <w:rPr>
          <w:rFonts w:ascii="Times New Roman" w:hAnsi="Times New Roman" w:cs="Times New Roman"/>
        </w:rPr>
        <w:t>p</w:t>
      </w:r>
      <w:r w:rsidRPr="003A46F9" w:rsidR="00B00688">
        <w:rPr>
          <w:rFonts w:ascii="Times New Roman" w:hAnsi="Times New Roman" w:cs="Times New Roman"/>
        </w:rPr>
        <w:t xml:space="preserve">art </w:t>
      </w:r>
      <w:r w:rsidRPr="003A46F9" w:rsidR="00922DA7">
        <w:rPr>
          <w:rFonts w:ascii="Times New Roman" w:hAnsi="Times New Roman" w:cs="Times New Roman"/>
        </w:rPr>
        <w:t xml:space="preserve">23 </w:t>
      </w:r>
      <w:r w:rsidRPr="003A46F9" w:rsidR="00FA71B7">
        <w:rPr>
          <w:rFonts w:ascii="Times New Roman" w:hAnsi="Times New Roman" w:cs="Times New Roman"/>
        </w:rPr>
        <w:t xml:space="preserve">of </w:t>
      </w:r>
      <w:r w:rsidRPr="003A46F9" w:rsidR="00922DA7">
        <w:rPr>
          <w:rFonts w:ascii="Times New Roman" w:hAnsi="Times New Roman" w:cs="Times New Roman"/>
        </w:rPr>
        <w:t>its regulations</w:t>
      </w:r>
      <w:r w:rsidR="006F6A6C">
        <w:rPr>
          <w:rFonts w:ascii="Times New Roman" w:hAnsi="Times New Roman" w:cs="Times New Roman"/>
        </w:rPr>
        <w:t xml:space="preserve"> </w:t>
      </w:r>
      <w:r w:rsidRPr="003A46F9" w:rsidR="00922DA7">
        <w:rPr>
          <w:rFonts w:ascii="Times New Roman" w:hAnsi="Times New Roman" w:cs="Times New Roman"/>
        </w:rPr>
        <w:t>(</w:t>
      </w:r>
      <w:r w:rsidR="004B0647">
        <w:rPr>
          <w:rFonts w:ascii="Times New Roman" w:hAnsi="Times New Roman" w:cs="Times New Roman"/>
        </w:rPr>
        <w:t>“</w:t>
      </w:r>
      <w:r w:rsidRPr="003A46F9" w:rsidR="00922DA7">
        <w:rPr>
          <w:rFonts w:ascii="Times New Roman" w:hAnsi="Times New Roman" w:cs="Times New Roman"/>
        </w:rPr>
        <w:t>EB</w:t>
      </w:r>
      <w:r w:rsidRPr="003A46F9" w:rsidR="00914B7D">
        <w:rPr>
          <w:rFonts w:ascii="Times New Roman" w:hAnsi="Times New Roman" w:cs="Times New Roman"/>
        </w:rPr>
        <w:t>C</w:t>
      </w:r>
      <w:r w:rsidRPr="003A46F9" w:rsidR="00922DA7">
        <w:rPr>
          <w:rFonts w:ascii="Times New Roman" w:hAnsi="Times New Roman" w:cs="Times New Roman"/>
        </w:rPr>
        <w:t>S Rules</w:t>
      </w:r>
      <w:r w:rsidR="004B0647">
        <w:rPr>
          <w:rFonts w:ascii="Times New Roman" w:hAnsi="Times New Roman" w:cs="Times New Roman"/>
        </w:rPr>
        <w:t>”</w:t>
      </w:r>
      <w:r w:rsidRPr="003A46F9" w:rsidR="00922DA7">
        <w:rPr>
          <w:rFonts w:ascii="Times New Roman" w:hAnsi="Times New Roman" w:cs="Times New Roman"/>
        </w:rPr>
        <w:t>)</w:t>
      </w:r>
      <w:r>
        <w:rPr>
          <w:rStyle w:val="FootnoteReference"/>
          <w:rFonts w:ascii="Times New Roman" w:hAnsi="Times New Roman" w:cs="Times New Roman"/>
        </w:rPr>
        <w:footnoteReference w:id="7"/>
      </w:r>
      <w:r w:rsidR="00C17835">
        <w:rPr>
          <w:rFonts w:ascii="Times New Roman" w:hAnsi="Times New Roman" w:cs="Times New Roman"/>
        </w:rPr>
        <w:t xml:space="preserve"> </w:t>
      </w:r>
      <w:r w:rsidRPr="003A46F9" w:rsidR="00922DA7">
        <w:rPr>
          <w:rFonts w:ascii="Times New Roman" w:hAnsi="Times New Roman" w:cs="Times New Roman"/>
        </w:rPr>
        <w:t xml:space="preserve">and </w:t>
      </w:r>
      <w:r w:rsidRPr="007945C9" w:rsidR="00353274">
        <w:rPr>
          <w:rFonts w:ascii="Times New Roman" w:hAnsi="Times New Roman" w:cs="Times New Roman"/>
        </w:rPr>
        <w:t>§</w:t>
      </w:r>
      <w:r w:rsidRPr="007945C9" w:rsidR="00353274">
        <w:t> </w:t>
      </w:r>
      <w:r w:rsidRPr="003A46F9" w:rsidR="003F6F39">
        <w:rPr>
          <w:rFonts w:ascii="Times New Roman" w:hAnsi="Times New Roman" w:cs="Times New Roman"/>
        </w:rPr>
        <w:t>23.605</w:t>
      </w:r>
      <w:r w:rsidRPr="003A46F9" w:rsidR="002470E0">
        <w:rPr>
          <w:rFonts w:ascii="Times New Roman" w:hAnsi="Times New Roman" w:cs="Times New Roman"/>
        </w:rPr>
        <w:t>,</w:t>
      </w:r>
      <w:r>
        <w:rPr>
          <w:rStyle w:val="FootnoteReference"/>
          <w:rFonts w:ascii="Times New Roman" w:hAnsi="Times New Roman" w:cs="Times New Roman"/>
        </w:rPr>
        <w:footnoteReference w:id="8"/>
      </w:r>
      <w:r w:rsidRPr="003A46F9">
        <w:rPr>
          <w:rFonts w:ascii="Times New Roman" w:hAnsi="Times New Roman" w:cs="Times New Roman"/>
        </w:rPr>
        <w:t xml:space="preserve"> </w:t>
      </w:r>
      <w:r w:rsidRPr="003A46F9" w:rsidR="002A0875">
        <w:rPr>
          <w:rFonts w:ascii="Times New Roman" w:hAnsi="Times New Roman" w:cs="Times New Roman"/>
        </w:rPr>
        <w:t>requiring</w:t>
      </w:r>
      <w:r w:rsidRPr="003A46F9">
        <w:rPr>
          <w:rFonts w:ascii="Times New Roman" w:hAnsi="Times New Roman" w:cs="Times New Roman"/>
        </w:rPr>
        <w:t xml:space="preserve"> </w:t>
      </w:r>
      <w:r w:rsidR="00417E66">
        <w:rPr>
          <w:rFonts w:ascii="Times New Roman" w:hAnsi="Times New Roman" w:cs="Times New Roman"/>
        </w:rPr>
        <w:t>SD</w:t>
      </w:r>
      <w:r w:rsidRPr="003A46F9">
        <w:rPr>
          <w:rFonts w:ascii="Times New Roman" w:hAnsi="Times New Roman" w:cs="Times New Roman"/>
        </w:rPr>
        <w:t xml:space="preserve">s and </w:t>
      </w:r>
      <w:r w:rsidR="00417E66">
        <w:rPr>
          <w:rFonts w:ascii="Times New Roman" w:hAnsi="Times New Roman" w:cs="Times New Roman"/>
        </w:rPr>
        <w:t>MSP</w:t>
      </w:r>
      <w:r w:rsidRPr="003A46F9">
        <w:rPr>
          <w:rFonts w:ascii="Times New Roman" w:hAnsi="Times New Roman" w:cs="Times New Roman"/>
        </w:rPr>
        <w:t xml:space="preserve">s to </w:t>
      </w:r>
      <w:r w:rsidRPr="003A46F9" w:rsidR="00AC28F2">
        <w:rPr>
          <w:rFonts w:ascii="Times New Roman" w:hAnsi="Times New Roman" w:cs="Times New Roman"/>
        </w:rPr>
        <w:t xml:space="preserve">follow specified procedures and provide specified </w:t>
      </w:r>
      <w:r w:rsidRPr="003A46F9" w:rsidR="00AC28F2">
        <w:rPr>
          <w:rFonts w:ascii="Times New Roman" w:hAnsi="Times New Roman" w:cs="Times New Roman"/>
        </w:rPr>
        <w:t>di</w:t>
      </w:r>
      <w:r w:rsidR="00721536">
        <w:rPr>
          <w:rFonts w:ascii="Times New Roman" w:hAnsi="Times New Roman" w:cs="Times New Roman"/>
        </w:rPr>
        <w:t>s</w:t>
      </w:r>
      <w:r w:rsidRPr="003A46F9" w:rsidR="00AC28F2">
        <w:rPr>
          <w:rFonts w:ascii="Times New Roman" w:hAnsi="Times New Roman" w:cs="Times New Roman"/>
        </w:rPr>
        <w:t>closures in their dealings with</w:t>
      </w:r>
      <w:r w:rsidR="0088583B">
        <w:rPr>
          <w:rFonts w:ascii="Times New Roman" w:hAnsi="Times New Roman" w:cs="Times New Roman"/>
        </w:rPr>
        <w:t xml:space="preserve"> </w:t>
      </w:r>
      <w:r w:rsidRPr="003A46F9" w:rsidR="00AC28F2">
        <w:rPr>
          <w:rFonts w:ascii="Times New Roman" w:hAnsi="Times New Roman" w:cs="Times New Roman"/>
        </w:rPr>
        <w:t xml:space="preserve">counterparties, to </w:t>
      </w:r>
      <w:r w:rsidRPr="003A46F9" w:rsidR="000123A0">
        <w:rPr>
          <w:rFonts w:ascii="Times New Roman" w:hAnsi="Times New Roman" w:cs="Times New Roman"/>
        </w:rPr>
        <w:t xml:space="preserve">adopt and implement </w:t>
      </w:r>
      <w:r w:rsidRPr="003A46F9">
        <w:rPr>
          <w:rFonts w:ascii="Times New Roman" w:hAnsi="Times New Roman" w:cs="Times New Roman"/>
        </w:rPr>
        <w:t>conflicts of interest procedures and disclosures, and to maintain specified records related to those requirements.</w:t>
      </w:r>
    </w:p>
    <w:p w:rsidR="0043166C" w:rsidP="001D6099" w14:paraId="59CA8CDF" w14:textId="77777777">
      <w:pPr>
        <w:pStyle w:val="Default"/>
        <w:jc w:val="both"/>
        <w:rPr>
          <w:rFonts w:ascii="Times New Roman" w:hAnsi="Times New Roman" w:cs="Times New Roman"/>
        </w:rPr>
      </w:pPr>
    </w:p>
    <w:p w:rsidR="0043166C" w:rsidRPr="003A46F9" w:rsidP="001D6099" w14:paraId="4A8B2B0A" w14:textId="79103C0A">
      <w:pPr>
        <w:pStyle w:val="Default"/>
        <w:jc w:val="both"/>
        <w:rPr>
          <w:rFonts w:ascii="Times New Roman" w:hAnsi="Times New Roman" w:cs="Times New Roman"/>
        </w:rPr>
      </w:pPr>
      <w:r>
        <w:rPr>
          <w:rFonts w:ascii="Times New Roman" w:hAnsi="Times New Roman" w:cs="Times New Roman"/>
        </w:rPr>
        <w:t>In addition, t</w:t>
      </w:r>
      <w:r w:rsidRPr="0043166C">
        <w:rPr>
          <w:rFonts w:ascii="Times New Roman" w:hAnsi="Times New Roman" w:cs="Times New Roman"/>
        </w:rPr>
        <w:t xml:space="preserve">he Commission </w:t>
      </w:r>
      <w:r w:rsidR="00353274">
        <w:rPr>
          <w:rFonts w:ascii="Times New Roman" w:hAnsi="Times New Roman" w:cs="Times New Roman"/>
        </w:rPr>
        <w:t>promulgated</w:t>
      </w:r>
      <w:r w:rsidRPr="0043166C" w:rsidR="00353274">
        <w:rPr>
          <w:rFonts w:ascii="Times New Roman" w:hAnsi="Times New Roman" w:cs="Times New Roman"/>
        </w:rPr>
        <w:t xml:space="preserve"> </w:t>
      </w:r>
      <w:r w:rsidRPr="0043166C">
        <w:rPr>
          <w:rFonts w:ascii="Times New Roman" w:hAnsi="Times New Roman" w:cs="Times New Roman"/>
        </w:rPr>
        <w:t>certain exceptions from the EBCS Rules for certain foreign swaps i</w:t>
      </w:r>
      <w:r w:rsidR="001C43E1">
        <w:rPr>
          <w:rFonts w:ascii="Times New Roman" w:hAnsi="Times New Roman" w:cs="Times New Roman"/>
        </w:rPr>
        <w:t xml:space="preserve">n </w:t>
      </w:r>
      <w:bookmarkStart w:id="0" w:name="_Hlk137026168"/>
      <w:r w:rsidR="001C43E1">
        <w:rPr>
          <w:rFonts w:ascii="Times New Roman" w:hAnsi="Times New Roman" w:cs="Times New Roman"/>
        </w:rPr>
        <w:t>§ </w:t>
      </w:r>
      <w:bookmarkEnd w:id="0"/>
      <w:r w:rsidR="001C43E1">
        <w:rPr>
          <w:rFonts w:ascii="Times New Roman" w:hAnsi="Times New Roman" w:cs="Times New Roman"/>
        </w:rPr>
        <w:t>23.23</w:t>
      </w:r>
      <w:r>
        <w:rPr>
          <w:rFonts w:ascii="Times New Roman" w:hAnsi="Times New Roman" w:cs="Times New Roman"/>
        </w:rPr>
        <w:t>(e)</w:t>
      </w:r>
      <w:r w:rsidRPr="0043166C">
        <w:rPr>
          <w:rFonts w:ascii="Times New Roman" w:hAnsi="Times New Roman" w:cs="Times New Roman"/>
        </w:rPr>
        <w:t>.</w:t>
      </w:r>
      <w:r>
        <w:rPr>
          <w:rStyle w:val="FootnoteReference"/>
          <w:rFonts w:ascii="Times New Roman" w:hAnsi="Times New Roman" w:cs="Times New Roman"/>
        </w:rPr>
        <w:footnoteReference w:id="9"/>
      </w:r>
      <w:r w:rsidRPr="0043166C">
        <w:rPr>
          <w:rFonts w:ascii="Times New Roman" w:hAnsi="Times New Roman" w:cs="Times New Roman"/>
        </w:rPr>
        <w:t xml:space="preserve">  </w:t>
      </w:r>
      <w:r>
        <w:rPr>
          <w:rFonts w:ascii="Times New Roman" w:hAnsi="Times New Roman" w:cs="Times New Roman"/>
        </w:rPr>
        <w:t xml:space="preserve">To the extent a </w:t>
      </w:r>
      <w:r w:rsidR="00417E66">
        <w:rPr>
          <w:rFonts w:ascii="Times New Roman" w:hAnsi="Times New Roman" w:cs="Times New Roman"/>
        </w:rPr>
        <w:t xml:space="preserve">SD </w:t>
      </w:r>
      <w:r w:rsidRPr="00730E89" w:rsidR="00730E89">
        <w:rPr>
          <w:rFonts w:ascii="Times New Roman" w:hAnsi="Times New Roman" w:cs="Times New Roman"/>
        </w:rPr>
        <w:t xml:space="preserve">or </w:t>
      </w:r>
      <w:r w:rsidR="00417E66">
        <w:rPr>
          <w:rFonts w:ascii="Times New Roman" w:hAnsi="Times New Roman" w:cs="Times New Roman"/>
        </w:rPr>
        <w:t xml:space="preserve">MSP </w:t>
      </w:r>
      <w:r>
        <w:rPr>
          <w:rFonts w:ascii="Times New Roman" w:hAnsi="Times New Roman" w:cs="Times New Roman"/>
        </w:rPr>
        <w:t>avails itself of one or more of these exceptions,</w:t>
      </w:r>
      <w:r w:rsidR="00417E66">
        <w:rPr>
          <w:rFonts w:ascii="Times New Roman" w:hAnsi="Times New Roman" w:cs="Times New Roman"/>
        </w:rPr>
        <w:t xml:space="preserve"> </w:t>
      </w:r>
      <w:r>
        <w:rPr>
          <w:rFonts w:ascii="Times New Roman" w:hAnsi="Times New Roman" w:cs="Times New Roman"/>
        </w:rPr>
        <w:t>§ 23.23(h)(1)</w:t>
      </w:r>
      <w:r w:rsidR="00CF6F6B">
        <w:rPr>
          <w:rFonts w:ascii="Times New Roman" w:hAnsi="Times New Roman" w:cs="Times New Roman"/>
        </w:rPr>
        <w:t xml:space="preserve"> </w:t>
      </w:r>
      <w:r>
        <w:rPr>
          <w:rFonts w:ascii="Times New Roman" w:hAnsi="Times New Roman" w:cs="Times New Roman"/>
        </w:rPr>
        <w:t>imposes information collection requirements in lieu of such requirements in the EBCS Rules.</w:t>
      </w:r>
      <w:r>
        <w:rPr>
          <w:rStyle w:val="FootnoteReference"/>
          <w:rFonts w:ascii="Times New Roman" w:hAnsi="Times New Roman" w:cs="Times New Roman"/>
        </w:rPr>
        <w:footnoteReference w:id="10"/>
      </w:r>
    </w:p>
    <w:p w:rsidR="00A960C1" w:rsidRPr="003A46F9" w:rsidP="001D6099" w14:paraId="57FF0B47" w14:textId="77777777">
      <w:pPr>
        <w:pStyle w:val="Default"/>
        <w:jc w:val="both"/>
        <w:rPr>
          <w:rFonts w:ascii="Times New Roman" w:hAnsi="Times New Roman" w:cs="Times New Roman"/>
        </w:rPr>
      </w:pPr>
    </w:p>
    <w:p w:rsidR="00A960C1" w:rsidRPr="003A46F9" w:rsidP="001D6099" w14:paraId="6E608B2A" w14:textId="0CD27F9C">
      <w:pPr>
        <w:pStyle w:val="Default"/>
        <w:jc w:val="both"/>
        <w:rPr>
          <w:rFonts w:ascii="Times New Roman" w:hAnsi="Times New Roman" w:cs="Times New Roman"/>
        </w:rPr>
      </w:pPr>
      <w:r w:rsidRPr="003A46F9">
        <w:rPr>
          <w:rFonts w:ascii="Times New Roman" w:hAnsi="Times New Roman" w:cs="Times New Roman"/>
        </w:rPr>
        <w:t>The information collection obligations imposed by the regulation</w:t>
      </w:r>
      <w:r w:rsidRPr="003A46F9" w:rsidR="00AC28F2">
        <w:rPr>
          <w:rFonts w:ascii="Times New Roman" w:hAnsi="Times New Roman" w:cs="Times New Roman"/>
        </w:rPr>
        <w:t>s</w:t>
      </w:r>
      <w:r w:rsidRPr="003A46F9">
        <w:rPr>
          <w:rFonts w:ascii="Times New Roman" w:hAnsi="Times New Roman" w:cs="Times New Roman"/>
        </w:rPr>
        <w:t xml:space="preserve"> are essential to ensuring that </w:t>
      </w:r>
      <w:r w:rsidR="00417E66">
        <w:rPr>
          <w:rFonts w:ascii="Times New Roman" w:hAnsi="Times New Roman" w:cs="Times New Roman"/>
        </w:rPr>
        <w:t>SD</w:t>
      </w:r>
      <w:r w:rsidRPr="003A46F9" w:rsidR="00417E66">
        <w:rPr>
          <w:rFonts w:ascii="Times New Roman" w:hAnsi="Times New Roman" w:cs="Times New Roman"/>
        </w:rPr>
        <w:t xml:space="preserve">s and </w:t>
      </w:r>
      <w:r w:rsidR="00417E66">
        <w:rPr>
          <w:rFonts w:ascii="Times New Roman" w:hAnsi="Times New Roman" w:cs="Times New Roman"/>
        </w:rPr>
        <w:t>MSP</w:t>
      </w:r>
      <w:r w:rsidRPr="003A46F9" w:rsidR="00417E66">
        <w:rPr>
          <w:rFonts w:ascii="Times New Roman" w:hAnsi="Times New Roman" w:cs="Times New Roman"/>
        </w:rPr>
        <w:t>s</w:t>
      </w:r>
      <w:r w:rsidRPr="003A46F9">
        <w:rPr>
          <w:rFonts w:ascii="Times New Roman" w:hAnsi="Times New Roman" w:cs="Times New Roman"/>
        </w:rPr>
        <w:t xml:space="preserve"> develop and maintain procedures and disclosures required by the CEA and Commission regulations. </w:t>
      </w:r>
    </w:p>
    <w:p w:rsidR="00A960C1" w:rsidRPr="003A46F9" w:rsidP="001D6099" w14:paraId="08C7CB70" w14:textId="77777777">
      <w:pPr>
        <w:pStyle w:val="Default"/>
        <w:jc w:val="both"/>
        <w:rPr>
          <w:rFonts w:ascii="Times New Roman" w:hAnsi="Times New Roman" w:cs="Times New Roman"/>
        </w:rPr>
      </w:pPr>
    </w:p>
    <w:p w:rsidR="00A960C1" w:rsidRPr="003A46F9" w:rsidP="001D6099" w14:paraId="73D440DB" w14:textId="77777777">
      <w:pPr>
        <w:tabs>
          <w:tab w:val="left" w:pos="-720"/>
        </w:tabs>
        <w:ind w:left="720" w:hanging="720"/>
        <w:jc w:val="both"/>
        <w:rPr>
          <w:rFonts w:ascii="Times New Roman" w:hAnsi="Times New Roman"/>
          <w:b/>
        </w:rPr>
      </w:pPr>
      <w:r w:rsidRPr="003A46F9">
        <w:rPr>
          <w:rFonts w:ascii="Times New Roman" w:hAnsi="Times New Roman"/>
          <w:b/>
        </w:rPr>
        <w:t>2.</w:t>
      </w:r>
      <w:r w:rsidRPr="003A46F9">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A960C1" w:rsidRPr="003A46F9" w:rsidP="001D6099" w14:paraId="30C9021A" w14:textId="77777777">
      <w:pPr>
        <w:jc w:val="both"/>
        <w:rPr>
          <w:rFonts w:ascii="Times New Roman" w:hAnsi="Times New Roman"/>
        </w:rPr>
      </w:pPr>
    </w:p>
    <w:p w:rsidR="00A960C1" w:rsidRPr="003A46F9" w:rsidP="001D6099" w14:paraId="2A62728B" w14:textId="77777777">
      <w:pPr>
        <w:jc w:val="both"/>
        <w:rPr>
          <w:rFonts w:ascii="Times New Roman" w:hAnsi="Times New Roman"/>
        </w:rPr>
      </w:pPr>
      <w:r w:rsidRPr="003A46F9">
        <w:rPr>
          <w:rFonts w:ascii="Times New Roman" w:hAnsi="Times New Roman"/>
        </w:rPr>
        <w:t xml:space="preserve">The required records </w:t>
      </w:r>
      <w:r w:rsidRPr="003A46F9" w:rsidR="00F33E39">
        <w:rPr>
          <w:rFonts w:ascii="Times New Roman" w:hAnsi="Times New Roman"/>
        </w:rPr>
        <w:t xml:space="preserve">will </w:t>
      </w:r>
      <w:r w:rsidRPr="003A46F9">
        <w:rPr>
          <w:rFonts w:ascii="Times New Roman" w:hAnsi="Times New Roman"/>
        </w:rPr>
        <w:t xml:space="preserve">be used by Commission staff to evaluate the </w:t>
      </w:r>
      <w:r w:rsidRPr="003A46F9" w:rsidR="0084301E">
        <w:rPr>
          <w:rFonts w:ascii="Times New Roman" w:hAnsi="Times New Roman"/>
        </w:rPr>
        <w:t>procedures and disclosures required by the CEA and Commission regulations</w:t>
      </w:r>
      <w:r w:rsidRPr="003A46F9">
        <w:rPr>
          <w:rFonts w:ascii="Times New Roman" w:hAnsi="Times New Roman"/>
        </w:rPr>
        <w:t xml:space="preserve">. </w:t>
      </w:r>
    </w:p>
    <w:p w:rsidR="00A960C1" w:rsidRPr="003A46F9" w:rsidP="001D6099" w14:paraId="1DD102D5" w14:textId="77777777">
      <w:pPr>
        <w:jc w:val="both"/>
        <w:rPr>
          <w:rFonts w:ascii="Times New Roman" w:hAnsi="Times New Roman"/>
        </w:rPr>
      </w:pPr>
    </w:p>
    <w:p w:rsidR="00A960C1" w:rsidRPr="003A46F9" w:rsidP="001D6099" w14:paraId="76667207" w14:textId="77777777">
      <w:pPr>
        <w:keepNext/>
        <w:tabs>
          <w:tab w:val="left" w:pos="-720"/>
        </w:tabs>
        <w:spacing w:after="240"/>
        <w:ind w:left="720" w:hanging="720"/>
        <w:jc w:val="both"/>
        <w:rPr>
          <w:rFonts w:ascii="Times New Roman" w:hAnsi="Times New Roman"/>
          <w:b/>
        </w:rPr>
      </w:pPr>
      <w:r w:rsidRPr="003A46F9">
        <w:rPr>
          <w:rFonts w:ascii="Times New Roman" w:hAnsi="Times New Roman"/>
          <w:b/>
        </w:rPr>
        <w:t>3.</w:t>
      </w:r>
      <w:r w:rsidRPr="003A46F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60C1" w:rsidRPr="003A46F9" w:rsidP="001D6099" w14:paraId="53316FC7" w14:textId="553B344D">
      <w:pPr>
        <w:tabs>
          <w:tab w:val="left" w:pos="-720"/>
          <w:tab w:val="left" w:pos="0"/>
        </w:tabs>
        <w:spacing w:after="240"/>
        <w:jc w:val="both"/>
        <w:rPr>
          <w:rFonts w:ascii="Times New Roman" w:hAnsi="Times New Roman"/>
        </w:rPr>
      </w:pPr>
      <w:r w:rsidRPr="003A46F9">
        <w:rPr>
          <w:rFonts w:ascii="Times New Roman" w:hAnsi="Times New Roman"/>
        </w:rPr>
        <w:t xml:space="preserve">The regulation requires that recordkeeping be performed in accordance with </w:t>
      </w:r>
      <w:r w:rsidR="00353274">
        <w:rPr>
          <w:rFonts w:ascii="Times New Roman" w:hAnsi="Times New Roman"/>
        </w:rPr>
        <w:t>§</w:t>
      </w:r>
      <w:r w:rsidR="007573DC">
        <w:rPr>
          <w:rFonts w:ascii="Times New Roman" w:hAnsi="Times New Roman"/>
        </w:rPr>
        <w:t xml:space="preserve"> </w:t>
      </w:r>
      <w:r w:rsidRPr="003A46F9">
        <w:rPr>
          <w:rFonts w:ascii="Times New Roman" w:hAnsi="Times New Roman"/>
        </w:rPr>
        <w:t>1.31,</w:t>
      </w:r>
      <w:r>
        <w:rPr>
          <w:rStyle w:val="FootnoteReference"/>
          <w:rFonts w:ascii="Times New Roman" w:hAnsi="Times New Roman"/>
        </w:rPr>
        <w:footnoteReference w:id="11"/>
      </w:r>
      <w:r w:rsidRPr="003A46F9">
        <w:rPr>
          <w:rFonts w:ascii="Times New Roman" w:hAnsi="Times New Roman"/>
        </w:rPr>
        <w:t xml:space="preserve"> which permits the use of electronic </w:t>
      </w:r>
      <w:r w:rsidRPr="003A46F9" w:rsidR="00343FC8">
        <w:rPr>
          <w:rFonts w:ascii="Times New Roman" w:hAnsi="Times New Roman"/>
        </w:rPr>
        <w:t>regulatory records</w:t>
      </w:r>
      <w:r w:rsidRPr="003A46F9">
        <w:rPr>
          <w:rFonts w:ascii="Times New Roman" w:hAnsi="Times New Roman"/>
        </w:rPr>
        <w:t>.</w:t>
      </w:r>
    </w:p>
    <w:p w:rsidR="00A960C1" w:rsidRPr="003A46F9" w:rsidP="001D6099" w14:paraId="2A99FB16" w14:textId="77777777">
      <w:pPr>
        <w:tabs>
          <w:tab w:val="left" w:pos="-720"/>
        </w:tabs>
        <w:spacing w:after="240"/>
        <w:ind w:left="720" w:hanging="720"/>
        <w:jc w:val="both"/>
        <w:rPr>
          <w:rFonts w:ascii="Times New Roman" w:hAnsi="Times New Roman"/>
          <w:b/>
        </w:rPr>
      </w:pPr>
      <w:r w:rsidRPr="003A46F9">
        <w:rPr>
          <w:rFonts w:ascii="Times New Roman" w:hAnsi="Times New Roman"/>
          <w:b/>
        </w:rPr>
        <w:t>4.</w:t>
      </w:r>
      <w:r w:rsidRPr="003A46F9">
        <w:rPr>
          <w:rFonts w:ascii="Times New Roman" w:hAnsi="Times New Roman"/>
          <w:b/>
        </w:rPr>
        <w:tab/>
        <w:t>Describe efforts to identify duplication.  Show specifically why any similar information already available cannot be used or modified for use for the purposes described in Item 2 above.</w:t>
      </w:r>
    </w:p>
    <w:p w:rsidR="00A960C1" w:rsidRPr="003A46F9" w:rsidP="001D6099" w14:paraId="70425401" w14:textId="77777777">
      <w:pPr>
        <w:tabs>
          <w:tab w:val="left" w:pos="-720"/>
        </w:tabs>
        <w:spacing w:after="240"/>
        <w:jc w:val="both"/>
        <w:rPr>
          <w:rFonts w:ascii="Times New Roman" w:hAnsi="Times New Roman"/>
        </w:rPr>
      </w:pPr>
      <w:r w:rsidRPr="003A46F9">
        <w:rPr>
          <w:rFonts w:ascii="Times New Roman" w:hAnsi="Times New Roman"/>
        </w:rPr>
        <w:t xml:space="preserve">The required information is not already collected by the Commission for any other purpose, collected by any other agency, or available for public disclosure through any other source. </w:t>
      </w:r>
    </w:p>
    <w:p w:rsidR="00A960C1" w:rsidRPr="003A46F9" w:rsidP="001D6099" w14:paraId="3B9DA279" w14:textId="77777777">
      <w:pPr>
        <w:tabs>
          <w:tab w:val="left" w:pos="-720"/>
        </w:tabs>
        <w:spacing w:after="240"/>
        <w:ind w:left="720" w:hanging="720"/>
        <w:jc w:val="both"/>
        <w:rPr>
          <w:rFonts w:ascii="Times New Roman" w:hAnsi="Times New Roman"/>
          <w:b/>
        </w:rPr>
      </w:pPr>
      <w:r w:rsidRPr="003A46F9">
        <w:rPr>
          <w:rFonts w:ascii="Times New Roman" w:hAnsi="Times New Roman"/>
          <w:b/>
        </w:rPr>
        <w:t>5.</w:t>
      </w:r>
      <w:r w:rsidRPr="003A46F9">
        <w:rPr>
          <w:rFonts w:ascii="Times New Roman" w:hAnsi="Times New Roman"/>
          <w:b/>
        </w:rPr>
        <w:tab/>
        <w:t>If the collection of information involves small business or other small entities (Item 5 of OMB From 83-I), describe the methods used to minimize burden.</w:t>
      </w:r>
    </w:p>
    <w:p w:rsidR="00A960C1" w:rsidRPr="003A46F9" w:rsidP="001D6099" w14:paraId="296EDC64" w14:textId="77777777">
      <w:pPr>
        <w:tabs>
          <w:tab w:val="left" w:pos="-720"/>
        </w:tabs>
        <w:spacing w:after="240"/>
        <w:jc w:val="both"/>
        <w:rPr>
          <w:rFonts w:ascii="Times New Roman" w:hAnsi="Times New Roman"/>
        </w:rPr>
      </w:pPr>
      <w:r w:rsidRPr="003A46F9">
        <w:rPr>
          <w:rFonts w:ascii="Times New Roman" w:hAnsi="Times New Roman"/>
        </w:rPr>
        <w:t xml:space="preserve">The collection of the required information does not involve any small businesses or small entities. </w:t>
      </w:r>
    </w:p>
    <w:p w:rsidR="00A960C1" w:rsidRPr="003A46F9" w:rsidP="001D6099" w14:paraId="1D09B967" w14:textId="77777777">
      <w:pPr>
        <w:tabs>
          <w:tab w:val="left" w:pos="-720"/>
        </w:tabs>
        <w:spacing w:after="240"/>
        <w:ind w:left="720" w:hanging="720"/>
        <w:jc w:val="both"/>
        <w:rPr>
          <w:rFonts w:ascii="Times New Roman" w:hAnsi="Times New Roman"/>
          <w:b/>
        </w:rPr>
      </w:pPr>
      <w:r w:rsidRPr="003A46F9">
        <w:rPr>
          <w:rFonts w:ascii="Times New Roman" w:hAnsi="Times New Roman"/>
          <w:b/>
        </w:rPr>
        <w:t>6.</w:t>
      </w:r>
      <w:r w:rsidRPr="003A46F9">
        <w:rPr>
          <w:rFonts w:ascii="Times New Roman" w:hAnsi="Times New Roman"/>
          <w:b/>
        </w:rPr>
        <w:tab/>
        <w:t>Describe the consequence to the Federal Program or policy activities if the collection were conducted less frequently as well as any technical or legal obstacles to reducing burden.</w:t>
      </w:r>
    </w:p>
    <w:p w:rsidR="00A960C1" w:rsidRPr="003A46F9" w:rsidP="001D6099" w14:paraId="191A6C6D" w14:textId="77777777">
      <w:pPr>
        <w:pStyle w:val="Default"/>
        <w:jc w:val="both"/>
        <w:rPr>
          <w:rFonts w:ascii="Times New Roman" w:hAnsi="Times New Roman" w:cs="Times New Roman"/>
        </w:rPr>
      </w:pPr>
      <w:r w:rsidRPr="003A46F9">
        <w:rPr>
          <w:rFonts w:ascii="Times New Roman" w:hAnsi="Times New Roman" w:cs="Times New Roman"/>
        </w:rPr>
        <w:t>The regulation do</w:t>
      </w:r>
      <w:r w:rsidRPr="003A46F9" w:rsidR="00F33E39">
        <w:rPr>
          <w:rFonts w:ascii="Times New Roman" w:hAnsi="Times New Roman" w:cs="Times New Roman"/>
        </w:rPr>
        <w:t>es</w:t>
      </w:r>
      <w:r w:rsidRPr="003A46F9">
        <w:rPr>
          <w:rFonts w:ascii="Times New Roman" w:hAnsi="Times New Roman" w:cs="Times New Roman"/>
        </w:rPr>
        <w:t xml:space="preserve"> not impose any reporting requirements.  </w:t>
      </w:r>
    </w:p>
    <w:p w:rsidR="00A960C1" w:rsidRPr="003A46F9" w:rsidP="001D6099" w14:paraId="25BE5A6E" w14:textId="77777777">
      <w:pPr>
        <w:pStyle w:val="Default"/>
        <w:jc w:val="both"/>
        <w:rPr>
          <w:rFonts w:ascii="Times New Roman" w:hAnsi="Times New Roman" w:cs="Times New Roman"/>
        </w:rPr>
      </w:pPr>
    </w:p>
    <w:p w:rsidR="00A960C1" w:rsidRPr="003A46F9" w:rsidP="001D6099" w14:paraId="129FF6B8" w14:textId="0BFDA0AE">
      <w:pPr>
        <w:pStyle w:val="Default"/>
        <w:jc w:val="both"/>
        <w:rPr>
          <w:rFonts w:ascii="Times New Roman" w:hAnsi="Times New Roman" w:cs="Times New Roman"/>
        </w:rPr>
      </w:pPr>
      <w:r w:rsidRPr="003A46F9">
        <w:rPr>
          <w:rFonts w:ascii="Times New Roman" w:hAnsi="Times New Roman" w:cs="Times New Roman"/>
        </w:rPr>
        <w:t xml:space="preserve">Failure to maintain the policies, procedures and other records required by the regulation would adversely affect the Commission’s ability to ensure the compliance of </w:t>
      </w:r>
      <w:r w:rsidR="00417E66">
        <w:rPr>
          <w:rFonts w:ascii="Times New Roman" w:hAnsi="Times New Roman" w:cs="Times New Roman"/>
        </w:rPr>
        <w:t>SD</w:t>
      </w:r>
      <w:r w:rsidRPr="003A46F9" w:rsidR="00417E66">
        <w:rPr>
          <w:rFonts w:ascii="Times New Roman" w:hAnsi="Times New Roman" w:cs="Times New Roman"/>
        </w:rPr>
        <w:t xml:space="preserve">s and </w:t>
      </w:r>
      <w:r w:rsidR="00417E66">
        <w:rPr>
          <w:rFonts w:ascii="Times New Roman" w:hAnsi="Times New Roman" w:cs="Times New Roman"/>
        </w:rPr>
        <w:t>MSP</w:t>
      </w:r>
      <w:r w:rsidRPr="003A46F9" w:rsidR="00417E66">
        <w:rPr>
          <w:rFonts w:ascii="Times New Roman" w:hAnsi="Times New Roman" w:cs="Times New Roman"/>
        </w:rPr>
        <w:t xml:space="preserve">s </w:t>
      </w:r>
      <w:r w:rsidRPr="003A46F9">
        <w:rPr>
          <w:rFonts w:ascii="Times New Roman" w:hAnsi="Times New Roman" w:cs="Times New Roman"/>
        </w:rPr>
        <w:t xml:space="preserve">with their </w:t>
      </w:r>
      <w:r w:rsidRPr="003A46F9" w:rsidR="006446B6">
        <w:rPr>
          <w:rFonts w:ascii="Times New Roman" w:hAnsi="Times New Roman" w:cs="Times New Roman"/>
        </w:rPr>
        <w:t>business conduct and conflict of interest</w:t>
      </w:r>
      <w:r w:rsidRPr="003A46F9">
        <w:rPr>
          <w:rFonts w:ascii="Times New Roman" w:hAnsi="Times New Roman" w:cs="Times New Roman"/>
        </w:rPr>
        <w:t xml:space="preserve"> obligations under the CEA and Commission regulations.</w:t>
      </w:r>
    </w:p>
    <w:p w:rsidR="00A960C1" w:rsidRPr="003A46F9" w:rsidP="001D6099" w14:paraId="1DC8B2A2" w14:textId="77777777">
      <w:pPr>
        <w:pStyle w:val="Default"/>
        <w:jc w:val="both"/>
        <w:rPr>
          <w:rFonts w:ascii="Times New Roman" w:hAnsi="Times New Roman" w:cs="Times New Roman"/>
        </w:rPr>
      </w:pPr>
    </w:p>
    <w:p w:rsidR="00A960C1" w:rsidRPr="003A46F9" w:rsidP="001D6099" w14:paraId="3779B6C3" w14:textId="77777777">
      <w:pPr>
        <w:tabs>
          <w:tab w:val="left" w:pos="-720"/>
          <w:tab w:val="left" w:pos="0"/>
        </w:tabs>
        <w:spacing w:after="240"/>
        <w:jc w:val="both"/>
        <w:rPr>
          <w:rFonts w:ascii="Times New Roman" w:hAnsi="Times New Roman"/>
          <w:b/>
        </w:rPr>
      </w:pPr>
      <w:r w:rsidRPr="003A46F9">
        <w:rPr>
          <w:rFonts w:ascii="Times New Roman" w:hAnsi="Times New Roman"/>
          <w:b/>
        </w:rPr>
        <w:t>7.</w:t>
      </w:r>
      <w:r w:rsidRPr="003A46F9">
        <w:rPr>
          <w:rFonts w:ascii="Times New Roman" w:hAnsi="Times New Roman"/>
          <w:b/>
        </w:rPr>
        <w:tab/>
        <w:t>Explain any special circumstances that require the collection to be conducted in a manner:</w:t>
      </w:r>
    </w:p>
    <w:p w:rsidR="00A960C1" w:rsidRPr="003A46F9" w:rsidP="001D6099" w14:paraId="53651C5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report information to the agency more often than quarterly;</w:t>
      </w:r>
    </w:p>
    <w:p w:rsidR="00A960C1" w:rsidRPr="003A46F9" w:rsidP="001D6099" w14:paraId="68FE57EE"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  The regulation do</w:t>
      </w:r>
      <w:r w:rsidRPr="003A46F9" w:rsidR="00F33E39">
        <w:rPr>
          <w:rFonts w:ascii="Times New Roman" w:hAnsi="Times New Roman"/>
        </w:rPr>
        <w:t>es</w:t>
      </w:r>
      <w:r w:rsidRPr="003A46F9">
        <w:rPr>
          <w:rFonts w:ascii="Times New Roman" w:hAnsi="Times New Roman"/>
        </w:rPr>
        <w:t xml:space="preserve"> not impose reporting requirements.</w:t>
      </w:r>
    </w:p>
    <w:p w:rsidR="00A960C1" w:rsidRPr="003A46F9" w:rsidP="001D6099" w14:paraId="0080232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prepare a written response to a collection of information in fewer than 30 days after receipt of it:</w:t>
      </w:r>
    </w:p>
    <w:p w:rsidR="00A960C1" w:rsidRPr="003A46F9" w:rsidP="001D6099" w14:paraId="4ED0380C"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w:t>
      </w:r>
      <w:r w:rsidRPr="003A46F9" w:rsidR="00343FC8">
        <w:rPr>
          <w:rFonts w:ascii="Times New Roman" w:hAnsi="Times New Roman"/>
        </w:rPr>
        <w:t xml:space="preserve">  </w:t>
      </w:r>
    </w:p>
    <w:p w:rsidR="00A960C1" w:rsidRPr="003A46F9" w:rsidP="001D6099" w14:paraId="250311C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submit more that an original and two copies of any document;</w:t>
      </w:r>
    </w:p>
    <w:p w:rsidR="00A960C1" w:rsidRPr="003A46F9" w:rsidP="001D6099" w14:paraId="01CD05EA"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  The regulation do</w:t>
      </w:r>
      <w:r w:rsidRPr="003A46F9" w:rsidR="00111AB7">
        <w:rPr>
          <w:rFonts w:ascii="Times New Roman" w:hAnsi="Times New Roman"/>
        </w:rPr>
        <w:t>es</w:t>
      </w:r>
      <w:r w:rsidRPr="003A46F9">
        <w:rPr>
          <w:rFonts w:ascii="Times New Roman" w:hAnsi="Times New Roman"/>
        </w:rPr>
        <w:t xml:space="preserve"> not impose reporting requirements.</w:t>
      </w:r>
    </w:p>
    <w:p w:rsidR="00A960C1" w:rsidRPr="003A46F9" w:rsidP="001D6099" w14:paraId="31688B9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retain records other than health, medical, government contract, grant-in-aid, or tax records, for more than three years;</w:t>
      </w:r>
    </w:p>
    <w:p w:rsidR="00A960C1" w:rsidRPr="003A46F9" w:rsidP="001D6099" w14:paraId="12C018CC" w14:textId="7906B630">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Commission </w:t>
      </w:r>
      <w:r w:rsidR="004B0647">
        <w:rPr>
          <w:rFonts w:ascii="Times New Roman" w:hAnsi="Times New Roman"/>
        </w:rPr>
        <w:t>R</w:t>
      </w:r>
      <w:r w:rsidRPr="003A46F9" w:rsidR="004B0647">
        <w:rPr>
          <w:rFonts w:ascii="Times New Roman" w:hAnsi="Times New Roman"/>
        </w:rPr>
        <w:t xml:space="preserve">egulation </w:t>
      </w:r>
      <w:r w:rsidRPr="003A46F9">
        <w:rPr>
          <w:rFonts w:ascii="Times New Roman" w:hAnsi="Times New Roman"/>
        </w:rPr>
        <w:t>1.31</w:t>
      </w:r>
      <w:r w:rsidRPr="003A46F9" w:rsidR="00B33E66">
        <w:rPr>
          <w:rFonts w:ascii="Times New Roman" w:hAnsi="Times New Roman"/>
        </w:rPr>
        <w:t>(b)</w:t>
      </w:r>
      <w:r>
        <w:rPr>
          <w:rStyle w:val="FootnoteReference"/>
          <w:rFonts w:ascii="Times New Roman" w:hAnsi="Times New Roman"/>
        </w:rPr>
        <w:footnoteReference w:id="12"/>
      </w:r>
      <w:r w:rsidRPr="003A46F9">
        <w:rPr>
          <w:rFonts w:ascii="Times New Roman" w:hAnsi="Times New Roman"/>
        </w:rPr>
        <w:t xml:space="preserve"> expressly requires that</w:t>
      </w:r>
      <w:r w:rsidRPr="003A46F9" w:rsidR="00553344">
        <w:rPr>
          <w:rFonts w:ascii="Times New Roman" w:hAnsi="Times New Roman"/>
        </w:rPr>
        <w:t xml:space="preserve"> </w:t>
      </w:r>
      <w:r w:rsidRPr="003A46F9" w:rsidR="00B33E66">
        <w:rPr>
          <w:rFonts w:ascii="Times New Roman" w:hAnsi="Times New Roman"/>
        </w:rPr>
        <w:t>books and records required to be kept by the CEA or Commission regulations be retained for certain specified periods.  Other than with respect to oral communications, the shortest of these periods is five years from the date of creation.</w:t>
      </w:r>
    </w:p>
    <w:p w:rsidR="00A960C1" w:rsidRPr="003A46F9" w:rsidP="001D6099" w14:paraId="6E83F4A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in connection with a statistical survey, that is not designed to produce valid and reliable results that can be generalized to the universe of study; </w:t>
      </w:r>
    </w:p>
    <w:p w:rsidR="00A960C1" w:rsidRPr="003A46F9" w:rsidP="001D6099" w14:paraId="574E248D"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The regulation </w:t>
      </w:r>
      <w:r w:rsidRPr="003A46F9" w:rsidR="00111AB7">
        <w:rPr>
          <w:rFonts w:ascii="Times New Roman" w:hAnsi="Times New Roman"/>
        </w:rPr>
        <w:t xml:space="preserve">neither </w:t>
      </w:r>
      <w:r w:rsidRPr="003A46F9">
        <w:rPr>
          <w:rFonts w:ascii="Times New Roman" w:hAnsi="Times New Roman"/>
        </w:rPr>
        <w:t>require</w:t>
      </w:r>
      <w:r w:rsidRPr="003A46F9" w:rsidR="00111AB7">
        <w:rPr>
          <w:rFonts w:ascii="Times New Roman" w:hAnsi="Times New Roman"/>
        </w:rPr>
        <w:t>s</w:t>
      </w:r>
      <w:r w:rsidRPr="003A46F9">
        <w:rPr>
          <w:rFonts w:ascii="Times New Roman" w:hAnsi="Times New Roman"/>
        </w:rPr>
        <w:t xml:space="preserve"> nor involve</w:t>
      </w:r>
      <w:r w:rsidRPr="003A46F9" w:rsidR="00111AB7">
        <w:rPr>
          <w:rFonts w:ascii="Times New Roman" w:hAnsi="Times New Roman"/>
        </w:rPr>
        <w:t>s</w:t>
      </w:r>
      <w:r w:rsidRPr="003A46F9">
        <w:rPr>
          <w:rFonts w:ascii="Times New Roman" w:hAnsi="Times New Roman"/>
        </w:rPr>
        <w:t xml:space="preserve"> any statistical surveys.</w:t>
      </w:r>
    </w:p>
    <w:p w:rsidR="00A960C1" w:rsidRPr="003A46F9" w:rsidP="001D6099" w14:paraId="6BDD2CB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the use of a statistical data classification that has not been reviewed and approved by OMB;</w:t>
      </w:r>
    </w:p>
    <w:p w:rsidR="00A960C1" w:rsidRPr="003A46F9" w:rsidP="001D6099" w14:paraId="1F09F746" w14:textId="630432ED">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w:t>
      </w:r>
      <w:r w:rsidR="00551127">
        <w:rPr>
          <w:rFonts w:ascii="Times New Roman" w:hAnsi="Times New Roman"/>
        </w:rPr>
        <w:t xml:space="preserve"> </w:t>
      </w:r>
      <w:r w:rsidRPr="003A46F9">
        <w:rPr>
          <w:rFonts w:ascii="Times New Roman" w:hAnsi="Times New Roman"/>
        </w:rPr>
        <w:t xml:space="preserve">The regulation </w:t>
      </w:r>
      <w:r w:rsidRPr="003A46F9" w:rsidR="00111AB7">
        <w:rPr>
          <w:rFonts w:ascii="Times New Roman" w:hAnsi="Times New Roman"/>
        </w:rPr>
        <w:t xml:space="preserve">neither </w:t>
      </w:r>
      <w:r w:rsidRPr="003A46F9">
        <w:rPr>
          <w:rFonts w:ascii="Times New Roman" w:hAnsi="Times New Roman"/>
        </w:rPr>
        <w:t>require</w:t>
      </w:r>
      <w:r w:rsidRPr="003A46F9" w:rsidR="00111AB7">
        <w:rPr>
          <w:rFonts w:ascii="Times New Roman" w:hAnsi="Times New Roman"/>
        </w:rPr>
        <w:t>s</w:t>
      </w:r>
      <w:r w:rsidRPr="003A46F9">
        <w:rPr>
          <w:rFonts w:ascii="Times New Roman" w:hAnsi="Times New Roman"/>
        </w:rPr>
        <w:t xml:space="preserve"> nor involve</w:t>
      </w:r>
      <w:r w:rsidRPr="003A46F9" w:rsidR="00111AB7">
        <w:rPr>
          <w:rFonts w:ascii="Times New Roman" w:hAnsi="Times New Roman"/>
        </w:rPr>
        <w:t>s</w:t>
      </w:r>
      <w:r w:rsidRPr="003A46F9">
        <w:rPr>
          <w:rFonts w:ascii="Times New Roman" w:hAnsi="Times New Roman"/>
        </w:rPr>
        <w:t xml:space="preserve"> the use of any statistical data classification.</w:t>
      </w:r>
    </w:p>
    <w:p w:rsidR="00A960C1" w:rsidRPr="003A46F9" w:rsidP="001D6099" w14:paraId="5C5FFD2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960C1" w:rsidRPr="003A46F9" w:rsidP="001D6099" w14:paraId="697F1735"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  The regulation does not require a pledge of confidentiality.</w:t>
      </w:r>
    </w:p>
    <w:p w:rsidR="00A960C1" w:rsidRPr="003A46F9" w:rsidP="001D6099" w14:paraId="4BAA30E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A960C1" w:rsidRPr="003A46F9" w:rsidP="001D6099" w14:paraId="5B2225C4" w14:textId="7D71B58D">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The regulation does not impose reporting requirements.  In any event, the Commission has promulgated regulations to protect the confidentiality of any information collected from respondents.  Such regulations are set forth in 17 CFR </w:t>
      </w:r>
      <w:r w:rsidR="000C1D5B">
        <w:rPr>
          <w:rFonts w:ascii="Times New Roman" w:hAnsi="Times New Roman"/>
        </w:rPr>
        <w:t>p</w:t>
      </w:r>
      <w:r w:rsidRPr="003A46F9">
        <w:rPr>
          <w:rFonts w:ascii="Times New Roman" w:hAnsi="Times New Roman"/>
        </w:rPr>
        <w:t>art</w:t>
      </w:r>
      <w:r w:rsidRPr="003A46F9" w:rsidR="0017237F">
        <w:rPr>
          <w:rFonts w:ascii="Times New Roman" w:hAnsi="Times New Roman"/>
        </w:rPr>
        <w:t>s</w:t>
      </w:r>
      <w:r w:rsidRPr="003A46F9">
        <w:rPr>
          <w:rFonts w:ascii="Times New Roman" w:hAnsi="Times New Roman"/>
        </w:rPr>
        <w:t xml:space="preserve"> 145</w:t>
      </w:r>
      <w:r w:rsidRPr="003A46F9" w:rsidR="0017237F">
        <w:rPr>
          <w:rFonts w:ascii="Times New Roman" w:hAnsi="Times New Roman"/>
        </w:rPr>
        <w:t xml:space="preserve"> and 147</w:t>
      </w:r>
      <w:r w:rsidRPr="003A46F9">
        <w:rPr>
          <w:rFonts w:ascii="Times New Roman" w:hAnsi="Times New Roman"/>
        </w:rPr>
        <w:t xml:space="preserve">.  </w:t>
      </w:r>
    </w:p>
    <w:p w:rsidR="00A960C1" w:rsidRPr="003A46F9" w:rsidP="001D6099" w14:paraId="480FBDF9" w14:textId="77777777">
      <w:pPr>
        <w:tabs>
          <w:tab w:val="left" w:pos="-720"/>
        </w:tabs>
        <w:spacing w:after="240"/>
        <w:ind w:left="720" w:hanging="720"/>
        <w:jc w:val="both"/>
        <w:rPr>
          <w:rFonts w:ascii="Times New Roman" w:hAnsi="Times New Roman"/>
          <w:b/>
        </w:rPr>
      </w:pPr>
      <w:r w:rsidRPr="003A46F9">
        <w:rPr>
          <w:rFonts w:ascii="Times New Roman" w:hAnsi="Times New Roman"/>
          <w:b/>
        </w:rPr>
        <w:t>8.</w:t>
      </w:r>
      <w:r w:rsidRPr="003A46F9">
        <w:rPr>
          <w:rFonts w:ascii="Times New Roman" w:hAnsi="Times New Roman"/>
          <w:b/>
        </w:rPr>
        <w:tab/>
        <w:t xml:space="preserve">If applicable, provide a copy and identify the date and page number of publication in the </w:t>
      </w:r>
      <w:r w:rsidRPr="003A46F9">
        <w:rPr>
          <w:rFonts w:ascii="Times New Roman" w:hAnsi="Times New Roman"/>
          <w:b/>
          <w:i/>
        </w:rPr>
        <w:t>Federal Register</w:t>
      </w:r>
      <w:r w:rsidRPr="003A46F9">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614B1" w:rsidRPr="00532416" w:rsidP="001D6099" w14:paraId="302A0E63" w14:textId="10F0C4AD">
      <w:pPr>
        <w:pStyle w:val="TOC6"/>
        <w:tabs>
          <w:tab w:val="left" w:pos="-720"/>
          <w:tab w:val="left" w:pos="0"/>
          <w:tab w:val="clear" w:pos="9360"/>
        </w:tabs>
        <w:suppressAutoHyphens w:val="0"/>
        <w:spacing w:after="240"/>
        <w:ind w:left="0" w:firstLine="0"/>
        <w:jc w:val="both"/>
        <w:rPr>
          <w:rFonts w:ascii="Times New Roman" w:hAnsi="Times New Roman"/>
        </w:rPr>
      </w:pPr>
      <w:r>
        <w:rPr>
          <w:rFonts w:ascii="Times New Roman" w:hAnsi="Times New Roman"/>
        </w:rPr>
        <w:t>T</w:t>
      </w:r>
      <w:r w:rsidRPr="00C07D6F">
        <w:rPr>
          <w:rFonts w:ascii="Times New Roman" w:hAnsi="Times New Roman"/>
        </w:rPr>
        <w:t xml:space="preserve">he Commission published a </w:t>
      </w:r>
      <w:r w:rsidRPr="00C07D6F">
        <w:rPr>
          <w:rFonts w:ascii="Times New Roman" w:hAnsi="Times New Roman"/>
          <w:i/>
        </w:rPr>
        <w:t>Notice of Intent to Extend Collection 3038-0</w:t>
      </w:r>
      <w:r>
        <w:rPr>
          <w:rFonts w:ascii="Times New Roman" w:hAnsi="Times New Roman"/>
          <w:i/>
        </w:rPr>
        <w:t>079</w:t>
      </w:r>
      <w:r w:rsidRPr="00C07D6F">
        <w:rPr>
          <w:rFonts w:ascii="Times New Roman" w:hAnsi="Times New Roman"/>
          <w:i/>
        </w:rPr>
        <w:t xml:space="preserve">: </w:t>
      </w:r>
      <w:r w:rsidRPr="00613AC5">
        <w:rPr>
          <w:rFonts w:ascii="Times New Roman" w:hAnsi="Times New Roman"/>
          <w:i/>
        </w:rPr>
        <w:t xml:space="preserve">Swap Dealer and Major Swap Participant Conflicts of Interest and Business Conduct Standards </w:t>
      </w:r>
      <w:r>
        <w:rPr>
          <w:rFonts w:ascii="Times New Roman" w:hAnsi="Times New Roman"/>
          <w:i/>
        </w:rPr>
        <w:t>w</w:t>
      </w:r>
      <w:r w:rsidRPr="00613AC5">
        <w:rPr>
          <w:rFonts w:ascii="Times New Roman" w:hAnsi="Times New Roman"/>
          <w:i/>
        </w:rPr>
        <w:t>ith</w:t>
      </w:r>
      <w:r>
        <w:rPr>
          <w:rFonts w:ascii="Times New Roman" w:hAnsi="Times New Roman"/>
          <w:i/>
        </w:rPr>
        <w:t xml:space="preserve"> </w:t>
      </w:r>
      <w:r w:rsidRPr="00613AC5">
        <w:rPr>
          <w:rFonts w:ascii="Times New Roman" w:hAnsi="Times New Roman"/>
          <w:i/>
        </w:rPr>
        <w:t>Counterparties</w:t>
      </w:r>
      <w:r w:rsidRPr="00C07D6F">
        <w:rPr>
          <w:rFonts w:ascii="Times New Roman" w:hAnsi="Times New Roman"/>
        </w:rPr>
        <w:t xml:space="preserve">.  </w:t>
      </w:r>
      <w:r w:rsidRPr="00B64DF8">
        <w:rPr>
          <w:rFonts w:ascii="Times New Roman" w:hAnsi="Times New Roman"/>
          <w:i/>
        </w:rPr>
        <w:t>See</w:t>
      </w:r>
      <w:r w:rsidRPr="00C07D6F">
        <w:rPr>
          <w:rFonts w:ascii="Times New Roman" w:hAnsi="Times New Roman"/>
        </w:rPr>
        <w:t xml:space="preserve"> </w:t>
      </w:r>
      <w:bookmarkStart w:id="1" w:name="_Hlk145434136"/>
      <w:r>
        <w:rPr>
          <w:rFonts w:ascii="Times New Roman" w:hAnsi="Times New Roman"/>
        </w:rPr>
        <w:t xml:space="preserve">88 </w:t>
      </w:r>
      <w:r w:rsidRPr="00C07D6F">
        <w:rPr>
          <w:rFonts w:ascii="Times New Roman" w:hAnsi="Times New Roman"/>
        </w:rPr>
        <w:t xml:space="preserve">FR </w:t>
      </w:r>
      <w:r>
        <w:rPr>
          <w:rFonts w:ascii="Times New Roman" w:hAnsi="Times New Roman"/>
        </w:rPr>
        <w:t>43085</w:t>
      </w:r>
      <w:r w:rsidRPr="00C07D6F">
        <w:rPr>
          <w:rFonts w:ascii="Times New Roman" w:hAnsi="Times New Roman"/>
        </w:rPr>
        <w:t xml:space="preserve"> (</w:t>
      </w:r>
      <w:r>
        <w:rPr>
          <w:rFonts w:ascii="Times New Roman" w:hAnsi="Times New Roman"/>
        </w:rPr>
        <w:t>Jul. 6, 2023</w:t>
      </w:r>
      <w:r w:rsidRPr="00C07D6F">
        <w:rPr>
          <w:rFonts w:ascii="Times New Roman" w:hAnsi="Times New Roman"/>
        </w:rPr>
        <w:t>)</w:t>
      </w:r>
      <w:r w:rsidR="00921A72">
        <w:rPr>
          <w:rFonts w:ascii="Times New Roman" w:hAnsi="Times New Roman"/>
        </w:rPr>
        <w:t xml:space="preserve"> </w:t>
      </w:r>
      <w:bookmarkEnd w:id="1"/>
      <w:r w:rsidR="00921A72">
        <w:rPr>
          <w:rFonts w:ascii="Times New Roman" w:hAnsi="Times New Roman"/>
        </w:rPr>
        <w:t>(“60-Day Notice”)</w:t>
      </w:r>
      <w:r w:rsidRPr="00C07D6F">
        <w:rPr>
          <w:rFonts w:ascii="Times New Roman" w:hAnsi="Times New Roman"/>
        </w:rPr>
        <w:t xml:space="preserve">.  The notice provided a 60-day period during which the public was invited to comment on the information collection and the burdens imposed by it. </w:t>
      </w:r>
      <w:r w:rsidR="003635CC">
        <w:rPr>
          <w:rFonts w:ascii="Times New Roman" w:hAnsi="Times New Roman"/>
        </w:rPr>
        <w:t xml:space="preserve"> </w:t>
      </w:r>
      <w:r>
        <w:rPr>
          <w:rFonts w:ascii="Times New Roman" w:hAnsi="Times New Roman"/>
        </w:rPr>
        <w:t xml:space="preserve">The Commission did not receive any relevant comments on the 60-day Federal Register </w:t>
      </w:r>
      <w:r w:rsidR="00EA2982">
        <w:rPr>
          <w:rFonts w:ascii="Times New Roman" w:hAnsi="Times New Roman"/>
        </w:rPr>
        <w:t>N</w:t>
      </w:r>
      <w:r>
        <w:rPr>
          <w:rFonts w:ascii="Times New Roman" w:hAnsi="Times New Roman"/>
        </w:rPr>
        <w:t xml:space="preserve">otice. </w:t>
      </w:r>
    </w:p>
    <w:p w:rsidR="00A960C1" w:rsidRPr="003A46F9" w:rsidP="001D6099" w14:paraId="250A356E" w14:textId="77777777">
      <w:pPr>
        <w:tabs>
          <w:tab w:val="left" w:pos="-720"/>
        </w:tabs>
        <w:spacing w:after="240"/>
        <w:ind w:left="720"/>
        <w:jc w:val="both"/>
        <w:rPr>
          <w:rFonts w:ascii="Times New Roman" w:hAnsi="Times New Roman"/>
          <w:b/>
        </w:rPr>
      </w:pPr>
      <w:r w:rsidRPr="003A46F9">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B629C" w:rsidRPr="003A46F9" w:rsidP="001D6099" w14:paraId="13B07BC1" w14:textId="3F5E2E7C">
      <w:pPr>
        <w:pStyle w:val="TOC6"/>
        <w:tabs>
          <w:tab w:val="left" w:pos="-720"/>
          <w:tab w:val="left" w:pos="0"/>
          <w:tab w:val="clear" w:pos="9360"/>
        </w:tabs>
        <w:suppressAutoHyphens w:val="0"/>
        <w:spacing w:after="240"/>
        <w:ind w:left="0" w:firstLine="0"/>
        <w:jc w:val="both"/>
        <w:rPr>
          <w:rFonts w:ascii="Times New Roman" w:hAnsi="Times New Roman"/>
          <w:szCs w:val="24"/>
        </w:rPr>
      </w:pPr>
      <w:r w:rsidRPr="003A46F9">
        <w:rPr>
          <w:rFonts w:ascii="Times New Roman" w:hAnsi="Times New Roman"/>
          <w:szCs w:val="24"/>
        </w:rPr>
        <w:t>As set forth above, t</w:t>
      </w:r>
      <w:r w:rsidRPr="003A46F9" w:rsidR="00A960C1">
        <w:rPr>
          <w:rFonts w:ascii="Times New Roman" w:hAnsi="Times New Roman"/>
          <w:szCs w:val="24"/>
        </w:rPr>
        <w:t xml:space="preserve">he Commission affirmatively </w:t>
      </w:r>
      <w:r w:rsidRPr="003A46F9">
        <w:rPr>
          <w:rFonts w:ascii="Times New Roman" w:hAnsi="Times New Roman"/>
          <w:szCs w:val="24"/>
        </w:rPr>
        <w:t xml:space="preserve">sought </w:t>
      </w:r>
      <w:r w:rsidRPr="003A46F9" w:rsidR="00A960C1">
        <w:rPr>
          <w:rFonts w:ascii="Times New Roman" w:hAnsi="Times New Roman"/>
          <w:szCs w:val="24"/>
        </w:rPr>
        <w:t>comment</w:t>
      </w:r>
      <w:r w:rsidRPr="003A46F9" w:rsidR="0061185F">
        <w:rPr>
          <w:rFonts w:ascii="Times New Roman" w:hAnsi="Times New Roman"/>
          <w:szCs w:val="24"/>
        </w:rPr>
        <w:t>s</w:t>
      </w:r>
      <w:r w:rsidRPr="003A46F9" w:rsidR="00A960C1">
        <w:rPr>
          <w:rFonts w:ascii="Times New Roman" w:hAnsi="Times New Roman"/>
          <w:szCs w:val="24"/>
        </w:rPr>
        <w:t xml:space="preserve"> on the information collection requirements</w:t>
      </w:r>
      <w:r w:rsidRPr="003A46F9" w:rsidR="0061185F">
        <w:rPr>
          <w:rFonts w:ascii="Times New Roman" w:hAnsi="Times New Roman"/>
          <w:szCs w:val="24"/>
        </w:rPr>
        <w:t xml:space="preserve"> described herein</w:t>
      </w:r>
      <w:r w:rsidRPr="003A46F9" w:rsidR="00A960C1">
        <w:rPr>
          <w:rFonts w:ascii="Times New Roman" w:hAnsi="Times New Roman"/>
          <w:szCs w:val="24"/>
        </w:rPr>
        <w:t>.</w:t>
      </w:r>
    </w:p>
    <w:p w:rsidR="00A960C1" w:rsidRPr="003A46F9" w:rsidP="001D6099" w14:paraId="748856D4" w14:textId="77777777">
      <w:pPr>
        <w:tabs>
          <w:tab w:val="left" w:pos="-720"/>
        </w:tabs>
        <w:spacing w:after="240"/>
        <w:ind w:left="720"/>
        <w:jc w:val="both"/>
        <w:rPr>
          <w:rFonts w:ascii="Times New Roman" w:hAnsi="Times New Roman"/>
          <w:b/>
        </w:rPr>
      </w:pPr>
      <w:r w:rsidRPr="003A46F9">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60C1" w:rsidRPr="003A46F9" w:rsidP="001D6099" w14:paraId="2D77FA4E" w14:textId="77777777">
      <w:pPr>
        <w:tabs>
          <w:tab w:val="left" w:pos="-720"/>
        </w:tabs>
        <w:spacing w:after="240"/>
        <w:jc w:val="both"/>
        <w:rPr>
          <w:rFonts w:ascii="Times New Roman" w:hAnsi="Times New Roman"/>
        </w:rPr>
      </w:pPr>
      <w:r w:rsidRPr="003A46F9">
        <w:rPr>
          <w:rFonts w:ascii="Times New Roman" w:hAnsi="Times New Roman"/>
        </w:rPr>
        <w:t xml:space="preserve">No such circumstances are anticipated.  </w:t>
      </w:r>
    </w:p>
    <w:p w:rsidR="00A960C1" w:rsidRPr="003A46F9" w:rsidP="001D6099" w14:paraId="6ECA3C67" w14:textId="77777777">
      <w:pPr>
        <w:tabs>
          <w:tab w:val="left" w:pos="-720"/>
        </w:tabs>
        <w:spacing w:after="240"/>
        <w:ind w:left="720" w:hanging="720"/>
        <w:jc w:val="both"/>
        <w:rPr>
          <w:rFonts w:ascii="Times New Roman" w:hAnsi="Times New Roman"/>
          <w:b/>
        </w:rPr>
      </w:pPr>
      <w:r w:rsidRPr="003A46F9">
        <w:rPr>
          <w:rFonts w:ascii="Times New Roman" w:hAnsi="Times New Roman"/>
          <w:b/>
        </w:rPr>
        <w:t>9.</w:t>
      </w:r>
      <w:r w:rsidRPr="003A46F9">
        <w:rPr>
          <w:rFonts w:ascii="Times New Roman" w:hAnsi="Times New Roman"/>
          <w:b/>
        </w:rPr>
        <w:tab/>
        <w:t>Explain any decision to provide any payment or gift to respondents, other than renumeration of contractors or grantees.</w:t>
      </w:r>
    </w:p>
    <w:p w:rsidR="00A960C1" w:rsidRPr="003A46F9" w:rsidP="001D6099" w14:paraId="5F7C32DA"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3AB7C391" w14:textId="77777777">
      <w:pPr>
        <w:tabs>
          <w:tab w:val="left" w:pos="-720"/>
        </w:tabs>
        <w:spacing w:after="240"/>
        <w:ind w:left="720" w:hanging="720"/>
        <w:jc w:val="both"/>
        <w:rPr>
          <w:rFonts w:ascii="Times New Roman" w:hAnsi="Times New Roman"/>
          <w:b/>
        </w:rPr>
      </w:pPr>
      <w:r w:rsidRPr="003A46F9">
        <w:rPr>
          <w:rFonts w:ascii="Times New Roman" w:hAnsi="Times New Roman"/>
          <w:b/>
        </w:rPr>
        <w:t>10.</w:t>
      </w:r>
      <w:r w:rsidRPr="003A46F9">
        <w:rPr>
          <w:rFonts w:ascii="Times New Roman" w:hAnsi="Times New Roman"/>
          <w:b/>
        </w:rPr>
        <w:tab/>
        <w:t>Describe any assurance of confidentiality provided to respondents and the basis for the assurance in statute, regulations, or agency policy.</w:t>
      </w:r>
    </w:p>
    <w:p w:rsidR="00A960C1" w:rsidRPr="003A46F9" w:rsidP="001D6099" w14:paraId="36D65A82" w14:textId="641499B0">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The Commission does not provide respondents with an assurance of confidentiality.  The Commission fully complies with </w:t>
      </w:r>
      <w:r w:rsidR="00DF0006">
        <w:rPr>
          <w:rFonts w:ascii="Times New Roman" w:hAnsi="Times New Roman"/>
        </w:rPr>
        <w:t>s</w:t>
      </w:r>
      <w:r w:rsidRPr="003A46F9" w:rsidR="004B0647">
        <w:rPr>
          <w:rFonts w:ascii="Times New Roman" w:hAnsi="Times New Roman"/>
        </w:rPr>
        <w:t xml:space="preserve">ection </w:t>
      </w:r>
      <w:r w:rsidRPr="003A46F9">
        <w:rPr>
          <w:rFonts w:ascii="Times New Roman" w:hAnsi="Times New Roman"/>
        </w:rPr>
        <w:t xml:space="preserve">8(a)(1) of the </w:t>
      </w:r>
      <w:r w:rsidR="004B0647">
        <w:rPr>
          <w:rFonts w:ascii="Times New Roman" w:hAnsi="Times New Roman"/>
        </w:rPr>
        <w:t>CEA</w:t>
      </w:r>
      <w:r w:rsidRPr="003A46F9">
        <w:rPr>
          <w:rFonts w:ascii="Times New Roman" w:hAnsi="Times New Roman"/>
        </w:rPr>
        <w:t>,</w:t>
      </w:r>
      <w:r>
        <w:rPr>
          <w:rStyle w:val="FootnoteReference"/>
          <w:rFonts w:ascii="Times New Roman" w:hAnsi="Times New Roman"/>
        </w:rPr>
        <w:footnoteReference w:id="13"/>
      </w:r>
      <w:r w:rsidRPr="003A46F9">
        <w:rPr>
          <w:rFonts w:ascii="Times New Roman" w:hAnsi="Times New Roman"/>
        </w:rPr>
        <w:t xml:space="preserve"> which strictly prohibits the Commission, unless specifically authorized by the </w:t>
      </w:r>
      <w:r w:rsidR="004B0647">
        <w:rPr>
          <w:rFonts w:ascii="Times New Roman" w:hAnsi="Times New Roman"/>
        </w:rPr>
        <w:t>CEA</w:t>
      </w:r>
      <w:r w:rsidRPr="003A46F9">
        <w:rPr>
          <w:rFonts w:ascii="Times New Roman" w:hAnsi="Times New Roman"/>
        </w:rPr>
        <w:t xml:space="preserve">,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w:t>
      </w:r>
      <w:r w:rsidR="000C1D5B">
        <w:rPr>
          <w:rFonts w:ascii="Times New Roman" w:hAnsi="Times New Roman"/>
        </w:rPr>
        <w:t>p</w:t>
      </w:r>
      <w:r w:rsidRPr="003A46F9">
        <w:rPr>
          <w:rFonts w:ascii="Times New Roman" w:hAnsi="Times New Roman"/>
        </w:rPr>
        <w:t>arts 145 and 147 of title</w:t>
      </w:r>
      <w:r w:rsidRPr="003A46F9" w:rsidR="001462A0">
        <w:rPr>
          <w:rFonts w:ascii="Times New Roman" w:hAnsi="Times New Roman"/>
        </w:rPr>
        <w:t xml:space="preserve"> </w:t>
      </w:r>
      <w:r w:rsidRPr="003A46F9">
        <w:rPr>
          <w:rFonts w:ascii="Times New Roman" w:hAnsi="Times New Roman"/>
        </w:rPr>
        <w:t>17 of the Code of Federal Regulations.</w:t>
      </w:r>
    </w:p>
    <w:p w:rsidR="00A960C1" w:rsidRPr="003A46F9" w:rsidP="001D6099" w14:paraId="585AF5FB" w14:textId="77777777">
      <w:pPr>
        <w:tabs>
          <w:tab w:val="left" w:pos="-720"/>
        </w:tabs>
        <w:spacing w:after="240"/>
        <w:ind w:left="720" w:hanging="720"/>
        <w:jc w:val="both"/>
        <w:rPr>
          <w:rFonts w:ascii="Times New Roman" w:hAnsi="Times New Roman"/>
          <w:b/>
        </w:rPr>
      </w:pPr>
      <w:r w:rsidRPr="003A46F9">
        <w:rPr>
          <w:rFonts w:ascii="Times New Roman" w:hAnsi="Times New Roman"/>
          <w:b/>
        </w:rPr>
        <w:t>11.</w:t>
      </w:r>
      <w:r w:rsidRPr="003A46F9">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960C1" w:rsidRPr="003A46F9" w:rsidP="001D6099" w14:paraId="349B8656" w14:textId="65D3BAFA">
      <w:pPr>
        <w:tabs>
          <w:tab w:val="left" w:pos="-720"/>
        </w:tabs>
        <w:spacing w:after="240"/>
        <w:jc w:val="both"/>
        <w:rPr>
          <w:rFonts w:ascii="Times New Roman" w:hAnsi="Times New Roman"/>
        </w:rPr>
      </w:pPr>
      <w:r w:rsidRPr="003A46F9">
        <w:rPr>
          <w:rFonts w:ascii="Times New Roman" w:hAnsi="Times New Roman"/>
        </w:rPr>
        <w:t>This question does not apply.  The regulation do</w:t>
      </w:r>
      <w:r w:rsidRPr="003A46F9" w:rsidR="00790A71">
        <w:rPr>
          <w:rFonts w:ascii="Times New Roman" w:hAnsi="Times New Roman"/>
        </w:rPr>
        <w:t>es</w:t>
      </w:r>
      <w:r w:rsidRPr="003A46F9">
        <w:rPr>
          <w:rFonts w:ascii="Times New Roman" w:hAnsi="Times New Roman"/>
        </w:rPr>
        <w:t xml:space="preserve"> not request </w:t>
      </w:r>
      <w:r w:rsidRPr="003A46F9" w:rsidR="00790A71">
        <w:rPr>
          <w:rFonts w:ascii="Times New Roman" w:hAnsi="Times New Roman"/>
        </w:rPr>
        <w:t>n</w:t>
      </w:r>
      <w:r w:rsidRPr="003A46F9">
        <w:rPr>
          <w:rFonts w:ascii="Times New Roman" w:hAnsi="Times New Roman"/>
        </w:rPr>
        <w:t>or require the provision of sensitive information, as that term is used in question 11.</w:t>
      </w:r>
    </w:p>
    <w:p w:rsidR="00A960C1" w:rsidRPr="003A46F9" w:rsidP="001D6099" w14:paraId="4D7D5726" w14:textId="77777777">
      <w:pPr>
        <w:tabs>
          <w:tab w:val="left" w:pos="-720"/>
        </w:tabs>
        <w:spacing w:after="240"/>
        <w:ind w:left="720" w:hanging="720"/>
        <w:jc w:val="both"/>
        <w:rPr>
          <w:rFonts w:ascii="Times New Roman" w:hAnsi="Times New Roman"/>
          <w:b/>
        </w:rPr>
      </w:pPr>
      <w:r w:rsidRPr="003A46F9">
        <w:rPr>
          <w:rFonts w:ascii="Times New Roman" w:hAnsi="Times New Roman"/>
          <w:b/>
        </w:rPr>
        <w:t>12.</w:t>
      </w:r>
      <w:r w:rsidRPr="003A46F9">
        <w:rPr>
          <w:rFonts w:ascii="Times New Roman" w:hAnsi="Times New Roman"/>
          <w:b/>
        </w:rPr>
        <w:tab/>
        <w:t>Provide estimates of the hour burden of the collection of information.  The Statement should:</w:t>
      </w:r>
    </w:p>
    <w:p w:rsidR="00A960C1" w:rsidRPr="003A46F9" w:rsidP="001D6099" w14:paraId="5C8538B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60C1" w:rsidRPr="003A46F9" w:rsidP="001D6099" w14:paraId="7DDD1A7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If the request for approval covers more than one form, provide separate hour burden estimates for each form and aggregate the hour burdens in Item 13 of OMB Form 83-I.</w:t>
      </w:r>
    </w:p>
    <w:p w:rsidR="00A960C1" w:rsidRPr="003A46F9" w:rsidP="001D6099" w14:paraId="264C651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960C1" w:rsidRPr="003A46F9" w:rsidP="001D6099" w14:paraId="5BCE65B0" w14:textId="77777777">
      <w:pPr>
        <w:pStyle w:val="PlainText"/>
        <w:spacing w:line="360" w:lineRule="auto"/>
        <w:jc w:val="both"/>
        <w:rPr>
          <w:rFonts w:ascii="Times New Roman" w:hAnsi="Times New Roman"/>
          <w:color w:val="auto"/>
          <w:sz w:val="24"/>
          <w:szCs w:val="24"/>
        </w:rPr>
      </w:pPr>
      <w:r w:rsidRPr="003A46F9">
        <w:rPr>
          <w:rFonts w:ascii="Times New Roman" w:hAnsi="Times New Roman"/>
          <w:i/>
          <w:color w:val="auto"/>
          <w:sz w:val="24"/>
          <w:szCs w:val="24"/>
        </w:rPr>
        <w:t>See</w:t>
      </w:r>
      <w:r w:rsidRPr="003A46F9">
        <w:rPr>
          <w:rFonts w:ascii="Times New Roman" w:hAnsi="Times New Roman"/>
          <w:color w:val="auto"/>
          <w:sz w:val="24"/>
          <w:szCs w:val="24"/>
        </w:rPr>
        <w:t xml:space="preserve"> Attachment A.  </w:t>
      </w:r>
    </w:p>
    <w:p w:rsidR="002470E0" w:rsidRPr="003A46F9" w:rsidP="001D6099" w14:paraId="181FFE56" w14:textId="77777777">
      <w:pPr>
        <w:widowControl w:val="0"/>
        <w:jc w:val="both"/>
        <w:rPr>
          <w:rFonts w:ascii="Times New Roman" w:hAnsi="Times New Roman"/>
        </w:rPr>
      </w:pPr>
      <w:r w:rsidRPr="003A46F9">
        <w:rPr>
          <w:rFonts w:ascii="Times New Roman" w:hAnsi="Times New Roman"/>
        </w:rPr>
        <w:t xml:space="preserve">The annualized costs per affected registrant and in the aggregate were determined using an average salary of $100.00 per </w:t>
      </w:r>
      <w:r w:rsidRPr="003A46F9" w:rsidR="007B2644">
        <w:rPr>
          <w:rFonts w:ascii="Times New Roman" w:hAnsi="Times New Roman"/>
        </w:rPr>
        <w:t>hour</w:t>
      </w:r>
      <w:r w:rsidRPr="003A46F9">
        <w:rPr>
          <w:rFonts w:ascii="Times New Roman" w:hAnsi="Times New Roman"/>
        </w:rPr>
        <w:t>.  The Commission believe</w:t>
      </w:r>
      <w:r w:rsidRPr="003A46F9" w:rsidR="00370131">
        <w:rPr>
          <w:rFonts w:ascii="Times New Roman" w:hAnsi="Times New Roman"/>
        </w:rPr>
        <w:t>s</w:t>
      </w:r>
      <w:r w:rsidRPr="003A46F9">
        <w:rPr>
          <w:rFonts w:ascii="Times New Roman" w:hAnsi="Times New Roman"/>
        </w:rPr>
        <w:t xml:space="preserve"> that this is an appropriate salary estimate for purposes of this regulation.</w:t>
      </w:r>
      <w:r w:rsidRPr="003A46F9" w:rsidR="00116E7D">
        <w:rPr>
          <w:rFonts w:ascii="Times New Roman" w:hAnsi="Times New Roman"/>
        </w:rPr>
        <w:t xml:space="preserve">  </w:t>
      </w:r>
    </w:p>
    <w:p w:rsidR="002470E0" w:rsidRPr="003A46F9" w:rsidP="001D6099" w14:paraId="1E6CE437" w14:textId="77777777">
      <w:pPr>
        <w:jc w:val="both"/>
        <w:rPr>
          <w:rFonts w:ascii="Times New Roman" w:hAnsi="Times New Roman"/>
        </w:rPr>
      </w:pPr>
    </w:p>
    <w:p w:rsidR="008A3C4F" w:rsidP="001D6099" w14:paraId="527BC395" w14:textId="675EB50E">
      <w:pPr>
        <w:jc w:val="both"/>
        <w:rPr>
          <w:rFonts w:ascii="Times New Roman" w:hAnsi="Times New Roman"/>
        </w:rPr>
      </w:pPr>
      <w:r w:rsidRPr="003A46F9">
        <w:rPr>
          <w:rFonts w:ascii="Times New Roman" w:hAnsi="Times New Roman"/>
        </w:rPr>
        <w:t xml:space="preserve">In support of this determination, the Commission notes that the salary estimate is based upon </w:t>
      </w:r>
      <w:r w:rsidRPr="003A46F9" w:rsidR="00246D83">
        <w:rPr>
          <w:rFonts w:ascii="Times New Roman" w:hAnsi="Times New Roman"/>
        </w:rPr>
        <w:t xml:space="preserve">May </w:t>
      </w:r>
      <w:r w:rsidRPr="003A46F9" w:rsidR="00A17CFC">
        <w:rPr>
          <w:rFonts w:ascii="Times New Roman" w:hAnsi="Times New Roman"/>
        </w:rPr>
        <w:t>20</w:t>
      </w:r>
      <w:r w:rsidR="00A17CFC">
        <w:rPr>
          <w:rFonts w:ascii="Times New Roman" w:hAnsi="Times New Roman"/>
        </w:rPr>
        <w:t>22</w:t>
      </w:r>
      <w:r w:rsidRPr="003A46F9" w:rsidR="00A17CFC">
        <w:rPr>
          <w:rFonts w:ascii="Times New Roman" w:hAnsi="Times New Roman"/>
        </w:rPr>
        <w:t xml:space="preserve"> </w:t>
      </w:r>
      <w:r w:rsidRPr="003A46F9" w:rsidR="00246D83">
        <w:rPr>
          <w:rFonts w:ascii="Times New Roman" w:hAnsi="Times New Roman"/>
        </w:rPr>
        <w:t>National Occupational Employment and Wage Estimates</w:t>
      </w:r>
      <w:r w:rsidRPr="003A46F9">
        <w:rPr>
          <w:rFonts w:ascii="Times New Roman" w:hAnsi="Times New Roman"/>
        </w:rPr>
        <w:t>, United States, including the mean hourly wage of an employee under occupation</w:t>
      </w:r>
      <w:r w:rsidR="007E4E56">
        <w:rPr>
          <w:rFonts w:ascii="Times New Roman" w:hAnsi="Times New Roman"/>
        </w:rPr>
        <w:t xml:space="preserve"> </w:t>
      </w:r>
      <w:r w:rsidRPr="003A46F9">
        <w:rPr>
          <w:rFonts w:ascii="Times New Roman" w:hAnsi="Times New Roman"/>
        </w:rPr>
        <w:t>code 23-1011, “Lawyers,” that is employed by the “Securities, Commodity Contracts, and Other Financial Investments and Related Activ</w:t>
      </w:r>
      <w:r w:rsidRPr="003A46F9" w:rsidR="00246D83">
        <w:rPr>
          <w:rFonts w:ascii="Times New Roman" w:hAnsi="Times New Roman"/>
        </w:rPr>
        <w:t>ities</w:t>
      </w:r>
      <w:r w:rsidR="009C61B7">
        <w:rPr>
          <w:rFonts w:ascii="Times New Roman" w:hAnsi="Times New Roman"/>
        </w:rPr>
        <w:t>”</w:t>
      </w:r>
      <w:r w:rsidRPr="003A46F9" w:rsidR="00246D83">
        <w:rPr>
          <w:rFonts w:ascii="Times New Roman" w:hAnsi="Times New Roman"/>
        </w:rPr>
        <w:t xml:space="preserve"> </w:t>
      </w:r>
      <w:r w:rsidR="009C61B7">
        <w:rPr>
          <w:rFonts w:ascii="Times New Roman" w:hAnsi="Times New Roman"/>
        </w:rPr>
        <w:t>i</w:t>
      </w:r>
      <w:r w:rsidRPr="003A46F9" w:rsidR="009C61B7">
        <w:rPr>
          <w:rFonts w:ascii="Times New Roman" w:hAnsi="Times New Roman"/>
        </w:rPr>
        <w:t>ndustry</w:t>
      </w:r>
      <w:r w:rsidRPr="003A46F9" w:rsidR="00246D83">
        <w:rPr>
          <w:rFonts w:ascii="Times New Roman" w:hAnsi="Times New Roman"/>
        </w:rPr>
        <w:t>, which is $</w:t>
      </w:r>
      <w:r w:rsidRPr="009C61B7" w:rsidR="009C61B7">
        <w:rPr>
          <w:rFonts w:ascii="Times New Roman" w:hAnsi="Times New Roman"/>
        </w:rPr>
        <w:t>119.63</w:t>
      </w:r>
      <w:r w:rsidRPr="003A46F9" w:rsidR="00246D83">
        <w:rPr>
          <w:rFonts w:ascii="Times New Roman" w:hAnsi="Times New Roman"/>
        </w:rPr>
        <w:t xml:space="preserve">; </w:t>
      </w:r>
      <w:r w:rsidRPr="003A46F9">
        <w:rPr>
          <w:rFonts w:ascii="Times New Roman" w:hAnsi="Times New Roman"/>
        </w:rPr>
        <w:t>the mean hourly wage of an employee under occupation code 11-3031, “Financial Managers,” in the same industry, which is $</w:t>
      </w:r>
      <w:r w:rsidR="009C61B7">
        <w:rPr>
          <w:rFonts w:ascii="Times New Roman" w:hAnsi="Times New Roman"/>
        </w:rPr>
        <w:t>117</w:t>
      </w:r>
      <w:r w:rsidRPr="003A46F9" w:rsidR="00246D83">
        <w:rPr>
          <w:rFonts w:ascii="Times New Roman" w:hAnsi="Times New Roman"/>
        </w:rPr>
        <w:t>.</w:t>
      </w:r>
      <w:r w:rsidR="009C61B7">
        <w:rPr>
          <w:rFonts w:ascii="Times New Roman" w:hAnsi="Times New Roman"/>
        </w:rPr>
        <w:t>30</w:t>
      </w:r>
      <w:r w:rsidRPr="003A46F9" w:rsidR="00246D83">
        <w:rPr>
          <w:rFonts w:ascii="Times New Roman" w:hAnsi="Times New Roman"/>
        </w:rPr>
        <w:t xml:space="preserve">; </w:t>
      </w:r>
      <w:r w:rsidRPr="003A46F9">
        <w:rPr>
          <w:rFonts w:ascii="Times New Roman" w:hAnsi="Times New Roman"/>
        </w:rPr>
        <w:t>and the mean hourly wage of an employee under occupation code</w:t>
      </w:r>
      <w:r w:rsidR="009C61B7">
        <w:rPr>
          <w:rFonts w:ascii="Times New Roman" w:hAnsi="Times New Roman"/>
        </w:rPr>
        <w:t xml:space="preserve"> </w:t>
      </w:r>
      <w:r w:rsidRPr="003A46F9">
        <w:rPr>
          <w:rFonts w:ascii="Times New Roman" w:hAnsi="Times New Roman"/>
        </w:rPr>
        <w:t>13-1041, “Compliance Officers” in the same industry, which is $</w:t>
      </w:r>
      <w:r w:rsidRPr="009C61B7" w:rsidR="009C61B7">
        <w:rPr>
          <w:rFonts w:ascii="Times New Roman" w:hAnsi="Times New Roman"/>
        </w:rPr>
        <w:t>44.31</w:t>
      </w:r>
      <w:r w:rsidRPr="003A46F9">
        <w:rPr>
          <w:rFonts w:ascii="Times New Roman" w:hAnsi="Times New Roman"/>
        </w:rPr>
        <w:t>.</w:t>
      </w:r>
    </w:p>
    <w:p w:rsidR="00D54F6B" w:rsidRPr="003A46F9" w:rsidP="001D6099" w14:paraId="710B0E68" w14:textId="77777777">
      <w:pPr>
        <w:jc w:val="both"/>
        <w:rPr>
          <w:rFonts w:ascii="Times New Roman" w:hAnsi="Times New Roman"/>
        </w:rPr>
      </w:pPr>
    </w:p>
    <w:p w:rsidR="002470E0" w:rsidRPr="003A46F9" w:rsidP="001D6099" w14:paraId="50349F78" w14:textId="77777777">
      <w:pPr>
        <w:jc w:val="both"/>
        <w:rPr>
          <w:rFonts w:ascii="Times New Roman" w:hAnsi="Times New Roman"/>
        </w:rPr>
      </w:pPr>
      <w:r w:rsidRPr="003A46F9">
        <w:rPr>
          <w:rFonts w:ascii="Times New Roman" w:hAnsi="Times New Roman"/>
        </w:rPr>
        <w:t>The Commission also notes that</w:t>
      </w:r>
      <w:r w:rsidRPr="003A46F9" w:rsidR="00D34B8D">
        <w:rPr>
          <w:rFonts w:ascii="Times New Roman" w:hAnsi="Times New Roman"/>
        </w:rPr>
        <w:t xml:space="preserve"> </w:t>
      </w:r>
      <w:r w:rsidRPr="003A46F9">
        <w:rPr>
          <w:rFonts w:ascii="Times New Roman" w:hAnsi="Times New Roman"/>
        </w:rPr>
        <w:t>it</w:t>
      </w:r>
      <w:r w:rsidRPr="003A46F9" w:rsidR="00D34B8D">
        <w:rPr>
          <w:rFonts w:ascii="Times New Roman" w:hAnsi="Times New Roman"/>
        </w:rPr>
        <w:t xml:space="preserve"> took the foregoing data and then increased its hourly wage estimate in recognition of the fact that some respondents may be large financial institutions whose employees’ salaries may exceed the mean wage.  </w:t>
      </w:r>
      <w:r w:rsidRPr="003A46F9" w:rsidR="00187B09">
        <w:rPr>
          <w:rFonts w:ascii="Times New Roman" w:hAnsi="Times New Roman"/>
        </w:rPr>
        <w:t>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sidRPr="003A46F9" w:rsidR="0037651E">
        <w:rPr>
          <w:rFonts w:ascii="Times New Roman" w:hAnsi="Times New Roman"/>
        </w:rPr>
        <w:t xml:space="preserve"> </w:t>
      </w:r>
    </w:p>
    <w:p w:rsidR="002470E0" w:rsidRPr="003A46F9" w:rsidP="001D6099" w14:paraId="0DD6A9D2" w14:textId="77777777">
      <w:pPr>
        <w:jc w:val="both"/>
        <w:rPr>
          <w:rFonts w:ascii="Times New Roman" w:hAnsi="Times New Roman"/>
        </w:rPr>
      </w:pPr>
    </w:p>
    <w:p w:rsidR="00A960C1" w:rsidRPr="003A46F9" w:rsidP="001D6099" w14:paraId="7F3D8DFD" w14:textId="483FD095">
      <w:pPr>
        <w:widowControl w:val="0"/>
        <w:jc w:val="both"/>
        <w:rPr>
          <w:rFonts w:ascii="Times New Roman" w:hAnsi="Times New Roman"/>
        </w:rPr>
      </w:pPr>
      <w:r w:rsidRPr="003A46F9">
        <w:rPr>
          <w:rFonts w:ascii="Times New Roman" w:hAnsi="Times New Roman"/>
        </w:rPr>
        <w:t>As detailed in Attachment A, t</w:t>
      </w:r>
      <w:r w:rsidRPr="003A46F9" w:rsidR="002470E0">
        <w:rPr>
          <w:rFonts w:ascii="Times New Roman" w:hAnsi="Times New Roman"/>
        </w:rPr>
        <w:t xml:space="preserve">he Commission estimates the overall burden to be </w:t>
      </w:r>
      <w:r w:rsidRPr="003A46F9" w:rsidR="0037651E">
        <w:rPr>
          <w:rFonts w:ascii="Times New Roman" w:hAnsi="Times New Roman"/>
        </w:rPr>
        <w:t>approximately 2,35</w:t>
      </w:r>
      <w:r w:rsidR="008E6105">
        <w:rPr>
          <w:rFonts w:ascii="Times New Roman" w:hAnsi="Times New Roman"/>
        </w:rPr>
        <w:t>2.9</w:t>
      </w:r>
      <w:r w:rsidRPr="003A46F9" w:rsidR="002470E0">
        <w:rPr>
          <w:rFonts w:ascii="Times New Roman" w:hAnsi="Times New Roman"/>
        </w:rPr>
        <w:t xml:space="preserve"> hours per year per </w:t>
      </w:r>
      <w:r w:rsidR="00417E66">
        <w:rPr>
          <w:rFonts w:ascii="Times New Roman" w:hAnsi="Times New Roman"/>
        </w:rPr>
        <w:t>SD</w:t>
      </w:r>
      <w:r w:rsidRPr="003A46F9" w:rsidR="00417E66">
        <w:rPr>
          <w:rFonts w:ascii="Times New Roman" w:hAnsi="Times New Roman"/>
        </w:rPr>
        <w:t xml:space="preserve">s and </w:t>
      </w:r>
      <w:r w:rsidR="00417E66">
        <w:rPr>
          <w:rFonts w:ascii="Times New Roman" w:hAnsi="Times New Roman"/>
        </w:rPr>
        <w:t>MSP</w:t>
      </w:r>
      <w:r w:rsidRPr="003A46F9" w:rsidR="00417E66">
        <w:rPr>
          <w:rFonts w:ascii="Times New Roman" w:hAnsi="Times New Roman"/>
        </w:rPr>
        <w:t>s</w:t>
      </w:r>
      <w:r w:rsidRPr="003A46F9" w:rsidR="002470E0">
        <w:rPr>
          <w:rFonts w:ascii="Times New Roman" w:hAnsi="Times New Roman"/>
        </w:rPr>
        <w:t>, at an annual cost of</w:t>
      </w:r>
      <w:r w:rsidRPr="003A46F9" w:rsidR="0037651E">
        <w:rPr>
          <w:rFonts w:ascii="Times New Roman" w:hAnsi="Times New Roman"/>
        </w:rPr>
        <w:t xml:space="preserve"> approximately </w:t>
      </w:r>
      <w:r w:rsidRPr="008E6105" w:rsidR="0037651E">
        <w:rPr>
          <w:rFonts w:ascii="Times New Roman" w:hAnsi="Times New Roman"/>
        </w:rPr>
        <w:t>$235,</w:t>
      </w:r>
      <w:r w:rsidR="008E6105">
        <w:rPr>
          <w:rFonts w:ascii="Times New Roman" w:hAnsi="Times New Roman"/>
        </w:rPr>
        <w:t>29</w:t>
      </w:r>
      <w:r w:rsidRPr="008E6105" w:rsidR="0037651E">
        <w:rPr>
          <w:rFonts w:ascii="Times New Roman" w:hAnsi="Times New Roman"/>
        </w:rPr>
        <w:t>0</w:t>
      </w:r>
      <w:r w:rsidRPr="008E6105" w:rsidR="002470E0">
        <w:rPr>
          <w:rFonts w:ascii="Times New Roman" w:hAnsi="Times New Roman"/>
        </w:rPr>
        <w:t xml:space="preserve"> </w:t>
      </w:r>
      <w:r w:rsidRPr="008E6105" w:rsidR="0037651E">
        <w:rPr>
          <w:rFonts w:ascii="Times New Roman" w:hAnsi="Times New Roman"/>
        </w:rPr>
        <w:t>[2,35</w:t>
      </w:r>
      <w:r w:rsidR="008E6105">
        <w:rPr>
          <w:rFonts w:ascii="Times New Roman" w:hAnsi="Times New Roman"/>
        </w:rPr>
        <w:t>2.9</w:t>
      </w:r>
      <w:r w:rsidRPr="008E6105" w:rsidR="002470E0">
        <w:rPr>
          <w:rFonts w:ascii="Times New Roman" w:hAnsi="Times New Roman"/>
        </w:rPr>
        <w:t xml:space="preserve"> </w:t>
      </w:r>
      <w:r w:rsidRPr="008E6105" w:rsidR="00385AF7">
        <w:rPr>
          <w:rFonts w:ascii="Times New Roman" w:hAnsi="Times New Roman"/>
        </w:rPr>
        <w:t xml:space="preserve">hrs. </w:t>
      </w:r>
      <w:r w:rsidRPr="008E6105" w:rsidR="002470E0">
        <w:rPr>
          <w:rFonts w:ascii="Times New Roman" w:hAnsi="Times New Roman"/>
        </w:rPr>
        <w:t xml:space="preserve">× $100 per hour].  The aggregate cost for all </w:t>
      </w:r>
      <w:r w:rsidR="00417E66">
        <w:rPr>
          <w:rFonts w:ascii="Times New Roman" w:hAnsi="Times New Roman"/>
        </w:rPr>
        <w:t>SD</w:t>
      </w:r>
      <w:r w:rsidRPr="003A46F9" w:rsidR="00417E66">
        <w:rPr>
          <w:rFonts w:ascii="Times New Roman" w:hAnsi="Times New Roman"/>
        </w:rPr>
        <w:t xml:space="preserve">s and </w:t>
      </w:r>
      <w:r w:rsidR="00417E66">
        <w:rPr>
          <w:rFonts w:ascii="Times New Roman" w:hAnsi="Times New Roman"/>
        </w:rPr>
        <w:t>MSP</w:t>
      </w:r>
      <w:r w:rsidRPr="003A46F9" w:rsidR="00417E66">
        <w:rPr>
          <w:rFonts w:ascii="Times New Roman" w:hAnsi="Times New Roman"/>
        </w:rPr>
        <w:t xml:space="preserve">s </w:t>
      </w:r>
      <w:r w:rsidRPr="008E6105" w:rsidR="002470E0">
        <w:rPr>
          <w:rFonts w:ascii="Times New Roman" w:hAnsi="Times New Roman"/>
        </w:rPr>
        <w:t xml:space="preserve">is </w:t>
      </w:r>
      <w:r w:rsidRPr="008E6105" w:rsidR="00DA1162">
        <w:rPr>
          <w:rFonts w:ascii="Times New Roman" w:hAnsi="Times New Roman"/>
        </w:rPr>
        <w:t xml:space="preserve">approximately </w:t>
      </w:r>
      <w:r w:rsidRPr="00446A63" w:rsidR="00446A63">
        <w:rPr>
          <w:rFonts w:ascii="Times New Roman" w:hAnsi="Times New Roman"/>
        </w:rPr>
        <w:t>247,059</w:t>
      </w:r>
      <w:r w:rsidRPr="008E6105" w:rsidR="009C61B7">
        <w:rPr>
          <w:rFonts w:ascii="Times New Roman" w:hAnsi="Times New Roman"/>
        </w:rPr>
        <w:t xml:space="preserve"> </w:t>
      </w:r>
      <w:r w:rsidRPr="008E6105" w:rsidR="002470E0">
        <w:rPr>
          <w:rFonts w:ascii="Times New Roman" w:hAnsi="Times New Roman"/>
        </w:rPr>
        <w:t>burden hours and $</w:t>
      </w:r>
      <w:r w:rsidRPr="002E3F4C" w:rsidR="0060167E">
        <w:rPr>
          <w:rFonts w:ascii="Times New Roman" w:hAnsi="Times New Roman"/>
        </w:rPr>
        <w:t>2</w:t>
      </w:r>
      <w:r w:rsidR="0060167E">
        <w:rPr>
          <w:rFonts w:ascii="Times New Roman" w:hAnsi="Times New Roman"/>
        </w:rPr>
        <w:t>4</w:t>
      </w:r>
      <w:r w:rsidRPr="002E3F4C" w:rsidR="008E6105">
        <w:rPr>
          <w:rFonts w:ascii="Times New Roman" w:hAnsi="Times New Roman"/>
        </w:rPr>
        <w:t>,</w:t>
      </w:r>
      <w:r w:rsidR="00446A63">
        <w:rPr>
          <w:rFonts w:ascii="Times New Roman" w:hAnsi="Times New Roman"/>
        </w:rPr>
        <w:t>705</w:t>
      </w:r>
      <w:r w:rsidRPr="002E3F4C" w:rsidR="008E6105">
        <w:rPr>
          <w:rFonts w:ascii="Times New Roman" w:hAnsi="Times New Roman"/>
        </w:rPr>
        <w:t>,</w:t>
      </w:r>
      <w:r w:rsidR="00446A63">
        <w:rPr>
          <w:rFonts w:ascii="Times New Roman" w:hAnsi="Times New Roman"/>
        </w:rPr>
        <w:t>87</w:t>
      </w:r>
      <w:r w:rsidRPr="002E3F4C" w:rsidR="0060167E">
        <w:rPr>
          <w:rFonts w:ascii="Times New Roman" w:hAnsi="Times New Roman"/>
        </w:rPr>
        <w:t>0</w:t>
      </w:r>
      <w:r w:rsidR="0060167E">
        <w:rPr>
          <w:rFonts w:ascii="Times New Roman" w:hAnsi="Times New Roman"/>
        </w:rPr>
        <w:t xml:space="preserve"> </w:t>
      </w:r>
      <w:r w:rsidRPr="008E6105" w:rsidR="002470E0">
        <w:rPr>
          <w:rFonts w:ascii="Times New Roman" w:hAnsi="Times New Roman"/>
        </w:rPr>
        <w:t>[</w:t>
      </w:r>
      <w:r w:rsidRPr="00446A63" w:rsidR="00446A63">
        <w:rPr>
          <w:rFonts w:ascii="Times New Roman" w:hAnsi="Times New Roman"/>
        </w:rPr>
        <w:t>247,059</w:t>
      </w:r>
      <w:r w:rsidR="00446A63">
        <w:rPr>
          <w:rFonts w:ascii="Times New Roman" w:hAnsi="Times New Roman"/>
        </w:rPr>
        <w:t xml:space="preserve"> </w:t>
      </w:r>
      <w:r w:rsidRPr="002E3F4C" w:rsidR="00EF7805">
        <w:rPr>
          <w:rFonts w:ascii="Times New Roman" w:hAnsi="Times New Roman"/>
        </w:rPr>
        <w:t>hrs.</w:t>
      </w:r>
      <w:r w:rsidRPr="008E6105" w:rsidR="00880226">
        <w:rPr>
          <w:rFonts w:ascii="Times New Roman" w:hAnsi="Times New Roman"/>
        </w:rPr>
        <w:t xml:space="preserve"> × </w:t>
      </w:r>
      <w:r w:rsidRPr="008E6105" w:rsidR="002470E0">
        <w:rPr>
          <w:rFonts w:ascii="Times New Roman" w:hAnsi="Times New Roman"/>
        </w:rPr>
        <w:t>$100 per hour].</w:t>
      </w:r>
      <w:r w:rsidRPr="003A46F9" w:rsidR="00F1222D">
        <w:rPr>
          <w:rFonts w:ascii="Times New Roman" w:hAnsi="Times New Roman"/>
        </w:rPr>
        <w:t xml:space="preserve">  </w:t>
      </w:r>
      <w:r w:rsidRPr="003A46F9">
        <w:rPr>
          <w:rFonts w:ascii="Times New Roman" w:hAnsi="Times New Roman"/>
        </w:rPr>
        <w:t>This burden result</w:t>
      </w:r>
      <w:r w:rsidRPr="003A46F9" w:rsidR="00B47072">
        <w:rPr>
          <w:rFonts w:ascii="Times New Roman" w:hAnsi="Times New Roman"/>
        </w:rPr>
        <w:t>s</w:t>
      </w:r>
      <w:r w:rsidRPr="003A46F9">
        <w:rPr>
          <w:rFonts w:ascii="Times New Roman" w:hAnsi="Times New Roman"/>
        </w:rPr>
        <w:t xml:space="preserve"> from the recordkeeping</w:t>
      </w:r>
      <w:r w:rsidRPr="003A46F9" w:rsidR="0075654A">
        <w:rPr>
          <w:rFonts w:ascii="Times New Roman" w:hAnsi="Times New Roman"/>
        </w:rPr>
        <w:t xml:space="preserve">, disclosure and </w:t>
      </w:r>
      <w:r w:rsidRPr="003A46F9" w:rsidR="00DA1162">
        <w:rPr>
          <w:rFonts w:ascii="Times New Roman" w:hAnsi="Times New Roman"/>
        </w:rPr>
        <w:t xml:space="preserve">optional </w:t>
      </w:r>
      <w:r w:rsidRPr="003A46F9" w:rsidR="0075654A">
        <w:rPr>
          <w:rFonts w:ascii="Times New Roman" w:hAnsi="Times New Roman"/>
        </w:rPr>
        <w:t>reporting provisions of the regulations listed in Attachment A.</w:t>
      </w:r>
      <w:r w:rsidRPr="003A46F9">
        <w:rPr>
          <w:rFonts w:ascii="Times New Roman" w:hAnsi="Times New Roman"/>
        </w:rPr>
        <w:t xml:space="preserve"> </w:t>
      </w:r>
      <w:r w:rsidRPr="003A46F9" w:rsidR="0075654A">
        <w:rPr>
          <w:rFonts w:ascii="Times New Roman" w:hAnsi="Times New Roman"/>
        </w:rPr>
        <w:t xml:space="preserve"> </w:t>
      </w:r>
      <w:r w:rsidRPr="003A46F9" w:rsidR="00226AD0">
        <w:rPr>
          <w:rFonts w:ascii="Times New Roman" w:hAnsi="Times New Roman"/>
        </w:rPr>
        <w:t>The burden hours are not anticipated to vary widely among registrants.</w:t>
      </w:r>
      <w:r w:rsidRPr="003A46F9">
        <w:rPr>
          <w:rFonts w:ascii="Times New Roman" w:hAnsi="Times New Roman"/>
        </w:rPr>
        <w:tab/>
      </w:r>
    </w:p>
    <w:p w:rsidR="002470E0" w:rsidRPr="003A46F9" w:rsidP="001D6099" w14:paraId="777D25A8" w14:textId="77777777">
      <w:pPr>
        <w:widowControl w:val="0"/>
        <w:jc w:val="both"/>
        <w:rPr>
          <w:rFonts w:ascii="Times New Roman" w:hAnsi="Times New Roman"/>
        </w:rPr>
      </w:pPr>
      <w:r w:rsidRPr="003A46F9">
        <w:rPr>
          <w:rFonts w:ascii="Times New Roman" w:hAnsi="Times New Roman"/>
        </w:rPr>
        <w:t xml:space="preserve"> </w:t>
      </w:r>
    </w:p>
    <w:p w:rsidR="00A960C1" w:rsidRPr="003A46F9" w:rsidP="001D6099" w14:paraId="171A9CE3" w14:textId="77777777">
      <w:pPr>
        <w:keepNext/>
        <w:tabs>
          <w:tab w:val="left" w:pos="-720"/>
          <w:tab w:val="left" w:pos="0"/>
        </w:tabs>
        <w:spacing w:after="240"/>
        <w:jc w:val="both"/>
        <w:rPr>
          <w:rFonts w:ascii="Times New Roman" w:hAnsi="Times New Roman"/>
          <w:b/>
        </w:rPr>
      </w:pPr>
      <w:r w:rsidRPr="003A46F9">
        <w:rPr>
          <w:rFonts w:ascii="Times New Roman" w:hAnsi="Times New Roman"/>
          <w:b/>
        </w:rPr>
        <w:t>13.</w:t>
      </w:r>
      <w:r w:rsidRPr="003A46F9">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A960C1" w:rsidRPr="003A46F9" w:rsidP="001D6099" w14:paraId="730177D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960C1" w:rsidRPr="003A46F9" w:rsidP="001D6099" w14:paraId="1A6083D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960C1" w:rsidRPr="003A46F9" w:rsidP="001D6099" w14:paraId="03ADF90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960C1" w:rsidRPr="003A46F9" w:rsidP="001D6099" w14:paraId="4436CD3E" w14:textId="60F17258">
      <w:pPr>
        <w:tabs>
          <w:tab w:val="left" w:pos="-720"/>
        </w:tabs>
        <w:spacing w:after="240"/>
        <w:jc w:val="both"/>
        <w:rPr>
          <w:rFonts w:ascii="Times New Roman" w:hAnsi="Times New Roman"/>
        </w:rPr>
      </w:pPr>
      <w:r w:rsidRPr="003A46F9">
        <w:rPr>
          <w:rFonts w:ascii="Times New Roman" w:hAnsi="Times New Roman"/>
        </w:rPr>
        <w:t xml:space="preserve">The information collection required by the regulation </w:t>
      </w:r>
      <w:r w:rsidRPr="003A46F9" w:rsidR="00446001">
        <w:rPr>
          <w:rFonts w:ascii="Times New Roman" w:hAnsi="Times New Roman"/>
        </w:rPr>
        <w:t xml:space="preserve">does </w:t>
      </w:r>
      <w:r w:rsidRPr="003A46F9">
        <w:rPr>
          <w:rFonts w:ascii="Times New Roman" w:hAnsi="Times New Roman"/>
        </w:rPr>
        <w:t>not involve any capital or start-up capital, operations or maintenance costs</w:t>
      </w:r>
      <w:r w:rsidR="0060167E">
        <w:rPr>
          <w:rFonts w:ascii="Times New Roman" w:hAnsi="Times New Roman"/>
        </w:rPr>
        <w:t>,</w:t>
      </w:r>
      <w:r w:rsidRPr="003A46F9">
        <w:rPr>
          <w:rFonts w:ascii="Times New Roman" w:hAnsi="Times New Roman"/>
        </w:rPr>
        <w:t xml:space="preserve"> as the Commission anticipates that </w:t>
      </w:r>
      <w:r w:rsidR="00417E66">
        <w:rPr>
          <w:rFonts w:ascii="Times New Roman" w:hAnsi="Times New Roman"/>
        </w:rPr>
        <w:t>SD</w:t>
      </w:r>
      <w:r w:rsidRPr="003A46F9" w:rsidR="00417E66">
        <w:rPr>
          <w:rFonts w:ascii="Times New Roman" w:hAnsi="Times New Roman"/>
        </w:rPr>
        <w:t xml:space="preserve">s and </w:t>
      </w:r>
      <w:r w:rsidR="00417E66">
        <w:rPr>
          <w:rFonts w:ascii="Times New Roman" w:hAnsi="Times New Roman"/>
        </w:rPr>
        <w:t>MSP</w:t>
      </w:r>
      <w:r w:rsidRPr="003A46F9" w:rsidR="00417E66">
        <w:rPr>
          <w:rFonts w:ascii="Times New Roman" w:hAnsi="Times New Roman"/>
        </w:rPr>
        <w:t>s</w:t>
      </w:r>
      <w:r w:rsidRPr="003A46F9">
        <w:rPr>
          <w:rFonts w:ascii="Times New Roman" w:hAnsi="Times New Roman"/>
        </w:rPr>
        <w:t xml:space="preserve"> already maintain mechanisms to preserve records of their compliance with regulatory requirements as part of their customary or usual business practices.  </w:t>
      </w:r>
    </w:p>
    <w:p w:rsidR="00A960C1" w:rsidRPr="003A46F9" w:rsidP="001D6099" w14:paraId="056CA59C" w14:textId="77777777">
      <w:pPr>
        <w:tabs>
          <w:tab w:val="left" w:pos="-720"/>
        </w:tabs>
        <w:spacing w:after="240"/>
        <w:ind w:left="720" w:hanging="720"/>
        <w:jc w:val="both"/>
        <w:rPr>
          <w:rFonts w:ascii="Times New Roman" w:hAnsi="Times New Roman"/>
          <w:b/>
        </w:rPr>
      </w:pPr>
      <w:r w:rsidRPr="003A46F9">
        <w:rPr>
          <w:rFonts w:ascii="Times New Roman" w:hAnsi="Times New Roman"/>
          <w:b/>
        </w:rPr>
        <w:t>14.</w:t>
      </w:r>
      <w:r w:rsidRPr="003A46F9">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A960C1" w:rsidRPr="003A46F9" w:rsidP="001D6099" w14:paraId="3419FC3B" w14:textId="2FD67B16">
      <w:pPr>
        <w:tabs>
          <w:tab w:val="left" w:pos="-720"/>
        </w:tabs>
        <w:spacing w:after="240"/>
        <w:jc w:val="both"/>
        <w:rPr>
          <w:rFonts w:ascii="Times New Roman" w:hAnsi="Times New Roman"/>
        </w:rPr>
      </w:pPr>
      <w:r w:rsidRPr="003A46F9">
        <w:rPr>
          <w:rFonts w:ascii="Times New Roman" w:hAnsi="Times New Roman"/>
        </w:rPr>
        <w:t xml:space="preserve">The regulation does not impose any regular reporting requirements.  Accordingly, the </w:t>
      </w:r>
      <w:r w:rsidRPr="003A46F9" w:rsidR="00437F0B">
        <w:rPr>
          <w:rFonts w:ascii="Times New Roman" w:hAnsi="Times New Roman"/>
        </w:rPr>
        <w:t xml:space="preserve">regulation </w:t>
      </w:r>
      <w:r w:rsidRPr="003A46F9">
        <w:rPr>
          <w:rFonts w:ascii="Times New Roman" w:hAnsi="Times New Roman"/>
        </w:rPr>
        <w:t xml:space="preserve">would </w:t>
      </w:r>
      <w:r w:rsidRPr="003A46F9" w:rsidR="00446001">
        <w:rPr>
          <w:rFonts w:ascii="Times New Roman" w:hAnsi="Times New Roman"/>
        </w:rPr>
        <w:t xml:space="preserve">not </w:t>
      </w:r>
      <w:r w:rsidRPr="003A46F9">
        <w:rPr>
          <w:rFonts w:ascii="Times New Roman" w:hAnsi="Times New Roman"/>
        </w:rPr>
        <w:t xml:space="preserve">impose any additional costs to the </w:t>
      </w:r>
      <w:r w:rsidR="00880226">
        <w:rPr>
          <w:rFonts w:ascii="Times New Roman" w:hAnsi="Times New Roman"/>
        </w:rPr>
        <w:t>F</w:t>
      </w:r>
      <w:r w:rsidRPr="003A46F9">
        <w:rPr>
          <w:rFonts w:ascii="Times New Roman" w:hAnsi="Times New Roman"/>
        </w:rPr>
        <w:t xml:space="preserve">ederal </w:t>
      </w:r>
      <w:r w:rsidR="00880226">
        <w:rPr>
          <w:rFonts w:ascii="Times New Roman" w:hAnsi="Times New Roman"/>
        </w:rPr>
        <w:t>G</w:t>
      </w:r>
      <w:r w:rsidRPr="003A46F9">
        <w:rPr>
          <w:rFonts w:ascii="Times New Roman" w:hAnsi="Times New Roman"/>
        </w:rPr>
        <w:t>overnment.</w:t>
      </w:r>
    </w:p>
    <w:p w:rsidR="00A960C1" w:rsidRPr="003A46F9" w:rsidP="001D6099" w14:paraId="63EE43DD" w14:textId="77777777">
      <w:pPr>
        <w:tabs>
          <w:tab w:val="left" w:pos="-720"/>
        </w:tabs>
        <w:spacing w:after="240"/>
        <w:ind w:left="720" w:hanging="720"/>
        <w:jc w:val="both"/>
        <w:rPr>
          <w:rFonts w:ascii="Times New Roman" w:hAnsi="Times New Roman"/>
          <w:b/>
        </w:rPr>
      </w:pPr>
      <w:r w:rsidRPr="003A46F9">
        <w:rPr>
          <w:rFonts w:ascii="Times New Roman" w:hAnsi="Times New Roman"/>
          <w:b/>
        </w:rPr>
        <w:t>15.</w:t>
      </w:r>
      <w:r w:rsidRPr="003A46F9">
        <w:rPr>
          <w:rFonts w:ascii="Times New Roman" w:hAnsi="Times New Roman"/>
          <w:b/>
        </w:rPr>
        <w:tab/>
        <w:t>Explain the reasons for any program changes or adjustments reported in Items 13 or 14 of the OMB Form 83-I.</w:t>
      </w:r>
    </w:p>
    <w:p w:rsidR="00EF7805" w:rsidP="001D6099" w14:paraId="277B5F13" w14:textId="006D38D2">
      <w:pPr>
        <w:pStyle w:val="FootnoteText"/>
        <w:jc w:val="both"/>
      </w:pPr>
      <w:r w:rsidRPr="003A46F9">
        <w:t>The Commission is amend</w:t>
      </w:r>
      <w:r w:rsidRPr="003A46F9" w:rsidR="00E6192D">
        <w:t>ing</w:t>
      </w:r>
      <w:r w:rsidRPr="003A46F9">
        <w:t xml:space="preserve"> the information collection under OMB Control No. 3038–0079 </w:t>
      </w:r>
      <w:r w:rsidRPr="003A46F9" w:rsidR="00C008F3">
        <w:t xml:space="preserve">based on the current number of registered </w:t>
      </w:r>
      <w:r w:rsidR="00417E66">
        <w:t>SD</w:t>
      </w:r>
      <w:r w:rsidRPr="003A46F9" w:rsidR="00417E66">
        <w:t>s</w:t>
      </w:r>
      <w:r w:rsidR="00EC7E14">
        <w:t xml:space="preserve">. </w:t>
      </w:r>
      <w:r>
        <w:t xml:space="preserve"> </w:t>
      </w:r>
      <w:r w:rsidR="00EC7E14">
        <w:t xml:space="preserve">Specifically, </w:t>
      </w:r>
      <w:r w:rsidRPr="00EC7E14" w:rsidR="00EC7E14">
        <w:t xml:space="preserve">the change for the renewal is based solely on the </w:t>
      </w:r>
      <w:r w:rsidR="0060167E">
        <w:t>decreased</w:t>
      </w:r>
      <w:r w:rsidRPr="00EC7E14" w:rsidR="0060167E">
        <w:t xml:space="preserve"> </w:t>
      </w:r>
      <w:r w:rsidRPr="00EC7E14" w:rsidR="00EC7E14">
        <w:t xml:space="preserve">number of entities registered as </w:t>
      </w:r>
      <w:r w:rsidR="00880226">
        <w:t>SDs</w:t>
      </w:r>
      <w:r w:rsidRPr="00EC7E14" w:rsidR="00EC7E14">
        <w:t xml:space="preserve"> (</w:t>
      </w:r>
      <w:r w:rsidRPr="00EC7E14" w:rsidR="0060167E">
        <w:t>10</w:t>
      </w:r>
      <w:r w:rsidR="0060167E">
        <w:t>9</w:t>
      </w:r>
      <w:r w:rsidRPr="00EC7E14" w:rsidR="0060167E">
        <w:t xml:space="preserve"> </w:t>
      </w:r>
      <w:r w:rsidR="00AD2F18">
        <w:t>at the last renewal</w:t>
      </w:r>
      <w:r>
        <w:t xml:space="preserve"> and</w:t>
      </w:r>
      <w:r w:rsidR="00FE77A3">
        <w:t xml:space="preserve"> </w:t>
      </w:r>
      <w:r w:rsidRPr="00FE77A3" w:rsidR="0060167E">
        <w:t>10</w:t>
      </w:r>
      <w:r w:rsidR="00D87061">
        <w:t xml:space="preserve">5 </w:t>
      </w:r>
      <w:r w:rsidR="00F85A3F">
        <w:t>currently</w:t>
      </w:r>
      <w:r w:rsidRPr="00EC7E14" w:rsidR="00EC7E14">
        <w:t>)</w:t>
      </w:r>
      <w:r>
        <w:t xml:space="preserve">, since the burden hour per respondent remains the same, at </w:t>
      </w:r>
      <w:r w:rsidRPr="00D779E8">
        <w:rPr>
          <w:bCs/>
        </w:rPr>
        <w:t>approximately</w:t>
      </w:r>
      <w:r>
        <w:rPr>
          <w:b/>
          <w:bCs/>
        </w:rPr>
        <w:t xml:space="preserve"> </w:t>
      </w:r>
      <w:r>
        <w:t>2</w:t>
      </w:r>
      <w:r w:rsidR="008E6105">
        <w:t>,352.9</w:t>
      </w:r>
      <w:r>
        <w:t xml:space="preserve"> hours.</w:t>
      </w:r>
      <w:r w:rsidR="00D87061">
        <w:t xml:space="preserve">  </w:t>
      </w:r>
      <w:r w:rsidRPr="00971D4C" w:rsidR="00484545">
        <w:t xml:space="preserve">The </w:t>
      </w:r>
      <w:r>
        <w:t>total annual burden</w:t>
      </w:r>
      <w:r w:rsidR="001D6099">
        <w:t xml:space="preserve"> </w:t>
      </w:r>
      <w:r>
        <w:t>hour</w:t>
      </w:r>
      <w:r w:rsidR="001D6099">
        <w:t xml:space="preserve"> </w:t>
      </w:r>
      <w:r>
        <w:t>estimate</w:t>
      </w:r>
      <w:r w:rsidR="008E6105">
        <w:t xml:space="preserve"> of </w:t>
      </w:r>
      <w:r w:rsidRPr="00D87061" w:rsidR="00D87061">
        <w:t>247,059</w:t>
      </w:r>
      <w:r w:rsidR="00D87061">
        <w:t xml:space="preserve"> </w:t>
      </w:r>
      <w:r w:rsidR="00185851">
        <w:t xml:space="preserve">updated from an estimate of 256,470 hours in 2020) </w:t>
      </w:r>
      <w:r>
        <w:t xml:space="preserve">reflects this </w:t>
      </w:r>
      <w:r w:rsidR="00931967">
        <w:t>decrease</w:t>
      </w:r>
      <w:r>
        <w:t>.</w:t>
      </w:r>
    </w:p>
    <w:p w:rsidR="00EF7805" w:rsidP="001D6099" w14:paraId="370AD112" w14:textId="77777777">
      <w:pPr>
        <w:pStyle w:val="FootnoteText"/>
        <w:jc w:val="both"/>
      </w:pPr>
    </w:p>
    <w:p w:rsidR="00A960C1" w:rsidRPr="003A46F9" w:rsidP="001D6099" w14:paraId="2C8DBD37" w14:textId="77777777">
      <w:pPr>
        <w:tabs>
          <w:tab w:val="left" w:pos="-720"/>
        </w:tabs>
        <w:spacing w:after="240"/>
        <w:ind w:left="720" w:hanging="720"/>
        <w:jc w:val="both"/>
        <w:rPr>
          <w:rFonts w:ascii="Times New Roman" w:hAnsi="Times New Roman"/>
          <w:b/>
        </w:rPr>
      </w:pPr>
      <w:r w:rsidRPr="003A46F9">
        <w:rPr>
          <w:rFonts w:ascii="Times New Roman" w:hAnsi="Times New Roman"/>
          <w:b/>
        </w:rPr>
        <w:t>16.</w:t>
      </w:r>
      <w:r w:rsidRPr="003A46F9">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960C1" w:rsidRPr="003A46F9" w:rsidP="001D6099" w14:paraId="54A0AFCF"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33858752" w14:textId="77777777">
      <w:pPr>
        <w:tabs>
          <w:tab w:val="left" w:pos="-720"/>
        </w:tabs>
        <w:spacing w:after="240"/>
        <w:ind w:left="720" w:hanging="720"/>
        <w:jc w:val="both"/>
        <w:rPr>
          <w:rFonts w:ascii="Times New Roman" w:hAnsi="Times New Roman"/>
          <w:b/>
        </w:rPr>
      </w:pPr>
      <w:r w:rsidRPr="003A46F9">
        <w:rPr>
          <w:rFonts w:ascii="Times New Roman" w:hAnsi="Times New Roman"/>
          <w:b/>
        </w:rPr>
        <w:t>17.</w:t>
      </w:r>
      <w:r w:rsidRPr="003A46F9">
        <w:rPr>
          <w:rFonts w:ascii="Times New Roman" w:hAnsi="Times New Roman"/>
          <w:b/>
        </w:rPr>
        <w:tab/>
        <w:t>If seeking approval to not display the expiration date for OMB approval of the information collection, explain the reasons that display would be inappropriate.</w:t>
      </w:r>
    </w:p>
    <w:p w:rsidR="00A960C1" w:rsidRPr="003A46F9" w:rsidP="001D6099" w14:paraId="24A51694"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6C5FF1AC" w14:textId="77777777">
      <w:pPr>
        <w:keepNext/>
        <w:tabs>
          <w:tab w:val="left" w:pos="-720"/>
        </w:tabs>
        <w:spacing w:after="240"/>
        <w:ind w:left="720" w:hanging="720"/>
        <w:jc w:val="both"/>
        <w:rPr>
          <w:rFonts w:ascii="Times New Roman" w:hAnsi="Times New Roman"/>
          <w:b/>
        </w:rPr>
      </w:pPr>
      <w:r w:rsidRPr="003A46F9">
        <w:rPr>
          <w:rFonts w:ascii="Times New Roman" w:hAnsi="Times New Roman"/>
          <w:b/>
        </w:rPr>
        <w:t>18.</w:t>
      </w:r>
      <w:r w:rsidRPr="003A46F9">
        <w:rPr>
          <w:rFonts w:ascii="Times New Roman" w:hAnsi="Times New Roman"/>
          <w:b/>
        </w:rPr>
        <w:tab/>
        <w:t>Explain each exception to the certification statement identified in Item 19, "Certification for Paperwork Reduction Act Submissions," of OMB Form 83-I.</w:t>
      </w:r>
    </w:p>
    <w:p w:rsidR="00A960C1" w:rsidRPr="003A46F9" w:rsidP="001D6099" w14:paraId="37C73F62"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34378D" w:rsidRPr="003A46F9" w:rsidP="001D6099" w14:paraId="2175DE0A" w14:textId="77777777">
      <w:pPr>
        <w:pStyle w:val="Title"/>
        <w:spacing w:after="240"/>
        <w:jc w:val="both"/>
        <w:rPr>
          <w:sz w:val="24"/>
          <w:szCs w:val="24"/>
        </w:rPr>
      </w:pPr>
      <w:r w:rsidRPr="003A46F9">
        <w:rPr>
          <w:sz w:val="24"/>
          <w:szCs w:val="24"/>
        </w:rPr>
        <w:br w:type="page"/>
      </w:r>
      <w:r w:rsidRPr="003A46F9">
        <w:rPr>
          <w:sz w:val="24"/>
          <w:szCs w:val="24"/>
        </w:rPr>
        <w:t>Attachment A</w:t>
      </w:r>
    </w:p>
    <w:p w:rsidR="0034378D" w:rsidRPr="003A46F9" w:rsidP="002E2E06" w14:paraId="41D3F5BB" w14:textId="77777777">
      <w:pPr>
        <w:pStyle w:val="Title"/>
        <w:spacing w:after="240"/>
        <w:rPr>
          <w:sz w:val="24"/>
          <w:szCs w:val="24"/>
        </w:rPr>
      </w:pPr>
      <w:r w:rsidRPr="003A46F9">
        <w:rPr>
          <w:sz w:val="24"/>
          <w:szCs w:val="24"/>
        </w:rPr>
        <w:t>Part 23 – Swap Dealer and Major Swap Participant Conflicts of Interest and Business Conduct Standards with Counterparties</w:t>
      </w:r>
    </w:p>
    <w:p w:rsidR="0034378D" w:rsidRPr="003A46F9" w:rsidP="002E2E06" w14:paraId="7B86E770" w14:textId="77777777">
      <w:pPr>
        <w:pStyle w:val="Title"/>
        <w:spacing w:after="240"/>
        <w:rPr>
          <w:sz w:val="24"/>
          <w:szCs w:val="24"/>
        </w:rPr>
      </w:pPr>
      <w:r w:rsidRPr="003A46F9">
        <w:rPr>
          <w:sz w:val="24"/>
          <w:szCs w:val="24"/>
        </w:rPr>
        <w:t>OMB Collection File 3038-0079</w:t>
      </w:r>
    </w:p>
    <w:p w:rsidR="0034378D" w:rsidRPr="003A46F9" w:rsidP="0034378D" w14:paraId="0169B218" w14:textId="77777777">
      <w:pPr>
        <w:pStyle w:val="Title"/>
        <w:spacing w:after="240"/>
        <w:rPr>
          <w:sz w:val="24"/>
          <w:szCs w:val="24"/>
        </w:rPr>
      </w:pPr>
      <w:r w:rsidRPr="003A46F9">
        <w:rPr>
          <w:sz w:val="24"/>
          <w:szCs w:val="24"/>
        </w:rPr>
        <w:t>Annual Estimated Burdens</w:t>
      </w:r>
    </w:p>
    <w:tbl>
      <w:tblPr>
        <w:tblpPr w:leftFromText="180" w:rightFromText="180" w:vertAnchor="text" w:tblpXSpec="center" w:tblpY="1"/>
        <w:tblOverlap w:val="neve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390"/>
        <w:gridCol w:w="1296"/>
        <w:gridCol w:w="1270"/>
        <w:gridCol w:w="1310"/>
        <w:gridCol w:w="1310"/>
        <w:gridCol w:w="1296"/>
      </w:tblGrid>
      <w:tr w14:paraId="3CF2916A" w14:textId="77777777" w:rsidTr="00293241">
        <w:tblPrEx>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40"/>
        </w:trPr>
        <w:tc>
          <w:tcPr>
            <w:tcW w:w="1114" w:type="pct"/>
            <w:shd w:val="clear" w:color="auto" w:fill="auto"/>
            <w:hideMark/>
          </w:tcPr>
          <w:p w:rsidR="00553344" w:rsidRPr="003A46F9" w:rsidP="00880226" w14:paraId="4FBBBB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bookmarkStart w:id="2" w:name="_Hlk136943411"/>
            <w:r w:rsidRPr="003A46F9">
              <w:rPr>
                <w:rFonts w:ascii="Times New Roman" w:hAnsi="Times New Roman"/>
                <w:b/>
                <w:bCs/>
              </w:rPr>
              <w:t>Re</w:t>
            </w:r>
            <w:r w:rsidRPr="003A46F9" w:rsidR="00C1478A">
              <w:rPr>
                <w:rFonts w:ascii="Times New Roman" w:hAnsi="Times New Roman"/>
                <w:b/>
                <w:bCs/>
              </w:rPr>
              <w:t>gulation</w:t>
            </w:r>
          </w:p>
        </w:tc>
        <w:tc>
          <w:tcPr>
            <w:tcW w:w="686" w:type="pct"/>
            <w:shd w:val="clear" w:color="auto" w:fill="auto"/>
            <w:hideMark/>
          </w:tcPr>
          <w:p w:rsidR="00553344" w:rsidRPr="003A46F9" w:rsidP="00880226" w14:paraId="700834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 of Registrants Per Year</w:t>
            </w:r>
          </w:p>
        </w:tc>
        <w:tc>
          <w:tcPr>
            <w:tcW w:w="640" w:type="pct"/>
            <w:shd w:val="clear" w:color="auto" w:fill="auto"/>
            <w:hideMark/>
          </w:tcPr>
          <w:p w:rsidR="00553344" w:rsidRPr="003A46F9" w:rsidP="00880226" w14:paraId="05D19C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 of Annual Responses Per Registrant</w:t>
            </w:r>
          </w:p>
        </w:tc>
        <w:tc>
          <w:tcPr>
            <w:tcW w:w="627" w:type="pct"/>
            <w:shd w:val="clear" w:color="auto" w:fill="auto"/>
            <w:hideMark/>
          </w:tcPr>
          <w:p w:rsidR="00553344" w:rsidRPr="003A46F9" w:rsidP="00880226" w14:paraId="557C7A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Total #Annual Responses</w:t>
            </w:r>
          </w:p>
        </w:tc>
        <w:tc>
          <w:tcPr>
            <w:tcW w:w="647" w:type="pct"/>
            <w:shd w:val="clear" w:color="auto" w:fill="auto"/>
            <w:hideMark/>
          </w:tcPr>
          <w:p w:rsidR="00553344" w:rsidRPr="003A46F9" w:rsidP="00880226" w14:paraId="236B7F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Average # of Hours Per Response</w:t>
            </w:r>
            <w:r w:rsidRPr="003A46F9">
              <w:rPr>
                <w:rFonts w:ascii="Times New Roman" w:hAnsi="Times New Roman"/>
                <w:b/>
                <w:bCs/>
              </w:rPr>
              <w:br/>
              <w:t>(Rounded)</w:t>
            </w:r>
          </w:p>
        </w:tc>
        <w:tc>
          <w:tcPr>
            <w:tcW w:w="647" w:type="pct"/>
            <w:shd w:val="clear" w:color="auto" w:fill="auto"/>
            <w:hideMark/>
          </w:tcPr>
          <w:p w:rsidR="00553344" w:rsidRPr="003A46F9" w:rsidP="00880226" w14:paraId="6E0E35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Total # of Hours of Annual Burden in Fiscal Year</w:t>
            </w:r>
            <w:r w:rsidRPr="003A46F9">
              <w:rPr>
                <w:rFonts w:ascii="Times New Roman" w:hAnsi="Times New Roman"/>
                <w:b/>
                <w:bCs/>
              </w:rPr>
              <w:br/>
              <w:t>(Rounded)</w:t>
            </w:r>
          </w:p>
        </w:tc>
        <w:tc>
          <w:tcPr>
            <w:tcW w:w="640" w:type="pct"/>
            <w:shd w:val="clear" w:color="auto" w:fill="auto"/>
            <w:hideMark/>
          </w:tcPr>
          <w:p w:rsidR="00553344" w:rsidRPr="003A46F9" w:rsidP="00880226" w14:paraId="3227D3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Annual Cost Per Registrant</w:t>
            </w:r>
            <w:r w:rsidRPr="003A46F9">
              <w:rPr>
                <w:rFonts w:ascii="Times New Roman" w:hAnsi="Times New Roman"/>
                <w:b/>
                <w:bCs/>
              </w:rPr>
              <w:br/>
              <w:t>($100/</w:t>
            </w:r>
            <w:r w:rsidRPr="003A46F9">
              <w:rPr>
                <w:rFonts w:ascii="Times New Roman" w:hAnsi="Times New Roman"/>
                <w:b/>
                <w:bCs/>
              </w:rPr>
              <w:t>hr</w:t>
            </w:r>
            <w:r w:rsidRPr="003A46F9">
              <w:rPr>
                <w:rFonts w:ascii="Times New Roman" w:hAnsi="Times New Roman"/>
                <w:b/>
                <w:bCs/>
              </w:rPr>
              <w:t>)</w:t>
            </w:r>
          </w:p>
        </w:tc>
      </w:tr>
      <w:tr w14:paraId="3CA8EE1C" w14:textId="77777777" w:rsidTr="00293241">
        <w:tblPrEx>
          <w:tblW w:w="5416" w:type="pct"/>
          <w:tblLook w:val="04A0"/>
        </w:tblPrEx>
        <w:trPr>
          <w:trHeight w:val="473"/>
        </w:trPr>
        <w:tc>
          <w:tcPr>
            <w:tcW w:w="1114" w:type="pct"/>
            <w:shd w:val="clear" w:color="auto" w:fill="auto"/>
            <w:vAlign w:val="bottom"/>
            <w:hideMark/>
          </w:tcPr>
          <w:p w:rsidR="008E6105" w:rsidRPr="008E6105" w:rsidP="00880226" w14:paraId="40C1593D" w14:textId="126E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23.605 Recordkeeping</w:t>
            </w:r>
          </w:p>
        </w:tc>
        <w:tc>
          <w:tcPr>
            <w:tcW w:w="686" w:type="pct"/>
            <w:shd w:val="clear" w:color="auto" w:fill="auto"/>
            <w:noWrap/>
            <w:vAlign w:val="bottom"/>
            <w:hideMark/>
          </w:tcPr>
          <w:p w:rsidR="00880226" w:rsidP="00880226" w14:paraId="5967CA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olor w:val="000000"/>
              </w:rPr>
            </w:pPr>
          </w:p>
          <w:p w:rsidR="008E6105" w:rsidRPr="008E6105" w:rsidP="00880226" w14:paraId="548948CF" w14:textId="63F8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CF2F88">
              <w:rPr>
                <w:rFonts w:ascii="Times New Roman" w:hAnsi="Times New Roman"/>
                <w:color w:val="000000"/>
              </w:rPr>
              <w:t>105</w:t>
            </w:r>
            <w:r>
              <w:rPr>
                <w:rStyle w:val="FootnoteReference"/>
                <w:rFonts w:ascii="Times New Roman" w:hAnsi="Times New Roman"/>
                <w:color w:val="000000"/>
              </w:rPr>
              <w:footnoteReference w:id="14"/>
            </w:r>
          </w:p>
        </w:tc>
        <w:tc>
          <w:tcPr>
            <w:tcW w:w="640" w:type="pct"/>
            <w:shd w:val="clear" w:color="auto" w:fill="auto"/>
            <w:noWrap/>
            <w:vAlign w:val="bottom"/>
            <w:hideMark/>
          </w:tcPr>
          <w:p w:rsidR="008E6105" w:rsidRPr="008E6105" w:rsidP="00880226" w14:paraId="31BB0A43" w14:textId="5158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21</w:t>
            </w:r>
          </w:p>
        </w:tc>
        <w:tc>
          <w:tcPr>
            <w:tcW w:w="627" w:type="pct"/>
            <w:shd w:val="clear" w:color="auto" w:fill="auto"/>
            <w:noWrap/>
            <w:vAlign w:val="bottom"/>
          </w:tcPr>
          <w:p w:rsidR="008E6105" w:rsidRPr="008E6105" w:rsidP="00880226" w14:paraId="6F8576BE" w14:textId="4D47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w:t>
            </w:r>
            <w:r w:rsidRPr="008E6105" w:rsidR="0024740A">
              <w:rPr>
                <w:rFonts w:ascii="Times New Roman" w:hAnsi="Times New Roman"/>
                <w:color w:val="000000"/>
              </w:rPr>
              <w:t>2</w:t>
            </w:r>
            <w:r w:rsidR="00CF2F88">
              <w:rPr>
                <w:rFonts w:ascii="Times New Roman" w:hAnsi="Times New Roman"/>
                <w:color w:val="000000"/>
              </w:rPr>
              <w:t>05</w:t>
            </w:r>
          </w:p>
        </w:tc>
        <w:tc>
          <w:tcPr>
            <w:tcW w:w="647" w:type="pct"/>
            <w:shd w:val="clear" w:color="auto" w:fill="auto"/>
            <w:noWrap/>
            <w:vAlign w:val="bottom"/>
            <w:hideMark/>
          </w:tcPr>
          <w:p w:rsidR="008E6105" w:rsidRPr="008E6105" w:rsidP="00880226" w14:paraId="6E293F05" w14:textId="53F2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0.6</w:t>
            </w:r>
          </w:p>
        </w:tc>
        <w:tc>
          <w:tcPr>
            <w:tcW w:w="647" w:type="pct"/>
            <w:shd w:val="clear" w:color="auto" w:fill="auto"/>
            <w:noWrap/>
            <w:vAlign w:val="bottom"/>
          </w:tcPr>
          <w:p w:rsidR="008E6105" w:rsidRPr="008E6105" w:rsidP="00880226" w14:paraId="3F63A784" w14:textId="2EA9E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w:t>
            </w:r>
            <w:r w:rsidR="0024740A">
              <w:rPr>
                <w:rFonts w:ascii="Times New Roman" w:hAnsi="Times New Roman"/>
                <w:color w:val="000000"/>
              </w:rPr>
              <w:t>2</w:t>
            </w:r>
            <w:r w:rsidR="00CF2F88">
              <w:rPr>
                <w:rFonts w:ascii="Times New Roman" w:hAnsi="Times New Roman"/>
                <w:color w:val="000000"/>
              </w:rPr>
              <w:t>60</w:t>
            </w:r>
          </w:p>
        </w:tc>
        <w:tc>
          <w:tcPr>
            <w:tcW w:w="640" w:type="pct"/>
            <w:shd w:val="clear" w:color="auto" w:fill="auto"/>
            <w:noWrap/>
            <w:vAlign w:val="bottom"/>
          </w:tcPr>
          <w:p w:rsidR="008E6105" w:rsidRPr="008E6105" w:rsidP="00880226" w14:paraId="6D1E40CD" w14:textId="59A6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$1,200</w:t>
            </w:r>
          </w:p>
        </w:tc>
      </w:tr>
      <w:tr w14:paraId="221B8FBC"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37C388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23.605 Disclosure</w:t>
            </w:r>
          </w:p>
        </w:tc>
        <w:tc>
          <w:tcPr>
            <w:tcW w:w="686" w:type="pct"/>
            <w:shd w:val="clear" w:color="auto" w:fill="auto"/>
            <w:noWrap/>
            <w:vAlign w:val="bottom"/>
            <w:hideMark/>
          </w:tcPr>
          <w:p w:rsidR="008E6105" w:rsidRPr="008E6105" w:rsidP="00880226" w14:paraId="6362331F" w14:textId="383AA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49501264" w14:textId="5D39A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65</w:t>
            </w:r>
          </w:p>
        </w:tc>
        <w:tc>
          <w:tcPr>
            <w:tcW w:w="627" w:type="pct"/>
            <w:shd w:val="clear" w:color="auto" w:fill="auto"/>
            <w:noWrap/>
            <w:vAlign w:val="bottom"/>
          </w:tcPr>
          <w:p w:rsidR="008E6105" w:rsidRPr="008E6105" w:rsidP="00880226" w14:paraId="1FDE4FE9" w14:textId="46F8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Pr>
                <w:rFonts w:ascii="Times New Roman" w:hAnsi="Times New Roman"/>
                <w:color w:val="000000"/>
              </w:rPr>
              <w:t>6,8</w:t>
            </w:r>
            <w:r w:rsidR="00CF2F88">
              <w:rPr>
                <w:rFonts w:ascii="Times New Roman" w:hAnsi="Times New Roman"/>
                <w:color w:val="000000"/>
              </w:rPr>
              <w:t>25</w:t>
            </w:r>
          </w:p>
        </w:tc>
        <w:tc>
          <w:tcPr>
            <w:tcW w:w="647" w:type="pct"/>
            <w:shd w:val="clear" w:color="auto" w:fill="auto"/>
            <w:noWrap/>
            <w:vAlign w:val="bottom"/>
            <w:hideMark/>
          </w:tcPr>
          <w:p w:rsidR="008E6105" w:rsidRPr="008E6105" w:rsidP="00880226" w14:paraId="2EAC5F5C" w14:textId="5AB7F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0.5</w:t>
            </w:r>
          </w:p>
        </w:tc>
        <w:tc>
          <w:tcPr>
            <w:tcW w:w="647" w:type="pct"/>
            <w:shd w:val="clear" w:color="auto" w:fill="auto"/>
            <w:noWrap/>
            <w:vAlign w:val="bottom"/>
          </w:tcPr>
          <w:p w:rsidR="008E6105" w:rsidRPr="008E6105" w:rsidP="00880226" w14:paraId="25D30B5D" w14:textId="750E4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3,</w:t>
            </w:r>
            <w:r w:rsidR="0024740A">
              <w:rPr>
                <w:rFonts w:ascii="Times New Roman" w:hAnsi="Times New Roman"/>
                <w:color w:val="000000"/>
              </w:rPr>
              <w:t>4</w:t>
            </w:r>
            <w:r w:rsidR="00CF2F88">
              <w:rPr>
                <w:rFonts w:ascii="Times New Roman" w:hAnsi="Times New Roman"/>
                <w:color w:val="000000"/>
              </w:rPr>
              <w:t>13</w:t>
            </w:r>
          </w:p>
        </w:tc>
        <w:tc>
          <w:tcPr>
            <w:tcW w:w="640" w:type="pct"/>
            <w:shd w:val="clear" w:color="auto" w:fill="auto"/>
            <w:noWrap/>
            <w:vAlign w:val="bottom"/>
          </w:tcPr>
          <w:p w:rsidR="008E6105" w:rsidRPr="008E6105" w:rsidP="00880226" w14:paraId="2C67B871" w14:textId="275FD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$3,250</w:t>
            </w:r>
          </w:p>
        </w:tc>
      </w:tr>
      <w:tr w14:paraId="7155C41C" w14:textId="77777777" w:rsidTr="00293241">
        <w:tblPrEx>
          <w:tblW w:w="5416" w:type="pct"/>
          <w:tblLook w:val="04A0"/>
        </w:tblPrEx>
        <w:trPr>
          <w:trHeight w:val="368"/>
        </w:trPr>
        <w:tc>
          <w:tcPr>
            <w:tcW w:w="1114" w:type="pct"/>
            <w:shd w:val="clear" w:color="auto" w:fill="auto"/>
            <w:vAlign w:val="bottom"/>
            <w:hideMark/>
          </w:tcPr>
          <w:p w:rsidR="008E6105" w:rsidRPr="008E6105" w:rsidP="00880226" w14:paraId="1665DA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23.402 Recordkeeping</w:t>
            </w:r>
            <w:r>
              <w:rPr>
                <w:rStyle w:val="FootnoteReference"/>
                <w:rFonts w:ascii="Times New Roman" w:hAnsi="Times New Roman"/>
                <w:bCs/>
              </w:rPr>
              <w:footnoteReference w:id="15"/>
            </w:r>
            <w:r w:rsidRPr="008E6105">
              <w:rPr>
                <w:rFonts w:ascii="Times New Roman" w:hAnsi="Times New Roman"/>
                <w:bCs/>
              </w:rPr>
              <w:t>,</w:t>
            </w:r>
            <w:r>
              <w:rPr>
                <w:rStyle w:val="FootnoteReference"/>
                <w:rFonts w:ascii="Times New Roman" w:hAnsi="Times New Roman"/>
                <w:bCs/>
              </w:rPr>
              <w:footnoteReference w:id="16"/>
            </w:r>
          </w:p>
        </w:tc>
        <w:tc>
          <w:tcPr>
            <w:tcW w:w="686" w:type="pct"/>
            <w:shd w:val="clear" w:color="auto" w:fill="auto"/>
            <w:noWrap/>
            <w:vAlign w:val="bottom"/>
            <w:hideMark/>
          </w:tcPr>
          <w:p w:rsidR="008E6105" w:rsidRPr="008E6105" w:rsidP="00880226" w14:paraId="5C6D7AED" w14:textId="3228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6F11C19E" w14:textId="0B22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252</w:t>
            </w:r>
          </w:p>
        </w:tc>
        <w:tc>
          <w:tcPr>
            <w:tcW w:w="627" w:type="pct"/>
            <w:shd w:val="clear" w:color="auto" w:fill="auto"/>
            <w:noWrap/>
            <w:vAlign w:val="bottom"/>
          </w:tcPr>
          <w:p w:rsidR="008E6105" w:rsidRPr="008E6105" w:rsidP="00880226" w14:paraId="173DBD57" w14:textId="406ED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w:t>
            </w:r>
            <w:r>
              <w:rPr>
                <w:rFonts w:ascii="Times New Roman" w:hAnsi="Times New Roman"/>
                <w:color w:val="000000"/>
              </w:rPr>
              <w:t>6</w:t>
            </w:r>
            <w:r w:rsidRPr="008E6105">
              <w:rPr>
                <w:rFonts w:ascii="Times New Roman" w:hAnsi="Times New Roman"/>
                <w:color w:val="000000"/>
              </w:rPr>
              <w:t>,</w:t>
            </w:r>
            <w:r w:rsidR="00CF2F88">
              <w:rPr>
                <w:rFonts w:ascii="Times New Roman" w:hAnsi="Times New Roman"/>
                <w:color w:val="000000"/>
              </w:rPr>
              <w:t>460</w:t>
            </w:r>
          </w:p>
        </w:tc>
        <w:tc>
          <w:tcPr>
            <w:tcW w:w="647" w:type="pct"/>
            <w:shd w:val="clear" w:color="auto" w:fill="auto"/>
            <w:noWrap/>
            <w:vAlign w:val="bottom"/>
            <w:hideMark/>
          </w:tcPr>
          <w:p w:rsidR="008E6105" w:rsidRPr="008E6105" w:rsidP="00880226" w14:paraId="36957E82" w14:textId="6ECBE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4.3</w:t>
            </w:r>
          </w:p>
        </w:tc>
        <w:tc>
          <w:tcPr>
            <w:tcW w:w="647" w:type="pct"/>
            <w:shd w:val="clear" w:color="auto" w:fill="auto"/>
            <w:noWrap/>
            <w:vAlign w:val="bottom"/>
          </w:tcPr>
          <w:p w:rsidR="008E6105" w:rsidRPr="008E6105" w:rsidP="00880226" w14:paraId="20231B25" w14:textId="2CF9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11</w:t>
            </w:r>
            <w:r w:rsidR="00CF2F88">
              <w:rPr>
                <w:rFonts w:ascii="Times New Roman" w:hAnsi="Times New Roman"/>
                <w:color w:val="000000"/>
              </w:rPr>
              <w:t>4</w:t>
            </w:r>
            <w:r w:rsidRPr="008E6105">
              <w:rPr>
                <w:rFonts w:ascii="Times New Roman" w:hAnsi="Times New Roman"/>
                <w:color w:val="000000"/>
              </w:rPr>
              <w:t>,</w:t>
            </w:r>
            <w:r w:rsidR="00CF2F88">
              <w:rPr>
                <w:rFonts w:ascii="Times New Roman" w:hAnsi="Times New Roman"/>
                <w:color w:val="000000"/>
              </w:rPr>
              <w:t>4</w:t>
            </w:r>
            <w:r>
              <w:rPr>
                <w:rFonts w:ascii="Times New Roman" w:hAnsi="Times New Roman"/>
                <w:color w:val="000000"/>
              </w:rPr>
              <w:t>5</w:t>
            </w:r>
            <w:r w:rsidRPr="008E6105">
              <w:rPr>
                <w:rFonts w:ascii="Times New Roman" w:hAnsi="Times New Roman"/>
                <w:color w:val="000000"/>
              </w:rPr>
              <w:t>0</w:t>
            </w:r>
          </w:p>
        </w:tc>
        <w:tc>
          <w:tcPr>
            <w:tcW w:w="640" w:type="pct"/>
            <w:shd w:val="clear" w:color="auto" w:fill="auto"/>
            <w:noWrap/>
            <w:vAlign w:val="bottom"/>
          </w:tcPr>
          <w:p w:rsidR="008E6105" w:rsidRPr="008E6105" w:rsidP="00880226" w14:paraId="7DD50CB7" w14:textId="03AA9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$109,000</w:t>
            </w:r>
          </w:p>
        </w:tc>
      </w:tr>
      <w:tr w14:paraId="42F48AC1"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02515B24" w14:textId="385E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23.430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8E6105" w:rsidP="00880226" w14:paraId="06221606" w14:textId="0DAE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64B3A285" w14:textId="6C979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5A6EBDF3" w14:textId="64385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6579EC37" w14:textId="0A9D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shd w:val="clear" w:color="auto" w:fill="auto"/>
            <w:noWrap/>
            <w:vAlign w:val="bottom"/>
            <w:hideMark/>
          </w:tcPr>
          <w:p w:rsidR="008E6105" w:rsidRPr="008E6105" w:rsidP="00880226" w14:paraId="1167EB20" w14:textId="6395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5AB3E8BD" w14:textId="256F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105AA2E2"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3A7BDDC3" w14:textId="1A69D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23.431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8E6105" w:rsidP="00880226" w14:paraId="3CF75EE7" w14:textId="2E983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79008E52" w14:textId="3DFDE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1,000</w:t>
            </w:r>
          </w:p>
        </w:tc>
        <w:tc>
          <w:tcPr>
            <w:tcW w:w="627" w:type="pct"/>
            <w:shd w:val="clear" w:color="auto" w:fill="auto"/>
            <w:noWrap/>
            <w:vAlign w:val="bottom"/>
            <w:hideMark/>
          </w:tcPr>
          <w:p w:rsidR="008E6105" w:rsidRPr="008E6105" w:rsidP="00880226" w14:paraId="2560C7CB" w14:textId="3EE0A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r w:rsidRPr="008E6105">
              <w:rPr>
                <w:rFonts w:ascii="Times New Roman" w:hAnsi="Times New Roman"/>
                <w:color w:val="000000"/>
              </w:rPr>
              <w:t>,000</w:t>
            </w:r>
          </w:p>
        </w:tc>
        <w:tc>
          <w:tcPr>
            <w:tcW w:w="647" w:type="pct"/>
            <w:shd w:val="clear" w:color="auto" w:fill="auto"/>
            <w:noWrap/>
            <w:vAlign w:val="bottom"/>
            <w:hideMark/>
          </w:tcPr>
          <w:p w:rsidR="008E6105" w:rsidRPr="008E6105" w:rsidP="00880226" w14:paraId="0CDD6EB9" w14:textId="66698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1.2</w:t>
            </w:r>
          </w:p>
        </w:tc>
        <w:tc>
          <w:tcPr>
            <w:tcW w:w="647" w:type="pct"/>
            <w:shd w:val="clear" w:color="auto" w:fill="auto"/>
            <w:noWrap/>
            <w:vAlign w:val="bottom"/>
            <w:hideMark/>
          </w:tcPr>
          <w:p w:rsidR="008E6105" w:rsidRPr="008E6105" w:rsidP="00880226" w14:paraId="25ED569F" w14:textId="5832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r>
              <w:rPr>
                <w:rFonts w:ascii="Times New Roman" w:hAnsi="Times New Roman"/>
                <w:color w:val="000000"/>
              </w:rPr>
              <w:t>2</w:t>
            </w:r>
            <w:r w:rsidR="00CF2F88">
              <w:rPr>
                <w:rFonts w:ascii="Times New Roman" w:hAnsi="Times New Roman"/>
                <w:color w:val="000000"/>
              </w:rPr>
              <w:t>5</w:t>
            </w:r>
            <w:r w:rsidRPr="008E6105">
              <w:rPr>
                <w:rFonts w:ascii="Times New Roman" w:hAnsi="Times New Roman"/>
                <w:color w:val="000000"/>
              </w:rPr>
              <w:t>,</w:t>
            </w:r>
            <w:r w:rsidR="00CF2F88">
              <w:rPr>
                <w:rFonts w:ascii="Times New Roman" w:hAnsi="Times New Roman"/>
                <w:color w:val="000000"/>
              </w:rPr>
              <w:t>9</w:t>
            </w:r>
            <w:r>
              <w:rPr>
                <w:rFonts w:ascii="Times New Roman" w:hAnsi="Times New Roman"/>
                <w:color w:val="000000"/>
              </w:rPr>
              <w:t>41</w:t>
            </w:r>
          </w:p>
        </w:tc>
        <w:tc>
          <w:tcPr>
            <w:tcW w:w="640" w:type="pct"/>
            <w:shd w:val="clear" w:color="auto" w:fill="auto"/>
            <w:noWrap/>
            <w:vAlign w:val="bottom"/>
            <w:hideMark/>
          </w:tcPr>
          <w:p w:rsidR="008E6105" w:rsidRPr="008E6105" w:rsidP="00880226" w14:paraId="1D20DA12" w14:textId="6994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$119,944</w:t>
            </w:r>
          </w:p>
        </w:tc>
      </w:tr>
      <w:tr w14:paraId="0A1EA92F"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00277060" w14:textId="51D3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23.432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8E6105" w:rsidP="00880226" w14:paraId="040ED62A" w14:textId="4FAC7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483AC115" w14:textId="4EAF9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110E10D8" w14:textId="10609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63A8E35E" w14:textId="774F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shd w:val="clear" w:color="auto" w:fill="auto"/>
            <w:noWrap/>
            <w:vAlign w:val="bottom"/>
            <w:hideMark/>
          </w:tcPr>
          <w:p w:rsidR="008E6105" w:rsidRPr="008E6105" w:rsidP="00880226" w14:paraId="61277021" w14:textId="142E0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410579CE" w14:textId="5447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3DD1D473"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554D1F47" w14:textId="29F7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23.434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24740A" w:rsidP="00880226" w14:paraId="0AB5D145" w14:textId="12DEC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7C29FBCF" w14:textId="7F8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71AE39CB" w14:textId="3C59E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43EC1BDA" w14:textId="0B00E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shd w:val="clear" w:color="auto" w:fill="auto"/>
            <w:noWrap/>
            <w:vAlign w:val="bottom"/>
            <w:hideMark/>
          </w:tcPr>
          <w:p w:rsidR="008E6105" w:rsidRPr="008E6105" w:rsidP="00880226" w14:paraId="53F564D1" w14:textId="1AA6A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082991FA" w14:textId="5A61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0ABE2B57"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35D01532" w14:textId="4E18E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23.440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24740A" w:rsidP="00880226" w14:paraId="0AC9FBB4" w14:textId="3012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01C9E862" w14:textId="5EAF7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39E4AFB9" w14:textId="170AF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153627ED" w14:textId="69C8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shd w:val="clear" w:color="auto" w:fill="auto"/>
            <w:noWrap/>
            <w:vAlign w:val="bottom"/>
            <w:hideMark/>
          </w:tcPr>
          <w:p w:rsidR="008E6105" w:rsidRPr="008E6105" w:rsidP="00880226" w14:paraId="59A65FCD" w14:textId="7F9CE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5EB617DC" w14:textId="5C6AB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034F64E8" w14:textId="77777777" w:rsidTr="00293241">
        <w:tblPrEx>
          <w:tblW w:w="5416" w:type="pct"/>
          <w:tblLook w:val="04A0"/>
        </w:tblPrEx>
        <w:trPr>
          <w:trHeight w:val="300"/>
        </w:trPr>
        <w:tc>
          <w:tcPr>
            <w:tcW w:w="1114" w:type="pct"/>
            <w:shd w:val="clear" w:color="auto" w:fill="auto"/>
            <w:noWrap/>
            <w:vAlign w:val="bottom"/>
            <w:hideMark/>
          </w:tcPr>
          <w:p w:rsidR="008E6105" w:rsidRPr="008E6105" w:rsidP="00880226" w14:paraId="3C9168F8" w14:textId="7EAAB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23.450 Disclosure</w:t>
            </w:r>
            <w:r w:rsidRPr="00E86C72" w:rsidR="00E86C72">
              <w:rPr>
                <w:rFonts w:ascii="Times New Roman" w:hAnsi="Times New Roman"/>
                <w:bCs/>
                <w:vertAlign w:val="superscript"/>
              </w:rPr>
              <w:t>14</w:t>
            </w:r>
          </w:p>
        </w:tc>
        <w:tc>
          <w:tcPr>
            <w:tcW w:w="686" w:type="pct"/>
            <w:shd w:val="clear" w:color="auto" w:fill="auto"/>
            <w:noWrap/>
            <w:vAlign w:val="bottom"/>
            <w:hideMark/>
          </w:tcPr>
          <w:p w:rsidR="008E6105" w:rsidRPr="008E6105" w:rsidP="00880226" w14:paraId="3174CD0F" w14:textId="7F59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68EB7F8E" w14:textId="25C1C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2D8952E3" w14:textId="0A527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083DA250" w14:textId="1C90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c>
          <w:tcPr>
            <w:tcW w:w="647" w:type="pct"/>
            <w:shd w:val="clear" w:color="auto" w:fill="auto"/>
            <w:noWrap/>
            <w:vAlign w:val="bottom"/>
            <w:hideMark/>
          </w:tcPr>
          <w:p w:rsidR="008E6105" w:rsidRPr="008E6105" w:rsidP="00880226" w14:paraId="3F88945B" w14:textId="3DCFF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r w:rsidRPr="008E6105" w:rsidR="0024740A">
              <w:rPr>
                <w:rFonts w:ascii="Times New Roman" w:hAnsi="Times New Roman"/>
                <w:color w:val="000000"/>
              </w:rPr>
              <w:t>0</w:t>
            </w:r>
            <w:r w:rsidR="00CF2F88">
              <w:rPr>
                <w:rFonts w:ascii="Times New Roman" w:hAnsi="Times New Roman"/>
                <w:color w:val="000000"/>
              </w:rPr>
              <w:t>5</w:t>
            </w:r>
            <w:r w:rsidRPr="008E6105" w:rsidR="0024740A">
              <w:rPr>
                <w:rFonts w:ascii="Times New Roman" w:hAnsi="Times New Roman"/>
                <w:color w:val="000000"/>
              </w:rPr>
              <w:t>0</w:t>
            </w:r>
          </w:p>
        </w:tc>
        <w:tc>
          <w:tcPr>
            <w:tcW w:w="640" w:type="pct"/>
            <w:shd w:val="clear" w:color="auto" w:fill="auto"/>
            <w:noWrap/>
            <w:vAlign w:val="bottom"/>
          </w:tcPr>
          <w:p w:rsidR="008E6105" w:rsidRPr="008E6105" w:rsidP="00880226" w14:paraId="75B030DC" w14:textId="4C77E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$1,000</w:t>
            </w:r>
          </w:p>
        </w:tc>
      </w:tr>
      <w:tr w14:paraId="50FDE385" w14:textId="77777777" w:rsidTr="00293241">
        <w:tblPrEx>
          <w:tblW w:w="5416" w:type="pct"/>
          <w:tblLook w:val="04A0"/>
        </w:tblPrEx>
        <w:trPr>
          <w:trHeight w:val="315"/>
        </w:trPr>
        <w:tc>
          <w:tcPr>
            <w:tcW w:w="1114" w:type="pct"/>
            <w:shd w:val="clear" w:color="auto" w:fill="auto"/>
            <w:noWrap/>
            <w:vAlign w:val="bottom"/>
            <w:hideMark/>
          </w:tcPr>
          <w:p w:rsidR="008E6105" w:rsidRPr="008E6105" w:rsidP="00880226" w14:paraId="17DECADC" w14:textId="5E0BC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23.451 Reporting</w:t>
            </w:r>
            <w:r w:rsidRPr="00E86C72" w:rsidR="00E86C72">
              <w:rPr>
                <w:rFonts w:ascii="Times New Roman" w:hAnsi="Times New Roman"/>
                <w:bCs/>
                <w:vertAlign w:val="superscript"/>
              </w:rPr>
              <w:t>14</w:t>
            </w:r>
            <w:r w:rsidRPr="008E6105">
              <w:rPr>
                <w:rFonts w:ascii="Times New Roman" w:hAnsi="Times New Roman"/>
                <w:bCs/>
                <w:vertAlign w:val="superscript"/>
              </w:rPr>
              <w:t>,</w:t>
            </w:r>
            <w:r>
              <w:rPr>
                <w:rStyle w:val="FootnoteReference"/>
                <w:rFonts w:ascii="Times New Roman" w:hAnsi="Times New Roman"/>
                <w:bCs/>
              </w:rPr>
              <w:footnoteReference w:id="17"/>
            </w:r>
          </w:p>
        </w:tc>
        <w:tc>
          <w:tcPr>
            <w:tcW w:w="686" w:type="pct"/>
            <w:shd w:val="clear" w:color="auto" w:fill="auto"/>
            <w:noWrap/>
            <w:vAlign w:val="bottom"/>
            <w:hideMark/>
          </w:tcPr>
          <w:p w:rsidR="008E6105" w:rsidRPr="008E6105" w:rsidP="00880226" w14:paraId="591924B4" w14:textId="163E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0" w:type="pct"/>
            <w:shd w:val="clear" w:color="auto" w:fill="auto"/>
            <w:noWrap/>
            <w:vAlign w:val="bottom"/>
            <w:hideMark/>
          </w:tcPr>
          <w:p w:rsidR="008E6105" w:rsidRPr="008E6105" w:rsidP="00880226" w14:paraId="34A1E283" w14:textId="1FF5B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shd w:val="clear" w:color="auto" w:fill="auto"/>
            <w:noWrap/>
            <w:vAlign w:val="bottom"/>
            <w:hideMark/>
          </w:tcPr>
          <w:p w:rsidR="008E6105" w:rsidRPr="008E6105" w:rsidP="00880226" w14:paraId="417B7C41" w14:textId="797F1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Pr="00CF2F88" w:rsidR="00CF2F88">
              <w:rPr>
                <w:rFonts w:ascii="Times New Roman" w:hAnsi="Times New Roman"/>
                <w:color w:val="000000"/>
              </w:rPr>
              <w:t>5</w:t>
            </w:r>
          </w:p>
        </w:tc>
        <w:tc>
          <w:tcPr>
            <w:tcW w:w="647" w:type="pct"/>
            <w:shd w:val="clear" w:color="auto" w:fill="auto"/>
            <w:noWrap/>
            <w:vAlign w:val="bottom"/>
            <w:hideMark/>
          </w:tcPr>
          <w:p w:rsidR="008E6105" w:rsidRPr="008E6105" w:rsidP="00880226" w14:paraId="395A9A16" w14:textId="1B21A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5.0</w:t>
            </w:r>
          </w:p>
        </w:tc>
        <w:tc>
          <w:tcPr>
            <w:tcW w:w="647" w:type="pct"/>
            <w:shd w:val="clear" w:color="auto" w:fill="auto"/>
            <w:noWrap/>
            <w:vAlign w:val="bottom"/>
            <w:hideMark/>
          </w:tcPr>
          <w:p w:rsidR="008E6105" w:rsidRPr="008E6105" w:rsidP="00880226" w14:paraId="63D61AFA" w14:textId="7E519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w:t>
            </w:r>
            <w:r w:rsidR="00CF2F88">
              <w:rPr>
                <w:rFonts w:ascii="Times New Roman" w:hAnsi="Times New Roman"/>
                <w:color w:val="000000"/>
              </w:rPr>
              <w:t>25</w:t>
            </w:r>
          </w:p>
        </w:tc>
        <w:tc>
          <w:tcPr>
            <w:tcW w:w="640" w:type="pct"/>
            <w:shd w:val="clear" w:color="auto" w:fill="auto"/>
            <w:noWrap/>
            <w:vAlign w:val="bottom"/>
          </w:tcPr>
          <w:p w:rsidR="008E6105" w:rsidRPr="008E6105" w:rsidP="00880226" w14:paraId="27D5D29F" w14:textId="0D61D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$500</w:t>
            </w:r>
          </w:p>
        </w:tc>
      </w:tr>
      <w:tr w14:paraId="3B005E98" w14:textId="77777777" w:rsidTr="00293241">
        <w:tblPrEx>
          <w:tblW w:w="5416" w:type="pct"/>
          <w:tblLook w:val="04A0"/>
        </w:tblPrEx>
        <w:trPr>
          <w:trHeight w:val="315"/>
        </w:trPr>
        <w:tc>
          <w:tcPr>
            <w:tcW w:w="1114" w:type="pct"/>
            <w:shd w:val="clear" w:color="auto" w:fill="auto"/>
            <w:noWrap/>
            <w:hideMark/>
          </w:tcPr>
          <w:p w:rsidR="00553344" w:rsidRPr="008E6105" w:rsidP="00880226" w14:paraId="0A70E5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Total</w:t>
            </w:r>
          </w:p>
        </w:tc>
        <w:tc>
          <w:tcPr>
            <w:tcW w:w="686" w:type="pct"/>
            <w:shd w:val="clear" w:color="auto" w:fill="auto"/>
            <w:noWrap/>
            <w:hideMark/>
          </w:tcPr>
          <w:p w:rsidR="00553344" w:rsidRPr="008E6105" w:rsidP="00880226" w14:paraId="281693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40" w:type="pct"/>
            <w:shd w:val="clear" w:color="auto" w:fill="auto"/>
            <w:noWrap/>
            <w:hideMark/>
          </w:tcPr>
          <w:p w:rsidR="00553344" w:rsidRPr="008E6105" w:rsidP="00880226" w14:paraId="052371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27" w:type="pct"/>
            <w:shd w:val="clear" w:color="auto" w:fill="auto"/>
            <w:noWrap/>
            <w:hideMark/>
          </w:tcPr>
          <w:p w:rsidR="00553344" w:rsidRPr="008E6105" w:rsidP="00880226" w14:paraId="3BB8BE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47" w:type="pct"/>
            <w:shd w:val="clear" w:color="auto" w:fill="auto"/>
            <w:noWrap/>
            <w:hideMark/>
          </w:tcPr>
          <w:p w:rsidR="00553344" w:rsidRPr="008E6105" w:rsidP="00880226" w14:paraId="397EC1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47" w:type="pct"/>
            <w:shd w:val="clear" w:color="auto" w:fill="auto"/>
            <w:noWrap/>
          </w:tcPr>
          <w:p w:rsidR="00553344" w:rsidRPr="008E6105" w:rsidP="00880226" w14:paraId="4ED82BAA" w14:textId="160F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2</w:t>
            </w:r>
            <w:r>
              <w:rPr>
                <w:rFonts w:ascii="Times New Roman" w:hAnsi="Times New Roman"/>
                <w:b/>
                <w:bCs/>
              </w:rPr>
              <w:t>4</w:t>
            </w:r>
            <w:r w:rsidR="00CF2F88">
              <w:rPr>
                <w:rFonts w:ascii="Times New Roman" w:hAnsi="Times New Roman"/>
                <w:b/>
                <w:bCs/>
              </w:rPr>
              <w:t>7</w:t>
            </w:r>
            <w:r w:rsidRPr="008E6105" w:rsidR="008E6105">
              <w:rPr>
                <w:rFonts w:ascii="Times New Roman" w:hAnsi="Times New Roman"/>
                <w:b/>
                <w:bCs/>
              </w:rPr>
              <w:t>,</w:t>
            </w:r>
            <w:r w:rsidR="00CF2F88">
              <w:rPr>
                <w:rFonts w:ascii="Times New Roman" w:hAnsi="Times New Roman"/>
                <w:b/>
                <w:bCs/>
              </w:rPr>
              <w:t>059</w:t>
            </w:r>
            <w:r>
              <w:rPr>
                <w:rStyle w:val="FootnoteReference"/>
                <w:rFonts w:ascii="Times New Roman" w:hAnsi="Times New Roman"/>
                <w:b/>
                <w:bCs/>
              </w:rPr>
              <w:footnoteReference w:id="18"/>
            </w:r>
          </w:p>
        </w:tc>
        <w:tc>
          <w:tcPr>
            <w:tcW w:w="640" w:type="pct"/>
            <w:shd w:val="clear" w:color="auto" w:fill="auto"/>
            <w:noWrap/>
          </w:tcPr>
          <w:p w:rsidR="00553344" w:rsidRPr="008E6105" w:rsidP="00880226" w14:paraId="560FE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$235,294</w:t>
            </w:r>
          </w:p>
        </w:tc>
      </w:tr>
      <w:bookmarkEnd w:id="2"/>
    </w:tbl>
    <w:p w:rsidR="004B71E6" w:rsidRPr="00893BDA" w:rsidP="00293241" w14:paraId="7217086E" w14:textId="77777777">
      <w:pPr>
        <w:rPr>
          <w:rFonts w:ascii="Times New Roman" w:hAnsi="Times New Roman"/>
        </w:rPr>
      </w:pPr>
    </w:p>
    <w:sectPr w:rsidSect="00293241">
      <w:footerReference w:type="default" r:id="rId9"/>
      <w:headerReference w:type="first" r:id="rId10"/>
      <w:type w:val="continuous"/>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072" w:rsidRPr="007D6964" w:rsidP="007D6964" w14:paraId="6A2D7DD0" w14:textId="4DBD3077">
    <w:pPr>
      <w:pStyle w:val="Footer"/>
      <w:jc w:val="center"/>
      <w:rPr>
        <w:rFonts w:ascii="Times New Roman" w:hAnsi="Times New Roman"/>
        <w:sz w:val="20"/>
        <w:szCs w:val="20"/>
      </w:rPr>
    </w:pPr>
    <w:r w:rsidRPr="007D6964">
      <w:rPr>
        <w:rFonts w:ascii="Times New Roman" w:hAnsi="Times New Roman"/>
        <w:sz w:val="20"/>
        <w:szCs w:val="20"/>
      </w:rPr>
      <w:fldChar w:fldCharType="begin"/>
    </w:r>
    <w:r w:rsidRPr="007D6964">
      <w:rPr>
        <w:rFonts w:ascii="Times New Roman" w:hAnsi="Times New Roman"/>
        <w:sz w:val="20"/>
        <w:szCs w:val="20"/>
      </w:rPr>
      <w:instrText xml:space="preserve"> PAGE   \* MERGEFORMAT </w:instrText>
    </w:r>
    <w:r w:rsidRPr="007D6964">
      <w:rPr>
        <w:rFonts w:ascii="Times New Roman" w:hAnsi="Times New Roman"/>
        <w:sz w:val="20"/>
        <w:szCs w:val="20"/>
      </w:rPr>
      <w:fldChar w:fldCharType="separate"/>
    </w:r>
    <w:r w:rsidRPr="007D6964" w:rsidR="00E95039">
      <w:rPr>
        <w:rFonts w:ascii="Times New Roman" w:hAnsi="Times New Roman"/>
        <w:noProof/>
        <w:sz w:val="20"/>
        <w:szCs w:val="20"/>
      </w:rPr>
      <w:t>9</w:t>
    </w:r>
    <w:r w:rsidRPr="007D696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F6C5C" w14:paraId="666526EC" w14:textId="77777777">
      <w:r>
        <w:separator/>
      </w:r>
    </w:p>
  </w:footnote>
  <w:footnote w:type="continuationSeparator" w:id="1">
    <w:p w:rsidR="009F6C5C" w14:paraId="15966D09" w14:textId="77777777">
      <w:r>
        <w:continuationSeparator/>
      </w:r>
    </w:p>
  </w:footnote>
  <w:footnote w:type="continuationNotice" w:id="2">
    <w:p w:rsidR="009F6C5C" w14:paraId="5B440F2D" w14:textId="77777777"/>
  </w:footnote>
  <w:footnote w:id="3">
    <w:p w:rsidR="006F6A6C" w:rsidRPr="009561D3" w:rsidP="001D6099" w14:paraId="2F1AB325" w14:textId="71AB6C9D">
      <w:pPr>
        <w:pStyle w:val="FootnoteText"/>
        <w:spacing w:after="120"/>
        <w:jc w:val="both"/>
        <w:rPr>
          <w:sz w:val="20"/>
        </w:rPr>
      </w:pPr>
      <w:r w:rsidRPr="009561D3">
        <w:rPr>
          <w:rStyle w:val="FootnoteReference"/>
          <w:sz w:val="20"/>
        </w:rPr>
        <w:footnoteRef/>
      </w:r>
      <w:r w:rsidRPr="009561D3">
        <w:rPr>
          <w:sz w:val="20"/>
        </w:rPr>
        <w:t xml:space="preserve"> Dodd-Frank Act, Pub. L. No. 111-203, 124 Stat. 1376 (2010).</w:t>
      </w:r>
    </w:p>
  </w:footnote>
  <w:footnote w:id="4">
    <w:p w:rsidR="006F6A6C" w:rsidRPr="009561D3" w:rsidP="001D6099" w14:paraId="29A6D9A6" w14:textId="7A291CD9">
      <w:pPr>
        <w:pStyle w:val="FootnoteText"/>
        <w:spacing w:after="120"/>
        <w:jc w:val="both"/>
        <w:rPr>
          <w:sz w:val="20"/>
        </w:rPr>
      </w:pPr>
      <w:r w:rsidRPr="009561D3">
        <w:rPr>
          <w:rStyle w:val="FootnoteReference"/>
          <w:sz w:val="20"/>
        </w:rPr>
        <w:footnoteRef/>
      </w:r>
      <w:r w:rsidRPr="009561D3">
        <w:rPr>
          <w:sz w:val="20"/>
        </w:rPr>
        <w:t xml:space="preserve"> 7 U.S.C. 6s(h) and </w:t>
      </w:r>
      <w:r w:rsidR="004E32B1">
        <w:rPr>
          <w:sz w:val="20"/>
        </w:rPr>
        <w:t>6s</w:t>
      </w:r>
      <w:r w:rsidRPr="009561D3">
        <w:rPr>
          <w:sz w:val="20"/>
        </w:rPr>
        <w:t>(j)(5).</w:t>
      </w:r>
    </w:p>
  </w:footnote>
  <w:footnote w:id="5">
    <w:p w:rsidR="00914B7D" w:rsidRPr="009561D3" w:rsidP="001D6099" w14:paraId="7FEA1CB8" w14:textId="5872B932">
      <w:pPr>
        <w:pStyle w:val="FootnoteText"/>
        <w:spacing w:after="120"/>
        <w:jc w:val="both"/>
        <w:rPr>
          <w:sz w:val="20"/>
        </w:rPr>
      </w:pPr>
      <w:r w:rsidRPr="009561D3">
        <w:rPr>
          <w:rStyle w:val="FootnoteReference"/>
          <w:sz w:val="20"/>
        </w:rPr>
        <w:footnoteRef/>
      </w:r>
      <w:r w:rsidRPr="009561D3">
        <w:rPr>
          <w:sz w:val="20"/>
        </w:rPr>
        <w:t xml:space="preserve"> Such entities are generally defined to include Federal agencies, States and political subdivisions, employee benefit plans as defined under the Employee Retirement Income Security Act of 1974 (</w:t>
      </w:r>
      <w:r w:rsidRPr="009561D3" w:rsidR="00E27613">
        <w:rPr>
          <w:sz w:val="20"/>
        </w:rPr>
        <w:t>“</w:t>
      </w:r>
      <w:r w:rsidRPr="009561D3">
        <w:rPr>
          <w:sz w:val="20"/>
        </w:rPr>
        <w:t>ERISA</w:t>
      </w:r>
      <w:r w:rsidRPr="009561D3" w:rsidR="00E27613">
        <w:rPr>
          <w:sz w:val="20"/>
        </w:rPr>
        <w:t>”</w:t>
      </w:r>
      <w:r w:rsidRPr="009561D3">
        <w:rPr>
          <w:sz w:val="20"/>
        </w:rPr>
        <w:t>), governmental plans as defined under ERISA, and endowments</w:t>
      </w:r>
      <w:r w:rsidRPr="009561D3">
        <w:rPr>
          <w:sz w:val="20"/>
        </w:rPr>
        <w:t>.</w:t>
      </w:r>
    </w:p>
  </w:footnote>
  <w:footnote w:id="6">
    <w:p w:rsidR="00AD4C39" w:rsidRPr="009561D3" w:rsidP="001D6099" w14:paraId="299B2FC7" w14:textId="33CA85A9">
      <w:pPr>
        <w:pStyle w:val="FootnoteText"/>
        <w:spacing w:after="120"/>
        <w:jc w:val="both"/>
        <w:rPr>
          <w:sz w:val="20"/>
        </w:rPr>
      </w:pPr>
      <w:r w:rsidRPr="009561D3">
        <w:rPr>
          <w:rStyle w:val="FootnoteReference"/>
          <w:sz w:val="20"/>
        </w:rPr>
        <w:footnoteRef/>
      </w:r>
      <w:r w:rsidRPr="009561D3">
        <w:rPr>
          <w:sz w:val="20"/>
        </w:rPr>
        <w:t xml:space="preserve"> </w:t>
      </w:r>
      <w:r w:rsidRPr="009561D3" w:rsidR="006F6A6C">
        <w:rPr>
          <w:i/>
          <w:sz w:val="20"/>
        </w:rPr>
        <w:t>See</w:t>
      </w:r>
      <w:r w:rsidRPr="009561D3" w:rsidR="006F6A6C">
        <w:rPr>
          <w:sz w:val="20"/>
        </w:rPr>
        <w:t xml:space="preserve"> </w:t>
      </w:r>
      <w:r w:rsidRPr="009561D3" w:rsidR="00B00688">
        <w:rPr>
          <w:sz w:val="20"/>
        </w:rPr>
        <w:t xml:space="preserve">section </w:t>
      </w:r>
      <w:r w:rsidRPr="009561D3" w:rsidR="006F6A6C">
        <w:rPr>
          <w:sz w:val="20"/>
        </w:rPr>
        <w:t xml:space="preserve">4s(h)(3)(D) of the CEA, 7 U.S.C. 6s(h)(3)(D) (“Business conduct requirements adopted by the Commission shall . . . establish such other standards and requirements as the Commission may determine are appropriate in the public interest, for the protection of investors, or otherwise in furtherance of the purposes of [the CEA]”); </w:t>
      </w:r>
      <w:r w:rsidRPr="009561D3" w:rsidR="006F6A6C">
        <w:rPr>
          <w:i/>
          <w:sz w:val="20"/>
        </w:rPr>
        <w:t>see also</w:t>
      </w:r>
      <w:r w:rsidRPr="009561D3" w:rsidR="006F6A6C">
        <w:rPr>
          <w:sz w:val="20"/>
        </w:rPr>
        <w:t xml:space="preserve"> </w:t>
      </w:r>
      <w:r w:rsidRPr="009561D3" w:rsidR="00B00688">
        <w:rPr>
          <w:sz w:val="20"/>
        </w:rPr>
        <w:t xml:space="preserve">sections </w:t>
      </w:r>
      <w:r w:rsidRPr="009561D3" w:rsidR="006F6A6C">
        <w:rPr>
          <w:sz w:val="20"/>
        </w:rPr>
        <w:t>4s(h)(1)(D), 4s(h)(5)(B) and 4s(h)(6) of the CEA; 7 U.S.C. 6s(h)(1)(D), 6s(h)(5)(B)</w:t>
      </w:r>
      <w:r w:rsidR="009F2348">
        <w:rPr>
          <w:sz w:val="20"/>
        </w:rPr>
        <w:t>,</w:t>
      </w:r>
      <w:r w:rsidRPr="009561D3" w:rsidR="006F6A6C">
        <w:rPr>
          <w:sz w:val="20"/>
        </w:rPr>
        <w:t xml:space="preserve"> and 6s(h)(6).</w:t>
      </w:r>
    </w:p>
  </w:footnote>
  <w:footnote w:id="7">
    <w:p w:rsidR="004B0647" w:rsidRPr="009561D3" w:rsidP="001D6099" w14:paraId="74E65083" w14:textId="451AEB93">
      <w:pPr>
        <w:pStyle w:val="FootnoteText"/>
        <w:spacing w:after="120"/>
        <w:jc w:val="both"/>
        <w:rPr>
          <w:sz w:val="20"/>
        </w:rPr>
      </w:pPr>
      <w:r w:rsidRPr="009561D3">
        <w:rPr>
          <w:rStyle w:val="FootnoteReference"/>
          <w:sz w:val="20"/>
        </w:rPr>
        <w:footnoteRef/>
      </w:r>
      <w:r w:rsidRPr="009561D3">
        <w:rPr>
          <w:sz w:val="20"/>
        </w:rPr>
        <w:t xml:space="preserve"> </w:t>
      </w:r>
      <w:r w:rsidRPr="009561D3" w:rsidR="0052003B">
        <w:rPr>
          <w:sz w:val="20"/>
        </w:rPr>
        <w:t xml:space="preserve">17 CFR </w:t>
      </w:r>
      <w:r w:rsidRPr="009561D3" w:rsidR="00B00688">
        <w:rPr>
          <w:sz w:val="20"/>
        </w:rPr>
        <w:t xml:space="preserve">part </w:t>
      </w:r>
      <w:r w:rsidRPr="009561D3" w:rsidR="0052003B">
        <w:rPr>
          <w:sz w:val="20"/>
        </w:rPr>
        <w:t xml:space="preserve">23, </w:t>
      </w:r>
      <w:r w:rsidRPr="009561D3" w:rsidR="00B00688">
        <w:rPr>
          <w:sz w:val="20"/>
        </w:rPr>
        <w:t xml:space="preserve">subpart </w:t>
      </w:r>
      <w:r w:rsidRPr="009561D3" w:rsidR="0052003B">
        <w:rPr>
          <w:sz w:val="20"/>
        </w:rPr>
        <w:t xml:space="preserve">H.  Subpart H of </w:t>
      </w:r>
      <w:r w:rsidRPr="009561D3" w:rsidR="00B00688">
        <w:rPr>
          <w:sz w:val="20"/>
        </w:rPr>
        <w:t xml:space="preserve">part </w:t>
      </w:r>
      <w:r w:rsidRPr="009561D3" w:rsidR="0052003B">
        <w:rPr>
          <w:sz w:val="20"/>
        </w:rPr>
        <w:t xml:space="preserve">23 (titled “Business Conduct Standards for Swap Dealers and Major Swap Participants Dealing with Counterparties, Including Special Entities”) includes the following provisions: § 23.400 (Scope); § 23.401 (Definitions); § 23.402 (General Provisions); § 23.410 (Prohibition on fraud, manipulation and other abusive practices); § 23.430 (Verification of counterparty eligibility); § 23.431 (Disclosures of material information); § 23.432 (Clearing disclosures); § 23.433 (Communications—fair dealing); § 23.434 (Recommendations to counterparties—institutional suitability; § 23.440 (Requirements for swap dealers acting as advisors to Special Entities); § 23.450 (Requirements for swap dealers and major swap participants acting counterparties to Special Entities); and § 23.451 (Political contributions by certain swap dealers).  </w:t>
      </w:r>
    </w:p>
  </w:footnote>
  <w:footnote w:id="8">
    <w:p w:rsidR="00492B63" w:rsidRPr="009561D3" w:rsidP="001D6099" w14:paraId="1B5ABBE6" w14:textId="3702145B">
      <w:pPr>
        <w:pStyle w:val="Default"/>
        <w:spacing w:after="120"/>
        <w:jc w:val="both"/>
        <w:rPr>
          <w:rFonts w:ascii="Times New Roman" w:hAnsi="Times New Roman" w:cs="Times New Roman"/>
          <w:sz w:val="20"/>
          <w:szCs w:val="20"/>
        </w:rPr>
      </w:pPr>
      <w:r w:rsidRPr="009561D3">
        <w:rPr>
          <w:rStyle w:val="FootnoteReference"/>
          <w:rFonts w:ascii="Times New Roman" w:hAnsi="Times New Roman" w:cs="Times New Roman"/>
          <w:sz w:val="20"/>
          <w:szCs w:val="20"/>
        </w:rPr>
        <w:footnoteRef/>
      </w:r>
      <w:r w:rsidRPr="009561D3">
        <w:rPr>
          <w:rFonts w:ascii="Georgia" w:hAnsi="Georgia"/>
          <w:sz w:val="20"/>
          <w:szCs w:val="20"/>
        </w:rPr>
        <w:t xml:space="preserve"> </w:t>
      </w:r>
      <w:r w:rsidRPr="009561D3" w:rsidR="004B0647">
        <w:rPr>
          <w:rFonts w:ascii="Times New Roman" w:hAnsi="Times New Roman" w:cs="Times New Roman"/>
          <w:sz w:val="20"/>
          <w:szCs w:val="20"/>
        </w:rPr>
        <w:t xml:space="preserve">17 CFR 23.605. </w:t>
      </w:r>
      <w:r w:rsidRPr="009561D3" w:rsidR="0052003B">
        <w:rPr>
          <w:rFonts w:ascii="Times New Roman" w:hAnsi="Times New Roman" w:cs="Times New Roman"/>
          <w:sz w:val="20"/>
          <w:szCs w:val="20"/>
        </w:rPr>
        <w:t xml:space="preserve"> </w:t>
      </w:r>
      <w:r w:rsidRPr="001D6099" w:rsidR="001D6099">
        <w:rPr>
          <w:rFonts w:ascii="Times New Roman" w:hAnsi="Times New Roman" w:cs="Times New Roman"/>
          <w:sz w:val="20"/>
          <w:szCs w:val="20"/>
        </w:rPr>
        <w:t xml:space="preserve">Commission </w:t>
      </w:r>
      <w:r w:rsidR="001D6099">
        <w:rPr>
          <w:rFonts w:ascii="Times New Roman" w:hAnsi="Times New Roman" w:cs="Times New Roman"/>
          <w:sz w:val="20"/>
          <w:szCs w:val="20"/>
        </w:rPr>
        <w:t>r</w:t>
      </w:r>
      <w:r w:rsidR="009B4DFA">
        <w:rPr>
          <w:rFonts w:ascii="Times New Roman" w:hAnsi="Times New Roman" w:cs="Times New Roman"/>
          <w:sz w:val="20"/>
          <w:szCs w:val="20"/>
        </w:rPr>
        <w:t>egulation</w:t>
      </w:r>
      <w:r w:rsidRPr="00514A6D" w:rsidR="009B4DFA">
        <w:rPr>
          <w:rFonts w:ascii="Times New Roman" w:hAnsi="Times New Roman" w:cs="Times New Roman"/>
          <w:sz w:val="20"/>
          <w:szCs w:val="20"/>
        </w:rPr>
        <w:t> </w:t>
      </w:r>
      <w:r w:rsidRPr="009561D3" w:rsidR="004B0647">
        <w:rPr>
          <w:rFonts w:ascii="Times New Roman" w:hAnsi="Times New Roman" w:cs="Times New Roman"/>
          <w:sz w:val="20"/>
          <w:szCs w:val="20"/>
        </w:rPr>
        <w:t xml:space="preserve">23.605 is titled </w:t>
      </w:r>
      <w:r w:rsidRPr="009B4DFA" w:rsidR="004B0647">
        <w:rPr>
          <w:rFonts w:ascii="Times New Roman" w:hAnsi="Times New Roman" w:cs="Times New Roman"/>
          <w:i/>
          <w:sz w:val="20"/>
          <w:szCs w:val="20"/>
        </w:rPr>
        <w:t>Conflicts of interest policies and procedures</w:t>
      </w:r>
      <w:r w:rsidRPr="009561D3" w:rsidR="004B0647">
        <w:rPr>
          <w:rFonts w:ascii="Times New Roman" w:hAnsi="Times New Roman" w:cs="Times New Roman"/>
          <w:sz w:val="20"/>
          <w:szCs w:val="20"/>
        </w:rPr>
        <w:t>.</w:t>
      </w:r>
    </w:p>
  </w:footnote>
  <w:footnote w:id="9">
    <w:p w:rsidR="00D03017" w:rsidRPr="009561D3" w:rsidP="001D6099" w14:paraId="78D57FF1" w14:textId="4BCED341">
      <w:pPr>
        <w:pStyle w:val="FootnoteText"/>
        <w:spacing w:after="120"/>
        <w:jc w:val="both"/>
        <w:rPr>
          <w:sz w:val="20"/>
        </w:rPr>
      </w:pPr>
      <w:r w:rsidRPr="009561D3">
        <w:rPr>
          <w:rStyle w:val="FootnoteReference"/>
          <w:sz w:val="20"/>
        </w:rPr>
        <w:footnoteRef/>
      </w:r>
      <w:r w:rsidRPr="009561D3" w:rsidR="00F74C03">
        <w:rPr>
          <w:sz w:val="20"/>
        </w:rPr>
        <w:t xml:space="preserve"> </w:t>
      </w:r>
      <w:r w:rsidRPr="009561D3">
        <w:rPr>
          <w:sz w:val="20"/>
        </w:rPr>
        <w:t xml:space="preserve">17 CFR 23.23(e).  </w:t>
      </w:r>
      <w:r w:rsidRPr="009561D3">
        <w:rPr>
          <w:i/>
          <w:sz w:val="20"/>
        </w:rPr>
        <w:t>See</w:t>
      </w:r>
      <w:r w:rsidRPr="009561D3">
        <w:rPr>
          <w:sz w:val="20"/>
        </w:rPr>
        <w:t xml:space="preserve"> Cross-Border Application of the Registration Thresholds and Certain Requirements Applicable to Swap Dealers and Major Swap Participants,</w:t>
      </w:r>
      <w:r w:rsidRPr="009561D3" w:rsidR="006A04DE">
        <w:rPr>
          <w:sz w:val="20"/>
        </w:rPr>
        <w:t xml:space="preserve"> </w:t>
      </w:r>
      <w:r w:rsidRPr="009561D3" w:rsidR="002E3F4C">
        <w:rPr>
          <w:sz w:val="20"/>
        </w:rPr>
        <w:t>85 FR 56924 (Sep. 14, 2020)</w:t>
      </w:r>
      <w:r w:rsidRPr="009561D3">
        <w:rPr>
          <w:sz w:val="20"/>
        </w:rPr>
        <w:t>.</w:t>
      </w:r>
    </w:p>
  </w:footnote>
  <w:footnote w:id="10">
    <w:p w:rsidR="00CF6F6B" w:rsidRPr="009561D3" w:rsidP="001D6099" w14:paraId="01FE9E3B" w14:textId="588B5262">
      <w:pPr>
        <w:pStyle w:val="FootnoteText"/>
        <w:spacing w:after="120"/>
        <w:jc w:val="both"/>
        <w:rPr>
          <w:sz w:val="20"/>
        </w:rPr>
      </w:pPr>
      <w:r w:rsidRPr="009561D3">
        <w:rPr>
          <w:rStyle w:val="FootnoteReference"/>
          <w:sz w:val="20"/>
        </w:rPr>
        <w:footnoteRef/>
      </w:r>
      <w:r w:rsidRPr="009561D3">
        <w:rPr>
          <w:sz w:val="20"/>
        </w:rPr>
        <w:t xml:space="preserve"> 17 CFR 23.23(h)(1).</w:t>
      </w:r>
    </w:p>
  </w:footnote>
  <w:footnote w:id="11">
    <w:p w:rsidR="00353274" w:rsidRPr="009561D3" w:rsidP="001D6099" w14:paraId="689FD65A" w14:textId="577E7F43">
      <w:pPr>
        <w:pStyle w:val="FootnoteText"/>
        <w:spacing w:after="120"/>
        <w:jc w:val="both"/>
        <w:rPr>
          <w:sz w:val="20"/>
        </w:rPr>
      </w:pPr>
      <w:r w:rsidRPr="009561D3">
        <w:rPr>
          <w:rStyle w:val="FootnoteReference"/>
          <w:sz w:val="20"/>
        </w:rPr>
        <w:footnoteRef/>
      </w:r>
      <w:r w:rsidRPr="009561D3">
        <w:rPr>
          <w:sz w:val="20"/>
        </w:rPr>
        <w:t xml:space="preserve"> 17 CFR 1.31.</w:t>
      </w:r>
    </w:p>
  </w:footnote>
  <w:footnote w:id="12">
    <w:p w:rsidR="00353274" w:rsidRPr="009561D3" w:rsidP="001D6099" w14:paraId="73F25162" w14:textId="7883A4AB">
      <w:pPr>
        <w:pStyle w:val="FootnoteText"/>
        <w:spacing w:after="120"/>
        <w:jc w:val="both"/>
        <w:rPr>
          <w:sz w:val="20"/>
        </w:rPr>
      </w:pPr>
      <w:r w:rsidRPr="009561D3">
        <w:rPr>
          <w:rStyle w:val="FootnoteReference"/>
          <w:sz w:val="20"/>
        </w:rPr>
        <w:footnoteRef/>
      </w:r>
      <w:r w:rsidRPr="009561D3">
        <w:rPr>
          <w:sz w:val="20"/>
        </w:rPr>
        <w:t xml:space="preserve"> 17 CFR 1.31(b).</w:t>
      </w:r>
    </w:p>
  </w:footnote>
  <w:footnote w:id="13">
    <w:p w:rsidR="009C22F9" w:rsidRPr="009561D3" w:rsidP="001D6099" w14:paraId="296AB1F4" w14:textId="5D781D17">
      <w:pPr>
        <w:pStyle w:val="FootnoteText"/>
        <w:spacing w:after="120"/>
        <w:jc w:val="both"/>
        <w:rPr>
          <w:sz w:val="20"/>
        </w:rPr>
      </w:pPr>
      <w:r w:rsidRPr="009561D3">
        <w:rPr>
          <w:rStyle w:val="FootnoteReference"/>
          <w:sz w:val="20"/>
        </w:rPr>
        <w:footnoteRef/>
      </w:r>
      <w:r w:rsidRPr="009561D3" w:rsidR="00870DCB">
        <w:rPr>
          <w:sz w:val="20"/>
        </w:rPr>
        <w:t xml:space="preserve"> 7 U.S.C. 12</w:t>
      </w:r>
      <w:r w:rsidRPr="009561D3" w:rsidR="00880226">
        <w:rPr>
          <w:sz w:val="20"/>
        </w:rPr>
        <w:t xml:space="preserve">(a)(1). </w:t>
      </w:r>
    </w:p>
  </w:footnote>
  <w:footnote w:id="14">
    <w:p w:rsidR="001D6099" w:rsidP="005F3505" w14:paraId="21E0CD1B" w14:textId="25E68E31">
      <w:pPr>
        <w:pStyle w:val="FootnoteText"/>
        <w:rPr>
          <w:sz w:val="20"/>
        </w:rPr>
      </w:pPr>
      <w:r w:rsidRPr="009B4DFA">
        <w:rPr>
          <w:rStyle w:val="FootnoteReference"/>
          <w:sz w:val="20"/>
        </w:rPr>
        <w:footnoteRef/>
      </w:r>
      <w:r w:rsidRPr="009B4DFA">
        <w:rPr>
          <w:sz w:val="20"/>
        </w:rPr>
        <w:t xml:space="preserve"> </w:t>
      </w:r>
      <w:bookmarkStart w:id="3" w:name="_Hlk145434318"/>
      <w:r w:rsidRPr="00C01AF9" w:rsidR="00C01AF9">
        <w:rPr>
          <w:sz w:val="20"/>
        </w:rPr>
        <w:t>The Commission</w:t>
      </w:r>
      <w:r w:rsidRPr="005F3505" w:rsidR="005F3505">
        <w:rPr>
          <w:sz w:val="20"/>
        </w:rPr>
        <w:t>, at the 60-</w:t>
      </w:r>
      <w:r w:rsidR="006E744D">
        <w:rPr>
          <w:sz w:val="20"/>
        </w:rPr>
        <w:t>D</w:t>
      </w:r>
      <w:r w:rsidRPr="005F3505" w:rsidR="005F3505">
        <w:rPr>
          <w:sz w:val="20"/>
        </w:rPr>
        <w:t xml:space="preserve">ay </w:t>
      </w:r>
      <w:r w:rsidR="006E744D">
        <w:rPr>
          <w:sz w:val="20"/>
        </w:rPr>
        <w:t>N</w:t>
      </w:r>
      <w:r w:rsidR="005F3505">
        <w:rPr>
          <w:sz w:val="20"/>
        </w:rPr>
        <w:t xml:space="preserve">otice </w:t>
      </w:r>
      <w:r w:rsidRPr="005F3505" w:rsidR="005F3505">
        <w:rPr>
          <w:sz w:val="20"/>
        </w:rPr>
        <w:t>stage, estimated that 106 respondents were subject to the information collection requirements at issue</w:t>
      </w:r>
      <w:r w:rsidR="00D1784B">
        <w:rPr>
          <w:sz w:val="20"/>
        </w:rPr>
        <w:t xml:space="preserve">, </w:t>
      </w:r>
      <w:bookmarkStart w:id="4" w:name="_Hlk145436975"/>
      <w:r w:rsidRPr="005F3505" w:rsidR="00D1784B">
        <w:rPr>
          <w:sz w:val="20"/>
        </w:rPr>
        <w:t>88 FR 43085</w:t>
      </w:r>
      <w:r w:rsidR="00D1784B">
        <w:rPr>
          <w:sz w:val="20"/>
        </w:rPr>
        <w:t xml:space="preserve"> </w:t>
      </w:r>
      <w:r w:rsidRPr="005F3505" w:rsidR="00D1784B">
        <w:rPr>
          <w:sz w:val="20"/>
        </w:rPr>
        <w:t>(Jul. 6, 2023)</w:t>
      </w:r>
      <w:r w:rsidR="00D1784B">
        <w:rPr>
          <w:sz w:val="20"/>
        </w:rPr>
        <w:t xml:space="preserve">, </w:t>
      </w:r>
      <w:bookmarkEnd w:id="4"/>
      <w:r w:rsidRPr="005F3505" w:rsidR="005F3505">
        <w:rPr>
          <w:sz w:val="20"/>
        </w:rPr>
        <w:t xml:space="preserve">but </w:t>
      </w:r>
      <w:r w:rsidR="005F3505">
        <w:rPr>
          <w:sz w:val="20"/>
        </w:rPr>
        <w:t xml:space="preserve">has </w:t>
      </w:r>
      <w:r w:rsidRPr="005F3505" w:rsidR="005F3505">
        <w:rPr>
          <w:sz w:val="20"/>
        </w:rPr>
        <w:t xml:space="preserve">subsequently </w:t>
      </w:r>
      <w:r w:rsidRPr="00C01AF9" w:rsidR="00C01AF9">
        <w:rPr>
          <w:sz w:val="20"/>
        </w:rPr>
        <w:t>revised its estimate</w:t>
      </w:r>
      <w:bookmarkEnd w:id="3"/>
      <w:r w:rsidR="00D1784B">
        <w:rPr>
          <w:sz w:val="20"/>
        </w:rPr>
        <w:t xml:space="preserve"> </w:t>
      </w:r>
      <w:r w:rsidRPr="00D1784B" w:rsidR="00D1784B">
        <w:rPr>
          <w:sz w:val="20"/>
        </w:rPr>
        <w:t>to 105</w:t>
      </w:r>
      <w:r w:rsidR="00D1784B">
        <w:rPr>
          <w:sz w:val="20"/>
        </w:rPr>
        <w:t xml:space="preserve"> respondents</w:t>
      </w:r>
      <w:r w:rsidR="00D1784B">
        <w:t xml:space="preserve">, </w:t>
      </w:r>
      <w:r w:rsidRPr="00C01AF9" w:rsidR="00D1784B">
        <w:rPr>
          <w:sz w:val="20"/>
        </w:rPr>
        <w:t>based on the current number of registered SDs</w:t>
      </w:r>
      <w:r w:rsidR="00D1784B">
        <w:rPr>
          <w:sz w:val="20"/>
        </w:rPr>
        <w:t>.</w:t>
      </w:r>
      <w:bookmarkStart w:id="5" w:name="_GoBack"/>
      <w:bookmarkEnd w:id="5"/>
    </w:p>
    <w:p w:rsidR="00342F5B" w:rsidRPr="009B4DFA" w:rsidP="001D6099" w14:paraId="432310CA" w14:textId="482951D6">
      <w:pPr>
        <w:pStyle w:val="FootnoteText"/>
        <w:jc w:val="both"/>
        <w:rPr>
          <w:sz w:val="20"/>
        </w:rPr>
      </w:pPr>
    </w:p>
  </w:footnote>
  <w:footnote w:id="15">
    <w:p w:rsidR="008E6105" w:rsidRPr="009561D3" w:rsidP="001D6099" w14:paraId="0ADC993C" w14:textId="3D4A5ADD">
      <w:pPr>
        <w:pStyle w:val="FootnoteText"/>
        <w:spacing w:after="120"/>
        <w:jc w:val="both"/>
        <w:rPr>
          <w:sz w:val="20"/>
        </w:rPr>
      </w:pPr>
      <w:r w:rsidRPr="009561D3">
        <w:rPr>
          <w:rStyle w:val="FootnoteReference"/>
          <w:sz w:val="20"/>
        </w:rPr>
        <w:footnoteRef/>
      </w:r>
      <w:r w:rsidRPr="009561D3">
        <w:rPr>
          <w:sz w:val="20"/>
        </w:rPr>
        <w:t xml:space="preserve"> This burden includes all recordkeeping required under the EBCS Rules other than that already included under OMB </w:t>
      </w:r>
      <w:r w:rsidRPr="009561D3" w:rsidR="00B254DD">
        <w:rPr>
          <w:sz w:val="20"/>
        </w:rPr>
        <w:t xml:space="preserve">Collection No. </w:t>
      </w:r>
      <w:r w:rsidRPr="009561D3">
        <w:rPr>
          <w:sz w:val="20"/>
        </w:rPr>
        <w:t xml:space="preserve">3038-0087 in relation to records of communications under </w:t>
      </w:r>
      <w:r w:rsidRPr="009561D3" w:rsidR="0034378D">
        <w:rPr>
          <w:sz w:val="20"/>
        </w:rPr>
        <w:t xml:space="preserve">§ </w:t>
      </w:r>
      <w:r w:rsidRPr="009561D3">
        <w:rPr>
          <w:sz w:val="20"/>
        </w:rPr>
        <w:t>23.202.</w:t>
      </w:r>
    </w:p>
  </w:footnote>
  <w:footnote w:id="16">
    <w:p w:rsidR="008E6105" w:rsidRPr="009561D3" w:rsidP="001D6099" w14:paraId="341A4C1B" w14:textId="73E45769">
      <w:pPr>
        <w:pStyle w:val="FootnoteText"/>
        <w:spacing w:after="120"/>
        <w:jc w:val="both"/>
        <w:rPr>
          <w:sz w:val="20"/>
        </w:rPr>
      </w:pPr>
      <w:r w:rsidRPr="009561D3">
        <w:rPr>
          <w:rStyle w:val="FootnoteReference"/>
          <w:sz w:val="20"/>
        </w:rPr>
        <w:footnoteRef/>
      </w:r>
      <w:r w:rsidRPr="009561D3">
        <w:rPr>
          <w:sz w:val="20"/>
        </w:rPr>
        <w:t xml:space="preserve"> The Commission expects the paperwork burden of § 23.23(h)(1), where applicable, in relation to exceptions from the EBCS Rules in § 23.23(e) would be less than that of the EBCS Rules.  However, in an effort to be conservative, because the Commission does not know how many </w:t>
      </w:r>
      <w:r w:rsidRPr="009561D3" w:rsidR="0034378D">
        <w:rPr>
          <w:sz w:val="20"/>
        </w:rPr>
        <w:t>SDs</w:t>
      </w:r>
      <w:r w:rsidRPr="009561D3">
        <w:rPr>
          <w:sz w:val="20"/>
        </w:rPr>
        <w:t xml:space="preserve"> and/or </w:t>
      </w:r>
      <w:r w:rsidRPr="009561D3" w:rsidR="0034378D">
        <w:rPr>
          <w:sz w:val="20"/>
        </w:rPr>
        <w:t>MSPs</w:t>
      </w:r>
      <w:r w:rsidRPr="009561D3">
        <w:rPr>
          <w:sz w:val="20"/>
        </w:rPr>
        <w:t xml:space="preserve"> will choose to avail themselves of the exceptions in § 23.23(e) and for how many of their swaps, the Commission is not reducing the estimated burden of these rules to reflect the availability of such exceptions.</w:t>
      </w:r>
    </w:p>
  </w:footnote>
  <w:footnote w:id="17">
    <w:p w:rsidR="008E6105" w:rsidRPr="009561D3" w:rsidP="001D6099" w14:paraId="6FE66C84" w14:textId="13860116">
      <w:pPr>
        <w:pStyle w:val="FootnoteText"/>
        <w:spacing w:after="120"/>
        <w:jc w:val="both"/>
        <w:rPr>
          <w:sz w:val="20"/>
        </w:rPr>
      </w:pPr>
      <w:r w:rsidRPr="009561D3">
        <w:rPr>
          <w:rStyle w:val="FootnoteReference"/>
          <w:sz w:val="20"/>
        </w:rPr>
        <w:footnoteRef/>
      </w:r>
      <w:r w:rsidRPr="009561D3">
        <w:rPr>
          <w:sz w:val="20"/>
        </w:rPr>
        <w:t xml:space="preserve"> Reporting under </w:t>
      </w:r>
      <w:r w:rsidRPr="009561D3" w:rsidR="00353274">
        <w:rPr>
          <w:sz w:val="20"/>
        </w:rPr>
        <w:t xml:space="preserve">§ </w:t>
      </w:r>
      <w:r w:rsidRPr="009561D3">
        <w:rPr>
          <w:sz w:val="20"/>
        </w:rPr>
        <w:t xml:space="preserve">23.451 (Political contributions by certain swap dealers) is optional and it is unknown how many registrants, if any, will engage in such reporting and how much burden, if any, will be incurred.  Nevertheless, the Commission is providing this estimate of the regulation’s burden for purposes of the </w:t>
      </w:r>
      <w:r w:rsidR="0019206B">
        <w:rPr>
          <w:sz w:val="20"/>
        </w:rPr>
        <w:t>PRA</w:t>
      </w:r>
      <w:r w:rsidRPr="009561D3">
        <w:rPr>
          <w:sz w:val="20"/>
        </w:rPr>
        <w:t xml:space="preserve">.  </w:t>
      </w:r>
    </w:p>
  </w:footnote>
  <w:footnote w:id="18">
    <w:p w:rsidR="00554FAD" w:rsidRPr="009B4DFA" w:rsidP="001D6099" w14:paraId="62E908D3" w14:textId="6AD94019">
      <w:pPr>
        <w:pStyle w:val="FootnoteText"/>
        <w:jc w:val="both"/>
        <w:rPr>
          <w:sz w:val="20"/>
        </w:rPr>
      </w:pPr>
      <w:r w:rsidRPr="009B4DFA">
        <w:rPr>
          <w:rStyle w:val="FootnoteReference"/>
          <w:sz w:val="20"/>
        </w:rPr>
        <w:footnoteRef/>
      </w:r>
      <w:r w:rsidRPr="009B4DFA">
        <w:rPr>
          <w:sz w:val="20"/>
        </w:rPr>
        <w:t xml:space="preserve"> </w:t>
      </w:r>
      <w:r w:rsidRPr="00C01AF9" w:rsidR="00C01AF9">
        <w:rPr>
          <w:sz w:val="20"/>
        </w:rPr>
        <w:t>The estimated total annual burden hours, at 247,059 hours, is revised from 249,412 hours reported in the 60-</w:t>
      </w:r>
      <w:r w:rsidR="006E744D">
        <w:rPr>
          <w:sz w:val="20"/>
        </w:rPr>
        <w:t>D</w:t>
      </w:r>
      <w:r w:rsidRPr="00C01AF9" w:rsidR="00C01AF9">
        <w:rPr>
          <w:sz w:val="20"/>
        </w:rPr>
        <w:t xml:space="preserve">ay </w:t>
      </w:r>
      <w:r w:rsidR="006E744D">
        <w:rPr>
          <w:sz w:val="20"/>
        </w:rPr>
        <w:t>N</w:t>
      </w:r>
      <w:r w:rsidRPr="00C01AF9" w:rsidR="00C01AF9">
        <w:rPr>
          <w:sz w:val="20"/>
        </w:rPr>
        <w:t>otice, based on the current number of registered SDs (105 instead of 106).</w:t>
      </w:r>
      <w:r w:rsidR="00D24405">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061" w:rsidRPr="00D87061" w14:paraId="18DA9199" w14:textId="41448EA6">
    <w:pPr>
      <w:pStyle w:val="Header"/>
      <w:rPr>
        <w:rFonts w:ascii="Times New Roman" w:hAnsi="Times New Roman"/>
        <w:sz w:val="20"/>
        <w:szCs w:val="20"/>
      </w:rPr>
    </w:pPr>
    <w:r w:rsidRPr="00D87061">
      <w:rPr>
        <w:rFonts w:ascii="Times New Roman" w:hAnsi="Times New Roman"/>
        <w:sz w:val="20"/>
        <w:szCs w:val="20"/>
      </w:rPr>
      <w:t xml:space="preserve">MPD DRAFT (last updated 09-05-2023) </w:t>
    </w:r>
    <w:r w:rsidRPr="00D87061">
      <w:rPr>
        <w:rFonts w:ascii="Times New Roman" w:hAnsi="Times New Roman"/>
        <w:sz w:val="20"/>
        <w:szCs w:val="20"/>
      </w:rPr>
      <w:br/>
      <w:t>PRIVILEGED &amp; CONFIDENTIAL</w:t>
    </w:r>
  </w:p>
  <w:p w:rsidR="00971D4C" w:rsidRPr="00D87061" w:rsidP="00D87061" w14:paraId="3E951501" w14:textId="03FF3DF8">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E0"/>
    <w:rsid w:val="0000683E"/>
    <w:rsid w:val="000123A0"/>
    <w:rsid w:val="00016538"/>
    <w:rsid w:val="00017977"/>
    <w:rsid w:val="00027341"/>
    <w:rsid w:val="00036707"/>
    <w:rsid w:val="00046F4F"/>
    <w:rsid w:val="000646E7"/>
    <w:rsid w:val="00074F81"/>
    <w:rsid w:val="00077832"/>
    <w:rsid w:val="000A1C36"/>
    <w:rsid w:val="000B6AD0"/>
    <w:rsid w:val="000B6FFC"/>
    <w:rsid w:val="000C1D5B"/>
    <w:rsid w:val="000D2375"/>
    <w:rsid w:val="000F0217"/>
    <w:rsid w:val="000F0BDE"/>
    <w:rsid w:val="00111AB7"/>
    <w:rsid w:val="00116E7D"/>
    <w:rsid w:val="00117CBC"/>
    <w:rsid w:val="00124998"/>
    <w:rsid w:val="00133271"/>
    <w:rsid w:val="0014409A"/>
    <w:rsid w:val="00144C62"/>
    <w:rsid w:val="001462A0"/>
    <w:rsid w:val="0017237F"/>
    <w:rsid w:val="00185851"/>
    <w:rsid w:val="00187B09"/>
    <w:rsid w:val="0019206B"/>
    <w:rsid w:val="001A6DD5"/>
    <w:rsid w:val="001A76ED"/>
    <w:rsid w:val="001C20AB"/>
    <w:rsid w:val="001C43E1"/>
    <w:rsid w:val="001D5913"/>
    <w:rsid w:val="001D6099"/>
    <w:rsid w:val="001E62F9"/>
    <w:rsid w:val="00214B31"/>
    <w:rsid w:val="002156B8"/>
    <w:rsid w:val="00226AD0"/>
    <w:rsid w:val="002275AD"/>
    <w:rsid w:val="00227FC2"/>
    <w:rsid w:val="00246D83"/>
    <w:rsid w:val="002470E0"/>
    <w:rsid w:val="0024740A"/>
    <w:rsid w:val="00293241"/>
    <w:rsid w:val="0029504E"/>
    <w:rsid w:val="002A0875"/>
    <w:rsid w:val="002D4BDF"/>
    <w:rsid w:val="002E2E06"/>
    <w:rsid w:val="002E3F4C"/>
    <w:rsid w:val="002E40CE"/>
    <w:rsid w:val="002F222F"/>
    <w:rsid w:val="00312021"/>
    <w:rsid w:val="00313AFE"/>
    <w:rsid w:val="003143AA"/>
    <w:rsid w:val="003153D8"/>
    <w:rsid w:val="00336DFC"/>
    <w:rsid w:val="00342F5B"/>
    <w:rsid w:val="0034378D"/>
    <w:rsid w:val="00343FC8"/>
    <w:rsid w:val="003525A7"/>
    <w:rsid w:val="00353274"/>
    <w:rsid w:val="00353A8C"/>
    <w:rsid w:val="00355682"/>
    <w:rsid w:val="00363515"/>
    <w:rsid w:val="003635CC"/>
    <w:rsid w:val="00370131"/>
    <w:rsid w:val="00376462"/>
    <w:rsid w:val="0037651E"/>
    <w:rsid w:val="00381037"/>
    <w:rsid w:val="00383CBE"/>
    <w:rsid w:val="00385AF7"/>
    <w:rsid w:val="00395010"/>
    <w:rsid w:val="003A46F9"/>
    <w:rsid w:val="003A6406"/>
    <w:rsid w:val="003B5C59"/>
    <w:rsid w:val="003D3522"/>
    <w:rsid w:val="003E1EA3"/>
    <w:rsid w:val="003F2C06"/>
    <w:rsid w:val="003F6F39"/>
    <w:rsid w:val="0041212C"/>
    <w:rsid w:val="00413F97"/>
    <w:rsid w:val="00417E66"/>
    <w:rsid w:val="0042780B"/>
    <w:rsid w:val="0043166C"/>
    <w:rsid w:val="00437F0B"/>
    <w:rsid w:val="00442EBF"/>
    <w:rsid w:val="00446001"/>
    <w:rsid w:val="00446A63"/>
    <w:rsid w:val="0044740F"/>
    <w:rsid w:val="00450374"/>
    <w:rsid w:val="00474DE2"/>
    <w:rsid w:val="00480AA2"/>
    <w:rsid w:val="00484545"/>
    <w:rsid w:val="00492B63"/>
    <w:rsid w:val="00495063"/>
    <w:rsid w:val="004B0647"/>
    <w:rsid w:val="004B2525"/>
    <w:rsid w:val="004B71E6"/>
    <w:rsid w:val="004D1483"/>
    <w:rsid w:val="004E32B1"/>
    <w:rsid w:val="004E39AE"/>
    <w:rsid w:val="004F005E"/>
    <w:rsid w:val="004F1402"/>
    <w:rsid w:val="004F3FA9"/>
    <w:rsid w:val="005072F5"/>
    <w:rsid w:val="00512D2B"/>
    <w:rsid w:val="00514A6D"/>
    <w:rsid w:val="0052003B"/>
    <w:rsid w:val="00532416"/>
    <w:rsid w:val="00540063"/>
    <w:rsid w:val="005444CA"/>
    <w:rsid w:val="00547762"/>
    <w:rsid w:val="00550939"/>
    <w:rsid w:val="00551127"/>
    <w:rsid w:val="00553344"/>
    <w:rsid w:val="00554FAD"/>
    <w:rsid w:val="00564A52"/>
    <w:rsid w:val="00567829"/>
    <w:rsid w:val="00573961"/>
    <w:rsid w:val="00581F2B"/>
    <w:rsid w:val="005C0EA8"/>
    <w:rsid w:val="005E00AC"/>
    <w:rsid w:val="005F3505"/>
    <w:rsid w:val="0060167E"/>
    <w:rsid w:val="00610442"/>
    <w:rsid w:val="0061185F"/>
    <w:rsid w:val="00612EE5"/>
    <w:rsid w:val="00613AC5"/>
    <w:rsid w:val="0062289A"/>
    <w:rsid w:val="00630D8B"/>
    <w:rsid w:val="0063569F"/>
    <w:rsid w:val="00642477"/>
    <w:rsid w:val="006446B6"/>
    <w:rsid w:val="0065636E"/>
    <w:rsid w:val="00660C5C"/>
    <w:rsid w:val="006848B1"/>
    <w:rsid w:val="00694AC8"/>
    <w:rsid w:val="006A04DE"/>
    <w:rsid w:val="006A469C"/>
    <w:rsid w:val="006B3750"/>
    <w:rsid w:val="006B6D70"/>
    <w:rsid w:val="006D0232"/>
    <w:rsid w:val="006E744D"/>
    <w:rsid w:val="006F3483"/>
    <w:rsid w:val="006F6A6C"/>
    <w:rsid w:val="00720292"/>
    <w:rsid w:val="00721536"/>
    <w:rsid w:val="007269C2"/>
    <w:rsid w:val="0072770C"/>
    <w:rsid w:val="00730E89"/>
    <w:rsid w:val="007441CB"/>
    <w:rsid w:val="0075654A"/>
    <w:rsid w:val="007573DC"/>
    <w:rsid w:val="007672F6"/>
    <w:rsid w:val="007769C2"/>
    <w:rsid w:val="00790A71"/>
    <w:rsid w:val="007945C9"/>
    <w:rsid w:val="007A6DCB"/>
    <w:rsid w:val="007A75DF"/>
    <w:rsid w:val="007B0C51"/>
    <w:rsid w:val="007B2644"/>
    <w:rsid w:val="007C1E0C"/>
    <w:rsid w:val="007D104E"/>
    <w:rsid w:val="007D234C"/>
    <w:rsid w:val="007D6964"/>
    <w:rsid w:val="007E33CA"/>
    <w:rsid w:val="007E4E56"/>
    <w:rsid w:val="007F615D"/>
    <w:rsid w:val="008064CC"/>
    <w:rsid w:val="008241DF"/>
    <w:rsid w:val="0084301E"/>
    <w:rsid w:val="008537C0"/>
    <w:rsid w:val="00856597"/>
    <w:rsid w:val="00870DCB"/>
    <w:rsid w:val="00880226"/>
    <w:rsid w:val="0088583B"/>
    <w:rsid w:val="008859E9"/>
    <w:rsid w:val="00886B22"/>
    <w:rsid w:val="00893BDA"/>
    <w:rsid w:val="008A3C4F"/>
    <w:rsid w:val="008B3773"/>
    <w:rsid w:val="008C02C3"/>
    <w:rsid w:val="008D1D25"/>
    <w:rsid w:val="008E6105"/>
    <w:rsid w:val="008F4876"/>
    <w:rsid w:val="008F7604"/>
    <w:rsid w:val="00914B7D"/>
    <w:rsid w:val="00921A72"/>
    <w:rsid w:val="00922DA7"/>
    <w:rsid w:val="00931967"/>
    <w:rsid w:val="00931B07"/>
    <w:rsid w:val="0094053C"/>
    <w:rsid w:val="009561D3"/>
    <w:rsid w:val="00971D4C"/>
    <w:rsid w:val="00972EC2"/>
    <w:rsid w:val="00981517"/>
    <w:rsid w:val="00983F53"/>
    <w:rsid w:val="009A3069"/>
    <w:rsid w:val="009B4DFA"/>
    <w:rsid w:val="009C22F9"/>
    <w:rsid w:val="009C61B7"/>
    <w:rsid w:val="009D0587"/>
    <w:rsid w:val="009E14CB"/>
    <w:rsid w:val="009E41DC"/>
    <w:rsid w:val="009F2348"/>
    <w:rsid w:val="009F6281"/>
    <w:rsid w:val="009F6C5C"/>
    <w:rsid w:val="009F7209"/>
    <w:rsid w:val="00A118A6"/>
    <w:rsid w:val="00A17CFC"/>
    <w:rsid w:val="00A72B2D"/>
    <w:rsid w:val="00A741EA"/>
    <w:rsid w:val="00A90A0A"/>
    <w:rsid w:val="00A91B6E"/>
    <w:rsid w:val="00A960C1"/>
    <w:rsid w:val="00AA24BF"/>
    <w:rsid w:val="00AB0936"/>
    <w:rsid w:val="00AB2A50"/>
    <w:rsid w:val="00AB53E1"/>
    <w:rsid w:val="00AC28F2"/>
    <w:rsid w:val="00AC51C4"/>
    <w:rsid w:val="00AD2F18"/>
    <w:rsid w:val="00AD4C39"/>
    <w:rsid w:val="00AF37B7"/>
    <w:rsid w:val="00B00688"/>
    <w:rsid w:val="00B0491B"/>
    <w:rsid w:val="00B143DE"/>
    <w:rsid w:val="00B217F5"/>
    <w:rsid w:val="00B22703"/>
    <w:rsid w:val="00B232BF"/>
    <w:rsid w:val="00B254DD"/>
    <w:rsid w:val="00B27827"/>
    <w:rsid w:val="00B27CE8"/>
    <w:rsid w:val="00B32C70"/>
    <w:rsid w:val="00B33E66"/>
    <w:rsid w:val="00B33F83"/>
    <w:rsid w:val="00B47072"/>
    <w:rsid w:val="00B52959"/>
    <w:rsid w:val="00B64DF8"/>
    <w:rsid w:val="00B979D3"/>
    <w:rsid w:val="00BB660E"/>
    <w:rsid w:val="00BC2893"/>
    <w:rsid w:val="00BD5B26"/>
    <w:rsid w:val="00C008F3"/>
    <w:rsid w:val="00C01AAA"/>
    <w:rsid w:val="00C01AF9"/>
    <w:rsid w:val="00C07D6F"/>
    <w:rsid w:val="00C1478A"/>
    <w:rsid w:val="00C17835"/>
    <w:rsid w:val="00C237FF"/>
    <w:rsid w:val="00C364D7"/>
    <w:rsid w:val="00C42686"/>
    <w:rsid w:val="00C61310"/>
    <w:rsid w:val="00C756CF"/>
    <w:rsid w:val="00C83671"/>
    <w:rsid w:val="00C8542C"/>
    <w:rsid w:val="00C949B2"/>
    <w:rsid w:val="00CA12B1"/>
    <w:rsid w:val="00CA55F1"/>
    <w:rsid w:val="00CC09A7"/>
    <w:rsid w:val="00CD67B0"/>
    <w:rsid w:val="00CE5B1E"/>
    <w:rsid w:val="00CE63E0"/>
    <w:rsid w:val="00CF01EF"/>
    <w:rsid w:val="00CF1F9E"/>
    <w:rsid w:val="00CF2F88"/>
    <w:rsid w:val="00CF6F6B"/>
    <w:rsid w:val="00D03017"/>
    <w:rsid w:val="00D079E3"/>
    <w:rsid w:val="00D1784B"/>
    <w:rsid w:val="00D24405"/>
    <w:rsid w:val="00D34B8D"/>
    <w:rsid w:val="00D41E2B"/>
    <w:rsid w:val="00D54F6B"/>
    <w:rsid w:val="00D614B1"/>
    <w:rsid w:val="00D6597D"/>
    <w:rsid w:val="00D779E8"/>
    <w:rsid w:val="00D851A3"/>
    <w:rsid w:val="00D86FB7"/>
    <w:rsid w:val="00D87061"/>
    <w:rsid w:val="00D9183B"/>
    <w:rsid w:val="00D9298C"/>
    <w:rsid w:val="00DA1162"/>
    <w:rsid w:val="00DD021A"/>
    <w:rsid w:val="00DE5E4A"/>
    <w:rsid w:val="00DE6E78"/>
    <w:rsid w:val="00DF0006"/>
    <w:rsid w:val="00E01E55"/>
    <w:rsid w:val="00E13F67"/>
    <w:rsid w:val="00E20ABB"/>
    <w:rsid w:val="00E26980"/>
    <w:rsid w:val="00E27613"/>
    <w:rsid w:val="00E32E5D"/>
    <w:rsid w:val="00E43572"/>
    <w:rsid w:val="00E45642"/>
    <w:rsid w:val="00E613A2"/>
    <w:rsid w:val="00E6192D"/>
    <w:rsid w:val="00E662A9"/>
    <w:rsid w:val="00E86C72"/>
    <w:rsid w:val="00E92AAE"/>
    <w:rsid w:val="00E95039"/>
    <w:rsid w:val="00EA22B4"/>
    <w:rsid w:val="00EA2982"/>
    <w:rsid w:val="00EC7E14"/>
    <w:rsid w:val="00ED2910"/>
    <w:rsid w:val="00ED3BD2"/>
    <w:rsid w:val="00ED3DCC"/>
    <w:rsid w:val="00ED5B78"/>
    <w:rsid w:val="00ED657F"/>
    <w:rsid w:val="00ED6E48"/>
    <w:rsid w:val="00EE0B25"/>
    <w:rsid w:val="00EE753B"/>
    <w:rsid w:val="00EF3297"/>
    <w:rsid w:val="00EF7805"/>
    <w:rsid w:val="00F1222D"/>
    <w:rsid w:val="00F133E0"/>
    <w:rsid w:val="00F33E39"/>
    <w:rsid w:val="00F42AF6"/>
    <w:rsid w:val="00F44D1F"/>
    <w:rsid w:val="00F50EBC"/>
    <w:rsid w:val="00F607DA"/>
    <w:rsid w:val="00F74C03"/>
    <w:rsid w:val="00F85A3F"/>
    <w:rsid w:val="00FA4085"/>
    <w:rsid w:val="00FA71B7"/>
    <w:rsid w:val="00FB033A"/>
    <w:rsid w:val="00FB629C"/>
    <w:rsid w:val="00FD6860"/>
    <w:rsid w:val="00FE0F48"/>
    <w:rsid w:val="00FE2847"/>
    <w:rsid w:val="00FE7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876D0A"/>
  <w15:docId w15:val="{B5D75FBA-9FC0-420D-87B1-46EBB982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A960C1"/>
    <w:rPr>
      <w:rFonts w:ascii="Tahoma" w:hAnsi="Tahoma" w:cs="Tahoma"/>
      <w:sz w:val="16"/>
      <w:szCs w:val="16"/>
    </w:rPr>
  </w:style>
  <w:style w:type="character" w:customStyle="1" w:styleId="BalloonTextChar">
    <w:name w:val="Balloon Text Char"/>
    <w:link w:val="BalloonText"/>
    <w:rsid w:val="00A960C1"/>
    <w:rPr>
      <w:rFonts w:ascii="Tahoma" w:hAnsi="Tahoma" w:cs="Tahoma"/>
      <w:sz w:val="16"/>
      <w:szCs w:val="16"/>
    </w:rPr>
  </w:style>
  <w:style w:type="character" w:styleId="CommentReference">
    <w:name w:val="annotation reference"/>
    <w:rsid w:val="00116E7D"/>
    <w:rPr>
      <w:sz w:val="16"/>
      <w:szCs w:val="16"/>
    </w:rPr>
  </w:style>
  <w:style w:type="paragraph" w:styleId="CommentText">
    <w:name w:val="annotation text"/>
    <w:basedOn w:val="Normal"/>
    <w:link w:val="CommentTextChar"/>
    <w:rsid w:val="00116E7D"/>
    <w:rPr>
      <w:sz w:val="20"/>
      <w:szCs w:val="20"/>
    </w:rPr>
  </w:style>
  <w:style w:type="character" w:customStyle="1" w:styleId="CommentTextChar">
    <w:name w:val="Comment Text Char"/>
    <w:link w:val="CommentText"/>
    <w:rsid w:val="00116E7D"/>
    <w:rPr>
      <w:rFonts w:ascii="Arial" w:hAnsi="Arial"/>
    </w:rPr>
  </w:style>
  <w:style w:type="paragraph" w:styleId="CommentSubject">
    <w:name w:val="annotation subject"/>
    <w:basedOn w:val="CommentText"/>
    <w:next w:val="CommentText"/>
    <w:link w:val="CommentSubjectChar"/>
    <w:rsid w:val="00116E7D"/>
    <w:rPr>
      <w:b/>
      <w:bCs/>
    </w:rPr>
  </w:style>
  <w:style w:type="character" w:customStyle="1" w:styleId="CommentSubjectChar">
    <w:name w:val="Comment Subject Char"/>
    <w:link w:val="CommentSubject"/>
    <w:rsid w:val="00116E7D"/>
    <w:rPr>
      <w:rFonts w:ascii="Arial" w:hAnsi="Arial"/>
      <w:b/>
      <w:bCs/>
    </w:rPr>
  </w:style>
  <w:style w:type="table" w:styleId="TableGrid">
    <w:name w:val="Table Grid"/>
    <w:basedOn w:val="TableNormal"/>
    <w:rsid w:val="0055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E753B"/>
    <w:rPr>
      <w:b/>
      <w:bCs/>
    </w:rPr>
  </w:style>
  <w:style w:type="character" w:styleId="EndnoteReference">
    <w:name w:val="endnote reference"/>
    <w:basedOn w:val="DefaultParagraphFont"/>
    <w:rsid w:val="008B3773"/>
    <w:rPr>
      <w:vertAlign w:val="superscript"/>
    </w:rPr>
  </w:style>
  <w:style w:type="character" w:styleId="Hyperlink">
    <w:name w:val="Hyperlink"/>
    <w:basedOn w:val="DefaultParagraphFont"/>
    <w:rsid w:val="0043166C"/>
    <w:rPr>
      <w:color w:val="0000FF" w:themeColor="hyperlink"/>
      <w:u w:val="single"/>
    </w:rPr>
  </w:style>
  <w:style w:type="paragraph" w:styleId="Revision">
    <w:name w:val="Revision"/>
    <w:hidden/>
    <w:uiPriority w:val="99"/>
    <w:semiHidden/>
    <w:rsid w:val="00983F53"/>
    <w:rPr>
      <w:rFonts w:ascii="Arial" w:hAnsi="Arial"/>
      <w:sz w:val="24"/>
      <w:szCs w:val="24"/>
    </w:rPr>
  </w:style>
  <w:style w:type="character" w:styleId="FollowedHyperlink">
    <w:name w:val="FollowedHyperlink"/>
    <w:basedOn w:val="DefaultParagraphFont"/>
    <w:rsid w:val="00385AF7"/>
    <w:rPr>
      <w:color w:val="800080" w:themeColor="followedHyperlink"/>
      <w:u w:val="single"/>
    </w:rPr>
  </w:style>
  <w:style w:type="character" w:styleId="UnresolvedMention">
    <w:name w:val="Unresolved Mention"/>
    <w:basedOn w:val="DefaultParagraphFont"/>
    <w:uiPriority w:val="99"/>
    <w:semiHidden/>
    <w:unhideWhenUsed/>
    <w:rsid w:val="00A9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69FA1F0334D47B578F006A5C3C8ED" ma:contentTypeVersion="6" ma:contentTypeDescription="Create a new document." ma:contentTypeScope="" ma:versionID="4d56dcb974ac81803a8dfb4654905530">
  <xsd:schema xmlns:xsd="http://www.w3.org/2001/XMLSchema" xmlns:xs="http://www.w3.org/2001/XMLSchema" xmlns:p="http://schemas.microsoft.com/office/2006/metadata/properties" xmlns:ns3="356e6b93-e4b3-4e52-9914-8b9c20074670" targetNamespace="http://schemas.microsoft.com/office/2006/metadata/properties" ma:root="true" ma:fieldsID="cad230d9112710f36ae7418d4cde56f4" ns3:_="">
    <xsd:import namespace="356e6b93-e4b3-4e52-9914-8b9c200746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6b93-e4b3-4e52-9914-8b9c2007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A3A0-9161-4F8A-BFFA-168DC409191C}">
  <ds:schemaRefs>
    <ds:schemaRef ds:uri="http://schemas.microsoft.com/sharepoint/v3/contenttype/forms"/>
  </ds:schemaRefs>
</ds:datastoreItem>
</file>

<file path=customXml/itemProps2.xml><?xml version="1.0" encoding="utf-8"?>
<ds:datastoreItem xmlns:ds="http://schemas.openxmlformats.org/officeDocument/2006/customXml" ds:itemID="{23012C92-2936-4064-B2C0-6B2FE26CE0C3}">
  <ds:schemaRefs>
    <ds:schemaRef ds:uri="http://schemas.openxmlformats.org/package/2006/metadata/core-properties"/>
    <ds:schemaRef ds:uri="356e6b93-e4b3-4e52-9914-8b9c20074670"/>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9B27675-561A-484D-B034-78F0E570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6b93-e4b3-4e52-9914-8b9c2007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EA86F-4DC7-4ADA-B85B-4EB9DDB1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Thuy Dinh</cp:lastModifiedBy>
  <cp:revision>2</cp:revision>
  <cp:lastPrinted>2017-08-01T14:35:00Z</cp:lastPrinted>
  <dcterms:created xsi:type="dcterms:W3CDTF">2023-09-18T22:29:00Z</dcterms:created>
  <dcterms:modified xsi:type="dcterms:W3CDTF">2023-09-18T22:29:00Z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0x0101006B469FA1F0334D47B578F006A5C3C8ED</vt:lpwstr>
  </property>
</Properties>
</file>