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F3A91" w:rsidRPr="009A29A8" w:rsidP="009A29A8" w14:paraId="03ED475B" w14:textId="4F03A208">
      <w:pPr>
        <w:jc w:val="center"/>
        <w:rPr>
          <w:rFonts w:asciiTheme="majorHAnsi" w:hAnsiTheme="majorHAnsi"/>
          <w:sz w:val="28"/>
          <w:u w:val="single"/>
        </w:rPr>
      </w:pPr>
      <w:r w:rsidRPr="00EA6C04">
        <w:rPr>
          <w:rFonts w:asciiTheme="majorHAnsi" w:hAnsiTheme="majorHAnsi"/>
          <w:sz w:val="28"/>
          <w:u w:val="single"/>
        </w:rPr>
        <w:t xml:space="preserve">SUPPORTING </w:t>
      </w:r>
      <w:r w:rsidRPr="00EA6C04" w:rsidR="00127B46">
        <w:rPr>
          <w:rFonts w:asciiTheme="majorHAnsi" w:hAnsiTheme="majorHAnsi"/>
          <w:sz w:val="28"/>
          <w:u w:val="single"/>
        </w:rPr>
        <w:t>STATEMENT -</w:t>
      </w:r>
      <w:r w:rsidRPr="00EA6C04">
        <w:rPr>
          <w:rFonts w:asciiTheme="majorHAnsi" w:hAnsiTheme="majorHAnsi"/>
          <w:sz w:val="28"/>
          <w:u w:val="single"/>
        </w:rPr>
        <w:t xml:space="preserve"> PART A</w:t>
      </w:r>
    </w:p>
    <w:p w:rsidR="00B261A2" w:rsidRPr="009A29A8" w:rsidP="00B261A2" w14:paraId="122D23A9" w14:textId="28A9124E">
      <w:pPr>
        <w:jc w:val="center"/>
        <w:rPr>
          <w:rFonts w:asciiTheme="majorHAnsi" w:hAnsiTheme="majorHAnsi"/>
          <w:sz w:val="24"/>
        </w:rPr>
      </w:pPr>
      <w:r>
        <w:rPr>
          <w:rFonts w:asciiTheme="majorHAnsi" w:hAnsiTheme="majorHAnsi"/>
          <w:bCs/>
          <w:sz w:val="24"/>
          <w:szCs w:val="24"/>
        </w:rPr>
        <w:t xml:space="preserve">Safety Standard for Button Cell or Coin Batteries and </w:t>
      </w:r>
      <w:r>
        <w:rPr>
          <w:rFonts w:asciiTheme="majorHAnsi" w:hAnsiTheme="majorHAnsi"/>
          <w:bCs/>
          <w:sz w:val="24"/>
          <w:szCs w:val="24"/>
        </w:rPr>
        <w:br/>
        <w:t>Consumer Products Containing Such Batteries</w:t>
      </w:r>
      <w:r>
        <w:rPr>
          <w:rFonts w:asciiTheme="majorHAnsi" w:hAnsiTheme="majorHAnsi"/>
          <w:bCs/>
          <w:sz w:val="24"/>
          <w:szCs w:val="24"/>
        </w:rPr>
        <w:br/>
        <w:t>(OMB Control Number 3041-0195)</w:t>
      </w:r>
    </w:p>
    <w:p w:rsidR="00340D9B" w:rsidP="006E563D" w14:paraId="22E7F78E" w14:textId="77777777">
      <w:pPr>
        <w:spacing w:after="0" w:line="240" w:lineRule="auto"/>
        <w:rPr>
          <w:rFonts w:asciiTheme="majorHAnsi" w:hAnsiTheme="majorHAnsi"/>
          <w:sz w:val="24"/>
        </w:rPr>
      </w:pPr>
    </w:p>
    <w:p w:rsidR="005C7428" w:rsidRPr="0085688C" w:rsidP="006E563D" w14:paraId="3810D2AF" w14:textId="77777777">
      <w:pPr>
        <w:spacing w:after="0" w:line="240" w:lineRule="auto"/>
        <w:rPr>
          <w:rFonts w:asciiTheme="majorHAnsi" w:hAnsiTheme="majorHAnsi"/>
          <w:sz w:val="24"/>
        </w:rPr>
      </w:pPr>
      <w:r>
        <w:rPr>
          <w:rFonts w:asciiTheme="majorHAnsi" w:hAnsiTheme="majorHAnsi"/>
          <w:sz w:val="24"/>
        </w:rPr>
        <w:t>1.</w:t>
      </w:r>
      <w:r w:rsidR="00211832">
        <w:rPr>
          <w:rFonts w:asciiTheme="majorHAnsi" w:hAnsiTheme="majorHAnsi"/>
          <w:sz w:val="24"/>
        </w:rPr>
        <w:t xml:space="preserve"> </w:t>
      </w:r>
      <w:r w:rsidR="00510F0C">
        <w:rPr>
          <w:rFonts w:asciiTheme="majorHAnsi" w:hAnsiTheme="majorHAnsi"/>
          <w:sz w:val="24"/>
        </w:rPr>
        <w:tab/>
      </w:r>
      <w:r w:rsidRPr="005C7428">
        <w:rPr>
          <w:rFonts w:asciiTheme="majorHAnsi" w:hAnsiTheme="majorHAnsi"/>
          <w:sz w:val="24"/>
          <w:u w:val="single"/>
        </w:rPr>
        <w:t xml:space="preserve">Need for the Information </w:t>
      </w:r>
      <w:r w:rsidRPr="005C7428" w:rsidR="0085688C">
        <w:rPr>
          <w:rFonts w:asciiTheme="majorHAnsi" w:hAnsiTheme="majorHAnsi"/>
          <w:sz w:val="24"/>
          <w:u w:val="single"/>
        </w:rPr>
        <w:t>Collection</w:t>
      </w:r>
      <w:r w:rsidRPr="0085688C" w:rsidR="0085688C">
        <w:rPr>
          <w:rFonts w:asciiTheme="majorHAnsi" w:hAnsiTheme="majorHAnsi"/>
          <w:sz w:val="24"/>
        </w:rPr>
        <w:t xml:space="preserve"> </w:t>
      </w:r>
    </w:p>
    <w:p w:rsidR="007E40BB" w:rsidP="006E563D" w14:paraId="786F6414" w14:textId="77777777">
      <w:pPr>
        <w:spacing w:after="0" w:line="240" w:lineRule="auto"/>
        <w:rPr>
          <w:rFonts w:asciiTheme="majorHAnsi" w:hAnsiTheme="majorHAnsi"/>
          <w:sz w:val="24"/>
        </w:rPr>
      </w:pPr>
    </w:p>
    <w:p w:rsidR="00C97147" w:rsidP="00C97147" w14:paraId="115231F1" w14:textId="717D8E2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hAnsiTheme="majorHAnsi"/>
          <w:sz w:val="24"/>
          <w:szCs w:val="24"/>
        </w:rPr>
      </w:pPr>
      <w:r w:rsidRPr="00C97147">
        <w:rPr>
          <w:rFonts w:asciiTheme="majorHAnsi" w:hAnsiTheme="majorHAnsi"/>
          <w:sz w:val="24"/>
          <w:szCs w:val="24"/>
        </w:rPr>
        <w:t xml:space="preserve">Based on the requirements in Reese’s Law, 15 U.S.C. </w:t>
      </w:r>
      <w:r w:rsidRPr="00C97147">
        <w:rPr>
          <w:rFonts w:asciiTheme="majorHAnsi" w:hAnsiTheme="majorHAnsi"/>
          <w:sz w:val="24"/>
          <w:szCs w:val="24"/>
        </w:rPr>
        <w:t>2056e</w:t>
      </w:r>
      <w:r w:rsidRPr="00C97147">
        <w:rPr>
          <w:rFonts w:asciiTheme="majorHAnsi" w:hAnsiTheme="majorHAnsi"/>
          <w:sz w:val="24"/>
          <w:szCs w:val="24"/>
        </w:rPr>
        <w:t>(a) and (b), and section 27(e) of the Consumer Product Safety Act (</w:t>
      </w:r>
      <w:r w:rsidRPr="00C97147">
        <w:rPr>
          <w:rFonts w:asciiTheme="majorHAnsi" w:hAnsiTheme="majorHAnsi"/>
          <w:sz w:val="24"/>
          <w:szCs w:val="24"/>
        </w:rPr>
        <w:t>CPSA</w:t>
      </w:r>
      <w:r w:rsidRPr="00C97147">
        <w:rPr>
          <w:rFonts w:asciiTheme="majorHAnsi" w:hAnsiTheme="majorHAnsi"/>
          <w:sz w:val="24"/>
          <w:szCs w:val="24"/>
        </w:rPr>
        <w:t xml:space="preserve">), 15 U.S.C. 2076(e), the rule prescribes performance requirements for child-resistant battery compartments on children’s and non-children’s consumer products that contain or are designed to use button cell or coin batteries, and warning requirements for button cell and coin battery packaging, consumer product packaging, consumer products, accompanying written materials such as instructions, manuals, </w:t>
      </w:r>
      <w:r w:rsidR="000350EC">
        <w:rPr>
          <w:rFonts w:asciiTheme="majorHAnsi" w:hAnsiTheme="majorHAnsi"/>
          <w:sz w:val="24"/>
          <w:szCs w:val="24"/>
        </w:rPr>
        <w:t xml:space="preserve">and </w:t>
      </w:r>
      <w:r w:rsidRPr="00C97147">
        <w:rPr>
          <w:rFonts w:asciiTheme="majorHAnsi" w:hAnsiTheme="majorHAnsi"/>
          <w:sz w:val="24"/>
          <w:szCs w:val="24"/>
        </w:rPr>
        <w:t xml:space="preserve">inserts or hangtags.  These performance and labeling requirements are intended to reduce or eliminate injuries and deaths associated with children 6 years old and younger ingesting button cell or coin batteries.  This collection of information is solely for non-children’s consumer products, meaning (1) products that contain or are designed to use button cell or coin batteries and </w:t>
      </w:r>
      <w:r w:rsidRPr="00C97147">
        <w:rPr>
          <w:rFonts w:asciiTheme="majorHAnsi" w:hAnsiTheme="majorHAnsi"/>
          <w:i/>
          <w:iCs/>
          <w:sz w:val="24"/>
          <w:szCs w:val="24"/>
        </w:rPr>
        <w:t>are not</w:t>
      </w:r>
      <w:r w:rsidRPr="00C97147">
        <w:rPr>
          <w:rFonts w:asciiTheme="majorHAnsi" w:hAnsiTheme="majorHAnsi"/>
          <w:sz w:val="24"/>
          <w:szCs w:val="24"/>
        </w:rPr>
        <w:t xml:space="preserve"> designed or intended primarily for children 12 years old or younger, and (2) labeling of packages of button cell or coin batteries.  15 U.S.C. 2052(a)(2); 16 CFR part 1200.</w:t>
      </w:r>
    </w:p>
    <w:p w:rsidR="00C97147" w:rsidRPr="00C97147" w:rsidP="00C97147" w14:paraId="4D8327E3" w14:textId="7777777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hAnsiTheme="majorHAnsi"/>
          <w:sz w:val="24"/>
          <w:szCs w:val="24"/>
        </w:rPr>
      </w:pPr>
    </w:p>
    <w:p w:rsidR="007E40BB" w:rsidP="00C97147" w14:paraId="6A1ECD59" w14:textId="036D07C2">
      <w:pPr>
        <w:spacing w:after="0" w:line="240" w:lineRule="auto"/>
        <w:rPr>
          <w:rFonts w:asciiTheme="majorHAnsi" w:hAnsiTheme="majorHAnsi"/>
          <w:sz w:val="24"/>
          <w:szCs w:val="24"/>
        </w:rPr>
      </w:pPr>
      <w:r w:rsidRPr="00C97147">
        <w:rPr>
          <w:rFonts w:asciiTheme="majorHAnsi" w:hAnsiTheme="majorHAnsi"/>
          <w:sz w:val="24"/>
          <w:szCs w:val="24"/>
        </w:rPr>
        <w:t xml:space="preserve">In addition to the testing and labeling requirements in the </w:t>
      </w:r>
      <w:r w:rsidR="000350EC">
        <w:rPr>
          <w:rFonts w:asciiTheme="majorHAnsi" w:hAnsiTheme="majorHAnsi"/>
          <w:sz w:val="24"/>
          <w:szCs w:val="24"/>
        </w:rPr>
        <w:t>final</w:t>
      </w:r>
      <w:r w:rsidRPr="00C97147">
        <w:rPr>
          <w:rFonts w:asciiTheme="majorHAnsi" w:hAnsiTheme="majorHAnsi"/>
          <w:sz w:val="24"/>
          <w:szCs w:val="24"/>
        </w:rPr>
        <w:t xml:space="preserve"> rule, section 14(a) of the </w:t>
      </w:r>
      <w:r w:rsidRPr="00C97147">
        <w:rPr>
          <w:rFonts w:asciiTheme="majorHAnsi" w:hAnsiTheme="majorHAnsi"/>
          <w:sz w:val="24"/>
          <w:szCs w:val="24"/>
        </w:rPr>
        <w:t>CPSA</w:t>
      </w:r>
      <w:r w:rsidRPr="00C97147">
        <w:rPr>
          <w:rFonts w:asciiTheme="majorHAnsi" w:hAnsiTheme="majorHAnsi"/>
          <w:sz w:val="24"/>
          <w:szCs w:val="24"/>
        </w:rPr>
        <w:t xml:space="preserve"> requires that manufacturers (including importers) of non-children’s products subject to a rule issue a general certificate of conformity.  GCCs certify the products as being compliant with applicable regulations and must be based on a test of each product or a reasonable testing program.  Unlike children’s products, products that have GCCs are not required to undergo third party testing.  Section 14(g) and 16 CFR part 1110 state the requirements for GCCs.  Among other requirements, each certificate must identify the manufacturer issuing the certificate, any laboratory conducting testing on which the certificate depends, the date and </w:t>
      </w:r>
      <w:r w:rsidRPr="00C97147">
        <w:rPr>
          <w:rFonts w:asciiTheme="majorHAnsi" w:hAnsiTheme="majorHAnsi"/>
          <w:color w:val="000000"/>
          <w:sz w:val="24"/>
          <w:szCs w:val="24"/>
        </w:rPr>
        <w:t xml:space="preserve">place of manufacture, the date and place where the product was tested, each party’s name, full mailing address, and telephone number, and contact information for the individual responsible for maintaining records of test results.  </w:t>
      </w:r>
      <w:r w:rsidRPr="00C97147">
        <w:rPr>
          <w:rFonts w:asciiTheme="majorHAnsi" w:hAnsiTheme="majorHAnsi"/>
          <w:sz w:val="24"/>
          <w:szCs w:val="24"/>
        </w:rPr>
        <w:t>The certificates must be in English.  The certificates must be furnished to each distributor or retailer of the product and to the CPSC, if requested.</w:t>
      </w:r>
    </w:p>
    <w:p w:rsidR="00C97147" w:rsidRPr="00C97147" w:rsidP="00C97147" w14:paraId="38144FCE" w14:textId="77777777">
      <w:pPr>
        <w:spacing w:after="0" w:line="240" w:lineRule="auto"/>
        <w:rPr>
          <w:rFonts w:asciiTheme="majorHAnsi" w:hAnsiTheme="majorHAnsi"/>
          <w:sz w:val="24"/>
        </w:rPr>
      </w:pPr>
    </w:p>
    <w:p w:rsidR="005C7428" w:rsidRPr="0085688C" w:rsidP="006E563D" w14:paraId="3AB8B409" w14:textId="77777777">
      <w:pPr>
        <w:spacing w:after="0" w:line="240" w:lineRule="auto"/>
        <w:rPr>
          <w:rFonts w:asciiTheme="majorHAnsi" w:hAnsiTheme="majorHAnsi"/>
          <w:sz w:val="24"/>
        </w:rPr>
      </w:pPr>
      <w:r>
        <w:rPr>
          <w:rFonts w:asciiTheme="majorHAnsi" w:hAnsiTheme="majorHAnsi"/>
          <w:sz w:val="24"/>
        </w:rPr>
        <w:t>2.</w:t>
      </w:r>
      <w:r>
        <w:rPr>
          <w:rFonts w:asciiTheme="majorHAnsi" w:hAnsiTheme="majorHAnsi"/>
          <w:sz w:val="24"/>
        </w:rPr>
        <w:tab/>
      </w:r>
      <w:r w:rsidRPr="005C7428">
        <w:rPr>
          <w:rFonts w:asciiTheme="majorHAnsi" w:hAnsiTheme="majorHAnsi"/>
          <w:sz w:val="24"/>
          <w:u w:val="single"/>
        </w:rPr>
        <w:t xml:space="preserve">Use of the </w:t>
      </w:r>
      <w:r w:rsidRPr="005C7428" w:rsidR="0085688C">
        <w:rPr>
          <w:rFonts w:asciiTheme="majorHAnsi" w:hAnsiTheme="majorHAnsi"/>
          <w:sz w:val="24"/>
          <w:u w:val="single"/>
        </w:rPr>
        <w:t>Information</w:t>
      </w:r>
      <w:r w:rsidR="0085688C">
        <w:rPr>
          <w:rFonts w:asciiTheme="majorHAnsi" w:hAnsiTheme="majorHAnsi"/>
          <w:sz w:val="24"/>
        </w:rPr>
        <w:t xml:space="preserve"> </w:t>
      </w:r>
    </w:p>
    <w:p w:rsidR="00511580" w:rsidRPr="00511580" w:rsidP="00511580" w14:paraId="5ADF9BE7" w14:textId="77777777">
      <w:pPr>
        <w:spacing w:after="0" w:line="240" w:lineRule="auto"/>
        <w:rPr>
          <w:rFonts w:asciiTheme="majorHAnsi" w:hAnsiTheme="majorHAnsi"/>
          <w:i/>
          <w:sz w:val="24"/>
        </w:rPr>
      </w:pPr>
    </w:p>
    <w:p w:rsidR="001A10BB" w:rsidP="001A10BB" w14:paraId="190DB15E" w14:textId="77777777">
      <w:pPr>
        <w:spacing w:after="0" w:line="240" w:lineRule="auto"/>
        <w:rPr>
          <w:rFonts w:asciiTheme="majorHAnsi" w:hAnsiTheme="majorHAnsi"/>
          <w:sz w:val="24"/>
          <w:szCs w:val="24"/>
        </w:rPr>
      </w:pPr>
      <w:r w:rsidRPr="00A57768">
        <w:rPr>
          <w:rFonts w:asciiTheme="majorHAnsi" w:hAnsiTheme="majorHAnsi"/>
          <w:sz w:val="24"/>
          <w:szCs w:val="24"/>
        </w:rPr>
        <w:t>The information collected will be used to eliminate or adequately reduce the risk of injury from ingestion of button cell or coin batteries by children 6 years old and younger.</w:t>
      </w:r>
    </w:p>
    <w:p w:rsidR="001A10BB" w:rsidP="00511580" w14:paraId="476FE3C6" w14:textId="77777777">
      <w:pPr>
        <w:spacing w:after="0" w:line="240" w:lineRule="auto"/>
        <w:rPr>
          <w:rFonts w:asciiTheme="majorHAnsi" w:hAnsiTheme="majorHAnsi"/>
          <w:sz w:val="24"/>
          <w:szCs w:val="24"/>
        </w:rPr>
      </w:pPr>
    </w:p>
    <w:p w:rsidR="00511580" w:rsidRPr="00511580" w:rsidP="00511580" w14:paraId="4F6CD691" w14:textId="1658FA75">
      <w:pPr>
        <w:spacing w:after="0" w:line="240" w:lineRule="auto"/>
        <w:rPr>
          <w:rFonts w:asciiTheme="majorHAnsi" w:hAnsiTheme="majorHAnsi"/>
          <w:sz w:val="24"/>
          <w:szCs w:val="24"/>
        </w:rPr>
      </w:pPr>
      <w:r w:rsidRPr="00511580">
        <w:rPr>
          <w:rFonts w:asciiTheme="majorHAnsi" w:hAnsiTheme="majorHAnsi"/>
          <w:sz w:val="24"/>
          <w:szCs w:val="24"/>
        </w:rPr>
        <w:t>As required by Reese’s Law, the rule establishes performance</w:t>
      </w:r>
      <w:r w:rsidR="000004DC">
        <w:rPr>
          <w:rFonts w:asciiTheme="majorHAnsi" w:hAnsiTheme="majorHAnsi"/>
          <w:sz w:val="24"/>
          <w:szCs w:val="24"/>
        </w:rPr>
        <w:t xml:space="preserve"> and labeling</w:t>
      </w:r>
      <w:r w:rsidRPr="00511580">
        <w:rPr>
          <w:rFonts w:asciiTheme="majorHAnsi" w:hAnsiTheme="majorHAnsi"/>
          <w:sz w:val="24"/>
          <w:szCs w:val="24"/>
        </w:rPr>
        <w:t xml:space="preserve"> requirements for child-resistant button cell or coin battery compartments on consumer products that contain, or are designed to contain, such batteries. Reese’s Law requires warning labels for </w:t>
      </w:r>
      <w:r w:rsidRPr="00511580">
        <w:rPr>
          <w:rFonts w:asciiTheme="majorHAnsi" w:hAnsiTheme="majorHAnsi"/>
          <w:sz w:val="24"/>
          <w:szCs w:val="24"/>
        </w:rPr>
        <w:t xml:space="preserve">the: (1) packaging of button cell or coin batteries; (2) packaging of consumer products containing such button cell or coin batteries; (3) where practicable, battery compartments on consumer products that use button cell or coin batteries (regardless of whether they are replaceable); and (4) any literature, such as a user manual, that accompanies a consumer product containing button cell or coin batteries. 15 U.S.C. </w:t>
      </w:r>
      <w:r w:rsidRPr="00511580">
        <w:rPr>
          <w:rFonts w:asciiTheme="majorHAnsi" w:hAnsiTheme="majorHAnsi"/>
          <w:sz w:val="24"/>
          <w:szCs w:val="24"/>
        </w:rPr>
        <w:t>2056e</w:t>
      </w:r>
      <w:r w:rsidRPr="00511580">
        <w:rPr>
          <w:rFonts w:asciiTheme="majorHAnsi" w:hAnsiTheme="majorHAnsi"/>
          <w:sz w:val="24"/>
          <w:szCs w:val="24"/>
        </w:rPr>
        <w:t xml:space="preserve">(a), (b). </w:t>
      </w:r>
    </w:p>
    <w:p w:rsidR="00511580" w:rsidP="00511580" w14:paraId="1D7056DD" w14:textId="77777777">
      <w:pPr>
        <w:spacing w:after="0" w:line="240" w:lineRule="auto"/>
        <w:rPr>
          <w:rFonts w:asciiTheme="majorHAnsi" w:hAnsiTheme="majorHAnsi"/>
          <w:i/>
          <w:sz w:val="24"/>
        </w:rPr>
      </w:pPr>
    </w:p>
    <w:p w:rsidR="001A10BB" w:rsidRPr="001A10BB" w:rsidP="006E563D" w14:paraId="1C9970F0" w14:textId="4C456DEA">
      <w:pPr>
        <w:spacing w:after="0" w:line="240" w:lineRule="auto"/>
        <w:rPr>
          <w:rFonts w:asciiTheme="majorHAnsi" w:hAnsiTheme="majorHAnsi"/>
          <w:sz w:val="24"/>
          <w:szCs w:val="24"/>
        </w:rPr>
      </w:pPr>
      <w:r w:rsidRPr="001A10BB">
        <w:rPr>
          <w:rFonts w:asciiTheme="majorHAnsi" w:hAnsiTheme="majorHAnsi"/>
          <w:sz w:val="24"/>
          <w:szCs w:val="24"/>
        </w:rPr>
        <w:t xml:space="preserve">Respondents include manufacturers and importers of non-children’s products that contain or are designed to use button cell or coin batteries, and manufacturers and importers of packages of button cell or coin batteries.  Manufacturers and importers must comply with the information collection requirements when non-children’s products that contain or use button cell or coin batteries, and packages of button cell or coin batteries, are manufactured or imported after the effective date of the </w:t>
      </w:r>
      <w:r w:rsidR="000350EC">
        <w:rPr>
          <w:rFonts w:asciiTheme="majorHAnsi" w:hAnsiTheme="majorHAnsi"/>
          <w:sz w:val="24"/>
          <w:szCs w:val="24"/>
        </w:rPr>
        <w:t>rule</w:t>
      </w:r>
      <w:r w:rsidRPr="001A10BB">
        <w:rPr>
          <w:rFonts w:asciiTheme="majorHAnsi" w:hAnsiTheme="majorHAnsi"/>
          <w:sz w:val="24"/>
          <w:szCs w:val="24"/>
        </w:rPr>
        <w:t>.</w:t>
      </w:r>
    </w:p>
    <w:p w:rsidR="00CF2057" w:rsidP="006E563D" w14:paraId="4D2E73BD" w14:textId="77777777">
      <w:pPr>
        <w:spacing w:after="0" w:line="240" w:lineRule="auto"/>
        <w:rPr>
          <w:rFonts w:asciiTheme="majorHAnsi" w:hAnsiTheme="majorHAnsi"/>
          <w:i/>
          <w:sz w:val="24"/>
        </w:rPr>
      </w:pPr>
    </w:p>
    <w:p w:rsidR="005C7428" w:rsidRPr="0085688C" w:rsidP="006E563D" w14:paraId="0A1AEA10" w14:textId="77777777">
      <w:pPr>
        <w:spacing w:after="0" w:line="240" w:lineRule="auto"/>
        <w:rPr>
          <w:rFonts w:asciiTheme="majorHAnsi" w:hAnsiTheme="majorHAnsi"/>
          <w:sz w:val="24"/>
        </w:rPr>
      </w:pPr>
      <w:r>
        <w:rPr>
          <w:rFonts w:asciiTheme="majorHAnsi" w:hAnsiTheme="majorHAnsi"/>
          <w:sz w:val="24"/>
        </w:rPr>
        <w:t xml:space="preserve">3. </w:t>
      </w:r>
      <w:r>
        <w:rPr>
          <w:rFonts w:asciiTheme="majorHAnsi" w:hAnsiTheme="majorHAnsi"/>
          <w:sz w:val="24"/>
        </w:rPr>
        <w:tab/>
      </w:r>
      <w:r w:rsidRPr="005C7428">
        <w:rPr>
          <w:rFonts w:asciiTheme="majorHAnsi" w:hAnsiTheme="majorHAnsi"/>
          <w:sz w:val="24"/>
          <w:u w:val="single"/>
        </w:rPr>
        <w:t>Use of Information Technology</w:t>
      </w:r>
      <w:r w:rsidR="0085688C">
        <w:rPr>
          <w:rFonts w:asciiTheme="majorHAnsi" w:hAnsiTheme="majorHAnsi"/>
          <w:sz w:val="24"/>
          <w:u w:val="single"/>
        </w:rPr>
        <w:t xml:space="preserve"> </w:t>
      </w:r>
    </w:p>
    <w:p w:rsidR="00B55E9F" w:rsidP="006E563D" w14:paraId="45921778" w14:textId="77777777">
      <w:pPr>
        <w:spacing w:after="0" w:line="240" w:lineRule="auto"/>
        <w:rPr>
          <w:rFonts w:asciiTheme="majorHAnsi" w:hAnsiTheme="majorHAnsi"/>
          <w:i/>
          <w:sz w:val="24"/>
        </w:rPr>
      </w:pPr>
    </w:p>
    <w:p w:rsidR="00BA11CF" w:rsidRPr="00BA11CF" w:rsidP="006E563D" w14:paraId="252399B5" w14:textId="15807F3D">
      <w:pPr>
        <w:spacing w:after="0" w:line="240" w:lineRule="auto"/>
        <w:rPr>
          <w:rFonts w:asciiTheme="majorHAnsi" w:hAnsiTheme="majorHAnsi"/>
          <w:sz w:val="24"/>
          <w:szCs w:val="24"/>
        </w:rPr>
      </w:pPr>
      <w:r w:rsidRPr="00BA11CF">
        <w:rPr>
          <w:rFonts w:asciiTheme="majorHAnsi" w:hAnsiTheme="majorHAnsi"/>
          <w:sz w:val="24"/>
          <w:szCs w:val="24"/>
        </w:rPr>
        <w:t xml:space="preserve">To address the hazard of button cell or coin batteries, the </w:t>
      </w:r>
      <w:r w:rsidR="0002657A">
        <w:rPr>
          <w:rFonts w:asciiTheme="majorHAnsi" w:hAnsiTheme="majorHAnsi"/>
          <w:sz w:val="24"/>
          <w:szCs w:val="24"/>
        </w:rPr>
        <w:t>final</w:t>
      </w:r>
      <w:r w:rsidRPr="00BA11CF">
        <w:rPr>
          <w:rFonts w:asciiTheme="majorHAnsi" w:hAnsiTheme="majorHAnsi"/>
          <w:sz w:val="24"/>
          <w:szCs w:val="24"/>
        </w:rPr>
        <w:t xml:space="preserve"> rule requires warning</w:t>
      </w:r>
      <w:r w:rsidR="00C97147">
        <w:rPr>
          <w:rFonts w:asciiTheme="majorHAnsi" w:hAnsiTheme="majorHAnsi"/>
          <w:sz w:val="24"/>
          <w:szCs w:val="24"/>
        </w:rPr>
        <w:t>s</w:t>
      </w:r>
      <w:r w:rsidR="003E0D63">
        <w:rPr>
          <w:rFonts w:asciiTheme="majorHAnsi" w:hAnsiTheme="majorHAnsi"/>
          <w:sz w:val="24"/>
          <w:szCs w:val="24"/>
        </w:rPr>
        <w:t xml:space="preserve"> and labeling</w:t>
      </w:r>
      <w:r w:rsidRPr="00BA11CF">
        <w:rPr>
          <w:rFonts w:asciiTheme="majorHAnsi" w:hAnsiTheme="majorHAnsi"/>
          <w:sz w:val="24"/>
          <w:szCs w:val="24"/>
        </w:rPr>
        <w:t xml:space="preserve">. </w:t>
      </w:r>
      <w:r w:rsidR="00C97147">
        <w:rPr>
          <w:rFonts w:asciiTheme="majorHAnsi" w:hAnsiTheme="majorHAnsi"/>
          <w:sz w:val="24"/>
          <w:szCs w:val="24"/>
        </w:rPr>
        <w:t>Required warnings</w:t>
      </w:r>
      <w:r w:rsidR="00923AA5">
        <w:rPr>
          <w:rFonts w:asciiTheme="majorHAnsi" w:hAnsiTheme="majorHAnsi"/>
          <w:sz w:val="24"/>
          <w:szCs w:val="24"/>
        </w:rPr>
        <w:t xml:space="preserve"> on packaging are</w:t>
      </w:r>
      <w:r>
        <w:rPr>
          <w:rFonts w:asciiTheme="majorHAnsi" w:hAnsiTheme="majorHAnsi"/>
          <w:sz w:val="24"/>
          <w:szCs w:val="24"/>
        </w:rPr>
        <w:t xml:space="preserve"> not </w:t>
      </w:r>
      <w:r w:rsidR="00157E34">
        <w:rPr>
          <w:rFonts w:asciiTheme="majorHAnsi" w:hAnsiTheme="majorHAnsi"/>
          <w:sz w:val="24"/>
          <w:szCs w:val="24"/>
        </w:rPr>
        <w:t xml:space="preserve">electronic, however </w:t>
      </w:r>
      <w:r w:rsidR="0002657A">
        <w:rPr>
          <w:rFonts w:asciiTheme="majorHAnsi" w:hAnsiTheme="majorHAnsi"/>
          <w:sz w:val="24"/>
          <w:szCs w:val="24"/>
        </w:rPr>
        <w:t>CPSC staff utilizes appropriate forms of information technology, such as electronic communication, when appropriate to reduce unnecessary burden.</w:t>
      </w:r>
    </w:p>
    <w:p w:rsidR="008635C4" w:rsidP="006E563D" w14:paraId="61CC744B" w14:textId="77777777">
      <w:pPr>
        <w:spacing w:after="0" w:line="240" w:lineRule="auto"/>
        <w:rPr>
          <w:rFonts w:asciiTheme="majorHAnsi" w:hAnsiTheme="majorHAnsi"/>
          <w:i/>
          <w:sz w:val="24"/>
        </w:rPr>
      </w:pPr>
    </w:p>
    <w:p w:rsidR="008635C4" w:rsidRPr="0085688C" w:rsidP="006E563D" w14:paraId="7B963C48" w14:textId="77777777">
      <w:pPr>
        <w:spacing w:after="0" w:line="240" w:lineRule="auto"/>
        <w:rPr>
          <w:rFonts w:asciiTheme="majorHAnsi" w:hAnsiTheme="majorHAnsi"/>
          <w:sz w:val="24"/>
        </w:rPr>
      </w:pPr>
      <w:r>
        <w:rPr>
          <w:rFonts w:asciiTheme="majorHAnsi" w:hAnsiTheme="majorHAnsi"/>
          <w:sz w:val="24"/>
        </w:rPr>
        <w:t xml:space="preserve">4. </w:t>
      </w:r>
      <w:r>
        <w:rPr>
          <w:rFonts w:asciiTheme="majorHAnsi" w:hAnsiTheme="majorHAnsi"/>
          <w:sz w:val="24"/>
        </w:rPr>
        <w:tab/>
      </w:r>
      <w:r w:rsidRPr="008635C4">
        <w:rPr>
          <w:rFonts w:asciiTheme="majorHAnsi" w:hAnsiTheme="majorHAnsi"/>
          <w:sz w:val="24"/>
          <w:u w:val="single"/>
        </w:rPr>
        <w:t>Non-duplication</w:t>
      </w:r>
    </w:p>
    <w:p w:rsidR="00857373" w:rsidP="006E563D" w14:paraId="4D938A98" w14:textId="77777777">
      <w:pPr>
        <w:spacing w:after="0" w:line="240" w:lineRule="auto"/>
        <w:rPr>
          <w:rFonts w:asciiTheme="majorHAnsi" w:hAnsiTheme="majorHAnsi"/>
          <w:sz w:val="24"/>
        </w:rPr>
      </w:pPr>
    </w:p>
    <w:p w:rsidR="00CA15B1" w:rsidP="006E563D" w14:paraId="3038CD8D" w14:textId="77777777">
      <w:pPr>
        <w:spacing w:after="0" w:line="240" w:lineRule="auto"/>
        <w:rPr>
          <w:rFonts w:asciiTheme="majorHAnsi" w:hAnsiTheme="majorHAnsi"/>
          <w:i/>
          <w:sz w:val="24"/>
        </w:rPr>
      </w:pPr>
      <w:r w:rsidRPr="00857373">
        <w:rPr>
          <w:rFonts w:asciiTheme="majorHAnsi" w:hAnsiTheme="majorHAnsi"/>
          <w:sz w:val="24"/>
        </w:rPr>
        <w:t>The information obtained through this collection is unique and is not already available for use or adaptation from another cleared source.</w:t>
      </w:r>
      <w:r w:rsidRPr="00200261">
        <w:rPr>
          <w:rFonts w:asciiTheme="majorHAnsi" w:hAnsiTheme="majorHAnsi"/>
          <w:sz w:val="24"/>
        </w:rPr>
        <w:t xml:space="preserve"> </w:t>
      </w:r>
    </w:p>
    <w:p w:rsidR="00CA15B1" w:rsidP="006E563D" w14:paraId="0E325605" w14:textId="77777777">
      <w:pPr>
        <w:spacing w:after="0" w:line="240" w:lineRule="auto"/>
        <w:rPr>
          <w:rFonts w:asciiTheme="majorHAnsi" w:hAnsiTheme="majorHAnsi"/>
          <w:i/>
          <w:sz w:val="24"/>
        </w:rPr>
      </w:pPr>
    </w:p>
    <w:p w:rsidR="00CA15B1" w:rsidP="006E563D" w14:paraId="3C1AAF58" w14:textId="77777777">
      <w:pPr>
        <w:spacing w:after="0" w:line="240" w:lineRule="auto"/>
        <w:rPr>
          <w:rFonts w:asciiTheme="majorHAnsi" w:hAnsiTheme="majorHAnsi"/>
          <w:sz w:val="24"/>
        </w:rPr>
      </w:pPr>
      <w:r>
        <w:rPr>
          <w:rFonts w:asciiTheme="majorHAnsi" w:hAnsiTheme="majorHAnsi"/>
          <w:sz w:val="24"/>
        </w:rPr>
        <w:t xml:space="preserve">5. </w:t>
      </w:r>
      <w:r>
        <w:rPr>
          <w:rFonts w:asciiTheme="majorHAnsi" w:hAnsiTheme="majorHAnsi"/>
          <w:sz w:val="24"/>
        </w:rPr>
        <w:tab/>
      </w:r>
      <w:r w:rsidRPr="00CA15B1">
        <w:rPr>
          <w:rFonts w:asciiTheme="majorHAnsi" w:hAnsiTheme="majorHAnsi"/>
          <w:sz w:val="24"/>
          <w:u w:val="single"/>
        </w:rPr>
        <w:t>Burden on Small Businesses</w:t>
      </w:r>
    </w:p>
    <w:p w:rsidR="00B55E9F" w:rsidP="006E563D" w14:paraId="66C59F47" w14:textId="77777777">
      <w:pPr>
        <w:spacing w:after="0" w:line="240" w:lineRule="auto"/>
        <w:rPr>
          <w:rFonts w:asciiTheme="majorHAnsi" w:hAnsiTheme="majorHAnsi"/>
          <w:i/>
          <w:sz w:val="24"/>
        </w:rPr>
      </w:pPr>
    </w:p>
    <w:p w:rsidR="002567F9" w:rsidRPr="00316AC5" w:rsidP="006E563D" w14:paraId="467C5E9A" w14:textId="50BF86D4">
      <w:pPr>
        <w:spacing w:after="0" w:line="240" w:lineRule="auto"/>
        <w:rPr>
          <w:rFonts w:asciiTheme="majorHAnsi" w:hAnsiTheme="majorHAnsi"/>
          <w:sz w:val="24"/>
          <w:szCs w:val="24"/>
        </w:rPr>
      </w:pPr>
      <w:r w:rsidRPr="00316AC5">
        <w:rPr>
          <w:rFonts w:asciiTheme="majorHAnsi" w:hAnsiTheme="majorHAnsi"/>
          <w:sz w:val="24"/>
          <w:szCs w:val="24"/>
        </w:rPr>
        <w:t xml:space="preserve">Under U.S. Small Business Administration </w:t>
      </w:r>
      <w:r w:rsidR="00316AC5">
        <w:rPr>
          <w:rFonts w:asciiTheme="majorHAnsi" w:hAnsiTheme="majorHAnsi"/>
          <w:sz w:val="24"/>
          <w:szCs w:val="24"/>
        </w:rPr>
        <w:t xml:space="preserve">(SBA) </w:t>
      </w:r>
      <w:r w:rsidRPr="00316AC5">
        <w:rPr>
          <w:rFonts w:asciiTheme="majorHAnsi" w:hAnsiTheme="majorHAnsi"/>
          <w:sz w:val="24"/>
          <w:szCs w:val="24"/>
        </w:rPr>
        <w:t xml:space="preserve">guidelines, a manufacturer, importer, and retailer of button cell or coin battery-powered consumer products is categorized as ‘‘small,’’ based on the associated NAICS code. Manufacturers are categorized as small by the number of employees and importers/retailers by annual revenues. Based on 2017 data from </w:t>
      </w:r>
      <w:r w:rsidR="0002657A">
        <w:rPr>
          <w:rFonts w:asciiTheme="majorHAnsi" w:hAnsiTheme="majorHAnsi"/>
          <w:sz w:val="24"/>
          <w:szCs w:val="24"/>
        </w:rPr>
        <w:t xml:space="preserve">the </w:t>
      </w:r>
      <w:r w:rsidRPr="00316AC5">
        <w:rPr>
          <w:rFonts w:asciiTheme="majorHAnsi" w:hAnsiTheme="majorHAnsi"/>
          <w:sz w:val="24"/>
          <w:szCs w:val="24"/>
        </w:rPr>
        <w:t xml:space="preserve">U.S. Census Bureau, and a sample of retailers’ estimated revenues, </w:t>
      </w:r>
      <w:r w:rsidRPr="00316AC5" w:rsidR="00316AC5">
        <w:rPr>
          <w:rFonts w:asciiTheme="majorHAnsi" w:hAnsiTheme="majorHAnsi"/>
          <w:sz w:val="24"/>
          <w:szCs w:val="24"/>
        </w:rPr>
        <w:t xml:space="preserve">CPSC </w:t>
      </w:r>
      <w:r w:rsidRPr="00316AC5">
        <w:rPr>
          <w:rFonts w:asciiTheme="majorHAnsi" w:hAnsiTheme="majorHAnsi"/>
          <w:sz w:val="24"/>
          <w:szCs w:val="24"/>
        </w:rPr>
        <w:t xml:space="preserve">staff </w:t>
      </w:r>
      <w:r w:rsidRPr="00316AC5" w:rsidR="00316AC5">
        <w:rPr>
          <w:rFonts w:asciiTheme="majorHAnsi" w:hAnsiTheme="majorHAnsi"/>
          <w:sz w:val="24"/>
          <w:szCs w:val="24"/>
        </w:rPr>
        <w:t xml:space="preserve">have </w:t>
      </w:r>
      <w:r w:rsidRPr="00316AC5">
        <w:rPr>
          <w:rFonts w:asciiTheme="majorHAnsi" w:hAnsiTheme="majorHAnsi"/>
          <w:sz w:val="24"/>
          <w:szCs w:val="24"/>
        </w:rPr>
        <w:t xml:space="preserve">estimated the number of firms classified as small </w:t>
      </w:r>
      <w:r w:rsidRPr="00316AC5" w:rsidR="00316AC5">
        <w:rPr>
          <w:rFonts w:asciiTheme="majorHAnsi" w:hAnsiTheme="majorHAnsi"/>
          <w:sz w:val="24"/>
          <w:szCs w:val="24"/>
        </w:rPr>
        <w:t>by</w:t>
      </w:r>
      <w:r w:rsidRPr="00316AC5">
        <w:rPr>
          <w:rFonts w:asciiTheme="majorHAnsi" w:hAnsiTheme="majorHAnsi"/>
          <w:sz w:val="24"/>
          <w:szCs w:val="24"/>
        </w:rPr>
        <w:t xml:space="preserve"> NAICS code </w:t>
      </w:r>
      <w:r w:rsidR="00316AC5">
        <w:rPr>
          <w:rFonts w:asciiTheme="majorHAnsi" w:hAnsiTheme="majorHAnsi"/>
          <w:sz w:val="24"/>
          <w:szCs w:val="24"/>
        </w:rPr>
        <w:t>that meet the SBA size standard</w:t>
      </w:r>
      <w:r w:rsidRPr="00316AC5">
        <w:rPr>
          <w:rFonts w:asciiTheme="majorHAnsi" w:hAnsiTheme="majorHAnsi"/>
          <w:sz w:val="24"/>
          <w:szCs w:val="24"/>
        </w:rPr>
        <w:t>.</w:t>
      </w:r>
    </w:p>
    <w:p w:rsidR="00316AC5" w:rsidRPr="007F6F62" w:rsidP="006E563D" w14:paraId="2C4624CB" w14:textId="77777777">
      <w:pPr>
        <w:spacing w:after="0" w:line="240" w:lineRule="auto"/>
        <w:rPr>
          <w:rFonts w:asciiTheme="majorHAnsi" w:hAnsiTheme="majorHAnsi"/>
          <w:sz w:val="24"/>
          <w:szCs w:val="24"/>
        </w:rPr>
      </w:pPr>
    </w:p>
    <w:p w:rsidR="00316AC5" w:rsidRPr="007F6F62" w:rsidP="00316AC5" w14:paraId="19FE5A56" w14:textId="7D7A1AE3">
      <w:pPr>
        <w:rPr>
          <w:rFonts w:asciiTheme="majorHAnsi" w:hAnsiTheme="majorHAnsi"/>
          <w:sz w:val="24"/>
          <w:szCs w:val="24"/>
        </w:rPr>
      </w:pPr>
      <w:r w:rsidRPr="007F6F62">
        <w:rPr>
          <w:rFonts w:asciiTheme="majorHAnsi" w:hAnsiTheme="majorHAnsi"/>
          <w:sz w:val="24"/>
          <w:szCs w:val="24"/>
        </w:rPr>
        <w:t xml:space="preserve">To reduce the impact of the </w:t>
      </w:r>
      <w:r w:rsidR="003E6883">
        <w:rPr>
          <w:rFonts w:asciiTheme="majorHAnsi" w:hAnsiTheme="majorHAnsi"/>
          <w:sz w:val="24"/>
          <w:szCs w:val="24"/>
        </w:rPr>
        <w:t>final</w:t>
      </w:r>
      <w:r w:rsidRPr="007F6F62">
        <w:rPr>
          <w:rFonts w:asciiTheme="majorHAnsi" w:hAnsiTheme="majorHAnsi"/>
          <w:sz w:val="24"/>
          <w:szCs w:val="24"/>
        </w:rPr>
        <w:t xml:space="preserve"> rule on small firms, CPSC proposes not to require labeling of zinc-air batteries, which do not pose the same type of ingestion hazard as other button cell or coin batteries.</w:t>
      </w:r>
    </w:p>
    <w:p w:rsidR="00316AC5" w:rsidRPr="00B2165C" w:rsidP="00B2165C" w14:paraId="4DDC5FDF" w14:textId="77777777">
      <w:pPr>
        <w:rPr>
          <w:rFonts w:asciiTheme="majorHAnsi" w:hAnsiTheme="majorHAnsi"/>
          <w:sz w:val="24"/>
          <w:szCs w:val="24"/>
        </w:rPr>
      </w:pPr>
      <w:r>
        <w:rPr>
          <w:rFonts w:asciiTheme="majorHAnsi" w:hAnsiTheme="majorHAnsi"/>
          <w:sz w:val="24"/>
          <w:szCs w:val="24"/>
        </w:rPr>
        <w:t xml:space="preserve">In addition, </w:t>
      </w:r>
      <w:r w:rsidRPr="00316AC5">
        <w:rPr>
          <w:rFonts w:asciiTheme="majorHAnsi" w:hAnsiTheme="majorHAnsi"/>
          <w:sz w:val="24"/>
          <w:szCs w:val="24"/>
        </w:rPr>
        <w:t xml:space="preserve">CPSC provides a variety of resources to help both new and experienced small businesses learn about safety requirements that apply to consumer products, including the CPSC Regulatory Robot, small business education videos, and the Small Business Ombudsman. Many of these resources can be accessed online at: </w:t>
      </w:r>
      <w:hyperlink r:id="rId6" w:history="1">
        <w:r w:rsidRPr="00316AC5">
          <w:rPr>
            <w:rStyle w:val="Hyperlink"/>
            <w:rFonts w:asciiTheme="majorHAnsi" w:hAnsiTheme="majorHAnsi"/>
            <w:sz w:val="24"/>
            <w:szCs w:val="24"/>
          </w:rPr>
          <w:t>https://</w:t>
        </w:r>
        <w:r w:rsidRPr="00316AC5">
          <w:rPr>
            <w:rStyle w:val="Hyperlink"/>
            <w:rFonts w:asciiTheme="majorHAnsi" w:hAnsiTheme="majorHAnsi"/>
            <w:sz w:val="24"/>
            <w:szCs w:val="24"/>
          </w:rPr>
          <w:t>www.cpsc.gov</w:t>
        </w:r>
        <w:r w:rsidRPr="00316AC5">
          <w:rPr>
            <w:rStyle w:val="Hyperlink"/>
            <w:rFonts w:asciiTheme="majorHAnsi" w:hAnsiTheme="majorHAnsi"/>
            <w:sz w:val="24"/>
            <w:szCs w:val="24"/>
          </w:rPr>
          <w:t>/Business--Manufacturing/Small-Business-Resources</w:t>
        </w:r>
      </w:hyperlink>
      <w:r w:rsidRPr="00316AC5">
        <w:rPr>
          <w:rFonts w:asciiTheme="majorHAnsi" w:hAnsiTheme="majorHAnsi"/>
          <w:sz w:val="24"/>
          <w:szCs w:val="24"/>
        </w:rPr>
        <w:t>. Small firms can reach the Small Business Ombudsman by calling (888) 531-9070.</w:t>
      </w:r>
    </w:p>
    <w:p w:rsidR="002567F9" w:rsidRPr="0085688C" w:rsidP="003E0D63" w14:paraId="0DBF4D90" w14:textId="0FAB1088">
      <w:pPr>
        <w:keepNext/>
        <w:keepLines/>
        <w:spacing w:after="0" w:line="240" w:lineRule="auto"/>
        <w:rPr>
          <w:rFonts w:asciiTheme="majorHAnsi" w:hAnsiTheme="majorHAnsi"/>
          <w:sz w:val="24"/>
        </w:rPr>
      </w:pPr>
      <w:r w:rsidRPr="002567F9">
        <w:rPr>
          <w:rFonts w:asciiTheme="majorHAnsi" w:hAnsiTheme="majorHAnsi"/>
          <w:sz w:val="24"/>
        </w:rPr>
        <w:t>6.</w:t>
      </w:r>
      <w:r>
        <w:rPr>
          <w:rFonts w:asciiTheme="majorHAnsi" w:hAnsiTheme="majorHAnsi"/>
          <w:sz w:val="24"/>
        </w:rPr>
        <w:tab/>
      </w:r>
      <w:r w:rsidRPr="002567F9">
        <w:rPr>
          <w:rFonts w:asciiTheme="majorHAnsi" w:hAnsiTheme="majorHAnsi"/>
          <w:sz w:val="24"/>
          <w:u w:val="single"/>
        </w:rPr>
        <w:t xml:space="preserve">Less Frequent </w:t>
      </w:r>
      <w:r w:rsidRPr="002567F9" w:rsidR="0085688C">
        <w:rPr>
          <w:rFonts w:asciiTheme="majorHAnsi" w:hAnsiTheme="majorHAnsi"/>
          <w:sz w:val="24"/>
          <w:u w:val="single"/>
        </w:rPr>
        <w:t>Collection</w:t>
      </w:r>
    </w:p>
    <w:p w:rsidR="000B4423" w:rsidP="003E0D63" w14:paraId="7F0F35D8" w14:textId="77777777">
      <w:pPr>
        <w:keepNext/>
        <w:keepLines/>
        <w:spacing w:after="0" w:line="240" w:lineRule="auto"/>
        <w:rPr>
          <w:rFonts w:asciiTheme="majorHAnsi" w:hAnsiTheme="majorHAnsi"/>
          <w:i/>
          <w:sz w:val="24"/>
        </w:rPr>
      </w:pPr>
    </w:p>
    <w:p w:rsidR="000B4423" w:rsidP="003E0D63" w14:paraId="0591A9F1" w14:textId="39541B16">
      <w:pPr>
        <w:keepNext/>
        <w:keepLines/>
        <w:spacing w:after="0" w:line="240" w:lineRule="auto"/>
        <w:rPr>
          <w:rFonts w:asciiTheme="majorHAnsi" w:hAnsiTheme="majorHAnsi"/>
          <w:sz w:val="24"/>
          <w:szCs w:val="24"/>
        </w:rPr>
      </w:pPr>
      <w:r>
        <w:rPr>
          <w:rFonts w:asciiTheme="majorHAnsi" w:hAnsiTheme="majorHAnsi"/>
          <w:sz w:val="24"/>
          <w:szCs w:val="24"/>
        </w:rPr>
        <w:t xml:space="preserve">Reese’s Law mandates the </w:t>
      </w:r>
      <w:r w:rsidR="009D6B83">
        <w:rPr>
          <w:rFonts w:asciiTheme="majorHAnsi" w:hAnsiTheme="majorHAnsi"/>
          <w:sz w:val="24"/>
          <w:szCs w:val="24"/>
        </w:rPr>
        <w:t xml:space="preserve">testing and labeling </w:t>
      </w:r>
      <w:r>
        <w:rPr>
          <w:rFonts w:asciiTheme="majorHAnsi" w:hAnsiTheme="majorHAnsi"/>
          <w:sz w:val="24"/>
          <w:szCs w:val="24"/>
        </w:rPr>
        <w:t xml:space="preserve">requirements in the </w:t>
      </w:r>
      <w:r w:rsidR="0002657A">
        <w:rPr>
          <w:rFonts w:asciiTheme="majorHAnsi" w:hAnsiTheme="majorHAnsi"/>
          <w:sz w:val="24"/>
          <w:szCs w:val="24"/>
        </w:rPr>
        <w:t>final</w:t>
      </w:r>
      <w:r>
        <w:rPr>
          <w:rFonts w:asciiTheme="majorHAnsi" w:hAnsiTheme="majorHAnsi"/>
          <w:sz w:val="24"/>
          <w:szCs w:val="24"/>
        </w:rPr>
        <w:t xml:space="preserve"> rule</w:t>
      </w:r>
      <w:r w:rsidR="009D6B83">
        <w:rPr>
          <w:rFonts w:asciiTheme="majorHAnsi" w:hAnsiTheme="majorHAnsi"/>
          <w:sz w:val="24"/>
          <w:szCs w:val="24"/>
        </w:rPr>
        <w:t xml:space="preserve">, and section 14(a) of the </w:t>
      </w:r>
      <w:r w:rsidR="0059677A">
        <w:rPr>
          <w:rFonts w:asciiTheme="majorHAnsi" w:hAnsiTheme="majorHAnsi"/>
          <w:sz w:val="24"/>
          <w:szCs w:val="24"/>
        </w:rPr>
        <w:t>Consumer Product Safety Act (</w:t>
      </w:r>
      <w:r w:rsidR="0059677A">
        <w:rPr>
          <w:rFonts w:asciiTheme="majorHAnsi" w:hAnsiTheme="majorHAnsi"/>
          <w:sz w:val="24"/>
          <w:szCs w:val="24"/>
        </w:rPr>
        <w:t>CPSA</w:t>
      </w:r>
      <w:r w:rsidR="0059677A">
        <w:rPr>
          <w:rFonts w:asciiTheme="majorHAnsi" w:hAnsiTheme="majorHAnsi"/>
          <w:sz w:val="24"/>
          <w:szCs w:val="24"/>
        </w:rPr>
        <w:t>)</w:t>
      </w:r>
      <w:r w:rsidR="009D6B83">
        <w:rPr>
          <w:rFonts w:asciiTheme="majorHAnsi" w:hAnsiTheme="majorHAnsi"/>
          <w:sz w:val="24"/>
          <w:szCs w:val="24"/>
        </w:rPr>
        <w:t xml:space="preserve"> requires testing and certification of children’s products</w:t>
      </w:r>
      <w:r>
        <w:rPr>
          <w:rFonts w:asciiTheme="majorHAnsi" w:hAnsiTheme="majorHAnsi"/>
          <w:sz w:val="24"/>
          <w:szCs w:val="24"/>
        </w:rPr>
        <w:t>.  Additionally, i</w:t>
      </w:r>
      <w:r w:rsidRPr="000B4423">
        <w:rPr>
          <w:rFonts w:asciiTheme="majorHAnsi" w:hAnsiTheme="majorHAnsi"/>
          <w:sz w:val="24"/>
          <w:szCs w:val="24"/>
        </w:rPr>
        <w:t xml:space="preserve">f </w:t>
      </w:r>
      <w:r>
        <w:rPr>
          <w:rFonts w:asciiTheme="majorHAnsi" w:hAnsiTheme="majorHAnsi"/>
          <w:sz w:val="24"/>
          <w:szCs w:val="24"/>
        </w:rPr>
        <w:t>information is</w:t>
      </w:r>
      <w:r w:rsidRPr="000B4423">
        <w:rPr>
          <w:rFonts w:asciiTheme="majorHAnsi" w:hAnsiTheme="majorHAnsi"/>
          <w:sz w:val="24"/>
          <w:szCs w:val="24"/>
        </w:rPr>
        <w:t xml:space="preserve"> not provided with the consumer product, the consumer</w:t>
      </w:r>
      <w:r>
        <w:rPr>
          <w:rFonts w:asciiTheme="majorHAnsi" w:hAnsiTheme="majorHAnsi"/>
          <w:sz w:val="24"/>
          <w:szCs w:val="24"/>
        </w:rPr>
        <w:t xml:space="preserve"> will not have</w:t>
      </w:r>
      <w:r w:rsidRPr="000B4423">
        <w:rPr>
          <w:rFonts w:asciiTheme="majorHAnsi" w:hAnsiTheme="majorHAnsi"/>
          <w:sz w:val="24"/>
          <w:szCs w:val="24"/>
        </w:rPr>
        <w:t xml:space="preserve"> the opportunity to see the appropriate safety-related information.</w:t>
      </w:r>
      <w:r w:rsidR="00D57DEE">
        <w:rPr>
          <w:rFonts w:asciiTheme="majorHAnsi" w:hAnsiTheme="majorHAnsi"/>
          <w:sz w:val="24"/>
          <w:szCs w:val="24"/>
        </w:rPr>
        <w:t xml:space="preserve"> The consumer may not have the following safety-related information:</w:t>
      </w:r>
    </w:p>
    <w:p w:rsidR="00D57DEE" w:rsidP="006E563D" w14:paraId="40312970" w14:textId="77777777">
      <w:pPr>
        <w:spacing w:after="0" w:line="240" w:lineRule="auto"/>
        <w:rPr>
          <w:rFonts w:asciiTheme="majorHAnsi" w:hAnsiTheme="majorHAnsi"/>
          <w:i/>
          <w:sz w:val="24"/>
          <w:szCs w:val="24"/>
        </w:rPr>
      </w:pPr>
    </w:p>
    <w:p w:rsidR="00D57DEE" w:rsidP="00D57DEE" w14:paraId="390F91F1" w14:textId="77777777">
      <w:pPr>
        <w:pStyle w:val="ListParagraph"/>
        <w:numPr>
          <w:ilvl w:val="0"/>
          <w:numId w:val="26"/>
        </w:numPr>
        <w:spacing w:after="0" w:line="240" w:lineRule="auto"/>
        <w:rPr>
          <w:rFonts w:asciiTheme="majorHAnsi" w:hAnsiTheme="majorHAnsi"/>
          <w:sz w:val="24"/>
          <w:szCs w:val="24"/>
        </w:rPr>
      </w:pPr>
      <w:r>
        <w:rPr>
          <w:rFonts w:asciiTheme="majorHAnsi" w:hAnsiTheme="majorHAnsi"/>
          <w:sz w:val="24"/>
          <w:szCs w:val="24"/>
        </w:rPr>
        <w:t>Death or serious injury can occur if ingested.</w:t>
      </w:r>
    </w:p>
    <w:p w:rsidR="00D57DEE" w:rsidP="00D57DEE" w14:paraId="255EA5BE" w14:textId="615CD242">
      <w:pPr>
        <w:pStyle w:val="ListParagraph"/>
        <w:numPr>
          <w:ilvl w:val="0"/>
          <w:numId w:val="26"/>
        </w:numPr>
        <w:spacing w:after="0" w:line="240" w:lineRule="auto"/>
        <w:rPr>
          <w:rFonts w:asciiTheme="majorHAnsi" w:hAnsiTheme="majorHAnsi"/>
          <w:sz w:val="24"/>
          <w:szCs w:val="24"/>
        </w:rPr>
      </w:pPr>
      <w:r>
        <w:rPr>
          <w:rFonts w:asciiTheme="majorHAnsi" w:hAnsiTheme="majorHAnsi"/>
          <w:sz w:val="24"/>
          <w:szCs w:val="24"/>
        </w:rPr>
        <w:t>A swallowed button cell or coin battery can cause internal chemical burns in as little as 2 hours.</w:t>
      </w:r>
    </w:p>
    <w:p w:rsidR="00D57DEE" w:rsidP="00D57DEE" w14:paraId="3B091FAC" w14:textId="77777777">
      <w:pPr>
        <w:pStyle w:val="ListParagraph"/>
        <w:numPr>
          <w:ilvl w:val="0"/>
          <w:numId w:val="26"/>
        </w:numPr>
        <w:spacing w:after="0" w:line="240" w:lineRule="auto"/>
        <w:rPr>
          <w:rFonts w:asciiTheme="majorHAnsi" w:hAnsiTheme="majorHAnsi"/>
          <w:sz w:val="24"/>
          <w:szCs w:val="24"/>
        </w:rPr>
      </w:pPr>
      <w:r>
        <w:rPr>
          <w:rFonts w:asciiTheme="majorHAnsi" w:hAnsiTheme="majorHAnsi"/>
          <w:sz w:val="24"/>
          <w:szCs w:val="24"/>
        </w:rPr>
        <w:t>Keep new and used batteries out of reach of children.</w:t>
      </w:r>
    </w:p>
    <w:p w:rsidR="00D57DEE" w:rsidRPr="00D57DEE" w:rsidP="00D57DEE" w14:paraId="6810E56B" w14:textId="77777777">
      <w:pPr>
        <w:pStyle w:val="ListParagraph"/>
        <w:numPr>
          <w:ilvl w:val="0"/>
          <w:numId w:val="26"/>
        </w:numPr>
        <w:spacing w:after="0" w:line="240" w:lineRule="auto"/>
        <w:rPr>
          <w:rFonts w:asciiTheme="majorHAnsi" w:hAnsiTheme="majorHAnsi"/>
          <w:sz w:val="24"/>
          <w:szCs w:val="24"/>
        </w:rPr>
      </w:pPr>
      <w:r>
        <w:rPr>
          <w:rFonts w:asciiTheme="majorHAnsi" w:hAnsiTheme="majorHAnsi"/>
          <w:sz w:val="24"/>
          <w:szCs w:val="24"/>
        </w:rPr>
        <w:t>Seek immediate medical attention if a battery is suspected to be swallowed or inserted inside of any part of the body.</w:t>
      </w:r>
    </w:p>
    <w:p w:rsidR="00F86C35" w:rsidP="006E563D" w14:paraId="6B3E3533" w14:textId="77777777">
      <w:pPr>
        <w:spacing w:after="0" w:line="240" w:lineRule="auto"/>
        <w:rPr>
          <w:rFonts w:asciiTheme="majorHAnsi" w:hAnsiTheme="majorHAnsi"/>
          <w:i/>
          <w:sz w:val="24"/>
        </w:rPr>
      </w:pPr>
    </w:p>
    <w:p w:rsidR="00F86C35" w:rsidP="006E563D" w14:paraId="4C8BE4FB" w14:textId="38FE00F6">
      <w:pPr>
        <w:spacing w:after="0" w:line="240" w:lineRule="auto"/>
        <w:rPr>
          <w:rFonts w:asciiTheme="majorHAnsi" w:hAnsiTheme="majorHAnsi"/>
          <w:sz w:val="24"/>
          <w:u w:val="single"/>
        </w:rPr>
      </w:pPr>
      <w:r>
        <w:rPr>
          <w:rFonts w:asciiTheme="majorHAnsi" w:hAnsiTheme="majorHAnsi"/>
          <w:i/>
          <w:sz w:val="24"/>
        </w:rPr>
        <w:t xml:space="preserve">7. </w:t>
      </w:r>
      <w:r>
        <w:rPr>
          <w:rFonts w:asciiTheme="majorHAnsi" w:hAnsiTheme="majorHAnsi"/>
          <w:i/>
          <w:sz w:val="24"/>
        </w:rPr>
        <w:tab/>
      </w:r>
      <w:r w:rsidRPr="00F86C35">
        <w:rPr>
          <w:rFonts w:asciiTheme="majorHAnsi" w:hAnsiTheme="majorHAnsi"/>
          <w:sz w:val="24"/>
          <w:u w:val="single"/>
        </w:rPr>
        <w:t>Paperwork Reduction Act Guidelines</w:t>
      </w:r>
      <w:r w:rsidR="0085688C">
        <w:rPr>
          <w:rFonts w:asciiTheme="majorHAnsi" w:hAnsiTheme="majorHAnsi"/>
          <w:sz w:val="24"/>
          <w:u w:val="single"/>
        </w:rPr>
        <w:t xml:space="preserve"> </w:t>
      </w:r>
    </w:p>
    <w:p w:rsidR="002C7FD7" w:rsidP="006E563D" w14:paraId="2DDC49FA" w14:textId="77777777">
      <w:pPr>
        <w:spacing w:after="0" w:line="240" w:lineRule="auto"/>
        <w:rPr>
          <w:rFonts w:asciiTheme="majorHAnsi" w:hAnsiTheme="majorHAnsi"/>
          <w:sz w:val="24"/>
        </w:rPr>
      </w:pPr>
    </w:p>
    <w:p w:rsidR="002C7FD7" w:rsidRPr="00B27890" w:rsidP="002C7FD7" w14:paraId="770EB8A9" w14:textId="6D362D5A">
      <w:pPr>
        <w:spacing w:after="0" w:line="240" w:lineRule="auto"/>
        <w:rPr>
          <w:rFonts w:asciiTheme="majorHAnsi" w:hAnsiTheme="majorHAnsi"/>
          <w:sz w:val="24"/>
          <w:szCs w:val="24"/>
        </w:rPr>
      </w:pPr>
      <w:r w:rsidRPr="00B27890">
        <w:rPr>
          <w:rFonts w:asciiTheme="majorHAnsi" w:hAnsiTheme="majorHAnsi"/>
          <w:sz w:val="24"/>
          <w:szCs w:val="24"/>
        </w:rPr>
        <w:t xml:space="preserve">This collection of information is </w:t>
      </w:r>
      <w:r w:rsidRPr="00B27890" w:rsidR="00F86C35">
        <w:rPr>
          <w:rFonts w:asciiTheme="majorHAnsi" w:hAnsiTheme="majorHAnsi"/>
          <w:sz w:val="24"/>
          <w:szCs w:val="24"/>
        </w:rPr>
        <w:t>necessary for the proper performance of agency functions;</w:t>
      </w:r>
      <w:r w:rsidRPr="00B27890">
        <w:rPr>
          <w:rFonts w:asciiTheme="majorHAnsi" w:hAnsiTheme="majorHAnsi"/>
          <w:sz w:val="24"/>
          <w:szCs w:val="24"/>
        </w:rPr>
        <w:t xml:space="preserve"> </w:t>
      </w:r>
      <w:r w:rsidRPr="00B27890" w:rsidR="00F86C35">
        <w:rPr>
          <w:rFonts w:asciiTheme="majorHAnsi" w:hAnsiTheme="majorHAnsi"/>
          <w:sz w:val="24"/>
          <w:szCs w:val="24"/>
        </w:rPr>
        <w:t>avoids unnecessary duplication;</w:t>
      </w:r>
      <w:r w:rsidRPr="00B27890">
        <w:rPr>
          <w:rFonts w:asciiTheme="majorHAnsi" w:hAnsiTheme="majorHAnsi"/>
          <w:sz w:val="24"/>
          <w:szCs w:val="24"/>
        </w:rPr>
        <w:t xml:space="preserve"> </w:t>
      </w:r>
      <w:r w:rsidRPr="00B27890" w:rsidR="00F86C35">
        <w:rPr>
          <w:rFonts w:asciiTheme="majorHAnsi" w:hAnsiTheme="majorHAnsi"/>
          <w:sz w:val="24"/>
          <w:szCs w:val="24"/>
        </w:rPr>
        <w:t>reduces burden on small entities;</w:t>
      </w:r>
      <w:r w:rsidRPr="00B27890">
        <w:rPr>
          <w:rFonts w:asciiTheme="majorHAnsi" w:hAnsiTheme="majorHAnsi"/>
          <w:sz w:val="24"/>
          <w:szCs w:val="24"/>
        </w:rPr>
        <w:t xml:space="preserve"> </w:t>
      </w:r>
      <w:r w:rsidRPr="00B27890" w:rsidR="00F86C35">
        <w:rPr>
          <w:rFonts w:asciiTheme="majorHAnsi" w:hAnsiTheme="majorHAnsi"/>
          <w:sz w:val="24"/>
          <w:szCs w:val="24"/>
        </w:rPr>
        <w:t>uses plain, coherent, and unambiguous language that is understandable to respondents;</w:t>
      </w:r>
      <w:r w:rsidRPr="00B27890">
        <w:rPr>
          <w:rFonts w:asciiTheme="majorHAnsi" w:hAnsiTheme="majorHAnsi"/>
          <w:sz w:val="24"/>
          <w:szCs w:val="24"/>
        </w:rPr>
        <w:t xml:space="preserve"> </w:t>
      </w:r>
      <w:r w:rsidRPr="00B27890" w:rsidR="00F86C35">
        <w:rPr>
          <w:rFonts w:asciiTheme="majorHAnsi" w:hAnsiTheme="majorHAnsi"/>
          <w:sz w:val="24"/>
          <w:szCs w:val="24"/>
        </w:rPr>
        <w:t xml:space="preserve">will be </w:t>
      </w:r>
      <w:r w:rsidRPr="00B27890">
        <w:rPr>
          <w:rFonts w:asciiTheme="majorHAnsi" w:hAnsiTheme="majorHAnsi"/>
          <w:sz w:val="24"/>
          <w:szCs w:val="24"/>
        </w:rPr>
        <w:t xml:space="preserve">implemented in a manner that is </w:t>
      </w:r>
      <w:r w:rsidRPr="00B27890" w:rsidR="00F86C35">
        <w:rPr>
          <w:rFonts w:asciiTheme="majorHAnsi" w:hAnsiTheme="majorHAnsi"/>
          <w:sz w:val="24"/>
          <w:szCs w:val="24"/>
        </w:rPr>
        <w:t>consistent and compatible with current reporting and recordkeeping practices;</w:t>
      </w:r>
      <w:r w:rsidRPr="00B27890">
        <w:rPr>
          <w:rFonts w:asciiTheme="majorHAnsi" w:hAnsiTheme="majorHAnsi"/>
          <w:sz w:val="24"/>
          <w:szCs w:val="24"/>
        </w:rPr>
        <w:t xml:space="preserve"> </w:t>
      </w:r>
      <w:r w:rsidRPr="00B27890" w:rsidR="00F86C35">
        <w:rPr>
          <w:rFonts w:asciiTheme="majorHAnsi" w:hAnsiTheme="majorHAnsi"/>
          <w:sz w:val="24"/>
          <w:szCs w:val="24"/>
        </w:rPr>
        <w:t>indicates the retention periods for recordkeeping requirements;</w:t>
      </w:r>
      <w:r w:rsidRPr="00B27890">
        <w:rPr>
          <w:rFonts w:asciiTheme="majorHAnsi" w:hAnsiTheme="majorHAnsi"/>
          <w:sz w:val="24"/>
          <w:szCs w:val="24"/>
        </w:rPr>
        <w:t xml:space="preserve"> and </w:t>
      </w:r>
      <w:r w:rsidRPr="00B27890" w:rsidR="00F86C35">
        <w:rPr>
          <w:rFonts w:asciiTheme="majorHAnsi" w:hAnsiTheme="majorHAnsi"/>
          <w:sz w:val="24"/>
          <w:szCs w:val="24"/>
        </w:rPr>
        <w:t xml:space="preserve">informs respondents </w:t>
      </w:r>
      <w:r w:rsidRPr="00B27890">
        <w:rPr>
          <w:rFonts w:asciiTheme="majorHAnsi" w:hAnsiTheme="majorHAnsi"/>
          <w:sz w:val="24"/>
          <w:szCs w:val="24"/>
        </w:rPr>
        <w:t>about</w:t>
      </w:r>
      <w:r w:rsidRPr="00B27890" w:rsidR="00F86C35">
        <w:rPr>
          <w:rFonts w:asciiTheme="majorHAnsi" w:hAnsiTheme="majorHAnsi"/>
          <w:sz w:val="24"/>
          <w:szCs w:val="24"/>
        </w:rPr>
        <w:t xml:space="preserve"> the information </w:t>
      </w:r>
      <w:r w:rsidRPr="00B27890">
        <w:rPr>
          <w:rFonts w:asciiTheme="majorHAnsi" w:hAnsiTheme="majorHAnsi"/>
          <w:sz w:val="24"/>
          <w:szCs w:val="24"/>
        </w:rPr>
        <w:t>needed</w:t>
      </w:r>
      <w:r w:rsidR="0021646C">
        <w:rPr>
          <w:rFonts w:asciiTheme="majorHAnsi" w:hAnsiTheme="majorHAnsi"/>
          <w:sz w:val="24"/>
          <w:szCs w:val="24"/>
        </w:rPr>
        <w:t>.</w:t>
      </w:r>
    </w:p>
    <w:p w:rsidR="00200261" w:rsidP="00200261" w14:paraId="0ACF181E" w14:textId="4C403416">
      <w:pPr>
        <w:pStyle w:val="NormalWeb"/>
        <w:spacing w:line="288" w:lineRule="atLeast"/>
        <w:rPr>
          <w:rFonts w:asciiTheme="majorHAnsi" w:eastAsiaTheme="minorHAnsi" w:hAnsiTheme="majorHAnsi" w:cstheme="minorBidi"/>
          <w:szCs w:val="22"/>
          <w:u w:val="single"/>
        </w:rPr>
      </w:pPr>
      <w:r w:rsidRPr="00200261">
        <w:rPr>
          <w:rFonts w:asciiTheme="majorHAnsi" w:eastAsiaTheme="minorHAnsi" w:hAnsiTheme="majorHAnsi" w:cstheme="minorBidi"/>
          <w:szCs w:val="22"/>
        </w:rPr>
        <w:t xml:space="preserve">8. </w:t>
      </w:r>
      <w:r w:rsidRPr="00200261">
        <w:rPr>
          <w:rFonts w:asciiTheme="majorHAnsi" w:eastAsiaTheme="minorHAnsi" w:hAnsiTheme="majorHAnsi" w:cstheme="minorBidi"/>
          <w:szCs w:val="22"/>
        </w:rPr>
        <w:tab/>
      </w:r>
      <w:r w:rsidRPr="00200261">
        <w:rPr>
          <w:rFonts w:asciiTheme="majorHAnsi" w:eastAsiaTheme="minorHAnsi" w:hAnsiTheme="majorHAnsi" w:cstheme="minorBidi"/>
          <w:szCs w:val="22"/>
          <w:u w:val="single"/>
        </w:rPr>
        <w:t>Public Comments</w:t>
      </w:r>
    </w:p>
    <w:p w:rsidR="0017472B" w:rsidP="002D0024" w14:paraId="7CEE9157" w14:textId="57E6F05F">
      <w:pPr>
        <w:spacing w:after="0" w:line="240" w:lineRule="auto"/>
        <w:rPr>
          <w:rFonts w:asciiTheme="majorHAnsi" w:hAnsiTheme="majorHAnsi"/>
          <w:sz w:val="24"/>
          <w:szCs w:val="24"/>
        </w:rPr>
      </w:pPr>
      <w:r w:rsidRPr="00B27890">
        <w:rPr>
          <w:rFonts w:asciiTheme="majorHAnsi" w:hAnsiTheme="majorHAnsi"/>
          <w:sz w:val="24"/>
          <w:szCs w:val="24"/>
        </w:rPr>
        <w:t>The rule establish</w:t>
      </w:r>
      <w:r w:rsidR="00BE3A40">
        <w:rPr>
          <w:rFonts w:asciiTheme="majorHAnsi" w:hAnsiTheme="majorHAnsi"/>
          <w:sz w:val="24"/>
          <w:szCs w:val="24"/>
        </w:rPr>
        <w:t>ing</w:t>
      </w:r>
      <w:r w:rsidRPr="00B27890">
        <w:rPr>
          <w:rFonts w:asciiTheme="majorHAnsi" w:hAnsiTheme="majorHAnsi"/>
          <w:sz w:val="24"/>
          <w:szCs w:val="24"/>
        </w:rPr>
        <w:t xml:space="preserve"> a </w:t>
      </w:r>
      <w:r w:rsidRPr="00B27890">
        <w:rPr>
          <w:rFonts w:asciiTheme="majorHAnsi" w:hAnsiTheme="majorHAnsi"/>
          <w:bCs/>
          <w:sz w:val="24"/>
          <w:szCs w:val="24"/>
        </w:rPr>
        <w:t>Safety Standard and Notification Requirements for Button Cell or Coin Batteries and Consumer Products Containing Such Batteries</w:t>
      </w:r>
      <w:r w:rsidRPr="00B27890">
        <w:rPr>
          <w:rFonts w:asciiTheme="majorHAnsi" w:hAnsiTheme="majorHAnsi"/>
          <w:sz w:val="24"/>
          <w:szCs w:val="24"/>
        </w:rPr>
        <w:t xml:space="preserve">, to be codified at 16 CFR part 1263, contains information collection requirements that are subject to public comment and review by OMB under the Paperwork Reduction Act of 1995 (PRA; 44 U.S.C. 3501–3521).  The NPR proposed to expand the collection of information for Testing and Certification of Children’s Products (OMB Control No. 3041-0159) to include testing and labeling of children’s products containing button cell or coin batteries (88 FR at 8717-19), but did not include burden estimates for </w:t>
      </w:r>
      <w:r w:rsidR="00BE3A40">
        <w:rPr>
          <w:rFonts w:asciiTheme="majorHAnsi" w:hAnsiTheme="majorHAnsi"/>
          <w:sz w:val="24"/>
          <w:szCs w:val="24"/>
        </w:rPr>
        <w:t>the</w:t>
      </w:r>
      <w:r w:rsidRPr="00B27890">
        <w:rPr>
          <w:rFonts w:asciiTheme="majorHAnsi" w:hAnsiTheme="majorHAnsi"/>
          <w:sz w:val="24"/>
          <w:szCs w:val="24"/>
        </w:rPr>
        <w:t xml:space="preserve"> collection of information for non-children’s products.  </w:t>
      </w:r>
      <w:r w:rsidR="00BE3A40">
        <w:rPr>
          <w:rFonts w:asciiTheme="majorHAnsi" w:hAnsiTheme="majorHAnsi"/>
          <w:sz w:val="24"/>
          <w:szCs w:val="24"/>
        </w:rPr>
        <w:t>The</w:t>
      </w:r>
      <w:r w:rsidRPr="00B27890">
        <w:rPr>
          <w:rFonts w:asciiTheme="majorHAnsi" w:hAnsiTheme="majorHAnsi"/>
          <w:sz w:val="24"/>
          <w:szCs w:val="24"/>
        </w:rPr>
        <w:t xml:space="preserve"> estimated burden associated with the testing and labeling of non-children’s products</w:t>
      </w:r>
      <w:r w:rsidR="00BE3A40">
        <w:rPr>
          <w:rFonts w:asciiTheme="majorHAnsi" w:hAnsiTheme="majorHAnsi"/>
          <w:sz w:val="24"/>
          <w:szCs w:val="24"/>
        </w:rPr>
        <w:t xml:space="preserve"> is estimated for OMB Control No. 3041-0195,</w:t>
      </w:r>
      <w:r w:rsidRPr="00B27890">
        <w:rPr>
          <w:rFonts w:asciiTheme="majorHAnsi" w:hAnsiTheme="majorHAnsi"/>
          <w:sz w:val="24"/>
          <w:szCs w:val="24"/>
        </w:rPr>
        <w:t xml:space="preserve"> and for labeling of button cell and coin battery packaging.</w:t>
      </w:r>
    </w:p>
    <w:p w:rsidR="00B27890" w:rsidRPr="00B27890" w:rsidP="002D0024" w14:paraId="20B5BFE1" w14:textId="77777777">
      <w:pPr>
        <w:spacing w:after="0" w:line="240" w:lineRule="auto"/>
        <w:rPr>
          <w:rFonts w:asciiTheme="majorHAnsi" w:hAnsiTheme="majorHAnsi"/>
          <w:sz w:val="24"/>
          <w:szCs w:val="24"/>
        </w:rPr>
      </w:pPr>
    </w:p>
    <w:p w:rsidR="00D45766" w:rsidP="00D45766" w14:paraId="65FA5EE5" w14:textId="69207901">
      <w:pPr>
        <w:spacing w:after="0" w:line="240" w:lineRule="auto"/>
        <w:rPr>
          <w:rFonts w:asciiTheme="majorHAnsi" w:hAnsiTheme="majorHAnsi"/>
          <w:sz w:val="24"/>
          <w:szCs w:val="24"/>
        </w:rPr>
      </w:pPr>
      <w:r>
        <w:rPr>
          <w:rFonts w:asciiTheme="majorHAnsi" w:hAnsiTheme="majorHAnsi"/>
          <w:sz w:val="24"/>
          <w:szCs w:val="24"/>
        </w:rPr>
        <w:t>In a 60</w:t>
      </w:r>
      <w:r w:rsidR="00BE3A40">
        <w:rPr>
          <w:rFonts w:asciiTheme="majorHAnsi" w:hAnsiTheme="majorHAnsi"/>
          <w:sz w:val="24"/>
          <w:szCs w:val="24"/>
        </w:rPr>
        <w:t>-Day N</w:t>
      </w:r>
      <w:r>
        <w:rPr>
          <w:rFonts w:asciiTheme="majorHAnsi" w:hAnsiTheme="majorHAnsi"/>
          <w:sz w:val="24"/>
          <w:szCs w:val="24"/>
        </w:rPr>
        <w:t>otice (</w:t>
      </w:r>
      <w:r w:rsidR="004D6DDF">
        <w:rPr>
          <w:rFonts w:asciiTheme="majorHAnsi" w:hAnsiTheme="majorHAnsi"/>
          <w:sz w:val="24"/>
          <w:szCs w:val="24"/>
        </w:rPr>
        <w:t>88FR21652</w:t>
      </w:r>
      <w:r>
        <w:rPr>
          <w:rFonts w:asciiTheme="majorHAnsi" w:hAnsiTheme="majorHAnsi"/>
          <w:sz w:val="24"/>
          <w:szCs w:val="24"/>
        </w:rPr>
        <w:t xml:space="preserve">), </w:t>
      </w:r>
      <w:r w:rsidRPr="00D45766">
        <w:rPr>
          <w:rFonts w:asciiTheme="majorHAnsi" w:hAnsiTheme="majorHAnsi"/>
          <w:sz w:val="24"/>
          <w:szCs w:val="24"/>
        </w:rPr>
        <w:t>CPSC request</w:t>
      </w:r>
      <w:r>
        <w:rPr>
          <w:rFonts w:asciiTheme="majorHAnsi" w:hAnsiTheme="majorHAnsi"/>
          <w:sz w:val="24"/>
          <w:szCs w:val="24"/>
        </w:rPr>
        <w:t>ed</w:t>
      </w:r>
      <w:r w:rsidRPr="00D45766">
        <w:rPr>
          <w:rFonts w:asciiTheme="majorHAnsi" w:hAnsiTheme="majorHAnsi"/>
          <w:sz w:val="24"/>
          <w:szCs w:val="24"/>
        </w:rPr>
        <w:t xml:space="preserve"> that interested parties submit comments regarding this proposed information collection</w:t>
      </w:r>
      <w:r>
        <w:rPr>
          <w:rFonts w:asciiTheme="majorHAnsi" w:hAnsiTheme="majorHAnsi"/>
          <w:sz w:val="24"/>
          <w:szCs w:val="24"/>
        </w:rPr>
        <w:t xml:space="preserve">. </w:t>
      </w:r>
      <w:r w:rsidRPr="00D45766">
        <w:rPr>
          <w:rFonts w:asciiTheme="majorHAnsi" w:hAnsiTheme="majorHAnsi"/>
          <w:sz w:val="24"/>
          <w:szCs w:val="24"/>
        </w:rPr>
        <w:t>Pursuant to 44 U.S.C. 3506(c)(2)(A), the Commission specifically invite</w:t>
      </w:r>
      <w:r w:rsidR="00F426F9">
        <w:rPr>
          <w:rFonts w:asciiTheme="majorHAnsi" w:hAnsiTheme="majorHAnsi"/>
          <w:sz w:val="24"/>
          <w:szCs w:val="24"/>
        </w:rPr>
        <w:t>d</w:t>
      </w:r>
      <w:r w:rsidRPr="00D45766">
        <w:rPr>
          <w:rFonts w:asciiTheme="majorHAnsi" w:hAnsiTheme="majorHAnsi"/>
          <w:sz w:val="24"/>
          <w:szCs w:val="24"/>
        </w:rPr>
        <w:t xml:space="preserve"> comments on: </w:t>
      </w:r>
    </w:p>
    <w:p w:rsidR="00D45766" w:rsidRPr="00D45766" w:rsidP="00D45766" w14:paraId="26A75497" w14:textId="77777777">
      <w:pPr>
        <w:spacing w:after="0" w:line="240" w:lineRule="auto"/>
        <w:rPr>
          <w:rFonts w:asciiTheme="majorHAnsi" w:hAnsiTheme="majorHAnsi"/>
          <w:sz w:val="24"/>
          <w:szCs w:val="24"/>
        </w:rPr>
      </w:pPr>
    </w:p>
    <w:p w:rsidR="00D45766" w:rsidRPr="00D45766" w:rsidP="00D45766" w14:paraId="51177286" w14:textId="77777777">
      <w:pPr>
        <w:numPr>
          <w:ilvl w:val="0"/>
          <w:numId w:val="30"/>
        </w:num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hAnsiTheme="majorHAnsi"/>
          <w:sz w:val="24"/>
          <w:szCs w:val="24"/>
        </w:rPr>
      </w:pPr>
      <w:r w:rsidRPr="00D45766">
        <w:rPr>
          <w:rFonts w:asciiTheme="majorHAnsi" w:hAnsiTheme="majorHAnsi"/>
          <w:sz w:val="24"/>
          <w:szCs w:val="24"/>
        </w:rPr>
        <w:t xml:space="preserve">whether the proposed collection of information is necessary for the proper performance of CPSC’s functions, including whether the information will have practical utility; </w:t>
      </w:r>
    </w:p>
    <w:p w:rsidR="00D45766" w:rsidRPr="00D45766" w:rsidP="00D45766" w14:paraId="0B9157C6" w14:textId="77777777">
      <w:pPr>
        <w:numPr>
          <w:ilvl w:val="0"/>
          <w:numId w:val="30"/>
        </w:num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hAnsiTheme="majorHAnsi"/>
          <w:sz w:val="24"/>
          <w:szCs w:val="24"/>
        </w:rPr>
      </w:pPr>
      <w:r w:rsidRPr="00D45766">
        <w:rPr>
          <w:rFonts w:asciiTheme="majorHAnsi" w:hAnsiTheme="majorHAnsi"/>
          <w:sz w:val="24"/>
          <w:szCs w:val="24"/>
        </w:rPr>
        <w:t xml:space="preserve">the accuracy of CPSC’s estimate of the burden of the proposed collection of information, including the validity of the methodology and assumptions used; </w:t>
      </w:r>
    </w:p>
    <w:p w:rsidR="00D45766" w:rsidRPr="00D45766" w:rsidP="00D45766" w14:paraId="61E0F948" w14:textId="77777777">
      <w:pPr>
        <w:numPr>
          <w:ilvl w:val="0"/>
          <w:numId w:val="30"/>
        </w:num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hAnsiTheme="majorHAnsi"/>
          <w:sz w:val="24"/>
          <w:szCs w:val="24"/>
        </w:rPr>
      </w:pPr>
      <w:r w:rsidRPr="00D45766">
        <w:rPr>
          <w:rFonts w:asciiTheme="majorHAnsi" w:hAnsiTheme="majorHAnsi"/>
          <w:sz w:val="24"/>
          <w:szCs w:val="24"/>
        </w:rPr>
        <w:t xml:space="preserve">ways to enhance the quality, utility, and clarity of the information the Commission proposes to collect; </w:t>
      </w:r>
    </w:p>
    <w:p w:rsidR="00D45766" w:rsidRPr="00D45766" w:rsidP="00D45766" w14:paraId="0EC81B65" w14:textId="77777777">
      <w:pPr>
        <w:numPr>
          <w:ilvl w:val="0"/>
          <w:numId w:val="30"/>
        </w:num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hAnsiTheme="majorHAnsi"/>
          <w:sz w:val="24"/>
          <w:szCs w:val="24"/>
        </w:rPr>
      </w:pPr>
      <w:r w:rsidRPr="00D45766">
        <w:rPr>
          <w:rFonts w:asciiTheme="majorHAnsi" w:hAnsiTheme="majorHAnsi"/>
          <w:sz w:val="24"/>
          <w:szCs w:val="24"/>
        </w:rPr>
        <w:t xml:space="preserve">ways to reduce the burden of the collection of information on respondents, including the use of automated collection techniques when appropriate, and other forms of information technology; </w:t>
      </w:r>
    </w:p>
    <w:p w:rsidR="00D45766" w:rsidRPr="00D45766" w:rsidP="00D45766" w14:paraId="2DCFBC2C" w14:textId="77777777">
      <w:pPr>
        <w:numPr>
          <w:ilvl w:val="0"/>
          <w:numId w:val="30"/>
        </w:num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hAnsiTheme="majorHAnsi"/>
          <w:sz w:val="24"/>
          <w:szCs w:val="24"/>
        </w:rPr>
      </w:pPr>
      <w:r w:rsidRPr="00D45766">
        <w:rPr>
          <w:rFonts w:asciiTheme="majorHAnsi" w:hAnsiTheme="majorHAnsi"/>
          <w:sz w:val="24"/>
          <w:szCs w:val="24"/>
        </w:rPr>
        <w:t>the estimated burden hours associated with labels and hang tags, including any alternative estimates; and</w:t>
      </w:r>
    </w:p>
    <w:p w:rsidR="00D45766" w:rsidRPr="00D45766" w:rsidP="00D45766" w14:paraId="1572AC98" w14:textId="77777777">
      <w:pPr>
        <w:numPr>
          <w:ilvl w:val="0"/>
          <w:numId w:val="30"/>
        </w:num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hAnsiTheme="majorHAnsi"/>
          <w:sz w:val="24"/>
          <w:szCs w:val="24"/>
        </w:rPr>
      </w:pPr>
      <w:r w:rsidRPr="00D45766">
        <w:rPr>
          <w:rFonts w:asciiTheme="majorHAnsi" w:hAnsiTheme="majorHAnsi"/>
          <w:sz w:val="24"/>
          <w:szCs w:val="24"/>
        </w:rPr>
        <w:t>the estimated respondent cost other than burden hour cost.</w:t>
      </w:r>
    </w:p>
    <w:p w:rsidR="00A32CF0" w:rsidP="00571698" w14:paraId="0BFA482A" w14:textId="77777777">
      <w:pPr>
        <w:pStyle w:val="NormalWeb"/>
        <w:spacing w:before="0" w:beforeAutospacing="0" w:after="0" w:afterAutospacing="0" w:line="288" w:lineRule="atLeast"/>
        <w:rPr>
          <w:rFonts w:asciiTheme="majorHAnsi" w:eastAsiaTheme="minorHAnsi" w:hAnsiTheme="majorHAnsi" w:cstheme="minorBidi"/>
          <w:szCs w:val="22"/>
        </w:rPr>
      </w:pPr>
    </w:p>
    <w:p w:rsidR="00571698" w:rsidRPr="0085688C" w:rsidP="006E563D" w14:paraId="1BAF3007" w14:textId="77777777">
      <w:pPr>
        <w:spacing w:after="0" w:line="240" w:lineRule="auto"/>
        <w:rPr>
          <w:rFonts w:asciiTheme="majorHAnsi" w:hAnsiTheme="majorHAnsi"/>
          <w:sz w:val="24"/>
        </w:rPr>
      </w:pPr>
      <w:r w:rsidRPr="006A13FA">
        <w:rPr>
          <w:rFonts w:asciiTheme="majorHAnsi" w:hAnsiTheme="majorHAnsi"/>
          <w:sz w:val="24"/>
        </w:rPr>
        <w:t xml:space="preserve">9. </w:t>
      </w:r>
      <w:r w:rsidRPr="006A13FA">
        <w:rPr>
          <w:rFonts w:asciiTheme="majorHAnsi" w:hAnsiTheme="majorHAnsi"/>
          <w:sz w:val="24"/>
        </w:rPr>
        <w:tab/>
      </w:r>
      <w:r w:rsidRPr="006A13FA">
        <w:rPr>
          <w:rFonts w:asciiTheme="majorHAnsi" w:hAnsiTheme="majorHAnsi"/>
          <w:sz w:val="24"/>
          <w:u w:val="single"/>
        </w:rPr>
        <w:t>Gifts or Payment</w:t>
      </w:r>
    </w:p>
    <w:p w:rsidR="00D91A74" w:rsidP="006A13FA" w14:paraId="2AD23BEF" w14:textId="77777777">
      <w:pPr>
        <w:spacing w:after="0" w:line="240" w:lineRule="auto"/>
        <w:rPr>
          <w:rFonts w:asciiTheme="majorHAnsi" w:hAnsiTheme="majorHAnsi"/>
          <w:i/>
          <w:sz w:val="24"/>
        </w:rPr>
      </w:pPr>
    </w:p>
    <w:p w:rsidR="006A13FA" w:rsidP="006A13FA" w14:paraId="5E520CED" w14:textId="77777777">
      <w:pPr>
        <w:spacing w:after="0" w:line="240" w:lineRule="auto"/>
        <w:rPr>
          <w:rFonts w:asciiTheme="majorHAnsi" w:hAnsiTheme="majorHAnsi"/>
          <w:i/>
          <w:sz w:val="24"/>
        </w:rPr>
      </w:pPr>
      <w:r w:rsidRPr="00D91A74">
        <w:rPr>
          <w:rFonts w:asciiTheme="majorHAnsi" w:hAnsiTheme="majorHAnsi"/>
          <w:sz w:val="24"/>
        </w:rPr>
        <w:t>No payments or gifts are being offered to respondents as an incentive to participate in the collection.</w:t>
      </w:r>
      <w:r w:rsidRPr="006A13FA">
        <w:rPr>
          <w:rFonts w:asciiTheme="majorHAnsi" w:hAnsiTheme="majorHAnsi"/>
          <w:i/>
          <w:sz w:val="24"/>
        </w:rPr>
        <w:t xml:space="preserve"> </w:t>
      </w:r>
    </w:p>
    <w:p w:rsidR="006A13FA" w:rsidP="006A13FA" w14:paraId="0CC6B66B" w14:textId="77777777">
      <w:pPr>
        <w:spacing w:after="0" w:line="240" w:lineRule="auto"/>
        <w:rPr>
          <w:rFonts w:asciiTheme="majorHAnsi" w:hAnsiTheme="majorHAnsi"/>
          <w:i/>
          <w:sz w:val="24"/>
        </w:rPr>
      </w:pPr>
    </w:p>
    <w:p w:rsidR="00F97482" w:rsidP="006A13FA" w14:paraId="3E50E3F0" w14:textId="77777777">
      <w:pPr>
        <w:spacing w:after="0" w:line="240" w:lineRule="auto"/>
        <w:rPr>
          <w:rFonts w:asciiTheme="majorHAnsi" w:hAnsiTheme="majorHAnsi"/>
          <w:sz w:val="24"/>
          <w:u w:val="single"/>
        </w:rPr>
      </w:pPr>
      <w:r>
        <w:rPr>
          <w:rFonts w:asciiTheme="majorHAnsi" w:hAnsiTheme="majorHAnsi"/>
          <w:sz w:val="24"/>
        </w:rPr>
        <w:t xml:space="preserve">10. </w:t>
      </w:r>
      <w:r>
        <w:rPr>
          <w:rFonts w:asciiTheme="majorHAnsi" w:hAnsiTheme="majorHAnsi"/>
          <w:sz w:val="24"/>
        </w:rPr>
        <w:tab/>
      </w:r>
      <w:r w:rsidRPr="00F97482">
        <w:rPr>
          <w:rFonts w:asciiTheme="majorHAnsi" w:hAnsiTheme="majorHAnsi"/>
          <w:sz w:val="24"/>
          <w:u w:val="single"/>
        </w:rPr>
        <w:t>Confidentiality</w:t>
      </w:r>
      <w:r w:rsidR="0085688C">
        <w:rPr>
          <w:rFonts w:asciiTheme="majorHAnsi" w:hAnsiTheme="majorHAnsi"/>
          <w:sz w:val="24"/>
          <w:u w:val="single"/>
        </w:rPr>
        <w:t xml:space="preserve"> </w:t>
      </w:r>
    </w:p>
    <w:p w:rsidR="00C6610D" w:rsidP="00C6610D" w14:paraId="40454973" w14:textId="77777777">
      <w:pPr>
        <w:spacing w:after="0" w:line="240" w:lineRule="auto"/>
        <w:rPr>
          <w:rFonts w:asciiTheme="majorHAnsi" w:hAnsiTheme="majorHAnsi"/>
          <w:sz w:val="24"/>
        </w:rPr>
      </w:pPr>
    </w:p>
    <w:p w:rsidR="00E95FFB" w:rsidRPr="00C6610D" w:rsidP="00C6610D" w14:paraId="3D1FA3C2" w14:textId="77777777">
      <w:pPr>
        <w:spacing w:after="0" w:line="240" w:lineRule="auto"/>
        <w:rPr>
          <w:rFonts w:asciiTheme="majorHAnsi" w:hAnsiTheme="majorHAnsi"/>
          <w:sz w:val="24"/>
        </w:rPr>
      </w:pPr>
      <w:r w:rsidRPr="00C6610D">
        <w:rPr>
          <w:rFonts w:asciiTheme="majorHAnsi" w:hAnsiTheme="majorHAnsi"/>
          <w:sz w:val="24"/>
        </w:rPr>
        <w:t>A Privacy Act Statement is not required</w:t>
      </w:r>
      <w:r w:rsidRPr="00C6610D" w:rsidR="00996894">
        <w:rPr>
          <w:rFonts w:asciiTheme="majorHAnsi" w:hAnsiTheme="majorHAnsi"/>
          <w:sz w:val="24"/>
        </w:rPr>
        <w:t xml:space="preserve"> for this collection</w:t>
      </w:r>
      <w:r w:rsidRPr="00C6610D">
        <w:rPr>
          <w:rFonts w:asciiTheme="majorHAnsi" w:hAnsiTheme="majorHAnsi"/>
          <w:sz w:val="24"/>
        </w:rPr>
        <w:t xml:space="preserve"> because we are not requesting individuals to furnish personal information for a system of records. </w:t>
      </w:r>
    </w:p>
    <w:p w:rsidR="00C6610D" w:rsidP="00C6610D" w14:paraId="01DA214C" w14:textId="77777777">
      <w:pPr>
        <w:spacing w:after="0" w:line="240" w:lineRule="auto"/>
        <w:rPr>
          <w:rFonts w:asciiTheme="majorHAnsi" w:hAnsiTheme="majorHAnsi"/>
          <w:sz w:val="24"/>
        </w:rPr>
      </w:pPr>
    </w:p>
    <w:p w:rsidR="00490797" w:rsidRPr="00C6610D" w:rsidP="00C6610D" w14:paraId="283C0F97" w14:textId="77777777">
      <w:pPr>
        <w:spacing w:after="0" w:line="240" w:lineRule="auto"/>
        <w:rPr>
          <w:rFonts w:asciiTheme="majorHAnsi" w:hAnsiTheme="majorHAnsi"/>
          <w:sz w:val="24"/>
        </w:rPr>
      </w:pPr>
      <w:r w:rsidRPr="00C6610D">
        <w:rPr>
          <w:rFonts w:asciiTheme="majorHAnsi" w:hAnsiTheme="majorHAnsi"/>
          <w:sz w:val="24"/>
        </w:rPr>
        <w:t xml:space="preserve">A </w:t>
      </w:r>
      <w:r w:rsidRPr="00C6610D" w:rsidR="00996894">
        <w:rPr>
          <w:rFonts w:asciiTheme="majorHAnsi" w:hAnsiTheme="majorHAnsi"/>
          <w:sz w:val="24"/>
        </w:rPr>
        <w:t>System of Record Notice (</w:t>
      </w:r>
      <w:r w:rsidRPr="00C6610D">
        <w:rPr>
          <w:rFonts w:asciiTheme="majorHAnsi" w:hAnsiTheme="majorHAnsi"/>
          <w:sz w:val="24"/>
        </w:rPr>
        <w:t>SORN</w:t>
      </w:r>
      <w:r w:rsidRPr="00C6610D" w:rsidR="00996894">
        <w:rPr>
          <w:rFonts w:asciiTheme="majorHAnsi" w:hAnsiTheme="majorHAnsi"/>
          <w:sz w:val="24"/>
        </w:rPr>
        <w:t>)</w:t>
      </w:r>
      <w:r w:rsidRPr="00C6610D">
        <w:rPr>
          <w:rFonts w:asciiTheme="majorHAnsi" w:hAnsiTheme="majorHAnsi"/>
          <w:sz w:val="24"/>
        </w:rPr>
        <w:t xml:space="preserve"> is not required </w:t>
      </w:r>
      <w:r w:rsidRPr="00C6610D" w:rsidR="00996894">
        <w:rPr>
          <w:rFonts w:asciiTheme="majorHAnsi" w:hAnsiTheme="majorHAnsi"/>
          <w:sz w:val="24"/>
        </w:rPr>
        <w:t xml:space="preserve">for this collection </w:t>
      </w:r>
      <w:r w:rsidRPr="00C6610D">
        <w:rPr>
          <w:rFonts w:asciiTheme="majorHAnsi" w:hAnsiTheme="majorHAnsi"/>
          <w:sz w:val="24"/>
        </w:rPr>
        <w:t xml:space="preserve">because records are not retrievable by PII. </w:t>
      </w:r>
    </w:p>
    <w:p w:rsidR="00C6610D" w:rsidP="00C6610D" w14:paraId="232EE96E" w14:textId="77777777">
      <w:pPr>
        <w:spacing w:after="0" w:line="240" w:lineRule="auto"/>
        <w:rPr>
          <w:rFonts w:asciiTheme="majorHAnsi" w:hAnsiTheme="majorHAnsi"/>
          <w:sz w:val="24"/>
        </w:rPr>
      </w:pPr>
    </w:p>
    <w:p w:rsidR="00996894" w:rsidRPr="00A64314" w:rsidP="00996894" w14:paraId="62BC7C29" w14:textId="4D04DFC0">
      <w:pPr>
        <w:spacing w:after="0" w:line="240" w:lineRule="auto"/>
        <w:rPr>
          <w:rFonts w:asciiTheme="majorHAnsi" w:hAnsiTheme="majorHAnsi"/>
          <w:sz w:val="24"/>
        </w:rPr>
      </w:pPr>
      <w:r w:rsidRPr="00C6610D">
        <w:rPr>
          <w:rFonts w:asciiTheme="majorHAnsi" w:hAnsiTheme="majorHAnsi"/>
          <w:sz w:val="24"/>
        </w:rPr>
        <w:t>A Privacy Impact Assessment (PIA) is not required for this collection because PII is not being collected electronically.</w:t>
      </w:r>
      <w:r>
        <w:rPr>
          <w:rFonts w:asciiTheme="majorHAnsi" w:hAnsiTheme="majorHAnsi"/>
          <w:sz w:val="24"/>
        </w:rPr>
        <w:t xml:space="preserve"> </w:t>
      </w:r>
    </w:p>
    <w:p w:rsidR="00996894" w:rsidP="00996894" w14:paraId="73F410F3" w14:textId="77777777">
      <w:pPr>
        <w:spacing w:after="0" w:line="240" w:lineRule="auto"/>
        <w:rPr>
          <w:rFonts w:asciiTheme="majorHAnsi" w:hAnsiTheme="majorHAnsi"/>
          <w:i/>
          <w:sz w:val="24"/>
        </w:rPr>
      </w:pPr>
    </w:p>
    <w:p w:rsidR="00996894" w:rsidP="00996894" w14:paraId="753B353B" w14:textId="77777777">
      <w:pPr>
        <w:spacing w:after="0" w:line="240" w:lineRule="auto"/>
        <w:rPr>
          <w:rFonts w:asciiTheme="majorHAnsi" w:hAnsiTheme="majorHAnsi"/>
          <w:sz w:val="24"/>
        </w:rPr>
      </w:pPr>
      <w:r w:rsidRPr="00337EF1">
        <w:rPr>
          <w:rFonts w:asciiTheme="majorHAnsi" w:hAnsiTheme="majorHAnsi"/>
          <w:sz w:val="24"/>
        </w:rPr>
        <w:t xml:space="preserve">11. </w:t>
      </w:r>
      <w:r w:rsidRPr="00337EF1">
        <w:rPr>
          <w:rFonts w:asciiTheme="majorHAnsi" w:hAnsiTheme="majorHAnsi"/>
          <w:sz w:val="24"/>
        </w:rPr>
        <w:tab/>
      </w:r>
      <w:r w:rsidRPr="00337EF1">
        <w:rPr>
          <w:rFonts w:asciiTheme="majorHAnsi" w:hAnsiTheme="majorHAnsi"/>
          <w:sz w:val="24"/>
          <w:u w:val="single"/>
        </w:rPr>
        <w:t>Sensitive Questions</w:t>
      </w:r>
      <w:r w:rsidR="0085688C">
        <w:rPr>
          <w:rFonts w:asciiTheme="majorHAnsi" w:hAnsiTheme="majorHAnsi"/>
          <w:sz w:val="24"/>
          <w:u w:val="single"/>
        </w:rPr>
        <w:t xml:space="preserve"> </w:t>
      </w:r>
    </w:p>
    <w:p w:rsidR="009A6246" w:rsidRPr="009A6246" w:rsidP="00337EF1" w14:paraId="7B761B7B" w14:textId="77777777">
      <w:pPr>
        <w:spacing w:after="0" w:line="240" w:lineRule="auto"/>
        <w:rPr>
          <w:rFonts w:asciiTheme="majorHAnsi" w:hAnsiTheme="majorHAnsi"/>
          <w:i/>
          <w:sz w:val="24"/>
        </w:rPr>
      </w:pPr>
    </w:p>
    <w:p w:rsidR="009A6246" w:rsidP="00337EF1" w14:paraId="7D09320B" w14:textId="77777777">
      <w:pPr>
        <w:spacing w:after="0" w:line="240" w:lineRule="auto"/>
        <w:rPr>
          <w:rFonts w:asciiTheme="majorHAnsi" w:hAnsiTheme="majorHAnsi"/>
          <w:sz w:val="24"/>
        </w:rPr>
      </w:pPr>
      <w:r w:rsidRPr="001E5EB4">
        <w:rPr>
          <w:rFonts w:asciiTheme="majorHAnsi" w:hAnsiTheme="majorHAnsi"/>
          <w:sz w:val="24"/>
        </w:rPr>
        <w:t>No questions considered sensitive are being asked in this collection.</w:t>
      </w:r>
      <w:r>
        <w:rPr>
          <w:rFonts w:asciiTheme="majorHAnsi" w:hAnsiTheme="majorHAnsi"/>
          <w:sz w:val="24"/>
        </w:rPr>
        <w:t xml:space="preserve"> </w:t>
      </w:r>
    </w:p>
    <w:p w:rsidR="00D21AA6" w:rsidP="00337EF1" w14:paraId="64D1D3A5" w14:textId="77777777">
      <w:pPr>
        <w:spacing w:after="0" w:line="240" w:lineRule="auto"/>
        <w:rPr>
          <w:rFonts w:asciiTheme="majorHAnsi" w:hAnsiTheme="majorHAnsi"/>
          <w:sz w:val="24"/>
        </w:rPr>
      </w:pPr>
    </w:p>
    <w:p w:rsidR="00D21AA6" w:rsidP="00337EF1" w14:paraId="60B14053" w14:textId="1E351D4F">
      <w:pPr>
        <w:spacing w:after="0" w:line="240" w:lineRule="auto"/>
        <w:rPr>
          <w:rFonts w:asciiTheme="majorHAnsi" w:hAnsiTheme="majorHAnsi"/>
          <w:sz w:val="24"/>
        </w:rPr>
      </w:pPr>
      <w:r>
        <w:rPr>
          <w:rFonts w:asciiTheme="majorHAnsi" w:hAnsiTheme="majorHAnsi"/>
          <w:sz w:val="24"/>
        </w:rPr>
        <w:t xml:space="preserve">12. </w:t>
      </w:r>
      <w:r w:rsidR="00A76F7E">
        <w:rPr>
          <w:rFonts w:asciiTheme="majorHAnsi" w:hAnsiTheme="majorHAnsi"/>
          <w:sz w:val="24"/>
        </w:rPr>
        <w:tab/>
      </w:r>
      <w:r w:rsidRPr="00A77157" w:rsidR="00A76F7E">
        <w:rPr>
          <w:rFonts w:asciiTheme="majorHAnsi" w:hAnsiTheme="majorHAnsi"/>
          <w:sz w:val="24"/>
          <w:u w:val="single"/>
        </w:rPr>
        <w:t>Respondent Burden and Labor Costs</w:t>
      </w:r>
    </w:p>
    <w:p w:rsidR="00D515D7" w:rsidP="00235D71" w14:paraId="0AFD92C3" w14:textId="77777777">
      <w:pPr>
        <w:spacing w:after="0" w:line="240" w:lineRule="auto"/>
      </w:pPr>
    </w:p>
    <w:p w:rsidR="009A29A8" w:rsidP="009A29A8" w14:paraId="5EAF78D5" w14:textId="564E0CE1">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hAnsiTheme="majorHAnsi"/>
          <w:sz w:val="24"/>
          <w:szCs w:val="24"/>
        </w:rPr>
      </w:pPr>
      <w:r w:rsidRPr="009A29A8">
        <w:rPr>
          <w:rFonts w:asciiTheme="majorHAnsi" w:hAnsiTheme="majorHAnsi"/>
          <w:sz w:val="24"/>
          <w:szCs w:val="24"/>
        </w:rPr>
        <w:t xml:space="preserve">The hourly reporting burden imposed on firms that manufacture or import non-children’s products that contain button cell or coin batteries, and firms that manufacture or import button cell or coin batteries, includes the time and cost to create and maintain records related to testing of consumer products (including issuing a GCC); product labeling, including required warning labels on, as applicable: consumer product battery compartments, product packaging, </w:t>
      </w:r>
      <w:r w:rsidR="00E136C2">
        <w:rPr>
          <w:rFonts w:asciiTheme="majorHAnsi" w:hAnsiTheme="majorHAnsi"/>
          <w:sz w:val="24"/>
          <w:szCs w:val="24"/>
        </w:rPr>
        <w:t xml:space="preserve">and </w:t>
      </w:r>
      <w:r w:rsidRPr="009A29A8">
        <w:rPr>
          <w:rFonts w:asciiTheme="majorHAnsi" w:hAnsiTheme="majorHAnsi"/>
          <w:sz w:val="24"/>
          <w:szCs w:val="24"/>
        </w:rPr>
        <w:t>accompanying written materials (</w:t>
      </w:r>
      <w:r w:rsidRPr="009A29A8">
        <w:rPr>
          <w:rFonts w:asciiTheme="majorHAnsi" w:hAnsiTheme="majorHAnsi"/>
          <w:i/>
          <w:iCs/>
          <w:sz w:val="24"/>
          <w:szCs w:val="24"/>
        </w:rPr>
        <w:t>i.e.</w:t>
      </w:r>
      <w:r w:rsidRPr="009A29A8">
        <w:rPr>
          <w:rFonts w:asciiTheme="majorHAnsi" w:hAnsiTheme="majorHAnsi"/>
          <w:sz w:val="24"/>
          <w:szCs w:val="24"/>
        </w:rPr>
        <w:t>, instructions, manuals, inserts, or hangtags</w:t>
      </w:r>
      <w:r>
        <w:rPr>
          <w:rFonts w:asciiTheme="majorHAnsi" w:hAnsiTheme="majorHAnsi"/>
          <w:sz w:val="24"/>
          <w:szCs w:val="24"/>
        </w:rPr>
        <w:t>)</w:t>
      </w:r>
      <w:r w:rsidRPr="009A29A8">
        <w:rPr>
          <w:rFonts w:asciiTheme="majorHAnsi" w:hAnsiTheme="majorHAnsi"/>
          <w:sz w:val="24"/>
          <w:szCs w:val="24"/>
        </w:rPr>
        <w:t xml:space="preserve">.  </w:t>
      </w:r>
    </w:p>
    <w:p w:rsidR="009A29A8" w:rsidRPr="009A29A8" w:rsidP="009A29A8" w14:paraId="3706C34D" w14:textId="7777777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hAnsiTheme="majorHAnsi"/>
          <w:i/>
          <w:sz w:val="24"/>
          <w:szCs w:val="24"/>
        </w:rPr>
      </w:pPr>
    </w:p>
    <w:p w:rsidR="009A29A8" w:rsidRPr="009C7352" w:rsidP="009A29A8" w14:paraId="0CBB7A4B" w14:textId="77777777">
      <w:pPr>
        <w:pStyle w:val="Default"/>
        <w:keepNext/>
        <w:jc w:val="center"/>
        <w:rPr>
          <w:rFonts w:ascii="Times New Roman" w:hAnsi="Times New Roman" w:cs="Times New Roman"/>
          <w:b/>
          <w:color w:val="auto"/>
        </w:rPr>
      </w:pPr>
      <w:r w:rsidRPr="009C7352">
        <w:rPr>
          <w:rFonts w:ascii="Times New Roman" w:hAnsi="Times New Roman" w:cs="Times New Roman"/>
          <w:b/>
          <w:color w:val="auto"/>
        </w:rPr>
        <w:t xml:space="preserve">Table 1: Estimated Annual </w:t>
      </w:r>
      <w:r>
        <w:rPr>
          <w:rFonts w:ascii="Times New Roman" w:hAnsi="Times New Roman" w:cs="Times New Roman"/>
          <w:b/>
          <w:color w:val="auto"/>
        </w:rPr>
        <w:t>Respondent</w:t>
      </w:r>
      <w:r w:rsidRPr="009C7352">
        <w:rPr>
          <w:rFonts w:ascii="Times New Roman" w:hAnsi="Times New Roman" w:cs="Times New Roman"/>
          <w:b/>
          <w:color w:val="auto"/>
        </w:rPr>
        <w:t xml:space="preserve"> Burden</w:t>
      </w:r>
    </w:p>
    <w:tbl>
      <w:tblPr>
        <w:tblStyle w:val="TableGrid"/>
        <w:tblW w:w="9090" w:type="dxa"/>
        <w:tblInd w:w="-5" w:type="dxa"/>
        <w:tblLayout w:type="fixed"/>
        <w:tblLook w:val="04A0"/>
      </w:tblPr>
      <w:tblGrid>
        <w:gridCol w:w="1800"/>
        <w:gridCol w:w="1350"/>
        <w:gridCol w:w="1350"/>
        <w:gridCol w:w="1260"/>
        <w:gridCol w:w="1530"/>
        <w:gridCol w:w="1800"/>
      </w:tblGrid>
      <w:tr w14:paraId="155EA84C" w14:textId="77777777" w:rsidTr="00EE676A">
        <w:tblPrEx>
          <w:tblW w:w="9090" w:type="dxa"/>
          <w:tblInd w:w="-5" w:type="dxa"/>
          <w:tblLayout w:type="fixed"/>
          <w:tblLook w:val="04A0"/>
        </w:tblPrEx>
        <w:tc>
          <w:tcPr>
            <w:tcW w:w="1800" w:type="dxa"/>
            <w:shd w:val="clear" w:color="auto" w:fill="F2F2F2" w:themeFill="background1" w:themeFillShade="F2"/>
            <w:vAlign w:val="center"/>
          </w:tcPr>
          <w:p w:rsidR="009A29A8" w:rsidRPr="006013D3" w:rsidP="00EE676A" w14:paraId="0F4F4CD7" w14:textId="77777777">
            <w:pPr>
              <w:pStyle w:val="Default"/>
              <w:keepNext/>
              <w:ind w:firstLine="72"/>
              <w:jc w:val="center"/>
              <w:rPr>
                <w:rFonts w:ascii="Times New Roman" w:hAnsi="Times New Roman" w:cs="Times New Roman"/>
                <w:color w:val="auto"/>
                <w:sz w:val="20"/>
                <w:szCs w:val="20"/>
              </w:rPr>
            </w:pPr>
            <w:r w:rsidRPr="006013D3">
              <w:rPr>
                <w:rFonts w:ascii="Times New Roman" w:hAnsi="Times New Roman" w:cs="Times New Roman"/>
                <w:color w:val="auto"/>
                <w:sz w:val="20"/>
                <w:szCs w:val="20"/>
              </w:rPr>
              <w:t>Burden Type</w:t>
            </w:r>
          </w:p>
        </w:tc>
        <w:tc>
          <w:tcPr>
            <w:tcW w:w="1350" w:type="dxa"/>
            <w:shd w:val="clear" w:color="auto" w:fill="F2F2F2" w:themeFill="background1" w:themeFillShade="F2"/>
          </w:tcPr>
          <w:p w:rsidR="009A29A8" w:rsidRPr="006013D3" w:rsidP="00EE676A" w14:paraId="7043936B" w14:textId="77777777">
            <w:pPr>
              <w:pStyle w:val="Default"/>
              <w:keepNext/>
              <w:ind w:firstLine="72"/>
              <w:jc w:val="center"/>
              <w:rPr>
                <w:rFonts w:ascii="Times New Roman" w:hAnsi="Times New Roman" w:cs="Times New Roman"/>
                <w:color w:val="auto"/>
                <w:sz w:val="20"/>
                <w:szCs w:val="20"/>
              </w:rPr>
            </w:pPr>
            <w:r w:rsidRPr="006013D3">
              <w:rPr>
                <w:rFonts w:ascii="Times New Roman" w:hAnsi="Times New Roman" w:cs="Times New Roman"/>
                <w:color w:val="auto"/>
                <w:sz w:val="20"/>
                <w:szCs w:val="20"/>
              </w:rPr>
              <w:t>Respondents</w:t>
            </w:r>
          </w:p>
        </w:tc>
        <w:tc>
          <w:tcPr>
            <w:tcW w:w="1350" w:type="dxa"/>
            <w:shd w:val="clear" w:color="auto" w:fill="F2F2F2" w:themeFill="background1" w:themeFillShade="F2"/>
            <w:vAlign w:val="center"/>
          </w:tcPr>
          <w:p w:rsidR="009A29A8" w:rsidRPr="006013D3" w:rsidP="00EE676A" w14:paraId="6B7B5C5D" w14:textId="77777777">
            <w:pPr>
              <w:pStyle w:val="Default"/>
              <w:keepNext/>
              <w:ind w:firstLine="72"/>
              <w:jc w:val="center"/>
              <w:rPr>
                <w:rFonts w:ascii="Times New Roman" w:hAnsi="Times New Roman" w:cs="Times New Roman"/>
                <w:color w:val="auto"/>
                <w:sz w:val="20"/>
                <w:szCs w:val="20"/>
              </w:rPr>
            </w:pPr>
            <w:r w:rsidRPr="006013D3">
              <w:rPr>
                <w:rFonts w:ascii="Times New Roman" w:hAnsi="Times New Roman" w:cs="Times New Roman"/>
                <w:color w:val="auto"/>
                <w:sz w:val="20"/>
                <w:szCs w:val="20"/>
              </w:rPr>
              <w:t>Frequency of Response</w:t>
            </w:r>
          </w:p>
        </w:tc>
        <w:tc>
          <w:tcPr>
            <w:tcW w:w="1260" w:type="dxa"/>
            <w:shd w:val="clear" w:color="auto" w:fill="F2F2F2" w:themeFill="background1" w:themeFillShade="F2"/>
            <w:vAlign w:val="center"/>
          </w:tcPr>
          <w:p w:rsidR="009A29A8" w:rsidRPr="006013D3" w:rsidP="00EE676A" w14:paraId="76935C95" w14:textId="77777777">
            <w:pPr>
              <w:pStyle w:val="Default"/>
              <w:keepNext/>
              <w:ind w:firstLine="72"/>
              <w:jc w:val="center"/>
              <w:rPr>
                <w:rFonts w:ascii="Times New Roman" w:hAnsi="Times New Roman" w:cs="Times New Roman"/>
                <w:color w:val="auto"/>
                <w:sz w:val="20"/>
                <w:szCs w:val="20"/>
              </w:rPr>
            </w:pPr>
            <w:r w:rsidRPr="006013D3">
              <w:rPr>
                <w:rFonts w:ascii="Times New Roman" w:hAnsi="Times New Roman" w:cs="Times New Roman"/>
                <w:color w:val="auto"/>
                <w:sz w:val="20"/>
                <w:szCs w:val="20"/>
              </w:rPr>
              <w:t>Hours per Response</w:t>
            </w:r>
          </w:p>
        </w:tc>
        <w:tc>
          <w:tcPr>
            <w:tcW w:w="1530" w:type="dxa"/>
            <w:shd w:val="clear" w:color="auto" w:fill="F2F2F2" w:themeFill="background1" w:themeFillShade="F2"/>
            <w:vAlign w:val="center"/>
          </w:tcPr>
          <w:p w:rsidR="009A29A8" w:rsidRPr="006013D3" w:rsidP="00EE676A" w14:paraId="0E53C9A0" w14:textId="77777777">
            <w:pPr>
              <w:pStyle w:val="Default"/>
              <w:keepNext/>
              <w:ind w:firstLine="72"/>
              <w:jc w:val="center"/>
              <w:rPr>
                <w:rFonts w:ascii="Times New Roman" w:hAnsi="Times New Roman" w:cs="Times New Roman"/>
                <w:color w:val="auto"/>
                <w:sz w:val="20"/>
                <w:szCs w:val="20"/>
              </w:rPr>
            </w:pPr>
            <w:r w:rsidRPr="006013D3">
              <w:rPr>
                <w:rFonts w:ascii="Times New Roman" w:hAnsi="Times New Roman" w:cs="Times New Roman"/>
                <w:color w:val="auto"/>
                <w:sz w:val="20"/>
                <w:szCs w:val="20"/>
              </w:rPr>
              <w:t>Annual Burden (hours)</w:t>
            </w:r>
          </w:p>
        </w:tc>
        <w:tc>
          <w:tcPr>
            <w:tcW w:w="1800" w:type="dxa"/>
            <w:shd w:val="clear" w:color="auto" w:fill="F2F2F2" w:themeFill="background1" w:themeFillShade="F2"/>
          </w:tcPr>
          <w:p w:rsidR="009A29A8" w:rsidRPr="006013D3" w:rsidP="00EE676A" w14:paraId="3F6ABE97" w14:textId="44F2B84F">
            <w:pPr>
              <w:pStyle w:val="Default"/>
              <w:keepNext/>
              <w:ind w:firstLine="72"/>
              <w:jc w:val="center"/>
              <w:rPr>
                <w:rFonts w:ascii="Times New Roman" w:hAnsi="Times New Roman" w:cs="Times New Roman"/>
                <w:color w:val="auto"/>
                <w:sz w:val="20"/>
                <w:szCs w:val="20"/>
              </w:rPr>
            </w:pPr>
            <w:r>
              <w:rPr>
                <w:rFonts w:ascii="Times New Roman" w:hAnsi="Times New Roman" w:cs="Times New Roman"/>
                <w:color w:val="auto"/>
                <w:sz w:val="20"/>
                <w:szCs w:val="20"/>
              </w:rPr>
              <w:t>Estimated A</w:t>
            </w:r>
            <w:r w:rsidRPr="006013D3" w:rsidR="00862B96">
              <w:rPr>
                <w:rFonts w:ascii="Times New Roman" w:hAnsi="Times New Roman" w:cs="Times New Roman"/>
                <w:color w:val="auto"/>
                <w:sz w:val="20"/>
                <w:szCs w:val="20"/>
              </w:rPr>
              <w:t>nnual Burden</w:t>
            </w:r>
          </w:p>
          <w:p w:rsidR="009A29A8" w:rsidRPr="006013D3" w:rsidP="00EE676A" w14:paraId="7D1E7AEC" w14:textId="77777777">
            <w:pPr>
              <w:pStyle w:val="Default"/>
              <w:keepNext/>
              <w:ind w:firstLine="72"/>
              <w:jc w:val="center"/>
              <w:rPr>
                <w:rFonts w:ascii="Times New Roman" w:hAnsi="Times New Roman" w:cs="Times New Roman"/>
                <w:color w:val="auto"/>
                <w:sz w:val="20"/>
                <w:szCs w:val="20"/>
              </w:rPr>
            </w:pPr>
            <w:r w:rsidRPr="006013D3">
              <w:rPr>
                <w:rFonts w:ascii="Times New Roman" w:hAnsi="Times New Roman" w:cs="Times New Roman"/>
                <w:color w:val="auto"/>
                <w:sz w:val="20"/>
                <w:szCs w:val="20"/>
              </w:rPr>
              <w:t>(costs)</w:t>
            </w:r>
          </w:p>
        </w:tc>
      </w:tr>
      <w:tr w14:paraId="4DD5918E" w14:textId="77777777" w:rsidTr="00EE676A">
        <w:tblPrEx>
          <w:tblW w:w="9090" w:type="dxa"/>
          <w:tblInd w:w="-5" w:type="dxa"/>
          <w:tblLayout w:type="fixed"/>
          <w:tblLook w:val="04A0"/>
        </w:tblPrEx>
        <w:tc>
          <w:tcPr>
            <w:tcW w:w="1800" w:type="dxa"/>
            <w:shd w:val="clear" w:color="auto" w:fill="auto"/>
          </w:tcPr>
          <w:p w:rsidR="009A29A8" w:rsidRPr="006013D3" w:rsidP="00EE676A" w14:paraId="6B6B2920" w14:textId="77777777">
            <w:pPr>
              <w:pStyle w:val="Default"/>
              <w:keepNext/>
              <w:ind w:firstLine="72"/>
              <w:jc w:val="center"/>
              <w:rPr>
                <w:rFonts w:ascii="Times New Roman" w:hAnsi="Times New Roman" w:cs="Times New Roman"/>
                <w:color w:val="auto"/>
                <w:sz w:val="20"/>
                <w:szCs w:val="20"/>
              </w:rPr>
            </w:pPr>
            <w:r w:rsidRPr="006013D3">
              <w:rPr>
                <w:rFonts w:ascii="Times New Roman" w:hAnsi="Times New Roman" w:cs="Times New Roman"/>
                <w:color w:val="auto"/>
                <w:sz w:val="20"/>
                <w:szCs w:val="20"/>
              </w:rPr>
              <w:t>Labeling</w:t>
            </w:r>
          </w:p>
        </w:tc>
        <w:tc>
          <w:tcPr>
            <w:tcW w:w="1350" w:type="dxa"/>
          </w:tcPr>
          <w:p w:rsidR="009A29A8" w:rsidRPr="006013D3" w:rsidP="00EE676A" w14:paraId="09158F57" w14:textId="77777777">
            <w:pPr>
              <w:pStyle w:val="Default"/>
              <w:keepNext/>
              <w:ind w:firstLine="72"/>
              <w:jc w:val="center"/>
              <w:rPr>
                <w:rFonts w:ascii="Times New Roman" w:hAnsi="Times New Roman" w:cs="Times New Roman"/>
                <w:color w:val="auto"/>
                <w:sz w:val="20"/>
                <w:szCs w:val="20"/>
              </w:rPr>
            </w:pPr>
            <w:r w:rsidRPr="006013D3">
              <w:rPr>
                <w:rFonts w:ascii="Times New Roman" w:hAnsi="Times New Roman" w:cs="Times New Roman"/>
                <w:color w:val="auto"/>
                <w:sz w:val="20"/>
                <w:szCs w:val="20"/>
              </w:rPr>
              <w:t>15,363</w:t>
            </w:r>
          </w:p>
        </w:tc>
        <w:tc>
          <w:tcPr>
            <w:tcW w:w="1350" w:type="dxa"/>
            <w:shd w:val="clear" w:color="auto" w:fill="auto"/>
          </w:tcPr>
          <w:p w:rsidR="009A29A8" w:rsidRPr="006013D3" w:rsidP="00EE676A" w14:paraId="1B28A080" w14:textId="056DB287">
            <w:pPr>
              <w:pStyle w:val="Default"/>
              <w:keepNext/>
              <w:ind w:firstLine="72"/>
              <w:jc w:val="center"/>
              <w:rPr>
                <w:rFonts w:ascii="Times New Roman" w:hAnsi="Times New Roman" w:cs="Times New Roman"/>
                <w:color w:val="auto"/>
                <w:sz w:val="20"/>
                <w:szCs w:val="20"/>
              </w:rPr>
            </w:pPr>
            <w:r>
              <w:rPr>
                <w:rFonts w:ascii="Times New Roman" w:hAnsi="Times New Roman" w:cs="Times New Roman"/>
                <w:color w:val="auto"/>
                <w:sz w:val="20"/>
                <w:szCs w:val="20"/>
              </w:rPr>
              <w:t>3</w:t>
            </w:r>
          </w:p>
        </w:tc>
        <w:tc>
          <w:tcPr>
            <w:tcW w:w="1260" w:type="dxa"/>
            <w:shd w:val="clear" w:color="auto" w:fill="auto"/>
          </w:tcPr>
          <w:p w:rsidR="009A29A8" w:rsidRPr="006013D3" w:rsidP="00EE676A" w14:paraId="00A20234" w14:textId="7118B86C">
            <w:pPr>
              <w:pStyle w:val="Default"/>
              <w:keepNext/>
              <w:ind w:firstLine="72"/>
              <w:jc w:val="center"/>
              <w:rPr>
                <w:rFonts w:ascii="Times New Roman" w:hAnsi="Times New Roman" w:cs="Times New Roman"/>
                <w:color w:val="auto"/>
                <w:sz w:val="20"/>
                <w:szCs w:val="20"/>
              </w:rPr>
            </w:pPr>
            <w:r>
              <w:rPr>
                <w:rFonts w:ascii="Times New Roman" w:hAnsi="Times New Roman" w:cs="Times New Roman"/>
                <w:color w:val="auto"/>
                <w:sz w:val="20"/>
                <w:szCs w:val="20"/>
              </w:rPr>
              <w:t>1</w:t>
            </w:r>
            <w:r w:rsidR="00E136C2">
              <w:rPr>
                <w:rFonts w:ascii="Times New Roman" w:hAnsi="Times New Roman" w:cs="Times New Roman"/>
                <w:color w:val="auto"/>
                <w:sz w:val="20"/>
                <w:szCs w:val="20"/>
              </w:rPr>
              <w:t>.25</w:t>
            </w:r>
          </w:p>
        </w:tc>
        <w:tc>
          <w:tcPr>
            <w:tcW w:w="1530" w:type="dxa"/>
            <w:shd w:val="clear" w:color="auto" w:fill="auto"/>
            <w:vAlign w:val="center"/>
          </w:tcPr>
          <w:p w:rsidR="009A29A8" w:rsidRPr="006013D3" w:rsidP="00EE676A" w14:paraId="623B451A" w14:textId="3650A2D2">
            <w:pPr>
              <w:pStyle w:val="Default"/>
              <w:keepNext/>
              <w:ind w:firstLine="72"/>
              <w:jc w:val="center"/>
              <w:rPr>
                <w:rFonts w:ascii="Times New Roman" w:hAnsi="Times New Roman" w:cs="Times New Roman"/>
                <w:color w:val="auto"/>
                <w:sz w:val="20"/>
                <w:szCs w:val="20"/>
              </w:rPr>
            </w:pPr>
            <w:r>
              <w:rPr>
                <w:rFonts w:ascii="Times New Roman" w:hAnsi="Times New Roman" w:cs="Times New Roman"/>
                <w:sz w:val="20"/>
                <w:szCs w:val="20"/>
              </w:rPr>
              <w:t>57,611.25</w:t>
            </w:r>
          </w:p>
        </w:tc>
        <w:tc>
          <w:tcPr>
            <w:tcW w:w="1800" w:type="dxa"/>
            <w:vAlign w:val="bottom"/>
          </w:tcPr>
          <w:p w:rsidR="009A29A8" w:rsidRPr="006013D3" w:rsidP="00EE676A" w14:paraId="16D6E9D7" w14:textId="6BA4B9C9">
            <w:pPr>
              <w:pStyle w:val="Default"/>
              <w:keepNext/>
              <w:ind w:firstLine="72"/>
              <w:jc w:val="center"/>
              <w:rPr>
                <w:rFonts w:ascii="Times New Roman" w:hAnsi="Times New Roman" w:cs="Times New Roman"/>
                <w:color w:val="auto"/>
                <w:sz w:val="20"/>
                <w:szCs w:val="20"/>
              </w:rPr>
            </w:pPr>
            <w:r w:rsidRPr="006013D3">
              <w:rPr>
                <w:rFonts w:ascii="Times New Roman" w:hAnsi="Times New Roman" w:cs="Times New Roman"/>
                <w:sz w:val="20"/>
                <w:szCs w:val="20"/>
              </w:rPr>
              <w:t>$</w:t>
            </w:r>
            <w:r w:rsidR="00010B24">
              <w:rPr>
                <w:rFonts w:ascii="Times New Roman" w:hAnsi="Times New Roman" w:cs="Times New Roman"/>
                <w:sz w:val="20"/>
                <w:szCs w:val="20"/>
              </w:rPr>
              <w:t>2,513,00</w:t>
            </w:r>
            <w:r w:rsidR="00685700">
              <w:rPr>
                <w:rFonts w:ascii="Times New Roman" w:hAnsi="Times New Roman" w:cs="Times New Roman"/>
                <w:sz w:val="20"/>
                <w:szCs w:val="20"/>
              </w:rPr>
              <w:t>3</w:t>
            </w:r>
          </w:p>
        </w:tc>
      </w:tr>
      <w:tr w14:paraId="1EAB1CD5" w14:textId="77777777" w:rsidTr="00EE676A">
        <w:tblPrEx>
          <w:tblW w:w="9090" w:type="dxa"/>
          <w:tblInd w:w="-5" w:type="dxa"/>
          <w:tblLayout w:type="fixed"/>
          <w:tblLook w:val="04A0"/>
        </w:tblPrEx>
        <w:tc>
          <w:tcPr>
            <w:tcW w:w="1800" w:type="dxa"/>
            <w:shd w:val="clear" w:color="auto" w:fill="auto"/>
          </w:tcPr>
          <w:p w:rsidR="009A29A8" w:rsidRPr="006013D3" w:rsidP="00EE676A" w14:paraId="153DD41F" w14:textId="77777777">
            <w:pPr>
              <w:pStyle w:val="Default"/>
              <w:keepNext/>
              <w:ind w:firstLine="72"/>
              <w:jc w:val="center"/>
              <w:rPr>
                <w:rFonts w:ascii="Times New Roman" w:hAnsi="Times New Roman" w:cs="Times New Roman"/>
                <w:color w:val="auto"/>
                <w:sz w:val="20"/>
                <w:szCs w:val="20"/>
              </w:rPr>
            </w:pPr>
            <w:r w:rsidRPr="006013D3">
              <w:rPr>
                <w:rFonts w:ascii="Times New Roman" w:hAnsi="Times New Roman" w:cs="Times New Roman"/>
                <w:color w:val="auto"/>
                <w:sz w:val="20"/>
                <w:szCs w:val="20"/>
              </w:rPr>
              <w:t>Testing</w:t>
            </w:r>
          </w:p>
        </w:tc>
        <w:tc>
          <w:tcPr>
            <w:tcW w:w="1350" w:type="dxa"/>
          </w:tcPr>
          <w:p w:rsidR="009A29A8" w:rsidRPr="006013D3" w:rsidP="00EE676A" w14:paraId="7FFF7370" w14:textId="77777777">
            <w:pPr>
              <w:pStyle w:val="Default"/>
              <w:keepNext/>
              <w:ind w:firstLine="72"/>
              <w:jc w:val="center"/>
              <w:rPr>
                <w:rFonts w:ascii="Times New Roman" w:hAnsi="Times New Roman" w:cs="Times New Roman"/>
                <w:color w:val="auto"/>
                <w:sz w:val="20"/>
                <w:szCs w:val="20"/>
              </w:rPr>
            </w:pPr>
            <w:r w:rsidRPr="006013D3">
              <w:rPr>
                <w:rFonts w:ascii="Times New Roman" w:hAnsi="Times New Roman" w:cs="Times New Roman"/>
                <w:color w:val="auto"/>
                <w:sz w:val="20"/>
                <w:szCs w:val="20"/>
              </w:rPr>
              <w:t>15,363</w:t>
            </w:r>
          </w:p>
        </w:tc>
        <w:tc>
          <w:tcPr>
            <w:tcW w:w="1350" w:type="dxa"/>
            <w:shd w:val="clear" w:color="auto" w:fill="auto"/>
          </w:tcPr>
          <w:p w:rsidR="009A29A8" w:rsidRPr="006013D3" w:rsidP="00EE676A" w14:paraId="05FC8926" w14:textId="64EDAF65">
            <w:pPr>
              <w:pStyle w:val="Default"/>
              <w:keepNext/>
              <w:ind w:firstLine="72"/>
              <w:jc w:val="center"/>
              <w:rPr>
                <w:rFonts w:ascii="Times New Roman" w:hAnsi="Times New Roman" w:cs="Times New Roman"/>
                <w:color w:val="auto"/>
                <w:sz w:val="20"/>
                <w:szCs w:val="20"/>
              </w:rPr>
            </w:pPr>
            <w:r>
              <w:rPr>
                <w:rFonts w:ascii="Times New Roman" w:hAnsi="Times New Roman" w:cs="Times New Roman"/>
                <w:color w:val="auto"/>
                <w:sz w:val="20"/>
                <w:szCs w:val="20"/>
              </w:rPr>
              <w:t>3</w:t>
            </w:r>
          </w:p>
        </w:tc>
        <w:tc>
          <w:tcPr>
            <w:tcW w:w="1260" w:type="dxa"/>
            <w:shd w:val="clear" w:color="auto" w:fill="auto"/>
          </w:tcPr>
          <w:p w:rsidR="009A29A8" w:rsidRPr="006013D3" w:rsidP="00EE676A" w14:paraId="44263B37" w14:textId="1A1551ED">
            <w:pPr>
              <w:pStyle w:val="Default"/>
              <w:keepNext/>
              <w:ind w:firstLine="72"/>
              <w:jc w:val="center"/>
              <w:rPr>
                <w:rFonts w:ascii="Times New Roman" w:hAnsi="Times New Roman" w:cs="Times New Roman"/>
                <w:color w:val="auto"/>
                <w:sz w:val="20"/>
                <w:szCs w:val="20"/>
              </w:rPr>
            </w:pPr>
            <w:r>
              <w:rPr>
                <w:rFonts w:ascii="Times New Roman" w:hAnsi="Times New Roman" w:cs="Times New Roman"/>
                <w:color w:val="auto"/>
                <w:sz w:val="20"/>
                <w:szCs w:val="20"/>
              </w:rPr>
              <w:t>3</w:t>
            </w:r>
            <w:r w:rsidR="00E136C2">
              <w:rPr>
                <w:rFonts w:ascii="Times New Roman" w:hAnsi="Times New Roman" w:cs="Times New Roman"/>
                <w:color w:val="auto"/>
                <w:sz w:val="20"/>
                <w:szCs w:val="20"/>
              </w:rPr>
              <w:t>.5</w:t>
            </w:r>
          </w:p>
        </w:tc>
        <w:tc>
          <w:tcPr>
            <w:tcW w:w="1530" w:type="dxa"/>
            <w:shd w:val="clear" w:color="auto" w:fill="auto"/>
            <w:vAlign w:val="center"/>
          </w:tcPr>
          <w:p w:rsidR="009A29A8" w:rsidRPr="006013D3" w:rsidP="00EE676A" w14:paraId="09BA809B" w14:textId="5ED627FB">
            <w:pPr>
              <w:pStyle w:val="Default"/>
              <w:keepNext/>
              <w:ind w:firstLine="72"/>
              <w:jc w:val="center"/>
              <w:rPr>
                <w:rFonts w:ascii="Times New Roman" w:hAnsi="Times New Roman" w:cs="Times New Roman"/>
                <w:color w:val="auto"/>
                <w:sz w:val="20"/>
                <w:szCs w:val="20"/>
              </w:rPr>
            </w:pPr>
            <w:r>
              <w:rPr>
                <w:rFonts w:ascii="Times New Roman" w:hAnsi="Times New Roman" w:cs="Times New Roman"/>
                <w:sz w:val="20"/>
                <w:szCs w:val="20"/>
              </w:rPr>
              <w:t>161,311.5</w:t>
            </w:r>
          </w:p>
        </w:tc>
        <w:tc>
          <w:tcPr>
            <w:tcW w:w="1800" w:type="dxa"/>
            <w:vAlign w:val="bottom"/>
          </w:tcPr>
          <w:p w:rsidR="009A29A8" w:rsidRPr="006013D3" w:rsidP="00EE676A" w14:paraId="52E462B2" w14:textId="4701A020">
            <w:pPr>
              <w:pStyle w:val="Default"/>
              <w:keepNext/>
              <w:ind w:firstLine="72"/>
              <w:jc w:val="center"/>
              <w:rPr>
                <w:rFonts w:ascii="Times New Roman" w:hAnsi="Times New Roman" w:cs="Times New Roman"/>
                <w:color w:val="auto"/>
                <w:sz w:val="20"/>
                <w:szCs w:val="20"/>
              </w:rPr>
            </w:pPr>
            <w:r w:rsidRPr="006013D3">
              <w:rPr>
                <w:rFonts w:ascii="Times New Roman" w:hAnsi="Times New Roman" w:cs="Times New Roman"/>
                <w:sz w:val="20"/>
                <w:szCs w:val="20"/>
              </w:rPr>
              <w:t>$</w:t>
            </w:r>
            <w:r w:rsidR="00010B24">
              <w:rPr>
                <w:rFonts w:ascii="Times New Roman" w:hAnsi="Times New Roman" w:cs="Times New Roman"/>
                <w:sz w:val="20"/>
                <w:szCs w:val="20"/>
              </w:rPr>
              <w:t>7,036,407</w:t>
            </w:r>
          </w:p>
        </w:tc>
      </w:tr>
      <w:tr w14:paraId="3BCDDE09" w14:textId="77777777" w:rsidTr="00EE676A">
        <w:tblPrEx>
          <w:tblW w:w="9090" w:type="dxa"/>
          <w:tblInd w:w="-5" w:type="dxa"/>
          <w:tblLayout w:type="fixed"/>
          <w:tblLook w:val="04A0"/>
        </w:tblPrEx>
        <w:tc>
          <w:tcPr>
            <w:tcW w:w="1800" w:type="dxa"/>
            <w:shd w:val="clear" w:color="auto" w:fill="auto"/>
          </w:tcPr>
          <w:p w:rsidR="009A29A8" w:rsidRPr="006013D3" w:rsidP="00EE676A" w14:paraId="257DECE0" w14:textId="77777777">
            <w:pPr>
              <w:pStyle w:val="Default"/>
              <w:keepNext/>
              <w:ind w:firstLine="72"/>
              <w:jc w:val="center"/>
              <w:rPr>
                <w:rFonts w:ascii="Times New Roman" w:hAnsi="Times New Roman" w:cs="Times New Roman"/>
                <w:color w:val="auto"/>
                <w:sz w:val="20"/>
                <w:szCs w:val="20"/>
              </w:rPr>
            </w:pPr>
            <w:r w:rsidRPr="006013D3">
              <w:rPr>
                <w:rFonts w:ascii="Times New Roman" w:hAnsi="Times New Roman" w:cs="Times New Roman"/>
                <w:color w:val="auto"/>
                <w:sz w:val="20"/>
                <w:szCs w:val="20"/>
              </w:rPr>
              <w:t>Recordkeeping</w:t>
            </w:r>
          </w:p>
        </w:tc>
        <w:tc>
          <w:tcPr>
            <w:tcW w:w="1350" w:type="dxa"/>
          </w:tcPr>
          <w:p w:rsidR="009A29A8" w:rsidRPr="006013D3" w:rsidP="00EE676A" w14:paraId="6AF50A84" w14:textId="77777777">
            <w:pPr>
              <w:pStyle w:val="Default"/>
              <w:keepNext/>
              <w:ind w:firstLine="72"/>
              <w:jc w:val="center"/>
              <w:rPr>
                <w:rFonts w:ascii="Times New Roman" w:hAnsi="Times New Roman" w:cs="Times New Roman"/>
                <w:color w:val="auto"/>
                <w:sz w:val="20"/>
                <w:szCs w:val="20"/>
              </w:rPr>
            </w:pPr>
            <w:r w:rsidRPr="006013D3">
              <w:rPr>
                <w:rFonts w:ascii="Times New Roman" w:hAnsi="Times New Roman" w:cs="Times New Roman"/>
                <w:color w:val="auto"/>
                <w:sz w:val="20"/>
                <w:szCs w:val="20"/>
              </w:rPr>
              <w:t>15,363</w:t>
            </w:r>
          </w:p>
        </w:tc>
        <w:tc>
          <w:tcPr>
            <w:tcW w:w="1350" w:type="dxa"/>
            <w:shd w:val="clear" w:color="auto" w:fill="auto"/>
          </w:tcPr>
          <w:p w:rsidR="009A29A8" w:rsidRPr="006013D3" w:rsidP="00EE676A" w14:paraId="55A14C2F" w14:textId="6800697F">
            <w:pPr>
              <w:pStyle w:val="Default"/>
              <w:keepNext/>
              <w:ind w:firstLine="72"/>
              <w:jc w:val="center"/>
              <w:rPr>
                <w:rFonts w:ascii="Times New Roman" w:hAnsi="Times New Roman" w:cs="Times New Roman"/>
                <w:color w:val="auto"/>
                <w:sz w:val="20"/>
                <w:szCs w:val="20"/>
              </w:rPr>
            </w:pPr>
            <w:r>
              <w:rPr>
                <w:rFonts w:ascii="Times New Roman" w:hAnsi="Times New Roman" w:cs="Times New Roman"/>
                <w:color w:val="auto"/>
                <w:sz w:val="20"/>
                <w:szCs w:val="20"/>
              </w:rPr>
              <w:t>3</w:t>
            </w:r>
          </w:p>
        </w:tc>
        <w:tc>
          <w:tcPr>
            <w:tcW w:w="1260" w:type="dxa"/>
            <w:shd w:val="clear" w:color="auto" w:fill="auto"/>
          </w:tcPr>
          <w:p w:rsidR="009A29A8" w:rsidRPr="006013D3" w:rsidP="00EE676A" w14:paraId="27F48603" w14:textId="2D6B5A68">
            <w:pPr>
              <w:pStyle w:val="Default"/>
              <w:keepNext/>
              <w:ind w:firstLine="72"/>
              <w:jc w:val="center"/>
              <w:rPr>
                <w:rFonts w:ascii="Times New Roman" w:hAnsi="Times New Roman" w:cs="Times New Roman"/>
                <w:color w:val="auto"/>
                <w:sz w:val="20"/>
                <w:szCs w:val="20"/>
              </w:rPr>
            </w:pPr>
            <w:r>
              <w:rPr>
                <w:rFonts w:ascii="Times New Roman" w:hAnsi="Times New Roman" w:cs="Times New Roman"/>
                <w:color w:val="auto"/>
                <w:sz w:val="20"/>
                <w:szCs w:val="20"/>
              </w:rPr>
              <w:t>1</w:t>
            </w:r>
            <w:r w:rsidR="00E136C2">
              <w:rPr>
                <w:rFonts w:ascii="Times New Roman" w:hAnsi="Times New Roman" w:cs="Times New Roman"/>
                <w:color w:val="auto"/>
                <w:sz w:val="20"/>
                <w:szCs w:val="20"/>
              </w:rPr>
              <w:t>.25</w:t>
            </w:r>
          </w:p>
        </w:tc>
        <w:tc>
          <w:tcPr>
            <w:tcW w:w="1530" w:type="dxa"/>
            <w:shd w:val="clear" w:color="auto" w:fill="auto"/>
            <w:vAlign w:val="center"/>
          </w:tcPr>
          <w:p w:rsidR="009A29A8" w:rsidRPr="006013D3" w:rsidP="00EE676A" w14:paraId="6AC5D9E2" w14:textId="3E60E946">
            <w:pPr>
              <w:pStyle w:val="Default"/>
              <w:keepNext/>
              <w:ind w:firstLine="72"/>
              <w:jc w:val="center"/>
              <w:rPr>
                <w:rFonts w:ascii="Times New Roman" w:hAnsi="Times New Roman" w:cs="Times New Roman"/>
                <w:color w:val="auto"/>
                <w:sz w:val="20"/>
                <w:szCs w:val="20"/>
              </w:rPr>
            </w:pPr>
            <w:r>
              <w:rPr>
                <w:rFonts w:ascii="Times New Roman" w:hAnsi="Times New Roman" w:cs="Times New Roman"/>
                <w:sz w:val="20"/>
                <w:szCs w:val="20"/>
              </w:rPr>
              <w:t>57,611.25</w:t>
            </w:r>
          </w:p>
        </w:tc>
        <w:tc>
          <w:tcPr>
            <w:tcW w:w="1800" w:type="dxa"/>
            <w:vAlign w:val="bottom"/>
          </w:tcPr>
          <w:p w:rsidR="009A29A8" w:rsidRPr="006013D3" w:rsidP="00EE676A" w14:paraId="4344A72A" w14:textId="0378779B">
            <w:pPr>
              <w:pStyle w:val="Default"/>
              <w:keepNext/>
              <w:ind w:firstLine="72"/>
              <w:jc w:val="center"/>
              <w:rPr>
                <w:rFonts w:ascii="Times New Roman" w:hAnsi="Times New Roman" w:cs="Times New Roman"/>
                <w:color w:val="auto"/>
                <w:sz w:val="20"/>
                <w:szCs w:val="20"/>
              </w:rPr>
            </w:pPr>
            <w:r w:rsidRPr="006013D3">
              <w:rPr>
                <w:rFonts w:ascii="Times New Roman" w:hAnsi="Times New Roman" w:cs="Times New Roman"/>
                <w:sz w:val="20"/>
                <w:szCs w:val="20"/>
              </w:rPr>
              <w:t>$</w:t>
            </w:r>
            <w:r w:rsidR="00010B24">
              <w:rPr>
                <w:rFonts w:ascii="Times New Roman" w:hAnsi="Times New Roman" w:cs="Times New Roman"/>
                <w:sz w:val="20"/>
                <w:szCs w:val="20"/>
              </w:rPr>
              <w:t>2,513,00</w:t>
            </w:r>
            <w:r w:rsidR="00685700">
              <w:rPr>
                <w:rFonts w:ascii="Times New Roman" w:hAnsi="Times New Roman" w:cs="Times New Roman"/>
                <w:sz w:val="20"/>
                <w:szCs w:val="20"/>
              </w:rPr>
              <w:t>3</w:t>
            </w:r>
          </w:p>
        </w:tc>
      </w:tr>
      <w:tr w14:paraId="5BED9A27" w14:textId="77777777" w:rsidTr="00EE676A">
        <w:tblPrEx>
          <w:tblW w:w="9090" w:type="dxa"/>
          <w:tblInd w:w="-5" w:type="dxa"/>
          <w:tblLayout w:type="fixed"/>
          <w:tblLook w:val="04A0"/>
        </w:tblPrEx>
        <w:tc>
          <w:tcPr>
            <w:tcW w:w="1800" w:type="dxa"/>
            <w:shd w:val="clear" w:color="auto" w:fill="auto"/>
          </w:tcPr>
          <w:p w:rsidR="009A29A8" w:rsidRPr="006013D3" w:rsidP="00EE676A" w14:paraId="63CBC8B3" w14:textId="77777777">
            <w:pPr>
              <w:pStyle w:val="Default"/>
              <w:keepNext/>
              <w:ind w:firstLine="72"/>
              <w:jc w:val="center"/>
              <w:rPr>
                <w:rFonts w:ascii="Times New Roman" w:hAnsi="Times New Roman" w:cs="Times New Roman"/>
                <w:color w:val="auto"/>
                <w:sz w:val="20"/>
                <w:szCs w:val="20"/>
              </w:rPr>
            </w:pPr>
            <w:r w:rsidRPr="006013D3">
              <w:rPr>
                <w:rFonts w:ascii="Times New Roman" w:hAnsi="Times New Roman" w:cs="Times New Roman"/>
                <w:color w:val="auto"/>
                <w:sz w:val="20"/>
                <w:szCs w:val="20"/>
              </w:rPr>
              <w:t>Total Burden</w:t>
            </w:r>
          </w:p>
        </w:tc>
        <w:tc>
          <w:tcPr>
            <w:tcW w:w="1350" w:type="dxa"/>
          </w:tcPr>
          <w:p w:rsidR="009A29A8" w:rsidRPr="006013D3" w:rsidP="00EE676A" w14:paraId="1BDF552B" w14:textId="77777777">
            <w:pPr>
              <w:pStyle w:val="Default"/>
              <w:keepNext/>
              <w:ind w:firstLine="72"/>
              <w:jc w:val="center"/>
              <w:rPr>
                <w:rFonts w:ascii="Times New Roman" w:hAnsi="Times New Roman" w:cs="Times New Roman"/>
                <w:color w:val="auto"/>
                <w:sz w:val="20"/>
                <w:szCs w:val="20"/>
              </w:rPr>
            </w:pPr>
          </w:p>
        </w:tc>
        <w:tc>
          <w:tcPr>
            <w:tcW w:w="1350" w:type="dxa"/>
            <w:shd w:val="clear" w:color="auto" w:fill="auto"/>
          </w:tcPr>
          <w:p w:rsidR="009A29A8" w:rsidRPr="006013D3" w:rsidP="00EE676A" w14:paraId="61D319CD" w14:textId="77777777">
            <w:pPr>
              <w:pStyle w:val="Default"/>
              <w:keepNext/>
              <w:ind w:firstLine="72"/>
              <w:jc w:val="center"/>
              <w:rPr>
                <w:rFonts w:ascii="Times New Roman" w:hAnsi="Times New Roman" w:cs="Times New Roman"/>
                <w:color w:val="auto"/>
                <w:sz w:val="20"/>
                <w:szCs w:val="20"/>
              </w:rPr>
            </w:pPr>
          </w:p>
        </w:tc>
        <w:tc>
          <w:tcPr>
            <w:tcW w:w="1260" w:type="dxa"/>
            <w:shd w:val="clear" w:color="auto" w:fill="auto"/>
          </w:tcPr>
          <w:p w:rsidR="009A29A8" w:rsidRPr="006013D3" w:rsidP="00EE676A" w14:paraId="7A91BCBD" w14:textId="77777777">
            <w:pPr>
              <w:pStyle w:val="Default"/>
              <w:keepNext/>
              <w:ind w:firstLine="72"/>
              <w:jc w:val="center"/>
              <w:rPr>
                <w:rFonts w:ascii="Times New Roman" w:hAnsi="Times New Roman" w:cs="Times New Roman"/>
                <w:color w:val="auto"/>
                <w:sz w:val="20"/>
                <w:szCs w:val="20"/>
              </w:rPr>
            </w:pPr>
          </w:p>
        </w:tc>
        <w:tc>
          <w:tcPr>
            <w:tcW w:w="1530" w:type="dxa"/>
            <w:shd w:val="clear" w:color="auto" w:fill="auto"/>
          </w:tcPr>
          <w:p w:rsidR="009A29A8" w:rsidRPr="006013D3" w:rsidP="00EE676A" w14:paraId="440294BF" w14:textId="15C98CE7">
            <w:pPr>
              <w:pStyle w:val="Default"/>
              <w:keepNext/>
              <w:ind w:firstLine="72"/>
              <w:jc w:val="center"/>
              <w:rPr>
                <w:rFonts w:ascii="Times New Roman" w:hAnsi="Times New Roman" w:cs="Times New Roman"/>
                <w:color w:val="auto"/>
                <w:sz w:val="20"/>
                <w:szCs w:val="20"/>
              </w:rPr>
            </w:pPr>
            <w:r>
              <w:rPr>
                <w:rFonts w:ascii="Times New Roman" w:hAnsi="Times New Roman" w:cs="Times New Roman"/>
                <w:color w:val="auto"/>
                <w:sz w:val="20"/>
                <w:szCs w:val="20"/>
              </w:rPr>
              <w:t>276,534</w:t>
            </w:r>
          </w:p>
        </w:tc>
        <w:tc>
          <w:tcPr>
            <w:tcW w:w="1800" w:type="dxa"/>
            <w:vAlign w:val="bottom"/>
          </w:tcPr>
          <w:p w:rsidR="009A29A8" w:rsidRPr="006013D3" w:rsidP="00EE676A" w14:paraId="3211476B" w14:textId="44CAA4FA">
            <w:pPr>
              <w:pStyle w:val="Default"/>
              <w:keepNext/>
              <w:ind w:firstLine="72"/>
              <w:jc w:val="center"/>
              <w:rPr>
                <w:rFonts w:ascii="Times New Roman" w:hAnsi="Times New Roman" w:cs="Times New Roman"/>
                <w:color w:val="auto"/>
                <w:sz w:val="20"/>
                <w:szCs w:val="20"/>
              </w:rPr>
            </w:pPr>
            <w:r w:rsidRPr="006013D3">
              <w:rPr>
                <w:rFonts w:ascii="Times New Roman" w:hAnsi="Times New Roman" w:cs="Times New Roman"/>
                <w:sz w:val="20"/>
                <w:szCs w:val="20"/>
              </w:rPr>
              <w:t>$</w:t>
            </w:r>
            <w:r w:rsidR="00010B24">
              <w:rPr>
                <w:rFonts w:ascii="Times New Roman" w:hAnsi="Times New Roman" w:cs="Times New Roman"/>
                <w:sz w:val="20"/>
                <w:szCs w:val="20"/>
              </w:rPr>
              <w:t>12,062,413</w:t>
            </w:r>
          </w:p>
        </w:tc>
      </w:tr>
    </w:tbl>
    <w:p w:rsidR="009A29A8" w:rsidRPr="009C7352" w:rsidP="009A29A8" w14:paraId="453FB28B" w14:textId="77777777">
      <w:pPr>
        <w:pStyle w:val="Default"/>
        <w:ind w:firstLine="720"/>
        <w:rPr>
          <w:rFonts w:ascii="Times New Roman" w:hAnsi="Times New Roman" w:cs="Times New Roman"/>
          <w:color w:val="auto"/>
        </w:rPr>
      </w:pPr>
    </w:p>
    <w:p w:rsidR="00934B59" w:rsidP="009A29A8" w14:paraId="086B29EC" w14:textId="77777777">
      <w:pPr>
        <w:spacing w:after="0" w:line="240" w:lineRule="auto"/>
        <w:rPr>
          <w:rFonts w:asciiTheme="majorHAnsi" w:hAnsiTheme="majorHAnsi"/>
          <w:sz w:val="24"/>
          <w:szCs w:val="24"/>
        </w:rPr>
      </w:pPr>
      <w:bookmarkStart w:id="0" w:name="_Hlk84010000"/>
      <w:r w:rsidRPr="009A29A8">
        <w:rPr>
          <w:rFonts w:asciiTheme="majorHAnsi" w:hAnsiTheme="majorHAnsi"/>
          <w:sz w:val="24"/>
          <w:szCs w:val="24"/>
        </w:rPr>
        <w:t xml:space="preserve">CPSC estimates that there are 15,363 </w:t>
      </w:r>
      <w:r w:rsidR="00140CCC">
        <w:rPr>
          <w:rFonts w:asciiTheme="majorHAnsi" w:hAnsiTheme="majorHAnsi"/>
          <w:sz w:val="24"/>
          <w:szCs w:val="24"/>
        </w:rPr>
        <w:t>entities that will respond to the collection annually</w:t>
      </w:r>
      <w:r w:rsidRPr="009A29A8">
        <w:rPr>
          <w:rFonts w:asciiTheme="majorHAnsi" w:hAnsiTheme="majorHAnsi"/>
          <w:sz w:val="24"/>
          <w:szCs w:val="24"/>
        </w:rPr>
        <w:t xml:space="preserve"> </w:t>
      </w:r>
      <w:r w:rsidR="00140CCC">
        <w:rPr>
          <w:rFonts w:asciiTheme="majorHAnsi" w:hAnsiTheme="majorHAnsi"/>
          <w:sz w:val="24"/>
          <w:szCs w:val="24"/>
        </w:rPr>
        <w:t xml:space="preserve">and </w:t>
      </w:r>
      <w:r w:rsidRPr="009A29A8">
        <w:rPr>
          <w:rFonts w:asciiTheme="majorHAnsi" w:hAnsiTheme="majorHAnsi"/>
          <w:sz w:val="24"/>
          <w:szCs w:val="24"/>
        </w:rPr>
        <w:t xml:space="preserve">that, on average, each </w:t>
      </w:r>
      <w:r w:rsidR="00140CCC">
        <w:rPr>
          <w:rFonts w:asciiTheme="majorHAnsi" w:hAnsiTheme="majorHAnsi"/>
          <w:sz w:val="24"/>
          <w:szCs w:val="24"/>
        </w:rPr>
        <w:t>entity</w:t>
      </w:r>
      <w:r w:rsidRPr="009A29A8">
        <w:rPr>
          <w:rFonts w:asciiTheme="majorHAnsi" w:hAnsiTheme="majorHAnsi"/>
          <w:sz w:val="24"/>
          <w:szCs w:val="24"/>
        </w:rPr>
        <w:t xml:space="preserve"> </w:t>
      </w:r>
      <w:r w:rsidR="00140CCC">
        <w:rPr>
          <w:rFonts w:asciiTheme="majorHAnsi" w:hAnsiTheme="majorHAnsi"/>
          <w:sz w:val="24"/>
          <w:szCs w:val="24"/>
        </w:rPr>
        <w:t>will respond three times per year</w:t>
      </w:r>
      <w:r w:rsidRPr="009A29A8">
        <w:rPr>
          <w:rFonts w:asciiTheme="majorHAnsi" w:hAnsiTheme="majorHAnsi"/>
          <w:sz w:val="24"/>
          <w:szCs w:val="24"/>
        </w:rPr>
        <w:t xml:space="preserve">.  We estimate </w:t>
      </w:r>
      <w:r w:rsidR="00140CCC">
        <w:rPr>
          <w:rFonts w:asciiTheme="majorHAnsi" w:hAnsiTheme="majorHAnsi"/>
          <w:sz w:val="24"/>
          <w:szCs w:val="24"/>
        </w:rPr>
        <w:t>the</w:t>
      </w:r>
      <w:r w:rsidRPr="009A29A8">
        <w:rPr>
          <w:rFonts w:asciiTheme="majorHAnsi" w:hAnsiTheme="majorHAnsi"/>
          <w:sz w:val="24"/>
          <w:szCs w:val="24"/>
        </w:rPr>
        <w:t xml:space="preserve"> hours per </w:t>
      </w:r>
      <w:r w:rsidR="00140CCC">
        <w:rPr>
          <w:rFonts w:asciiTheme="majorHAnsi" w:hAnsiTheme="majorHAnsi"/>
          <w:sz w:val="24"/>
          <w:szCs w:val="24"/>
        </w:rPr>
        <w:t>response for labeling, testing, and recordkeeping, as shown in Table 1</w:t>
      </w:r>
      <w:r w:rsidRPr="009A29A8">
        <w:rPr>
          <w:rFonts w:asciiTheme="majorHAnsi" w:hAnsiTheme="majorHAnsi"/>
          <w:sz w:val="24"/>
          <w:szCs w:val="24"/>
        </w:rPr>
        <w:t>.  Note that for button cell or battery packaging that requires only labeling pursuant to the NPR, and not product testing, this is an over-estimate.</w:t>
      </w:r>
      <w:r>
        <w:rPr>
          <w:rStyle w:val="FootnoteReference"/>
          <w:rFonts w:asciiTheme="majorHAnsi" w:hAnsiTheme="majorHAnsi"/>
          <w:sz w:val="24"/>
          <w:szCs w:val="24"/>
        </w:rPr>
        <w:footnoteReference w:id="2"/>
      </w:r>
      <w:r w:rsidRPr="009A29A8">
        <w:rPr>
          <w:rFonts w:asciiTheme="majorHAnsi" w:hAnsiTheme="majorHAnsi"/>
          <w:sz w:val="24"/>
          <w:szCs w:val="24"/>
        </w:rPr>
        <w:t xml:space="preserve">  Accordingly, as shown in Table 1, the total annual burden is </w:t>
      </w:r>
      <w:r w:rsidR="00140CCC">
        <w:rPr>
          <w:rFonts w:asciiTheme="majorHAnsi" w:hAnsiTheme="majorHAnsi"/>
          <w:sz w:val="24"/>
          <w:szCs w:val="24"/>
        </w:rPr>
        <w:t>276,534</w:t>
      </w:r>
      <w:r w:rsidRPr="009A29A8">
        <w:rPr>
          <w:rFonts w:asciiTheme="majorHAnsi" w:hAnsiTheme="majorHAnsi"/>
          <w:sz w:val="24"/>
          <w:szCs w:val="24"/>
        </w:rPr>
        <w:t xml:space="preserve"> hours.  </w:t>
      </w:r>
    </w:p>
    <w:p w:rsidR="00934B59" w:rsidP="009A29A8" w14:paraId="6FA439D6" w14:textId="77777777">
      <w:pPr>
        <w:spacing w:after="0" w:line="240" w:lineRule="auto"/>
        <w:rPr>
          <w:rFonts w:asciiTheme="majorHAnsi" w:hAnsiTheme="majorHAnsi"/>
          <w:sz w:val="24"/>
          <w:szCs w:val="24"/>
        </w:rPr>
      </w:pPr>
    </w:p>
    <w:p w:rsidR="009A29A8" w:rsidP="009A29A8" w14:paraId="37B1594F" w14:textId="1233FE01">
      <w:pPr>
        <w:spacing w:after="0" w:line="240" w:lineRule="auto"/>
        <w:rPr>
          <w:rFonts w:asciiTheme="majorHAnsi" w:hAnsiTheme="majorHAnsi"/>
          <w:sz w:val="24"/>
          <w:szCs w:val="24"/>
        </w:rPr>
      </w:pPr>
      <w:r w:rsidRPr="009A29A8">
        <w:rPr>
          <w:rFonts w:asciiTheme="majorHAnsi" w:hAnsiTheme="majorHAnsi"/>
          <w:sz w:val="24"/>
          <w:szCs w:val="24"/>
        </w:rPr>
        <w:t xml:space="preserve">Using the total compensation for all </w:t>
      </w:r>
      <w:r w:rsidR="00140CCC">
        <w:rPr>
          <w:rFonts w:asciiTheme="majorHAnsi" w:hAnsiTheme="majorHAnsi"/>
          <w:sz w:val="24"/>
          <w:szCs w:val="24"/>
        </w:rPr>
        <w:t>private industry</w:t>
      </w:r>
      <w:r w:rsidRPr="009A29A8">
        <w:rPr>
          <w:rFonts w:asciiTheme="majorHAnsi" w:hAnsiTheme="majorHAnsi"/>
          <w:sz w:val="24"/>
          <w:szCs w:val="24"/>
        </w:rPr>
        <w:t xml:space="preserve"> workers in goods-producing industries of $43.</w:t>
      </w:r>
      <w:r w:rsidR="00140CCC">
        <w:rPr>
          <w:rFonts w:asciiTheme="majorHAnsi" w:hAnsiTheme="majorHAnsi"/>
          <w:sz w:val="24"/>
          <w:szCs w:val="24"/>
        </w:rPr>
        <w:t>62</w:t>
      </w:r>
      <w:r w:rsidRPr="009A29A8">
        <w:rPr>
          <w:rFonts w:asciiTheme="majorHAnsi" w:hAnsiTheme="majorHAnsi"/>
          <w:sz w:val="24"/>
          <w:szCs w:val="24"/>
        </w:rPr>
        <w:t xml:space="preserve"> per hour,</w:t>
      </w:r>
      <w:r>
        <w:rPr>
          <w:rStyle w:val="FootnoteReference"/>
          <w:rFonts w:asciiTheme="majorHAnsi" w:hAnsiTheme="majorHAnsi"/>
          <w:sz w:val="24"/>
          <w:szCs w:val="24"/>
        </w:rPr>
        <w:footnoteReference w:id="3"/>
      </w:r>
      <w:r w:rsidRPr="009A29A8">
        <w:rPr>
          <w:rFonts w:asciiTheme="majorHAnsi" w:hAnsiTheme="majorHAnsi"/>
          <w:sz w:val="24"/>
          <w:szCs w:val="24"/>
        </w:rPr>
        <w:t xml:space="preserve"> the total estimated annual </w:t>
      </w:r>
      <w:r w:rsidR="00934B59">
        <w:rPr>
          <w:rFonts w:asciiTheme="majorHAnsi" w:hAnsiTheme="majorHAnsi"/>
          <w:sz w:val="24"/>
          <w:szCs w:val="24"/>
        </w:rPr>
        <w:t>cost of the collection of information</w:t>
      </w:r>
      <w:r w:rsidRPr="009A29A8">
        <w:rPr>
          <w:rFonts w:asciiTheme="majorHAnsi" w:hAnsiTheme="majorHAnsi"/>
          <w:sz w:val="24"/>
          <w:szCs w:val="24"/>
        </w:rPr>
        <w:t xml:space="preserve"> is</w:t>
      </w:r>
      <w:r w:rsidR="00934B59">
        <w:rPr>
          <w:rFonts w:asciiTheme="majorHAnsi" w:hAnsiTheme="majorHAnsi"/>
          <w:sz w:val="24"/>
          <w:szCs w:val="24"/>
        </w:rPr>
        <w:t xml:space="preserve"> approximately</w:t>
      </w:r>
      <w:r w:rsidRPr="009A29A8">
        <w:rPr>
          <w:rFonts w:asciiTheme="majorHAnsi" w:hAnsiTheme="majorHAnsi"/>
          <w:sz w:val="24"/>
          <w:szCs w:val="24"/>
        </w:rPr>
        <w:t xml:space="preserve"> $</w:t>
      </w:r>
      <w:r w:rsidR="00140CCC">
        <w:rPr>
          <w:rFonts w:asciiTheme="majorHAnsi" w:hAnsiTheme="majorHAnsi"/>
          <w:sz w:val="24"/>
          <w:szCs w:val="24"/>
        </w:rPr>
        <w:t>12</w:t>
      </w:r>
      <w:r w:rsidRPr="009A29A8">
        <w:rPr>
          <w:rFonts w:asciiTheme="majorHAnsi" w:hAnsiTheme="majorHAnsi"/>
          <w:sz w:val="24"/>
          <w:szCs w:val="24"/>
        </w:rPr>
        <w:t xml:space="preserve"> million annually (</w:t>
      </w:r>
      <w:bookmarkStart w:id="1" w:name="_Hlk129770694"/>
      <w:r w:rsidR="00140CCC">
        <w:rPr>
          <w:rFonts w:asciiTheme="majorHAnsi" w:hAnsiTheme="majorHAnsi"/>
          <w:sz w:val="24"/>
          <w:szCs w:val="24"/>
        </w:rPr>
        <w:t>276,534</w:t>
      </w:r>
      <w:r w:rsidRPr="009A29A8">
        <w:rPr>
          <w:rFonts w:asciiTheme="majorHAnsi" w:hAnsiTheme="majorHAnsi"/>
          <w:sz w:val="24"/>
          <w:szCs w:val="24"/>
        </w:rPr>
        <w:t xml:space="preserve"> hours </w:t>
      </w:r>
      <w:bookmarkEnd w:id="1"/>
      <w:r w:rsidRPr="009A29A8">
        <w:rPr>
          <w:rFonts w:asciiTheme="majorHAnsi" w:hAnsiTheme="majorHAnsi"/>
          <w:sz w:val="24"/>
          <w:szCs w:val="24"/>
        </w:rPr>
        <w:t>x $43.</w:t>
      </w:r>
      <w:r w:rsidR="00140CCC">
        <w:rPr>
          <w:rFonts w:asciiTheme="majorHAnsi" w:hAnsiTheme="majorHAnsi"/>
          <w:sz w:val="24"/>
          <w:szCs w:val="24"/>
        </w:rPr>
        <w:t>62</w:t>
      </w:r>
      <w:r w:rsidRPr="009A29A8">
        <w:rPr>
          <w:rFonts w:asciiTheme="majorHAnsi" w:hAnsiTheme="majorHAnsi"/>
          <w:sz w:val="24"/>
          <w:szCs w:val="24"/>
        </w:rPr>
        <w:t xml:space="preserve"> = $</w:t>
      </w:r>
      <w:r w:rsidR="00140CCC">
        <w:rPr>
          <w:rFonts w:asciiTheme="majorHAnsi" w:hAnsiTheme="majorHAnsi"/>
          <w:sz w:val="24"/>
          <w:szCs w:val="24"/>
        </w:rPr>
        <w:t>12,062,413.08</w:t>
      </w:r>
      <w:r w:rsidRPr="009A29A8">
        <w:rPr>
          <w:rFonts w:asciiTheme="majorHAnsi" w:hAnsiTheme="majorHAnsi"/>
          <w:sz w:val="24"/>
          <w:szCs w:val="24"/>
        </w:rPr>
        <w:t xml:space="preserve">).  </w:t>
      </w:r>
    </w:p>
    <w:p w:rsidR="00140CCC" w:rsidP="009A29A8" w14:paraId="698F1C8C" w14:textId="77777777">
      <w:pPr>
        <w:spacing w:after="0" w:line="240" w:lineRule="auto"/>
        <w:rPr>
          <w:rFonts w:asciiTheme="majorHAnsi" w:hAnsiTheme="majorHAnsi"/>
          <w:sz w:val="24"/>
          <w:szCs w:val="24"/>
        </w:rPr>
      </w:pPr>
    </w:p>
    <w:bookmarkEnd w:id="0"/>
    <w:p w:rsidR="006F2DF8" w:rsidP="00337EF1" w14:paraId="3418D55A" w14:textId="77777777">
      <w:pPr>
        <w:spacing w:after="0" w:line="240" w:lineRule="auto"/>
        <w:rPr>
          <w:rFonts w:asciiTheme="majorHAnsi" w:hAnsiTheme="majorHAnsi"/>
          <w:sz w:val="24"/>
        </w:rPr>
      </w:pPr>
    </w:p>
    <w:p w:rsidR="0019309D" w:rsidP="00337EF1" w14:paraId="37BDAEFE" w14:textId="77777777">
      <w:pPr>
        <w:spacing w:after="0" w:line="240" w:lineRule="auto"/>
        <w:rPr>
          <w:rFonts w:asciiTheme="majorHAnsi" w:hAnsiTheme="majorHAnsi"/>
          <w:sz w:val="24"/>
        </w:rPr>
      </w:pPr>
      <w:r>
        <w:rPr>
          <w:rFonts w:asciiTheme="majorHAnsi" w:hAnsiTheme="majorHAnsi"/>
          <w:sz w:val="24"/>
        </w:rPr>
        <w:t>13.</w:t>
      </w:r>
      <w:r>
        <w:rPr>
          <w:rFonts w:asciiTheme="majorHAnsi" w:hAnsiTheme="majorHAnsi"/>
          <w:sz w:val="24"/>
        </w:rPr>
        <w:tab/>
      </w:r>
      <w:r w:rsidRPr="0019309D">
        <w:rPr>
          <w:rFonts w:asciiTheme="majorHAnsi" w:hAnsiTheme="majorHAnsi"/>
          <w:sz w:val="24"/>
          <w:u w:val="single"/>
        </w:rPr>
        <w:t>Respondent Costs Other Than Burden Hour Costs</w:t>
      </w:r>
      <w:r w:rsidR="0085688C">
        <w:rPr>
          <w:rFonts w:asciiTheme="majorHAnsi" w:hAnsiTheme="majorHAnsi"/>
          <w:sz w:val="24"/>
          <w:u w:val="single"/>
        </w:rPr>
        <w:t xml:space="preserve"> </w:t>
      </w:r>
    </w:p>
    <w:p w:rsidR="00226D15" w:rsidP="00226D15" w14:paraId="02EF2330" w14:textId="77777777">
      <w:pPr>
        <w:spacing w:after="0" w:line="240" w:lineRule="auto"/>
        <w:rPr>
          <w:rFonts w:asciiTheme="majorHAnsi" w:hAnsiTheme="majorHAnsi"/>
          <w:i/>
          <w:sz w:val="24"/>
        </w:rPr>
      </w:pPr>
    </w:p>
    <w:p w:rsidR="00226D15" w:rsidP="00226D15" w14:paraId="2B25A4E8" w14:textId="77777777">
      <w:pPr>
        <w:spacing w:after="0" w:line="240" w:lineRule="auto"/>
        <w:rPr>
          <w:rFonts w:asciiTheme="majorHAnsi" w:hAnsiTheme="majorHAnsi"/>
          <w:sz w:val="24"/>
          <w:szCs w:val="24"/>
        </w:rPr>
      </w:pPr>
      <w:r w:rsidRPr="00615912">
        <w:rPr>
          <w:rFonts w:asciiTheme="majorHAnsi" w:hAnsiTheme="majorHAnsi"/>
          <w:sz w:val="24"/>
          <w:szCs w:val="24"/>
        </w:rPr>
        <w:t xml:space="preserve">No operating, maintenance, or capital costs are associated with the collection. </w:t>
      </w:r>
    </w:p>
    <w:p w:rsidR="00226D15" w:rsidP="00226D15" w14:paraId="5E342229" w14:textId="77777777">
      <w:pPr>
        <w:spacing w:after="0" w:line="240" w:lineRule="auto"/>
        <w:rPr>
          <w:rFonts w:asciiTheme="majorHAnsi" w:hAnsiTheme="majorHAnsi"/>
          <w:sz w:val="24"/>
        </w:rPr>
      </w:pPr>
    </w:p>
    <w:p w:rsidR="00F25499" w:rsidP="0019309D" w14:paraId="110F737C" w14:textId="77777777">
      <w:pPr>
        <w:spacing w:after="0" w:line="240" w:lineRule="auto"/>
        <w:rPr>
          <w:rFonts w:asciiTheme="majorHAnsi" w:hAnsiTheme="majorHAnsi"/>
          <w:sz w:val="24"/>
        </w:rPr>
      </w:pPr>
      <w:r>
        <w:rPr>
          <w:rFonts w:asciiTheme="majorHAnsi" w:hAnsiTheme="majorHAnsi"/>
          <w:sz w:val="24"/>
        </w:rPr>
        <w:t xml:space="preserve">14. </w:t>
      </w:r>
      <w:r>
        <w:rPr>
          <w:rFonts w:asciiTheme="majorHAnsi" w:hAnsiTheme="majorHAnsi"/>
          <w:sz w:val="24"/>
        </w:rPr>
        <w:tab/>
      </w:r>
      <w:r w:rsidRPr="00722FDB">
        <w:rPr>
          <w:rFonts w:asciiTheme="majorHAnsi" w:hAnsiTheme="majorHAnsi"/>
          <w:sz w:val="24"/>
          <w:u w:val="single"/>
        </w:rPr>
        <w:t>Cost to the Federal Government</w:t>
      </w:r>
    </w:p>
    <w:p w:rsidR="00EA46CB" w:rsidP="00486235" w14:paraId="3ADF6EA4" w14:textId="77777777">
      <w:pPr>
        <w:spacing w:after="0" w:line="240" w:lineRule="auto"/>
        <w:rPr>
          <w:rFonts w:asciiTheme="majorHAnsi" w:hAnsiTheme="majorHAnsi"/>
          <w:sz w:val="24"/>
          <w:szCs w:val="24"/>
        </w:rPr>
      </w:pPr>
    </w:p>
    <w:p w:rsidR="00486235" w:rsidP="00486235" w14:paraId="0E5BBAEB" w14:textId="095FCA45">
      <w:pPr>
        <w:spacing w:after="0" w:line="240" w:lineRule="auto"/>
        <w:rPr>
          <w:rFonts w:asciiTheme="majorHAnsi" w:hAnsiTheme="majorHAnsi"/>
          <w:sz w:val="24"/>
          <w:szCs w:val="24"/>
        </w:rPr>
      </w:pPr>
      <w:r w:rsidRPr="00C97147">
        <w:rPr>
          <w:rFonts w:asciiTheme="majorHAnsi" w:hAnsiTheme="majorHAnsi"/>
          <w:sz w:val="24"/>
          <w:szCs w:val="24"/>
        </w:rPr>
        <w:t>The estimated annual cost of the information collection requirements to the Federal Government is approximately $4,448, which includes 60 staff hours to examine and evaluate the information, as needed, for CPSC’s compliance activities.  This is based on a GS-12, step 5 level salaried employee.  The average hourly wage rate for a mid-level salaried GS-12 employee in the Washington, DC metropolitan area (effective as of January 2023) is $51.15 (GS-12, step 5).  This represents 69.0 percent of total compensation (U.S. Bureau of Labor Statistics, “Employer Costs for Employee Compensation,” September 2022, Table 2., percentage of wages and salaries for all civilian management, professional, and related employees: https://</w:t>
      </w:r>
      <w:r w:rsidRPr="00C97147">
        <w:rPr>
          <w:rFonts w:asciiTheme="majorHAnsi" w:hAnsiTheme="majorHAnsi"/>
          <w:sz w:val="24"/>
          <w:szCs w:val="24"/>
        </w:rPr>
        <w:t>www.bls.gov</w:t>
      </w:r>
      <w:r w:rsidRPr="00C97147">
        <w:rPr>
          <w:rFonts w:asciiTheme="majorHAnsi" w:hAnsiTheme="majorHAnsi"/>
          <w:sz w:val="24"/>
          <w:szCs w:val="24"/>
        </w:rPr>
        <w:t>/</w:t>
      </w:r>
      <w:r w:rsidRPr="00C97147">
        <w:rPr>
          <w:rFonts w:asciiTheme="majorHAnsi" w:hAnsiTheme="majorHAnsi"/>
          <w:sz w:val="24"/>
          <w:szCs w:val="24"/>
        </w:rPr>
        <w:t>news.release</w:t>
      </w:r>
      <w:r w:rsidRPr="00C97147">
        <w:rPr>
          <w:rFonts w:asciiTheme="majorHAnsi" w:hAnsiTheme="majorHAnsi"/>
          <w:sz w:val="24"/>
          <w:szCs w:val="24"/>
        </w:rPr>
        <w:t>/archives/</w:t>
      </w:r>
      <w:r w:rsidRPr="00C97147">
        <w:rPr>
          <w:rFonts w:asciiTheme="majorHAnsi" w:hAnsiTheme="majorHAnsi"/>
          <w:sz w:val="24"/>
          <w:szCs w:val="24"/>
        </w:rPr>
        <w:t>ecec_12152022.pdf</w:t>
      </w:r>
      <w:r w:rsidRPr="00C97147">
        <w:rPr>
          <w:rFonts w:asciiTheme="majorHAnsi" w:hAnsiTheme="majorHAnsi"/>
          <w:sz w:val="24"/>
          <w:szCs w:val="24"/>
        </w:rPr>
        <w:t xml:space="preserve"> ).  Adding an additional 31.0 percent for benefits brings average annual compensation for a mid-level salaried GS-12 employee to $74.13 per hour.  Assuming that approximately 60 hours will </w:t>
      </w:r>
      <w:r w:rsidRPr="00C97147">
        <w:rPr>
          <w:rFonts w:asciiTheme="majorHAnsi" w:hAnsiTheme="majorHAnsi"/>
          <w:sz w:val="24"/>
          <w:szCs w:val="24"/>
        </w:rPr>
        <w:t>be required annually, this results in an annual cost of $4,448 ($74.13 per hour × 60 hours = $ 4,447.8).</w:t>
      </w:r>
    </w:p>
    <w:p w:rsidR="00C97147" w:rsidRPr="00C97147" w:rsidP="00486235" w14:paraId="0F8E2392" w14:textId="77777777">
      <w:pPr>
        <w:spacing w:after="0" w:line="240" w:lineRule="auto"/>
        <w:rPr>
          <w:rFonts w:asciiTheme="majorHAnsi" w:hAnsiTheme="majorHAnsi"/>
          <w:sz w:val="24"/>
        </w:rPr>
      </w:pPr>
    </w:p>
    <w:p w:rsidR="00DA2B37" w:rsidP="00486235" w14:paraId="701E78A6" w14:textId="77777777">
      <w:pPr>
        <w:spacing w:after="0" w:line="240" w:lineRule="auto"/>
        <w:rPr>
          <w:rFonts w:asciiTheme="majorHAnsi" w:hAnsiTheme="majorHAnsi"/>
          <w:sz w:val="24"/>
          <w:u w:val="single"/>
        </w:rPr>
      </w:pPr>
      <w:r>
        <w:rPr>
          <w:rFonts w:asciiTheme="majorHAnsi" w:hAnsiTheme="majorHAnsi"/>
          <w:sz w:val="24"/>
        </w:rPr>
        <w:t xml:space="preserve">15. </w:t>
      </w:r>
      <w:r>
        <w:rPr>
          <w:rFonts w:asciiTheme="majorHAnsi" w:hAnsiTheme="majorHAnsi"/>
          <w:sz w:val="24"/>
        </w:rPr>
        <w:tab/>
      </w:r>
      <w:r w:rsidRPr="00DA2B37">
        <w:rPr>
          <w:rFonts w:asciiTheme="majorHAnsi" w:hAnsiTheme="majorHAnsi"/>
          <w:sz w:val="24"/>
          <w:u w:val="single"/>
        </w:rPr>
        <w:t>Reasons for Change in Burden</w:t>
      </w:r>
      <w:r w:rsidR="0085688C">
        <w:rPr>
          <w:rFonts w:asciiTheme="majorHAnsi" w:hAnsiTheme="majorHAnsi"/>
          <w:sz w:val="24"/>
          <w:u w:val="single"/>
        </w:rPr>
        <w:t xml:space="preserve"> </w:t>
      </w:r>
    </w:p>
    <w:p w:rsidR="001A146E" w:rsidP="001A146E" w14:paraId="5C0769BF" w14:textId="77777777">
      <w:pPr>
        <w:spacing w:after="0" w:line="240" w:lineRule="auto"/>
        <w:rPr>
          <w:rFonts w:asciiTheme="majorHAnsi" w:hAnsiTheme="majorHAnsi"/>
          <w:i/>
          <w:sz w:val="24"/>
        </w:rPr>
      </w:pPr>
    </w:p>
    <w:p w:rsidR="00B55E9F" w:rsidP="00A64314" w14:paraId="327E683A" w14:textId="03B5C07E">
      <w:pPr>
        <w:spacing w:after="0" w:line="240" w:lineRule="auto"/>
        <w:rPr>
          <w:rFonts w:asciiTheme="majorHAnsi" w:hAnsiTheme="majorHAnsi"/>
          <w:sz w:val="24"/>
        </w:rPr>
      </w:pPr>
      <w:r w:rsidRPr="001A146E">
        <w:rPr>
          <w:rFonts w:asciiTheme="majorHAnsi" w:hAnsiTheme="majorHAnsi"/>
          <w:sz w:val="24"/>
        </w:rPr>
        <w:t>This is a new collection with a new associated burden.</w:t>
      </w:r>
    </w:p>
    <w:p w:rsidR="00DA2B37" w:rsidP="00486235" w14:paraId="367141FA" w14:textId="77777777">
      <w:pPr>
        <w:spacing w:after="0" w:line="240" w:lineRule="auto"/>
        <w:rPr>
          <w:rFonts w:asciiTheme="majorHAnsi" w:hAnsiTheme="majorHAnsi"/>
          <w:sz w:val="24"/>
        </w:rPr>
      </w:pPr>
    </w:p>
    <w:p w:rsidR="00DA2B37" w:rsidP="00486235" w14:paraId="31FCE38C" w14:textId="77777777">
      <w:pPr>
        <w:spacing w:after="0" w:line="240" w:lineRule="auto"/>
        <w:rPr>
          <w:rFonts w:asciiTheme="majorHAnsi" w:hAnsiTheme="majorHAnsi"/>
          <w:sz w:val="24"/>
        </w:rPr>
      </w:pPr>
      <w:r>
        <w:rPr>
          <w:rFonts w:asciiTheme="majorHAnsi" w:hAnsiTheme="majorHAnsi"/>
          <w:sz w:val="24"/>
        </w:rPr>
        <w:t xml:space="preserve">16. </w:t>
      </w:r>
      <w:r>
        <w:rPr>
          <w:rFonts w:asciiTheme="majorHAnsi" w:hAnsiTheme="majorHAnsi"/>
          <w:sz w:val="24"/>
        </w:rPr>
        <w:tab/>
      </w:r>
      <w:r w:rsidRPr="005C3A95">
        <w:rPr>
          <w:rFonts w:asciiTheme="majorHAnsi" w:hAnsiTheme="majorHAnsi"/>
          <w:sz w:val="24"/>
          <w:u w:val="single"/>
        </w:rPr>
        <w:t>Publication of Results</w:t>
      </w:r>
      <w:r>
        <w:rPr>
          <w:rFonts w:asciiTheme="majorHAnsi" w:hAnsiTheme="majorHAnsi"/>
          <w:sz w:val="24"/>
        </w:rPr>
        <w:t xml:space="preserve"> </w:t>
      </w:r>
    </w:p>
    <w:p w:rsidR="00A64314" w:rsidP="00486235" w14:paraId="004EF0D6" w14:textId="77777777">
      <w:pPr>
        <w:spacing w:after="0" w:line="240" w:lineRule="auto"/>
        <w:rPr>
          <w:rFonts w:asciiTheme="majorHAnsi" w:hAnsiTheme="majorHAnsi"/>
          <w:sz w:val="24"/>
        </w:rPr>
      </w:pPr>
    </w:p>
    <w:p w:rsidR="00DA2B37" w:rsidP="00486235" w14:paraId="4DB22F86" w14:textId="6EA663C8">
      <w:pPr>
        <w:spacing w:after="0" w:line="240" w:lineRule="auto"/>
        <w:rPr>
          <w:rFonts w:asciiTheme="majorHAnsi" w:hAnsiTheme="majorHAnsi"/>
          <w:sz w:val="24"/>
        </w:rPr>
      </w:pPr>
      <w:r w:rsidRPr="001A146E">
        <w:rPr>
          <w:rFonts w:asciiTheme="majorHAnsi" w:hAnsiTheme="majorHAnsi"/>
          <w:sz w:val="24"/>
        </w:rPr>
        <w:t>The results of this information collection will not be published.</w:t>
      </w:r>
      <w:r>
        <w:rPr>
          <w:rFonts w:asciiTheme="majorHAnsi" w:hAnsiTheme="majorHAnsi"/>
          <w:sz w:val="24"/>
        </w:rPr>
        <w:t xml:space="preserve"> </w:t>
      </w:r>
    </w:p>
    <w:p w:rsidR="005C3A95" w:rsidP="00486235" w14:paraId="47D61453" w14:textId="77777777">
      <w:pPr>
        <w:spacing w:after="0" w:line="240" w:lineRule="auto"/>
        <w:rPr>
          <w:rFonts w:asciiTheme="majorHAnsi" w:hAnsiTheme="majorHAnsi"/>
          <w:sz w:val="24"/>
        </w:rPr>
      </w:pPr>
    </w:p>
    <w:p w:rsidR="005C3A95" w:rsidRPr="0085688C" w:rsidP="00D45766" w14:paraId="7AD69C86" w14:textId="77777777">
      <w:pPr>
        <w:keepNext/>
        <w:keepLines/>
        <w:spacing w:after="0" w:line="240" w:lineRule="auto"/>
        <w:rPr>
          <w:rFonts w:asciiTheme="majorHAnsi" w:hAnsiTheme="majorHAnsi"/>
          <w:sz w:val="24"/>
        </w:rPr>
      </w:pPr>
      <w:r>
        <w:rPr>
          <w:rFonts w:asciiTheme="majorHAnsi" w:hAnsiTheme="majorHAnsi"/>
          <w:sz w:val="24"/>
        </w:rPr>
        <w:t xml:space="preserve">17. </w:t>
      </w:r>
      <w:r w:rsidR="00C62D17">
        <w:rPr>
          <w:rFonts w:asciiTheme="majorHAnsi" w:hAnsiTheme="majorHAnsi"/>
          <w:sz w:val="24"/>
        </w:rPr>
        <w:tab/>
      </w:r>
      <w:r w:rsidRPr="00C62D17" w:rsidR="00C62D17">
        <w:rPr>
          <w:rFonts w:asciiTheme="majorHAnsi" w:hAnsiTheme="majorHAnsi"/>
          <w:sz w:val="24"/>
          <w:u w:val="single"/>
        </w:rPr>
        <w:t>Non-Display of OMB Expiration Date</w:t>
      </w:r>
      <w:r w:rsidR="0085688C">
        <w:rPr>
          <w:rFonts w:asciiTheme="majorHAnsi" w:hAnsiTheme="majorHAnsi"/>
          <w:sz w:val="24"/>
          <w:u w:val="single"/>
        </w:rPr>
        <w:t xml:space="preserve"> </w:t>
      </w:r>
    </w:p>
    <w:p w:rsidR="001A146E" w:rsidP="00D45766" w14:paraId="163FC1DC" w14:textId="77777777">
      <w:pPr>
        <w:keepNext/>
        <w:keepLines/>
        <w:spacing w:after="0" w:line="240" w:lineRule="auto"/>
        <w:rPr>
          <w:rFonts w:asciiTheme="majorHAnsi" w:hAnsiTheme="majorHAnsi"/>
          <w:i/>
          <w:sz w:val="24"/>
        </w:rPr>
      </w:pPr>
    </w:p>
    <w:p w:rsidR="00C62D17" w:rsidP="00D45766" w14:paraId="26FCCE18" w14:textId="77777777">
      <w:pPr>
        <w:keepNext/>
        <w:keepLines/>
        <w:spacing w:after="0" w:line="240" w:lineRule="auto"/>
        <w:rPr>
          <w:rFonts w:asciiTheme="majorHAnsi" w:hAnsiTheme="majorHAnsi"/>
          <w:sz w:val="24"/>
        </w:rPr>
      </w:pPr>
      <w:r w:rsidRPr="001A146E">
        <w:rPr>
          <w:rFonts w:asciiTheme="majorHAnsi" w:hAnsiTheme="majorHAnsi"/>
          <w:sz w:val="24"/>
        </w:rPr>
        <w:t>We are not seeking approval to omit the display of the expiration date of the OMB approval on the collection instrument.</w:t>
      </w:r>
      <w:r>
        <w:rPr>
          <w:rFonts w:asciiTheme="majorHAnsi" w:hAnsiTheme="majorHAnsi"/>
          <w:sz w:val="24"/>
        </w:rPr>
        <w:t xml:space="preserve"> </w:t>
      </w:r>
    </w:p>
    <w:p w:rsidR="00C62D17" w:rsidP="00486235" w14:paraId="4B7B38E6" w14:textId="77777777">
      <w:pPr>
        <w:spacing w:after="0" w:line="240" w:lineRule="auto"/>
        <w:rPr>
          <w:rFonts w:asciiTheme="majorHAnsi" w:hAnsiTheme="majorHAnsi"/>
          <w:sz w:val="24"/>
        </w:rPr>
      </w:pPr>
    </w:p>
    <w:p w:rsidR="00C62D17" w:rsidRPr="0085688C" w:rsidP="00486235" w14:paraId="5142A2A6" w14:textId="77777777">
      <w:pPr>
        <w:spacing w:after="0" w:line="240" w:lineRule="auto"/>
        <w:rPr>
          <w:rFonts w:asciiTheme="majorHAnsi" w:hAnsiTheme="majorHAnsi"/>
          <w:sz w:val="24"/>
        </w:rPr>
      </w:pPr>
      <w:r>
        <w:rPr>
          <w:rFonts w:asciiTheme="majorHAnsi" w:hAnsiTheme="majorHAnsi"/>
          <w:sz w:val="24"/>
        </w:rPr>
        <w:t xml:space="preserve">18. </w:t>
      </w:r>
      <w:r>
        <w:rPr>
          <w:rFonts w:asciiTheme="majorHAnsi" w:hAnsiTheme="majorHAnsi"/>
          <w:sz w:val="24"/>
        </w:rPr>
        <w:tab/>
      </w:r>
      <w:r w:rsidRPr="00C62D17">
        <w:rPr>
          <w:rFonts w:asciiTheme="majorHAnsi" w:hAnsiTheme="majorHAnsi"/>
          <w:sz w:val="24"/>
          <w:u w:val="single"/>
        </w:rPr>
        <w:t>Exceptions to “Certification for Paperwork Reduction Submissions”</w:t>
      </w:r>
      <w:r w:rsidR="0085688C">
        <w:rPr>
          <w:rFonts w:asciiTheme="majorHAnsi" w:hAnsiTheme="majorHAnsi"/>
          <w:sz w:val="24"/>
          <w:u w:val="single"/>
        </w:rPr>
        <w:t xml:space="preserve"> </w:t>
      </w:r>
    </w:p>
    <w:p w:rsidR="001A146E" w:rsidP="00B55E9F" w14:paraId="0466A502" w14:textId="77777777">
      <w:pPr>
        <w:spacing w:after="0" w:line="240" w:lineRule="auto"/>
        <w:rPr>
          <w:rFonts w:asciiTheme="majorHAnsi" w:hAnsiTheme="majorHAnsi"/>
          <w:i/>
          <w:sz w:val="24"/>
        </w:rPr>
      </w:pPr>
    </w:p>
    <w:p w:rsidR="00A50A0F" w:rsidRPr="00C62D17" w:rsidP="00B55E9F" w14:paraId="70D4E403" w14:textId="77777777">
      <w:pPr>
        <w:spacing w:after="0" w:line="240" w:lineRule="auto"/>
        <w:rPr>
          <w:rFonts w:asciiTheme="majorHAnsi" w:hAnsiTheme="majorHAnsi"/>
          <w:i/>
          <w:sz w:val="24"/>
        </w:rPr>
      </w:pPr>
      <w:r w:rsidRPr="001A146E">
        <w:rPr>
          <w:rFonts w:asciiTheme="majorHAnsi" w:hAnsiTheme="majorHAnsi"/>
          <w:sz w:val="24"/>
        </w:rPr>
        <w:t>We are not requesting an</w:t>
      </w:r>
      <w:r w:rsidRPr="001A146E" w:rsidR="00420AE9">
        <w:rPr>
          <w:rFonts w:asciiTheme="majorHAnsi" w:hAnsiTheme="majorHAnsi"/>
          <w:sz w:val="24"/>
        </w:rPr>
        <w:t>y</w:t>
      </w:r>
      <w:r w:rsidRPr="001A146E">
        <w:rPr>
          <w:rFonts w:asciiTheme="majorHAnsi" w:hAnsiTheme="majorHAnsi"/>
          <w:sz w:val="24"/>
        </w:rPr>
        <w:t xml:space="preserve"> exemption</w:t>
      </w:r>
      <w:r w:rsidRPr="001A146E" w:rsidR="00420AE9">
        <w:rPr>
          <w:rFonts w:asciiTheme="majorHAnsi" w:hAnsiTheme="majorHAnsi"/>
          <w:sz w:val="24"/>
        </w:rPr>
        <w:t>s</w:t>
      </w:r>
      <w:r w:rsidRPr="001A146E">
        <w:rPr>
          <w:rFonts w:asciiTheme="majorHAnsi" w:hAnsiTheme="majorHAnsi"/>
          <w:sz w:val="24"/>
        </w:rPr>
        <w:t xml:space="preserve"> to the provisions </w:t>
      </w:r>
      <w:r w:rsidRPr="001A146E" w:rsidR="00420AE9">
        <w:rPr>
          <w:rFonts w:asciiTheme="majorHAnsi" w:hAnsiTheme="majorHAnsi"/>
          <w:sz w:val="24"/>
        </w:rPr>
        <w:t xml:space="preserve">stated in 5 CFR 1320.9.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42741" w:rsidP="00FB569C" w14:paraId="4E369913" w14:textId="77777777">
      <w:pPr>
        <w:spacing w:after="0" w:line="240" w:lineRule="auto"/>
      </w:pPr>
      <w:r>
        <w:separator/>
      </w:r>
    </w:p>
  </w:footnote>
  <w:footnote w:type="continuationSeparator" w:id="1">
    <w:p w:rsidR="00642741" w:rsidP="00FB569C" w14:paraId="2466A6D3" w14:textId="77777777">
      <w:pPr>
        <w:spacing w:after="0" w:line="240" w:lineRule="auto"/>
      </w:pPr>
      <w:r>
        <w:continuationSeparator/>
      </w:r>
    </w:p>
  </w:footnote>
  <w:footnote w:id="2">
    <w:p w:rsidR="009A29A8" w:rsidRPr="00F426F9" w:rsidP="009A29A8" w14:paraId="370F4A68" w14:textId="2C67A02C">
      <w:pPr>
        <w:pStyle w:val="FootnoteText"/>
        <w:spacing w:after="120"/>
        <w:rPr>
          <w:rFonts w:ascii="Times New Roman" w:hAnsi="Times New Roman" w:cs="Times New Roman"/>
        </w:rPr>
      </w:pPr>
      <w:r w:rsidRPr="00F426F9">
        <w:rPr>
          <w:rStyle w:val="FootnoteReference"/>
          <w:rFonts w:ascii="Times New Roman" w:hAnsi="Times New Roman" w:cs="Times New Roman"/>
        </w:rPr>
        <w:footnoteRef/>
      </w:r>
      <w:r w:rsidRPr="00F426F9">
        <w:rPr>
          <w:rFonts w:ascii="Times New Roman" w:hAnsi="Times New Roman" w:cs="Times New Roman"/>
        </w:rPr>
        <w:t xml:space="preserve"> Testing of button cell or coin battery packaging is not required by the rule, but is required by section 3 of Reese’s Law.  Notes to 15 U.S.C. </w:t>
      </w:r>
      <w:r w:rsidRPr="00F426F9">
        <w:rPr>
          <w:rFonts w:ascii="Times New Roman" w:hAnsi="Times New Roman" w:cs="Times New Roman"/>
        </w:rPr>
        <w:t>2056e</w:t>
      </w:r>
      <w:r w:rsidRPr="00F426F9">
        <w:rPr>
          <w:rFonts w:ascii="Times New Roman" w:hAnsi="Times New Roman" w:cs="Times New Roman"/>
        </w:rPr>
        <w:t>.  This burden estimate is an over-estimate likely large enough to also encompass testing of battery packaging, but such testing is a statutory requirement not included in the rulemaking.</w:t>
      </w:r>
    </w:p>
  </w:footnote>
  <w:footnote w:id="3">
    <w:p w:rsidR="009A29A8" w:rsidRPr="00F426F9" w:rsidP="009A29A8" w14:paraId="60A64AA6" w14:textId="1FCD4DD2">
      <w:pPr>
        <w:pStyle w:val="FootnoteText"/>
        <w:spacing w:after="120"/>
        <w:rPr>
          <w:rFonts w:ascii="Times New Roman" w:hAnsi="Times New Roman" w:cs="Times New Roman"/>
        </w:rPr>
      </w:pPr>
      <w:r w:rsidRPr="00F426F9">
        <w:rPr>
          <w:rStyle w:val="FootnoteReference"/>
          <w:rFonts w:ascii="Times New Roman" w:hAnsi="Times New Roman" w:cs="Times New Roman"/>
        </w:rPr>
        <w:footnoteRef/>
      </w:r>
      <w:r w:rsidRPr="00F426F9">
        <w:rPr>
          <w:rFonts w:ascii="Times New Roman" w:hAnsi="Times New Roman" w:cs="Times New Roman"/>
        </w:rPr>
        <w:t xml:space="preserve"> U.S. Bureau of Labor Statistics, “Employer Costs for Employee Compensation,” total compensation for private industry workers in goods producing industries, </w:t>
      </w:r>
      <w:r w:rsidR="00CE63ED">
        <w:rPr>
          <w:rFonts w:ascii="Times New Roman" w:hAnsi="Times New Roman" w:cs="Times New Roman"/>
        </w:rPr>
        <w:t>March</w:t>
      </w:r>
      <w:r w:rsidRPr="00F426F9">
        <w:rPr>
          <w:rFonts w:ascii="Times New Roman" w:hAnsi="Times New Roman" w:cs="Times New Roman"/>
        </w:rPr>
        <w:t xml:space="preserve"> 202</w:t>
      </w:r>
      <w:r w:rsidR="00CE63ED">
        <w:rPr>
          <w:rFonts w:ascii="Times New Roman" w:hAnsi="Times New Roman" w:cs="Times New Roman"/>
        </w:rPr>
        <w:t>3</w:t>
      </w:r>
      <w:r w:rsidRPr="00F426F9">
        <w:rPr>
          <w:rFonts w:ascii="Times New Roman" w:hAnsi="Times New Roman" w:cs="Times New Roman"/>
        </w:rPr>
        <w:t xml:space="preserve">: </w:t>
      </w:r>
      <w:r w:rsidRPr="00CE63ED" w:rsidR="00CE63ED">
        <w:rPr>
          <w:rFonts w:ascii="Times New Roman" w:hAnsi="Times New Roman" w:cs="Times New Roman"/>
        </w:rPr>
        <w:t>https://</w:t>
      </w:r>
      <w:r w:rsidRPr="00CE63ED" w:rsidR="00CE63ED">
        <w:rPr>
          <w:rFonts w:ascii="Times New Roman" w:hAnsi="Times New Roman" w:cs="Times New Roman"/>
        </w:rPr>
        <w:t>www.bls.gov</w:t>
      </w:r>
      <w:r w:rsidRPr="00CE63ED" w:rsidR="00CE63ED">
        <w:rPr>
          <w:rFonts w:ascii="Times New Roman" w:hAnsi="Times New Roman" w:cs="Times New Roman"/>
        </w:rPr>
        <w:t>/</w:t>
      </w:r>
      <w:r w:rsidRPr="00CE63ED" w:rsidR="00CE63ED">
        <w:rPr>
          <w:rFonts w:ascii="Times New Roman" w:hAnsi="Times New Roman" w:cs="Times New Roman"/>
        </w:rPr>
        <w:t>news.release</w:t>
      </w:r>
      <w:r w:rsidRPr="00CE63ED" w:rsidR="00CE63ED">
        <w:rPr>
          <w:rFonts w:ascii="Times New Roman" w:hAnsi="Times New Roman" w:cs="Times New Roman"/>
        </w:rPr>
        <w:t>/archives/</w:t>
      </w:r>
      <w:r w:rsidRPr="00CE63ED" w:rsidR="00CE63ED">
        <w:rPr>
          <w:rFonts w:ascii="Times New Roman" w:hAnsi="Times New Roman" w:cs="Times New Roman"/>
        </w:rPr>
        <w:t>ecec_06162023.pdf</w:t>
      </w:r>
      <w:r w:rsidRPr="00F426F9">
        <w:rPr>
          <w:rFonts w:ascii="Times New Roman" w:hAnsi="Times New Roman" w:cs="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F7158"/>
    <w:multiLevelType w:val="hybridMultilevel"/>
    <w:tmpl w:val="193EDF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B94C48"/>
    <w:multiLevelType w:val="hybridMultilevel"/>
    <w:tmpl w:val="745695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DC1604B"/>
    <w:multiLevelType w:val="hybridMultilevel"/>
    <w:tmpl w:val="7B6C51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E297B5B"/>
    <w:multiLevelType w:val="hybridMultilevel"/>
    <w:tmpl w:val="0D34C3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6672224"/>
    <w:multiLevelType w:val="hybridMultilevel"/>
    <w:tmpl w:val="CF3854D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7635B65"/>
    <w:multiLevelType w:val="hybridMultilevel"/>
    <w:tmpl w:val="D2B29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B0C60F6"/>
    <w:multiLevelType w:val="hybridMultilevel"/>
    <w:tmpl w:val="B97690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B682C2E"/>
    <w:multiLevelType w:val="hybridMultilevel"/>
    <w:tmpl w:val="FC9EC5A8"/>
    <w:lvl w:ilvl="0">
      <w:start w:val="1"/>
      <w:numFmt w:val="decimal"/>
      <w:lvlText w:val="%1)"/>
      <w:lvlJc w:val="left"/>
      <w:pPr>
        <w:ind w:left="720" w:hanging="360"/>
      </w:pPr>
      <w:rPr>
        <w:rFonts w:hint="default"/>
        <w:i w:val="0"/>
      </w:rPr>
    </w:lvl>
    <w:lvl w:ilvl="1">
      <w:start w:val="1"/>
      <w:numFmt w:val="lowerLetter"/>
      <w:lvlText w:val="%2)"/>
      <w:lvlJc w:val="left"/>
      <w:pPr>
        <w:ind w:left="1440" w:hanging="360"/>
      </w:pPr>
      <w:rPr>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5B67498"/>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
    <w:nsid w:val="26432073"/>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8D93D04"/>
    <w:multiLevelType w:val="hybridMultilevel"/>
    <w:tmpl w:val="03EA9E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E04057D"/>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F2B352F"/>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32617BAB"/>
    <w:multiLevelType w:val="hybridMultilevel"/>
    <w:tmpl w:val="B4187010"/>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4">
    <w:nsid w:val="48C03DBF"/>
    <w:multiLevelType w:val="hybridMultilevel"/>
    <w:tmpl w:val="34F284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D3F4104"/>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6">
    <w:nsid w:val="4E0146D2"/>
    <w:multiLevelType w:val="hybridMultilevel"/>
    <w:tmpl w:val="A5AAF3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14A4843"/>
    <w:multiLevelType w:val="hybridMultilevel"/>
    <w:tmpl w:val="1BBA11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2D030AB"/>
    <w:multiLevelType w:val="hybridMultilevel"/>
    <w:tmpl w:val="84A6480E"/>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41E3FA9"/>
    <w:multiLevelType w:val="hybridMultilevel"/>
    <w:tmpl w:val="746CDD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4D10C0A"/>
    <w:multiLevelType w:val="hybridMultilevel"/>
    <w:tmpl w:val="6D609C64"/>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21">
    <w:nsid w:val="57826981"/>
    <w:multiLevelType w:val="hybridMultilevel"/>
    <w:tmpl w:val="A0100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79A6816"/>
    <w:multiLevelType w:val="hybridMultilevel"/>
    <w:tmpl w:val="B00C5F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88A6ADE"/>
    <w:multiLevelType w:val="hybridMultilevel"/>
    <w:tmpl w:val="2E02531E"/>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A523C83"/>
    <w:multiLevelType w:val="hybridMultilevel"/>
    <w:tmpl w:val="B4A489C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CF57507"/>
    <w:multiLevelType w:val="hybridMultilevel"/>
    <w:tmpl w:val="D2D83F8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6674395D"/>
    <w:multiLevelType w:val="hybridMultilevel"/>
    <w:tmpl w:val="D20CAB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6918103D"/>
    <w:multiLevelType w:val="hybridMultilevel"/>
    <w:tmpl w:val="573AB7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79405E4A"/>
    <w:multiLevelType w:val="hybridMultilevel"/>
    <w:tmpl w:val="081C79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7D9224CF"/>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40252987">
    <w:abstractNumId w:val="17"/>
  </w:num>
  <w:num w:numId="2" w16cid:durableId="144010307">
    <w:abstractNumId w:val="0"/>
  </w:num>
  <w:num w:numId="3" w16cid:durableId="1984694723">
    <w:abstractNumId w:val="14"/>
  </w:num>
  <w:num w:numId="4" w16cid:durableId="870338574">
    <w:abstractNumId w:val="13"/>
  </w:num>
  <w:num w:numId="5" w16cid:durableId="95294295">
    <w:abstractNumId w:val="21"/>
  </w:num>
  <w:num w:numId="6" w16cid:durableId="1124277328">
    <w:abstractNumId w:val="1"/>
  </w:num>
  <w:num w:numId="7" w16cid:durableId="1766614494">
    <w:abstractNumId w:val="22"/>
  </w:num>
  <w:num w:numId="8" w16cid:durableId="792166367">
    <w:abstractNumId w:val="19"/>
  </w:num>
  <w:num w:numId="9" w16cid:durableId="2010330935">
    <w:abstractNumId w:val="24"/>
  </w:num>
  <w:num w:numId="10" w16cid:durableId="835724413">
    <w:abstractNumId w:val="4"/>
  </w:num>
  <w:num w:numId="11" w16cid:durableId="1169322074">
    <w:abstractNumId w:val="18"/>
  </w:num>
  <w:num w:numId="12" w16cid:durableId="892347896">
    <w:abstractNumId w:val="20"/>
  </w:num>
  <w:num w:numId="13" w16cid:durableId="2009750879">
    <w:abstractNumId w:val="28"/>
  </w:num>
  <w:num w:numId="14" w16cid:durableId="577985209">
    <w:abstractNumId w:val="29"/>
  </w:num>
  <w:num w:numId="15" w16cid:durableId="787506030">
    <w:abstractNumId w:val="12"/>
  </w:num>
  <w:num w:numId="16" w16cid:durableId="108281769">
    <w:abstractNumId w:val="11"/>
  </w:num>
  <w:num w:numId="17" w16cid:durableId="48069921">
    <w:abstractNumId w:val="15"/>
  </w:num>
  <w:num w:numId="18" w16cid:durableId="1493330967">
    <w:abstractNumId w:val="9"/>
  </w:num>
  <w:num w:numId="19" w16cid:durableId="896281183">
    <w:abstractNumId w:val="8"/>
  </w:num>
  <w:num w:numId="20" w16cid:durableId="1099712879">
    <w:abstractNumId w:val="7"/>
  </w:num>
  <w:num w:numId="21" w16cid:durableId="1104768359">
    <w:abstractNumId w:val="16"/>
  </w:num>
  <w:num w:numId="22" w16cid:durableId="808284729">
    <w:abstractNumId w:val="3"/>
  </w:num>
  <w:num w:numId="23" w16cid:durableId="2100180047">
    <w:abstractNumId w:val="5"/>
  </w:num>
  <w:num w:numId="24" w16cid:durableId="1099905679">
    <w:abstractNumId w:val="25"/>
  </w:num>
  <w:num w:numId="25" w16cid:durableId="391543957">
    <w:abstractNumId w:val="6"/>
  </w:num>
  <w:num w:numId="26" w16cid:durableId="2029287963">
    <w:abstractNumId w:val="27"/>
  </w:num>
  <w:num w:numId="27" w16cid:durableId="1522889290">
    <w:abstractNumId w:val="2"/>
  </w:num>
  <w:num w:numId="28" w16cid:durableId="1363168990">
    <w:abstractNumId w:val="23"/>
  </w:num>
  <w:num w:numId="29" w16cid:durableId="1164711122">
    <w:abstractNumId w:val="10"/>
  </w:num>
  <w:num w:numId="30" w16cid:durableId="37751676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C04"/>
    <w:rsid w:val="000004DC"/>
    <w:rsid w:val="00010B24"/>
    <w:rsid w:val="0002657A"/>
    <w:rsid w:val="000350EC"/>
    <w:rsid w:val="00062774"/>
    <w:rsid w:val="000B0E70"/>
    <w:rsid w:val="000B4423"/>
    <w:rsid w:val="00105F45"/>
    <w:rsid w:val="00127B46"/>
    <w:rsid w:val="00140CCC"/>
    <w:rsid w:val="001510CE"/>
    <w:rsid w:val="00157E34"/>
    <w:rsid w:val="0017472B"/>
    <w:rsid w:val="0019309D"/>
    <w:rsid w:val="001A10BB"/>
    <w:rsid w:val="001A146E"/>
    <w:rsid w:val="001E5EB4"/>
    <w:rsid w:val="001F526C"/>
    <w:rsid w:val="00200261"/>
    <w:rsid w:val="00203BC2"/>
    <w:rsid w:val="00211832"/>
    <w:rsid w:val="0021646C"/>
    <w:rsid w:val="00222D1B"/>
    <w:rsid w:val="00226D15"/>
    <w:rsid w:val="00235D71"/>
    <w:rsid w:val="0024335E"/>
    <w:rsid w:val="00254DCF"/>
    <w:rsid w:val="002567F9"/>
    <w:rsid w:val="0027743E"/>
    <w:rsid w:val="00294E92"/>
    <w:rsid w:val="002C7FD7"/>
    <w:rsid w:val="002D0024"/>
    <w:rsid w:val="002D7713"/>
    <w:rsid w:val="003132E7"/>
    <w:rsid w:val="00316AC5"/>
    <w:rsid w:val="00330D5A"/>
    <w:rsid w:val="00331D7E"/>
    <w:rsid w:val="00337EF1"/>
    <w:rsid w:val="00340D9B"/>
    <w:rsid w:val="00394A8A"/>
    <w:rsid w:val="003C0540"/>
    <w:rsid w:val="003E0D63"/>
    <w:rsid w:val="003E6883"/>
    <w:rsid w:val="003F7DDE"/>
    <w:rsid w:val="00420AE9"/>
    <w:rsid w:val="00480AFF"/>
    <w:rsid w:val="00486235"/>
    <w:rsid w:val="00490797"/>
    <w:rsid w:val="00493CEE"/>
    <w:rsid w:val="004C74D6"/>
    <w:rsid w:val="004D6DDF"/>
    <w:rsid w:val="004E68B9"/>
    <w:rsid w:val="004F051A"/>
    <w:rsid w:val="004F4F5D"/>
    <w:rsid w:val="00502FF3"/>
    <w:rsid w:val="00510F0C"/>
    <w:rsid w:val="00511580"/>
    <w:rsid w:val="00520B36"/>
    <w:rsid w:val="00571698"/>
    <w:rsid w:val="00576EDB"/>
    <w:rsid w:val="00594B6B"/>
    <w:rsid w:val="0059677A"/>
    <w:rsid w:val="00596BBA"/>
    <w:rsid w:val="005C3A95"/>
    <w:rsid w:val="005C7428"/>
    <w:rsid w:val="005D5C81"/>
    <w:rsid w:val="005D72EA"/>
    <w:rsid w:val="006013D3"/>
    <w:rsid w:val="00615912"/>
    <w:rsid w:val="00642741"/>
    <w:rsid w:val="0065530D"/>
    <w:rsid w:val="00685700"/>
    <w:rsid w:val="006A13FA"/>
    <w:rsid w:val="006A63F6"/>
    <w:rsid w:val="006B4784"/>
    <w:rsid w:val="006E563D"/>
    <w:rsid w:val="006F2BDF"/>
    <w:rsid w:val="006F2DF8"/>
    <w:rsid w:val="006F7A02"/>
    <w:rsid w:val="00722FDB"/>
    <w:rsid w:val="0077261C"/>
    <w:rsid w:val="00791820"/>
    <w:rsid w:val="007E40BB"/>
    <w:rsid w:val="007F4E03"/>
    <w:rsid w:val="007F6F62"/>
    <w:rsid w:val="0085688C"/>
    <w:rsid w:val="00857373"/>
    <w:rsid w:val="00862B96"/>
    <w:rsid w:val="008635C4"/>
    <w:rsid w:val="008A06EF"/>
    <w:rsid w:val="008A69CA"/>
    <w:rsid w:val="008D1294"/>
    <w:rsid w:val="008E3029"/>
    <w:rsid w:val="00923AA5"/>
    <w:rsid w:val="00934B59"/>
    <w:rsid w:val="0098628F"/>
    <w:rsid w:val="00994F2B"/>
    <w:rsid w:val="00996894"/>
    <w:rsid w:val="009A29A8"/>
    <w:rsid w:val="009A6246"/>
    <w:rsid w:val="009B7AA2"/>
    <w:rsid w:val="009C7352"/>
    <w:rsid w:val="009D6B83"/>
    <w:rsid w:val="009F2544"/>
    <w:rsid w:val="009F72CE"/>
    <w:rsid w:val="00A32CF0"/>
    <w:rsid w:val="00A50A0F"/>
    <w:rsid w:val="00A57768"/>
    <w:rsid w:val="00A64314"/>
    <w:rsid w:val="00A76F7E"/>
    <w:rsid w:val="00A77157"/>
    <w:rsid w:val="00AC10B3"/>
    <w:rsid w:val="00B031FD"/>
    <w:rsid w:val="00B2165C"/>
    <w:rsid w:val="00B261A2"/>
    <w:rsid w:val="00B27890"/>
    <w:rsid w:val="00B52F4E"/>
    <w:rsid w:val="00B55E9F"/>
    <w:rsid w:val="00B64081"/>
    <w:rsid w:val="00B67198"/>
    <w:rsid w:val="00B933B0"/>
    <w:rsid w:val="00BA11CF"/>
    <w:rsid w:val="00BB6817"/>
    <w:rsid w:val="00BD7755"/>
    <w:rsid w:val="00BE3A40"/>
    <w:rsid w:val="00C33684"/>
    <w:rsid w:val="00C62D17"/>
    <w:rsid w:val="00C6610D"/>
    <w:rsid w:val="00C808F4"/>
    <w:rsid w:val="00C933D1"/>
    <w:rsid w:val="00C97147"/>
    <w:rsid w:val="00CA15B1"/>
    <w:rsid w:val="00CC24D5"/>
    <w:rsid w:val="00CC2835"/>
    <w:rsid w:val="00CE63ED"/>
    <w:rsid w:val="00CF2057"/>
    <w:rsid w:val="00CF3A91"/>
    <w:rsid w:val="00D21AA6"/>
    <w:rsid w:val="00D45766"/>
    <w:rsid w:val="00D462F7"/>
    <w:rsid w:val="00D515D7"/>
    <w:rsid w:val="00D57DEE"/>
    <w:rsid w:val="00D734A2"/>
    <w:rsid w:val="00D91A74"/>
    <w:rsid w:val="00DA2B37"/>
    <w:rsid w:val="00DA53CD"/>
    <w:rsid w:val="00DB1E21"/>
    <w:rsid w:val="00DB5D7A"/>
    <w:rsid w:val="00DD4DA2"/>
    <w:rsid w:val="00E136C2"/>
    <w:rsid w:val="00E5409A"/>
    <w:rsid w:val="00E65D41"/>
    <w:rsid w:val="00E95FFB"/>
    <w:rsid w:val="00EA46CB"/>
    <w:rsid w:val="00EA488D"/>
    <w:rsid w:val="00EA6C04"/>
    <w:rsid w:val="00EE676A"/>
    <w:rsid w:val="00F11BA8"/>
    <w:rsid w:val="00F25499"/>
    <w:rsid w:val="00F426F9"/>
    <w:rsid w:val="00F60444"/>
    <w:rsid w:val="00F86C35"/>
    <w:rsid w:val="00F97482"/>
    <w:rsid w:val="00FB569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2EB844E"/>
  <w15:docId w15:val="{55E60845-FC96-4456-A756-F201FC8A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3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32CF0"/>
    <w:rPr>
      <w:color w:val="605E5C"/>
      <w:shd w:val="clear" w:color="auto" w:fill="E1DFDD"/>
    </w:rPr>
  </w:style>
  <w:style w:type="paragraph" w:styleId="FootnoteText">
    <w:name w:val="footnote text"/>
    <w:basedOn w:val="Normal"/>
    <w:link w:val="FootnoteTextChar"/>
    <w:semiHidden/>
    <w:unhideWhenUsed/>
    <w:rsid w:val="00A32CF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32CF0"/>
    <w:rPr>
      <w:sz w:val="20"/>
      <w:szCs w:val="20"/>
    </w:rPr>
  </w:style>
  <w:style w:type="character" w:styleId="FootnoteReference">
    <w:name w:val="footnote reference"/>
    <w:basedOn w:val="DefaultParagraphFont"/>
    <w:semiHidden/>
    <w:unhideWhenUsed/>
    <w:rsid w:val="00A32CF0"/>
    <w:rPr>
      <w:vertAlign w:val="superscript"/>
    </w:rPr>
  </w:style>
  <w:style w:type="character" w:styleId="CommentReference">
    <w:name w:val="annotation reference"/>
    <w:basedOn w:val="DefaultParagraphFont"/>
    <w:uiPriority w:val="99"/>
    <w:semiHidden/>
    <w:unhideWhenUsed/>
    <w:rsid w:val="003F7DDE"/>
    <w:rPr>
      <w:sz w:val="16"/>
      <w:szCs w:val="16"/>
    </w:rPr>
  </w:style>
  <w:style w:type="paragraph" w:styleId="CommentText">
    <w:name w:val="annotation text"/>
    <w:basedOn w:val="Normal"/>
    <w:link w:val="CommentTextChar"/>
    <w:uiPriority w:val="99"/>
    <w:semiHidden/>
    <w:unhideWhenUsed/>
    <w:rsid w:val="003F7DDE"/>
    <w:pPr>
      <w:spacing w:line="240" w:lineRule="auto"/>
    </w:pPr>
    <w:rPr>
      <w:sz w:val="20"/>
      <w:szCs w:val="20"/>
    </w:rPr>
  </w:style>
  <w:style w:type="character" w:customStyle="1" w:styleId="CommentTextChar">
    <w:name w:val="Comment Text Char"/>
    <w:basedOn w:val="DefaultParagraphFont"/>
    <w:link w:val="CommentText"/>
    <w:uiPriority w:val="99"/>
    <w:semiHidden/>
    <w:rsid w:val="003F7DDE"/>
    <w:rPr>
      <w:sz w:val="20"/>
      <w:szCs w:val="20"/>
    </w:rPr>
  </w:style>
  <w:style w:type="paragraph" w:styleId="CommentSubject">
    <w:name w:val="annotation subject"/>
    <w:basedOn w:val="CommentText"/>
    <w:next w:val="CommentText"/>
    <w:link w:val="CommentSubjectChar"/>
    <w:uiPriority w:val="99"/>
    <w:semiHidden/>
    <w:unhideWhenUsed/>
    <w:rsid w:val="003F7DDE"/>
    <w:rPr>
      <w:b/>
      <w:bCs/>
    </w:rPr>
  </w:style>
  <w:style w:type="character" w:customStyle="1" w:styleId="CommentSubjectChar">
    <w:name w:val="Comment Subject Char"/>
    <w:basedOn w:val="CommentTextChar"/>
    <w:link w:val="CommentSubject"/>
    <w:uiPriority w:val="99"/>
    <w:semiHidden/>
    <w:rsid w:val="003F7DDE"/>
    <w:rPr>
      <w:b/>
      <w:bCs/>
      <w:sz w:val="20"/>
      <w:szCs w:val="20"/>
    </w:rPr>
  </w:style>
  <w:style w:type="paragraph" w:customStyle="1" w:styleId="Default">
    <w:name w:val="Default"/>
    <w:rsid w:val="009A29A8"/>
    <w:pPr>
      <w:autoSpaceDE w:val="0"/>
      <w:autoSpaceDN w:val="0"/>
      <w:adjustRightInd w:val="0"/>
      <w:spacing w:after="0" w:line="240" w:lineRule="auto"/>
    </w:pPr>
    <w:rPr>
      <w:rFonts w:ascii="Arial" w:eastAsia="Times New Roman" w:hAnsi="Arial" w:cs="Arial"/>
      <w:color w:val="000000"/>
      <w:sz w:val="24"/>
      <w:szCs w:val="24"/>
    </w:rPr>
  </w:style>
  <w:style w:type="paragraph" w:styleId="BodyText">
    <w:name w:val="Body Text"/>
    <w:basedOn w:val="Normal"/>
    <w:link w:val="BodyTextChar"/>
    <w:uiPriority w:val="1"/>
    <w:qFormat/>
    <w:rsid w:val="00EA46CB"/>
    <w:pPr>
      <w:autoSpaceDE w:val="0"/>
      <w:autoSpaceDN w:val="0"/>
      <w:adjustRightInd w:val="0"/>
      <w:spacing w:after="0" w:line="240" w:lineRule="auto"/>
    </w:pPr>
    <w:rPr>
      <w:rFonts w:ascii="Cambria" w:hAnsi="Cambria" w:cs="Cambria"/>
      <w:sz w:val="18"/>
      <w:szCs w:val="18"/>
    </w:rPr>
  </w:style>
  <w:style w:type="character" w:customStyle="1" w:styleId="BodyTextChar">
    <w:name w:val="Body Text Char"/>
    <w:basedOn w:val="DefaultParagraphFont"/>
    <w:link w:val="BodyText"/>
    <w:uiPriority w:val="1"/>
    <w:rsid w:val="00EA46CB"/>
    <w:rPr>
      <w:rFonts w:ascii="Cambria" w:hAnsi="Cambria" w:cs="Cambr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www.cpsc.gov/Business--Manufacturing/Small-Business-Resources"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305D93-BA4E-4F79-A7AF-ECE7B97DE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6</Pages>
  <Words>1940</Words>
  <Characters>11063</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12978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Gillham, Cynthia</cp:lastModifiedBy>
  <cp:revision>13</cp:revision>
  <cp:lastPrinted>2016-09-20T19:55:00Z</cp:lastPrinted>
  <dcterms:created xsi:type="dcterms:W3CDTF">2023-09-21T16:09:00Z</dcterms:created>
  <dcterms:modified xsi:type="dcterms:W3CDTF">2023-09-21T19:28:00Z</dcterms:modified>
</cp:coreProperties>
</file>