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19B6" w:rsidRPr="00256272" w:rsidP="00256272" w14:paraId="1EB76A6D" w14:textId="77777777">
      <w:pPr>
        <w:jc w:val="center"/>
        <w:rPr>
          <w:b/>
        </w:rPr>
      </w:pPr>
      <w:r w:rsidRPr="00256272">
        <w:rPr>
          <w:b/>
        </w:rPr>
        <w:t>SUPPORTING STATEMENT</w:t>
      </w:r>
    </w:p>
    <w:p w:rsidR="000319B6" w:rsidRPr="00CB09BE" w14:paraId="1EB76A6F" w14:textId="467825EE">
      <w:pPr>
        <w:rPr>
          <w:rFonts w:eastAsia="Times New Roman Bold"/>
          <w:sz w:val="24"/>
          <w:szCs w:val="24"/>
        </w:rPr>
      </w:pPr>
    </w:p>
    <w:p w:rsidR="000319B6" w:rsidRPr="00730B42" w:rsidP="00CB09BE" w14:paraId="1EB76A70" w14:textId="77777777">
      <w:r w:rsidRPr="00CB09BE">
        <w:rPr>
          <w:b/>
          <w:sz w:val="24"/>
          <w:szCs w:val="24"/>
        </w:rPr>
        <w:t>A.  Justification</w:t>
      </w:r>
    </w:p>
    <w:p w:rsidR="000319B6" w14:paraId="1EB76A71" w14:textId="534C45B7">
      <w:pPr>
        <w:suppressAutoHyphens/>
        <w:rPr>
          <w:sz w:val="24"/>
          <w:szCs w:val="24"/>
        </w:rPr>
      </w:pPr>
    </w:p>
    <w:p w:rsidR="00D8571D" w:rsidP="00DC1392" w14:paraId="7E1C733A" w14:textId="2B3289C7">
      <w:pPr>
        <w:pStyle w:val="Numberedparagraphs"/>
        <w:tabs>
          <w:tab w:val="clear" w:pos="360"/>
        </w:tabs>
        <w:spacing w:after="0"/>
        <w:rPr>
          <w:rFonts w:hAnsi="Times New Roman" w:cs="Times New Roman"/>
        </w:rPr>
      </w:pPr>
      <w:r w:rsidRPr="00CB09BE">
        <w:rPr>
          <w:rFonts w:hAnsi="Times New Roman" w:cs="Times New Roman"/>
        </w:rPr>
        <w:t xml:space="preserve">1.  </w:t>
      </w:r>
      <w:r w:rsidR="00113322">
        <w:rPr>
          <w:rFonts w:hAnsi="Times New Roman" w:cs="Times New Roman"/>
        </w:rPr>
        <w:t xml:space="preserve">Commission rules specify </w:t>
      </w:r>
      <w:r w:rsidR="002C7863">
        <w:rPr>
          <w:rFonts w:hAnsi="Times New Roman" w:cs="Times New Roman"/>
        </w:rPr>
        <w:t xml:space="preserve">pleading and other </w:t>
      </w:r>
      <w:r w:rsidR="00113322">
        <w:rPr>
          <w:rFonts w:hAnsi="Times New Roman" w:cs="Times New Roman"/>
        </w:rPr>
        <w:t>procedural requirements for parties filing petitions or complaints under Part 76 of the Commission’s rules, including petitions for special relief, cable carriage complaints, program access complaint</w:t>
      </w:r>
      <w:r w:rsidR="002C7863">
        <w:rPr>
          <w:rFonts w:hAnsi="Times New Roman" w:cs="Times New Roman"/>
        </w:rPr>
        <w:t>s, and program carriage complaints</w:t>
      </w:r>
      <w:r w:rsidR="00113322">
        <w:rPr>
          <w:rFonts w:hAnsi="Times New Roman" w:cs="Times New Roman"/>
        </w:rPr>
        <w:t xml:space="preserve">.  </w:t>
      </w:r>
    </w:p>
    <w:p w:rsidR="00D8571D" w:rsidRPr="009C1C49" w:rsidP="0024136F" w14:paraId="1129CA98" w14:textId="5ACB2DE9">
      <w:pPr>
        <w:pStyle w:val="Numberedparagraphs"/>
        <w:tabs>
          <w:tab w:val="clear" w:pos="360"/>
        </w:tabs>
        <w:spacing w:after="0"/>
        <w:rPr>
          <w:rFonts w:hAnsi="Times New Roman" w:cs="Times New Roman"/>
        </w:rPr>
      </w:pPr>
    </w:p>
    <w:p w:rsidR="000319B6" w:rsidRPr="009C1C49" w14:paraId="1EB76A7F" w14:textId="7B5C3EC3">
      <w:pPr>
        <w:rPr>
          <w:sz w:val="24"/>
          <w:szCs w:val="24"/>
        </w:rPr>
      </w:pPr>
      <w:r w:rsidRPr="009C1C49">
        <w:rPr>
          <w:rFonts w:ascii="Times New Roman Bold"/>
          <w:sz w:val="24"/>
          <w:szCs w:val="24"/>
        </w:rPr>
        <w:t>47 CFR Section 76.7.</w:t>
      </w:r>
      <w:r w:rsidRPr="009C1C49">
        <w:rPr>
          <w:sz w:val="24"/>
          <w:szCs w:val="24"/>
        </w:rPr>
        <w:t xml:space="preserve">  Pleadings</w:t>
      </w:r>
      <w:r>
        <w:rPr>
          <w:sz w:val="24"/>
          <w:szCs w:val="24"/>
          <w:vertAlign w:val="superscript"/>
        </w:rPr>
        <w:footnoteReference w:id="3"/>
      </w:r>
      <w:r w:rsidRPr="009C1C49">
        <w:rPr>
          <w:sz w:val="24"/>
          <w:szCs w:val="24"/>
        </w:rPr>
        <w:t xml:space="preserve"> seeking to initiate FCC action must adhere to the requirements of Section 76.6 (general pleading requirements) and Section 76.7 (initiatin</w:t>
      </w:r>
      <w:r w:rsidRPr="009C1C49">
        <w:rPr>
          <w:sz w:val="24"/>
          <w:szCs w:val="24"/>
        </w:rPr>
        <w:t xml:space="preserve">g pleading requirements).  Section 76.7 is used for numerous types of petitions and special relief petitions, including general petitions seeking special relief, waivers, enforcement, show cause, forfeiture and declaratory ruling procedures.  </w:t>
      </w:r>
    </w:p>
    <w:p w:rsidR="000319B6" w:rsidRPr="009C1C49" w14:paraId="1EB76A80" w14:textId="77777777">
      <w:pPr>
        <w:rPr>
          <w:rFonts w:ascii="Times New Roman Bold" w:eastAsia="Times New Roman Bold" w:hAnsi="Times New Roman Bold" w:cs="Times New Roman Bold"/>
          <w:sz w:val="24"/>
          <w:szCs w:val="24"/>
        </w:rPr>
      </w:pPr>
    </w:p>
    <w:p w:rsidR="000319B6" w:rsidRPr="009C1C49" w14:paraId="1EB76A81" w14:textId="77777777">
      <w:pPr>
        <w:rPr>
          <w:rFonts w:ascii="Times New Roman Bold" w:eastAsia="Times New Roman Bold" w:hAnsi="Times New Roman Bold" w:cs="Times New Roman Bold"/>
          <w:sz w:val="24"/>
          <w:szCs w:val="24"/>
        </w:rPr>
      </w:pPr>
      <w:r w:rsidRPr="009C1C49">
        <w:rPr>
          <w:rFonts w:ascii="Times New Roman Bold"/>
          <w:sz w:val="24"/>
          <w:szCs w:val="24"/>
        </w:rPr>
        <w:t>47 CFR Sect</w:t>
      </w:r>
      <w:r w:rsidRPr="009C1C49">
        <w:rPr>
          <w:rFonts w:ascii="Times New Roman Bold"/>
          <w:sz w:val="24"/>
          <w:szCs w:val="24"/>
        </w:rPr>
        <w:t>ion 76.7(g)(2)</w:t>
      </w:r>
      <w:r w:rsidRPr="009C1C49">
        <w:rPr>
          <w:sz w:val="24"/>
          <w:szCs w:val="24"/>
        </w:rPr>
        <w:t xml:space="preserve"> provides that, in a proceeding initiated pursuant to </w:t>
      </w:r>
      <w:r w:rsidRPr="009C1C49">
        <w:rPr>
          <w:rFonts w:ascii="Arial Unicode MS"/>
          <w:sz w:val="24"/>
          <w:szCs w:val="24"/>
        </w:rPr>
        <w:t>§</w:t>
      </w:r>
      <w:r w:rsidRPr="009C1C49">
        <w:rPr>
          <w:rFonts w:ascii="Arial Unicode MS"/>
          <w:sz w:val="24"/>
          <w:szCs w:val="24"/>
        </w:rPr>
        <w:t xml:space="preserve"> </w:t>
      </w:r>
      <w:r w:rsidRPr="009C1C49">
        <w:rPr>
          <w:sz w:val="24"/>
          <w:szCs w:val="24"/>
        </w:rPr>
        <w:t xml:space="preserve">76.7 that is referred to an administrative law judge, the parties may elect to resolve the dispute through alternative dispute resolution procedures, or may proceed with an adjudicatory </w:t>
      </w:r>
      <w:r w:rsidRPr="009C1C49">
        <w:rPr>
          <w:sz w:val="24"/>
          <w:szCs w:val="24"/>
        </w:rPr>
        <w:t xml:space="preserve">hearing, provided that the election shall be submitted in writing to the Commission and the Chief Administrative Law Judge. </w:t>
      </w:r>
    </w:p>
    <w:p w:rsidR="000319B6" w:rsidRPr="009C1C49" w14:paraId="1EB76A82" w14:textId="77777777">
      <w:pPr>
        <w:rPr>
          <w:rFonts w:ascii="Times New Roman Bold" w:eastAsia="Times New Roman Bold" w:hAnsi="Times New Roman Bold" w:cs="Times New Roman Bold"/>
          <w:sz w:val="24"/>
          <w:szCs w:val="24"/>
        </w:rPr>
      </w:pPr>
    </w:p>
    <w:p w:rsidR="000319B6" w:rsidRPr="009C1C49" w14:paraId="1EB76A83" w14:textId="77777777">
      <w:pPr>
        <w:rPr>
          <w:sz w:val="24"/>
          <w:szCs w:val="24"/>
        </w:rPr>
      </w:pPr>
      <w:r w:rsidRPr="009C1C49">
        <w:rPr>
          <w:rFonts w:ascii="Times New Roman Bold"/>
          <w:sz w:val="24"/>
          <w:szCs w:val="24"/>
        </w:rPr>
        <w:t>47 CFR Section 76.9.</w:t>
      </w:r>
      <w:r w:rsidRPr="009C1C49">
        <w:rPr>
          <w:sz w:val="24"/>
          <w:szCs w:val="24"/>
        </w:rPr>
        <w:t xml:space="preserve">  A party that wishes to have confidentiality for proprietary information with respect to a submission it is m</w:t>
      </w:r>
      <w:r w:rsidRPr="009C1C49">
        <w:rPr>
          <w:sz w:val="24"/>
          <w:szCs w:val="24"/>
        </w:rPr>
        <w:t xml:space="preserve">aking to the FCC must file a petition pursuant to the pleading requirements in Section 76.7 and use the method described in Sections 0.459 and 76.9 to demonstrate that confidentiality is warranted.  </w:t>
      </w:r>
    </w:p>
    <w:p w:rsidR="000319B6" w:rsidRPr="009C1C49" w14:paraId="1EB76A84" w14:textId="77777777">
      <w:pPr>
        <w:rPr>
          <w:rFonts w:ascii="Times New Roman Bold" w:eastAsia="Times New Roman Bold" w:hAnsi="Times New Roman Bold" w:cs="Times New Roman Bold"/>
          <w:sz w:val="24"/>
          <w:szCs w:val="24"/>
        </w:rPr>
      </w:pPr>
    </w:p>
    <w:p w:rsidR="000319B6" w:rsidRPr="009C1C49" w14:paraId="1EB76A85" w14:textId="77777777">
      <w:pPr>
        <w:rPr>
          <w:sz w:val="24"/>
          <w:szCs w:val="24"/>
        </w:rPr>
      </w:pPr>
      <w:r w:rsidRPr="009C1C49">
        <w:rPr>
          <w:rFonts w:ascii="Times New Roman Bold"/>
          <w:sz w:val="24"/>
          <w:szCs w:val="24"/>
        </w:rPr>
        <w:t>47 CFR Section 76.61(a)</w:t>
      </w:r>
      <w:r>
        <w:rPr>
          <w:sz w:val="24"/>
          <w:szCs w:val="24"/>
          <w:vertAlign w:val="superscript"/>
        </w:rPr>
        <w:footnoteReference w:id="4"/>
      </w:r>
      <w:r w:rsidRPr="009C1C49">
        <w:rPr>
          <w:sz w:val="24"/>
          <w:szCs w:val="24"/>
        </w:rPr>
        <w:t xml:space="preserve"> permits a local commercial te</w:t>
      </w:r>
      <w:r w:rsidRPr="009C1C49">
        <w:rPr>
          <w:sz w:val="24"/>
          <w:szCs w:val="24"/>
        </w:rPr>
        <w:t>levision station or qualified low power television station that is denied carriage or channel positioning or repositioning in accordance with the must-carry rules by a cable operator to file a complaint with the FCC in accordance with the procedures set fo</w:t>
      </w:r>
      <w:r w:rsidRPr="009C1C49">
        <w:rPr>
          <w:sz w:val="24"/>
          <w:szCs w:val="24"/>
        </w:rPr>
        <w:t>rth in Section 76.7.  Section 76.61(b)</w:t>
      </w:r>
      <w:r>
        <w:rPr>
          <w:sz w:val="24"/>
          <w:szCs w:val="24"/>
          <w:vertAlign w:val="superscript"/>
        </w:rPr>
        <w:footnoteReference w:id="5"/>
      </w:r>
      <w:r w:rsidRPr="009C1C49">
        <w:rPr>
          <w:sz w:val="24"/>
          <w:szCs w:val="24"/>
        </w:rPr>
        <w:t xml:space="preserve"> permits a qualified local noncommercial educational television station that believes a cable operator has failed to comply with the FCC</w:t>
      </w:r>
      <w:r w:rsidRPr="009C1C49">
        <w:rPr>
          <w:rFonts w:ascii="Arial Unicode MS"/>
          <w:sz w:val="24"/>
          <w:szCs w:val="24"/>
        </w:rPr>
        <w:t>’</w:t>
      </w:r>
      <w:r w:rsidRPr="009C1C49">
        <w:rPr>
          <w:sz w:val="24"/>
          <w:szCs w:val="24"/>
        </w:rPr>
        <w:t xml:space="preserve">s signal carriage or channel positioning requirements (Sections 76.56 through 76.57) to file a complaint with the FCC in accordance with the procedures set forth in Section 76.7.  </w:t>
      </w:r>
    </w:p>
    <w:p w:rsidR="000319B6" w:rsidRPr="009C1C49" w14:paraId="1EB76A86" w14:textId="77777777">
      <w:pPr>
        <w:rPr>
          <w:rFonts w:ascii="Times New Roman Bold" w:eastAsia="Times New Roman Bold" w:hAnsi="Times New Roman Bold" w:cs="Times New Roman Bold"/>
          <w:sz w:val="24"/>
          <w:szCs w:val="24"/>
        </w:rPr>
      </w:pPr>
    </w:p>
    <w:p w:rsidR="000319B6" w:rsidRPr="009C1C49" w14:paraId="1EB76A87" w14:textId="77777777">
      <w:pPr>
        <w:rPr>
          <w:sz w:val="24"/>
          <w:szCs w:val="24"/>
        </w:rPr>
      </w:pPr>
      <w:r w:rsidRPr="009C1C49">
        <w:rPr>
          <w:rFonts w:ascii="Times New Roman Bold"/>
          <w:sz w:val="24"/>
          <w:szCs w:val="24"/>
        </w:rPr>
        <w:t>47 CFR Section 76.61(a)(1)</w:t>
      </w:r>
      <w:r w:rsidRPr="009C1C49">
        <w:rPr>
          <w:sz w:val="24"/>
          <w:szCs w:val="24"/>
        </w:rPr>
        <w:t xml:space="preserve"> states that whenever a local commercial televis</w:t>
      </w:r>
      <w:r w:rsidRPr="009C1C49">
        <w:rPr>
          <w:sz w:val="24"/>
          <w:szCs w:val="24"/>
        </w:rPr>
        <w:t xml:space="preserve">ion station or a qualified low power television station believes that a cable operator has failed to meet its carriage or channel positioning obligations, pursuant to Sections </w:t>
      </w:r>
      <w:hyperlink r:id="rId6" w:history="1">
        <w:r w:rsidRPr="009C1C49">
          <w:rPr>
            <w:rStyle w:val="Hyperlink0"/>
          </w:rPr>
          <w:t>76.56</w:t>
        </w:r>
      </w:hyperlink>
      <w:r w:rsidRPr="009C1C49">
        <w:rPr>
          <w:sz w:val="24"/>
          <w:szCs w:val="24"/>
        </w:rPr>
        <w:t xml:space="preserve"> and </w:t>
      </w:r>
      <w:hyperlink r:id="rId7" w:history="1">
        <w:r w:rsidRPr="009C1C49">
          <w:rPr>
            <w:rStyle w:val="Hyperlink0"/>
          </w:rPr>
          <w:t>76.57</w:t>
        </w:r>
      </w:hyperlink>
      <w:r w:rsidRPr="009C1C49">
        <w:rPr>
          <w:sz w:val="24"/>
          <w:szCs w:val="24"/>
        </w:rPr>
        <w:t>, such station shall notify the operator, in writing, of the alleged failure and iden</w:t>
      </w:r>
      <w:r w:rsidRPr="009C1C49">
        <w:rPr>
          <w:sz w:val="24"/>
          <w:szCs w:val="24"/>
        </w:rPr>
        <w:t xml:space="preserve">tify its reasons for believing that the cable operator is obligated to carry the signal of such station or position such signal on a particular channel. </w:t>
      </w:r>
    </w:p>
    <w:p w:rsidR="000319B6" w:rsidRPr="009C1C49" w14:paraId="1EB76A88" w14:textId="77777777">
      <w:pPr>
        <w:rPr>
          <w:sz w:val="24"/>
          <w:szCs w:val="24"/>
        </w:rPr>
      </w:pPr>
    </w:p>
    <w:p w:rsidR="000319B6" w:rsidRPr="009C1C49" w14:paraId="1EB76A89" w14:textId="77777777">
      <w:pPr>
        <w:rPr>
          <w:rFonts w:ascii="Times New Roman Bold" w:eastAsia="Times New Roman Bold" w:hAnsi="Times New Roman Bold" w:cs="Times New Roman Bold"/>
          <w:sz w:val="24"/>
          <w:szCs w:val="24"/>
        </w:rPr>
      </w:pPr>
      <w:r w:rsidRPr="009C1C49">
        <w:rPr>
          <w:rFonts w:ascii="Times New Roman Bold"/>
          <w:sz w:val="24"/>
          <w:szCs w:val="24"/>
        </w:rPr>
        <w:t>47 CFR Section 76.61(a)(2)</w:t>
      </w:r>
      <w:r w:rsidRPr="009C1C49">
        <w:rPr>
          <w:sz w:val="24"/>
          <w:szCs w:val="24"/>
        </w:rPr>
        <w:t xml:space="preserve"> states that the cable operator shall, within 30 days of receipt of such wr</w:t>
      </w:r>
      <w:r w:rsidRPr="009C1C49">
        <w:rPr>
          <w:sz w:val="24"/>
          <w:szCs w:val="24"/>
        </w:rPr>
        <w:t xml:space="preserve">itten notification, respond in writing to such notification and either commence to carry the signal of such station in accordance with the terms requested or state its reasons for believing that it is not obligated to carry such signal or is in compliance </w:t>
      </w:r>
      <w:r w:rsidRPr="009C1C49">
        <w:rPr>
          <w:sz w:val="24"/>
          <w:szCs w:val="24"/>
        </w:rPr>
        <w:t>with the channel positioning and repositioning and other requirements of the must-carry rules. If a refusal for carriage is based on the station's distance from the cable system's principal headend, the operator's response shall include the location of suc</w:t>
      </w:r>
      <w:r w:rsidRPr="009C1C49">
        <w:rPr>
          <w:sz w:val="24"/>
          <w:szCs w:val="24"/>
        </w:rPr>
        <w:t>h headend. If a cable operator denies carriage on the basis of the failure of the station to deliver a good quality signal at the cable system's principal headend, the cable operator must provide a list of equipment used to make the measurements, the point</w:t>
      </w:r>
      <w:r w:rsidRPr="009C1C49">
        <w:rPr>
          <w:sz w:val="24"/>
          <w:szCs w:val="24"/>
        </w:rPr>
        <w:t xml:space="preserve"> of measurement and a list and detailed description of the reception and over-the-air signal processing </w:t>
      </w:r>
      <w:r w:rsidRPr="009C1C49">
        <w:rPr>
          <w:sz w:val="24"/>
          <w:szCs w:val="24"/>
        </w:rPr>
        <w:t>equipment used, including sketches such as block diagrams and a description of the methodology used for processing the signal at issue, in its response.</w:t>
      </w:r>
      <w:r w:rsidRPr="009C1C49">
        <w:rPr>
          <w:sz w:val="24"/>
          <w:szCs w:val="24"/>
        </w:rPr>
        <w:t xml:space="preserve"> </w:t>
      </w:r>
    </w:p>
    <w:p w:rsidR="000319B6" w:rsidRPr="009C1C49" w14:paraId="1EB76A8A" w14:textId="77777777">
      <w:pPr>
        <w:rPr>
          <w:rFonts w:ascii="Times New Roman Bold" w:eastAsia="Times New Roman Bold" w:hAnsi="Times New Roman Bold" w:cs="Times New Roman Bold"/>
          <w:sz w:val="24"/>
          <w:szCs w:val="24"/>
        </w:rPr>
      </w:pPr>
    </w:p>
    <w:p w:rsidR="000319B6" w:rsidRPr="009C1C49" w14:paraId="1EB76A8B" w14:textId="77777777">
      <w:pPr>
        <w:rPr>
          <w:sz w:val="24"/>
          <w:szCs w:val="24"/>
        </w:rPr>
      </w:pPr>
      <w:r w:rsidRPr="009C1C49">
        <w:rPr>
          <w:sz w:val="24"/>
          <w:szCs w:val="24"/>
        </w:rPr>
        <w:t xml:space="preserve"> </w:t>
      </w:r>
      <w:r w:rsidRPr="009C1C49">
        <w:rPr>
          <w:rFonts w:ascii="Times New Roman Bold"/>
          <w:sz w:val="24"/>
          <w:szCs w:val="24"/>
        </w:rPr>
        <w:t xml:space="preserve">47 CFR Section 76.914(c) </w:t>
      </w:r>
      <w:r w:rsidRPr="009C1C49">
        <w:rPr>
          <w:sz w:val="24"/>
          <w:szCs w:val="24"/>
        </w:rPr>
        <w:t>permits a cable operator seeking revocation of a franchising authority</w:t>
      </w:r>
      <w:r w:rsidRPr="009C1C49">
        <w:rPr>
          <w:rFonts w:ascii="Arial Unicode MS"/>
          <w:sz w:val="24"/>
          <w:szCs w:val="24"/>
        </w:rPr>
        <w:t>’</w:t>
      </w:r>
      <w:r w:rsidRPr="009C1C49">
        <w:rPr>
          <w:sz w:val="24"/>
          <w:szCs w:val="24"/>
        </w:rPr>
        <w:t xml:space="preserve">s certification to file a petition with the FCC in accordance with the procedures set forth in Section 76.7.  </w:t>
      </w:r>
    </w:p>
    <w:p w:rsidR="000319B6" w:rsidRPr="009C1C49" w14:paraId="1EB76A8C" w14:textId="77777777">
      <w:pPr>
        <w:rPr>
          <w:rFonts w:ascii="Times New Roman Bold" w:eastAsia="Times New Roman Bold" w:hAnsi="Times New Roman Bold" w:cs="Times New Roman Bold"/>
          <w:sz w:val="24"/>
          <w:szCs w:val="24"/>
        </w:rPr>
      </w:pPr>
    </w:p>
    <w:p w:rsidR="000319B6" w:rsidRPr="009C1C49" w14:paraId="1EB76A8D" w14:textId="7BB0CA2E">
      <w:pPr>
        <w:rPr>
          <w:sz w:val="24"/>
          <w:szCs w:val="24"/>
        </w:rPr>
      </w:pPr>
      <w:r w:rsidRPr="009C1C49">
        <w:rPr>
          <w:sz w:val="24"/>
          <w:szCs w:val="24"/>
        </w:rPr>
        <w:t xml:space="preserve"> </w:t>
      </w:r>
      <w:r w:rsidRPr="009C1C49">
        <w:rPr>
          <w:rFonts w:ascii="Times New Roman Bold"/>
          <w:sz w:val="24"/>
          <w:szCs w:val="24"/>
        </w:rPr>
        <w:t>47 CFR Section 76.1003(a)</w:t>
      </w:r>
      <w:r w:rsidRPr="009C1C49">
        <w:rPr>
          <w:sz w:val="24"/>
          <w:szCs w:val="24"/>
        </w:rPr>
        <w:t xml:space="preserve"> permits any multi</w:t>
      </w:r>
      <w:r w:rsidRPr="009C1C49">
        <w:rPr>
          <w:sz w:val="24"/>
          <w:szCs w:val="24"/>
        </w:rPr>
        <w:t>channel video programming distributor (MVPD) aggrieved by conduct that it believes constitute a violation of the FCC</w:t>
      </w:r>
      <w:r w:rsidRPr="009C1C49">
        <w:rPr>
          <w:rFonts w:ascii="Arial Unicode MS"/>
          <w:sz w:val="24"/>
          <w:szCs w:val="24"/>
        </w:rPr>
        <w:t>’</w:t>
      </w:r>
      <w:r w:rsidRPr="009C1C49">
        <w:rPr>
          <w:sz w:val="24"/>
          <w:szCs w:val="24"/>
        </w:rPr>
        <w:t xml:space="preserve">s </w:t>
      </w:r>
      <w:r w:rsidR="00A41755">
        <w:rPr>
          <w:sz w:val="24"/>
          <w:szCs w:val="24"/>
        </w:rPr>
        <w:t xml:space="preserve">program access </w:t>
      </w:r>
      <w:r w:rsidRPr="009C1C49">
        <w:rPr>
          <w:sz w:val="24"/>
          <w:szCs w:val="24"/>
        </w:rPr>
        <w:t>rules to commence an adjudicatory proceeding at the FCC to obtain enforcement of the rules through the filing of a complai</w:t>
      </w:r>
      <w:r w:rsidRPr="009C1C49">
        <w:rPr>
          <w:sz w:val="24"/>
          <w:szCs w:val="24"/>
        </w:rPr>
        <w:t xml:space="preserve">nt, which must be filed and responded to in accordance with the procedures specified in Section 76.7, except to the extent such procedures are modified by Section 76.1003.  </w:t>
      </w:r>
    </w:p>
    <w:p w:rsidR="000319B6" w:rsidRPr="009C1C49" w14:paraId="1EB76A8E" w14:textId="77777777">
      <w:pPr>
        <w:rPr>
          <w:sz w:val="24"/>
          <w:szCs w:val="24"/>
        </w:rPr>
      </w:pPr>
    </w:p>
    <w:p w:rsidR="000319B6" w:rsidRPr="009C1C49" w14:paraId="1EB76A8F" w14:textId="083D4429">
      <w:pPr>
        <w:rPr>
          <w:sz w:val="24"/>
          <w:szCs w:val="24"/>
        </w:rPr>
      </w:pPr>
      <w:r w:rsidRPr="009C1C49">
        <w:rPr>
          <w:rFonts w:ascii="Times New Roman Bold"/>
          <w:sz w:val="24"/>
          <w:szCs w:val="24"/>
        </w:rPr>
        <w:t>47 CFR Section 76.1001(b)(2)</w:t>
      </w:r>
      <w:r w:rsidRPr="009C1C49">
        <w:rPr>
          <w:sz w:val="24"/>
          <w:szCs w:val="24"/>
        </w:rPr>
        <w:t xml:space="preserve"> permits any multichannel video programming distributor to commence an adjudicatory proceeding by filing a complaint with the Commission alleging that a cable operator, a satellite cable programming vendor in which a cable operator has an attributable inte</w:t>
      </w:r>
      <w:r w:rsidRPr="009C1C49">
        <w:rPr>
          <w:sz w:val="24"/>
          <w:szCs w:val="24"/>
        </w:rPr>
        <w:t xml:space="preserve">rest, or a satellite broadcast programming vendor, has engaged in an unfair act involving terrestrially delivered, cable-affiliated programming, which must be filed and responded to in accordance with the procedures specified in </w:t>
      </w:r>
      <w:r w:rsidRPr="009C1C49">
        <w:rPr>
          <w:rFonts w:ascii="Arial Unicode MS"/>
          <w:sz w:val="24"/>
          <w:szCs w:val="24"/>
        </w:rPr>
        <w:t>§</w:t>
      </w:r>
      <w:r w:rsidRPr="009C1C49">
        <w:rPr>
          <w:rFonts w:ascii="Arial Unicode MS"/>
          <w:sz w:val="24"/>
          <w:szCs w:val="24"/>
        </w:rPr>
        <w:t xml:space="preserve"> </w:t>
      </w:r>
      <w:r w:rsidRPr="009C1C49">
        <w:rPr>
          <w:sz w:val="24"/>
          <w:szCs w:val="24"/>
        </w:rPr>
        <w:t>76.7, except to the exten</w:t>
      </w:r>
      <w:r w:rsidRPr="009C1C49">
        <w:rPr>
          <w:sz w:val="24"/>
          <w:szCs w:val="24"/>
        </w:rPr>
        <w:t xml:space="preserve">t such procedures are modified by </w:t>
      </w:r>
      <w:r w:rsidRPr="009C1C49">
        <w:rPr>
          <w:rFonts w:ascii="Arial Unicode MS"/>
          <w:sz w:val="24"/>
          <w:szCs w:val="24"/>
        </w:rPr>
        <w:t>§§</w:t>
      </w:r>
      <w:r w:rsidRPr="009C1C49">
        <w:rPr>
          <w:rFonts w:ascii="Arial Unicode MS"/>
          <w:sz w:val="24"/>
          <w:szCs w:val="24"/>
        </w:rPr>
        <w:t xml:space="preserve"> </w:t>
      </w:r>
      <w:r w:rsidRPr="009C1C49">
        <w:rPr>
          <w:sz w:val="24"/>
          <w:szCs w:val="24"/>
        </w:rPr>
        <w:t>76.1001(b)(2) and 76.1003.  In program access cases involving terrestrially delivered, cable-affiliated programming, the defendant has 45 days from the date of service of the complaint to file an answer, unless otherwis</w:t>
      </w:r>
      <w:r w:rsidRPr="009C1C49">
        <w:rPr>
          <w:sz w:val="24"/>
          <w:szCs w:val="24"/>
        </w:rPr>
        <w:t>e directed by the Commission.  A complainant shall have the burden of proof that the defendant</w:t>
      </w:r>
      <w:r w:rsidRPr="009C1C49">
        <w:rPr>
          <w:rFonts w:ascii="Arial Unicode MS"/>
          <w:sz w:val="24"/>
          <w:szCs w:val="24"/>
        </w:rPr>
        <w:t>’</w:t>
      </w:r>
      <w:r w:rsidRPr="009C1C49">
        <w:rPr>
          <w:sz w:val="24"/>
          <w:szCs w:val="24"/>
        </w:rPr>
        <w:t>s alleged conduct has the purpose or effect of hindering significantly or preventing the complainant from providing satellite cable programming or satellite broa</w:t>
      </w:r>
      <w:r w:rsidRPr="009C1C49">
        <w:rPr>
          <w:sz w:val="24"/>
          <w:szCs w:val="24"/>
        </w:rPr>
        <w:t>dcast programming to subscribers or consumers; an answer to such a complaint shall set forth the defendant</w:t>
      </w:r>
      <w:r w:rsidRPr="009C1C49">
        <w:rPr>
          <w:rFonts w:ascii="Arial Unicode MS"/>
          <w:sz w:val="24"/>
          <w:szCs w:val="24"/>
        </w:rPr>
        <w:t>’</w:t>
      </w:r>
      <w:r w:rsidRPr="009C1C49">
        <w:rPr>
          <w:sz w:val="24"/>
          <w:szCs w:val="24"/>
        </w:rPr>
        <w:t>s reasons to support a finding that the complainant has not carried this burden.  In addition, a complainant alleging that a terrestrial cable progra</w:t>
      </w:r>
      <w:r w:rsidRPr="009C1C49">
        <w:rPr>
          <w:sz w:val="24"/>
          <w:szCs w:val="24"/>
        </w:rPr>
        <w:t xml:space="preserve">mming vendor has engaged in discrimination shall have the burden of proof that the terrestrial cable programming vendor is wholly owned by, controlled by, or under common control with a cable operator or cable operators, </w:t>
      </w:r>
      <w:r w:rsidRPr="009C1C49">
        <w:rPr>
          <w:sz w:val="24"/>
          <w:szCs w:val="24"/>
        </w:rPr>
        <w:t xml:space="preserve">satellite cable programming vendor </w:t>
      </w:r>
      <w:r w:rsidRPr="009C1C49">
        <w:rPr>
          <w:sz w:val="24"/>
          <w:szCs w:val="24"/>
        </w:rPr>
        <w:t>or vendors in which a cable operator has an attributable interest, or satellite broadcast programming vendor or vendors; an answer to such a complaint shall set forth the defendant</w:t>
      </w:r>
      <w:r w:rsidRPr="009C1C49">
        <w:rPr>
          <w:rFonts w:ascii="Arial Unicode MS"/>
          <w:sz w:val="24"/>
          <w:szCs w:val="24"/>
        </w:rPr>
        <w:t>’</w:t>
      </w:r>
      <w:r w:rsidRPr="009C1C49">
        <w:rPr>
          <w:sz w:val="24"/>
          <w:szCs w:val="24"/>
        </w:rPr>
        <w:t>s reasons to support a finding that the complainant has not carried this bu</w:t>
      </w:r>
      <w:r w:rsidRPr="009C1C49">
        <w:rPr>
          <w:sz w:val="24"/>
          <w:szCs w:val="24"/>
        </w:rPr>
        <w:t xml:space="preserve">rden.  </w:t>
      </w:r>
    </w:p>
    <w:p w:rsidR="000319B6" w:rsidRPr="009C1C49" w14:paraId="1EB76A90" w14:textId="77777777">
      <w:pPr>
        <w:rPr>
          <w:rFonts w:ascii="Times New Roman Bold" w:eastAsia="Times New Roman Bold" w:hAnsi="Times New Roman Bold" w:cs="Times New Roman Bold"/>
          <w:sz w:val="24"/>
          <w:szCs w:val="24"/>
        </w:rPr>
      </w:pPr>
    </w:p>
    <w:p w:rsidR="000319B6" w:rsidRPr="009C1C49" w14:paraId="1EB76A91" w14:textId="77777777">
      <w:pPr>
        <w:rPr>
          <w:sz w:val="24"/>
          <w:szCs w:val="24"/>
        </w:rPr>
      </w:pPr>
      <w:r w:rsidRPr="009C1C49">
        <w:rPr>
          <w:rFonts w:ascii="Times New Roman Bold"/>
          <w:sz w:val="24"/>
          <w:szCs w:val="24"/>
        </w:rPr>
        <w:t>47 CFR Section 76.1003(b)</w:t>
      </w:r>
      <w:r w:rsidRPr="009C1C49">
        <w:rPr>
          <w:sz w:val="24"/>
          <w:szCs w:val="24"/>
        </w:rPr>
        <w:t xml:space="preserve"> requires any aggrieved MVPD intending to file a complaint under this section to first notify the potential defendant cable operator, and/or the potential defendant satellite cable programming vendor or satellite broadcast</w:t>
      </w:r>
      <w:r w:rsidRPr="009C1C49">
        <w:rPr>
          <w:sz w:val="24"/>
          <w:szCs w:val="24"/>
        </w:rPr>
        <w:t xml:space="preserve"> programming vendor, that it intends to file a complaint with the Commission based on actions alleged to violate one or more of the provisions contained in Sections 76.1001 or 76.1002 of this part.  The notice must be sufficiently detailed so that its reci</w:t>
      </w:r>
      <w:r w:rsidRPr="009C1C49">
        <w:rPr>
          <w:sz w:val="24"/>
          <w:szCs w:val="24"/>
        </w:rPr>
        <w:t xml:space="preserve">pient(s) can determine the nature of the potential complaint.  The potential complainant must allow a minimum of ten (10) days for the potential defendant(s) to respond before filing a complaint with the Commission.  </w:t>
      </w:r>
    </w:p>
    <w:p w:rsidR="000319B6" w:rsidRPr="009C1C49" w14:paraId="1EB76A92" w14:textId="77777777">
      <w:pPr>
        <w:rPr>
          <w:sz w:val="24"/>
          <w:szCs w:val="24"/>
        </w:rPr>
      </w:pPr>
    </w:p>
    <w:p w:rsidR="000319B6" w:rsidRPr="009C1C49" w14:paraId="1EB76A93" w14:textId="77777777">
      <w:pPr>
        <w:rPr>
          <w:sz w:val="24"/>
          <w:szCs w:val="24"/>
        </w:rPr>
      </w:pPr>
      <w:r w:rsidRPr="009C1C49">
        <w:rPr>
          <w:rFonts w:ascii="Times New Roman Bold"/>
          <w:sz w:val="24"/>
          <w:szCs w:val="24"/>
        </w:rPr>
        <w:t>47 CFR Section 76.1003(c</w:t>
      </w:r>
      <w:r w:rsidRPr="009C1C49">
        <w:rPr>
          <w:sz w:val="24"/>
          <w:szCs w:val="24"/>
        </w:rPr>
        <w:t>) describes t</w:t>
      </w:r>
      <w:r w:rsidRPr="009C1C49">
        <w:rPr>
          <w:sz w:val="24"/>
          <w:szCs w:val="24"/>
        </w:rPr>
        <w:t>he required contents of a program access complaint, in addition to the requirements of Section 76.7 of this part.</w:t>
      </w:r>
      <w:r>
        <w:rPr>
          <w:sz w:val="24"/>
          <w:szCs w:val="24"/>
          <w:vertAlign w:val="superscript"/>
        </w:rPr>
        <w:footnoteReference w:id="6"/>
      </w:r>
      <w:r w:rsidRPr="009C1C49">
        <w:rPr>
          <w:sz w:val="24"/>
          <w:szCs w:val="24"/>
        </w:rPr>
        <w:t xml:space="preserve">  </w:t>
      </w:r>
    </w:p>
    <w:p w:rsidR="000319B6" w:rsidRPr="009C1C49" w14:paraId="1EB76A94" w14:textId="77777777">
      <w:pPr>
        <w:rPr>
          <w:sz w:val="24"/>
          <w:szCs w:val="24"/>
        </w:rPr>
      </w:pPr>
    </w:p>
    <w:p w:rsidR="000319B6" w:rsidRPr="009C1C49" w14:paraId="1EB76A95" w14:textId="77777777">
      <w:pPr>
        <w:rPr>
          <w:sz w:val="24"/>
          <w:szCs w:val="24"/>
        </w:rPr>
      </w:pPr>
      <w:r w:rsidRPr="009C1C49">
        <w:rPr>
          <w:rFonts w:ascii="Times New Roman Bold"/>
          <w:sz w:val="24"/>
          <w:szCs w:val="24"/>
        </w:rPr>
        <w:t xml:space="preserve">47 CFR Section 76.1003(c)(3) </w:t>
      </w:r>
      <w:r w:rsidRPr="009C1C49">
        <w:rPr>
          <w:sz w:val="24"/>
          <w:szCs w:val="24"/>
        </w:rPr>
        <w:t>requires a program access complaint to contain evidence that the complainant competes with the defendant cable operator, or with a multichannel video programming distributor that is a customer of the defendant satellite cable programming or satellite broad</w:t>
      </w:r>
      <w:r w:rsidRPr="009C1C49">
        <w:rPr>
          <w:sz w:val="24"/>
          <w:szCs w:val="24"/>
        </w:rPr>
        <w:t xml:space="preserve">cast programming vendor or a terrestrial cable programming vendor alleged to have engaged in conduct described in </w:t>
      </w:r>
      <w:r w:rsidRPr="009C1C49">
        <w:rPr>
          <w:rFonts w:ascii="Arial Unicode MS"/>
          <w:sz w:val="24"/>
          <w:szCs w:val="24"/>
        </w:rPr>
        <w:t>§</w:t>
      </w:r>
      <w:r w:rsidRPr="009C1C49">
        <w:rPr>
          <w:rFonts w:ascii="Arial Unicode MS"/>
          <w:sz w:val="24"/>
          <w:szCs w:val="24"/>
        </w:rPr>
        <w:t xml:space="preserve"> </w:t>
      </w:r>
      <w:r w:rsidRPr="009C1C49">
        <w:rPr>
          <w:sz w:val="24"/>
          <w:szCs w:val="24"/>
        </w:rPr>
        <w:t>76.1001(b)(1).</w:t>
      </w:r>
    </w:p>
    <w:p w:rsidR="000319B6" w:rsidRPr="009C1C49" w14:paraId="1EB76A96" w14:textId="77777777">
      <w:pPr>
        <w:rPr>
          <w:sz w:val="24"/>
          <w:szCs w:val="24"/>
        </w:rPr>
      </w:pPr>
    </w:p>
    <w:p w:rsidR="000319B6" w:rsidRPr="009C1C49" w14:paraId="1EB76A97" w14:textId="18CDBEB9">
      <w:pPr>
        <w:rPr>
          <w:sz w:val="24"/>
          <w:szCs w:val="24"/>
        </w:rPr>
      </w:pPr>
      <w:r w:rsidRPr="009C1C49">
        <w:rPr>
          <w:rFonts w:ascii="Times New Roman Bold"/>
          <w:sz w:val="24"/>
          <w:szCs w:val="24"/>
        </w:rPr>
        <w:t>47 CFR Section 76.1003(d)</w:t>
      </w:r>
      <w:r>
        <w:rPr>
          <w:sz w:val="24"/>
          <w:szCs w:val="24"/>
          <w:vertAlign w:val="superscript"/>
        </w:rPr>
        <w:footnoteReference w:id="7"/>
      </w:r>
      <w:r w:rsidRPr="009C1C49">
        <w:rPr>
          <w:sz w:val="24"/>
          <w:szCs w:val="24"/>
        </w:rPr>
        <w:t xml:space="preserve"> states that, in a case where recovery of damages is sought, the complaint shall contain a clear </w:t>
      </w:r>
      <w:r w:rsidRPr="009C1C49">
        <w:rPr>
          <w:sz w:val="24"/>
          <w:szCs w:val="24"/>
        </w:rPr>
        <w:t xml:space="preserve">and unequivocal request for damages and appropriate allegations in support of such claim.  </w:t>
      </w:r>
    </w:p>
    <w:p w:rsidR="000319B6" w:rsidRPr="009C1C49" w14:paraId="1EB76A98" w14:textId="77777777">
      <w:pPr>
        <w:rPr>
          <w:sz w:val="24"/>
          <w:szCs w:val="24"/>
        </w:rPr>
      </w:pPr>
    </w:p>
    <w:p w:rsidR="000319B6" w:rsidRPr="009C1C49" w14:paraId="1EB76A99" w14:textId="2DBECD03">
      <w:pPr>
        <w:rPr>
          <w:sz w:val="24"/>
          <w:szCs w:val="24"/>
        </w:rPr>
      </w:pPr>
      <w:r w:rsidRPr="009C1C49">
        <w:rPr>
          <w:rFonts w:ascii="Times New Roman Bold"/>
          <w:sz w:val="24"/>
          <w:szCs w:val="24"/>
        </w:rPr>
        <w:t xml:space="preserve">47 CFR Section 76.1003(e)(1) </w:t>
      </w:r>
      <w:r w:rsidRPr="009C1C49">
        <w:rPr>
          <w:sz w:val="24"/>
          <w:szCs w:val="24"/>
        </w:rPr>
        <w:t xml:space="preserve">requires cable operators, satellite cable programming vendors, or satellite broadcast programming vendors who expressly reference and </w:t>
      </w:r>
      <w:r w:rsidRPr="009C1C49">
        <w:rPr>
          <w:sz w:val="24"/>
          <w:szCs w:val="24"/>
        </w:rPr>
        <w:t xml:space="preserve">rely upon a document in asserting a defense to a program access complaint or in responding to a material allegation in a program access complaint filed pursuant to Section 76.1003, to include such document or documents, such as contracts for </w:t>
      </w:r>
      <w:r w:rsidRPr="00F3570A">
        <w:rPr>
          <w:sz w:val="24"/>
          <w:szCs w:val="24"/>
        </w:rPr>
        <w:t>carriage of pr</w:t>
      </w:r>
      <w:r w:rsidRPr="00F3570A">
        <w:rPr>
          <w:sz w:val="24"/>
          <w:szCs w:val="24"/>
        </w:rPr>
        <w:t xml:space="preserve">ogramming referenced and relied on, as part of the answer. </w:t>
      </w:r>
      <w:r w:rsidRPr="00E2714E">
        <w:rPr>
          <w:rFonts w:ascii="Times New Roman Bold"/>
          <w:sz w:val="24"/>
          <w:szCs w:val="24"/>
        </w:rPr>
        <w:t xml:space="preserve"> </w:t>
      </w:r>
      <w:r w:rsidRPr="00E2714E">
        <w:rPr>
          <w:sz w:val="24"/>
          <w:szCs w:val="24"/>
        </w:rPr>
        <w:t xml:space="preserve">Except as otherwise provided or directed by the Commission, any cable operator, satellite cable programming vendor </w:t>
      </w:r>
      <w:r w:rsidRPr="00F3570A">
        <w:rPr>
          <w:sz w:val="24"/>
          <w:szCs w:val="24"/>
        </w:rPr>
        <w:t>or satellite broadcast programming vendor upon which a program access complaint i</w:t>
      </w:r>
      <w:r w:rsidRPr="00F3570A">
        <w:rPr>
          <w:sz w:val="24"/>
          <w:szCs w:val="24"/>
        </w:rPr>
        <w:t xml:space="preserve">s served under this section shall answer within </w:t>
      </w:r>
      <w:r w:rsidRPr="00F3570A" w:rsidR="00F3570A">
        <w:rPr>
          <w:sz w:val="24"/>
          <w:szCs w:val="24"/>
        </w:rPr>
        <w:t xml:space="preserve">twenty </w:t>
      </w:r>
      <w:r w:rsidRPr="00F3570A">
        <w:rPr>
          <w:sz w:val="24"/>
          <w:szCs w:val="24"/>
        </w:rPr>
        <w:t>(</w:t>
      </w:r>
      <w:r w:rsidRPr="00F3570A" w:rsidR="00F3570A">
        <w:rPr>
          <w:sz w:val="24"/>
          <w:szCs w:val="24"/>
        </w:rPr>
        <w:t>20</w:t>
      </w:r>
      <w:r w:rsidRPr="00F3570A">
        <w:rPr>
          <w:sz w:val="24"/>
          <w:szCs w:val="24"/>
        </w:rPr>
        <w:t>) days of service of the complaint</w:t>
      </w:r>
      <w:r w:rsidRPr="00F3570A" w:rsidR="003D37DB">
        <w:rPr>
          <w:sz w:val="24"/>
          <w:szCs w:val="24"/>
        </w:rPr>
        <w:t xml:space="preserve">, </w:t>
      </w:r>
      <w:r w:rsidRPr="00F3570A" w:rsidR="003D37DB">
        <w:rPr>
          <w:color w:val="000000"/>
          <w:sz w:val="24"/>
          <w:szCs w:val="24"/>
          <w:shd w:val="clear" w:color="auto" w:fill="FFFFFF"/>
        </w:rPr>
        <w:t xml:space="preserve">provided that the answer shall be filed within forty-five (45) days of service of the complaint if the complaint alleges a violation of </w:t>
      </w:r>
      <w:r w:rsidRPr="00F3570A" w:rsidR="00F3570A">
        <w:rPr>
          <w:color w:val="000000"/>
          <w:sz w:val="24"/>
          <w:szCs w:val="24"/>
          <w:shd w:val="clear" w:color="auto" w:fill="FFFFFF"/>
        </w:rPr>
        <w:t>S</w:t>
      </w:r>
      <w:r w:rsidRPr="00F3570A" w:rsidR="003D37DB">
        <w:rPr>
          <w:color w:val="000000"/>
          <w:sz w:val="24"/>
          <w:szCs w:val="24"/>
          <w:shd w:val="clear" w:color="auto" w:fill="FFFFFF"/>
        </w:rPr>
        <w:t xml:space="preserve">ection 628(b) of the Communications Act of 1934, as amended, or </w:t>
      </w:r>
      <w:r w:rsidRPr="00F3570A" w:rsidR="00F3570A">
        <w:rPr>
          <w:color w:val="000000"/>
          <w:sz w:val="24"/>
          <w:szCs w:val="24"/>
          <w:shd w:val="clear" w:color="auto" w:fill="FFFFFF"/>
        </w:rPr>
        <w:t xml:space="preserve">Section </w:t>
      </w:r>
      <w:r w:rsidRPr="00F3570A" w:rsidR="003D37DB">
        <w:rPr>
          <w:color w:val="000000"/>
          <w:sz w:val="24"/>
          <w:szCs w:val="24"/>
          <w:shd w:val="clear" w:color="auto" w:fill="FFFFFF"/>
        </w:rPr>
        <w:t>76.1001(a)</w:t>
      </w:r>
      <w:r w:rsidRPr="00F3570A">
        <w:rPr>
          <w:sz w:val="24"/>
          <w:szCs w:val="24"/>
        </w:rPr>
        <w:t>.</w:t>
      </w:r>
      <w:r w:rsidRPr="009C1C49">
        <w:rPr>
          <w:sz w:val="24"/>
          <w:szCs w:val="24"/>
        </w:rPr>
        <w:t xml:space="preserve">  </w:t>
      </w:r>
    </w:p>
    <w:p w:rsidR="000319B6" w:rsidRPr="009C1C49" w14:paraId="1EB76A9A" w14:textId="77777777">
      <w:pPr>
        <w:rPr>
          <w:sz w:val="24"/>
          <w:szCs w:val="24"/>
        </w:rPr>
      </w:pPr>
    </w:p>
    <w:p w:rsidR="000319B6" w:rsidRPr="009C1C49" w14:paraId="1EB76A9B" w14:textId="77777777">
      <w:pPr>
        <w:rPr>
          <w:sz w:val="24"/>
          <w:szCs w:val="24"/>
        </w:rPr>
      </w:pPr>
      <w:r w:rsidRPr="009C1C49">
        <w:rPr>
          <w:rFonts w:ascii="Times New Roman Bold"/>
          <w:sz w:val="24"/>
          <w:szCs w:val="24"/>
        </w:rPr>
        <w:t>47 CFR Section 76.1003(e)(2</w:t>
      </w:r>
      <w:r w:rsidRPr="009C1C49">
        <w:rPr>
          <w:sz w:val="24"/>
          <w:szCs w:val="24"/>
        </w:rPr>
        <w:t>) requires an answer to an exclusivity complaint to provide the defendant</w:t>
      </w:r>
      <w:r w:rsidRPr="009C1C49">
        <w:rPr>
          <w:rFonts w:ascii="Arial Unicode MS"/>
          <w:sz w:val="24"/>
          <w:szCs w:val="24"/>
        </w:rPr>
        <w:t>’</w:t>
      </w:r>
      <w:r w:rsidRPr="009C1C49">
        <w:rPr>
          <w:sz w:val="24"/>
          <w:szCs w:val="24"/>
        </w:rPr>
        <w:t xml:space="preserve">s reasons for refusing to sell the subject programming to the complainant.  In addition, the </w:t>
      </w:r>
      <w:r w:rsidRPr="009C1C49">
        <w:rPr>
          <w:sz w:val="24"/>
          <w:szCs w:val="24"/>
        </w:rPr>
        <w:t xml:space="preserve">defendant may submit its programming contracts covering the area specified in the complaint with its answer to refute allegations concerning the existence of an impermissible exclusive contract.  If there are no contracts governing the specified area, the </w:t>
      </w:r>
      <w:r w:rsidRPr="009C1C49">
        <w:rPr>
          <w:sz w:val="24"/>
          <w:szCs w:val="24"/>
        </w:rPr>
        <w:t xml:space="preserve">defendant shall so certify in its answer.  Any contracts submitted pursuant to this provision may be protected as proprietary pursuant to Section 76.9 of this part. </w:t>
      </w:r>
    </w:p>
    <w:p w:rsidR="000319B6" w:rsidRPr="009C1C49" w14:paraId="1EB76A9C" w14:textId="77777777">
      <w:pPr>
        <w:rPr>
          <w:sz w:val="24"/>
          <w:szCs w:val="24"/>
        </w:rPr>
      </w:pPr>
      <w:r w:rsidRPr="009C1C49">
        <w:rPr>
          <w:sz w:val="24"/>
          <w:szCs w:val="24"/>
        </w:rPr>
        <w:t xml:space="preserve"> </w:t>
      </w:r>
    </w:p>
    <w:p w:rsidR="000319B6" w:rsidRPr="009C1C49" w14:paraId="1EB76A9D" w14:textId="2F485A96">
      <w:pPr>
        <w:rPr>
          <w:sz w:val="24"/>
          <w:szCs w:val="24"/>
        </w:rPr>
      </w:pPr>
      <w:r w:rsidRPr="009C1C49">
        <w:rPr>
          <w:rFonts w:ascii="Times New Roman Bold"/>
          <w:sz w:val="24"/>
          <w:szCs w:val="24"/>
        </w:rPr>
        <w:t>47 CFR Section 76.1003(e)(3)</w:t>
      </w:r>
      <w:r>
        <w:rPr>
          <w:sz w:val="24"/>
          <w:szCs w:val="24"/>
          <w:vertAlign w:val="superscript"/>
        </w:rPr>
        <w:footnoteReference w:id="8"/>
      </w:r>
      <w:r w:rsidRPr="009C1C49">
        <w:rPr>
          <w:sz w:val="24"/>
          <w:szCs w:val="24"/>
        </w:rPr>
        <w:t xml:space="preserve"> requires an answer to a discrimination complaint to state</w:t>
      </w:r>
      <w:r w:rsidRPr="009C1C49">
        <w:rPr>
          <w:sz w:val="24"/>
          <w:szCs w:val="24"/>
        </w:rPr>
        <w:t xml:space="preserve"> the reasons for any differential in prices, terms</w:t>
      </w:r>
      <w:r w:rsidR="00864EB1">
        <w:rPr>
          <w:sz w:val="24"/>
          <w:szCs w:val="24"/>
        </w:rPr>
        <w:t>,</w:t>
      </w:r>
      <w:r w:rsidRPr="009C1C49">
        <w:rPr>
          <w:sz w:val="24"/>
          <w:szCs w:val="24"/>
        </w:rPr>
        <w:t xml:space="preserve"> or conditions between the complainant </w:t>
      </w:r>
      <w:r w:rsidRPr="009C1C49">
        <w:rPr>
          <w:sz w:val="24"/>
          <w:szCs w:val="24"/>
        </w:rPr>
        <w:t xml:space="preserve">and its competitor, and to specify the particular justification set forth in Section 76.1002(b) of this part relied upon in support of the differential.  </w:t>
      </w:r>
    </w:p>
    <w:p w:rsidR="000319B6" w:rsidRPr="009C1C49" w14:paraId="1EB76A9E" w14:textId="77777777">
      <w:pPr>
        <w:rPr>
          <w:sz w:val="24"/>
          <w:szCs w:val="24"/>
        </w:rPr>
      </w:pPr>
    </w:p>
    <w:p w:rsidR="000319B6" w:rsidRPr="009C1C49" w14:paraId="1EB76A9F" w14:textId="77777777">
      <w:pPr>
        <w:rPr>
          <w:sz w:val="24"/>
          <w:szCs w:val="24"/>
        </w:rPr>
      </w:pPr>
      <w:r w:rsidRPr="009C1C49">
        <w:rPr>
          <w:rFonts w:ascii="Times New Roman Bold"/>
          <w:sz w:val="24"/>
          <w:szCs w:val="24"/>
        </w:rPr>
        <w:t xml:space="preserve">47 CFR </w:t>
      </w:r>
      <w:r w:rsidRPr="009C1C49">
        <w:rPr>
          <w:rFonts w:ascii="Times New Roman Bold"/>
          <w:sz w:val="24"/>
          <w:szCs w:val="24"/>
        </w:rPr>
        <w:t>Section 76.1003(e)(4)</w:t>
      </w:r>
      <w:r w:rsidRPr="009C1C49">
        <w:rPr>
          <w:sz w:val="24"/>
          <w:szCs w:val="24"/>
        </w:rPr>
        <w:t xml:space="preserve"> requires an answer to a complaint alleging an unreasonable refusal to sell programming to state the defendant</w:t>
      </w:r>
      <w:r w:rsidRPr="009C1C49">
        <w:rPr>
          <w:rFonts w:ascii="Arial Unicode MS"/>
          <w:sz w:val="24"/>
          <w:szCs w:val="24"/>
        </w:rPr>
        <w:t>’</w:t>
      </w:r>
      <w:r w:rsidRPr="009C1C49">
        <w:rPr>
          <w:sz w:val="24"/>
          <w:szCs w:val="24"/>
        </w:rPr>
        <w:t>s reasons for refusing to sell to the complainant, or for refusing to sell to the complainant on the same terms and conditio</w:t>
      </w:r>
      <w:r w:rsidRPr="009C1C49">
        <w:rPr>
          <w:sz w:val="24"/>
          <w:szCs w:val="24"/>
        </w:rPr>
        <w:t>ns as complainant</w:t>
      </w:r>
      <w:r w:rsidRPr="009C1C49">
        <w:rPr>
          <w:rFonts w:ascii="Arial Unicode MS"/>
          <w:sz w:val="24"/>
          <w:szCs w:val="24"/>
        </w:rPr>
        <w:t>’</w:t>
      </w:r>
      <w:r w:rsidRPr="009C1C49">
        <w:rPr>
          <w:sz w:val="24"/>
          <w:szCs w:val="24"/>
        </w:rPr>
        <w:t>s competitor, and to specify why the defendant</w:t>
      </w:r>
      <w:r w:rsidRPr="009C1C49">
        <w:rPr>
          <w:rFonts w:ascii="Arial Unicode MS"/>
          <w:sz w:val="24"/>
          <w:szCs w:val="24"/>
        </w:rPr>
        <w:t>’</w:t>
      </w:r>
      <w:r w:rsidRPr="009C1C49">
        <w:rPr>
          <w:sz w:val="24"/>
          <w:szCs w:val="24"/>
        </w:rPr>
        <w:t xml:space="preserve">s actions are not discriminatory.  </w:t>
      </w:r>
    </w:p>
    <w:p w:rsidR="000319B6" w:rsidRPr="009C1C49" w14:paraId="1EB76AA0" w14:textId="77777777">
      <w:pPr>
        <w:rPr>
          <w:sz w:val="24"/>
          <w:szCs w:val="24"/>
        </w:rPr>
      </w:pPr>
    </w:p>
    <w:p w:rsidR="000319B6" w:rsidRPr="009C1C49" w14:paraId="1EB76AA1" w14:textId="77777777">
      <w:pPr>
        <w:rPr>
          <w:sz w:val="24"/>
          <w:szCs w:val="24"/>
        </w:rPr>
      </w:pPr>
      <w:r w:rsidRPr="009C1C49">
        <w:rPr>
          <w:rFonts w:ascii="Times New Roman Bold"/>
          <w:sz w:val="24"/>
          <w:szCs w:val="24"/>
        </w:rPr>
        <w:t>47 CFR Section 76.1003(f</w:t>
      </w:r>
      <w:r w:rsidRPr="009C1C49">
        <w:rPr>
          <w:sz w:val="24"/>
          <w:szCs w:val="24"/>
        </w:rPr>
        <w:t>) provides that, within fifteen (15) days after service of an answer, unless otherwise directed by the Commission, the complainant</w:t>
      </w:r>
      <w:r w:rsidRPr="009C1C49">
        <w:rPr>
          <w:sz w:val="24"/>
          <w:szCs w:val="24"/>
        </w:rPr>
        <w:t xml:space="preserve"> may file and serve a reply which shall be responsive to matters contained in the answer and shall not contain new matters. </w:t>
      </w:r>
    </w:p>
    <w:p w:rsidR="000319B6" w:rsidRPr="009C1C49" w14:paraId="1EB76AA2" w14:textId="77777777">
      <w:pPr>
        <w:rPr>
          <w:sz w:val="24"/>
          <w:szCs w:val="24"/>
        </w:rPr>
      </w:pPr>
    </w:p>
    <w:p w:rsidR="000319B6" w:rsidRPr="009C1C49" w14:paraId="1EB76AA3" w14:textId="77777777">
      <w:pPr>
        <w:rPr>
          <w:sz w:val="24"/>
          <w:szCs w:val="24"/>
        </w:rPr>
      </w:pPr>
      <w:r w:rsidRPr="009C1C49">
        <w:rPr>
          <w:rFonts w:ascii="Times New Roman Bold"/>
          <w:sz w:val="24"/>
          <w:szCs w:val="24"/>
        </w:rPr>
        <w:t xml:space="preserve">47 CFR Section 76.1003(g) </w:t>
      </w:r>
      <w:r w:rsidRPr="009C1C49">
        <w:rPr>
          <w:sz w:val="24"/>
          <w:szCs w:val="24"/>
        </w:rPr>
        <w:t>states that any complaint filed pursuant to this subsection must be filed within one year</w:t>
      </w:r>
      <w:r>
        <w:rPr>
          <w:sz w:val="24"/>
          <w:szCs w:val="24"/>
          <w:vertAlign w:val="superscript"/>
        </w:rPr>
        <w:footnoteReference w:id="9"/>
      </w:r>
      <w:r w:rsidRPr="009C1C49">
        <w:rPr>
          <w:sz w:val="24"/>
          <w:szCs w:val="24"/>
        </w:rPr>
        <w:t xml:space="preserve"> of the date </w:t>
      </w:r>
      <w:r w:rsidRPr="009C1C49">
        <w:rPr>
          <w:sz w:val="24"/>
          <w:szCs w:val="24"/>
        </w:rPr>
        <w:t xml:space="preserve">on which one of three specified events occurs. </w:t>
      </w:r>
    </w:p>
    <w:p w:rsidR="000319B6" w:rsidRPr="009C1C49" w14:paraId="1EB76AA4" w14:textId="77777777">
      <w:pPr>
        <w:rPr>
          <w:sz w:val="24"/>
          <w:szCs w:val="24"/>
        </w:rPr>
      </w:pPr>
    </w:p>
    <w:p w:rsidR="000319B6" w:rsidRPr="009C1C49" w14:paraId="1EB76AA5" w14:textId="77777777">
      <w:pPr>
        <w:rPr>
          <w:sz w:val="24"/>
          <w:szCs w:val="24"/>
        </w:rPr>
      </w:pPr>
      <w:r w:rsidRPr="009C1C49">
        <w:rPr>
          <w:rFonts w:ascii="Times New Roman Bold"/>
          <w:sz w:val="24"/>
          <w:szCs w:val="24"/>
        </w:rPr>
        <w:t>47 CFR Section 76.1003(h)</w:t>
      </w:r>
      <w:r>
        <w:rPr>
          <w:sz w:val="24"/>
          <w:szCs w:val="24"/>
          <w:vertAlign w:val="superscript"/>
        </w:rPr>
        <w:footnoteReference w:id="10"/>
      </w:r>
      <w:r w:rsidRPr="009C1C49">
        <w:rPr>
          <w:sz w:val="24"/>
          <w:szCs w:val="24"/>
        </w:rPr>
        <w:t xml:space="preserve"> sets forth the remedies that are available for violations of the program access rules, which include the imposition of damages, and/or the establishment of prices, terms, and cond</w:t>
      </w:r>
      <w:r w:rsidRPr="009C1C49">
        <w:rPr>
          <w:sz w:val="24"/>
          <w:szCs w:val="24"/>
        </w:rPr>
        <w:t xml:space="preserve">itions for the sale of programming to the aggrieved multichannel video programming distributor, as well as sanctions available under title V or any other provision of the Communications Act.  </w:t>
      </w:r>
    </w:p>
    <w:p w:rsidR="000319B6" w:rsidRPr="009C1C49" w14:paraId="1EB76AA6" w14:textId="77777777">
      <w:pPr>
        <w:rPr>
          <w:sz w:val="24"/>
          <w:szCs w:val="24"/>
        </w:rPr>
      </w:pPr>
    </w:p>
    <w:p w:rsidR="000319B6" w:rsidRPr="009C1C49" w14:paraId="1EB76AA7" w14:textId="77777777">
      <w:pPr>
        <w:rPr>
          <w:sz w:val="24"/>
          <w:szCs w:val="24"/>
        </w:rPr>
      </w:pPr>
      <w:r w:rsidRPr="009C1C49">
        <w:rPr>
          <w:rFonts w:ascii="Times New Roman Bold"/>
          <w:sz w:val="24"/>
          <w:szCs w:val="24"/>
        </w:rPr>
        <w:t>47 CFR Section 76.1003(j</w:t>
      </w:r>
      <w:r w:rsidRPr="009C1C49">
        <w:rPr>
          <w:sz w:val="24"/>
          <w:szCs w:val="24"/>
        </w:rPr>
        <w:t xml:space="preserve">) states in addition to the general pleading and discovery rules contained in </w:t>
      </w:r>
      <w:r w:rsidRPr="009C1C49">
        <w:rPr>
          <w:rFonts w:ascii="Arial Unicode MS"/>
          <w:sz w:val="24"/>
          <w:szCs w:val="24"/>
        </w:rPr>
        <w:t>§</w:t>
      </w:r>
      <w:r w:rsidRPr="009C1C49">
        <w:rPr>
          <w:rFonts w:ascii="Arial Unicode MS"/>
          <w:sz w:val="24"/>
          <w:szCs w:val="24"/>
        </w:rPr>
        <w:t xml:space="preserve"> </w:t>
      </w:r>
      <w:r w:rsidRPr="009C1C49">
        <w:rPr>
          <w:sz w:val="24"/>
          <w:szCs w:val="24"/>
        </w:rPr>
        <w:t>76.7 of this part, parties to a program access complaint may serve requests for discovery directly on opposing parties, and file a copy of the request with the Commission.  The</w:t>
      </w:r>
      <w:r w:rsidRPr="009C1C49">
        <w:rPr>
          <w:sz w:val="24"/>
          <w:szCs w:val="24"/>
        </w:rPr>
        <w:t xml:space="preserve"> respondent shall have the opportunity to object to any request for documents that are not in its control or relevant to the dispute.  Such request shall be heard, and determination made, by the Commission.  Until the objection is ruled upon, the obligatio</w:t>
      </w:r>
      <w:r w:rsidRPr="009C1C49">
        <w:rPr>
          <w:sz w:val="24"/>
          <w:szCs w:val="24"/>
        </w:rPr>
        <w:t>n to produce the disputed material is suspended.  Any party who fails to timely provide discovery requested by the opposing party to which it has not raised an objection as described above, or who fails to respond to a Commission order for discovery materi</w:t>
      </w:r>
      <w:r w:rsidRPr="009C1C49">
        <w:rPr>
          <w:sz w:val="24"/>
          <w:szCs w:val="24"/>
        </w:rPr>
        <w:t xml:space="preserve">al, may be deemed in default and an order may be entered in accordance with the allegations contained in the complaint, or the complaint may be dismissed with prejudice. </w:t>
      </w:r>
    </w:p>
    <w:p w:rsidR="000319B6" w:rsidRPr="009C1C49" w14:paraId="1EB76AA8" w14:textId="77777777">
      <w:pPr>
        <w:rPr>
          <w:sz w:val="24"/>
          <w:szCs w:val="24"/>
        </w:rPr>
      </w:pPr>
    </w:p>
    <w:p w:rsidR="000319B6" w:rsidRPr="009C1C49" w14:paraId="1EB76AA9" w14:textId="77777777">
      <w:pPr>
        <w:rPr>
          <w:sz w:val="24"/>
          <w:szCs w:val="24"/>
        </w:rPr>
      </w:pPr>
      <w:r w:rsidRPr="009C1C49">
        <w:rPr>
          <w:rFonts w:ascii="Times New Roman Bold"/>
          <w:sz w:val="24"/>
          <w:szCs w:val="24"/>
        </w:rPr>
        <w:t>47 CFR Section 76.1003(l)</w:t>
      </w:r>
      <w:r w:rsidRPr="009C1C49">
        <w:rPr>
          <w:sz w:val="24"/>
          <w:szCs w:val="24"/>
        </w:rPr>
        <w:t xml:space="preserve"> permits a program access complainant seeking renewal of an</w:t>
      </w:r>
      <w:r w:rsidRPr="009C1C49">
        <w:rPr>
          <w:sz w:val="24"/>
          <w:szCs w:val="24"/>
        </w:rPr>
        <w:t xml:space="preserve"> existing programming contract to file a petition</w:t>
      </w:r>
      <w:r>
        <w:rPr>
          <w:sz w:val="24"/>
          <w:szCs w:val="24"/>
          <w:vertAlign w:val="superscript"/>
        </w:rPr>
        <w:footnoteReference w:id="11"/>
      </w:r>
      <w:r w:rsidRPr="009C1C49">
        <w:rPr>
          <w:sz w:val="24"/>
          <w:szCs w:val="24"/>
        </w:rPr>
        <w:t xml:space="preserve"> along with its complaint requesting a temporary standstill of the price, terms, and other conditions of the existing programming contract pending resolution of the complaint, to which the defendant will h</w:t>
      </w:r>
      <w:r w:rsidRPr="009C1C49">
        <w:rPr>
          <w:sz w:val="24"/>
          <w:szCs w:val="24"/>
        </w:rPr>
        <w:t>ave the opportunity to respond within 10 days of service of the petition, unless otherwise directed by the Commission.</w:t>
      </w:r>
    </w:p>
    <w:p w:rsidR="000319B6" w:rsidRPr="009C1C49" w14:paraId="1EB76AAA" w14:textId="77777777">
      <w:pPr>
        <w:rPr>
          <w:sz w:val="24"/>
          <w:szCs w:val="24"/>
        </w:rPr>
      </w:pPr>
    </w:p>
    <w:p w:rsidR="000319B6" w:rsidRPr="009C1C49" w14:paraId="1EB76AAB" w14:textId="0BCBAAF5">
      <w:pPr>
        <w:rPr>
          <w:sz w:val="24"/>
          <w:szCs w:val="24"/>
        </w:rPr>
      </w:pPr>
      <w:r w:rsidRPr="009C1C49">
        <w:rPr>
          <w:rFonts w:ascii="Times New Roman Bold"/>
          <w:sz w:val="24"/>
          <w:szCs w:val="24"/>
        </w:rPr>
        <w:t xml:space="preserve">47 CFR Section 76.1302(a) </w:t>
      </w:r>
      <w:r w:rsidRPr="009C1C49">
        <w:rPr>
          <w:sz w:val="24"/>
          <w:szCs w:val="24"/>
        </w:rPr>
        <w:t>states that any video programming vendor or multichannel video programming distributor aggrieved by conduct th</w:t>
      </w:r>
      <w:r w:rsidRPr="009C1C49">
        <w:rPr>
          <w:sz w:val="24"/>
          <w:szCs w:val="24"/>
        </w:rPr>
        <w:t xml:space="preserve">at it believes constitute a violation of the </w:t>
      </w:r>
      <w:r w:rsidR="00A511E3">
        <w:rPr>
          <w:sz w:val="24"/>
          <w:szCs w:val="24"/>
        </w:rPr>
        <w:t xml:space="preserve">program carriage rules </w:t>
      </w:r>
      <w:r w:rsidRPr="009C1C49">
        <w:rPr>
          <w:sz w:val="24"/>
          <w:szCs w:val="24"/>
        </w:rPr>
        <w:t xml:space="preserve">may commence an adjudicatory proceeding at the Commission to obtain enforcement of the rules through the filing of a complaint. </w:t>
      </w:r>
      <w:r w:rsidR="009D4DD2">
        <w:rPr>
          <w:sz w:val="24"/>
          <w:szCs w:val="24"/>
        </w:rPr>
        <w:t xml:space="preserve">The complaint shall be </w:t>
      </w:r>
      <w:r w:rsidRPr="009C1C49" w:rsidR="009D4DD2">
        <w:rPr>
          <w:sz w:val="24"/>
          <w:szCs w:val="24"/>
        </w:rPr>
        <w:t>filed and responded to in accordance with the procedures specified in Section 76.7, except to the extent such procedures are modified by Section 76.</w:t>
      </w:r>
      <w:r w:rsidR="009D4DD2">
        <w:rPr>
          <w:sz w:val="24"/>
          <w:szCs w:val="24"/>
        </w:rPr>
        <w:t>1302</w:t>
      </w:r>
      <w:r w:rsidRPr="009C1C49" w:rsidR="009D4DD2">
        <w:rPr>
          <w:sz w:val="24"/>
          <w:szCs w:val="24"/>
        </w:rPr>
        <w:t>.</w:t>
      </w:r>
    </w:p>
    <w:p w:rsidR="000319B6" w:rsidRPr="009C1C49" w14:paraId="1EB76AAC" w14:textId="77777777">
      <w:pPr>
        <w:rPr>
          <w:sz w:val="24"/>
          <w:szCs w:val="24"/>
        </w:rPr>
      </w:pPr>
    </w:p>
    <w:p w:rsidR="000319B6" w:rsidRPr="009C1C49" w14:paraId="1EB76AAD" w14:textId="1F6A3BB1">
      <w:pPr>
        <w:rPr>
          <w:sz w:val="24"/>
          <w:szCs w:val="24"/>
        </w:rPr>
      </w:pPr>
      <w:r w:rsidRPr="009C1C49">
        <w:rPr>
          <w:rFonts w:ascii="Times New Roman Bold"/>
          <w:sz w:val="24"/>
          <w:szCs w:val="24"/>
        </w:rPr>
        <w:t xml:space="preserve">47 CFR Section 76.1302(b) </w:t>
      </w:r>
      <w:r w:rsidRPr="009C1C49">
        <w:rPr>
          <w:sz w:val="24"/>
          <w:szCs w:val="24"/>
        </w:rPr>
        <w:t>states that any aggrieved video programming vendor or multichannel video programming distributor intending to fi</w:t>
      </w:r>
      <w:r w:rsidRPr="009C1C49">
        <w:rPr>
          <w:sz w:val="24"/>
          <w:szCs w:val="24"/>
        </w:rPr>
        <w:t xml:space="preserve">le a </w:t>
      </w:r>
      <w:r w:rsidR="00A511E3">
        <w:rPr>
          <w:sz w:val="24"/>
          <w:szCs w:val="24"/>
        </w:rPr>
        <w:t xml:space="preserve">program carriage </w:t>
      </w:r>
      <w:r w:rsidRPr="009C1C49">
        <w:rPr>
          <w:sz w:val="24"/>
          <w:szCs w:val="24"/>
        </w:rPr>
        <w:t>complaint must first notify the potential defendant multichannel video programming distributor that it intends to file a complaint with the Commission based on actions alleged to violate one or more of the provisions contained in Sect</w:t>
      </w:r>
      <w:r w:rsidRPr="009C1C49">
        <w:rPr>
          <w:sz w:val="24"/>
          <w:szCs w:val="24"/>
        </w:rPr>
        <w:t xml:space="preserve">ion </w:t>
      </w:r>
      <w:hyperlink r:id="rId8" w:history="1">
        <w:r w:rsidRPr="009C1C49">
          <w:rPr>
            <w:rStyle w:val="Hyperlink0"/>
          </w:rPr>
          <w:t>76.1301</w:t>
        </w:r>
      </w:hyperlink>
      <w:r w:rsidRPr="009C1C49">
        <w:rPr>
          <w:sz w:val="24"/>
          <w:szCs w:val="24"/>
        </w:rPr>
        <w:t xml:space="preserve"> of this part. The notice must be sufficiently detailed so that its recipient(s) can determine the specific nature of the potential complaint. The potential complainant must allow a minimum of ten (10) days for the potential defendant(s) to respond befo</w:t>
      </w:r>
      <w:r w:rsidRPr="009C1C49">
        <w:rPr>
          <w:sz w:val="24"/>
          <w:szCs w:val="24"/>
        </w:rPr>
        <w:t>re filing a complaint with the Commission.</w:t>
      </w:r>
    </w:p>
    <w:p w:rsidR="000319B6" w:rsidRPr="009C1C49" w14:paraId="1EB76AAE" w14:textId="77777777">
      <w:pPr>
        <w:rPr>
          <w:sz w:val="24"/>
          <w:szCs w:val="24"/>
        </w:rPr>
      </w:pPr>
    </w:p>
    <w:p w:rsidR="000319B6" w:rsidRPr="009C1C49" w14:paraId="1EB76AAF" w14:textId="63DAC745">
      <w:pPr>
        <w:rPr>
          <w:sz w:val="24"/>
          <w:szCs w:val="24"/>
        </w:rPr>
      </w:pPr>
      <w:r w:rsidRPr="009C1C49">
        <w:rPr>
          <w:rFonts w:ascii="Times New Roman Bold"/>
          <w:sz w:val="24"/>
          <w:szCs w:val="24"/>
        </w:rPr>
        <w:t>47 CFR Section 76.1302(c)</w:t>
      </w:r>
      <w:r w:rsidRPr="009C1C49">
        <w:rPr>
          <w:sz w:val="24"/>
          <w:szCs w:val="24"/>
        </w:rPr>
        <w:t xml:space="preserve"> specifies the content of carriage agreement complaints</w:t>
      </w:r>
      <w:r w:rsidR="00AA21BD">
        <w:rPr>
          <w:sz w:val="24"/>
          <w:szCs w:val="24"/>
        </w:rPr>
        <w:t xml:space="preserve">, in addition to the requirements of Section </w:t>
      </w:r>
      <w:r w:rsidR="00D749FD">
        <w:rPr>
          <w:sz w:val="24"/>
          <w:szCs w:val="24"/>
        </w:rPr>
        <w:t>76.7 of this part</w:t>
      </w:r>
      <w:r w:rsidRPr="009C1C49">
        <w:rPr>
          <w:sz w:val="24"/>
          <w:szCs w:val="24"/>
        </w:rPr>
        <w:t>.</w:t>
      </w:r>
      <w:r>
        <w:rPr>
          <w:sz w:val="24"/>
          <w:szCs w:val="24"/>
          <w:vertAlign w:val="superscript"/>
        </w:rPr>
        <w:footnoteReference w:id="12"/>
      </w:r>
      <w:r w:rsidRPr="009C1C49">
        <w:rPr>
          <w:sz w:val="24"/>
          <w:szCs w:val="24"/>
        </w:rPr>
        <w:t xml:space="preserve">  </w:t>
      </w:r>
    </w:p>
    <w:p w:rsidR="000319B6" w:rsidRPr="009C1C49" w14:paraId="1EB76AB0" w14:textId="77777777">
      <w:pPr>
        <w:rPr>
          <w:sz w:val="24"/>
          <w:szCs w:val="24"/>
        </w:rPr>
      </w:pPr>
    </w:p>
    <w:p w:rsidR="000319B6" w:rsidRPr="009C1C49" w14:paraId="1EB76AB1" w14:textId="77777777">
      <w:pPr>
        <w:rPr>
          <w:rFonts w:ascii="Times New Roman Bold" w:eastAsia="Times New Roman Bold" w:hAnsi="Times New Roman Bold" w:cs="Times New Roman Bold"/>
          <w:spacing w:val="-2"/>
          <w:sz w:val="24"/>
          <w:szCs w:val="24"/>
        </w:rPr>
      </w:pPr>
      <w:r w:rsidRPr="009C1C49">
        <w:rPr>
          <w:rFonts w:ascii="Times New Roman Bold"/>
          <w:sz w:val="24"/>
          <w:szCs w:val="24"/>
        </w:rPr>
        <w:t>47 CFR Section 76.1302</w:t>
      </w:r>
      <w:r w:rsidRPr="009C1C49">
        <w:rPr>
          <w:rFonts w:ascii="Times New Roman Bold"/>
          <w:spacing w:val="-2"/>
          <w:sz w:val="24"/>
          <w:szCs w:val="24"/>
        </w:rPr>
        <w:t xml:space="preserve">(c)(1) </w:t>
      </w:r>
      <w:r w:rsidRPr="009C1C49">
        <w:rPr>
          <w:spacing w:val="-2"/>
          <w:sz w:val="24"/>
          <w:szCs w:val="24"/>
        </w:rPr>
        <w:t xml:space="preserve">provides that a program carriage complaint filed pursuant to </w:t>
      </w:r>
      <w:r w:rsidRPr="009C1C49">
        <w:rPr>
          <w:rFonts w:ascii="Arial Unicode MS"/>
          <w:spacing w:val="-2"/>
          <w:sz w:val="24"/>
          <w:szCs w:val="24"/>
        </w:rPr>
        <w:t>§</w:t>
      </w:r>
      <w:r w:rsidRPr="009C1C49">
        <w:rPr>
          <w:rFonts w:ascii="Arial Unicode MS"/>
          <w:spacing w:val="-2"/>
          <w:sz w:val="24"/>
          <w:szCs w:val="24"/>
        </w:rPr>
        <w:t xml:space="preserve"> </w:t>
      </w:r>
      <w:r w:rsidRPr="009C1C49">
        <w:rPr>
          <w:spacing w:val="-2"/>
          <w:sz w:val="24"/>
          <w:szCs w:val="24"/>
        </w:rPr>
        <w:t>76.1302 must contain the following:  w</w:t>
      </w:r>
      <w:r w:rsidRPr="009C1C49">
        <w:rPr>
          <w:sz w:val="24"/>
          <w:szCs w:val="24"/>
        </w:rPr>
        <w:t>hether the complainant is a multichannel video programming distributor or video programming vendor</w:t>
      </w:r>
      <w:r w:rsidRPr="009C1C49">
        <w:rPr>
          <w:i/>
          <w:iCs/>
          <w:sz w:val="24"/>
          <w:szCs w:val="24"/>
        </w:rPr>
        <w:t xml:space="preserve">, </w:t>
      </w:r>
      <w:r w:rsidRPr="009C1C49">
        <w:rPr>
          <w:sz w:val="24"/>
          <w:szCs w:val="24"/>
        </w:rPr>
        <w:t>and, in the case of a multichannel video programming di</w:t>
      </w:r>
      <w:r w:rsidRPr="009C1C49">
        <w:rPr>
          <w:sz w:val="24"/>
          <w:szCs w:val="24"/>
        </w:rPr>
        <w:t>stributor, identify the type of multichannel video programming distributor, the address and telephone number of the complainant, what type of multichannel video programming distributor the defendant is, and the address and telephone number of each defendan</w:t>
      </w:r>
      <w:r w:rsidRPr="009C1C49">
        <w:rPr>
          <w:sz w:val="24"/>
          <w:szCs w:val="24"/>
        </w:rPr>
        <w:t>t.</w:t>
      </w:r>
      <w:r w:rsidRPr="009C1C49">
        <w:rPr>
          <w:rFonts w:ascii="Times New Roman Bold"/>
          <w:sz w:val="24"/>
          <w:szCs w:val="24"/>
        </w:rPr>
        <w:t xml:space="preserve">  </w:t>
      </w:r>
    </w:p>
    <w:p w:rsidR="000319B6" w:rsidRPr="009C1C49" w14:paraId="1EB76AB2" w14:textId="77777777">
      <w:pPr>
        <w:rPr>
          <w:spacing w:val="-2"/>
          <w:sz w:val="24"/>
          <w:szCs w:val="24"/>
        </w:rPr>
      </w:pPr>
    </w:p>
    <w:p w:rsidR="000319B6" w:rsidRPr="009C1C49" w14:paraId="1EB76AB3" w14:textId="77777777">
      <w:pPr>
        <w:rPr>
          <w:rFonts w:ascii="Times New Roman Bold" w:eastAsia="Times New Roman Bold" w:hAnsi="Times New Roman Bold" w:cs="Times New Roman Bold"/>
          <w:sz w:val="24"/>
          <w:szCs w:val="24"/>
          <w:u w:val="single"/>
        </w:rPr>
      </w:pPr>
      <w:r w:rsidRPr="009C1C49">
        <w:rPr>
          <w:rFonts w:ascii="Times New Roman Bold"/>
          <w:sz w:val="24"/>
          <w:szCs w:val="24"/>
        </w:rPr>
        <w:t>47 CFR Section 76.1302</w:t>
      </w:r>
      <w:r w:rsidRPr="009C1C49">
        <w:rPr>
          <w:rFonts w:ascii="Times New Roman Bold"/>
          <w:spacing w:val="-2"/>
          <w:sz w:val="24"/>
          <w:szCs w:val="24"/>
        </w:rPr>
        <w:t>(d)</w:t>
      </w:r>
      <w:r w:rsidRPr="009C1C49">
        <w:rPr>
          <w:rFonts w:ascii="Times New Roman Bold"/>
          <w:sz w:val="24"/>
          <w:szCs w:val="24"/>
        </w:rPr>
        <w:t xml:space="preserve"> </w:t>
      </w:r>
      <w:r w:rsidRPr="009C1C49">
        <w:rPr>
          <w:sz w:val="24"/>
          <w:szCs w:val="24"/>
        </w:rPr>
        <w:t>sets forth the evidence that</w:t>
      </w:r>
      <w:r w:rsidRPr="009C1C49">
        <w:rPr>
          <w:spacing w:val="-2"/>
          <w:sz w:val="24"/>
          <w:szCs w:val="24"/>
        </w:rPr>
        <w:t xml:space="preserve"> a program carriage complaint filed pursuant to </w:t>
      </w:r>
      <w:r w:rsidRPr="009C1C49">
        <w:rPr>
          <w:rFonts w:ascii="Arial Unicode MS"/>
          <w:spacing w:val="-2"/>
          <w:sz w:val="24"/>
          <w:szCs w:val="24"/>
        </w:rPr>
        <w:t>§</w:t>
      </w:r>
      <w:r w:rsidRPr="009C1C49">
        <w:rPr>
          <w:rFonts w:ascii="Arial Unicode MS"/>
          <w:spacing w:val="-2"/>
          <w:sz w:val="24"/>
          <w:szCs w:val="24"/>
        </w:rPr>
        <w:t xml:space="preserve"> </w:t>
      </w:r>
      <w:r w:rsidRPr="009C1C49">
        <w:rPr>
          <w:spacing w:val="-2"/>
          <w:sz w:val="24"/>
          <w:szCs w:val="24"/>
        </w:rPr>
        <w:t>76.1302 must contain i</w:t>
      </w:r>
      <w:r w:rsidRPr="009C1C49">
        <w:rPr>
          <w:sz w:val="24"/>
          <w:szCs w:val="24"/>
        </w:rPr>
        <w:t xml:space="preserve">n order to establish a </w:t>
      </w:r>
      <w:r w:rsidRPr="009C1C49">
        <w:rPr>
          <w:i/>
          <w:iCs/>
          <w:sz w:val="24"/>
          <w:szCs w:val="24"/>
        </w:rPr>
        <w:t xml:space="preserve">prima facie </w:t>
      </w:r>
      <w:r w:rsidRPr="009C1C49">
        <w:rPr>
          <w:sz w:val="24"/>
          <w:szCs w:val="24"/>
        </w:rPr>
        <w:t xml:space="preserve">case of a violation of </w:t>
      </w:r>
      <w:r w:rsidRPr="009C1C49">
        <w:rPr>
          <w:rFonts w:ascii="Arial Unicode MS"/>
          <w:sz w:val="24"/>
          <w:szCs w:val="24"/>
        </w:rPr>
        <w:t>§</w:t>
      </w:r>
      <w:r w:rsidRPr="009C1C49">
        <w:rPr>
          <w:rFonts w:ascii="Arial Unicode MS"/>
          <w:sz w:val="24"/>
          <w:szCs w:val="24"/>
        </w:rPr>
        <w:t xml:space="preserve"> </w:t>
      </w:r>
      <w:r w:rsidRPr="009C1C49">
        <w:rPr>
          <w:sz w:val="24"/>
          <w:szCs w:val="24"/>
        </w:rPr>
        <w:t>76.1301.</w:t>
      </w:r>
      <w:r w:rsidRPr="009C1C49">
        <w:rPr>
          <w:rFonts w:ascii="Times New Roman Bold"/>
          <w:sz w:val="24"/>
          <w:szCs w:val="24"/>
        </w:rPr>
        <w:t xml:space="preserve">  </w:t>
      </w:r>
    </w:p>
    <w:p w:rsidR="000319B6" w:rsidRPr="009C1C49" w14:paraId="1EB76AB4" w14:textId="77777777">
      <w:pPr>
        <w:rPr>
          <w:sz w:val="24"/>
          <w:szCs w:val="24"/>
        </w:rPr>
      </w:pPr>
    </w:p>
    <w:p w:rsidR="000319B6" w:rsidRPr="009C1C49" w14:paraId="1EB76AB5" w14:textId="4980C21A">
      <w:pPr>
        <w:rPr>
          <w:rFonts w:ascii="Times New Roman Bold" w:eastAsia="Times New Roman Bold" w:hAnsi="Times New Roman Bold" w:cs="Times New Roman Bold"/>
          <w:spacing w:val="-2"/>
          <w:sz w:val="24"/>
          <w:szCs w:val="24"/>
        </w:rPr>
      </w:pPr>
      <w:r w:rsidRPr="009C1C49">
        <w:rPr>
          <w:rFonts w:ascii="Times New Roman Bold"/>
          <w:sz w:val="24"/>
          <w:szCs w:val="24"/>
        </w:rPr>
        <w:t>47 CFR Section 76.1302</w:t>
      </w:r>
      <w:r w:rsidRPr="009C1C49">
        <w:rPr>
          <w:rFonts w:ascii="Times New Roman Bold"/>
          <w:spacing w:val="-2"/>
          <w:sz w:val="24"/>
          <w:szCs w:val="24"/>
        </w:rPr>
        <w:t xml:space="preserve">(e)(1) </w:t>
      </w:r>
      <w:r w:rsidRPr="009C1C49">
        <w:rPr>
          <w:spacing w:val="-2"/>
          <w:sz w:val="24"/>
          <w:szCs w:val="24"/>
        </w:rPr>
        <w:t>provides that a multich</w:t>
      </w:r>
      <w:r w:rsidRPr="009C1C49">
        <w:rPr>
          <w:spacing w:val="-2"/>
          <w:sz w:val="24"/>
          <w:szCs w:val="24"/>
        </w:rPr>
        <w:t>annel video programming distributor upon wh</w:t>
      </w:r>
      <w:r w:rsidR="00A511E3">
        <w:rPr>
          <w:spacing w:val="-2"/>
          <w:sz w:val="24"/>
          <w:szCs w:val="24"/>
        </w:rPr>
        <w:t>ich</w:t>
      </w:r>
      <w:r w:rsidRPr="009C1C49">
        <w:rPr>
          <w:spacing w:val="-2"/>
          <w:sz w:val="24"/>
          <w:szCs w:val="24"/>
        </w:rPr>
        <w:t xml:space="preserve"> a program carriage complaint filed pursuant to </w:t>
      </w:r>
      <w:r w:rsidRPr="009C1C49">
        <w:rPr>
          <w:rFonts w:ascii="Arial Unicode MS"/>
          <w:spacing w:val="-2"/>
          <w:sz w:val="24"/>
          <w:szCs w:val="24"/>
        </w:rPr>
        <w:t>§</w:t>
      </w:r>
      <w:r w:rsidRPr="009C1C49">
        <w:rPr>
          <w:rFonts w:ascii="Arial Unicode MS"/>
          <w:spacing w:val="-2"/>
          <w:sz w:val="24"/>
          <w:szCs w:val="24"/>
        </w:rPr>
        <w:t xml:space="preserve"> </w:t>
      </w:r>
      <w:r w:rsidRPr="009C1C49">
        <w:rPr>
          <w:spacing w:val="-2"/>
          <w:sz w:val="24"/>
          <w:szCs w:val="24"/>
        </w:rPr>
        <w:t xml:space="preserve">76.1302 is served </w:t>
      </w:r>
      <w:r w:rsidRPr="009C1C49">
        <w:rPr>
          <w:sz w:val="24"/>
          <w:szCs w:val="24"/>
        </w:rPr>
        <w:t xml:space="preserve">shall </w:t>
      </w:r>
      <w:r w:rsidRPr="009C1C49">
        <w:rPr>
          <w:sz w:val="24"/>
          <w:szCs w:val="24"/>
        </w:rPr>
        <w:t>answer within sixty (60) days of service of the complaint, unless otherwise directed by the Commission.</w:t>
      </w:r>
      <w:r w:rsidRPr="009C1C49">
        <w:rPr>
          <w:rFonts w:ascii="Times New Roman Bold"/>
          <w:sz w:val="24"/>
          <w:szCs w:val="24"/>
        </w:rPr>
        <w:t xml:space="preserve"> </w:t>
      </w:r>
    </w:p>
    <w:p w:rsidR="000319B6" w:rsidRPr="009C1C49" w14:paraId="1EB76AB6" w14:textId="77777777">
      <w:pPr>
        <w:rPr>
          <w:rFonts w:ascii="Times New Roman Bold" w:eastAsia="Times New Roman Bold" w:hAnsi="Times New Roman Bold" w:cs="Times New Roman Bold"/>
          <w:sz w:val="24"/>
          <w:szCs w:val="24"/>
        </w:rPr>
      </w:pPr>
    </w:p>
    <w:p w:rsidR="000319B6" w:rsidRPr="009C1C49" w14:paraId="1EB76AB7" w14:textId="77777777">
      <w:pPr>
        <w:rPr>
          <w:sz w:val="24"/>
          <w:szCs w:val="24"/>
        </w:rPr>
      </w:pPr>
      <w:r w:rsidRPr="009C1C49">
        <w:rPr>
          <w:rFonts w:ascii="Times New Roman Bold"/>
          <w:sz w:val="24"/>
          <w:szCs w:val="24"/>
        </w:rPr>
        <w:t xml:space="preserve">47 CFR Section </w:t>
      </w:r>
      <w:r w:rsidRPr="009C1C49">
        <w:rPr>
          <w:rFonts w:ascii="Times New Roman Bold"/>
          <w:sz w:val="24"/>
          <w:szCs w:val="24"/>
        </w:rPr>
        <w:t>76.1302(e)(2)</w:t>
      </w:r>
      <w:r w:rsidRPr="009C1C49">
        <w:rPr>
          <w:sz w:val="24"/>
          <w:szCs w:val="24"/>
        </w:rPr>
        <w:t xml:space="preserve"> states that an answer to a program carriage complaint shall address the relief requested in the complaint, including legal and documentary support, for such response, and may include an alternative relief proposal without any prejudice to any</w:t>
      </w:r>
      <w:r w:rsidRPr="009C1C49">
        <w:rPr>
          <w:sz w:val="24"/>
          <w:szCs w:val="24"/>
        </w:rPr>
        <w:t xml:space="preserve"> denials or defenses raised. </w:t>
      </w:r>
    </w:p>
    <w:p w:rsidR="000319B6" w:rsidRPr="009C1C49" w14:paraId="1EB76AB8" w14:textId="77777777">
      <w:pPr>
        <w:rPr>
          <w:sz w:val="24"/>
          <w:szCs w:val="24"/>
        </w:rPr>
      </w:pPr>
    </w:p>
    <w:p w:rsidR="000319B6" w:rsidRPr="009C1C49" w14:paraId="1EB76AB9" w14:textId="77777777">
      <w:pPr>
        <w:rPr>
          <w:sz w:val="24"/>
          <w:szCs w:val="24"/>
        </w:rPr>
      </w:pPr>
      <w:r w:rsidRPr="009C1C49">
        <w:rPr>
          <w:rFonts w:ascii="Times New Roman Bold"/>
          <w:sz w:val="24"/>
          <w:szCs w:val="24"/>
        </w:rPr>
        <w:t>47 CFR Section 76.1302(f)</w:t>
      </w:r>
      <w:r w:rsidRPr="009C1C49">
        <w:rPr>
          <w:sz w:val="24"/>
          <w:szCs w:val="24"/>
        </w:rPr>
        <w:t xml:space="preserve"> states that within twenty (20) days after service of an answer, unless otherwise directed by the Commission, the complainant may file and serve a reply which shall be responsive to matters contained </w:t>
      </w:r>
      <w:r w:rsidRPr="009C1C49">
        <w:rPr>
          <w:sz w:val="24"/>
          <w:szCs w:val="24"/>
        </w:rPr>
        <w:t>in the answer and shall not contain new matters.</w:t>
      </w:r>
    </w:p>
    <w:p w:rsidR="000319B6" w:rsidRPr="009C1C49" w14:paraId="1EB76ABA" w14:textId="77777777">
      <w:pPr>
        <w:rPr>
          <w:sz w:val="24"/>
          <w:szCs w:val="24"/>
        </w:rPr>
      </w:pPr>
    </w:p>
    <w:p w:rsidR="000319B6" w:rsidRPr="009C1C49" w14:paraId="1EB76ABB" w14:textId="77777777">
      <w:pPr>
        <w:rPr>
          <w:sz w:val="24"/>
          <w:szCs w:val="24"/>
        </w:rPr>
      </w:pPr>
      <w:r w:rsidRPr="009C1C49">
        <w:rPr>
          <w:rFonts w:ascii="Times New Roman Bold"/>
          <w:sz w:val="24"/>
          <w:szCs w:val="24"/>
        </w:rPr>
        <w:t>47 CFR Section 76.1302(h)</w:t>
      </w:r>
      <w:r w:rsidRPr="009C1C49">
        <w:rPr>
          <w:sz w:val="24"/>
          <w:szCs w:val="24"/>
        </w:rPr>
        <w:t xml:space="preserve"> states that any complaint filed pursuant to this subsection must be filed within one year of the date on which one of three events occurs.</w:t>
      </w:r>
      <w:r>
        <w:rPr>
          <w:sz w:val="24"/>
          <w:szCs w:val="24"/>
          <w:vertAlign w:val="superscript"/>
        </w:rPr>
        <w:footnoteReference w:id="13"/>
      </w:r>
    </w:p>
    <w:p w:rsidR="000319B6" w:rsidRPr="009C1C49" w14:paraId="1EB76ABC" w14:textId="77777777">
      <w:pPr>
        <w:rPr>
          <w:sz w:val="24"/>
          <w:szCs w:val="24"/>
        </w:rPr>
      </w:pPr>
    </w:p>
    <w:p w:rsidR="000319B6" w:rsidRPr="009C1C49" w14:paraId="1EB76ABD" w14:textId="58C69301">
      <w:pPr>
        <w:spacing w:before="100" w:after="240"/>
        <w:rPr>
          <w:sz w:val="24"/>
          <w:szCs w:val="24"/>
        </w:rPr>
      </w:pPr>
      <w:r w:rsidRPr="009C1C49">
        <w:rPr>
          <w:rFonts w:ascii="Times New Roman Bold"/>
          <w:sz w:val="24"/>
          <w:szCs w:val="24"/>
        </w:rPr>
        <w:t>47 CFR Section 76.1302(j)(1)</w:t>
      </w:r>
      <w:r w:rsidRPr="009C1C49">
        <w:rPr>
          <w:sz w:val="24"/>
          <w:szCs w:val="24"/>
        </w:rPr>
        <w:t xml:space="preserve"> states th</w:t>
      </w:r>
      <w:r w:rsidRPr="009C1C49">
        <w:rPr>
          <w:sz w:val="24"/>
          <w:szCs w:val="24"/>
        </w:rPr>
        <w:t>at upon completion of such adjudicatory proceeding, the Commission shall order appropriate remedies, including, if necessary, mandatory carriage of a video programming vendor's programming on defendant's video distribution system, or the establishment of p</w:t>
      </w:r>
      <w:r w:rsidRPr="009C1C49">
        <w:rPr>
          <w:sz w:val="24"/>
          <w:szCs w:val="24"/>
        </w:rPr>
        <w:t xml:space="preserve">rices, terms, and conditions for the carriage of a video programming vendor's programming. </w:t>
      </w:r>
    </w:p>
    <w:p w:rsidR="000319B6" w:rsidRPr="009C1C49" w14:paraId="1EB76ABE" w14:textId="77777777">
      <w:pPr>
        <w:rPr>
          <w:sz w:val="24"/>
          <w:szCs w:val="24"/>
        </w:rPr>
      </w:pPr>
      <w:r w:rsidRPr="009C1C49">
        <w:rPr>
          <w:rFonts w:ascii="Times New Roman Bold"/>
          <w:sz w:val="24"/>
          <w:szCs w:val="24"/>
        </w:rPr>
        <w:t>47 CFR Section 76.1302</w:t>
      </w:r>
      <w:r w:rsidRPr="009C1C49">
        <w:rPr>
          <w:rFonts w:ascii="Times New Roman Bold"/>
          <w:spacing w:val="-2"/>
          <w:sz w:val="24"/>
          <w:szCs w:val="24"/>
        </w:rPr>
        <w:t>(k)</w:t>
      </w:r>
      <w:r w:rsidRPr="009C1C49">
        <w:rPr>
          <w:sz w:val="24"/>
          <w:szCs w:val="24"/>
        </w:rPr>
        <w:t xml:space="preserve"> permits a program carriage complainant seeking renewal of an existing programming contract to file a petition</w:t>
      </w:r>
      <w:r>
        <w:rPr>
          <w:sz w:val="24"/>
          <w:szCs w:val="24"/>
          <w:vertAlign w:val="superscript"/>
        </w:rPr>
        <w:footnoteReference w:id="14"/>
      </w:r>
      <w:r w:rsidRPr="009C1C49">
        <w:rPr>
          <w:sz w:val="24"/>
          <w:szCs w:val="24"/>
        </w:rPr>
        <w:t xml:space="preserve"> along with its complaint r</w:t>
      </w:r>
      <w:r w:rsidRPr="009C1C49">
        <w:rPr>
          <w:sz w:val="24"/>
          <w:szCs w:val="24"/>
        </w:rPr>
        <w:t xml:space="preserve">equesting a temporary standstill of the price, terms, and other conditions of the existing programming contract pending resolution of the complaint, to which the defendant will </w:t>
      </w:r>
      <w:r w:rsidRPr="009C1C49">
        <w:rPr>
          <w:sz w:val="24"/>
          <w:szCs w:val="24"/>
        </w:rPr>
        <w:t>have the opportunity to respond within 10 days of service of the petition, unle</w:t>
      </w:r>
      <w:r w:rsidRPr="009C1C49">
        <w:rPr>
          <w:sz w:val="24"/>
          <w:szCs w:val="24"/>
        </w:rPr>
        <w:t>ss otherwise directed by the Commission.  To allow for sufficient time to consider the petition for temporary standstill prior to the expiration of the existing programming contract, the petition for temporary standstill and complaint shall be filed no lat</w:t>
      </w:r>
      <w:r w:rsidRPr="009C1C49">
        <w:rPr>
          <w:sz w:val="24"/>
          <w:szCs w:val="24"/>
        </w:rPr>
        <w:t xml:space="preserve">er than thirty (30) days prior to the expiration of the existing programming contract.  </w:t>
      </w:r>
    </w:p>
    <w:p w:rsidR="000319B6" w:rsidRPr="009C1C49" w14:paraId="1EB76ABF" w14:textId="77777777">
      <w:pPr>
        <w:rPr>
          <w:sz w:val="24"/>
          <w:szCs w:val="24"/>
        </w:rPr>
      </w:pPr>
    </w:p>
    <w:p w:rsidR="002D355C" w:rsidRPr="009C1C49" w14:paraId="544E29F2" w14:textId="03AEB276">
      <w:pPr>
        <w:rPr>
          <w:sz w:val="24"/>
          <w:szCs w:val="24"/>
        </w:rPr>
      </w:pPr>
      <w:r w:rsidRPr="009C1C49">
        <w:rPr>
          <w:sz w:val="24"/>
          <w:szCs w:val="24"/>
        </w:rPr>
        <w:t>The following Part 1 rules relate to 47 CFR Section 76.1302:</w:t>
      </w:r>
    </w:p>
    <w:p w:rsidR="002D355C" w:rsidRPr="009C1C49" w14:paraId="63DF2C2D" w14:textId="77777777">
      <w:pPr>
        <w:rPr>
          <w:sz w:val="24"/>
          <w:szCs w:val="24"/>
        </w:rPr>
      </w:pPr>
    </w:p>
    <w:p w:rsidR="002D355C" w:rsidRPr="009C1C49" w:rsidP="00CB09BE" w14:paraId="0A5407BC" w14:textId="6BA34040">
      <w:pPr>
        <w:ind w:left="720"/>
        <w:rPr>
          <w:rFonts w:ascii="Times New Roman Bold" w:eastAsia="Times New Roman Bold" w:hAnsi="Times New Roman Bold" w:cs="Times New Roman Bold"/>
          <w:sz w:val="24"/>
          <w:szCs w:val="24"/>
        </w:rPr>
      </w:pPr>
      <w:r w:rsidRPr="009C1C49">
        <w:rPr>
          <w:rFonts w:ascii="Times New Roman Bold"/>
          <w:sz w:val="24"/>
          <w:szCs w:val="24"/>
        </w:rPr>
        <w:t>47 CFR Section 1.221(</w:t>
      </w:r>
      <w:r w:rsidR="00F14DBF">
        <w:rPr>
          <w:rFonts w:ascii="Times New Roman Bold"/>
          <w:sz w:val="24"/>
          <w:szCs w:val="24"/>
        </w:rPr>
        <w:t>f</w:t>
      </w:r>
      <w:r w:rsidRPr="009C1C49">
        <w:rPr>
          <w:rFonts w:ascii="Times New Roman Bold"/>
          <w:sz w:val="24"/>
          <w:szCs w:val="24"/>
        </w:rPr>
        <w:t xml:space="preserve">) </w:t>
      </w:r>
      <w:r w:rsidRPr="009C1C49">
        <w:rPr>
          <w:sz w:val="24"/>
          <w:szCs w:val="24"/>
        </w:rPr>
        <w:t xml:space="preserve">requires that, in a program carriage complaint proceeding filed pursuant to </w:t>
      </w:r>
      <w:r w:rsidRPr="009C1C49">
        <w:rPr>
          <w:rFonts w:ascii="Arial Unicode MS"/>
          <w:sz w:val="24"/>
          <w:szCs w:val="24"/>
        </w:rPr>
        <w:t>§</w:t>
      </w:r>
      <w:r w:rsidRPr="009C1C49">
        <w:rPr>
          <w:rFonts w:ascii="Arial Unicode MS"/>
          <w:sz w:val="24"/>
          <w:szCs w:val="24"/>
        </w:rPr>
        <w:t xml:space="preserve"> </w:t>
      </w:r>
      <w:r w:rsidRPr="009C1C49">
        <w:rPr>
          <w:sz w:val="24"/>
          <w:szCs w:val="24"/>
        </w:rPr>
        <w:t>76.1302 that the Chief, Media Bureau refers to an administrative law judge for an initial decision, each party, in person or by attorney, shall file a written appearance within f</w:t>
      </w:r>
      <w:r w:rsidRPr="009C1C49">
        <w:rPr>
          <w:sz w:val="24"/>
          <w:szCs w:val="24"/>
        </w:rPr>
        <w:t xml:space="preserve">ive calendar days after the party informs the Chief Administrative Law Judge that it elects not to pursue alternative dispute resolution pursuant to </w:t>
      </w:r>
      <w:r w:rsidRPr="009C1C49">
        <w:rPr>
          <w:rFonts w:ascii="Arial Unicode MS"/>
          <w:sz w:val="24"/>
          <w:szCs w:val="24"/>
        </w:rPr>
        <w:t>§</w:t>
      </w:r>
      <w:r w:rsidRPr="009C1C49">
        <w:rPr>
          <w:rFonts w:ascii="Arial Unicode MS"/>
          <w:sz w:val="24"/>
          <w:szCs w:val="24"/>
        </w:rPr>
        <w:t xml:space="preserve"> </w:t>
      </w:r>
      <w:r w:rsidRPr="009C1C49">
        <w:rPr>
          <w:sz w:val="24"/>
          <w:szCs w:val="24"/>
        </w:rPr>
        <w:t xml:space="preserve">76.7(g)(2) or, if the parties have mutually elected to pursue alternative dispute resolution pursuant to </w:t>
      </w:r>
      <w:r w:rsidRPr="009C1C49">
        <w:rPr>
          <w:rFonts w:ascii="Arial Unicode MS"/>
          <w:sz w:val="24"/>
          <w:szCs w:val="24"/>
        </w:rPr>
        <w:t>§</w:t>
      </w:r>
      <w:r w:rsidRPr="009C1C49">
        <w:rPr>
          <w:rFonts w:ascii="Arial Unicode MS"/>
          <w:sz w:val="24"/>
          <w:szCs w:val="24"/>
        </w:rPr>
        <w:t xml:space="preserve"> </w:t>
      </w:r>
      <w:r w:rsidRPr="009C1C49">
        <w:rPr>
          <w:sz w:val="24"/>
          <w:szCs w:val="24"/>
        </w:rPr>
        <w:t>76.7(g)(2), within five calendar days after the parties inform the Chief Administrative Law Judge that they have failed to resolve their dispute through alternative dispute resolution.  The written appearance shall state that the party will appear on the</w:t>
      </w:r>
      <w:r w:rsidRPr="009C1C49">
        <w:rPr>
          <w:sz w:val="24"/>
          <w:szCs w:val="24"/>
        </w:rPr>
        <w:t xml:space="preserve"> date fixed for hearing and present evidence on the issues specified in the hearing designation order.  </w:t>
      </w:r>
    </w:p>
    <w:p w:rsidR="002D355C" w:rsidRPr="009C1C49" w:rsidP="00CB09BE" w14:paraId="54B97CD4" w14:textId="77777777">
      <w:pPr>
        <w:ind w:left="720"/>
        <w:rPr>
          <w:sz w:val="24"/>
          <w:szCs w:val="24"/>
        </w:rPr>
      </w:pPr>
    </w:p>
    <w:p w:rsidR="002D355C" w:rsidRPr="009C1C49" w:rsidP="00CB09BE" w14:paraId="6AF6C06F" w14:textId="70E4CB29">
      <w:pPr>
        <w:ind w:left="720"/>
        <w:rPr>
          <w:sz w:val="24"/>
          <w:szCs w:val="24"/>
        </w:rPr>
      </w:pPr>
      <w:r w:rsidRPr="009C1C49">
        <w:rPr>
          <w:rFonts w:ascii="Times New Roman Bold"/>
          <w:sz w:val="24"/>
          <w:szCs w:val="24"/>
        </w:rPr>
        <w:t>47 CFR Section 1.229(b)(</w:t>
      </w:r>
      <w:r w:rsidR="00F14DBF">
        <w:rPr>
          <w:rFonts w:ascii="Times New Roman Bold"/>
          <w:sz w:val="24"/>
          <w:szCs w:val="24"/>
        </w:rPr>
        <w:t>1</w:t>
      </w:r>
      <w:r w:rsidRPr="009C1C49">
        <w:rPr>
          <w:rFonts w:ascii="Times New Roman Bold"/>
          <w:sz w:val="24"/>
          <w:szCs w:val="24"/>
        </w:rPr>
        <w:t xml:space="preserve">) </w:t>
      </w:r>
      <w:r w:rsidRPr="009C1C49">
        <w:rPr>
          <w:sz w:val="24"/>
          <w:szCs w:val="24"/>
        </w:rPr>
        <w:t xml:space="preserve">requires that, in a program carriage complaint proceeding filed pursuant to </w:t>
      </w:r>
      <w:r w:rsidRPr="009C1C49">
        <w:rPr>
          <w:rFonts w:ascii="Arial Unicode MS"/>
          <w:sz w:val="24"/>
          <w:szCs w:val="24"/>
        </w:rPr>
        <w:t>§</w:t>
      </w:r>
      <w:r w:rsidRPr="009C1C49">
        <w:rPr>
          <w:rFonts w:ascii="Arial Unicode MS"/>
          <w:sz w:val="24"/>
          <w:szCs w:val="24"/>
        </w:rPr>
        <w:t xml:space="preserve"> </w:t>
      </w:r>
      <w:r w:rsidRPr="009C1C49">
        <w:rPr>
          <w:sz w:val="24"/>
          <w:szCs w:val="24"/>
        </w:rPr>
        <w:t>76.1302 that the Chief, Media Bureau refers t</w:t>
      </w:r>
      <w:r w:rsidRPr="009C1C49">
        <w:rPr>
          <w:sz w:val="24"/>
          <w:szCs w:val="24"/>
        </w:rPr>
        <w:t xml:space="preserve">o an administrative law judge for an initial decision, a motion to enlarge, change, or delete issues shall be filed within 15 calendar days after the deadline for submitting written appearances pursuant to </w:t>
      </w:r>
      <w:r w:rsidRPr="009C1C49">
        <w:rPr>
          <w:rFonts w:ascii="Arial Unicode MS"/>
          <w:sz w:val="24"/>
          <w:szCs w:val="24"/>
        </w:rPr>
        <w:t>§</w:t>
      </w:r>
      <w:r w:rsidRPr="009C1C49">
        <w:rPr>
          <w:rFonts w:ascii="Arial Unicode MS"/>
          <w:sz w:val="24"/>
          <w:szCs w:val="24"/>
        </w:rPr>
        <w:t xml:space="preserve"> </w:t>
      </w:r>
      <w:r w:rsidRPr="009C1C49">
        <w:rPr>
          <w:sz w:val="24"/>
          <w:szCs w:val="24"/>
        </w:rPr>
        <w:t>1.221(h), except that persons not named as parti</w:t>
      </w:r>
      <w:r w:rsidRPr="009C1C49">
        <w:rPr>
          <w:sz w:val="24"/>
          <w:szCs w:val="24"/>
        </w:rPr>
        <w:t>es to the proceeding in the designation order may file such motions with their petitions to intervene up to 30 days after publication of the full text or a summary of the designation order in the Federal Register.</w:t>
      </w:r>
      <w:r w:rsidRPr="009C1C49">
        <w:rPr>
          <w:rFonts w:ascii="Times New Roman Bold"/>
          <w:sz w:val="24"/>
          <w:szCs w:val="24"/>
        </w:rPr>
        <w:t xml:space="preserve">  </w:t>
      </w:r>
    </w:p>
    <w:p w:rsidR="002D355C" w:rsidRPr="009C1C49" w:rsidP="00CB09BE" w14:paraId="17413FFD" w14:textId="77777777">
      <w:pPr>
        <w:ind w:left="720"/>
        <w:rPr>
          <w:sz w:val="24"/>
          <w:szCs w:val="24"/>
        </w:rPr>
      </w:pPr>
    </w:p>
    <w:p w:rsidR="002D355C" w:rsidRPr="009C1C49" w:rsidP="00CB09BE" w14:paraId="3D40827C" w14:textId="7CB2E64F">
      <w:pPr>
        <w:ind w:left="720"/>
        <w:rPr>
          <w:rFonts w:ascii="Times New Roman Bold" w:eastAsia="Times New Roman Bold" w:hAnsi="Times New Roman Bold" w:cs="Times New Roman Bold"/>
          <w:sz w:val="24"/>
          <w:szCs w:val="24"/>
        </w:rPr>
      </w:pPr>
      <w:r w:rsidRPr="009C1C49">
        <w:rPr>
          <w:rFonts w:ascii="Times New Roman Bold"/>
          <w:sz w:val="24"/>
          <w:szCs w:val="24"/>
        </w:rPr>
        <w:t>47 CFR Section 1.229(b)(</w:t>
      </w:r>
      <w:r w:rsidR="0098023C">
        <w:rPr>
          <w:rFonts w:ascii="Times New Roman Bold"/>
          <w:sz w:val="24"/>
          <w:szCs w:val="24"/>
        </w:rPr>
        <w:t>2</w:t>
      </w:r>
      <w:r w:rsidRPr="009C1C49">
        <w:rPr>
          <w:rFonts w:ascii="Times New Roman Bold"/>
          <w:sz w:val="24"/>
          <w:szCs w:val="24"/>
        </w:rPr>
        <w:t>)</w:t>
      </w:r>
      <w:r w:rsidRPr="009C1C49">
        <w:rPr>
          <w:sz w:val="24"/>
          <w:szCs w:val="24"/>
        </w:rPr>
        <w:t xml:space="preserve"> provides tha</w:t>
      </w:r>
      <w:r w:rsidRPr="009C1C49">
        <w:rPr>
          <w:sz w:val="24"/>
          <w:szCs w:val="24"/>
        </w:rPr>
        <w:t xml:space="preserve">t any person desiring to file a motion to modify the issues after the expiration of periods specified in paragraphs (a) </w:t>
      </w:r>
      <w:r w:rsidR="00087FC5">
        <w:rPr>
          <w:sz w:val="24"/>
          <w:szCs w:val="24"/>
        </w:rPr>
        <w:t xml:space="preserve">and </w:t>
      </w:r>
      <w:r w:rsidRPr="009C1C49">
        <w:rPr>
          <w:sz w:val="24"/>
          <w:szCs w:val="24"/>
        </w:rPr>
        <w:t xml:space="preserve">(b)(1) of 47 CFR </w:t>
      </w:r>
      <w:r w:rsidRPr="009C1C49">
        <w:rPr>
          <w:rFonts w:ascii="Arial Unicode MS"/>
          <w:sz w:val="24"/>
          <w:szCs w:val="24"/>
        </w:rPr>
        <w:t>§</w:t>
      </w:r>
      <w:r w:rsidRPr="009C1C49">
        <w:rPr>
          <w:rFonts w:ascii="Arial Unicode MS"/>
          <w:sz w:val="24"/>
          <w:szCs w:val="24"/>
        </w:rPr>
        <w:t xml:space="preserve"> </w:t>
      </w:r>
      <w:r w:rsidRPr="009C1C49">
        <w:rPr>
          <w:sz w:val="24"/>
          <w:szCs w:val="24"/>
        </w:rPr>
        <w:t>1.229, shall set forth the reason why it was not possible to file the motion within the prescribed period.</w:t>
      </w:r>
      <w:r w:rsidRPr="009C1C49">
        <w:rPr>
          <w:rFonts w:ascii="Times New Roman Bold"/>
          <w:sz w:val="24"/>
          <w:szCs w:val="24"/>
        </w:rPr>
        <w:t xml:space="preserve">  </w:t>
      </w:r>
    </w:p>
    <w:p w:rsidR="002D355C" w:rsidRPr="009C1C49" w:rsidP="00CB09BE" w14:paraId="6EDAA403" w14:textId="77777777">
      <w:pPr>
        <w:ind w:left="720"/>
        <w:rPr>
          <w:sz w:val="24"/>
          <w:szCs w:val="24"/>
        </w:rPr>
      </w:pPr>
    </w:p>
    <w:p w:rsidR="002D355C" w:rsidRPr="009C1C49" w:rsidP="00CB09BE" w14:paraId="54D3068B" w14:textId="157B8B9C">
      <w:pPr>
        <w:ind w:left="720"/>
        <w:rPr>
          <w:sz w:val="24"/>
          <w:szCs w:val="24"/>
        </w:rPr>
      </w:pPr>
      <w:r w:rsidRPr="009C1C49">
        <w:rPr>
          <w:rFonts w:ascii="Times New Roman Bold"/>
          <w:sz w:val="24"/>
          <w:szCs w:val="24"/>
        </w:rPr>
        <w:t xml:space="preserve">47 </w:t>
      </w:r>
      <w:r w:rsidRPr="009C1C49">
        <w:rPr>
          <w:rFonts w:ascii="Times New Roman Bold"/>
          <w:sz w:val="24"/>
          <w:szCs w:val="24"/>
        </w:rPr>
        <w:t>CFR Section 1.248(a)</w:t>
      </w:r>
      <w:r w:rsidRPr="009C1C49">
        <w:rPr>
          <w:sz w:val="24"/>
          <w:szCs w:val="24"/>
        </w:rPr>
        <w:t xml:space="preserve"> provides that the</w:t>
      </w:r>
      <w:r w:rsidR="00855B07">
        <w:rPr>
          <w:sz w:val="24"/>
          <w:szCs w:val="24"/>
        </w:rPr>
        <w:t xml:space="preserve"> </w:t>
      </w:r>
      <w:bookmarkStart w:id="0" w:name="_Hlk138403934"/>
      <w:r w:rsidRPr="00855B07" w:rsidR="00855B07">
        <w:t xml:space="preserve">presiding officer may </w:t>
      </w:r>
      <w:r w:rsidRPr="00855B07" w:rsidR="00855B07">
        <w:rPr>
          <w:color w:val="333333"/>
          <w:shd w:val="clear" w:color="auto" w:fill="FFFFFF"/>
        </w:rPr>
        <w:t xml:space="preserve">direct the parties or their attorneys to appear at a specified time and place for a status conference during the course of a hearing proceeding, or to submit suggestions in writing, for the purpose of considering, among other things, the matters specified in </w:t>
      </w:r>
      <w:r w:rsidRPr="00855B07" w:rsidR="00855B07">
        <w:t xml:space="preserve">§ 1.248(c). </w:t>
      </w:r>
      <w:r w:rsidRPr="00855B07" w:rsidR="00855B07">
        <w:rPr>
          <w:color w:val="333333"/>
          <w:shd w:val="clear" w:color="auto" w:fill="FFFFFF"/>
        </w:rPr>
        <w:t>Any party may request a status conference at any time after release of the order designating a matter for hearing. During a status conference, the presiding officer may issue rulings regarding matters relevant to the conduct of the hearing proceeding including procedural matters, discovery, and the submission of briefs or evidentiary materials.</w:t>
      </w:r>
      <w:bookmarkEnd w:id="0"/>
      <w:r w:rsidRPr="00855B07" w:rsidR="00855B07">
        <w:rPr>
          <w:color w:val="333333"/>
          <w:shd w:val="clear" w:color="auto" w:fill="FFFFFF"/>
        </w:rPr>
        <w:t xml:space="preserve"> </w:t>
      </w:r>
    </w:p>
    <w:p w:rsidR="002D355C" w:rsidRPr="009C1C49" w:rsidP="00CB09BE" w14:paraId="3EAEDB49" w14:textId="77777777">
      <w:pPr>
        <w:ind w:left="720"/>
        <w:rPr>
          <w:sz w:val="24"/>
          <w:szCs w:val="24"/>
        </w:rPr>
      </w:pPr>
    </w:p>
    <w:p w:rsidR="002D355C" w:rsidRPr="009C1C49" w:rsidP="00CB09BE" w14:paraId="551F62B9" w14:textId="65085792">
      <w:pPr>
        <w:ind w:left="720"/>
        <w:rPr>
          <w:rFonts w:ascii="Times New Roman Bold" w:eastAsia="Times New Roman Bold" w:hAnsi="Times New Roman Bold" w:cs="Times New Roman Bold"/>
          <w:sz w:val="24"/>
          <w:szCs w:val="24"/>
        </w:rPr>
      </w:pPr>
      <w:r w:rsidRPr="009C1C49">
        <w:rPr>
          <w:rFonts w:ascii="Times New Roman Bold"/>
          <w:sz w:val="24"/>
          <w:szCs w:val="24"/>
        </w:rPr>
        <w:t>47 CFR Section 1.248(b)</w:t>
      </w:r>
      <w:r w:rsidRPr="009C1C49">
        <w:rPr>
          <w:sz w:val="24"/>
          <w:szCs w:val="24"/>
        </w:rPr>
        <w:t xml:space="preserve"> provides that the presiding officer shall </w:t>
      </w:r>
      <w:r w:rsidR="00855B07">
        <w:rPr>
          <w:sz w:val="24"/>
          <w:szCs w:val="24"/>
        </w:rPr>
        <w:t xml:space="preserve"> </w:t>
      </w:r>
      <w:bookmarkStart w:id="1" w:name="_Hlk138403997"/>
      <w:r w:rsidRPr="003E526E" w:rsidR="00855B07">
        <w:rPr>
          <w:color w:val="333333"/>
          <w:shd w:val="clear" w:color="auto" w:fill="FFFFFF"/>
        </w:rPr>
        <w:t>schedule an initial status conference promptly after written appearances have been submitted under </w:t>
      </w:r>
      <w:hyperlink r:id="rId9" w:history="1">
        <w:r w:rsidRPr="003E526E" w:rsidR="00855B07">
          <w:rPr>
            <w:rStyle w:val="Hyperlink"/>
            <w:color w:val="001C72"/>
            <w:shd w:val="clear" w:color="auto" w:fill="FFFFFF"/>
          </w:rPr>
          <w:t>§ 1.91</w:t>
        </w:r>
      </w:hyperlink>
      <w:r w:rsidRPr="003E526E" w:rsidR="00855B07">
        <w:rPr>
          <w:color w:val="333333"/>
          <w:shd w:val="clear" w:color="auto" w:fill="FFFFFF"/>
        </w:rPr>
        <w:t> or </w:t>
      </w:r>
      <w:hyperlink r:id="rId10" w:history="1">
        <w:r w:rsidRPr="003E526E" w:rsidR="00855B07">
          <w:rPr>
            <w:rStyle w:val="Hyperlink"/>
            <w:color w:val="001C72"/>
            <w:shd w:val="clear" w:color="auto" w:fill="FFFFFF"/>
          </w:rPr>
          <w:t>§ 1.221</w:t>
        </w:r>
      </w:hyperlink>
      <w:r w:rsidRPr="003E526E">
        <w:t>.</w:t>
      </w:r>
      <w:r w:rsidRPr="003E526E" w:rsidR="00855B07">
        <w:t xml:space="preserve">  </w:t>
      </w:r>
      <w:r w:rsidRPr="003E526E" w:rsidR="003E526E">
        <w:rPr>
          <w:color w:val="333333"/>
          <w:shd w:val="clear" w:color="auto" w:fill="FFFFFF"/>
        </w:rPr>
        <w:t>At or promptly after the initial status conference, the presiding officer shall adopt a schedule to govern the hearing proceeding. If the </w:t>
      </w:r>
      <w:hyperlink r:id="rId11" w:history="1">
        <w:r w:rsidRPr="003E526E" w:rsidR="003E526E">
          <w:rPr>
            <w:rStyle w:val="Hyperlink"/>
            <w:color w:val="001C72"/>
            <w:shd w:val="clear" w:color="auto" w:fill="FFFFFF"/>
          </w:rPr>
          <w:t>Commission</w:t>
        </w:r>
      </w:hyperlink>
      <w:r w:rsidRPr="003E526E" w:rsidR="003E526E">
        <w:rPr>
          <w:color w:val="333333"/>
          <w:shd w:val="clear" w:color="auto" w:fill="FFFFFF"/>
        </w:rPr>
        <w:t> designated a matter for hearing on a written record under </w:t>
      </w:r>
      <w:hyperlink r:id="rId12" w:history="1">
        <w:r w:rsidRPr="003E526E" w:rsidR="003E526E">
          <w:rPr>
            <w:rStyle w:val="Hyperlink"/>
            <w:color w:val="001C72"/>
            <w:shd w:val="clear" w:color="auto" w:fill="FFFFFF"/>
          </w:rPr>
          <w:t>§§ 1.370</w:t>
        </w:r>
      </w:hyperlink>
      <w:r w:rsidRPr="003E526E" w:rsidR="003E526E">
        <w:rPr>
          <w:color w:val="333333"/>
          <w:shd w:val="clear" w:color="auto" w:fill="FFFFFF"/>
        </w:rPr>
        <w:t> through 1.376, the scheduling order shall include a deadline for filing a motion to request an oral hearing in accordance with </w:t>
      </w:r>
      <w:hyperlink r:id="rId13" w:history="1">
        <w:r w:rsidRPr="003E526E" w:rsidR="003E526E">
          <w:rPr>
            <w:rStyle w:val="Hyperlink"/>
            <w:color w:val="001C72"/>
            <w:shd w:val="clear" w:color="auto" w:fill="FFFFFF"/>
          </w:rPr>
          <w:t>§ 1.376</w:t>
        </w:r>
      </w:hyperlink>
      <w:r w:rsidRPr="003E526E" w:rsidR="003E526E">
        <w:rPr>
          <w:color w:val="333333"/>
          <w:shd w:val="clear" w:color="auto" w:fill="FFFFFF"/>
        </w:rPr>
        <w:t>. If the </w:t>
      </w:r>
      <w:hyperlink r:id="rId11" w:history="1">
        <w:r w:rsidRPr="003E526E" w:rsidR="003E526E">
          <w:rPr>
            <w:rStyle w:val="Hyperlink"/>
            <w:color w:val="001C72"/>
            <w:shd w:val="clear" w:color="auto" w:fill="FFFFFF"/>
          </w:rPr>
          <w:t>Commission</w:t>
        </w:r>
      </w:hyperlink>
      <w:r w:rsidRPr="003E526E" w:rsidR="003E526E">
        <w:rPr>
          <w:color w:val="333333"/>
          <w:shd w:val="clear" w:color="auto" w:fill="FFFFFF"/>
        </w:rPr>
        <w:t> did not designate the matter for hearing on a written record, the scheduling order shall include a deadline for filing a motion to conduct the hearing on a written record.</w:t>
      </w:r>
      <w:bookmarkEnd w:id="1"/>
    </w:p>
    <w:p w:rsidR="002D355C" w:rsidRPr="009C1C49" w14:paraId="1A60258D" w14:textId="77777777">
      <w:pPr>
        <w:rPr>
          <w:rFonts w:ascii="Times New Roman Bold"/>
          <w:sz w:val="24"/>
          <w:szCs w:val="24"/>
        </w:rPr>
      </w:pPr>
    </w:p>
    <w:p w:rsidR="000319B6" w:rsidRPr="009C1C49" w14:paraId="1EB76AC0" w14:textId="4354DB3D">
      <w:pPr>
        <w:rPr>
          <w:sz w:val="24"/>
          <w:szCs w:val="24"/>
        </w:rPr>
      </w:pPr>
      <w:r w:rsidRPr="009C1C49">
        <w:rPr>
          <w:rFonts w:ascii="Times New Roman Bold"/>
          <w:sz w:val="24"/>
          <w:szCs w:val="24"/>
        </w:rPr>
        <w:t>47 CFR Section 76.1513(a)</w:t>
      </w:r>
      <w:r w:rsidRPr="009C1C49">
        <w:rPr>
          <w:sz w:val="24"/>
          <w:szCs w:val="24"/>
        </w:rPr>
        <w:t xml:space="preserve"> permits any party aggrieved by conduct that it believes constitute a violation of the FCC</w:t>
      </w:r>
      <w:r w:rsidRPr="009C1C49">
        <w:rPr>
          <w:rFonts w:ascii="Arial Unicode MS"/>
          <w:sz w:val="24"/>
          <w:szCs w:val="24"/>
        </w:rPr>
        <w:t>’</w:t>
      </w:r>
      <w:r w:rsidRPr="009C1C49">
        <w:rPr>
          <w:sz w:val="24"/>
          <w:szCs w:val="24"/>
        </w:rPr>
        <w:t xml:space="preserve">s regulations </w:t>
      </w:r>
      <w:r w:rsidR="009506C4">
        <w:rPr>
          <w:sz w:val="24"/>
          <w:szCs w:val="24"/>
        </w:rPr>
        <w:t xml:space="preserve">governing open video systems </w:t>
      </w:r>
      <w:r w:rsidRPr="009C1C49">
        <w:rPr>
          <w:sz w:val="24"/>
          <w:szCs w:val="24"/>
        </w:rPr>
        <w:t xml:space="preserve">or in section 653 of the Communications Act (47 U.S.C. </w:t>
      </w:r>
      <w:r w:rsidRPr="009C1C49">
        <w:rPr>
          <w:rFonts w:ascii="Arial Unicode MS"/>
          <w:sz w:val="24"/>
          <w:szCs w:val="24"/>
        </w:rPr>
        <w:t>§</w:t>
      </w:r>
      <w:r w:rsidRPr="009C1C49">
        <w:rPr>
          <w:rFonts w:ascii="Arial Unicode MS"/>
          <w:sz w:val="24"/>
          <w:szCs w:val="24"/>
        </w:rPr>
        <w:t xml:space="preserve"> </w:t>
      </w:r>
      <w:r w:rsidRPr="009C1C49">
        <w:rPr>
          <w:sz w:val="24"/>
          <w:szCs w:val="24"/>
        </w:rPr>
        <w:t xml:space="preserve">573) to commence an adjudicatory proceeding at the Commission to </w:t>
      </w:r>
      <w:r w:rsidRPr="009C1C49">
        <w:rPr>
          <w:sz w:val="24"/>
          <w:szCs w:val="24"/>
        </w:rPr>
        <w:t xml:space="preserve">obtain enforcement of the rules through the filing of a complaint, which must be filed and responded to in accordance with the procedures specified in Section 76.7, except to the extent such procedures are modified by Section 76.1513.  </w:t>
      </w:r>
    </w:p>
    <w:p w:rsidR="000319B6" w:rsidRPr="009C1C49" w14:paraId="1EB76AC1" w14:textId="77777777">
      <w:pPr>
        <w:rPr>
          <w:sz w:val="24"/>
          <w:szCs w:val="24"/>
        </w:rPr>
      </w:pPr>
    </w:p>
    <w:p w:rsidR="000319B6" w:rsidRPr="009C1C49" w14:paraId="1EB76AC2" w14:textId="77777777">
      <w:pPr>
        <w:rPr>
          <w:sz w:val="24"/>
          <w:szCs w:val="24"/>
        </w:rPr>
      </w:pPr>
      <w:r w:rsidRPr="009C1C49">
        <w:rPr>
          <w:rFonts w:ascii="Times New Roman Bold"/>
          <w:sz w:val="24"/>
          <w:szCs w:val="24"/>
        </w:rPr>
        <w:t>47 CFR Section 76.</w:t>
      </w:r>
      <w:r w:rsidRPr="009C1C49">
        <w:rPr>
          <w:rFonts w:ascii="Times New Roman Bold"/>
          <w:sz w:val="24"/>
          <w:szCs w:val="24"/>
        </w:rPr>
        <w:t>1513(b)</w:t>
      </w:r>
      <w:r w:rsidRPr="009C1C49">
        <w:rPr>
          <w:sz w:val="24"/>
          <w:szCs w:val="24"/>
        </w:rPr>
        <w:t xml:space="preserve"> provides that an open video system operator may not provide in its carriage contracts with programming providers that any dispute must be submitted to arbitration, mediation, or any other alternative method for dispute resolution prior to submissio</w:t>
      </w:r>
      <w:r w:rsidRPr="009C1C49">
        <w:rPr>
          <w:sz w:val="24"/>
          <w:szCs w:val="24"/>
        </w:rPr>
        <w:t>n of a complaint to the Commission.</w:t>
      </w:r>
    </w:p>
    <w:p w:rsidR="000319B6" w:rsidRPr="009C1C49" w14:paraId="1EB76AC3" w14:textId="77777777">
      <w:pPr>
        <w:rPr>
          <w:sz w:val="24"/>
          <w:szCs w:val="24"/>
        </w:rPr>
      </w:pPr>
    </w:p>
    <w:p w:rsidR="000319B6" w:rsidRPr="009C1C49" w14:paraId="1EB76AC4" w14:textId="77777777">
      <w:pPr>
        <w:rPr>
          <w:sz w:val="24"/>
          <w:szCs w:val="24"/>
        </w:rPr>
      </w:pPr>
      <w:r w:rsidRPr="009C1C49">
        <w:rPr>
          <w:rFonts w:ascii="Times New Roman Bold"/>
          <w:sz w:val="24"/>
          <w:szCs w:val="24"/>
        </w:rPr>
        <w:t>47 CFR Section 76.1513(c)</w:t>
      </w:r>
      <w:r w:rsidRPr="009C1C49">
        <w:rPr>
          <w:sz w:val="24"/>
          <w:szCs w:val="24"/>
        </w:rPr>
        <w:t xml:space="preserve"> requires that any aggrieved party intending to file a complaint under this section must first notify the potential defendant open video system operator that it intends to file a complaint with </w:t>
      </w:r>
      <w:r w:rsidRPr="009C1C49">
        <w:rPr>
          <w:sz w:val="24"/>
          <w:szCs w:val="24"/>
        </w:rPr>
        <w:t xml:space="preserve">the Commission based on actions alleged to violate one or more of the provisions contained in this part or in Section 653 of the Communications Act. The notice must be in writing and must be sufficiently detailed so that its recipient(s) can determine the </w:t>
      </w:r>
      <w:r w:rsidRPr="009C1C49">
        <w:rPr>
          <w:sz w:val="24"/>
          <w:szCs w:val="24"/>
        </w:rPr>
        <w:t>specific nature of the potential complaint. The potential complainant must allow a minimum of ten (10) days for the potential defendant(s) to respond before filing a complaint with the Commission.</w:t>
      </w:r>
    </w:p>
    <w:p w:rsidR="000319B6" w:rsidRPr="009C1C49" w14:paraId="1EB76AC5" w14:textId="77777777">
      <w:pPr>
        <w:rPr>
          <w:sz w:val="24"/>
          <w:szCs w:val="24"/>
        </w:rPr>
      </w:pPr>
    </w:p>
    <w:p w:rsidR="000319B6" w:rsidRPr="009C1C49" w14:paraId="1EB76AC6" w14:textId="5BB0DEE9">
      <w:pPr>
        <w:rPr>
          <w:sz w:val="24"/>
          <w:szCs w:val="24"/>
        </w:rPr>
      </w:pPr>
      <w:r w:rsidRPr="009C1C49">
        <w:rPr>
          <w:rFonts w:ascii="Times New Roman Bold"/>
          <w:sz w:val="24"/>
          <w:szCs w:val="24"/>
        </w:rPr>
        <w:t>47 CFR Section 76.1513(d)</w:t>
      </w:r>
      <w:r w:rsidRPr="009C1C49">
        <w:rPr>
          <w:sz w:val="24"/>
          <w:szCs w:val="24"/>
        </w:rPr>
        <w:t xml:space="preserve"> describes the contents of an ope</w:t>
      </w:r>
      <w:r w:rsidRPr="009C1C49">
        <w:rPr>
          <w:sz w:val="24"/>
          <w:szCs w:val="24"/>
        </w:rPr>
        <w:t>n video system complaint.</w:t>
      </w:r>
      <w:r>
        <w:rPr>
          <w:sz w:val="24"/>
          <w:szCs w:val="24"/>
          <w:vertAlign w:val="superscript"/>
        </w:rPr>
        <w:footnoteReference w:id="15"/>
      </w:r>
    </w:p>
    <w:p w:rsidR="000319B6" w:rsidRPr="009C1C49" w14:paraId="1EB76AC7" w14:textId="77777777">
      <w:pPr>
        <w:rPr>
          <w:sz w:val="24"/>
          <w:szCs w:val="24"/>
        </w:rPr>
      </w:pPr>
    </w:p>
    <w:p w:rsidR="000319B6" w:rsidRPr="009C1C49" w14:paraId="1EB76AC8" w14:textId="4D332AA4">
      <w:pPr>
        <w:rPr>
          <w:sz w:val="24"/>
          <w:szCs w:val="24"/>
        </w:rPr>
      </w:pPr>
      <w:r w:rsidRPr="009C1C49">
        <w:rPr>
          <w:rFonts w:ascii="Times New Roman Bold"/>
          <w:sz w:val="24"/>
          <w:szCs w:val="24"/>
        </w:rPr>
        <w:t>47 CFR Section 76.1513(e)</w:t>
      </w:r>
      <w:r w:rsidRPr="009C1C49">
        <w:rPr>
          <w:sz w:val="24"/>
          <w:szCs w:val="24"/>
        </w:rPr>
        <w:t xml:space="preserve"> </w:t>
      </w:r>
      <w:bookmarkStart w:id="2" w:name="_Hlk138404709"/>
      <w:r w:rsidRPr="009506C4" w:rsidR="009506C4">
        <w:rPr>
          <w:color w:val="333333"/>
          <w:shd w:val="clear" w:color="auto" w:fill="FFFFFF"/>
        </w:rPr>
        <w:t>states that an </w:t>
      </w:r>
      <w:hyperlink r:id="rId14" w:history="1">
        <w:r w:rsidRPr="009506C4" w:rsidR="009506C4">
          <w:rPr>
            <w:rStyle w:val="Hyperlink"/>
            <w:color w:val="001C72"/>
            <w:shd w:val="clear" w:color="auto" w:fill="FFFFFF"/>
          </w:rPr>
          <w:t>open video system operator</w:t>
        </w:r>
      </w:hyperlink>
      <w:r w:rsidRPr="009506C4" w:rsidR="009506C4">
        <w:rPr>
          <w:color w:val="333333"/>
          <w:shd w:val="clear" w:color="auto" w:fill="FFFFFF"/>
        </w:rPr>
        <w:t> upon which a </w:t>
      </w:r>
      <w:hyperlink r:id="rId15" w:history="1">
        <w:r w:rsidRPr="009506C4" w:rsidR="009506C4">
          <w:rPr>
            <w:rStyle w:val="Hyperlink"/>
            <w:color w:val="001C72"/>
            <w:shd w:val="clear" w:color="auto" w:fill="FFFFFF"/>
          </w:rPr>
          <w:t>complaint</w:t>
        </w:r>
      </w:hyperlink>
      <w:r w:rsidRPr="009506C4" w:rsidR="009506C4">
        <w:rPr>
          <w:color w:val="333333"/>
          <w:shd w:val="clear" w:color="auto" w:fill="FFFFFF"/>
        </w:rPr>
        <w:t> is served under this section shall answer within thirty (30) days of service of the </w:t>
      </w:r>
      <w:hyperlink r:id="rId15" w:history="1">
        <w:r w:rsidRPr="009506C4" w:rsidR="009506C4">
          <w:rPr>
            <w:rStyle w:val="Hyperlink"/>
            <w:color w:val="001C72"/>
            <w:shd w:val="clear" w:color="auto" w:fill="FFFFFF"/>
          </w:rPr>
          <w:t>complaint</w:t>
        </w:r>
      </w:hyperlink>
      <w:r w:rsidRPr="009506C4" w:rsidR="009506C4">
        <w:t xml:space="preserve"> and specifies the </w:t>
      </w:r>
      <w:r w:rsidR="009506C4">
        <w:t xml:space="preserve">requirements for such </w:t>
      </w:r>
      <w:bookmarkEnd w:id="2"/>
      <w:r w:rsidRPr="009738B5">
        <w:t>answer</w:t>
      </w:r>
      <w:r w:rsidRPr="009738B5">
        <w:t>s.</w:t>
      </w:r>
      <w:r>
        <w:rPr>
          <w:vertAlign w:val="superscript"/>
        </w:rPr>
        <w:footnoteReference w:id="16"/>
      </w:r>
    </w:p>
    <w:p w:rsidR="000319B6" w:rsidRPr="009C1C49" w14:paraId="1EB76AC9" w14:textId="77777777">
      <w:pPr>
        <w:rPr>
          <w:sz w:val="24"/>
          <w:szCs w:val="24"/>
        </w:rPr>
      </w:pPr>
    </w:p>
    <w:p w:rsidR="000319B6" w:rsidRPr="009C1C49" w:rsidP="0077453A" w14:paraId="1EB76ACA" w14:textId="77777777">
      <w:pPr>
        <w:rPr>
          <w:sz w:val="24"/>
          <w:szCs w:val="24"/>
        </w:rPr>
      </w:pPr>
      <w:r w:rsidRPr="009C1C49">
        <w:rPr>
          <w:rFonts w:ascii="Times New Roman Bold"/>
          <w:sz w:val="24"/>
          <w:szCs w:val="24"/>
        </w:rPr>
        <w:t>47 CFR Section 76.1513(f)</w:t>
      </w:r>
      <w:r w:rsidRPr="009C1C49">
        <w:rPr>
          <w:sz w:val="24"/>
          <w:szCs w:val="24"/>
        </w:rPr>
        <w:t xml:space="preserve"> states within twenty (20) days after service of an answer, the complainant may file and serve a reply which shall be responsive to matters contained in the answer and shall not contain new matters.</w:t>
      </w:r>
    </w:p>
    <w:p w:rsidR="000319B6" w:rsidRPr="009C1C49" w14:paraId="1EB76ACB" w14:textId="77777777">
      <w:pPr>
        <w:rPr>
          <w:sz w:val="24"/>
          <w:szCs w:val="24"/>
        </w:rPr>
      </w:pPr>
    </w:p>
    <w:p w:rsidR="000319B6" w:rsidRPr="009C1C49" w14:paraId="1EB76ACC" w14:textId="77777777">
      <w:pPr>
        <w:rPr>
          <w:sz w:val="24"/>
          <w:szCs w:val="24"/>
        </w:rPr>
      </w:pPr>
      <w:r w:rsidRPr="009C1C49">
        <w:rPr>
          <w:rFonts w:ascii="Times New Roman Bold"/>
          <w:sz w:val="24"/>
          <w:szCs w:val="24"/>
        </w:rPr>
        <w:t>47 CFR Section 76.1513(g)</w:t>
      </w:r>
      <w:r w:rsidRPr="009C1C49">
        <w:rPr>
          <w:sz w:val="24"/>
          <w:szCs w:val="24"/>
        </w:rPr>
        <w:t xml:space="preserve"> requires that any complaint fi</w:t>
      </w:r>
      <w:r w:rsidRPr="009C1C49">
        <w:rPr>
          <w:sz w:val="24"/>
          <w:szCs w:val="24"/>
        </w:rPr>
        <w:t>led pursuant to this subsection must be filed within one year of the date on which one of three events occurs.</w:t>
      </w:r>
      <w:r>
        <w:rPr>
          <w:sz w:val="24"/>
          <w:szCs w:val="24"/>
          <w:vertAlign w:val="superscript"/>
        </w:rPr>
        <w:footnoteReference w:id="17"/>
      </w:r>
    </w:p>
    <w:p w:rsidR="000319B6" w:rsidRPr="009C1C49" w:rsidP="0077453A" w14:paraId="1EB76ACD" w14:textId="77777777">
      <w:pPr>
        <w:rPr>
          <w:sz w:val="24"/>
          <w:szCs w:val="24"/>
        </w:rPr>
      </w:pPr>
    </w:p>
    <w:p w:rsidR="000319B6" w:rsidRPr="009C1C49" w:rsidP="00CB09BE" w14:paraId="1EB76ACE" w14:textId="3EF7BC15">
      <w:pPr>
        <w:rPr>
          <w:sz w:val="24"/>
          <w:szCs w:val="24"/>
        </w:rPr>
      </w:pPr>
      <w:r w:rsidRPr="009C1C49">
        <w:rPr>
          <w:rFonts w:ascii="Times New Roman Bold"/>
          <w:sz w:val="24"/>
          <w:szCs w:val="24"/>
        </w:rPr>
        <w:t>47 CFR Section 76.1513(h)</w:t>
      </w:r>
      <w:r w:rsidRPr="009C1C49">
        <w:rPr>
          <w:sz w:val="24"/>
          <w:szCs w:val="24"/>
        </w:rPr>
        <w:t xml:space="preserve"> states that upon completion of the adjudicatory proceeding, the Commission shall order appropriate remedies, including, if necessary, requiring carriage, awarding damages to any person denied carriage, or any combination of such sanctions. Such order shal</w:t>
      </w:r>
      <w:r w:rsidRPr="009C1C49">
        <w:rPr>
          <w:sz w:val="24"/>
          <w:szCs w:val="24"/>
        </w:rPr>
        <w:t>l set forth a timetable for compliance, and shall become effective upon release.</w:t>
      </w:r>
    </w:p>
    <w:p w:rsidR="0077453A" w:rsidRPr="009C1C49" w:rsidP="00CB09BE" w14:paraId="52DF6CC2" w14:textId="1B09A380">
      <w:pPr>
        <w:rPr>
          <w:sz w:val="24"/>
          <w:szCs w:val="24"/>
        </w:rPr>
      </w:pPr>
    </w:p>
    <w:p w:rsidR="0077453A" w:rsidRPr="009C1C49" w:rsidP="0077453A" w14:paraId="01E721D5" w14:textId="40F737B0">
      <w:pPr>
        <w:rPr>
          <w:sz w:val="24"/>
          <w:szCs w:val="24"/>
        </w:rPr>
      </w:pPr>
      <w:r w:rsidRPr="009C1C49">
        <w:rPr>
          <w:b/>
          <w:sz w:val="24"/>
          <w:szCs w:val="24"/>
        </w:rPr>
        <w:t>47 U.S.C. 340(f) (FCC 05-187)</w:t>
      </w:r>
      <w:r w:rsidRPr="009C1C49">
        <w:rPr>
          <w:sz w:val="24"/>
          <w:szCs w:val="24"/>
        </w:rPr>
        <w:t xml:space="preserve">:  </w:t>
      </w:r>
      <w:r w:rsidRPr="009C1C49" w:rsidR="001328EA">
        <w:rPr>
          <w:sz w:val="24"/>
          <w:szCs w:val="24"/>
        </w:rPr>
        <w:t xml:space="preserve">Section 340(f) created an enforcement mechanism for the provisions regarding satellite delivery of significantly viewed signals.  Section 340(f)(1) states that the Commission will respond to a complaint by issuing a “cease and desist order” </w:t>
      </w:r>
      <w:r w:rsidRPr="00F26CF0" w:rsidR="00F26CF0">
        <w:rPr>
          <w:color w:val="333333"/>
          <w:shd w:val="clear" w:color="auto" w:fill="FFFFFF"/>
        </w:rPr>
        <w:t>to any </w:t>
      </w:r>
      <w:hyperlink r:id="rId16" w:history="1">
        <w:r w:rsidRPr="00F26CF0" w:rsidR="00F26CF0">
          <w:rPr>
            <w:rStyle w:val="Hyperlink"/>
            <w:color w:val="001C72"/>
            <w:shd w:val="clear" w:color="auto" w:fill="FFFFFF"/>
          </w:rPr>
          <w:t>satellite carrier</w:t>
        </w:r>
      </w:hyperlink>
      <w:r w:rsidRPr="00F26CF0" w:rsidR="00F26CF0">
        <w:rPr>
          <w:color w:val="333333"/>
          <w:shd w:val="clear" w:color="auto" w:fill="FFFFFF"/>
        </w:rPr>
        <w:t> found to have violated this section in carrying any </w:t>
      </w:r>
      <w:hyperlink r:id="rId17" w:history="1">
        <w:r w:rsidRPr="00F26CF0" w:rsidR="00F26CF0">
          <w:rPr>
            <w:rStyle w:val="Hyperlink"/>
            <w:color w:val="001C72"/>
            <w:shd w:val="clear" w:color="auto" w:fill="FFFFFF"/>
          </w:rPr>
          <w:t>television broadcast station</w:t>
        </w:r>
      </w:hyperlink>
      <w:r w:rsidRPr="00F26CF0" w:rsidR="00F26CF0">
        <w:t xml:space="preserve"> </w:t>
      </w:r>
      <w:r w:rsidRPr="00F26CF0" w:rsidR="001328EA">
        <w:t>and</w:t>
      </w:r>
      <w:r w:rsidRPr="009C1C49" w:rsidR="001328EA">
        <w:rPr>
          <w:sz w:val="24"/>
          <w:szCs w:val="24"/>
        </w:rPr>
        <w:t xml:space="preserve"> may provide for damages if requested and proven by the station filing the complaint.   The SHVERA provided for monetary penalties up to $50 per subscriber, per station, per day if the station establishes that the satellite carrier committed the violation in bad faith, and provides that the Commission may impose similar damages on the complaining station if the Commission determines that the complaint was frivolous.  Section 340(f)(2) requires the Commission to issue final determinations within 180 days of the filing of a complaint concerning Section 340.  The Commission’s Report and Order, FCC 05-187, concluded </w:t>
      </w:r>
      <w:r w:rsidR="00F26CF0">
        <w:rPr>
          <w:sz w:val="24"/>
          <w:szCs w:val="24"/>
        </w:rPr>
        <w:t xml:space="preserve">that </w:t>
      </w:r>
      <w:r w:rsidRPr="009C1C49" w:rsidR="001328EA">
        <w:rPr>
          <w:sz w:val="24"/>
          <w:szCs w:val="24"/>
        </w:rPr>
        <w:t xml:space="preserve">the existing procedures for Petitions for Special Relief </w:t>
      </w:r>
      <w:r w:rsidR="00F26CF0">
        <w:rPr>
          <w:sz w:val="24"/>
          <w:szCs w:val="24"/>
        </w:rPr>
        <w:t xml:space="preserve">should be used </w:t>
      </w:r>
      <w:r w:rsidRPr="009C1C49" w:rsidR="001328EA">
        <w:rPr>
          <w:sz w:val="24"/>
          <w:szCs w:val="24"/>
        </w:rPr>
        <w:t>as the procedural framework for complaints concerning significantly viewed status.  The Report and Order decided that parties would follow the pleading requirements in Section 76.7(a)(1) and (b)(1) for petitions, which would allow the Commission to issue a ruling on complaints.</w:t>
      </w:r>
      <w:r w:rsidRPr="009C1C49" w:rsidR="002D355C">
        <w:rPr>
          <w:sz w:val="24"/>
          <w:szCs w:val="24"/>
        </w:rPr>
        <w:t xml:space="preserve"> </w:t>
      </w:r>
    </w:p>
    <w:p w:rsidR="000319B6" w:rsidRPr="009C1C49" w14:paraId="1EB76AD8" w14:textId="77777777">
      <w:pPr>
        <w:suppressAutoHyphens/>
        <w:rPr>
          <w:sz w:val="24"/>
          <w:szCs w:val="24"/>
        </w:rPr>
      </w:pPr>
    </w:p>
    <w:p w:rsidR="000319B6" w:rsidRPr="009C1C49" w14:paraId="1EB76AD9" w14:textId="77777777">
      <w:pPr>
        <w:rPr>
          <w:sz w:val="24"/>
          <w:szCs w:val="24"/>
        </w:rPr>
      </w:pPr>
      <w:r w:rsidRPr="009C1C49">
        <w:rPr>
          <w:sz w:val="24"/>
          <w:szCs w:val="24"/>
        </w:rPr>
        <w:t>This information collection does not affect individuals or households; thus, there are no impacts under the Privacy</w:t>
      </w:r>
      <w:r w:rsidRPr="009C1C49">
        <w:rPr>
          <w:sz w:val="24"/>
          <w:szCs w:val="24"/>
        </w:rPr>
        <w:t xml:space="preserve"> Act.</w:t>
      </w:r>
    </w:p>
    <w:p w:rsidR="00D604A6" w:rsidRPr="009C1C49" w14:paraId="26C64583" w14:textId="77777777">
      <w:pPr>
        <w:rPr>
          <w:sz w:val="24"/>
          <w:szCs w:val="24"/>
        </w:rPr>
      </w:pPr>
    </w:p>
    <w:p w:rsidR="004576DA" w:rsidRPr="009C1C49" w14:paraId="1CD222BF" w14:textId="1DC316B9">
      <w:pPr>
        <w:rPr>
          <w:sz w:val="24"/>
          <w:szCs w:val="24"/>
        </w:rPr>
      </w:pPr>
      <w:r w:rsidRPr="009C1C49">
        <w:rPr>
          <w:sz w:val="24"/>
          <w:szCs w:val="24"/>
        </w:rPr>
        <w:t>Statutory authority for this collection of information is contained in contained in Sections 4(i), 4(j), 303(r), 338, 340, 614, 615, 616, 623, 628 and 653 of the Communications Act of 1934, as amended; 47 U.S.C. §§ 154(i</w:t>
      </w:r>
      <w:r w:rsidRPr="009C1C49">
        <w:rPr>
          <w:sz w:val="24"/>
          <w:szCs w:val="24"/>
        </w:rPr>
        <w:t xml:space="preserve">) and (j), 303(r), 338, 340, 534, 535, 536, 543, 548 and 573.  </w:t>
      </w:r>
    </w:p>
    <w:p w:rsidR="00D604A6" w:rsidRPr="009C1C49" w14:paraId="666D67C2" w14:textId="77777777">
      <w:pPr>
        <w:rPr>
          <w:sz w:val="24"/>
          <w:szCs w:val="24"/>
        </w:rPr>
      </w:pPr>
    </w:p>
    <w:p w:rsidR="000319B6" w:rsidRPr="009C1C49" w:rsidP="00CB09BE" w14:paraId="1EB76ADD" w14:textId="3B676FDA">
      <w:pPr>
        <w:rPr>
          <w:sz w:val="24"/>
          <w:szCs w:val="24"/>
        </w:rPr>
      </w:pPr>
      <w:r w:rsidRPr="009C1C49">
        <w:rPr>
          <w:sz w:val="24"/>
          <w:szCs w:val="24"/>
        </w:rPr>
        <w:t>2.  T</w:t>
      </w:r>
      <w:r w:rsidRPr="009C1C49" w:rsidR="0017605D">
        <w:rPr>
          <w:sz w:val="24"/>
          <w:szCs w:val="24"/>
        </w:rPr>
        <w:t>he Commission will use i</w:t>
      </w:r>
      <w:r w:rsidRPr="009C1C49" w:rsidR="005A295B">
        <w:rPr>
          <w:sz w:val="24"/>
          <w:szCs w:val="24"/>
        </w:rPr>
        <w:t>nformation</w:t>
      </w:r>
      <w:r w:rsidRPr="009C1C49" w:rsidR="004723C7">
        <w:rPr>
          <w:sz w:val="24"/>
          <w:szCs w:val="24"/>
        </w:rPr>
        <w:t xml:space="preserve"> </w:t>
      </w:r>
      <w:r w:rsidRPr="009C1C49" w:rsidR="0017605D">
        <w:rPr>
          <w:sz w:val="24"/>
          <w:szCs w:val="24"/>
        </w:rPr>
        <w:t xml:space="preserve">collected </w:t>
      </w:r>
      <w:r w:rsidRPr="009C1C49" w:rsidR="005A295B">
        <w:rPr>
          <w:sz w:val="24"/>
          <w:szCs w:val="24"/>
        </w:rPr>
        <w:t>to make determinations on petitions and complaints</w:t>
      </w:r>
      <w:r w:rsidRPr="009C1C49" w:rsidR="004723C7">
        <w:rPr>
          <w:sz w:val="24"/>
          <w:szCs w:val="24"/>
        </w:rPr>
        <w:t xml:space="preserve"> filed with the Commission</w:t>
      </w:r>
      <w:r w:rsidRPr="009C1C49" w:rsidR="0017605D">
        <w:rPr>
          <w:sz w:val="24"/>
          <w:szCs w:val="24"/>
        </w:rPr>
        <w:t xml:space="preserve"> pursuant to Section 76.7 of the Commission’s Rules</w:t>
      </w:r>
      <w:r w:rsidRPr="009C1C49" w:rsidR="005A295B">
        <w:rPr>
          <w:sz w:val="24"/>
          <w:szCs w:val="24"/>
        </w:rPr>
        <w:t xml:space="preserve">. </w:t>
      </w:r>
    </w:p>
    <w:p w:rsidR="000319B6" w:rsidRPr="009C1C49" w:rsidP="00CB09BE" w14:paraId="1EB76ADE" w14:textId="77777777">
      <w:pPr>
        <w:pStyle w:val="BodyText2"/>
      </w:pPr>
    </w:p>
    <w:p w:rsidR="00C35535" w:rsidRPr="009C1C49" w14:paraId="1CCA922E" w14:textId="3FA9866C">
      <w:pPr>
        <w:rPr>
          <w:sz w:val="24"/>
          <w:szCs w:val="24"/>
        </w:rPr>
      </w:pPr>
      <w:r w:rsidRPr="009C1C49">
        <w:rPr>
          <w:sz w:val="24"/>
          <w:szCs w:val="24"/>
        </w:rPr>
        <w:t xml:space="preserve">3. </w:t>
      </w:r>
      <w:r w:rsidRPr="009C1C49" w:rsidR="0098757F">
        <w:rPr>
          <w:sz w:val="24"/>
          <w:szCs w:val="24"/>
        </w:rPr>
        <w:t xml:space="preserve"> </w:t>
      </w:r>
      <w:r w:rsidRPr="009C1C49">
        <w:rPr>
          <w:sz w:val="24"/>
          <w:szCs w:val="24"/>
        </w:rPr>
        <w:t>Effect</w:t>
      </w:r>
      <w:r w:rsidRPr="009C1C49">
        <w:rPr>
          <w:sz w:val="24"/>
          <w:szCs w:val="24"/>
        </w:rPr>
        <w:t>ive January 3, 2012, the Commission requires parties to electronically file Special Relief petitions, complaints and associated responsive pleadings (</w:t>
      </w:r>
      <w:r w:rsidRPr="009C1C49">
        <w:rPr>
          <w:i/>
          <w:sz w:val="24"/>
          <w:szCs w:val="24"/>
        </w:rPr>
        <w:t>e.g.</w:t>
      </w:r>
      <w:r w:rsidRPr="009C1C49">
        <w:rPr>
          <w:sz w:val="24"/>
          <w:szCs w:val="24"/>
        </w:rPr>
        <w:t>, answers to complaints, oppositions to petitions, comments, reply comments) with the Commission using</w:t>
      </w:r>
      <w:r w:rsidRPr="009C1C49">
        <w:rPr>
          <w:sz w:val="24"/>
          <w:szCs w:val="24"/>
        </w:rPr>
        <w:t xml:space="preserve"> the Commission’s Electronic Comment Filing System (ECFS), </w:t>
      </w:r>
      <w:hyperlink r:id="rId18" w:history="1">
        <w:r w:rsidRPr="009C1C49">
          <w:rPr>
            <w:rStyle w:val="Hyperlink"/>
            <w:sz w:val="24"/>
            <w:szCs w:val="24"/>
          </w:rPr>
          <w:t>http://www.fcc.gov/cgb/ecfs/</w:t>
        </w:r>
      </w:hyperlink>
      <w:r w:rsidRPr="009C1C49">
        <w:rPr>
          <w:sz w:val="24"/>
          <w:szCs w:val="24"/>
        </w:rPr>
        <w:t>.</w:t>
      </w:r>
      <w:r>
        <w:rPr>
          <w:rStyle w:val="FootnoteReference"/>
          <w:sz w:val="24"/>
          <w:szCs w:val="24"/>
        </w:rPr>
        <w:footnoteReference w:id="18"/>
      </w:r>
      <w:r w:rsidRPr="009C1C49">
        <w:rPr>
          <w:sz w:val="24"/>
          <w:szCs w:val="24"/>
        </w:rPr>
        <w:t xml:space="preserve">  A fee is generally required for the filing of Special Relief petitions and complaints;</w:t>
      </w:r>
      <w:r w:rsidRPr="009C1C49">
        <w:rPr>
          <w:sz w:val="24"/>
          <w:szCs w:val="24"/>
        </w:rPr>
        <w:t xml:space="preserve"> 47 CFR §§ 1.1104, 1.1117, 76.7.</w:t>
      </w:r>
    </w:p>
    <w:p w:rsidR="000319B6" w:rsidRPr="009C1C49" w14:paraId="1EB76ADF" w14:textId="77777777">
      <w:pPr>
        <w:pStyle w:val="BodyText2"/>
      </w:pPr>
    </w:p>
    <w:p w:rsidR="000319B6" w:rsidRPr="009C1C49" w14:paraId="1EB76AE1" w14:textId="77777777">
      <w:pPr>
        <w:pStyle w:val="BodyText"/>
        <w:rPr>
          <w:rFonts w:ascii="Times New Roman" w:eastAsia="Times New Roman" w:hAnsi="Times New Roman" w:cs="Times New Roman"/>
        </w:rPr>
      </w:pPr>
      <w:r w:rsidRPr="009C1C49">
        <w:rPr>
          <w:rFonts w:ascii="Times New Roman"/>
        </w:rPr>
        <w:t xml:space="preserve">4.  This agency does not impose similar information collection requirements on the respondents.  There are no similar data available.  </w:t>
      </w:r>
    </w:p>
    <w:p w:rsidR="000319B6" w:rsidRPr="009C1C49" w14:paraId="1EB76AE2" w14:textId="77777777">
      <w:pPr>
        <w:pStyle w:val="BodyText"/>
        <w:rPr>
          <w:rFonts w:ascii="Times New Roman" w:eastAsia="Times New Roman" w:hAnsi="Times New Roman" w:cs="Times New Roman"/>
        </w:rPr>
      </w:pPr>
    </w:p>
    <w:p w:rsidR="000319B6" w:rsidRPr="009C1C49" w14:paraId="1EB76AE4" w14:textId="791338B9">
      <w:pPr>
        <w:suppressAutoHyphens/>
        <w:rPr>
          <w:sz w:val="24"/>
          <w:szCs w:val="24"/>
        </w:rPr>
      </w:pPr>
      <w:r w:rsidRPr="009C1C49">
        <w:rPr>
          <w:sz w:val="24"/>
          <w:szCs w:val="24"/>
        </w:rPr>
        <w:t>5.  This information collection will facilitate competition in the video distribution</w:t>
      </w:r>
      <w:r w:rsidRPr="009C1C49">
        <w:rPr>
          <w:sz w:val="24"/>
          <w:szCs w:val="24"/>
        </w:rPr>
        <w:t xml:space="preserve"> and video programming markets, therefore conferring benefits upon various MVPDs, including those that are smaller entities.</w:t>
      </w:r>
    </w:p>
    <w:p w:rsidR="0098757F" w:rsidRPr="009C1C49" w14:paraId="0E0BE314" w14:textId="77777777">
      <w:pPr>
        <w:suppressAutoHyphens/>
        <w:rPr>
          <w:sz w:val="24"/>
          <w:szCs w:val="24"/>
        </w:rPr>
      </w:pPr>
    </w:p>
    <w:p w:rsidR="000319B6" w:rsidRPr="009C1C49" w14:paraId="1EB76AE5" w14:textId="75BE76A2">
      <w:pPr>
        <w:suppressAutoHyphens/>
        <w:rPr>
          <w:sz w:val="24"/>
          <w:szCs w:val="24"/>
        </w:rPr>
      </w:pPr>
      <w:r w:rsidRPr="009C1C49">
        <w:rPr>
          <w:sz w:val="24"/>
          <w:szCs w:val="24"/>
        </w:rPr>
        <w:t xml:space="preserve">6.  </w:t>
      </w:r>
      <w:r w:rsidRPr="009C1C49" w:rsidR="00C35535">
        <w:rPr>
          <w:sz w:val="24"/>
          <w:szCs w:val="24"/>
        </w:rPr>
        <w:t xml:space="preserve">If this information were not to be collected, the Commission would be unable to adjudicate petitions and complaints filed pursuant to its Part 76 rules.  The Commission </w:t>
      </w:r>
      <w:r w:rsidRPr="009C1C49" w:rsidR="00C35535">
        <w:rPr>
          <w:sz w:val="24"/>
          <w:szCs w:val="24"/>
        </w:rPr>
        <w:t xml:space="preserve">would therefore be unable to enforce its rules and would be unresponsive to entities regulated by the Commission.  </w:t>
      </w:r>
    </w:p>
    <w:p w:rsidR="000319B6" w:rsidRPr="009C1C49" w14:paraId="1EB76AE6" w14:textId="77777777">
      <w:pPr>
        <w:suppressAutoHyphens/>
        <w:rPr>
          <w:sz w:val="24"/>
          <w:szCs w:val="24"/>
        </w:rPr>
      </w:pPr>
    </w:p>
    <w:p w:rsidR="000319B6" w:rsidRPr="009C1C49" w:rsidP="00CB09BE" w14:paraId="1EB76AE8" w14:textId="1EC1481E">
      <w:pPr>
        <w:tabs>
          <w:tab w:val="left" w:pos="36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rPr>
          <w:sz w:val="24"/>
          <w:szCs w:val="24"/>
        </w:rPr>
      </w:pPr>
      <w:r w:rsidRPr="009C1C49">
        <w:rPr>
          <w:sz w:val="24"/>
          <w:szCs w:val="24"/>
        </w:rPr>
        <w:t>7.  This information collection requires respondents to submit information considered confidential, such as programming contracts.  Our rules contain procedures for the protection of confidential information.  See 47 CFR 0.459</w:t>
      </w:r>
      <w:r w:rsidRPr="009C1C49">
        <w:rPr>
          <w:sz w:val="24"/>
          <w:szCs w:val="24"/>
        </w:rPr>
        <w:t>.</w:t>
      </w:r>
    </w:p>
    <w:p w:rsidR="0098757F" w:rsidRPr="009C1C49" w:rsidP="00CB09BE" w14:paraId="03E5B79A" w14:textId="77777777">
      <w:pPr>
        <w:tabs>
          <w:tab w:val="left" w:pos="36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rPr>
          <w:sz w:val="24"/>
          <w:szCs w:val="24"/>
        </w:rPr>
      </w:pPr>
    </w:p>
    <w:p w:rsidR="000319B6" w:rsidRPr="009C1C49" w14:paraId="1EB76AE9" w14:textId="164AE79F">
      <w:pPr>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rPr>
          <w:spacing w:val="-3"/>
          <w:sz w:val="24"/>
          <w:szCs w:val="24"/>
        </w:rPr>
      </w:pPr>
      <w:r w:rsidRPr="009C1C49">
        <w:rPr>
          <w:spacing w:val="-3"/>
          <w:sz w:val="24"/>
          <w:szCs w:val="24"/>
        </w:rPr>
        <w:t xml:space="preserve">8.   The Commission published a </w:t>
      </w:r>
      <w:r w:rsidRPr="009C1C49" w:rsidR="004723C7">
        <w:rPr>
          <w:spacing w:val="-3"/>
          <w:sz w:val="24"/>
          <w:szCs w:val="24"/>
        </w:rPr>
        <w:t xml:space="preserve">notice in the Federal Register seeking comments from the public on the information collection requirements contained in this collection </w:t>
      </w:r>
      <w:r w:rsidRPr="003610D2" w:rsidR="00C60AAB">
        <w:rPr>
          <w:spacing w:val="-3"/>
          <w:sz w:val="24"/>
          <w:szCs w:val="24"/>
        </w:rPr>
        <w:t>(</w:t>
      </w:r>
      <w:r w:rsidRPr="00B85C54" w:rsidR="00D55B86">
        <w:rPr>
          <w:spacing w:val="-3"/>
          <w:sz w:val="24"/>
          <w:szCs w:val="24"/>
        </w:rPr>
        <w:t>8</w:t>
      </w:r>
      <w:r w:rsidRPr="00B85C54" w:rsidR="00B85C54">
        <w:rPr>
          <w:spacing w:val="-3"/>
          <w:sz w:val="24"/>
          <w:szCs w:val="24"/>
        </w:rPr>
        <w:t>8</w:t>
      </w:r>
      <w:r w:rsidRPr="00B85C54" w:rsidR="004723C7">
        <w:rPr>
          <w:spacing w:val="-3"/>
          <w:sz w:val="24"/>
          <w:szCs w:val="24"/>
        </w:rPr>
        <w:t xml:space="preserve"> FR</w:t>
      </w:r>
      <w:r w:rsidRPr="00B85C54" w:rsidR="00B85C54">
        <w:rPr>
          <w:spacing w:val="-3"/>
          <w:sz w:val="24"/>
          <w:szCs w:val="24"/>
        </w:rPr>
        <w:t xml:space="preserve"> 45206</w:t>
      </w:r>
      <w:r w:rsidRPr="00B85C54" w:rsidR="0039732C">
        <w:rPr>
          <w:spacing w:val="-3"/>
          <w:sz w:val="24"/>
          <w:szCs w:val="24"/>
        </w:rPr>
        <w:t>)</w:t>
      </w:r>
      <w:r w:rsidRPr="00B85C54" w:rsidR="004723C7">
        <w:rPr>
          <w:spacing w:val="-3"/>
          <w:sz w:val="24"/>
          <w:szCs w:val="24"/>
        </w:rPr>
        <w:t xml:space="preserve"> </w:t>
      </w:r>
      <w:r w:rsidRPr="00B85C54">
        <w:rPr>
          <w:spacing w:val="-3"/>
          <w:sz w:val="24"/>
          <w:szCs w:val="24"/>
        </w:rPr>
        <w:t>on</w:t>
      </w:r>
      <w:r w:rsidRPr="00B85C54" w:rsidR="00C60AAB">
        <w:rPr>
          <w:spacing w:val="-3"/>
          <w:sz w:val="24"/>
          <w:szCs w:val="24"/>
        </w:rPr>
        <w:t xml:space="preserve"> </w:t>
      </w:r>
      <w:r w:rsidRPr="00B85C54" w:rsidR="005A3DBD">
        <w:rPr>
          <w:spacing w:val="-3"/>
          <w:sz w:val="24"/>
          <w:szCs w:val="24"/>
        </w:rPr>
        <w:t>July</w:t>
      </w:r>
      <w:r w:rsidRPr="00B85C54" w:rsidR="003610D2">
        <w:rPr>
          <w:spacing w:val="-3"/>
          <w:sz w:val="24"/>
          <w:szCs w:val="24"/>
        </w:rPr>
        <w:t xml:space="preserve"> </w:t>
      </w:r>
      <w:r w:rsidRPr="00B85C54" w:rsidR="00B85C54">
        <w:rPr>
          <w:spacing w:val="-3"/>
          <w:sz w:val="24"/>
          <w:szCs w:val="24"/>
        </w:rPr>
        <w:t>14</w:t>
      </w:r>
      <w:r w:rsidRPr="00B85C54" w:rsidR="00853F57">
        <w:rPr>
          <w:spacing w:val="-3"/>
          <w:sz w:val="24"/>
          <w:szCs w:val="24"/>
        </w:rPr>
        <w:t>, 20</w:t>
      </w:r>
      <w:r w:rsidRPr="00B85C54" w:rsidR="00EA37A0">
        <w:rPr>
          <w:spacing w:val="-3"/>
          <w:sz w:val="24"/>
          <w:szCs w:val="24"/>
        </w:rPr>
        <w:t>2</w:t>
      </w:r>
      <w:r w:rsidRPr="00B85C54" w:rsidR="005A3DBD">
        <w:rPr>
          <w:spacing w:val="-3"/>
          <w:sz w:val="24"/>
          <w:szCs w:val="24"/>
        </w:rPr>
        <w:t>3</w:t>
      </w:r>
      <w:r w:rsidRPr="00B85C54">
        <w:rPr>
          <w:spacing w:val="-3"/>
          <w:sz w:val="24"/>
          <w:szCs w:val="24"/>
        </w:rPr>
        <w:t>.  No comments were received</w:t>
      </w:r>
      <w:r w:rsidRPr="00B85C54" w:rsidR="004723C7">
        <w:rPr>
          <w:spacing w:val="-3"/>
          <w:sz w:val="24"/>
          <w:szCs w:val="24"/>
        </w:rPr>
        <w:t xml:space="preserve"> from the public on the information collection requirements</w:t>
      </w:r>
      <w:r w:rsidRPr="00B85C54">
        <w:rPr>
          <w:spacing w:val="-3"/>
          <w:sz w:val="24"/>
          <w:szCs w:val="24"/>
        </w:rPr>
        <w:t>.</w:t>
      </w:r>
      <w:r w:rsidRPr="009C1C49">
        <w:rPr>
          <w:spacing w:val="-3"/>
          <w:sz w:val="24"/>
          <w:szCs w:val="24"/>
        </w:rPr>
        <w:t xml:space="preserve">  </w:t>
      </w:r>
    </w:p>
    <w:p w:rsidR="000319B6" w:rsidRPr="009C1C49" w14:paraId="1EB76AEA" w14:textId="77777777">
      <w:pPr>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uppressAutoHyphens/>
        <w:rPr>
          <w:spacing w:val="-3"/>
          <w:sz w:val="24"/>
          <w:szCs w:val="24"/>
        </w:rPr>
      </w:pPr>
    </w:p>
    <w:p w:rsidR="000319B6" w:rsidRPr="009C1C49" w14:paraId="1EB76AEB" w14:textId="1EF9F647">
      <w:pPr>
        <w:suppressAutoHyphens/>
        <w:rPr>
          <w:sz w:val="24"/>
          <w:szCs w:val="24"/>
        </w:rPr>
      </w:pPr>
      <w:r w:rsidRPr="009C1C49">
        <w:rPr>
          <w:sz w:val="24"/>
          <w:szCs w:val="24"/>
        </w:rPr>
        <w:t>9.  There will be no payment or gifts given to respondents</w:t>
      </w:r>
      <w:r w:rsidRPr="009C1C49" w:rsidR="004723C7">
        <w:rPr>
          <w:sz w:val="24"/>
          <w:szCs w:val="24"/>
        </w:rPr>
        <w:t xml:space="preserve"> associated with the information collection requirements</w:t>
      </w:r>
      <w:r w:rsidR="00C60AAB">
        <w:rPr>
          <w:sz w:val="24"/>
          <w:szCs w:val="24"/>
        </w:rPr>
        <w:t>.</w:t>
      </w:r>
    </w:p>
    <w:p w:rsidR="000319B6" w:rsidRPr="009C1C49" w14:paraId="1EB76AEC" w14:textId="77777777">
      <w:pPr>
        <w:pStyle w:val="BodyText2"/>
      </w:pPr>
    </w:p>
    <w:p w:rsidR="000319B6" w:rsidRPr="009C1C49" w14:paraId="1EB76AED" w14:textId="007DC47C">
      <w:pPr>
        <w:pStyle w:val="BodyText2"/>
      </w:pPr>
      <w:r w:rsidRPr="009C1C49">
        <w:t>10.  Any information submitted by parties as part of their petition, compla</w:t>
      </w:r>
      <w:r w:rsidRPr="009C1C49">
        <w:t>int, answer</w:t>
      </w:r>
      <w:r w:rsidRPr="009C1C49" w:rsidR="004576DA">
        <w:t>, opposition, comment</w:t>
      </w:r>
      <w:r w:rsidRPr="009C1C49">
        <w:t xml:space="preserve"> or reply may be submitted pursuant to a request for confidentiality under Section 0.459 of the Commission</w:t>
      </w:r>
      <w:r w:rsidRPr="009C1C49">
        <w:rPr>
          <w:rFonts w:ascii="Arial Unicode MS" w:hAnsi="Times New Roman"/>
        </w:rPr>
        <w:t>’</w:t>
      </w:r>
      <w:r w:rsidRPr="009C1C49">
        <w:t xml:space="preserve">s rules.  </w:t>
      </w:r>
      <w:r w:rsidRPr="009C1C49">
        <w:rPr>
          <w:i/>
          <w:iCs/>
        </w:rPr>
        <w:t>See</w:t>
      </w:r>
      <w:r w:rsidRPr="009C1C49">
        <w:t xml:space="preserve"> 47 CFR </w:t>
      </w:r>
      <w:r w:rsidRPr="009C1C49">
        <w:rPr>
          <w:rFonts w:ascii="Arial Unicode MS" w:hAnsi="Times New Roman"/>
        </w:rPr>
        <w:t>§</w:t>
      </w:r>
      <w:r w:rsidRPr="009C1C49">
        <w:rPr>
          <w:rFonts w:ascii="Arial Unicode MS" w:hAnsi="Times New Roman"/>
        </w:rPr>
        <w:t xml:space="preserve"> </w:t>
      </w:r>
      <w:r w:rsidRPr="009C1C49">
        <w:t>0.459.</w:t>
      </w:r>
    </w:p>
    <w:p w:rsidR="000319B6" w:rsidRPr="009C1C49" w14:paraId="1EB76AEE" w14:textId="77777777">
      <w:pPr>
        <w:suppressAutoHyphens/>
        <w:rPr>
          <w:sz w:val="24"/>
          <w:szCs w:val="24"/>
        </w:rPr>
      </w:pPr>
    </w:p>
    <w:p w:rsidR="000319B6" w:rsidRPr="009C1C49" w14:paraId="1EB76AEF" w14:textId="77777777">
      <w:pPr>
        <w:pStyle w:val="BodyText2"/>
      </w:pPr>
      <w:r w:rsidRPr="009C1C49">
        <w:t xml:space="preserve">11.  This collection of information does not address matters of a sensitive nature.  </w:t>
      </w:r>
    </w:p>
    <w:p w:rsidR="000319B6" w:rsidRPr="009C1C49" w14:paraId="1EB76AF0" w14:textId="77777777">
      <w:pPr>
        <w:pStyle w:val="BodyText2"/>
      </w:pPr>
    </w:p>
    <w:p w:rsidR="0098757F" w:rsidRPr="009C1C49" w14:paraId="09802973" w14:textId="3AE932B6">
      <w:pPr>
        <w:pStyle w:val="BodyText2"/>
      </w:pPr>
      <w:r w:rsidRPr="009C1C49">
        <w:t>12.  This collection accounts for general petitions and complaints filed pursuant to Section 76.7 and Part 76 filings filed pursuant to specific rule sections.  Two filing parties are generally involved.  We estimate parties initiating their own filings w</w:t>
      </w:r>
      <w:r w:rsidRPr="009C1C49">
        <w:t>ill require 95.4 hours and parties using outside counsel will require 6.4 hours</w:t>
      </w:r>
      <w:r w:rsidR="004E3542">
        <w:t xml:space="preserve"> consulting with counsel</w:t>
      </w:r>
      <w:r w:rsidRPr="009C1C49">
        <w:t xml:space="preserve">.  We estimate approximately 342 filings annually in accordance with the above-referenced requirements (see Item#1).  </w:t>
      </w:r>
    </w:p>
    <w:p w:rsidR="000319B6" w:rsidRPr="009C1C49" w14:paraId="1EB76AF3" w14:textId="77777777">
      <w:pPr>
        <w:suppressAutoHyphens/>
        <w:rPr>
          <w:rFonts w:ascii="Times New Roman Bold" w:eastAsia="Times New Roman Bold" w:hAnsi="Times New Roman Bold" w:cs="Times New Roman Bold"/>
          <w:sz w:val="24"/>
          <w:szCs w:val="24"/>
        </w:rPr>
      </w:pPr>
    </w:p>
    <w:p w:rsidR="000319B6" w:rsidRPr="009C1C49" w14:paraId="1EB76AF4" w14:textId="77777777">
      <w:pPr>
        <w:ind w:left="4050" w:hanging="4050"/>
        <w:rPr>
          <w:rFonts w:ascii="Times New Roman Bold" w:eastAsia="Times New Roman Bold" w:hAnsi="Times New Roman Bold" w:cs="Times New Roman Bold"/>
          <w:sz w:val="24"/>
          <w:szCs w:val="24"/>
        </w:rPr>
      </w:pPr>
      <w:r w:rsidRPr="009C1C49">
        <w:rPr>
          <w:rFonts w:ascii="Times New Roman Bold"/>
          <w:sz w:val="24"/>
          <w:szCs w:val="24"/>
        </w:rPr>
        <w:t xml:space="preserve">Total Number of Annual Respondents: 684 Broadcast Stations, Cable Operators, Satellite Carriers, MVPDs and Programming Vendors </w:t>
      </w:r>
    </w:p>
    <w:p w:rsidR="000319B6" w:rsidRPr="009C1C49" w14:paraId="1EB76AF5" w14:textId="77777777">
      <w:pPr>
        <w:tabs>
          <w:tab w:val="left" w:pos="4140"/>
        </w:tabs>
        <w:ind w:left="4320" w:hanging="4320"/>
        <w:rPr>
          <w:sz w:val="24"/>
          <w:szCs w:val="24"/>
        </w:rPr>
      </w:pPr>
      <w:r w:rsidRPr="009C1C49">
        <w:rPr>
          <w:sz w:val="24"/>
          <w:szCs w:val="24"/>
        </w:rPr>
        <w:tab/>
      </w:r>
    </w:p>
    <w:p w:rsidR="000319B6" w:rsidRPr="009C1C49" w14:paraId="1EB76AF6" w14:textId="77777777">
      <w:pPr>
        <w:rPr>
          <w:sz w:val="24"/>
          <w:szCs w:val="24"/>
        </w:rPr>
      </w:pPr>
      <w:r w:rsidRPr="009C1C49">
        <w:rPr>
          <w:rFonts w:ascii="Times New Roman Bold"/>
          <w:sz w:val="24"/>
          <w:szCs w:val="24"/>
        </w:rPr>
        <w:t>Total Number of Annual Responses</w:t>
      </w:r>
      <w:r w:rsidRPr="009C1C49">
        <w:rPr>
          <w:sz w:val="24"/>
          <w:szCs w:val="24"/>
        </w:rPr>
        <w:t xml:space="preserve"> = 342 filings x 2 parties/filing = </w:t>
      </w:r>
      <w:r w:rsidRPr="009C1C49">
        <w:rPr>
          <w:rFonts w:ascii="Times New Roman Bold"/>
          <w:sz w:val="24"/>
          <w:szCs w:val="24"/>
        </w:rPr>
        <w:t>684 responses/filings</w:t>
      </w:r>
      <w:r w:rsidRPr="009C1C49">
        <w:rPr>
          <w:sz w:val="24"/>
          <w:szCs w:val="24"/>
        </w:rPr>
        <w:t xml:space="preserve"> </w:t>
      </w:r>
    </w:p>
    <w:p w:rsidR="000319B6" w:rsidRPr="009C1C49" w14:paraId="1EB76AF7" w14:textId="77777777">
      <w:pPr>
        <w:rPr>
          <w:sz w:val="24"/>
          <w:szCs w:val="24"/>
        </w:rPr>
      </w:pPr>
      <w:r w:rsidRPr="009C1C49">
        <w:rPr>
          <w:sz w:val="24"/>
          <w:szCs w:val="24"/>
        </w:rPr>
        <w:t xml:space="preserve">  </w:t>
      </w:r>
    </w:p>
    <w:p w:rsidR="004723C7" w:rsidRPr="009C1C49" w14:paraId="1EB76AF8" w14:textId="77777777">
      <w:pPr>
        <w:rPr>
          <w:sz w:val="24"/>
          <w:szCs w:val="24"/>
        </w:rPr>
      </w:pPr>
    </w:p>
    <w:p w:rsidR="000319B6" w:rsidRPr="009C1C49" w14:paraId="1EB76AFA" w14:textId="77777777">
      <w:pPr>
        <w:rPr>
          <w:sz w:val="24"/>
          <w:szCs w:val="24"/>
        </w:rPr>
      </w:pPr>
      <w:r w:rsidRPr="009C1C49">
        <w:rPr>
          <w:rFonts w:ascii="Times New Roman Bold"/>
          <w:sz w:val="24"/>
          <w:szCs w:val="24"/>
        </w:rPr>
        <w:t>Annual Burden Hours: Parties In</w:t>
      </w:r>
      <w:r w:rsidRPr="009C1C49">
        <w:rPr>
          <w:rFonts w:ascii="Times New Roman Bold"/>
          <w:sz w:val="24"/>
          <w:szCs w:val="24"/>
        </w:rPr>
        <w:t xml:space="preserve">itiating Their Own Filings:  </w:t>
      </w:r>
      <w:r w:rsidRPr="009C1C49">
        <w:rPr>
          <w:sz w:val="24"/>
          <w:szCs w:val="24"/>
        </w:rPr>
        <w:t xml:space="preserve">We estimate 50% of the parties will file their pleadings at an average of 95.4 hours per filing.  </w:t>
      </w:r>
    </w:p>
    <w:p w:rsidR="000319B6" w:rsidRPr="009C1C49" w14:paraId="1EB76AFB" w14:textId="77777777">
      <w:pPr>
        <w:rPr>
          <w:sz w:val="24"/>
          <w:szCs w:val="24"/>
        </w:rPr>
      </w:pPr>
    </w:p>
    <w:p w:rsidR="000319B6" w:rsidRPr="009C1C49" w14:paraId="1EB76AFC" w14:textId="77777777">
      <w:pPr>
        <w:rPr>
          <w:sz w:val="24"/>
          <w:szCs w:val="24"/>
        </w:rPr>
      </w:pPr>
      <w:r w:rsidRPr="009C1C49">
        <w:rPr>
          <w:sz w:val="24"/>
          <w:szCs w:val="24"/>
        </w:rPr>
        <w:t xml:space="preserve"> </w:t>
      </w:r>
      <w:r w:rsidRPr="009C1C49">
        <w:rPr>
          <w:sz w:val="24"/>
          <w:szCs w:val="24"/>
        </w:rPr>
        <w:tab/>
      </w:r>
      <w:r w:rsidRPr="009C1C49">
        <w:rPr>
          <w:sz w:val="24"/>
          <w:szCs w:val="24"/>
        </w:rPr>
        <w:tab/>
        <w:t>342 filings (50% of 684 filings) x 95.4 hours/filing = 32,627 hours</w:t>
      </w:r>
    </w:p>
    <w:p w:rsidR="000319B6" w:rsidRPr="009C1C49" w14:paraId="1EB76AFD" w14:textId="77777777">
      <w:pPr>
        <w:rPr>
          <w:sz w:val="24"/>
          <w:szCs w:val="24"/>
        </w:rPr>
      </w:pPr>
    </w:p>
    <w:p w:rsidR="000319B6" w:rsidRPr="009C1C49" w14:paraId="1EB76AFE" w14:textId="57A829D9">
      <w:pPr>
        <w:rPr>
          <w:sz w:val="24"/>
          <w:szCs w:val="24"/>
        </w:rPr>
      </w:pPr>
      <w:r w:rsidRPr="009C1C49">
        <w:rPr>
          <w:rFonts w:ascii="Times New Roman Bold"/>
          <w:sz w:val="24"/>
          <w:szCs w:val="24"/>
        </w:rPr>
        <w:t xml:space="preserve">Parties Using Outside Counsel:  </w:t>
      </w:r>
      <w:r w:rsidRPr="009C1C49">
        <w:rPr>
          <w:sz w:val="24"/>
          <w:szCs w:val="24"/>
        </w:rPr>
        <w:t xml:space="preserve">We estimate 50% of the </w:t>
      </w:r>
      <w:r w:rsidRPr="009C1C49">
        <w:rPr>
          <w:sz w:val="24"/>
          <w:szCs w:val="24"/>
        </w:rPr>
        <w:t>parties will use outside legal counsel file their pleadings and will undergo an average burden of 6.4 hours</w:t>
      </w:r>
      <w:r w:rsidR="004E3542">
        <w:rPr>
          <w:sz w:val="24"/>
          <w:szCs w:val="24"/>
        </w:rPr>
        <w:t xml:space="preserve"> consulting with counsel</w:t>
      </w:r>
      <w:r w:rsidRPr="009C1C49">
        <w:rPr>
          <w:sz w:val="24"/>
          <w:szCs w:val="24"/>
        </w:rPr>
        <w:t xml:space="preserve">. </w:t>
      </w:r>
    </w:p>
    <w:p w:rsidR="000319B6" w:rsidRPr="009C1C49" w14:paraId="1EB76AFF" w14:textId="77777777">
      <w:pPr>
        <w:rPr>
          <w:sz w:val="24"/>
          <w:szCs w:val="24"/>
        </w:rPr>
      </w:pPr>
    </w:p>
    <w:p w:rsidR="000319B6" w:rsidRPr="009C1C49" w14:paraId="1EB76B00" w14:textId="77777777">
      <w:pPr>
        <w:rPr>
          <w:sz w:val="24"/>
          <w:szCs w:val="24"/>
        </w:rPr>
      </w:pPr>
      <w:r w:rsidRPr="009C1C49">
        <w:rPr>
          <w:sz w:val="24"/>
          <w:szCs w:val="24"/>
        </w:rPr>
        <w:t xml:space="preserve"> </w:t>
      </w:r>
      <w:r w:rsidRPr="009C1C49">
        <w:rPr>
          <w:sz w:val="24"/>
          <w:szCs w:val="24"/>
        </w:rPr>
        <w:tab/>
      </w:r>
      <w:r w:rsidRPr="009C1C49">
        <w:rPr>
          <w:sz w:val="24"/>
          <w:szCs w:val="24"/>
        </w:rPr>
        <w:tab/>
        <w:t xml:space="preserve">342 filings (50% of 684 filings) x 6.4 hours/filing = 2,189 hours  </w:t>
      </w:r>
    </w:p>
    <w:p w:rsidR="000319B6" w:rsidRPr="009C1C49" w14:paraId="1EB76B01" w14:textId="77777777">
      <w:pPr>
        <w:rPr>
          <w:rFonts w:ascii="Times New Roman Bold" w:eastAsia="Times New Roman Bold" w:hAnsi="Times New Roman Bold" w:cs="Times New Roman Bold"/>
          <w:sz w:val="24"/>
          <w:szCs w:val="24"/>
        </w:rPr>
      </w:pPr>
    </w:p>
    <w:p w:rsidR="000319B6" w:rsidRPr="009C1C49" w14:paraId="1EB76B02" w14:textId="77777777">
      <w:pPr>
        <w:ind w:left="720" w:firstLine="720"/>
        <w:rPr>
          <w:rFonts w:ascii="Times New Roman Bold"/>
          <w:sz w:val="24"/>
          <w:szCs w:val="24"/>
        </w:rPr>
      </w:pPr>
      <w:r w:rsidRPr="009C1C49">
        <w:rPr>
          <w:rFonts w:ascii="Times New Roman Bold"/>
          <w:sz w:val="24"/>
          <w:szCs w:val="24"/>
        </w:rPr>
        <w:t xml:space="preserve">Total Annual Burden Hours </w:t>
      </w:r>
      <w:r w:rsidRPr="009C1C49">
        <w:rPr>
          <w:sz w:val="24"/>
          <w:szCs w:val="24"/>
        </w:rPr>
        <w:t xml:space="preserve">32,627 hours + 2,189 hours = </w:t>
      </w:r>
      <w:r w:rsidRPr="009C1C49">
        <w:rPr>
          <w:rFonts w:ascii="Times New Roman Bold"/>
          <w:sz w:val="24"/>
          <w:szCs w:val="24"/>
        </w:rPr>
        <w:t>34,816 hours</w:t>
      </w:r>
    </w:p>
    <w:p w:rsidR="00A4159C" w:rsidRPr="009C1C49" w14:paraId="0E3C9C78" w14:textId="77777777">
      <w:pPr>
        <w:ind w:left="720" w:firstLine="720"/>
        <w:rPr>
          <w:rFonts w:ascii="Times New Roman Bold" w:eastAsia="Times New Roman Bold" w:hAnsi="Times New Roman Bold" w:cs="Times New Roman Bold"/>
          <w:sz w:val="24"/>
          <w:szCs w:val="24"/>
        </w:rPr>
      </w:pPr>
    </w:p>
    <w:p w:rsidR="000319B6" w:rsidRPr="009C1C49" w14:paraId="1EB76B03" w14:textId="77777777">
      <w:pPr>
        <w:ind w:left="720" w:firstLine="720"/>
        <w:rPr>
          <w:rFonts w:ascii="Times New Roman Bold" w:eastAsia="Times New Roman Bold" w:hAnsi="Times New Roman Bold" w:cs="Times New Roman Bold"/>
          <w:sz w:val="24"/>
          <w:szCs w:val="24"/>
        </w:rPr>
      </w:pPr>
    </w:p>
    <w:p w:rsidR="000319B6" w:rsidRPr="009C1C49" w14:paraId="1EB76B04" w14:textId="39DF37F7">
      <w:pPr>
        <w:rPr>
          <w:sz w:val="24"/>
          <w:szCs w:val="24"/>
        </w:rPr>
      </w:pPr>
      <w:r w:rsidRPr="009C1C49">
        <w:rPr>
          <w:rFonts w:ascii="Times New Roman Bold"/>
          <w:sz w:val="24"/>
          <w:szCs w:val="24"/>
        </w:rPr>
        <w:t xml:space="preserve">Annual </w:t>
      </w:r>
      <w:r w:rsidRPr="009C1C49">
        <w:rPr>
          <w:rFonts w:hAnsi="Times New Roman Bold"/>
          <w:sz w:val="24"/>
          <w:szCs w:val="24"/>
        </w:rPr>
        <w:t>“</w:t>
      </w:r>
      <w:r w:rsidRPr="009C1C49">
        <w:rPr>
          <w:rFonts w:ascii="Times New Roman Bold"/>
          <w:sz w:val="24"/>
          <w:szCs w:val="24"/>
        </w:rPr>
        <w:t>In-house</w:t>
      </w:r>
      <w:r w:rsidRPr="009C1C49">
        <w:rPr>
          <w:rFonts w:hAnsi="Times New Roman Bold"/>
          <w:sz w:val="24"/>
          <w:szCs w:val="24"/>
        </w:rPr>
        <w:t>”</w:t>
      </w:r>
      <w:r w:rsidRPr="009C1C49">
        <w:rPr>
          <w:rFonts w:hAnsi="Times New Roman Bold"/>
          <w:sz w:val="24"/>
          <w:szCs w:val="24"/>
        </w:rPr>
        <w:t xml:space="preserve"> </w:t>
      </w:r>
      <w:r w:rsidRPr="009C1C49">
        <w:rPr>
          <w:rFonts w:ascii="Times New Roman Bold"/>
          <w:sz w:val="24"/>
          <w:szCs w:val="24"/>
        </w:rPr>
        <w:t>Cost:</w:t>
      </w:r>
      <w:r w:rsidRPr="009C1C49">
        <w:rPr>
          <w:sz w:val="24"/>
          <w:szCs w:val="24"/>
        </w:rPr>
        <w:t xml:space="preserve">   We estimate that an in-house attorney and paralegal will initiate 50% of the filings and will also coordinate information with outside legal counsel for the rem</w:t>
      </w:r>
      <w:r w:rsidRPr="009C1C49">
        <w:rPr>
          <w:sz w:val="24"/>
          <w:szCs w:val="24"/>
        </w:rPr>
        <w:t>aining 50% of the filings.  We estimate the hourly wage for paralegal staff at $30.00 per hour and the legal staff at $50.00 per hour.  These estimates are based on Commission</w:t>
      </w:r>
      <w:r w:rsidRPr="009C1C49">
        <w:rPr>
          <w:rFonts w:ascii="Arial Unicode MS"/>
          <w:sz w:val="24"/>
          <w:szCs w:val="24"/>
        </w:rPr>
        <w:t>’</w:t>
      </w:r>
      <w:r w:rsidRPr="009C1C49">
        <w:rPr>
          <w:sz w:val="24"/>
          <w:szCs w:val="24"/>
        </w:rPr>
        <w:t xml:space="preserve">s staff knowledge and familiarity with the availability of the data required. </w:t>
      </w:r>
    </w:p>
    <w:p w:rsidR="000319B6" w:rsidRPr="009C1C49" w14:paraId="1EB76B05" w14:textId="77777777">
      <w:pPr>
        <w:rPr>
          <w:sz w:val="24"/>
          <w:szCs w:val="24"/>
        </w:rPr>
      </w:pPr>
    </w:p>
    <w:p w:rsidR="000319B6" w:rsidRPr="009C1C49" w14:paraId="1EB76B06" w14:textId="77777777">
      <w:pPr>
        <w:tabs>
          <w:tab w:val="left" w:pos="1032"/>
        </w:tabs>
        <w:rPr>
          <w:sz w:val="24"/>
          <w:szCs w:val="24"/>
        </w:rPr>
      </w:pPr>
      <w:r w:rsidRPr="009C1C49">
        <w:rPr>
          <w:sz w:val="24"/>
          <w:szCs w:val="24"/>
        </w:rPr>
        <w:tab/>
      </w:r>
      <w:r w:rsidRPr="009C1C49">
        <w:rPr>
          <w:sz w:val="24"/>
          <w:szCs w:val="24"/>
        </w:rPr>
        <w:tab/>
      </w:r>
      <w:r w:rsidRPr="009C1C49">
        <w:rPr>
          <w:sz w:val="24"/>
          <w:szCs w:val="24"/>
        </w:rPr>
        <w:tab/>
        <w:t xml:space="preserve">Paralegal: 17,408 hours x $30/hour =  $522,240  </w:t>
      </w:r>
    </w:p>
    <w:p w:rsidR="000319B6" w:rsidRPr="009C1C49" w14:paraId="1EB76B07" w14:textId="77777777">
      <w:pPr>
        <w:rPr>
          <w:sz w:val="24"/>
          <w:szCs w:val="24"/>
          <w:u w:val="single"/>
        </w:rPr>
      </w:pPr>
      <w:r w:rsidRPr="009C1C49">
        <w:rPr>
          <w:sz w:val="24"/>
          <w:szCs w:val="24"/>
        </w:rPr>
        <w:tab/>
      </w:r>
      <w:r w:rsidRPr="009C1C49">
        <w:rPr>
          <w:sz w:val="24"/>
          <w:szCs w:val="24"/>
        </w:rPr>
        <w:tab/>
        <w:t xml:space="preserve">            Attorney:  17,408 hours x $50/hour =  $</w:t>
      </w:r>
      <w:r w:rsidRPr="009C1C49">
        <w:rPr>
          <w:sz w:val="24"/>
          <w:szCs w:val="24"/>
          <w:u w:val="single"/>
        </w:rPr>
        <w:t xml:space="preserve">870,400   </w:t>
      </w:r>
    </w:p>
    <w:p w:rsidR="000319B6" w:rsidRPr="009C1C49" w14:paraId="1EB76B08" w14:textId="77777777">
      <w:pPr>
        <w:rPr>
          <w:rFonts w:ascii="Times New Roman Bold" w:eastAsia="Times New Roman Bold" w:hAnsi="Times New Roman Bold" w:cs="Times New Roman Bold"/>
          <w:sz w:val="24"/>
          <w:szCs w:val="24"/>
        </w:rPr>
      </w:pPr>
      <w:r w:rsidRPr="009C1C49">
        <w:rPr>
          <w:sz w:val="24"/>
          <w:szCs w:val="24"/>
        </w:rPr>
        <w:tab/>
      </w:r>
      <w:r w:rsidRPr="009C1C49">
        <w:rPr>
          <w:sz w:val="24"/>
          <w:szCs w:val="24"/>
        </w:rPr>
        <w:tab/>
        <w:t xml:space="preserve">                 </w:t>
      </w:r>
      <w:r w:rsidRPr="009C1C49">
        <w:rPr>
          <w:rFonts w:ascii="Times New Roman Bold"/>
          <w:sz w:val="24"/>
          <w:szCs w:val="24"/>
        </w:rPr>
        <w:t xml:space="preserve">Total Annual </w:t>
      </w:r>
      <w:r w:rsidRPr="009C1C49">
        <w:rPr>
          <w:rFonts w:hAnsi="Times New Roman Bold"/>
          <w:sz w:val="24"/>
          <w:szCs w:val="24"/>
        </w:rPr>
        <w:t>“</w:t>
      </w:r>
      <w:r w:rsidRPr="009C1C49">
        <w:rPr>
          <w:rFonts w:ascii="Times New Roman Bold"/>
          <w:sz w:val="24"/>
          <w:szCs w:val="24"/>
        </w:rPr>
        <w:t>In-House</w:t>
      </w:r>
      <w:r w:rsidRPr="009C1C49">
        <w:rPr>
          <w:rFonts w:hAnsi="Times New Roman Bold"/>
          <w:sz w:val="24"/>
          <w:szCs w:val="24"/>
        </w:rPr>
        <w:t>”</w:t>
      </w:r>
      <w:r w:rsidRPr="009C1C49">
        <w:rPr>
          <w:rFonts w:hAnsi="Times New Roman Bold"/>
          <w:sz w:val="24"/>
          <w:szCs w:val="24"/>
        </w:rPr>
        <w:t xml:space="preserve"> </w:t>
      </w:r>
      <w:r w:rsidRPr="009C1C49">
        <w:rPr>
          <w:rFonts w:ascii="Times New Roman Bold"/>
          <w:sz w:val="24"/>
          <w:szCs w:val="24"/>
        </w:rPr>
        <w:t>Cost: $1,392,640</w:t>
      </w:r>
    </w:p>
    <w:p w:rsidR="000319B6" w:rsidRPr="009C1C49" w14:paraId="1EB76B09" w14:textId="77777777">
      <w:pPr>
        <w:rPr>
          <w:rFonts w:ascii="Times New Roman Bold" w:eastAsia="Times New Roman Bold" w:hAnsi="Times New Roman Bold" w:cs="Times New Roman Bold"/>
          <w:sz w:val="24"/>
          <w:szCs w:val="24"/>
        </w:rPr>
      </w:pPr>
    </w:p>
    <w:p w:rsidR="000319B6" w:rsidRPr="009C1C49" w14:paraId="1EB76B0A" w14:textId="77777777">
      <w:pPr>
        <w:rPr>
          <w:sz w:val="24"/>
          <w:szCs w:val="24"/>
        </w:rPr>
      </w:pPr>
      <w:r w:rsidRPr="009C1C49">
        <w:rPr>
          <w:sz w:val="24"/>
          <w:szCs w:val="24"/>
        </w:rPr>
        <w:t>13.  Annual Cost Burden:</w:t>
      </w:r>
    </w:p>
    <w:p w:rsidR="004723C7" w:rsidRPr="009C1C49" w14:paraId="1EB76B0B" w14:textId="77777777">
      <w:pPr>
        <w:ind w:left="720"/>
        <w:rPr>
          <w:sz w:val="24"/>
          <w:szCs w:val="24"/>
        </w:rPr>
      </w:pPr>
    </w:p>
    <w:p w:rsidR="000319B6" w:rsidRPr="009C1C49" w14:paraId="1EB76B0C" w14:textId="77777777">
      <w:pPr>
        <w:ind w:left="720"/>
        <w:rPr>
          <w:sz w:val="24"/>
          <w:szCs w:val="24"/>
        </w:rPr>
      </w:pPr>
      <w:r w:rsidRPr="009C1C49">
        <w:rPr>
          <w:sz w:val="24"/>
          <w:szCs w:val="24"/>
        </w:rPr>
        <w:tab/>
      </w:r>
      <w:r w:rsidRPr="009C1C49" w:rsidR="005A295B">
        <w:rPr>
          <w:sz w:val="24"/>
          <w:szCs w:val="24"/>
        </w:rPr>
        <w:t>a. Total capital and start-up costs:  $0</w:t>
      </w:r>
      <w:r w:rsidRPr="009C1C49" w:rsidR="005A524A">
        <w:rPr>
          <w:sz w:val="24"/>
          <w:szCs w:val="24"/>
        </w:rPr>
        <w:t>.</w:t>
      </w:r>
      <w:r w:rsidRPr="009C1C49" w:rsidR="005A295B">
        <w:rPr>
          <w:sz w:val="24"/>
          <w:szCs w:val="24"/>
        </w:rPr>
        <w:t xml:space="preserve"> </w:t>
      </w:r>
    </w:p>
    <w:p w:rsidR="000319B6" w:rsidRPr="009C1C49" w14:paraId="1EB76B0D" w14:textId="77777777">
      <w:pPr>
        <w:ind w:left="720"/>
        <w:rPr>
          <w:sz w:val="24"/>
          <w:szCs w:val="24"/>
        </w:rPr>
      </w:pPr>
    </w:p>
    <w:p w:rsidR="000319B6" w:rsidRPr="009C1C49" w14:paraId="1EB76B0E" w14:textId="18FD4F5A">
      <w:pPr>
        <w:ind w:left="810" w:hanging="30"/>
        <w:rPr>
          <w:sz w:val="24"/>
          <w:szCs w:val="24"/>
        </w:rPr>
      </w:pPr>
      <w:r w:rsidRPr="009C1C49">
        <w:rPr>
          <w:sz w:val="24"/>
          <w:szCs w:val="24"/>
        </w:rPr>
        <w:tab/>
      </w:r>
      <w:r w:rsidRPr="009C1C49">
        <w:rPr>
          <w:sz w:val="24"/>
          <w:szCs w:val="24"/>
        </w:rPr>
        <w:tab/>
      </w:r>
      <w:r w:rsidRPr="009C1C49" w:rsidR="005A295B">
        <w:rPr>
          <w:sz w:val="24"/>
          <w:szCs w:val="24"/>
        </w:rPr>
        <w:t>b</w:t>
      </w:r>
      <w:r w:rsidRPr="009C1C49" w:rsidR="005A295B">
        <w:rPr>
          <w:color w:val="993300"/>
          <w:sz w:val="24"/>
          <w:szCs w:val="24"/>
          <w:u w:color="993300"/>
        </w:rPr>
        <w:t>.</w:t>
      </w:r>
      <w:r w:rsidRPr="009C1C49" w:rsidR="005A295B">
        <w:rPr>
          <w:sz w:val="24"/>
          <w:szCs w:val="24"/>
        </w:rPr>
        <w:t xml:space="preserve"> Half of the respondents </w:t>
      </w:r>
      <w:r w:rsidRPr="009C1C49" w:rsidR="005A524A">
        <w:rPr>
          <w:sz w:val="24"/>
          <w:szCs w:val="24"/>
        </w:rPr>
        <w:t xml:space="preserve">are expected to receive assistance from </w:t>
      </w:r>
      <w:r w:rsidRPr="009C1C49" w:rsidR="005A295B">
        <w:rPr>
          <w:sz w:val="24"/>
          <w:szCs w:val="24"/>
        </w:rPr>
        <w:t xml:space="preserve">consulting </w:t>
      </w:r>
      <w:r w:rsidRPr="009C1C49" w:rsidR="005A524A">
        <w:rPr>
          <w:sz w:val="24"/>
          <w:szCs w:val="24"/>
        </w:rPr>
        <w:tab/>
      </w:r>
      <w:r w:rsidRPr="009C1C49" w:rsidR="005A295B">
        <w:rPr>
          <w:sz w:val="24"/>
          <w:szCs w:val="24"/>
        </w:rPr>
        <w:t xml:space="preserve">attorneys at </w:t>
      </w:r>
      <w:r w:rsidRPr="009C1C49">
        <w:rPr>
          <w:sz w:val="24"/>
          <w:szCs w:val="24"/>
        </w:rPr>
        <w:t xml:space="preserve">a cost of </w:t>
      </w:r>
      <w:r w:rsidRPr="009C1C49" w:rsidR="005A295B">
        <w:rPr>
          <w:sz w:val="24"/>
          <w:szCs w:val="24"/>
        </w:rPr>
        <w:t>$300/hour</w:t>
      </w:r>
      <w:r>
        <w:rPr>
          <w:sz w:val="24"/>
          <w:szCs w:val="24"/>
          <w:vertAlign w:val="superscript"/>
        </w:rPr>
        <w:footnoteReference w:id="19"/>
      </w:r>
      <w:r w:rsidRPr="009C1C49" w:rsidR="005A295B">
        <w:rPr>
          <w:sz w:val="24"/>
          <w:szCs w:val="24"/>
        </w:rPr>
        <w:t xml:space="preserve"> </w:t>
      </w:r>
      <w:r w:rsidRPr="009C1C49">
        <w:rPr>
          <w:sz w:val="24"/>
          <w:szCs w:val="24"/>
        </w:rPr>
        <w:t xml:space="preserve">when initiating </w:t>
      </w:r>
      <w:r w:rsidRPr="009C1C49" w:rsidR="005A295B">
        <w:rPr>
          <w:sz w:val="24"/>
          <w:szCs w:val="24"/>
        </w:rPr>
        <w:t>their filings</w:t>
      </w:r>
      <w:r w:rsidRPr="009C1C49">
        <w:rPr>
          <w:sz w:val="24"/>
          <w:szCs w:val="24"/>
        </w:rPr>
        <w:t xml:space="preserve"> (50% of 684 = </w:t>
      </w:r>
      <w:r w:rsidRPr="009C1C49" w:rsidR="005A524A">
        <w:rPr>
          <w:sz w:val="24"/>
          <w:szCs w:val="24"/>
        </w:rPr>
        <w:tab/>
      </w:r>
      <w:r w:rsidRPr="009C1C49">
        <w:rPr>
          <w:sz w:val="24"/>
          <w:szCs w:val="24"/>
        </w:rPr>
        <w:t>342 filings)</w:t>
      </w:r>
      <w:r w:rsidRPr="009C1C49" w:rsidR="005A295B">
        <w:rPr>
          <w:sz w:val="24"/>
          <w:szCs w:val="24"/>
        </w:rPr>
        <w:t xml:space="preserve">. </w:t>
      </w:r>
      <w:r w:rsidRPr="009C1C49">
        <w:rPr>
          <w:sz w:val="24"/>
          <w:szCs w:val="24"/>
        </w:rPr>
        <w:t xml:space="preserve">  Therefore,</w:t>
      </w:r>
      <w:r w:rsidRPr="009C1C49" w:rsidR="005A524A">
        <w:rPr>
          <w:sz w:val="24"/>
          <w:szCs w:val="24"/>
        </w:rPr>
        <w:t xml:space="preserve"> </w:t>
      </w:r>
      <w:r w:rsidRPr="009C1C49">
        <w:rPr>
          <w:sz w:val="24"/>
          <w:szCs w:val="24"/>
        </w:rPr>
        <w:t>the t</w:t>
      </w:r>
      <w:r w:rsidRPr="009C1C49" w:rsidR="005A295B">
        <w:rPr>
          <w:sz w:val="24"/>
          <w:szCs w:val="24"/>
        </w:rPr>
        <w:t>otal operation and maintenance costs = 342 filings x</w:t>
      </w:r>
      <w:r w:rsidRPr="009C1C49">
        <w:rPr>
          <w:sz w:val="24"/>
          <w:szCs w:val="24"/>
        </w:rPr>
        <w:t xml:space="preserve"> </w:t>
      </w:r>
      <w:r w:rsidRPr="009C1C49" w:rsidR="005A524A">
        <w:rPr>
          <w:sz w:val="24"/>
          <w:szCs w:val="24"/>
        </w:rPr>
        <w:tab/>
      </w:r>
      <w:r w:rsidRPr="009C1C49" w:rsidR="005A295B">
        <w:rPr>
          <w:sz w:val="24"/>
          <w:szCs w:val="24"/>
        </w:rPr>
        <w:t>30.8 hours x</w:t>
      </w:r>
      <w:r w:rsidRPr="009C1C49">
        <w:rPr>
          <w:sz w:val="24"/>
          <w:szCs w:val="24"/>
        </w:rPr>
        <w:t xml:space="preserve"> </w:t>
      </w:r>
      <w:r w:rsidRPr="009C1C49" w:rsidR="005A295B">
        <w:rPr>
          <w:sz w:val="24"/>
          <w:szCs w:val="24"/>
        </w:rPr>
        <w:t>$300/hr.</w:t>
      </w:r>
      <w:r w:rsidRPr="009C1C49">
        <w:rPr>
          <w:sz w:val="24"/>
          <w:szCs w:val="24"/>
        </w:rPr>
        <w:t xml:space="preserve"> = </w:t>
      </w:r>
      <w:r w:rsidRPr="009C1C49">
        <w:rPr>
          <w:b/>
          <w:sz w:val="24"/>
          <w:szCs w:val="24"/>
        </w:rPr>
        <w:t>$3,160,080</w:t>
      </w:r>
      <w:r w:rsidRPr="009C1C49">
        <w:rPr>
          <w:sz w:val="24"/>
          <w:szCs w:val="24"/>
        </w:rPr>
        <w:t>.</w:t>
      </w:r>
      <w:r w:rsidRPr="009C1C49" w:rsidR="005A295B">
        <w:rPr>
          <w:sz w:val="24"/>
          <w:szCs w:val="24"/>
        </w:rPr>
        <w:t xml:space="preserve"> </w:t>
      </w:r>
    </w:p>
    <w:p w:rsidR="0098757F" w:rsidRPr="009C1C49" w14:paraId="02313979" w14:textId="77777777">
      <w:pPr>
        <w:ind w:left="810" w:hanging="30"/>
        <w:rPr>
          <w:sz w:val="24"/>
          <w:szCs w:val="24"/>
        </w:rPr>
      </w:pPr>
    </w:p>
    <w:p w:rsidR="0098757F" w:rsidRPr="009C1C49" w:rsidP="00CB09BE" w14:paraId="02301359" w14:textId="240B27B5">
      <w:pPr>
        <w:ind w:left="810" w:firstLine="630"/>
        <w:rPr>
          <w:sz w:val="24"/>
          <w:szCs w:val="24"/>
        </w:rPr>
      </w:pPr>
      <w:r w:rsidRPr="009C1C49">
        <w:rPr>
          <w:sz w:val="24"/>
          <w:szCs w:val="24"/>
          <w:u w:val="single"/>
        </w:rPr>
        <w:t>Filing Fees</w:t>
      </w:r>
      <w:r w:rsidRPr="009C1C49">
        <w:rPr>
          <w:sz w:val="24"/>
          <w:szCs w:val="24"/>
        </w:rPr>
        <w:t>:</w:t>
      </w:r>
    </w:p>
    <w:p w:rsidR="000319B6" w:rsidRPr="009C1C49" w:rsidP="00B32F50" w14:paraId="1EB76B0F" w14:textId="58A132F5">
      <w:pPr>
        <w:rPr>
          <w:sz w:val="24"/>
          <w:szCs w:val="24"/>
        </w:rPr>
      </w:pPr>
      <w:r w:rsidRPr="009C1C49">
        <w:rPr>
          <w:sz w:val="24"/>
          <w:szCs w:val="24"/>
        </w:rPr>
        <w:tab/>
      </w:r>
      <w:r w:rsidRPr="009C1C49">
        <w:rPr>
          <w:sz w:val="24"/>
          <w:szCs w:val="24"/>
        </w:rPr>
        <w:tab/>
      </w:r>
      <w:r w:rsidRPr="009C1C49" w:rsidR="0098757F">
        <w:rPr>
          <w:sz w:val="24"/>
          <w:szCs w:val="24"/>
        </w:rPr>
        <w:t xml:space="preserve">342 </w:t>
      </w:r>
      <w:r w:rsidRPr="009C1C49" w:rsidR="00A4159C">
        <w:rPr>
          <w:sz w:val="24"/>
          <w:szCs w:val="24"/>
        </w:rPr>
        <w:t xml:space="preserve">petition </w:t>
      </w:r>
      <w:r w:rsidRPr="009C1C49" w:rsidR="0098757F">
        <w:rPr>
          <w:sz w:val="24"/>
          <w:szCs w:val="24"/>
        </w:rPr>
        <w:t>filings x $</w:t>
      </w:r>
      <w:r w:rsidR="002534DC">
        <w:rPr>
          <w:sz w:val="24"/>
          <w:szCs w:val="24"/>
        </w:rPr>
        <w:t>1,800</w:t>
      </w:r>
      <w:r w:rsidRPr="009C1C49" w:rsidR="0098757F">
        <w:rPr>
          <w:sz w:val="24"/>
          <w:szCs w:val="24"/>
        </w:rPr>
        <w:t xml:space="preserve"> fee/</w:t>
      </w:r>
      <w:r w:rsidRPr="009C1C49">
        <w:rPr>
          <w:sz w:val="24"/>
          <w:szCs w:val="24"/>
        </w:rPr>
        <w:t>petition</w:t>
      </w:r>
      <w:r>
        <w:rPr>
          <w:rStyle w:val="FootnoteReference"/>
          <w:szCs w:val="24"/>
        </w:rPr>
        <w:footnoteReference w:id="20"/>
      </w:r>
      <w:r w:rsidRPr="009C1C49" w:rsidR="0098757F">
        <w:rPr>
          <w:sz w:val="24"/>
          <w:szCs w:val="24"/>
        </w:rPr>
        <w:t xml:space="preserve"> =</w:t>
      </w:r>
      <w:r w:rsidRPr="009C1C49" w:rsidR="00983202">
        <w:rPr>
          <w:sz w:val="24"/>
          <w:szCs w:val="24"/>
        </w:rPr>
        <w:t xml:space="preserve"> $</w:t>
      </w:r>
      <w:r w:rsidR="002534DC">
        <w:rPr>
          <w:sz w:val="24"/>
          <w:szCs w:val="24"/>
        </w:rPr>
        <w:t>615,600</w:t>
      </w:r>
      <w:r w:rsidRPr="009C1C49">
        <w:rPr>
          <w:rFonts w:eastAsia="Calibri"/>
          <w:kern w:val="0"/>
          <w:sz w:val="24"/>
          <w:szCs w:val="24"/>
        </w:rPr>
        <w:t xml:space="preserve"> </w:t>
      </w:r>
    </w:p>
    <w:p w:rsidR="00983202" w:rsidRPr="009C1C49" w14:paraId="557F8324" w14:textId="77777777">
      <w:pPr>
        <w:rPr>
          <w:sz w:val="24"/>
          <w:szCs w:val="24"/>
        </w:rPr>
      </w:pPr>
    </w:p>
    <w:p w:rsidR="00983202" w:rsidRPr="009C1C49" w14:paraId="2B5D2191" w14:textId="3B2CBF6A">
      <w:pPr>
        <w:rPr>
          <w:sz w:val="24"/>
          <w:szCs w:val="24"/>
        </w:rPr>
      </w:pPr>
      <w:r w:rsidRPr="009C1C49">
        <w:rPr>
          <w:sz w:val="24"/>
          <w:szCs w:val="24"/>
        </w:rPr>
        <w:tab/>
      </w:r>
      <w:r w:rsidRPr="009C1C49">
        <w:rPr>
          <w:sz w:val="24"/>
          <w:szCs w:val="24"/>
        </w:rPr>
        <w:tab/>
        <w:t xml:space="preserve">c. Total Annualized Cost:  </w:t>
      </w:r>
      <w:r w:rsidRPr="009C1C49">
        <w:rPr>
          <w:rFonts w:ascii="Times New Roman Bold"/>
          <w:sz w:val="24"/>
          <w:szCs w:val="24"/>
        </w:rPr>
        <w:t>$</w:t>
      </w:r>
      <w:bookmarkStart w:id="3" w:name="_Hlk138403809"/>
      <w:r w:rsidR="002534DC">
        <w:rPr>
          <w:rFonts w:ascii="Times New Roman Bold"/>
          <w:sz w:val="24"/>
          <w:szCs w:val="24"/>
        </w:rPr>
        <w:t>3,775,680</w:t>
      </w:r>
      <w:bookmarkEnd w:id="3"/>
      <w:r w:rsidRPr="009C1C49">
        <w:rPr>
          <w:rFonts w:ascii="Times New Roman Bold"/>
          <w:b/>
          <w:sz w:val="24"/>
          <w:szCs w:val="24"/>
        </w:rPr>
        <w:t>.</w:t>
      </w:r>
    </w:p>
    <w:p w:rsidR="00983202" w:rsidRPr="009C1C49" w14:paraId="2EDD792A" w14:textId="77777777">
      <w:pPr>
        <w:rPr>
          <w:sz w:val="24"/>
          <w:szCs w:val="24"/>
        </w:rPr>
      </w:pPr>
    </w:p>
    <w:p w:rsidR="00696D18" w:rsidRPr="009C1C49" w14:paraId="4EDC865B" w14:textId="77777777">
      <w:pPr>
        <w:rPr>
          <w:sz w:val="24"/>
          <w:szCs w:val="24"/>
        </w:rPr>
      </w:pPr>
    </w:p>
    <w:p w:rsidR="000319B6" w:rsidRPr="009C1C49" w14:paraId="1EB76B13" w14:textId="125FBFE6">
      <w:pPr>
        <w:suppressAutoHyphens/>
        <w:rPr>
          <w:sz w:val="24"/>
          <w:szCs w:val="24"/>
        </w:rPr>
      </w:pPr>
      <w:r w:rsidRPr="009C1C49">
        <w:rPr>
          <w:sz w:val="24"/>
          <w:szCs w:val="24"/>
        </w:rPr>
        <w:t xml:space="preserve">14.  </w:t>
      </w:r>
      <w:r w:rsidRPr="009C1C49">
        <w:rPr>
          <w:rFonts w:ascii="Times New Roman Bold"/>
          <w:sz w:val="24"/>
          <w:szCs w:val="24"/>
        </w:rPr>
        <w:t>Cost to the Government</w:t>
      </w:r>
      <w:r w:rsidRPr="009C1C49">
        <w:rPr>
          <w:sz w:val="24"/>
          <w:szCs w:val="24"/>
        </w:rPr>
        <w:t>: The FCC staff that reviews these filings are attorneys at the GS-15, step 5 level ($</w:t>
      </w:r>
      <w:r w:rsidR="005A3DBD">
        <w:rPr>
          <w:sz w:val="24"/>
          <w:szCs w:val="24"/>
        </w:rPr>
        <w:t>84.55</w:t>
      </w:r>
      <w:r w:rsidRPr="009C1C49">
        <w:rPr>
          <w:sz w:val="24"/>
          <w:szCs w:val="24"/>
        </w:rPr>
        <w:t>/hour), paralegals at the GS-12, step 5 level ($</w:t>
      </w:r>
      <w:r w:rsidR="005A3DBD">
        <w:rPr>
          <w:sz w:val="24"/>
          <w:szCs w:val="24"/>
        </w:rPr>
        <w:t>51.15</w:t>
      </w:r>
      <w:r w:rsidRPr="009C1C49">
        <w:rPr>
          <w:sz w:val="24"/>
          <w:szCs w:val="24"/>
        </w:rPr>
        <w:t>/hour) and administrative personnel at the GS-5, step 5 level ($</w:t>
      </w:r>
      <w:r w:rsidR="005A3DBD">
        <w:rPr>
          <w:sz w:val="24"/>
          <w:szCs w:val="24"/>
        </w:rPr>
        <w:t>23.28</w:t>
      </w:r>
      <w:r w:rsidRPr="009C1C49">
        <w:rPr>
          <w:sz w:val="24"/>
          <w:szCs w:val="24"/>
        </w:rPr>
        <w:t xml:space="preserve">/hour).  </w:t>
      </w:r>
    </w:p>
    <w:p w:rsidR="000319B6" w:rsidRPr="009C1C49" w14:paraId="1EB76B14" w14:textId="77777777">
      <w:pPr>
        <w:suppressAutoHyphens/>
        <w:ind w:left="720"/>
        <w:rPr>
          <w:sz w:val="24"/>
          <w:szCs w:val="24"/>
        </w:rPr>
      </w:pPr>
    </w:p>
    <w:p w:rsidR="000319B6" w:rsidRPr="009C1C49" w14:paraId="1EB76B15" w14:textId="3D70C33B">
      <w:pPr>
        <w:suppressAutoHyphens/>
        <w:ind w:left="720"/>
        <w:rPr>
          <w:sz w:val="24"/>
          <w:szCs w:val="24"/>
        </w:rPr>
      </w:pPr>
      <w:r w:rsidRPr="009C1C49">
        <w:rPr>
          <w:sz w:val="24"/>
          <w:szCs w:val="24"/>
        </w:rPr>
        <w:t>Legal review:  684 filings x 14 hours/filing x $</w:t>
      </w:r>
      <w:r w:rsidR="005A3DBD">
        <w:rPr>
          <w:sz w:val="24"/>
          <w:szCs w:val="24"/>
        </w:rPr>
        <w:t>84.55</w:t>
      </w:r>
      <w:r w:rsidRPr="009C1C49" w:rsidR="00B32F50">
        <w:rPr>
          <w:sz w:val="24"/>
          <w:szCs w:val="24"/>
        </w:rPr>
        <w:t>/hour     =     $</w:t>
      </w:r>
      <w:r w:rsidR="005A3DBD">
        <w:rPr>
          <w:sz w:val="24"/>
          <w:szCs w:val="24"/>
        </w:rPr>
        <w:t>809,650.80</w:t>
      </w:r>
    </w:p>
    <w:p w:rsidR="000319B6" w:rsidRPr="009C1C49" w14:paraId="1EB76B16" w14:textId="776D4D06">
      <w:pPr>
        <w:ind w:firstLine="720"/>
        <w:rPr>
          <w:sz w:val="24"/>
          <w:szCs w:val="24"/>
        </w:rPr>
      </w:pPr>
      <w:r w:rsidRPr="009C1C49">
        <w:rPr>
          <w:sz w:val="24"/>
          <w:szCs w:val="24"/>
        </w:rPr>
        <w:t xml:space="preserve">Paralegal review:  684 filings x 4.3 </w:t>
      </w:r>
      <w:r w:rsidRPr="009C1C49">
        <w:rPr>
          <w:sz w:val="24"/>
          <w:szCs w:val="24"/>
        </w:rPr>
        <w:t>hours/filing x $</w:t>
      </w:r>
      <w:r w:rsidR="005A3DBD">
        <w:rPr>
          <w:sz w:val="24"/>
          <w:szCs w:val="24"/>
        </w:rPr>
        <w:t>51.15</w:t>
      </w:r>
      <w:r w:rsidRPr="009C1C49" w:rsidR="00B32F50">
        <w:rPr>
          <w:sz w:val="24"/>
          <w:szCs w:val="24"/>
        </w:rPr>
        <w:t>/hour =  $</w:t>
      </w:r>
      <w:r w:rsidR="005A3DBD">
        <w:rPr>
          <w:sz w:val="24"/>
          <w:szCs w:val="24"/>
        </w:rPr>
        <w:t>150,442.38</w:t>
      </w:r>
      <w:r w:rsidRPr="009C1C49">
        <w:rPr>
          <w:sz w:val="24"/>
          <w:szCs w:val="24"/>
        </w:rPr>
        <w:t xml:space="preserve"> </w:t>
      </w:r>
    </w:p>
    <w:p w:rsidR="000319B6" w14:paraId="1EB76B17" w14:textId="668B8969">
      <w:pPr>
        <w:suppressAutoHyphens/>
        <w:ind w:left="720"/>
        <w:rPr>
          <w:sz w:val="24"/>
          <w:szCs w:val="24"/>
          <w:u w:val="single"/>
        </w:rPr>
      </w:pPr>
      <w:r w:rsidRPr="009C1C49">
        <w:rPr>
          <w:sz w:val="24"/>
          <w:szCs w:val="24"/>
        </w:rPr>
        <w:t>Admin. review:  684 filings x 2 hours/filing x $</w:t>
      </w:r>
      <w:r w:rsidR="005A3DBD">
        <w:rPr>
          <w:sz w:val="24"/>
          <w:szCs w:val="24"/>
        </w:rPr>
        <w:t>23.28</w:t>
      </w:r>
      <w:r w:rsidRPr="009C1C49">
        <w:rPr>
          <w:sz w:val="24"/>
          <w:szCs w:val="24"/>
        </w:rPr>
        <w:t xml:space="preserve">/hour    =   </w:t>
      </w:r>
      <w:r w:rsidR="00497D78">
        <w:rPr>
          <w:sz w:val="24"/>
          <w:szCs w:val="24"/>
        </w:rPr>
        <w:t xml:space="preserve">  </w:t>
      </w:r>
      <w:r w:rsidRPr="00497D78" w:rsidR="00497D78">
        <w:rPr>
          <w:sz w:val="24"/>
          <w:szCs w:val="24"/>
          <w:u w:val="single"/>
        </w:rPr>
        <w:t xml:space="preserve">$  </w:t>
      </w:r>
      <w:r w:rsidR="005A3DBD">
        <w:rPr>
          <w:sz w:val="24"/>
          <w:szCs w:val="24"/>
          <w:u w:val="single"/>
        </w:rPr>
        <w:t>31,847.04</w:t>
      </w:r>
    </w:p>
    <w:p w:rsidR="000319B6" w:rsidRPr="00763FEE" w14:paraId="1EB76B18" w14:textId="7726E16E">
      <w:pPr>
        <w:suppressAutoHyphens/>
        <w:ind w:left="720"/>
        <w:rPr>
          <w:sz w:val="28"/>
          <w:szCs w:val="28"/>
        </w:rPr>
      </w:pPr>
      <w:r w:rsidRPr="00763FEE">
        <w:rPr>
          <w:sz w:val="28"/>
          <w:szCs w:val="28"/>
        </w:rPr>
        <w:t xml:space="preserve">              </w:t>
      </w:r>
      <w:r w:rsidRPr="00763FEE">
        <w:rPr>
          <w:sz w:val="28"/>
          <w:szCs w:val="28"/>
        </w:rPr>
        <w:t xml:space="preserve">         </w:t>
      </w:r>
      <w:r w:rsidRPr="00763FEE">
        <w:rPr>
          <w:rFonts w:ascii="Times New Roman Bold"/>
          <w:sz w:val="28"/>
          <w:szCs w:val="28"/>
        </w:rPr>
        <w:t>Total Cost to the Federal Gove</w:t>
      </w:r>
      <w:r w:rsidRPr="00763FEE" w:rsidR="00B32F50">
        <w:rPr>
          <w:rFonts w:ascii="Times New Roman Bold"/>
          <w:sz w:val="28"/>
          <w:szCs w:val="28"/>
        </w:rPr>
        <w:t xml:space="preserve">rnment:  </w:t>
      </w:r>
      <w:r w:rsidR="00763FEE">
        <w:rPr>
          <w:rFonts w:ascii="Times New Roman Bold"/>
          <w:sz w:val="28"/>
          <w:szCs w:val="28"/>
        </w:rPr>
        <w:t xml:space="preserve"> </w:t>
      </w:r>
      <w:r w:rsidRPr="00763FEE" w:rsidR="00B32F50">
        <w:rPr>
          <w:rFonts w:ascii="Times New Roman Bold"/>
          <w:sz w:val="28"/>
          <w:szCs w:val="28"/>
        </w:rPr>
        <w:t xml:space="preserve"> $</w:t>
      </w:r>
      <w:r w:rsidRPr="00763FEE" w:rsidR="005A3DBD">
        <w:rPr>
          <w:rFonts w:ascii="Times New Roman Bold"/>
          <w:sz w:val="28"/>
          <w:szCs w:val="28"/>
        </w:rPr>
        <w:t>991,940.22</w:t>
      </w:r>
    </w:p>
    <w:p w:rsidR="000319B6" w:rsidRPr="009C1C49" w14:paraId="1EB76B19" w14:textId="77777777">
      <w:pPr>
        <w:rPr>
          <w:rFonts w:ascii="Times New Roman Bold" w:eastAsia="Times New Roman Bold" w:hAnsi="Times New Roman Bold" w:cs="Times New Roman Bold"/>
          <w:sz w:val="24"/>
          <w:szCs w:val="24"/>
        </w:rPr>
      </w:pPr>
      <w:r w:rsidRPr="009C1C49">
        <w:rPr>
          <w:rFonts w:ascii="Times New Roman Bold"/>
          <w:sz w:val="24"/>
          <w:szCs w:val="24"/>
        </w:rPr>
        <w:t xml:space="preserve">                         </w:t>
      </w:r>
    </w:p>
    <w:p w:rsidR="000319B6" w:rsidRPr="009C1C49" w14:paraId="1EB76B1A" w14:textId="62C7A2ED">
      <w:pPr>
        <w:pStyle w:val="Numberedparagraphs"/>
        <w:tabs>
          <w:tab w:val="clear" w:pos="360"/>
        </w:tabs>
      </w:pPr>
      <w:r w:rsidRPr="009C1C49">
        <w:t xml:space="preserve">15.  There are no program changes </w:t>
      </w:r>
      <w:r w:rsidRPr="009C1C49" w:rsidR="00B32F50">
        <w:t>to this collection.  There are a</w:t>
      </w:r>
      <w:r w:rsidRPr="009C1C49">
        <w:t>djustments</w:t>
      </w:r>
      <w:r w:rsidRPr="009C1C49" w:rsidR="00B32F50">
        <w:t>/increases</w:t>
      </w:r>
      <w:r w:rsidRPr="009C1C49" w:rsidR="005A524A">
        <w:t xml:space="preserve"> to th</w:t>
      </w:r>
      <w:r w:rsidRPr="009C1C49" w:rsidR="00B32F50">
        <w:t>e</w:t>
      </w:r>
      <w:r w:rsidRPr="009C1C49" w:rsidR="005A524A">
        <w:t xml:space="preserve"> </w:t>
      </w:r>
      <w:r w:rsidRPr="009C1C49" w:rsidR="00B32F50">
        <w:t>c</w:t>
      </w:r>
      <w:r w:rsidRPr="009C1C49" w:rsidR="005A524A">
        <w:t>ollection</w:t>
      </w:r>
      <w:r w:rsidRPr="009C1C49" w:rsidR="00B32F50">
        <w:t xml:space="preserve"> of $</w:t>
      </w:r>
      <w:r w:rsidR="002534DC">
        <w:t>85,500</w:t>
      </w:r>
      <w:r w:rsidR="00C60AAB">
        <w:t xml:space="preserve"> to the annual cost </w:t>
      </w:r>
      <w:r w:rsidRPr="009C1C49" w:rsidR="00B32F50">
        <w:t>which are due to filing fees</w:t>
      </w:r>
      <w:r w:rsidRPr="009C1C49" w:rsidR="0022771D">
        <w:t xml:space="preserve"> associated with this collection</w:t>
      </w:r>
      <w:r w:rsidRPr="009C1C49">
        <w:t>.</w:t>
      </w:r>
    </w:p>
    <w:p w:rsidR="000319B6" w:rsidRPr="009C1C49" w14:paraId="1EB76B1B" w14:textId="77777777">
      <w:pPr>
        <w:pStyle w:val="BodyText2"/>
      </w:pPr>
      <w:r w:rsidRPr="009C1C49">
        <w:t>16.  The data will not be publish</w:t>
      </w:r>
      <w:r w:rsidRPr="009C1C49">
        <w:t>ed for statistical use.</w:t>
      </w:r>
    </w:p>
    <w:p w:rsidR="000319B6" w:rsidRPr="009C1C49" w14:paraId="1EB76B1C" w14:textId="77777777">
      <w:pPr>
        <w:pStyle w:val="BodyText2"/>
      </w:pPr>
    </w:p>
    <w:p w:rsidR="000319B6" w:rsidRPr="009C1C49" w14:paraId="1EB76B1D" w14:textId="77777777">
      <w:pPr>
        <w:pStyle w:val="BodyText2"/>
      </w:pPr>
      <w:r w:rsidRPr="009C1C49">
        <w:t>17.  The Commission does not seek approval to not display the expiration date for this collection of information.</w:t>
      </w:r>
    </w:p>
    <w:p w:rsidR="000319B6" w:rsidRPr="009C1C49" w14:paraId="1EB76B1E" w14:textId="77777777">
      <w:pPr>
        <w:suppressAutoHyphens/>
        <w:rPr>
          <w:sz w:val="24"/>
          <w:szCs w:val="24"/>
        </w:rPr>
      </w:pPr>
    </w:p>
    <w:p w:rsidR="000319B6" w:rsidRPr="009C1C49" w14:paraId="1EB76B1F" w14:textId="77777777">
      <w:pPr>
        <w:suppressAutoHyphens/>
        <w:rPr>
          <w:sz w:val="24"/>
          <w:szCs w:val="24"/>
          <w:shd w:val="clear" w:color="auto" w:fill="FFFFFF"/>
        </w:rPr>
      </w:pPr>
      <w:r w:rsidRPr="009C1C49">
        <w:rPr>
          <w:sz w:val="24"/>
          <w:szCs w:val="24"/>
        </w:rPr>
        <w:t xml:space="preserve">18. </w:t>
      </w:r>
      <w:r w:rsidRPr="009C1C49">
        <w:rPr>
          <w:sz w:val="24"/>
          <w:szCs w:val="24"/>
          <w:shd w:val="clear" w:color="auto" w:fill="FFFFFF"/>
        </w:rPr>
        <w:t>There are no exceptions to the Certification Statement.</w:t>
      </w:r>
    </w:p>
    <w:p w:rsidR="000319B6" w:rsidRPr="009C1C49" w14:paraId="1EB76B20" w14:textId="77777777">
      <w:pPr>
        <w:suppressAutoHyphens/>
        <w:ind w:left="360" w:hanging="360"/>
        <w:rPr>
          <w:shd w:val="clear" w:color="auto" w:fill="FFFFFF"/>
        </w:rPr>
      </w:pPr>
    </w:p>
    <w:p w:rsidR="000319B6" w:rsidRPr="009C1C49" w14:paraId="1EB76B21" w14:textId="77777777">
      <w:pPr>
        <w:suppressAutoHyphens/>
        <w:rPr>
          <w:rFonts w:ascii="Times New Roman Bold" w:eastAsia="Times New Roman Bold" w:hAnsi="Times New Roman Bold" w:cs="Times New Roman Bold"/>
          <w:sz w:val="24"/>
          <w:szCs w:val="24"/>
        </w:rPr>
      </w:pPr>
      <w:r w:rsidRPr="009C1C49">
        <w:rPr>
          <w:rFonts w:ascii="Times New Roman Bold"/>
          <w:sz w:val="24"/>
          <w:szCs w:val="24"/>
        </w:rPr>
        <w:t xml:space="preserve">B.  Collections of Information Employing </w:t>
      </w:r>
      <w:r w:rsidRPr="009C1C49">
        <w:rPr>
          <w:rFonts w:ascii="Times New Roman Bold"/>
          <w:sz w:val="24"/>
          <w:szCs w:val="24"/>
        </w:rPr>
        <w:t>Statistical Methods:</w:t>
      </w:r>
    </w:p>
    <w:p w:rsidR="000319B6" w:rsidRPr="009C1C49" w14:paraId="1EB76B22" w14:textId="77777777">
      <w:pPr>
        <w:suppressAutoHyphens/>
        <w:rPr>
          <w:rFonts w:ascii="Times New Roman Bold" w:eastAsia="Times New Roman Bold" w:hAnsi="Times New Roman Bold" w:cs="Times New Roman Bold"/>
          <w:sz w:val="24"/>
          <w:szCs w:val="24"/>
        </w:rPr>
      </w:pPr>
    </w:p>
    <w:p w:rsidR="000319B6" w14:paraId="1EB76B23" w14:textId="392CEBC1">
      <w:pPr>
        <w:pStyle w:val="BodyText2"/>
      </w:pPr>
      <w:r w:rsidRPr="009C1C49">
        <w:t>No statistical methods are employed.</w:t>
      </w:r>
    </w:p>
    <w:sectPr>
      <w:headerReference w:type="default" r:id="rId19"/>
      <w:footerReference w:type="default" r:id="rId20"/>
      <w:pgSz w:w="12240" w:h="15840"/>
      <w:pgMar w:top="1440" w:right="1440" w:bottom="1440" w:left="1440" w:header="1440" w:footer="144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19B6" w14:paraId="1EB76B2C" w14:textId="39AA7EC3">
    <w:pPr>
      <w:pStyle w:val="Footer"/>
      <w:jc w:val="center"/>
    </w:pPr>
    <w:r>
      <w:fldChar w:fldCharType="begin"/>
    </w:r>
    <w:r>
      <w:instrText xml:space="preserve"> PAGE </w:instrText>
    </w:r>
    <w:r>
      <w:fldChar w:fldCharType="separate"/>
    </w:r>
    <w:r w:rsidR="00195D4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71E16" w14:paraId="60240C55" w14:textId="77777777">
      <w:r>
        <w:separator/>
      </w:r>
    </w:p>
  </w:footnote>
  <w:footnote w:type="continuationSeparator" w:id="1">
    <w:p w:rsidR="00571E16" w14:paraId="4F65318C" w14:textId="77777777">
      <w:r>
        <w:continuationSeparator/>
      </w:r>
    </w:p>
  </w:footnote>
  <w:footnote w:type="continuationNotice" w:id="2">
    <w:p w:rsidR="00571E16" w14:paraId="161CE69E" w14:textId="77777777"/>
  </w:footnote>
  <w:footnote w:id="3">
    <w:p w:rsidR="000319B6" w14:paraId="1EB76B2D" w14:textId="77777777">
      <w:pPr>
        <w:pStyle w:val="FootnoteText"/>
      </w:pPr>
      <w:r>
        <w:rPr>
          <w:sz w:val="24"/>
          <w:szCs w:val="24"/>
          <w:vertAlign w:val="superscript"/>
        </w:rPr>
        <w:footnoteRef/>
      </w:r>
      <w:r>
        <w:rPr>
          <w:rFonts w:eastAsia="Arial Unicode MS" w:hAnsi="Arial Unicode MS" w:cs="Arial Unicode MS"/>
        </w:rPr>
        <w:t xml:space="preserve"> A pleading is a formal written document that contains the factual and legal allegations of a party.</w:t>
      </w:r>
    </w:p>
  </w:footnote>
  <w:footnote w:id="4">
    <w:p w:rsidR="000319B6" w14:paraId="1EB76B2E" w14:textId="77777777">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47 CFR Section 76.61(a)(3)(i)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(iii) for the specific items that should be contained in the complaint.</w:t>
      </w:r>
    </w:p>
  </w:footnote>
  <w:footnote w:id="5">
    <w:p w:rsidR="000319B6" w14:paraId="1EB76B2F" w14:textId="77777777">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47 CFR Section 76.61(b)(1)(i)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(ii) fo</w:t>
      </w:r>
      <w:r>
        <w:rPr>
          <w:rFonts w:eastAsia="Arial Unicode MS" w:hAnsi="Arial Unicode MS" w:cs="Arial Unicode MS"/>
        </w:rPr>
        <w:t>r the specific items that should be contained in the complaint.</w:t>
      </w:r>
    </w:p>
  </w:footnote>
  <w:footnote w:id="6">
    <w:p w:rsidR="000319B6" w14:paraId="1EB76B30" w14:textId="77777777">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47 CFR Section 76.1003(c)(1)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(8) for the specific complaint content requirements. </w:t>
      </w:r>
    </w:p>
  </w:footnote>
  <w:footnote w:id="7">
    <w:p w:rsidR="000319B6" w14:paraId="1EB76B31" w14:textId="77777777">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47 CFR Section 76.1003(d)(2)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(3) for specific items to be filed with the complaint for recove</w:t>
      </w:r>
      <w:r>
        <w:rPr>
          <w:rFonts w:eastAsia="Arial Unicode MS" w:hAnsi="Arial Unicode MS" w:cs="Arial Unicode MS"/>
        </w:rPr>
        <w:t xml:space="preserve">ry of damages. </w:t>
      </w:r>
    </w:p>
  </w:footnote>
  <w:footnote w:id="8">
    <w:p w:rsidR="000319B6" w14:paraId="1EB76B32" w14:textId="77777777">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47 CFR Section 76.1003(e)(3)(i)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(iii) for specific requirements pertaining to answering a discrimination complaint.</w:t>
      </w:r>
    </w:p>
  </w:footnote>
  <w:footnote w:id="9">
    <w:p w:rsidR="000319B6" w14:paraId="1EB76B33" w14:textId="77777777">
      <w:pPr>
        <w:pStyle w:val="FootnoteText"/>
      </w:pPr>
      <w:r>
        <w:rPr>
          <w:sz w:val="24"/>
          <w:szCs w:val="24"/>
          <w:vertAlign w:val="superscript"/>
        </w:rPr>
        <w:footnoteRef/>
      </w:r>
      <w:r>
        <w:rPr>
          <w:rFonts w:eastAsia="Arial Unicode MS" w:hAnsi="Arial Unicode MS" w:cs="Arial Unicode MS"/>
        </w:rPr>
        <w:t xml:space="preserve"> 47 CFR Section 76.1003(g)(1)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(3) specify the events that trigger the one-year period for filing the complaint.</w:t>
      </w:r>
    </w:p>
  </w:footnote>
  <w:footnote w:id="10">
    <w:p w:rsidR="000319B6" w14:paraId="1EB76B34" w14:textId="77777777">
      <w:pPr>
        <w:pStyle w:val="FootnoteText"/>
      </w:pPr>
      <w:r>
        <w:rPr>
          <w:sz w:val="24"/>
          <w:szCs w:val="24"/>
          <w:vertAlign w:val="superscript"/>
        </w:rPr>
        <w:footnoteRef/>
      </w:r>
      <w:r>
        <w:rPr>
          <w:rFonts w:eastAsia="Arial Unicode MS" w:hAnsi="Arial Unicode MS" w:cs="Arial Unicode MS"/>
        </w:rPr>
        <w:t xml:space="preserve"> 47 CFR Section 76.1003(h)(3)(ii) states that the complainant must demonstrate with specificity the damages arising from the program access violation.  Also, 47 CFR Section 76.1003(h)(3)(iii)(B)(1)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(3) specifies what should be submitted to the Commission</w:t>
      </w:r>
      <w:r>
        <w:rPr>
          <w:rFonts w:eastAsia="Arial Unicode MS" w:hAnsi="Arial Unicode MS" w:cs="Arial Unicode MS"/>
        </w:rPr>
        <w:t xml:space="preserve"> within thirty days from the issuance of the damage methodology order.</w:t>
      </w:r>
    </w:p>
  </w:footnote>
  <w:footnote w:id="11">
    <w:p w:rsidR="000319B6" w14:paraId="1EB76B35" w14:textId="77777777">
      <w:pPr>
        <w:pStyle w:val="FootnoteText"/>
      </w:pPr>
      <w:r>
        <w:rPr>
          <w:sz w:val="24"/>
          <w:szCs w:val="24"/>
          <w:vertAlign w:val="superscript"/>
        </w:rPr>
        <w:footnoteRef/>
      </w:r>
      <w:r>
        <w:rPr>
          <w:rFonts w:eastAsia="Arial Unicode MS" w:hAnsi="Arial Unicode MS" w:cs="Arial Unicode MS"/>
        </w:rPr>
        <w:t xml:space="preserve"> The complainant shall have the burden of proof to demonstrate requirements in its petition as outlined in 47 CFR Section 76.1003(l)(1)(i)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(iv).</w:t>
      </w:r>
    </w:p>
  </w:footnote>
  <w:footnote w:id="12">
    <w:p w:rsidR="000319B6" w14:paraId="1EB76B36" w14:textId="77777777">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47 CFR Section 76.1302(c)(1)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(3) for the specific content requirements for carriage agreement complaints.</w:t>
      </w:r>
    </w:p>
  </w:footnote>
  <w:footnote w:id="13">
    <w:p w:rsidR="000319B6" w14:paraId="1EB76B37" w14:textId="77777777">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47 CFR Section 76.1302(h)(1)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(3) for the three events.  </w:t>
      </w:r>
    </w:p>
  </w:footnote>
  <w:footnote w:id="14">
    <w:p w:rsidR="000319B6" w14:paraId="1EB76B38" w14:textId="77777777">
      <w:pPr>
        <w:pStyle w:val="FootnoteText"/>
      </w:pPr>
      <w:r>
        <w:rPr>
          <w:sz w:val="24"/>
          <w:szCs w:val="24"/>
          <w:vertAlign w:val="superscript"/>
        </w:rPr>
        <w:footnoteRef/>
      </w:r>
      <w:r>
        <w:rPr>
          <w:rFonts w:eastAsia="Arial Unicode MS" w:hAnsi="Arial Unicode MS" w:cs="Arial Unicode MS"/>
        </w:rPr>
        <w:t xml:space="preserve"> The complainant shall have the burden of proof to demonstrate in its petition the requirements as outlined in 47 CFR Section 76.1302(k)(1)(i)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(iv).</w:t>
      </w:r>
    </w:p>
  </w:footnote>
  <w:footnote w:id="15">
    <w:p w:rsidR="000319B6" w14:paraId="1EB76B39" w14:textId="77777777">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47 CFR Section 76.1513(d)(1)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(4) for specific requirements pertaining to the </w:t>
      </w:r>
      <w:r>
        <w:rPr>
          <w:rFonts w:eastAsia="Arial Unicode MS" w:hAnsi="Arial Unicode MS" w:cs="Arial Unicode MS"/>
        </w:rPr>
        <w:t>complaints.</w:t>
      </w:r>
    </w:p>
  </w:footnote>
  <w:footnote w:id="16">
    <w:p w:rsidR="000319B6" w14:paraId="1EB76B3A" w14:textId="69F0518A">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47 CFR Section 76.1513(e)(2) for specific requirements pertaining to </w:t>
      </w:r>
      <w:r w:rsidR="00244D57">
        <w:rPr>
          <w:rFonts w:eastAsia="Arial Unicode MS" w:hAnsi="Arial Unicode MS" w:cs="Arial Unicode MS"/>
        </w:rPr>
        <w:t xml:space="preserve">answers to </w:t>
      </w:r>
      <w:r>
        <w:rPr>
          <w:rFonts w:eastAsia="Arial Unicode MS" w:hAnsi="Arial Unicode MS" w:cs="Arial Unicode MS"/>
        </w:rPr>
        <w:t>open video system complaints.</w:t>
      </w:r>
    </w:p>
  </w:footnote>
  <w:footnote w:id="17">
    <w:p w:rsidR="000319B6" w14:paraId="1EB76B3B" w14:textId="77777777">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47 CFR Section 76.1513(g)(1)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(3) for the three events.</w:t>
      </w:r>
    </w:p>
  </w:footnote>
  <w:footnote w:id="18">
    <w:p w:rsidR="00C35535" w:rsidRPr="00E870E1" w:rsidP="00C35535" w14:paraId="2256AC87" w14:textId="43750C33">
      <w:pPr>
        <w:pStyle w:val="FootnoteText"/>
      </w:pPr>
      <w:r w:rsidRPr="00E870E1">
        <w:rPr>
          <w:rStyle w:val="FootnoteReference"/>
        </w:rPr>
        <w:footnoteRef/>
      </w:r>
      <w:r w:rsidRPr="00E870E1">
        <w:t xml:space="preserve"> </w:t>
      </w:r>
      <w:r w:rsidRPr="00E870E1">
        <w:rPr>
          <w:i/>
        </w:rPr>
        <w:t>See Media Bureau Announces Commencement of Mandatory Electronic</w:t>
      </w:r>
      <w:r w:rsidRPr="00E870E1">
        <w:rPr>
          <w:i/>
        </w:rPr>
        <w:t xml:space="preserve"> Filing for Cable Special Relief Petitions and Cable Show Cause Petitions Via the Electronic Comment Filing System</w:t>
      </w:r>
      <w:r w:rsidRPr="00E870E1">
        <w:t xml:space="preserve">, Public Notice, 26 FCC Rcd 17150 (MB 2011).  Petitions and complaints must be initially filed in MB Docket No. 12-1 and will be assigned </w:t>
      </w:r>
      <w:r>
        <w:t xml:space="preserve">to </w:t>
      </w:r>
      <w:r w:rsidRPr="00E870E1">
        <w:t>a</w:t>
      </w:r>
      <w:r w:rsidRPr="00E870E1">
        <w:t xml:space="preserve"> </w:t>
      </w:r>
      <w:r>
        <w:t xml:space="preserve">new </w:t>
      </w:r>
      <w:r w:rsidRPr="00E870E1">
        <w:t xml:space="preserve">docket after </w:t>
      </w:r>
      <w:r w:rsidR="007E5803">
        <w:t xml:space="preserve">their </w:t>
      </w:r>
      <w:r w:rsidRPr="00E870E1">
        <w:t>placement on public notice</w:t>
      </w:r>
      <w:r>
        <w:t>.</w:t>
      </w:r>
    </w:p>
  </w:footnote>
  <w:footnote w:id="19">
    <w:p w:rsidR="000319B6" w14:paraId="1EB76B3E" w14:textId="77777777">
      <w:pPr>
        <w:pStyle w:val="FootnoteText"/>
      </w:pPr>
      <w:r>
        <w:rPr>
          <w:sz w:val="24"/>
          <w:szCs w:val="24"/>
          <w:vertAlign w:val="superscript"/>
        </w:rPr>
        <w:footnoteRef/>
      </w:r>
      <w:r>
        <w:rPr>
          <w:rFonts w:eastAsia="Arial Unicode MS" w:hAnsi="Arial Unicode MS" w:cs="Arial Unicode MS"/>
        </w:rPr>
        <w:t xml:space="preserve"> Attorneys are expected to take 30.8 hours to complete tasks.</w:t>
      </w:r>
    </w:p>
  </w:footnote>
  <w:footnote w:id="20">
    <w:p w:rsidR="0022771D" w14:paraId="725625FC" w14:textId="32F967FD">
      <w:pPr>
        <w:pStyle w:val="FootnoteText"/>
      </w:pPr>
      <w:r>
        <w:rPr>
          <w:rStyle w:val="FootnoteReference"/>
        </w:rPr>
        <w:footnoteRef/>
      </w:r>
      <w:r>
        <w:rPr>
          <w:rFonts w:ascii="Calibri" w:hAnsi="Calibri"/>
          <w:snapToGrid w:val="0"/>
          <w:kern w:val="28"/>
          <w:sz w:val="24"/>
          <w:szCs w:val="24"/>
        </w:rPr>
        <w:t xml:space="preserve"> </w:t>
      </w:r>
      <w:r w:rsidRPr="0022771D">
        <w:rPr>
          <w:snapToGrid w:val="0"/>
          <w:kern w:val="28"/>
        </w:rPr>
        <w:t>The fee</w:t>
      </w:r>
      <w:r>
        <w:rPr>
          <w:snapToGrid w:val="0"/>
          <w:kern w:val="28"/>
        </w:rPr>
        <w:t>s</w:t>
      </w:r>
      <w:r w:rsidRPr="0022771D">
        <w:rPr>
          <w:snapToGrid w:val="0"/>
          <w:kern w:val="28"/>
        </w:rPr>
        <w:t xml:space="preserve"> </w:t>
      </w:r>
      <w:r>
        <w:rPr>
          <w:snapToGrid w:val="0"/>
          <w:kern w:val="28"/>
        </w:rPr>
        <w:t xml:space="preserve">are </w:t>
      </w:r>
      <w:r w:rsidRPr="0022771D">
        <w:rPr>
          <w:snapToGrid w:val="0"/>
          <w:kern w:val="28"/>
        </w:rPr>
        <w:t>attache</w:t>
      </w:r>
      <w:r>
        <w:rPr>
          <w:snapToGrid w:val="0"/>
          <w:kern w:val="28"/>
        </w:rPr>
        <w:t>d</w:t>
      </w:r>
      <w:r w:rsidRPr="0022771D">
        <w:rPr>
          <w:snapToGrid w:val="0"/>
          <w:kern w:val="28"/>
        </w:rPr>
        <w:t xml:space="preserve"> to the filing of the initial petition</w:t>
      </w:r>
      <w:r>
        <w:rPr>
          <w:snapToGrid w:val="0"/>
          <w:kern w:val="28"/>
        </w:rPr>
        <w:t>s</w:t>
      </w:r>
      <w:r w:rsidRPr="0022771D">
        <w:rPr>
          <w:snapToGrid w:val="0"/>
          <w:kern w:val="28"/>
        </w:rPr>
        <w:t>/complaint</w:t>
      </w:r>
      <w:r>
        <w:rPr>
          <w:snapToGrid w:val="0"/>
          <w:kern w:val="28"/>
        </w:rPr>
        <w:t>s</w:t>
      </w:r>
      <w:r w:rsidRPr="0022771D">
        <w:rPr>
          <w:snapToGrid w:val="0"/>
          <w:kern w:val="28"/>
        </w:rPr>
        <w:t xml:space="preserve"> and not for responsive pleadings.</w:t>
      </w:r>
      <w:r w:rsidRPr="0022771D">
        <w:rPr>
          <w:rFonts w:ascii="Calibri" w:hAnsi="Calibri"/>
          <w:snapToGrid w:val="0"/>
          <w:kern w:val="28"/>
          <w:sz w:val="24"/>
          <w:szCs w:val="24"/>
        </w:rPr>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59DB" w:rsidRPr="00CB09BE" w:rsidP="00CB09BE" w14:paraId="1EB76B29" w14:textId="5DBD946B">
    <w:pPr>
      <w:rPr>
        <w:sz w:val="20"/>
      </w:rPr>
    </w:pPr>
    <w:r w:rsidRPr="00CB09BE">
      <w:rPr>
        <w:b/>
        <w:sz w:val="20"/>
      </w:rPr>
      <w:t>OMB 3060-0888</w:t>
    </w:r>
    <w:r w:rsidRPr="00CB09BE">
      <w:rPr>
        <w:b/>
        <w:sz w:val="20"/>
      </w:rPr>
      <w:tab/>
    </w:r>
    <w:r w:rsidRPr="00CB09BE">
      <w:rPr>
        <w:b/>
        <w:sz w:val="20"/>
      </w:rPr>
      <w:tab/>
    </w:r>
    <w:r w:rsidRPr="00CB09BE">
      <w:rPr>
        <w:b/>
        <w:sz w:val="20"/>
      </w:rPr>
      <w:tab/>
    </w:r>
    <w:r w:rsidRPr="00CB09BE">
      <w:rPr>
        <w:b/>
        <w:sz w:val="20"/>
      </w:rPr>
      <w:tab/>
    </w:r>
    <w:r w:rsidRPr="00CB09BE">
      <w:rPr>
        <w:b/>
        <w:sz w:val="20"/>
      </w:rPr>
      <w:tab/>
    </w:r>
    <w:r w:rsidRPr="00CB09BE">
      <w:rPr>
        <w:b/>
        <w:sz w:val="20"/>
      </w:rPr>
      <w:tab/>
    </w:r>
    <w:r w:rsidRPr="00CB09BE">
      <w:rPr>
        <w:b/>
        <w:sz w:val="20"/>
      </w:rPr>
      <w:tab/>
    </w:r>
    <w:r w:rsidRPr="00CB09BE">
      <w:rPr>
        <w:b/>
        <w:sz w:val="20"/>
      </w:rPr>
      <w:tab/>
    </w:r>
    <w:r w:rsidR="009738B5">
      <w:rPr>
        <w:b/>
      </w:rPr>
      <w:t>September 2</w:t>
    </w:r>
    <w:r w:rsidR="00CE5286">
      <w:rPr>
        <w:b/>
      </w:rPr>
      <w:t>0</w:t>
    </w:r>
    <w:r w:rsidR="00742A11">
      <w:rPr>
        <w:b/>
      </w:rPr>
      <w:t>2</w:t>
    </w:r>
    <w:r w:rsidR="005A3DBD">
      <w:rPr>
        <w:b/>
      </w:rPr>
      <w:t>3</w:t>
    </w:r>
  </w:p>
  <w:p w:rsidR="000319B6" w:rsidRPr="00CB09BE" w:rsidP="00CB09BE" w14:paraId="1EB76B2A" w14:textId="198739F5">
    <w:pPr>
      <w:rPr>
        <w:rFonts w:eastAsia="Times New Roman Bold" w:cs="Times New Roman Bold"/>
        <w:sz w:val="20"/>
      </w:rPr>
    </w:pPr>
    <w:r w:rsidRPr="00CB09BE">
      <w:rPr>
        <w:b/>
        <w:sz w:val="20"/>
      </w:rPr>
      <w:t xml:space="preserve">Title: Section 76.7, Petition Procedures; Section 76.9, Confidentiality of Proprietary Information; Section 76.61, Dispute Concerning </w:t>
    </w:r>
    <w:r w:rsidRPr="00CB09BE">
      <w:rPr>
        <w:b/>
        <w:sz w:val="20"/>
      </w:rPr>
      <w:t>Carriage; Section 76.914, Revocation of Certification; Section 76.1001, Unfair Practices; Section 76.1003, Program Access Proceedings; Section 76.1302, Carriage Agreement Proceedings; Section 76.1513, Open Video Dispute Resolution</w:t>
    </w:r>
  </w:p>
  <w:p w:rsidR="000319B6" w:rsidRPr="00CB09BE" w:rsidP="00CB09BE" w14:paraId="1EB76B2B" w14:textId="77777777">
    <w:pPr>
      <w:rPr>
        <w:sz w:val="20"/>
      </w:rPr>
    </w:pPr>
    <w:r w:rsidRPr="00CB09BE">
      <w:rPr>
        <w:b/>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590969686">
    <w:abstractNumId w:val="1"/>
  </w:num>
  <w:num w:numId="2" w16cid:durableId="169872617">
    <w:abstractNumId w:val="5"/>
  </w:num>
  <w:num w:numId="3" w16cid:durableId="360060779">
    <w:abstractNumId w:val="3"/>
  </w:num>
  <w:num w:numId="4" w16cid:durableId="23796397">
    <w:abstractNumId w:val="4"/>
  </w:num>
  <w:num w:numId="5" w16cid:durableId="914125288">
    <w:abstractNumId w:val="2"/>
  </w:num>
  <w:num w:numId="6" w16cid:durableId="1156996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linkStyles/>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9B6"/>
    <w:rsid w:val="00027332"/>
    <w:rsid w:val="000319B6"/>
    <w:rsid w:val="000458BE"/>
    <w:rsid w:val="0005237A"/>
    <w:rsid w:val="00087FC5"/>
    <w:rsid w:val="000F2E6C"/>
    <w:rsid w:val="00113322"/>
    <w:rsid w:val="001328EA"/>
    <w:rsid w:val="00147952"/>
    <w:rsid w:val="00156F2C"/>
    <w:rsid w:val="00163B24"/>
    <w:rsid w:val="0017605D"/>
    <w:rsid w:val="00195D46"/>
    <w:rsid w:val="001A2B85"/>
    <w:rsid w:val="00207104"/>
    <w:rsid w:val="0022771D"/>
    <w:rsid w:val="00240486"/>
    <w:rsid w:val="0024136F"/>
    <w:rsid w:val="00244D57"/>
    <w:rsid w:val="002534DC"/>
    <w:rsid w:val="00256272"/>
    <w:rsid w:val="002828E2"/>
    <w:rsid w:val="002C0CEF"/>
    <w:rsid w:val="002C4DDB"/>
    <w:rsid w:val="002C7863"/>
    <w:rsid w:val="002D355C"/>
    <w:rsid w:val="002D3975"/>
    <w:rsid w:val="003610D2"/>
    <w:rsid w:val="0039732C"/>
    <w:rsid w:val="003B59DB"/>
    <w:rsid w:val="003D37DB"/>
    <w:rsid w:val="003E526E"/>
    <w:rsid w:val="003F6822"/>
    <w:rsid w:val="0040314D"/>
    <w:rsid w:val="00455FE3"/>
    <w:rsid w:val="004576DA"/>
    <w:rsid w:val="004723C7"/>
    <w:rsid w:val="00497D78"/>
    <w:rsid w:val="004B50C3"/>
    <w:rsid w:val="004E3542"/>
    <w:rsid w:val="004F3C0D"/>
    <w:rsid w:val="004F4845"/>
    <w:rsid w:val="0050015A"/>
    <w:rsid w:val="00525FC5"/>
    <w:rsid w:val="005378C2"/>
    <w:rsid w:val="005642AD"/>
    <w:rsid w:val="00571E16"/>
    <w:rsid w:val="0057205C"/>
    <w:rsid w:val="005A295B"/>
    <w:rsid w:val="005A3DBD"/>
    <w:rsid w:val="005A524A"/>
    <w:rsid w:val="005C0358"/>
    <w:rsid w:val="005D629C"/>
    <w:rsid w:val="00612495"/>
    <w:rsid w:val="00633C46"/>
    <w:rsid w:val="00650D4E"/>
    <w:rsid w:val="00696D18"/>
    <w:rsid w:val="006A75FA"/>
    <w:rsid w:val="00730B42"/>
    <w:rsid w:val="00742A11"/>
    <w:rsid w:val="00751B7B"/>
    <w:rsid w:val="00761E79"/>
    <w:rsid w:val="00763FEE"/>
    <w:rsid w:val="0077453A"/>
    <w:rsid w:val="007A1179"/>
    <w:rsid w:val="007E5803"/>
    <w:rsid w:val="007F1BC6"/>
    <w:rsid w:val="007F3153"/>
    <w:rsid w:val="0083724D"/>
    <w:rsid w:val="00853F57"/>
    <w:rsid w:val="00855B07"/>
    <w:rsid w:val="00864EB1"/>
    <w:rsid w:val="008655F7"/>
    <w:rsid w:val="00937A81"/>
    <w:rsid w:val="009506C4"/>
    <w:rsid w:val="009738B5"/>
    <w:rsid w:val="0098023C"/>
    <w:rsid w:val="00983202"/>
    <w:rsid w:val="0098757F"/>
    <w:rsid w:val="009C1C49"/>
    <w:rsid w:val="009D1C43"/>
    <w:rsid w:val="009D4DD2"/>
    <w:rsid w:val="00A4159C"/>
    <w:rsid w:val="00A41755"/>
    <w:rsid w:val="00A511E3"/>
    <w:rsid w:val="00AA0D95"/>
    <w:rsid w:val="00AA21BD"/>
    <w:rsid w:val="00AB559B"/>
    <w:rsid w:val="00AC3BA2"/>
    <w:rsid w:val="00B1469F"/>
    <w:rsid w:val="00B31197"/>
    <w:rsid w:val="00B32F50"/>
    <w:rsid w:val="00B362CB"/>
    <w:rsid w:val="00B75FF4"/>
    <w:rsid w:val="00B85C54"/>
    <w:rsid w:val="00BB5129"/>
    <w:rsid w:val="00BD1B62"/>
    <w:rsid w:val="00BE7127"/>
    <w:rsid w:val="00C35535"/>
    <w:rsid w:val="00C41AC4"/>
    <w:rsid w:val="00C41C43"/>
    <w:rsid w:val="00C43367"/>
    <w:rsid w:val="00C60AAB"/>
    <w:rsid w:val="00C7052A"/>
    <w:rsid w:val="00CB09BE"/>
    <w:rsid w:val="00CE5286"/>
    <w:rsid w:val="00D55B86"/>
    <w:rsid w:val="00D604A6"/>
    <w:rsid w:val="00D70E21"/>
    <w:rsid w:val="00D749FD"/>
    <w:rsid w:val="00D806CA"/>
    <w:rsid w:val="00D8571D"/>
    <w:rsid w:val="00DB5143"/>
    <w:rsid w:val="00DC1392"/>
    <w:rsid w:val="00DD569C"/>
    <w:rsid w:val="00DE219B"/>
    <w:rsid w:val="00E15CD4"/>
    <w:rsid w:val="00E16E53"/>
    <w:rsid w:val="00E2714E"/>
    <w:rsid w:val="00E870E1"/>
    <w:rsid w:val="00EA37A0"/>
    <w:rsid w:val="00EB2785"/>
    <w:rsid w:val="00ED13AC"/>
    <w:rsid w:val="00F071EC"/>
    <w:rsid w:val="00F10625"/>
    <w:rsid w:val="00F14DBF"/>
    <w:rsid w:val="00F26CF0"/>
    <w:rsid w:val="00F3570A"/>
    <w:rsid w:val="00F63E9F"/>
    <w:rsid w:val="00F90457"/>
    <w:rsid w:val="00F9351B"/>
    <w:rsid w:val="00FF33AB"/>
    <w:rsid w:val="00FF36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B76A6D"/>
  <w15:docId w15:val="{A479EF8F-A04C-4980-9198-EBCF3529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0457"/>
    <w:pPr>
      <w:pBdr>
        <w:top w:val="none" w:sz="0" w:space="0" w:color="auto"/>
        <w:left w:val="none" w:sz="0" w:space="0" w:color="auto"/>
        <w:bottom w:val="none" w:sz="0" w:space="0" w:color="auto"/>
        <w:right w:val="none" w:sz="0" w:space="0" w:color="auto"/>
        <w:between w:val="none" w:sz="0" w:space="0" w:color="auto"/>
        <w:bar w:val="none" w:sz="0" w:space="0" w:color="auto"/>
      </w:pBdr>
      <w:spacing w:after="160" w:line="259" w:lineRule="auto"/>
    </w:pPr>
    <w:rPr>
      <w:rFonts w:asciiTheme="minorHAnsi" w:eastAsiaTheme="minorHAnsi" w:hAnsiTheme="minorHAnsi" w:cstheme="minorBidi"/>
      <w:kern w:val="2"/>
      <w:sz w:val="22"/>
      <w:szCs w:val="22"/>
      <w:bdr w:val="none" w:sz="0" w:space="0" w:color="auto"/>
      <w14:ligatures w14:val="standardContextual"/>
    </w:rPr>
  </w:style>
  <w:style w:type="paragraph" w:styleId="Heading1">
    <w:name w:val="heading 1"/>
    <w:basedOn w:val="Normal"/>
    <w:next w:val="ParaNum"/>
    <w:qFormat/>
    <w:rsid w:val="009738B5"/>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9738B5"/>
    <w:pPr>
      <w:keepNext/>
      <w:numPr>
        <w:ilvl w:val="1"/>
        <w:numId w:val="3"/>
      </w:numPr>
      <w:spacing w:after="120"/>
      <w:outlineLvl w:val="1"/>
    </w:pPr>
    <w:rPr>
      <w:b/>
    </w:rPr>
  </w:style>
  <w:style w:type="paragraph" w:styleId="Heading3">
    <w:name w:val="heading 3"/>
    <w:basedOn w:val="Normal"/>
    <w:next w:val="ParaNum"/>
    <w:qFormat/>
    <w:rsid w:val="009738B5"/>
    <w:pPr>
      <w:keepNext/>
      <w:numPr>
        <w:ilvl w:val="2"/>
        <w:numId w:val="3"/>
      </w:numPr>
      <w:tabs>
        <w:tab w:val="left" w:pos="2160"/>
      </w:tabs>
      <w:spacing w:after="120"/>
      <w:outlineLvl w:val="2"/>
    </w:pPr>
    <w:rPr>
      <w:b/>
    </w:rPr>
  </w:style>
  <w:style w:type="paragraph" w:styleId="Heading4">
    <w:name w:val="heading 4"/>
    <w:basedOn w:val="Normal"/>
    <w:next w:val="ParaNum"/>
    <w:link w:val="Heading4Char"/>
    <w:qFormat/>
    <w:rsid w:val="009738B5"/>
    <w:pPr>
      <w:keepNext/>
      <w:numPr>
        <w:ilvl w:val="3"/>
        <w:numId w:val="3"/>
      </w:numPr>
      <w:tabs>
        <w:tab w:val="left" w:pos="2880"/>
      </w:tabs>
      <w:spacing w:after="120"/>
      <w:outlineLvl w:val="3"/>
    </w:pPr>
    <w:rPr>
      <w:b/>
    </w:rPr>
  </w:style>
  <w:style w:type="paragraph" w:styleId="Heading5">
    <w:name w:val="heading 5"/>
    <w:basedOn w:val="Normal"/>
    <w:next w:val="ParaNum"/>
    <w:link w:val="Heading5Char"/>
    <w:qFormat/>
    <w:rsid w:val="009738B5"/>
    <w:pPr>
      <w:keepNext/>
      <w:numPr>
        <w:ilvl w:val="4"/>
        <w:numId w:val="3"/>
      </w:numPr>
      <w:tabs>
        <w:tab w:val="left" w:pos="3600"/>
      </w:tabs>
      <w:suppressAutoHyphens/>
      <w:spacing w:after="120"/>
      <w:outlineLvl w:val="4"/>
    </w:pPr>
    <w:rPr>
      <w:b/>
    </w:rPr>
  </w:style>
  <w:style w:type="paragraph" w:styleId="Heading6">
    <w:name w:val="heading 6"/>
    <w:basedOn w:val="Normal"/>
    <w:next w:val="ParaNum"/>
    <w:link w:val="Heading6Char"/>
    <w:qFormat/>
    <w:rsid w:val="009738B5"/>
    <w:pPr>
      <w:numPr>
        <w:ilvl w:val="5"/>
        <w:numId w:val="3"/>
      </w:numPr>
      <w:tabs>
        <w:tab w:val="left" w:pos="4320"/>
      </w:tabs>
      <w:spacing w:after="120"/>
      <w:outlineLvl w:val="5"/>
    </w:pPr>
    <w:rPr>
      <w:b/>
    </w:rPr>
  </w:style>
  <w:style w:type="paragraph" w:styleId="Heading7">
    <w:name w:val="heading 7"/>
    <w:basedOn w:val="Normal"/>
    <w:next w:val="ParaNum"/>
    <w:link w:val="Heading7Char"/>
    <w:qFormat/>
    <w:rsid w:val="009738B5"/>
    <w:pPr>
      <w:numPr>
        <w:ilvl w:val="6"/>
        <w:numId w:val="3"/>
      </w:numPr>
      <w:tabs>
        <w:tab w:val="left" w:pos="5040"/>
      </w:tabs>
      <w:spacing w:after="120"/>
      <w:ind w:left="5040" w:hanging="720"/>
      <w:outlineLvl w:val="6"/>
    </w:pPr>
    <w:rPr>
      <w:b/>
    </w:rPr>
  </w:style>
  <w:style w:type="paragraph" w:styleId="Heading8">
    <w:name w:val="heading 8"/>
    <w:basedOn w:val="Normal"/>
    <w:next w:val="ParaNum"/>
    <w:link w:val="Heading8Char"/>
    <w:qFormat/>
    <w:rsid w:val="009738B5"/>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9738B5"/>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F9045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90457"/>
  </w:style>
  <w:style w:type="character" w:styleId="Hyperlink">
    <w:name w:val="Hyperlink"/>
    <w:rsid w:val="009738B5"/>
    <w:rPr>
      <w:color w:val="0000FF"/>
      <w:u w:val="single"/>
    </w:rPr>
  </w:style>
  <w:style w:type="paragraph" w:styleId="Footer">
    <w:name w:val="footer"/>
    <w:basedOn w:val="Normal"/>
    <w:link w:val="FooterChar"/>
    <w:uiPriority w:val="99"/>
    <w:rsid w:val="009738B5"/>
    <w:pPr>
      <w:tabs>
        <w:tab w:val="center" w:pos="4320"/>
        <w:tab w:val="right" w:pos="8640"/>
      </w:tabs>
    </w:pPr>
  </w:style>
  <w:style w:type="paragraph" w:customStyle="1" w:styleId="Numberedparagraphs">
    <w:name w:val="Numbered paragraphs"/>
    <w:pPr>
      <w:tabs>
        <w:tab w:val="left" w:pos="360"/>
        <w:tab w:val="left" w:pos="1440"/>
      </w:tabs>
      <w:spacing w:after="220"/>
    </w:pPr>
    <w:rPr>
      <w:rFonts w:hAnsi="Arial Unicode MS" w:cs="Arial Unicode MS"/>
      <w:color w:val="000000"/>
      <w:sz w:val="24"/>
      <w:szCs w:val="24"/>
      <w:u w:color="000000"/>
    </w:rPr>
  </w:style>
  <w:style w:type="paragraph" w:styleId="FootnoteText">
    <w:name w:val="footnote text"/>
    <w:aliases w:val="Footnote Text Char,Footnote Text Char Char Char,Footnote Text Char Char Char Char Char1,Footnote Text Char1 Char,Footnote Text Char1 Char Char Char1,Footnote Text Char2 Char,Footnote Text Char2 Char Char Char Char Char1,Footnote Text Char3"/>
    <w:link w:val="FootnoteTextChar1"/>
    <w:rsid w:val="009738B5"/>
    <w:pPr>
      <w:pBdr>
        <w:top w:val="none" w:sz="0" w:space="0" w:color="auto"/>
        <w:left w:val="none" w:sz="0" w:space="0" w:color="auto"/>
        <w:bottom w:val="none" w:sz="0" w:space="0" w:color="auto"/>
        <w:right w:val="none" w:sz="0" w:space="0" w:color="auto"/>
        <w:between w:val="none" w:sz="0" w:space="0" w:color="auto"/>
        <w:bar w:val="none" w:sz="0" w:space="0" w:color="auto"/>
      </w:pBdr>
      <w:spacing w:after="120"/>
    </w:pPr>
    <w:rPr>
      <w:rFonts w:eastAsia="Times New Roman"/>
      <w:bdr w:val="none" w:sz="0" w:space="0" w:color="auto"/>
    </w:rPr>
  </w:style>
  <w:style w:type="character" w:styleId="PageNumber">
    <w:name w:val="page number"/>
    <w:basedOn w:val="DefaultParagraphFont"/>
    <w:rsid w:val="009738B5"/>
  </w:style>
  <w:style w:type="character" w:customStyle="1" w:styleId="Hyperlink0">
    <w:name w:val="Hyperlink.0"/>
    <w:basedOn w:val="PageNumber"/>
    <w:rPr>
      <w:color w:val="000000"/>
      <w:sz w:val="24"/>
      <w:szCs w:val="24"/>
      <w:u w:color="000000"/>
    </w:rPr>
  </w:style>
  <w:style w:type="paragraph" w:styleId="BodyText2">
    <w:name w:val="Body Text 2"/>
    <w:pPr>
      <w:suppressAutoHyphens/>
    </w:pPr>
    <w:rPr>
      <w:rFonts w:hAnsi="Arial Unicode MS" w:cs="Arial Unicode MS"/>
      <w:color w:val="000000"/>
      <w:sz w:val="24"/>
      <w:szCs w:val="24"/>
      <w:u w:color="000000"/>
    </w:rPr>
  </w:style>
  <w:style w:type="paragraph" w:styleId="BodyText">
    <w:name w:val="Body Text"/>
    <w:pPr>
      <w:suppressAutoHyphens/>
    </w:pPr>
    <w:rPr>
      <w:rFonts w:ascii="Times New Roman Bold" w:hAnsi="Arial Unicode MS" w:cs="Arial Unicode MS"/>
      <w:color w:val="000000"/>
      <w:sz w:val="24"/>
      <w:szCs w:val="24"/>
      <w:u w:color="000000"/>
    </w:rPr>
  </w:style>
  <w:style w:type="paragraph" w:styleId="Header">
    <w:name w:val="header"/>
    <w:basedOn w:val="Normal"/>
    <w:link w:val="HeaderChar"/>
    <w:autoRedefine/>
    <w:rsid w:val="009738B5"/>
    <w:pPr>
      <w:tabs>
        <w:tab w:val="center" w:pos="4680"/>
        <w:tab w:val="right" w:pos="9360"/>
      </w:tabs>
    </w:pPr>
    <w:rPr>
      <w:b/>
    </w:rPr>
  </w:style>
  <w:style w:type="character" w:customStyle="1" w:styleId="HeaderChar">
    <w:name w:val="Header Char"/>
    <w:basedOn w:val="DefaultParagraphFont"/>
    <w:link w:val="Header"/>
    <w:rsid w:val="003B59DB"/>
    <w:rPr>
      <w:rFonts w:eastAsia="Times New Roman"/>
      <w:b/>
      <w:snapToGrid w:val="0"/>
      <w:kern w:val="28"/>
      <w:sz w:val="22"/>
      <w:bdr w:val="none" w:sz="0" w:space="0" w:color="auto"/>
    </w:rPr>
  </w:style>
  <w:style w:type="paragraph" w:styleId="BalloonText">
    <w:name w:val="Balloon Text"/>
    <w:basedOn w:val="Normal"/>
    <w:link w:val="BalloonTextChar"/>
    <w:uiPriority w:val="99"/>
    <w:semiHidden/>
    <w:unhideWhenUsed/>
    <w:rsid w:val="003B59DB"/>
    <w:rPr>
      <w:rFonts w:ascii="Tahoma" w:hAnsi="Tahoma" w:cs="Tahoma"/>
      <w:sz w:val="16"/>
      <w:szCs w:val="16"/>
    </w:rPr>
  </w:style>
  <w:style w:type="character" w:customStyle="1" w:styleId="BalloonTextChar">
    <w:name w:val="Balloon Text Char"/>
    <w:basedOn w:val="DefaultParagraphFont"/>
    <w:link w:val="BalloonText"/>
    <w:uiPriority w:val="99"/>
    <w:semiHidden/>
    <w:rsid w:val="003B59DB"/>
    <w:rPr>
      <w:rFonts w:ascii="Tahoma" w:hAnsi="Tahoma" w:cs="Tahoma"/>
      <w:color w:val="000000"/>
      <w:sz w:val="16"/>
      <w:szCs w:val="16"/>
      <w:u w:color="000000"/>
    </w:rPr>
  </w:style>
  <w:style w:type="character" w:styleId="FootnoteReference">
    <w:name w:val="footnote reference"/>
    <w:aliases w:val="(NECG) Footnote Reference,Appel note de bas de p,FR,Footnote Reference/,Style 12,Style 124,Style 13,Style 17,Style 3,Style 4,Style 6,Style 7,fr,o"/>
    <w:rsid w:val="009738B5"/>
    <w:rPr>
      <w:rFonts w:ascii="Times New Roman" w:hAnsi="Times New Roman"/>
      <w:dstrike w:val="0"/>
      <w:color w:val="auto"/>
      <w:sz w:val="20"/>
      <w:vertAlign w:val="superscript"/>
    </w:rPr>
  </w:style>
  <w:style w:type="character" w:customStyle="1" w:styleId="FootnoteTextChar1">
    <w:name w:val="Footnote Text Char1"/>
    <w:aliases w:val="Footnote Text Char Char,Footnote Text Char Char Char Char,Footnote Text Char Char Char Char Char1 Char,Footnote Text Char1 Char Char,Footnote Text Char1 Char Char Char1 Char,Footnote Text Char2 Char Char,Footnote Text Char3 Char"/>
    <w:link w:val="FootnoteText"/>
    <w:rsid w:val="00E15CD4"/>
    <w:rPr>
      <w:rFonts w:eastAsia="Times New Roman"/>
      <w:bdr w:val="none" w:sz="0" w:space="0" w:color="auto"/>
    </w:rPr>
  </w:style>
  <w:style w:type="character" w:customStyle="1" w:styleId="Heading4Char">
    <w:name w:val="Heading 4 Char"/>
    <w:basedOn w:val="DefaultParagraphFont"/>
    <w:link w:val="Heading4"/>
    <w:rsid w:val="00C7052A"/>
    <w:rPr>
      <w:rFonts w:eastAsia="Times New Roman"/>
      <w:b/>
      <w:snapToGrid w:val="0"/>
      <w:kern w:val="28"/>
      <w:sz w:val="22"/>
      <w:bdr w:val="none" w:sz="0" w:space="0" w:color="auto"/>
    </w:rPr>
  </w:style>
  <w:style w:type="character" w:customStyle="1" w:styleId="Heading5Char">
    <w:name w:val="Heading 5 Char"/>
    <w:basedOn w:val="DefaultParagraphFont"/>
    <w:link w:val="Heading5"/>
    <w:rsid w:val="00C7052A"/>
    <w:rPr>
      <w:rFonts w:eastAsia="Times New Roman"/>
      <w:b/>
      <w:snapToGrid w:val="0"/>
      <w:kern w:val="28"/>
      <w:sz w:val="22"/>
      <w:bdr w:val="none" w:sz="0" w:space="0" w:color="auto"/>
    </w:rPr>
  </w:style>
  <w:style w:type="character" w:customStyle="1" w:styleId="Heading6Char">
    <w:name w:val="Heading 6 Char"/>
    <w:basedOn w:val="DefaultParagraphFont"/>
    <w:link w:val="Heading6"/>
    <w:rsid w:val="00C7052A"/>
    <w:rPr>
      <w:rFonts w:eastAsia="Times New Roman"/>
      <w:b/>
      <w:snapToGrid w:val="0"/>
      <w:kern w:val="28"/>
      <w:sz w:val="22"/>
      <w:bdr w:val="none" w:sz="0" w:space="0" w:color="auto"/>
    </w:rPr>
  </w:style>
  <w:style w:type="character" w:customStyle="1" w:styleId="Heading7Char">
    <w:name w:val="Heading 7 Char"/>
    <w:basedOn w:val="DefaultParagraphFont"/>
    <w:link w:val="Heading7"/>
    <w:rsid w:val="00C7052A"/>
    <w:rPr>
      <w:rFonts w:eastAsia="Times New Roman"/>
      <w:b/>
      <w:snapToGrid w:val="0"/>
      <w:kern w:val="28"/>
      <w:sz w:val="22"/>
      <w:bdr w:val="none" w:sz="0" w:space="0" w:color="auto"/>
    </w:rPr>
  </w:style>
  <w:style w:type="character" w:customStyle="1" w:styleId="Heading8Char">
    <w:name w:val="Heading 8 Char"/>
    <w:basedOn w:val="DefaultParagraphFont"/>
    <w:link w:val="Heading8"/>
    <w:rsid w:val="00C7052A"/>
    <w:rPr>
      <w:rFonts w:eastAsia="Times New Roman"/>
      <w:b/>
      <w:snapToGrid w:val="0"/>
      <w:kern w:val="28"/>
      <w:sz w:val="22"/>
      <w:bdr w:val="none" w:sz="0" w:space="0" w:color="auto"/>
    </w:rPr>
  </w:style>
  <w:style w:type="character" w:customStyle="1" w:styleId="Heading9Char">
    <w:name w:val="Heading 9 Char"/>
    <w:basedOn w:val="DefaultParagraphFont"/>
    <w:link w:val="Heading9"/>
    <w:rsid w:val="00C7052A"/>
    <w:rPr>
      <w:rFonts w:eastAsia="Times New Roman"/>
      <w:b/>
      <w:snapToGrid w:val="0"/>
      <w:kern w:val="28"/>
      <w:sz w:val="22"/>
      <w:bdr w:val="none" w:sz="0" w:space="0" w:color="auto"/>
    </w:rPr>
  </w:style>
  <w:style w:type="paragraph" w:customStyle="1" w:styleId="ParaNum">
    <w:name w:val="ParaNum"/>
    <w:basedOn w:val="Normal"/>
    <w:rsid w:val="009738B5"/>
    <w:pPr>
      <w:numPr>
        <w:numId w:val="2"/>
      </w:numPr>
      <w:tabs>
        <w:tab w:val="clear" w:pos="1080"/>
        <w:tab w:val="num" w:pos="1440"/>
      </w:tabs>
      <w:spacing w:after="120"/>
    </w:pPr>
  </w:style>
  <w:style w:type="paragraph" w:styleId="EndnoteText">
    <w:name w:val="endnote text"/>
    <w:basedOn w:val="Normal"/>
    <w:link w:val="EndnoteTextChar"/>
    <w:semiHidden/>
    <w:rsid w:val="009738B5"/>
    <w:rPr>
      <w:sz w:val="20"/>
    </w:rPr>
  </w:style>
  <w:style w:type="character" w:customStyle="1" w:styleId="EndnoteTextChar">
    <w:name w:val="Endnote Text Char"/>
    <w:basedOn w:val="DefaultParagraphFont"/>
    <w:link w:val="EndnoteText"/>
    <w:semiHidden/>
    <w:rsid w:val="00C7052A"/>
    <w:rPr>
      <w:rFonts w:eastAsia="Times New Roman"/>
      <w:snapToGrid w:val="0"/>
      <w:kern w:val="28"/>
      <w:bdr w:val="none" w:sz="0" w:space="0" w:color="auto"/>
    </w:rPr>
  </w:style>
  <w:style w:type="character" w:styleId="EndnoteReference">
    <w:name w:val="endnote reference"/>
    <w:semiHidden/>
    <w:rsid w:val="009738B5"/>
    <w:rPr>
      <w:vertAlign w:val="superscript"/>
    </w:rPr>
  </w:style>
  <w:style w:type="paragraph" w:styleId="TOC1">
    <w:name w:val="toc 1"/>
    <w:basedOn w:val="Normal"/>
    <w:next w:val="Normal"/>
    <w:semiHidden/>
    <w:rsid w:val="009738B5"/>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9738B5"/>
    <w:pPr>
      <w:tabs>
        <w:tab w:val="left" w:pos="720"/>
        <w:tab w:val="right" w:leader="dot" w:pos="9360"/>
      </w:tabs>
      <w:suppressAutoHyphens/>
      <w:ind w:left="720" w:right="720" w:hanging="360"/>
    </w:pPr>
    <w:rPr>
      <w:noProof/>
    </w:rPr>
  </w:style>
  <w:style w:type="paragraph" w:styleId="TOC3">
    <w:name w:val="toc 3"/>
    <w:basedOn w:val="Normal"/>
    <w:next w:val="Normal"/>
    <w:semiHidden/>
    <w:rsid w:val="009738B5"/>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9738B5"/>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9738B5"/>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9738B5"/>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9738B5"/>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9738B5"/>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9738B5"/>
    <w:pPr>
      <w:tabs>
        <w:tab w:val="left" w:pos="3240"/>
        <w:tab w:val="right" w:leader="dot" w:pos="9360"/>
      </w:tabs>
      <w:suppressAutoHyphens/>
      <w:ind w:left="3240" w:hanging="360"/>
    </w:pPr>
    <w:rPr>
      <w:noProof/>
    </w:rPr>
  </w:style>
  <w:style w:type="paragraph" w:styleId="TOAHeading">
    <w:name w:val="toa heading"/>
    <w:basedOn w:val="Normal"/>
    <w:next w:val="Normal"/>
    <w:semiHidden/>
    <w:rsid w:val="009738B5"/>
    <w:pPr>
      <w:tabs>
        <w:tab w:val="right" w:pos="9360"/>
      </w:tabs>
      <w:suppressAutoHyphens/>
    </w:pPr>
  </w:style>
  <w:style w:type="character" w:customStyle="1" w:styleId="EquationCaption">
    <w:name w:val="_Equation Caption"/>
    <w:rsid w:val="009738B5"/>
  </w:style>
  <w:style w:type="paragraph" w:styleId="BlockText">
    <w:name w:val="Block Text"/>
    <w:basedOn w:val="Normal"/>
    <w:rsid w:val="009738B5"/>
    <w:pPr>
      <w:spacing w:after="240"/>
      <w:ind w:left="1440" w:right="1440"/>
    </w:pPr>
  </w:style>
  <w:style w:type="paragraph" w:customStyle="1" w:styleId="Paratitle">
    <w:name w:val="Para title"/>
    <w:basedOn w:val="Normal"/>
    <w:rsid w:val="009738B5"/>
    <w:pPr>
      <w:tabs>
        <w:tab w:val="center" w:pos="9270"/>
      </w:tabs>
      <w:spacing w:after="240"/>
    </w:pPr>
    <w:rPr>
      <w:spacing w:val="-2"/>
    </w:rPr>
  </w:style>
  <w:style w:type="paragraph" w:customStyle="1" w:styleId="Bullet">
    <w:name w:val="Bullet"/>
    <w:basedOn w:val="Normal"/>
    <w:rsid w:val="009738B5"/>
    <w:pPr>
      <w:tabs>
        <w:tab w:val="left" w:pos="2160"/>
      </w:tabs>
      <w:spacing w:after="220"/>
      <w:ind w:left="2160" w:hanging="720"/>
    </w:pPr>
  </w:style>
  <w:style w:type="paragraph" w:customStyle="1" w:styleId="TableFormat">
    <w:name w:val="TableFormat"/>
    <w:basedOn w:val="Bullet"/>
    <w:rsid w:val="009738B5"/>
    <w:pPr>
      <w:tabs>
        <w:tab w:val="clear" w:pos="2160"/>
        <w:tab w:val="left" w:pos="5040"/>
      </w:tabs>
      <w:ind w:left="5040" w:hanging="3600"/>
    </w:pPr>
  </w:style>
  <w:style w:type="paragraph" w:customStyle="1" w:styleId="TOCTitle">
    <w:name w:val="TOC Title"/>
    <w:basedOn w:val="Normal"/>
    <w:rsid w:val="009738B5"/>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9738B5"/>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E219B"/>
    <w:rPr>
      <w:sz w:val="16"/>
      <w:szCs w:val="16"/>
    </w:rPr>
  </w:style>
  <w:style w:type="paragraph" w:styleId="CommentText">
    <w:name w:val="annotation text"/>
    <w:basedOn w:val="Normal"/>
    <w:link w:val="CommentTextChar"/>
    <w:uiPriority w:val="99"/>
    <w:semiHidden/>
    <w:unhideWhenUsed/>
    <w:rsid w:val="00DE219B"/>
    <w:rPr>
      <w:sz w:val="20"/>
    </w:rPr>
  </w:style>
  <w:style w:type="character" w:customStyle="1" w:styleId="CommentTextChar">
    <w:name w:val="Comment Text Char"/>
    <w:basedOn w:val="DefaultParagraphFont"/>
    <w:link w:val="CommentText"/>
    <w:uiPriority w:val="99"/>
    <w:semiHidden/>
    <w:rsid w:val="00DE219B"/>
    <w:rPr>
      <w:rFonts w:eastAsia="Times New Roman"/>
      <w:snapToGrid w:val="0"/>
      <w:kern w:val="28"/>
      <w:bdr w:val="none" w:sz="0" w:space="0" w:color="auto"/>
    </w:rPr>
  </w:style>
  <w:style w:type="paragraph" w:styleId="CommentSubject">
    <w:name w:val="annotation subject"/>
    <w:basedOn w:val="CommentText"/>
    <w:next w:val="CommentText"/>
    <w:link w:val="CommentSubjectChar"/>
    <w:uiPriority w:val="99"/>
    <w:semiHidden/>
    <w:unhideWhenUsed/>
    <w:rsid w:val="00DE219B"/>
    <w:rPr>
      <w:b/>
      <w:bCs/>
    </w:rPr>
  </w:style>
  <w:style w:type="character" w:customStyle="1" w:styleId="CommentSubjectChar">
    <w:name w:val="Comment Subject Char"/>
    <w:basedOn w:val="CommentTextChar"/>
    <w:link w:val="CommentSubject"/>
    <w:uiPriority w:val="99"/>
    <w:semiHidden/>
    <w:rsid w:val="00DE219B"/>
    <w:rPr>
      <w:rFonts w:eastAsia="Times New Roman"/>
      <w:b/>
      <w:bCs/>
      <w:snapToGrid w:val="0"/>
      <w:kern w:val="28"/>
      <w:bdr w:val="none" w:sz="0" w:space="0" w:color="auto"/>
    </w:rPr>
  </w:style>
  <w:style w:type="paragraph" w:styleId="Revision">
    <w:name w:val="Revision"/>
    <w:hidden/>
    <w:uiPriority w:val="99"/>
    <w:semiHidden/>
    <w:rsid w:val="004576DA"/>
    <w:pPr>
      <w:pBdr>
        <w:top w:val="none" w:sz="0" w:space="0" w:color="auto"/>
        <w:left w:val="none" w:sz="0" w:space="0" w:color="auto"/>
        <w:bottom w:val="none" w:sz="0" w:space="0" w:color="auto"/>
        <w:right w:val="none" w:sz="0" w:space="0" w:color="auto"/>
        <w:between w:val="none" w:sz="0" w:space="0" w:color="auto"/>
        <w:bar w:val="none" w:sz="0" w:space="0" w:color="auto"/>
      </w:pBdr>
    </w:pPr>
    <w:rPr>
      <w:rFonts w:eastAsia="Times New Roman"/>
      <w:snapToGrid w:val="0"/>
      <w:kern w:val="28"/>
      <w:sz w:val="22"/>
      <w:bdr w:val="none" w:sz="0" w:space="0" w:color="auto"/>
    </w:rPr>
  </w:style>
  <w:style w:type="character" w:customStyle="1" w:styleId="FooterChar">
    <w:name w:val="Footer Char"/>
    <w:link w:val="Footer"/>
    <w:uiPriority w:val="99"/>
    <w:rsid w:val="009738B5"/>
    <w:rPr>
      <w:rFonts w:eastAsia="Times New Roman"/>
      <w:snapToGrid w:val="0"/>
      <w:kern w:val="28"/>
      <w:sz w:val="22"/>
      <w:bdr w:val="none" w:sz="0" w:space="0" w:color="auto"/>
    </w:rPr>
  </w:style>
  <w:style w:type="character" w:customStyle="1" w:styleId="et03">
    <w:name w:val="et03"/>
    <w:basedOn w:val="DefaultParagraphFont"/>
    <w:rsid w:val="00855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law.cornell.edu/cfr/text/47/1.221" TargetMode="External" /><Relationship Id="rId11" Type="http://schemas.openxmlformats.org/officeDocument/2006/relationships/hyperlink" Target="https://www.law.cornell.edu/definitions/index.php?width=840&amp;height=800&amp;iframe=true&amp;def_id=a6297a35c9ac3fd0044718728be4adbe&amp;term_occur=999&amp;term_src=Title:47:Chapter:I:Subchapter:A:Part:1:Subpart:B:Subjgrp:156:1.248" TargetMode="External" /><Relationship Id="rId12" Type="http://schemas.openxmlformats.org/officeDocument/2006/relationships/hyperlink" Target="https://www.law.cornell.edu/cfr/text/47/1.370" TargetMode="External" /><Relationship Id="rId13" Type="http://schemas.openxmlformats.org/officeDocument/2006/relationships/hyperlink" Target="https://www.law.cornell.edu/cfr/text/47/1.376" TargetMode="External" /><Relationship Id="rId14" Type="http://schemas.openxmlformats.org/officeDocument/2006/relationships/hyperlink" Target="https://www.law.cornell.edu/definitions/index.php?width=840&amp;height=800&amp;iframe=true&amp;def_id=57fbfe8cdd42af1a6f93ab62122cbf44&amp;term_occur=999&amp;term_src=Title:47:Chapter:I:Subchapter:C:Part:76:Subpart:S:76.1513" TargetMode="External" /><Relationship Id="rId15" Type="http://schemas.openxmlformats.org/officeDocument/2006/relationships/hyperlink" Target="https://www.law.cornell.edu/definitions/index.php?width=840&amp;height=800&amp;iframe=true&amp;def_id=05581aa3ded8f7d508a6c6705f63dbaa&amp;term_occur=999&amp;term_src=Title:47:Chapter:I:Subchapter:C:Part:76:Subpart:S:76.1513" TargetMode="External" /><Relationship Id="rId16" Type="http://schemas.openxmlformats.org/officeDocument/2006/relationships/hyperlink" Target="https://www.law.cornell.edu/definitions/uscode.php?width=840&amp;height=800&amp;iframe=true&amp;def_id=47-USC-973219565-2140990304&amp;term_occur=999&amp;term_src=title:47:chapter:5:subchapter:III:part:I:section:340" TargetMode="External" /><Relationship Id="rId17" Type="http://schemas.openxmlformats.org/officeDocument/2006/relationships/hyperlink" Target="https://www.law.cornell.edu/definitions/uscode.php?width=840&amp;height=800&amp;iframe=true&amp;def_id=47-USC-548474951-2140990304&amp;term_occur=999&amp;term_src=title:47:chapter:5:subchapter:III:part:I:section:340" TargetMode="External" /><Relationship Id="rId18" Type="http://schemas.openxmlformats.org/officeDocument/2006/relationships/hyperlink" Target="http://www.fcc.gov/cgb/ecfs/" TargetMode="External" /><Relationship Id="rId19" Type="http://schemas.openxmlformats.org/officeDocument/2006/relationships/header" Target="header1.xml" /><Relationship Id="rId2" Type="http://schemas.openxmlformats.org/officeDocument/2006/relationships/settings" Target="setting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eb2.westlaw.com/find/default.wl?tf=-1&amp;rs=wlw10.02&amp;fn=_top&amp;sv=split&amp;docname=47cfrs76.56&amp;tc=-1&amp;pbc=298d6bc1&amp;ordoc=5392774&amp;findtype=vp&amp;db=1000547&amp;vr=2.0&amp;rp=%252ffind%252fdefault.wl&amp;mt=westlaw" TargetMode="External" /><Relationship Id="rId7" Type="http://schemas.openxmlformats.org/officeDocument/2006/relationships/hyperlink" Target="http://web2.westlaw.com/find/default.wl?tf=-1&amp;rs=wlw10.02&amp;fn=_top&amp;sv=split&amp;docname=47cfrs76.57&amp;tc=-1&amp;pbc=298d6bc1&amp;ordoc=5392774&amp;findtype=vp&amp;db=1000547&amp;vr=2.0&amp;rp=%252ffind%252fdefault.wl&amp;mt=westlaw" TargetMode="External" /><Relationship Id="rId8" Type="http://schemas.openxmlformats.org/officeDocument/2006/relationships/hyperlink" Target="http://web2.westlaw.com/find/default.wl?tf=-1&amp;rs=wlw10.02&amp;fn=_top&amp;sv=split&amp;docname=47cfrs76.1301&amp;tc=-1&amp;pbc=323a1224&amp;ordoc=7083998&amp;findtype=vp&amp;db=1000547&amp;vr=2.0&amp;rp=%252ffind%252fdefault.wl&amp;mt=westlaw" TargetMode="External" /><Relationship Id="rId9" Type="http://schemas.openxmlformats.org/officeDocument/2006/relationships/hyperlink" Target="https://www.law.cornell.edu/cfr/text/47/1.91" TargetMode="External" /></Relationships>
</file>

<file path=word/theme/_rels/theme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68266-01BE-4777-8A3B-AC4FD6E66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4851</Words>
  <Characters>27656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32443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Williams;ecb</dc:creator>
  <cp:lastModifiedBy>Cathy Williams</cp:lastModifiedBy>
  <cp:revision>2</cp:revision>
  <dcterms:created xsi:type="dcterms:W3CDTF">2023-09-29T16:00:00Z</dcterms:created>
  <dcterms:modified xsi:type="dcterms:W3CDTF">2023-09-29T16:00:00Z</dcterms:modified>
</cp:coreProperties>
</file>