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1A90" w:rsidRPr="00D807AF">
      <w:pPr>
        <w:pStyle w:val="Footer"/>
        <w:tabs>
          <w:tab w:val="clear" w:pos="4320"/>
          <w:tab w:val="center" w:pos="4680"/>
          <w:tab w:val="clear" w:pos="8640"/>
        </w:tabs>
        <w:jc w:val="center"/>
        <w:rPr>
          <w:rFonts w:ascii="Times New Roman" w:hAnsi="Times New Roman"/>
          <w:b/>
        </w:rPr>
      </w:pPr>
      <w:bookmarkStart w:id="0" w:name="_GoBack"/>
      <w:bookmarkEnd w:id="0"/>
      <w:r w:rsidRPr="00D807AF">
        <w:rPr>
          <w:rFonts w:ascii="Times New Roman" w:hAnsi="Times New Roman"/>
          <w:b/>
        </w:rPr>
        <w:t>SUPPORTING STATEMENT</w:t>
      </w:r>
    </w:p>
    <w:p w:rsidR="00731A90" w:rsidRPr="00D807AF">
      <w:pPr>
        <w:tabs>
          <w:tab w:val="center" w:pos="4680"/>
        </w:tabs>
        <w:jc w:val="center"/>
        <w:rPr>
          <w:rFonts w:ascii="Times New Roman" w:hAnsi="Times New Roman"/>
          <w:b/>
        </w:rPr>
      </w:pPr>
      <w:r>
        <w:rPr>
          <w:rFonts w:ascii="Times New Roman" w:hAnsi="Times New Roman"/>
          <w:b/>
        </w:rPr>
        <w:t>Margin and Capital Requirements for Covered Swap Entities</w:t>
      </w:r>
      <w:r w:rsidR="00AD4167">
        <w:rPr>
          <w:rFonts w:ascii="Times New Roman" w:hAnsi="Times New Roman"/>
          <w:b/>
        </w:rPr>
        <w:t xml:space="preserve"> </w:t>
      </w:r>
    </w:p>
    <w:p w:rsidR="00731A90" w:rsidRPr="00D807AF">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600213">
        <w:rPr>
          <w:rFonts w:ascii="Times New Roman" w:hAnsi="Times New Roman"/>
          <w:b/>
        </w:rPr>
        <w:t>0204</w:t>
      </w:r>
      <w:r w:rsidRPr="00D807AF">
        <w:rPr>
          <w:rFonts w:ascii="Times New Roman" w:hAnsi="Times New Roman"/>
          <w:b/>
        </w:rPr>
        <w:t>)</w:t>
      </w:r>
    </w:p>
    <w:p w:rsidR="00731A90">
      <w:pPr>
        <w:rPr>
          <w:rFonts w:ascii="Times New Roman" w:hAnsi="Times New Roman"/>
        </w:rPr>
      </w:pPr>
    </w:p>
    <w:p w:rsidR="00731A90">
      <w:pPr>
        <w:rPr>
          <w:rFonts w:ascii="Times New Roman" w:hAnsi="Times New Roman"/>
          <w:u w:val="single"/>
        </w:rPr>
      </w:pPr>
      <w:r>
        <w:rPr>
          <w:rFonts w:ascii="Times New Roman" w:hAnsi="Times New Roman"/>
          <w:u w:val="single"/>
        </w:rPr>
        <w:t>INTRODUCTION</w:t>
      </w:r>
    </w:p>
    <w:p w:rsidR="00731A90">
      <w:pPr>
        <w:rPr>
          <w:rFonts w:ascii="Times New Roman" w:hAnsi="Times New Roman"/>
          <w:u w:val="single"/>
        </w:rPr>
      </w:pPr>
    </w:p>
    <w:p w:rsidR="00DB04B6" w:rsidRPr="00DB04B6" w:rsidP="00DB04B6">
      <w:pPr>
        <w:rPr>
          <w:rFonts w:ascii="Times New Roman" w:hAnsi="Times New Roman"/>
        </w:rPr>
      </w:pPr>
      <w:r w:rsidRPr="004C250D">
        <w:rPr>
          <w:rFonts w:ascii="Times New Roman" w:eastAsia="Calibri" w:hAnsi="Times New Roman"/>
          <w:snapToGrid/>
          <w:spacing w:val="-3"/>
          <w:szCs w:val="24"/>
        </w:rPr>
        <w:t>The Federal Deposit Insurance Corporation (FDIC) is requesting OMB approval o</w:t>
      </w:r>
      <w:r>
        <w:rPr>
          <w:rFonts w:ascii="Times New Roman" w:eastAsia="Calibri" w:hAnsi="Times New Roman"/>
          <w:snapToGrid/>
          <w:spacing w:val="-3"/>
          <w:szCs w:val="24"/>
        </w:rPr>
        <w:t>f a three-year extension with</w:t>
      </w:r>
      <w:r w:rsidRPr="004C250D">
        <w:rPr>
          <w:rFonts w:ascii="Times New Roman" w:eastAsia="Calibri" w:hAnsi="Times New Roman"/>
          <w:snapToGrid/>
          <w:spacing w:val="-3"/>
          <w:szCs w:val="24"/>
        </w:rPr>
        <w:t xml:space="preserve"> </w:t>
      </w:r>
      <w:r>
        <w:rPr>
          <w:rFonts w:ascii="Times New Roman" w:eastAsia="Calibri" w:hAnsi="Times New Roman"/>
          <w:snapToGrid/>
          <w:spacing w:val="-3"/>
          <w:szCs w:val="24"/>
        </w:rPr>
        <w:t>revisions</w:t>
      </w:r>
      <w:r w:rsidRPr="004C250D">
        <w:rPr>
          <w:rFonts w:ascii="Times New Roman" w:eastAsia="Calibri" w:hAnsi="Times New Roman"/>
          <w:snapToGrid/>
          <w:spacing w:val="-3"/>
          <w:szCs w:val="24"/>
        </w:rPr>
        <w:t xml:space="preserve"> of the information collection entitled</w:t>
      </w:r>
      <w:r w:rsidR="00100C0C">
        <w:rPr>
          <w:rFonts w:ascii="Times New Roman" w:hAnsi="Times New Roman"/>
        </w:rPr>
        <w:t xml:space="preserve"> “Margin and Capital Requirements for Covered Swap Entities” (OMB Control Number 3064-0204).  </w:t>
      </w:r>
      <w:r>
        <w:rPr>
          <w:rFonts w:ascii="Times New Roman" w:hAnsi="Times New Roman"/>
        </w:rPr>
        <w:t xml:space="preserve">This information collection </w:t>
      </w:r>
      <w:r w:rsidRPr="009359EB">
        <w:rPr>
          <w:rFonts w:ascii="Times New Roman" w:hAnsi="Times New Roman"/>
          <w:lang w:bidi="en-US"/>
        </w:rPr>
        <w:t>cover</w:t>
      </w:r>
      <w:r>
        <w:rPr>
          <w:rFonts w:ascii="Times New Roman" w:hAnsi="Times New Roman"/>
          <w:lang w:bidi="en-US"/>
        </w:rPr>
        <w:t>s</w:t>
      </w:r>
      <w:r w:rsidRPr="009359EB">
        <w:rPr>
          <w:rFonts w:ascii="Times New Roman" w:hAnsi="Times New Roman"/>
          <w:lang w:bidi="en-US"/>
        </w:rPr>
        <w:t xml:space="preserve"> burdens imposed by 12 CFR 349 Subpart A - Margin and Capital Requirements for Covered Swap Entities (349 Subpart A). These regulations establish the minimum capital requirements and initial and variation margin requirements for swap dealers, major swap participants, security-based swap dealers, and major security-based swap participants (swap entities) with respect to all non-cleared swaps and non-cleared security-based swaps (covered swaps). 349 Subpart A implements section 4s of the Commodity Exchange Act and section 15F of the Securities Exchange Act of 1934 by defining terms used in the statutes and related terms, establishing capital and margin requirements, and explaining the statutes' requirements.</w:t>
      </w:r>
      <w:r>
        <w:rPr>
          <w:rFonts w:ascii="Times New Roman" w:hAnsi="Times New Roman"/>
          <w:vertAlign w:val="superscript"/>
          <w:lang w:bidi="en-US"/>
        </w:rPr>
        <w:footnoteReference w:id="2"/>
      </w:r>
    </w:p>
    <w:p w:rsidR="00DB04B6" w:rsidP="004D1876">
      <w:pPr>
        <w:rPr>
          <w:rFonts w:ascii="Times New Roman" w:hAnsi="Times New Roman"/>
        </w:rPr>
      </w:pPr>
    </w:p>
    <w:p w:rsidR="00731A90" w:rsidP="000C4B4F">
      <w:pPr>
        <w:numPr>
          <w:ilvl w:val="0"/>
          <w:numId w:val="12"/>
        </w:numPr>
        <w:rPr>
          <w:rFonts w:ascii="Times New Roman" w:hAnsi="Times New Roman"/>
          <w:u w:val="single"/>
        </w:rPr>
      </w:pPr>
      <w:r>
        <w:rPr>
          <w:rFonts w:ascii="Times New Roman" w:hAnsi="Times New Roman"/>
          <w:u w:val="single"/>
        </w:rPr>
        <w:t>JUSTIFICATION</w:t>
      </w:r>
    </w:p>
    <w:p w:rsidR="000C4B4F" w:rsidP="000C4B4F">
      <w:pPr>
        <w:rPr>
          <w:rFonts w:ascii="Times New Roman" w:hAnsi="Times New Roman"/>
          <w:u w:val="single"/>
        </w:rPr>
      </w:pPr>
    </w:p>
    <w:p w:rsidR="00731A90">
      <w:pPr>
        <w:rPr>
          <w:rFonts w:ascii="Times New Roman" w:hAnsi="Times New Roman"/>
        </w:rPr>
      </w:pPr>
    </w:p>
    <w:p w:rsidR="00731A90" w:rsidP="00DA5F2E">
      <w:pPr>
        <w:numPr>
          <w:ilvl w:val="0"/>
          <w:numId w:val="15"/>
        </w:numPr>
        <w:rPr>
          <w:rFonts w:ascii="Times New Roman" w:hAnsi="Times New Roman"/>
        </w:rPr>
      </w:pPr>
      <w:r w:rsidRPr="00B662BE">
        <w:rPr>
          <w:rFonts w:ascii="Times New Roman" w:hAnsi="Times New Roman"/>
          <w:bCs/>
          <w:szCs w:val="24"/>
          <w:u w:val="single"/>
        </w:rPr>
        <w:t>Circumstances that make the collection necessary:</w:t>
      </w:r>
    </w:p>
    <w:p w:rsidR="00731A90">
      <w:pPr>
        <w:ind w:firstLine="1440"/>
        <w:rPr>
          <w:rFonts w:ascii="Times New Roman" w:hAnsi="Times New Roman"/>
        </w:rPr>
      </w:pPr>
    </w:p>
    <w:p w:rsidR="00600213" w:rsidRPr="00600213" w:rsidP="00600213">
      <w:pPr>
        <w:ind w:left="1440"/>
        <w:rPr>
          <w:rFonts w:ascii="Times New Roman" w:hAnsi="Times New Roman"/>
          <w:szCs w:val="24"/>
        </w:rPr>
      </w:pPr>
      <w:r w:rsidRPr="00600213">
        <w:rPr>
          <w:rFonts w:ascii="Times New Roman" w:eastAsia="Arial Unicode MS" w:hAnsi="Times New Roman"/>
          <w:szCs w:val="24"/>
        </w:rPr>
        <w:t>Title VII of the Dodd-Frank Wall Street Reform and Consumer Protection Act (</w:t>
      </w:r>
      <w:r w:rsidRPr="00600213">
        <w:rPr>
          <w:rFonts w:ascii="Times New Roman" w:hAnsi="Times New Roman"/>
          <w:szCs w:val="24"/>
        </w:rPr>
        <w:t xml:space="preserve">Dodd-Frank Act) established a </w:t>
      </w:r>
      <w:r w:rsidRPr="00600213">
        <w:rPr>
          <w:rFonts w:ascii="Times New Roman" w:hAnsi="Times New Roman"/>
        </w:rPr>
        <w:t>comprehensive</w:t>
      </w:r>
      <w:r w:rsidRPr="00600213">
        <w:rPr>
          <w:rFonts w:ascii="Times New Roman" w:hAnsi="Times New Roman"/>
          <w:szCs w:val="24"/>
        </w:rPr>
        <w:t xml:space="preserve"> regulatory framework for derivatives, which are generally characterized as swaps and security-based swaps.</w:t>
      </w:r>
    </w:p>
    <w:p w:rsidR="00600213" w:rsidRPr="00600213" w:rsidP="00600213">
      <w:pPr>
        <w:ind w:firstLine="720"/>
        <w:contextualSpacing/>
        <w:rPr>
          <w:rFonts w:ascii="Times New Roman" w:hAnsi="Times New Roman"/>
          <w:szCs w:val="24"/>
        </w:rPr>
      </w:pPr>
    </w:p>
    <w:p w:rsidR="00600213" w:rsidRPr="00600213" w:rsidP="00600213">
      <w:pPr>
        <w:ind w:left="1440"/>
        <w:rPr>
          <w:rFonts w:ascii="Times New Roman" w:hAnsi="Times New Roman"/>
          <w:szCs w:val="24"/>
        </w:rPr>
      </w:pPr>
      <w:r w:rsidRPr="00600213">
        <w:rPr>
          <w:rFonts w:ascii="Times New Roman" w:hAnsi="Times New Roman"/>
          <w:szCs w:val="24"/>
        </w:rPr>
        <w:t xml:space="preserve">Sections 731 </w:t>
      </w:r>
      <w:r w:rsidRPr="00600213">
        <w:rPr>
          <w:rFonts w:ascii="Times New Roman" w:hAnsi="Times New Roman"/>
        </w:rPr>
        <w:t>and</w:t>
      </w:r>
      <w:r w:rsidRPr="00600213">
        <w:rPr>
          <w:rFonts w:ascii="Times New Roman" w:hAnsi="Times New Roman"/>
          <w:szCs w:val="24"/>
        </w:rPr>
        <w:t xml:space="preserve"> 764 of the Dodd-Frank Act require the registration and regulation of swap dealers and major </w:t>
      </w:r>
      <w:r w:rsidRPr="00600213">
        <w:rPr>
          <w:rFonts w:ascii="Times New Roman" w:hAnsi="Times New Roman"/>
        </w:rPr>
        <w:t>swap</w:t>
      </w:r>
      <w:r w:rsidRPr="00600213">
        <w:rPr>
          <w:rFonts w:ascii="Times New Roman" w:hAnsi="Times New Roman"/>
          <w:szCs w:val="24"/>
        </w:rPr>
        <w:t xml:space="preserve"> participants and security-based swap dealers and major security-based swap participants, </w:t>
      </w:r>
      <w:r w:rsidRPr="00600213">
        <w:rPr>
          <w:rFonts w:ascii="Times New Roman" w:hAnsi="Times New Roman"/>
        </w:rPr>
        <w:t>respectively</w:t>
      </w:r>
      <w:r w:rsidRPr="00600213">
        <w:rPr>
          <w:rFonts w:ascii="Times New Roman" w:hAnsi="Times New Roman"/>
          <w:szCs w:val="24"/>
        </w:rPr>
        <w:t xml:space="preserve"> (collectively, “swap entities”).  For certain types of swap entities that are prudentially regulated by one of the Agencies,</w:t>
      </w:r>
      <w:r>
        <w:rPr>
          <w:rFonts w:ascii="Times New Roman" w:hAnsi="Times New Roman"/>
          <w:szCs w:val="24"/>
          <w:vertAlign w:val="superscript"/>
        </w:rPr>
        <w:footnoteReference w:id="3"/>
      </w:r>
      <w:r w:rsidRPr="00600213">
        <w:rPr>
          <w:rFonts w:ascii="Times New Roman" w:hAnsi="Times New Roman"/>
          <w:szCs w:val="24"/>
          <w:vertAlign w:val="superscript"/>
        </w:rPr>
        <w:t xml:space="preserve">  </w:t>
      </w:r>
      <w:r w:rsidRPr="00600213">
        <w:rPr>
          <w:rFonts w:ascii="Times New Roman" w:hAnsi="Times New Roman"/>
          <w:szCs w:val="24"/>
        </w:rPr>
        <w:t>sections 731 and 764 of the Dodd-Frank Act require the Agencies to jointly adopt rules for swap entities under their respective jurisdictions imposing:  capital requirements and initial and variation margin requirements on all non-cleared swaps.</w:t>
      </w:r>
      <w:r w:rsidRPr="00600213">
        <w:rPr>
          <w:rFonts w:ascii="Times New Roman" w:hAnsi="Times New Roman"/>
          <w:szCs w:val="24"/>
          <w:vertAlign w:val="superscript"/>
        </w:rPr>
        <w:t xml:space="preserve"> </w:t>
      </w:r>
      <w:r w:rsidRPr="00600213">
        <w:rPr>
          <w:rFonts w:ascii="Times New Roman" w:hAnsi="Times New Roman"/>
          <w:szCs w:val="24"/>
        </w:rPr>
        <w:t xml:space="preserve"> Swap entities that are prudentially regulated by the Agencies and therefore subject to the proposed rule are referred to herein as “covered swap entities.”</w:t>
      </w:r>
    </w:p>
    <w:p w:rsidR="00600213" w:rsidRPr="00600213" w:rsidP="00600213">
      <w:pPr>
        <w:contextualSpacing/>
        <w:rPr>
          <w:rFonts w:ascii="Times New Roman" w:hAnsi="Times New Roman"/>
          <w:szCs w:val="24"/>
        </w:rPr>
      </w:pPr>
    </w:p>
    <w:p w:rsidR="00600213" w:rsidRPr="00600213" w:rsidP="00600213">
      <w:pPr>
        <w:ind w:left="1440"/>
        <w:rPr>
          <w:rFonts w:ascii="Times New Roman" w:hAnsi="Times New Roman"/>
          <w:szCs w:val="24"/>
        </w:rPr>
      </w:pPr>
      <w:r w:rsidRPr="00600213">
        <w:rPr>
          <w:rFonts w:ascii="Times New Roman" w:hAnsi="Times New Roman"/>
          <w:szCs w:val="24"/>
        </w:rPr>
        <w:t xml:space="preserve">Sections 731 and 764 of the Dodd-Frank Act require the Commodity Futures Trading Commission (CFTC) and the Securities and Exchange Commission (SEC) to separately adopt rules imposing capital and margin requirements for swap entities for which there is no prudential regulator.  The Dodd-Frank Act </w:t>
      </w:r>
      <w:r w:rsidRPr="00600213">
        <w:rPr>
          <w:rFonts w:ascii="Times New Roman" w:hAnsi="Times New Roman"/>
          <w:szCs w:val="24"/>
        </w:rPr>
        <w:t xml:space="preserve">requires the CFTC, SEC, and the Agencies to establish and maintain, to the </w:t>
      </w:r>
      <w:r w:rsidRPr="00600213">
        <w:rPr>
          <w:rFonts w:ascii="Times New Roman" w:hAnsi="Times New Roman"/>
        </w:rPr>
        <w:t>maximum</w:t>
      </w:r>
      <w:r w:rsidRPr="00600213">
        <w:rPr>
          <w:rFonts w:ascii="Times New Roman" w:hAnsi="Times New Roman"/>
          <w:szCs w:val="24"/>
        </w:rPr>
        <w:t xml:space="preserve"> extent practicable, capital and margin requirements that are comparable, and to consult with each other periodically (but no less than annually) regarding these requirements.</w:t>
      </w:r>
    </w:p>
    <w:p w:rsidR="00600213" w:rsidRPr="00600213" w:rsidP="00600213">
      <w:pPr>
        <w:ind w:firstLine="720"/>
        <w:contextualSpacing/>
        <w:rPr>
          <w:rFonts w:ascii="Times New Roman" w:hAnsi="Times New Roman"/>
          <w:szCs w:val="24"/>
        </w:rPr>
      </w:pPr>
    </w:p>
    <w:p w:rsidR="00600213" w:rsidRPr="00600213" w:rsidP="00D74DD7">
      <w:pPr>
        <w:widowControl/>
        <w:ind w:left="1440"/>
        <w:rPr>
          <w:rFonts w:ascii="Times New Roman" w:hAnsi="Times New Roman"/>
          <w:szCs w:val="24"/>
        </w:rPr>
      </w:pPr>
      <w:r w:rsidRPr="00600213">
        <w:rPr>
          <w:rFonts w:ascii="Times New Roman" w:hAnsi="Times New Roman"/>
          <w:szCs w:val="24"/>
        </w:rPr>
        <w:t>The capital and margin standards for swap entities imposed under sections 731 and 764 of the Dodd-Frank Act are intended to offset the greater risk to the swap entity and the financial system arising from the use of swaps and security-based swaps that are not cleared.  They require that the capital and margin requirements imposed on swap entities must, to offset the greater risk to the swap entity and the financial system arising from the use of non-cleared swaps, help ensure the safety and soundness of the swap entity and be appropriate for the greater risk associated with the non-cleared swaps and non-cleared security-based swaps held as a swap entity.  They also require the Agencies, in establishing capital rules for covered swap entities, to take into account the risks associated with other types of swaps or classes of swaps or categories of swaps engaged in and the other activities conducted by that person that are not otherwise subject to regulation applicable to that person by virtue of the status of the person as a swap dealer or a major swap participant.</w:t>
      </w:r>
    </w:p>
    <w:p w:rsidR="00600213" w:rsidRPr="00600213" w:rsidP="00600213">
      <w:pPr>
        <w:ind w:firstLine="720"/>
        <w:contextualSpacing/>
        <w:rPr>
          <w:rFonts w:ascii="Times New Roman" w:hAnsi="Times New Roman"/>
          <w:szCs w:val="24"/>
        </w:rPr>
      </w:pPr>
    </w:p>
    <w:p w:rsidR="00600213" w:rsidRPr="00600213" w:rsidP="00600213">
      <w:pPr>
        <w:ind w:left="1440"/>
        <w:rPr>
          <w:rFonts w:ascii="Times New Roman" w:hAnsi="Times New Roman"/>
          <w:szCs w:val="24"/>
        </w:rPr>
      </w:pPr>
      <w:r w:rsidRPr="00600213">
        <w:rPr>
          <w:rFonts w:ascii="Times New Roman" w:hAnsi="Times New Roman"/>
          <w:szCs w:val="24"/>
        </w:rPr>
        <w:t>The swaps-related provisions are intended to reduce risk, increase transparency, promote market integrity within the financial system, and, in particular, address a number of weaknesses in the regulation and structure of the swaps markets</w:t>
      </w:r>
      <w:r w:rsidRPr="00600213">
        <w:rPr>
          <w:rFonts w:ascii="Times New Roman" w:hAnsi="Times New Roman"/>
          <w:b/>
          <w:szCs w:val="24"/>
        </w:rPr>
        <w:t xml:space="preserve"> </w:t>
      </w:r>
      <w:r w:rsidRPr="00600213">
        <w:rPr>
          <w:rFonts w:ascii="Times New Roman" w:hAnsi="Times New Roman"/>
          <w:szCs w:val="24"/>
        </w:rPr>
        <w:t>that were revealed</w:t>
      </w:r>
      <w:r w:rsidRPr="00600213">
        <w:rPr>
          <w:rFonts w:ascii="Times New Roman" w:hAnsi="Times New Roman"/>
          <w:b/>
          <w:szCs w:val="24"/>
        </w:rPr>
        <w:t xml:space="preserve"> </w:t>
      </w:r>
      <w:r w:rsidRPr="00600213">
        <w:rPr>
          <w:rFonts w:ascii="Times New Roman" w:hAnsi="Times New Roman"/>
          <w:szCs w:val="24"/>
        </w:rPr>
        <w:t xml:space="preserve">during the financial crisis.   During the financial </w:t>
      </w:r>
      <w:r w:rsidRPr="00600213">
        <w:rPr>
          <w:rFonts w:ascii="Times New Roman" w:hAnsi="Times New Roman"/>
        </w:rPr>
        <w:t>crisis</w:t>
      </w:r>
      <w:r w:rsidRPr="00600213">
        <w:rPr>
          <w:rFonts w:ascii="Times New Roman" w:hAnsi="Times New Roman"/>
          <w:szCs w:val="24"/>
        </w:rPr>
        <w:t xml:space="preserve">, the opacity of swap transactions among dealers and between dealers and their counterparties created uncertainty about whether market participants were significantly exposed to the risk of a default by a swap counterparty.  A regulatory margin requirement for non-cleared swaps reduces the uncertainty around the possible exposures arising from non-cleared swaps. </w:t>
      </w:r>
    </w:p>
    <w:p w:rsidR="00600213" w:rsidRPr="00600213" w:rsidP="00600213">
      <w:pPr>
        <w:ind w:firstLine="720"/>
        <w:rPr>
          <w:rFonts w:ascii="Times New Roman" w:hAnsi="Times New Roman"/>
          <w:szCs w:val="24"/>
        </w:rPr>
      </w:pPr>
    </w:p>
    <w:p w:rsidR="00600213" w:rsidRPr="00600213" w:rsidP="00600213">
      <w:pPr>
        <w:ind w:left="1440"/>
        <w:rPr>
          <w:rFonts w:ascii="Times New Roman" w:hAnsi="Times New Roman"/>
          <w:szCs w:val="24"/>
        </w:rPr>
      </w:pPr>
      <w:r w:rsidRPr="00600213">
        <w:rPr>
          <w:rFonts w:ascii="Times New Roman" w:hAnsi="Times New Roman"/>
          <w:szCs w:val="24"/>
        </w:rPr>
        <w:t>In addition, the financial crisis revealed that a number of significant participants in the swaps markets had taken on excessive risk through the use of swaps without sufficient financial resources to make good on their contracts.  By imposing an initial and variation margin requirement on non-</w:t>
      </w:r>
      <w:r w:rsidRPr="00600213">
        <w:rPr>
          <w:rFonts w:ascii="Times New Roman" w:hAnsi="Times New Roman"/>
        </w:rPr>
        <w:t>cleared</w:t>
      </w:r>
      <w:r w:rsidRPr="00600213">
        <w:rPr>
          <w:rFonts w:ascii="Times New Roman" w:hAnsi="Times New Roman"/>
          <w:szCs w:val="24"/>
        </w:rPr>
        <w:t xml:space="preserve"> swaps, the ability of firms to take on excessive risks through swaps without sufficient financial resources will be reduced.  The minimum margin requirement will reduce the amount by which firms can leverage the underlying risk associated with the swap contract.  </w:t>
      </w:r>
    </w:p>
    <w:p w:rsidR="00600213" w:rsidRPr="00600213" w:rsidP="00600213">
      <w:pPr>
        <w:rPr>
          <w:rFonts w:ascii="Times New Roman" w:hAnsi="Times New Roman"/>
          <w:szCs w:val="24"/>
        </w:rPr>
      </w:pPr>
    </w:p>
    <w:p w:rsidR="004D1876" w:rsidRPr="00373ED8" w:rsidP="00DA5F2E">
      <w:pPr>
        <w:numPr>
          <w:ilvl w:val="0"/>
          <w:numId w:val="15"/>
        </w:numPr>
        <w:tabs>
          <w:tab w:val="left" w:pos="-1440"/>
        </w:tabs>
        <w:rPr>
          <w:rFonts w:ascii="Times New Roman" w:hAnsi="Times New Roman"/>
        </w:rPr>
      </w:pPr>
      <w:r w:rsidRPr="00373ED8">
        <w:rPr>
          <w:rFonts w:ascii="Times New Roman" w:hAnsi="Times New Roman"/>
          <w:u w:val="single"/>
        </w:rPr>
        <w:t>Use of the information:</w:t>
      </w:r>
    </w:p>
    <w:p w:rsidR="00A541FC" w:rsidP="00A541FC">
      <w:pPr>
        <w:ind w:left="1440"/>
        <w:rPr>
          <w:rFonts w:ascii="Times New Roman" w:hAnsi="Times New Roman"/>
          <w:szCs w:val="24"/>
        </w:rPr>
      </w:pPr>
    </w:p>
    <w:p w:rsidR="00A541FC" w:rsidP="00A541FC">
      <w:pPr>
        <w:spacing w:after="120"/>
        <w:ind w:left="1440"/>
        <w:rPr>
          <w:rFonts w:ascii="Times New Roman" w:hAnsi="Times New Roman"/>
          <w:szCs w:val="24"/>
        </w:rPr>
      </w:pPr>
      <w:r w:rsidRPr="00FA0D1D">
        <w:rPr>
          <w:rFonts w:ascii="Times New Roman" w:hAnsi="Times New Roman"/>
          <w:szCs w:val="24"/>
        </w:rPr>
        <w:t>Twelve CFR</w:t>
      </w:r>
      <w:r w:rsidRPr="00614176">
        <w:rPr>
          <w:rFonts w:ascii="Times New Roman" w:hAnsi="Times New Roman"/>
          <w:szCs w:val="24"/>
        </w:rPr>
        <w:t xml:space="preserve"> </w:t>
      </w:r>
      <w:r w:rsidR="00C0070C">
        <w:rPr>
          <w:rFonts w:ascii="Times New Roman" w:hAnsi="Times New Roman"/>
          <w:szCs w:val="24"/>
        </w:rPr>
        <w:t>349</w:t>
      </w:r>
      <w:r w:rsidRPr="00614176">
        <w:rPr>
          <w:rFonts w:ascii="Times New Roman" w:hAnsi="Times New Roman"/>
          <w:szCs w:val="24"/>
        </w:rPr>
        <w:t>.2 defines terms</w:t>
      </w:r>
      <w:r>
        <w:rPr>
          <w:rFonts w:ascii="Times New Roman" w:hAnsi="Times New Roman"/>
          <w:szCs w:val="24"/>
        </w:rPr>
        <w:t xml:space="preserve"> referenced in part </w:t>
      </w:r>
      <w:r w:rsidR="00C0070C">
        <w:rPr>
          <w:rFonts w:ascii="Times New Roman" w:hAnsi="Times New Roman"/>
          <w:szCs w:val="24"/>
        </w:rPr>
        <w:t>349</w:t>
      </w:r>
      <w:r>
        <w:rPr>
          <w:rFonts w:ascii="Times New Roman" w:hAnsi="Times New Roman"/>
          <w:szCs w:val="24"/>
        </w:rPr>
        <w:t>.</w:t>
      </w:r>
      <w:r w:rsidRPr="00614176">
        <w:rPr>
          <w:rFonts w:ascii="Times New Roman" w:hAnsi="Times New Roman"/>
          <w:szCs w:val="24"/>
        </w:rPr>
        <w:t xml:space="preserve"> </w:t>
      </w:r>
      <w:r>
        <w:rPr>
          <w:rFonts w:ascii="Times New Roman" w:hAnsi="Times New Roman"/>
          <w:szCs w:val="24"/>
        </w:rPr>
        <w:t xml:space="preserve"> Under</w:t>
      </w:r>
      <w:r w:rsidRPr="00614176">
        <w:rPr>
          <w:rFonts w:ascii="Times New Roman" w:hAnsi="Times New Roman"/>
          <w:szCs w:val="24"/>
        </w:rPr>
        <w:t xml:space="preserve"> the definition of “eligible master netting agreement,” a covered swap entity that relies on such agreement for purpose of calculating required margin must (1) conduct sufficient legal review of the agreement to conclude with a well-founded basis that the agreement meets specified criteria and maintain sufficient written documentation of that legal review and (2) establish and maintain written procedures for monitoring relevant changes in law and to ensure that the agreement continues to satisfy the requirements of </w:t>
      </w:r>
      <w:r>
        <w:rPr>
          <w:rFonts w:ascii="Times New Roman" w:hAnsi="Times New Roman"/>
          <w:szCs w:val="24"/>
        </w:rPr>
        <w:t>the definition</w:t>
      </w:r>
      <w:r w:rsidRPr="00614176">
        <w:rPr>
          <w:rFonts w:ascii="Times New Roman" w:hAnsi="Times New Roman"/>
          <w:szCs w:val="24"/>
        </w:rPr>
        <w:t xml:space="preserve">. </w:t>
      </w:r>
      <w:r>
        <w:rPr>
          <w:rFonts w:ascii="Times New Roman" w:hAnsi="Times New Roman"/>
          <w:szCs w:val="24"/>
        </w:rPr>
        <w:t>T</w:t>
      </w:r>
      <w:r w:rsidRPr="00614176">
        <w:rPr>
          <w:rFonts w:ascii="Times New Roman" w:hAnsi="Times New Roman"/>
          <w:szCs w:val="24"/>
        </w:rPr>
        <w:t>o demonstrate compliance</w:t>
      </w:r>
      <w:r>
        <w:rPr>
          <w:rFonts w:ascii="Times New Roman" w:hAnsi="Times New Roman"/>
          <w:szCs w:val="24"/>
        </w:rPr>
        <w:t xml:space="preserve"> with this section</w:t>
      </w:r>
      <w:r w:rsidRPr="00614176">
        <w:rPr>
          <w:rFonts w:ascii="Times New Roman" w:hAnsi="Times New Roman"/>
          <w:szCs w:val="24"/>
        </w:rPr>
        <w:t xml:space="preserve">, records must be retained for as long as the covered swap entity relies on such agreement. </w:t>
      </w:r>
      <w:r>
        <w:rPr>
          <w:rFonts w:ascii="Times New Roman" w:hAnsi="Times New Roman"/>
          <w:szCs w:val="24"/>
        </w:rPr>
        <w:t xml:space="preserve"> </w:t>
      </w:r>
      <w:r w:rsidRPr="00614176">
        <w:rPr>
          <w:rFonts w:ascii="Times New Roman" w:hAnsi="Times New Roman"/>
          <w:szCs w:val="24"/>
        </w:rPr>
        <w:t>The term “eligible master netting agreement” is used elsewhere in the rule to specify instances in which a covered swap entity may (1) calculate variation margin on an aggregate basis across multiple non-cleared swaps and security-based swaps and (2) calculate initial margin requirements under an initial margin model for one or more swaps and security-based swaps.</w:t>
      </w:r>
    </w:p>
    <w:p w:rsidR="00A541FC" w:rsidRPr="00E71E6E" w:rsidP="00A541FC">
      <w:pPr>
        <w:spacing w:after="120"/>
        <w:ind w:left="1440"/>
        <w:rPr>
          <w:rFonts w:ascii="Times New Roman" w:hAnsi="Times New Roman"/>
          <w:szCs w:val="24"/>
        </w:rPr>
      </w:pPr>
      <w:r w:rsidRPr="00E71E6E">
        <w:rPr>
          <w:rFonts w:ascii="Times New Roman" w:hAnsi="Times New Roman"/>
          <w:szCs w:val="24"/>
        </w:rPr>
        <w:t xml:space="preserve">Section </w:t>
      </w:r>
      <w:r w:rsidR="00C0070C">
        <w:rPr>
          <w:rFonts w:ascii="Times New Roman" w:hAnsi="Times New Roman"/>
          <w:szCs w:val="24"/>
        </w:rPr>
        <w:t>349</w:t>
      </w:r>
      <w:r w:rsidRPr="00E71E6E">
        <w:rPr>
          <w:rFonts w:ascii="Times New Roman" w:hAnsi="Times New Roman"/>
          <w:szCs w:val="24"/>
        </w:rPr>
        <w:t>.7 generally requires a covered swap entity to ensure that any initial margin collateral that it collect</w:t>
      </w:r>
      <w:r>
        <w:rPr>
          <w:rFonts w:ascii="Times New Roman" w:hAnsi="Times New Roman"/>
          <w:szCs w:val="24"/>
        </w:rPr>
        <w:t>s</w:t>
      </w:r>
      <w:r w:rsidRPr="00E71E6E">
        <w:rPr>
          <w:rFonts w:ascii="Times New Roman" w:hAnsi="Times New Roman"/>
          <w:szCs w:val="24"/>
        </w:rPr>
        <w:t xml:space="preserve"> or posts is held at a th</w:t>
      </w:r>
      <w:r w:rsidR="00C0070C">
        <w:rPr>
          <w:rFonts w:ascii="Times New Roman" w:hAnsi="Times New Roman"/>
          <w:szCs w:val="24"/>
        </w:rPr>
        <w:t>ird-party custodian.  Section 349</w:t>
      </w:r>
      <w:r w:rsidRPr="00E71E6E">
        <w:rPr>
          <w:rFonts w:ascii="Times New Roman" w:hAnsi="Times New Roman"/>
          <w:szCs w:val="24"/>
        </w:rPr>
        <w:t xml:space="preserve">.7(c) requires the custodian to act pursuant to a custody agreement that:  (1) prohibits the custodian from rehypothecating, repledging, reusing, or otherwise transferring (through securities lending, securities borrowing, repurchase agreement, reverse repurchase agreement or other means) the collateral held by the custodian, except that cash collateral may be held in a general deposit account with the custodian if the funds in the account are used to purchase </w:t>
      </w:r>
      <w:r>
        <w:rPr>
          <w:rFonts w:ascii="Times New Roman" w:hAnsi="Times New Roman"/>
          <w:szCs w:val="24"/>
        </w:rPr>
        <w:t>certain</w:t>
      </w:r>
      <w:r w:rsidRPr="00E71E6E">
        <w:rPr>
          <w:rFonts w:ascii="Times New Roman" w:hAnsi="Times New Roman"/>
          <w:szCs w:val="24"/>
        </w:rPr>
        <w:t xml:space="preserve"> asset</w:t>
      </w:r>
      <w:r>
        <w:rPr>
          <w:rFonts w:ascii="Times New Roman" w:hAnsi="Times New Roman"/>
          <w:szCs w:val="24"/>
        </w:rPr>
        <w:t>s</w:t>
      </w:r>
      <w:r w:rsidRPr="00E71E6E">
        <w:rPr>
          <w:rFonts w:ascii="Times New Roman" w:hAnsi="Times New Roman"/>
          <w:szCs w:val="24"/>
        </w:rPr>
        <w:t>, such asset</w:t>
      </w:r>
      <w:r>
        <w:rPr>
          <w:rFonts w:ascii="Times New Roman" w:hAnsi="Times New Roman"/>
          <w:szCs w:val="24"/>
        </w:rPr>
        <w:t>s</w:t>
      </w:r>
      <w:r w:rsidRPr="00E71E6E">
        <w:rPr>
          <w:rFonts w:ascii="Times New Roman" w:hAnsi="Times New Roman"/>
          <w:szCs w:val="24"/>
        </w:rPr>
        <w:t xml:space="preserve"> </w:t>
      </w:r>
      <w:r>
        <w:rPr>
          <w:rFonts w:ascii="Times New Roman" w:hAnsi="Times New Roman"/>
          <w:szCs w:val="24"/>
        </w:rPr>
        <w:t>are</w:t>
      </w:r>
      <w:r w:rsidRPr="00E71E6E">
        <w:rPr>
          <w:rFonts w:ascii="Times New Roman" w:hAnsi="Times New Roman"/>
          <w:szCs w:val="24"/>
        </w:rPr>
        <w:t xml:space="preserve"> </w:t>
      </w:r>
      <w:r w:rsidR="00C0070C">
        <w:rPr>
          <w:rFonts w:ascii="Times New Roman" w:hAnsi="Times New Roman"/>
          <w:szCs w:val="24"/>
        </w:rPr>
        <w:t>held in compliance with § 349</w:t>
      </w:r>
      <w:r w:rsidRPr="00E71E6E">
        <w:rPr>
          <w:rFonts w:ascii="Times New Roman" w:hAnsi="Times New Roman"/>
          <w:szCs w:val="24"/>
        </w:rPr>
        <w:t xml:space="preserve">.7, and such purchase takes place within a time period reasonably necessary to consummate such purchase after the cash collateral is posted as initial margin; and (2) is a legal, valid, binding, and enforceable agreement under the laws of all relevant jurisdictions, including in the event of bankruptcy, insolvency, or a similar proceeding.  A custody agreement may permit the posting party to substitute or direct any reinvestment of posted collateral held by the custodian, provided that, with respect to collateral collected by a covered swap entity pursuant to </w:t>
      </w:r>
      <w:bookmarkStart w:id="1" w:name="_Hlk126764923"/>
      <w:r w:rsidRPr="00E71E6E">
        <w:rPr>
          <w:rFonts w:ascii="Times New Roman" w:hAnsi="Times New Roman"/>
          <w:szCs w:val="24"/>
        </w:rPr>
        <w:t>§</w:t>
      </w:r>
      <w:bookmarkEnd w:id="1"/>
      <w:r w:rsidRPr="00E71E6E">
        <w:rPr>
          <w:rFonts w:ascii="Times New Roman" w:hAnsi="Times New Roman"/>
          <w:szCs w:val="24"/>
        </w:rPr>
        <w:t xml:space="preserve"> </w:t>
      </w:r>
      <w:r w:rsidR="00C0070C">
        <w:rPr>
          <w:rFonts w:ascii="Times New Roman" w:hAnsi="Times New Roman"/>
          <w:szCs w:val="24"/>
        </w:rPr>
        <w:t>349</w:t>
      </w:r>
      <w:r w:rsidRPr="00E71E6E">
        <w:rPr>
          <w:rFonts w:ascii="Times New Roman" w:hAnsi="Times New Roman"/>
          <w:szCs w:val="24"/>
        </w:rPr>
        <w:t>.3(a) or posted by a cove</w:t>
      </w:r>
      <w:r w:rsidR="00C0070C">
        <w:rPr>
          <w:rFonts w:ascii="Times New Roman" w:hAnsi="Times New Roman"/>
          <w:szCs w:val="24"/>
        </w:rPr>
        <w:t>red swap entity pursuant to § 349</w:t>
      </w:r>
      <w:r w:rsidRPr="00E71E6E">
        <w:rPr>
          <w:rFonts w:ascii="Times New Roman" w:hAnsi="Times New Roman"/>
          <w:szCs w:val="24"/>
        </w:rPr>
        <w:t>.3(b), the agreement requires the posting party to substitute only funds or other property that would qualify a</w:t>
      </w:r>
      <w:r w:rsidR="00C0070C">
        <w:rPr>
          <w:rFonts w:ascii="Times New Roman" w:hAnsi="Times New Roman"/>
          <w:szCs w:val="24"/>
        </w:rPr>
        <w:t>s eligible collateral under § 349</w:t>
      </w:r>
      <w:r w:rsidRPr="00E71E6E">
        <w:rPr>
          <w:rFonts w:ascii="Times New Roman" w:hAnsi="Times New Roman"/>
          <w:szCs w:val="24"/>
        </w:rPr>
        <w:t xml:space="preserve">.6, and for which the amount net of applicable discounts described in Appendix B would be sufficient </w:t>
      </w:r>
      <w:r w:rsidR="00C0070C">
        <w:rPr>
          <w:rFonts w:ascii="Times New Roman" w:hAnsi="Times New Roman"/>
          <w:szCs w:val="24"/>
        </w:rPr>
        <w:t>to meet the requirements of § 349</w:t>
      </w:r>
      <w:r w:rsidRPr="00E71E6E">
        <w:rPr>
          <w:rFonts w:ascii="Times New Roman" w:hAnsi="Times New Roman"/>
          <w:szCs w:val="24"/>
        </w:rPr>
        <w:t>.3 and direct reinvestment of funds only in assets that would qualify a</w:t>
      </w:r>
      <w:r w:rsidR="00C0070C">
        <w:rPr>
          <w:rFonts w:ascii="Times New Roman" w:hAnsi="Times New Roman"/>
          <w:szCs w:val="24"/>
        </w:rPr>
        <w:t>s eligible collateral under § 349</w:t>
      </w:r>
      <w:r w:rsidRPr="00E71E6E">
        <w:rPr>
          <w:rFonts w:ascii="Times New Roman" w:hAnsi="Times New Roman"/>
          <w:szCs w:val="24"/>
        </w:rPr>
        <w:t xml:space="preserve">.6, and for which the amount net of applicable discounts described in Appendix B would be sufficient to meet the requirements of § </w:t>
      </w:r>
      <w:r w:rsidR="00C0070C">
        <w:rPr>
          <w:rFonts w:ascii="Times New Roman" w:hAnsi="Times New Roman"/>
          <w:szCs w:val="24"/>
        </w:rPr>
        <w:t>349.</w:t>
      </w:r>
      <w:r w:rsidRPr="00E71E6E">
        <w:rPr>
          <w:rFonts w:ascii="Times New Roman" w:hAnsi="Times New Roman"/>
          <w:szCs w:val="24"/>
        </w:rPr>
        <w:t>3.</w:t>
      </w:r>
    </w:p>
    <w:p w:rsidR="00A541FC" w:rsidRPr="00FA0D1D" w:rsidP="00A541FC">
      <w:pPr>
        <w:spacing w:after="120"/>
        <w:ind w:left="1440"/>
        <w:rPr>
          <w:rFonts w:ascii="Times New Roman" w:hAnsi="Times New Roman"/>
          <w:szCs w:val="24"/>
        </w:rPr>
      </w:pPr>
      <w:r>
        <w:rPr>
          <w:rFonts w:ascii="Times New Roman" w:hAnsi="Times New Roman"/>
          <w:szCs w:val="24"/>
        </w:rPr>
        <w:t>Section</w:t>
      </w:r>
      <w:r w:rsidRPr="00FA0D1D">
        <w:rPr>
          <w:rFonts w:ascii="Times New Roman" w:hAnsi="Times New Roman"/>
          <w:szCs w:val="24"/>
        </w:rPr>
        <w:t xml:space="preserve"> </w:t>
      </w:r>
      <w:r w:rsidR="00C0070C">
        <w:rPr>
          <w:rFonts w:ascii="Times New Roman" w:hAnsi="Times New Roman"/>
          <w:szCs w:val="24"/>
        </w:rPr>
        <w:t>349.</w:t>
      </w:r>
      <w:r w:rsidRPr="00FA0D1D">
        <w:rPr>
          <w:rFonts w:ascii="Times New Roman" w:hAnsi="Times New Roman"/>
          <w:szCs w:val="24"/>
        </w:rPr>
        <w:t xml:space="preserve">8 </w:t>
      </w:r>
      <w:r>
        <w:rPr>
          <w:rFonts w:ascii="Times New Roman" w:hAnsi="Times New Roman"/>
          <w:szCs w:val="24"/>
        </w:rPr>
        <w:t>sets forth</w:t>
      </w:r>
      <w:r w:rsidRPr="00FA0D1D">
        <w:rPr>
          <w:rFonts w:ascii="Times New Roman" w:hAnsi="Times New Roman"/>
          <w:szCs w:val="24"/>
        </w:rPr>
        <w:t xml:space="preserve"> standards for the use of initial margin models.  These standards include:  (1) a requirement that the covered swap entity receive prior approval from the </w:t>
      </w:r>
      <w:r>
        <w:rPr>
          <w:rFonts w:ascii="Times New Roman" w:hAnsi="Times New Roman"/>
          <w:szCs w:val="24"/>
        </w:rPr>
        <w:t>OCC</w:t>
      </w:r>
      <w:r w:rsidRPr="00FA0D1D">
        <w:rPr>
          <w:rFonts w:ascii="Times New Roman" w:hAnsi="Times New Roman"/>
          <w:szCs w:val="24"/>
        </w:rPr>
        <w:t xml:space="preserve"> based on demonstration that the initial margin model meets specific requirements (§ </w:t>
      </w:r>
      <w:r w:rsidR="00C0070C">
        <w:rPr>
          <w:rFonts w:ascii="Times New Roman" w:hAnsi="Times New Roman"/>
          <w:szCs w:val="24"/>
        </w:rPr>
        <w:t>349.</w:t>
      </w:r>
      <w:r w:rsidRPr="00FA0D1D">
        <w:rPr>
          <w:rFonts w:ascii="Times New Roman" w:hAnsi="Times New Roman"/>
          <w:szCs w:val="24"/>
        </w:rPr>
        <w:t xml:space="preserve">8(c)(1)); (2) a requirement that a covered swap entity notify the </w:t>
      </w:r>
      <w:r>
        <w:rPr>
          <w:rFonts w:ascii="Times New Roman" w:hAnsi="Times New Roman"/>
          <w:szCs w:val="24"/>
        </w:rPr>
        <w:t>OCC</w:t>
      </w:r>
      <w:r w:rsidRPr="00FA0D1D">
        <w:rPr>
          <w:rFonts w:ascii="Times New Roman" w:hAnsi="Times New Roman"/>
          <w:szCs w:val="24"/>
        </w:rPr>
        <w:t xml:space="preserve"> in writing 60 days before extending use of the model to additional product types, making certain changes to the initial margin model, or making material changes to modeling assumptions (§ </w:t>
      </w:r>
      <w:r w:rsidR="00C0070C">
        <w:rPr>
          <w:rFonts w:ascii="Times New Roman" w:hAnsi="Times New Roman"/>
          <w:szCs w:val="24"/>
        </w:rPr>
        <w:t>349.</w:t>
      </w:r>
      <w:r w:rsidRPr="00FA0D1D">
        <w:rPr>
          <w:rFonts w:ascii="Times New Roman" w:hAnsi="Times New Roman"/>
          <w:szCs w:val="24"/>
        </w:rPr>
        <w:t xml:space="preserve">8(c)(3)); and (3) </w:t>
      </w:r>
      <w:r w:rsidRPr="00614176">
        <w:rPr>
          <w:rFonts w:ascii="Times New Roman" w:hAnsi="Times New Roman"/>
          <w:szCs w:val="24"/>
        </w:rPr>
        <w:t xml:space="preserve">a requirement that the covered swap entity demonstrate to the satisfaction of the </w:t>
      </w:r>
      <w:r>
        <w:rPr>
          <w:rFonts w:ascii="Times New Roman" w:hAnsi="Times New Roman"/>
          <w:szCs w:val="24"/>
        </w:rPr>
        <w:t>OCC</w:t>
      </w:r>
      <w:r w:rsidRPr="00614176">
        <w:rPr>
          <w:rFonts w:ascii="Times New Roman" w:hAnsi="Times New Roman"/>
          <w:szCs w:val="24"/>
        </w:rPr>
        <w:t xml:space="preserve"> that the omission of any risk factor from the calculation of its initial margin is appropriate</w:t>
      </w:r>
      <w:r>
        <w:rPr>
          <w:rFonts w:ascii="Times New Roman" w:hAnsi="Times New Roman"/>
          <w:szCs w:val="24"/>
        </w:rPr>
        <w:t>,</w:t>
      </w:r>
      <w:r w:rsidRPr="00614176">
        <w:rPr>
          <w:rFonts w:ascii="Times New Roman" w:hAnsi="Times New Roman"/>
          <w:szCs w:val="24"/>
        </w:rPr>
        <w:t xml:space="preserve"> prior to omitting such risk factor (</w:t>
      </w:r>
      <w:r w:rsidRPr="00FA0D1D">
        <w:rPr>
          <w:rFonts w:ascii="Times New Roman" w:hAnsi="Times New Roman"/>
          <w:szCs w:val="24"/>
        </w:rPr>
        <w:t xml:space="preserve">§ </w:t>
      </w:r>
      <w:r w:rsidR="00C0070C">
        <w:rPr>
          <w:rFonts w:ascii="Times New Roman" w:hAnsi="Times New Roman"/>
          <w:szCs w:val="24"/>
        </w:rPr>
        <w:t>349.</w:t>
      </w:r>
      <w:r w:rsidRPr="00614176">
        <w:rPr>
          <w:rFonts w:ascii="Times New Roman" w:hAnsi="Times New Roman"/>
          <w:szCs w:val="24"/>
        </w:rPr>
        <w:t xml:space="preserve">8(d)(10)), and demonstrate to the satisfaction of the </w:t>
      </w:r>
      <w:r>
        <w:rPr>
          <w:rFonts w:ascii="Times New Roman" w:hAnsi="Times New Roman"/>
          <w:szCs w:val="24"/>
        </w:rPr>
        <w:t>OCC</w:t>
      </w:r>
      <w:r w:rsidRPr="00614176">
        <w:rPr>
          <w:rFonts w:ascii="Times New Roman" w:hAnsi="Times New Roman"/>
          <w:szCs w:val="24"/>
        </w:rPr>
        <w:t xml:space="preserve"> that </w:t>
      </w:r>
      <w:r>
        <w:rPr>
          <w:rFonts w:ascii="Times New Roman" w:hAnsi="Times New Roman"/>
          <w:szCs w:val="24"/>
        </w:rPr>
        <w:t xml:space="preserve">the </w:t>
      </w:r>
      <w:r w:rsidRPr="00614176">
        <w:rPr>
          <w:rFonts w:ascii="Times New Roman" w:hAnsi="Times New Roman"/>
          <w:szCs w:val="24"/>
        </w:rPr>
        <w:t>incorporation of any proxy or approximation used to capture the risks of the covered swap entity’s non-cleared swaps or non-cleared security-based swaps is appropriate prior to incorporat</w:t>
      </w:r>
      <w:r>
        <w:rPr>
          <w:rFonts w:ascii="Times New Roman" w:hAnsi="Times New Roman"/>
          <w:szCs w:val="24"/>
        </w:rPr>
        <w:t>ing</w:t>
      </w:r>
      <w:r w:rsidRPr="00614176">
        <w:rPr>
          <w:rFonts w:ascii="Times New Roman" w:hAnsi="Times New Roman"/>
          <w:szCs w:val="24"/>
        </w:rPr>
        <w:t xml:space="preserve"> such proxy or approximation (</w:t>
      </w:r>
      <w:r w:rsidRPr="00FA0D1D">
        <w:rPr>
          <w:rFonts w:ascii="Times New Roman" w:hAnsi="Times New Roman"/>
          <w:szCs w:val="24"/>
        </w:rPr>
        <w:t xml:space="preserve">§ </w:t>
      </w:r>
      <w:r w:rsidR="00C0070C">
        <w:rPr>
          <w:rFonts w:ascii="Times New Roman" w:hAnsi="Times New Roman"/>
          <w:szCs w:val="24"/>
        </w:rPr>
        <w:t>349.</w:t>
      </w:r>
      <w:r w:rsidRPr="00614176">
        <w:rPr>
          <w:rFonts w:ascii="Times New Roman" w:hAnsi="Times New Roman"/>
          <w:szCs w:val="24"/>
        </w:rPr>
        <w:t>8(d)(11))</w:t>
      </w:r>
      <w:r w:rsidRPr="00FA0D1D">
        <w:rPr>
          <w:rFonts w:ascii="Times New Roman" w:hAnsi="Times New Roman"/>
          <w:szCs w:val="24"/>
        </w:rPr>
        <w:t xml:space="preserve">.  Also, if the validation process reveals any material problems with the initial margin model, the covered swap entity must promptly notify the </w:t>
      </w:r>
      <w:r>
        <w:rPr>
          <w:rFonts w:ascii="Times New Roman" w:hAnsi="Times New Roman"/>
          <w:szCs w:val="24"/>
        </w:rPr>
        <w:t>OCC</w:t>
      </w:r>
      <w:r w:rsidRPr="00FA0D1D">
        <w:rPr>
          <w:rFonts w:ascii="Times New Roman" w:hAnsi="Times New Roman"/>
          <w:szCs w:val="24"/>
        </w:rPr>
        <w:t xml:space="preserve"> of the problems, describe to the </w:t>
      </w:r>
      <w:r>
        <w:rPr>
          <w:rFonts w:ascii="Times New Roman" w:hAnsi="Times New Roman"/>
          <w:szCs w:val="24"/>
        </w:rPr>
        <w:t>OCC</w:t>
      </w:r>
      <w:r w:rsidRPr="00FA0D1D">
        <w:rPr>
          <w:rFonts w:ascii="Times New Roman" w:hAnsi="Times New Roman"/>
          <w:szCs w:val="24"/>
        </w:rPr>
        <w:t xml:space="preserve"> any remedial actions being taken, and adjust the initial margin model to ensure an appropriately conservative amount of required initial margin is being calculated (§ </w:t>
      </w:r>
      <w:r w:rsidR="00C0070C">
        <w:rPr>
          <w:rFonts w:ascii="Times New Roman" w:hAnsi="Times New Roman"/>
          <w:szCs w:val="24"/>
        </w:rPr>
        <w:t>349.</w:t>
      </w:r>
      <w:r w:rsidRPr="00FA0D1D">
        <w:rPr>
          <w:rFonts w:ascii="Times New Roman" w:hAnsi="Times New Roman"/>
          <w:szCs w:val="24"/>
        </w:rPr>
        <w:t>8(f)(3)).</w:t>
      </w:r>
    </w:p>
    <w:p w:rsidR="00A541FC" w:rsidRPr="00E71E6E" w:rsidP="00A541FC">
      <w:pPr>
        <w:spacing w:after="120"/>
        <w:ind w:left="1440"/>
        <w:rPr>
          <w:rFonts w:ascii="Times New Roman" w:hAnsi="Times New Roman"/>
          <w:szCs w:val="24"/>
        </w:rPr>
      </w:pPr>
      <w:r w:rsidRPr="00FA0D1D">
        <w:rPr>
          <w:rFonts w:ascii="Times New Roman" w:hAnsi="Times New Roman"/>
          <w:szCs w:val="24"/>
        </w:rPr>
        <w:t xml:space="preserve">Section </w:t>
      </w:r>
      <w:r w:rsidR="00C0070C">
        <w:rPr>
          <w:rFonts w:ascii="Times New Roman" w:hAnsi="Times New Roman"/>
          <w:szCs w:val="24"/>
        </w:rPr>
        <w:t>349.</w:t>
      </w:r>
      <w:r w:rsidRPr="00FA0D1D">
        <w:rPr>
          <w:rFonts w:ascii="Times New Roman" w:hAnsi="Times New Roman"/>
          <w:szCs w:val="24"/>
        </w:rPr>
        <w:t xml:space="preserve">8 also </w:t>
      </w:r>
      <w:r>
        <w:rPr>
          <w:rFonts w:ascii="Times New Roman" w:hAnsi="Times New Roman"/>
          <w:szCs w:val="24"/>
        </w:rPr>
        <w:t>sets forth</w:t>
      </w:r>
      <w:r w:rsidRPr="00E71E6E">
        <w:rPr>
          <w:rFonts w:ascii="Times New Roman" w:hAnsi="Times New Roman"/>
          <w:szCs w:val="24"/>
        </w:rPr>
        <w:t xml:space="preserve"> requirements for the ongoing review and documentation of initial margin models.  These standards include</w:t>
      </w:r>
      <w:r>
        <w:rPr>
          <w:rFonts w:ascii="Times New Roman" w:hAnsi="Times New Roman"/>
          <w:szCs w:val="24"/>
        </w:rPr>
        <w:t xml:space="preserve"> </w:t>
      </w:r>
      <w:r w:rsidRPr="00E71E6E">
        <w:rPr>
          <w:rFonts w:ascii="Times New Roman" w:hAnsi="Times New Roman"/>
          <w:szCs w:val="24"/>
        </w:rPr>
        <w:t xml:space="preserve">a requirement that the covered swap entity adequately document all material aspects of its initial margin model (§ </w:t>
      </w:r>
      <w:r w:rsidR="00C0070C">
        <w:rPr>
          <w:rFonts w:ascii="Times New Roman" w:hAnsi="Times New Roman"/>
          <w:szCs w:val="24"/>
        </w:rPr>
        <w:t>349.</w:t>
      </w:r>
      <w:r w:rsidRPr="00E71E6E">
        <w:rPr>
          <w:rFonts w:ascii="Times New Roman" w:hAnsi="Times New Roman"/>
          <w:szCs w:val="24"/>
        </w:rPr>
        <w:t>8(g))</w:t>
      </w:r>
      <w:r>
        <w:rPr>
          <w:rFonts w:ascii="Times New Roman" w:hAnsi="Times New Roman"/>
          <w:szCs w:val="24"/>
        </w:rPr>
        <w:t xml:space="preserve"> </w:t>
      </w:r>
      <w:r w:rsidRPr="00E71E6E">
        <w:rPr>
          <w:rFonts w:ascii="Times New Roman" w:hAnsi="Times New Roman"/>
          <w:szCs w:val="24"/>
        </w:rPr>
        <w:t xml:space="preserve">and that the covered swap entity must adequately document internal authorization procedures, including escalation procedures, that require review and approval of any change to the initial margin calculation under the initial margin model, demonstrable analysis that any basis for any such change is consistent with the requirements of </w:t>
      </w:r>
      <w:r w:rsidRPr="00824775">
        <w:rPr>
          <w:rFonts w:ascii="Times New Roman" w:hAnsi="Times New Roman"/>
          <w:szCs w:val="24"/>
        </w:rPr>
        <w:t>§</w:t>
      </w:r>
      <w:r>
        <w:rPr>
          <w:rFonts w:ascii="Times New Roman" w:hAnsi="Times New Roman"/>
          <w:szCs w:val="24"/>
        </w:rPr>
        <w:t xml:space="preserve"> </w:t>
      </w:r>
      <w:r w:rsidR="00C0070C">
        <w:rPr>
          <w:rFonts w:ascii="Times New Roman" w:hAnsi="Times New Roman"/>
          <w:szCs w:val="24"/>
        </w:rPr>
        <w:t>349.</w:t>
      </w:r>
      <w:r>
        <w:rPr>
          <w:rFonts w:ascii="Times New Roman" w:hAnsi="Times New Roman"/>
          <w:szCs w:val="24"/>
        </w:rPr>
        <w:t>8</w:t>
      </w:r>
      <w:r w:rsidRPr="00E71E6E">
        <w:rPr>
          <w:rFonts w:ascii="Times New Roman" w:hAnsi="Times New Roman"/>
          <w:szCs w:val="24"/>
        </w:rPr>
        <w:t xml:space="preserve">, and independent review of such demonstrable analysis and approval (§ </w:t>
      </w:r>
      <w:r w:rsidR="00C0070C">
        <w:rPr>
          <w:rFonts w:ascii="Times New Roman" w:hAnsi="Times New Roman"/>
          <w:szCs w:val="24"/>
        </w:rPr>
        <w:t>349.</w:t>
      </w:r>
      <w:r w:rsidRPr="00E71E6E">
        <w:rPr>
          <w:rFonts w:ascii="Times New Roman" w:hAnsi="Times New Roman"/>
          <w:szCs w:val="24"/>
        </w:rPr>
        <w:t>8(h)).</w:t>
      </w:r>
    </w:p>
    <w:p w:rsidR="00A541FC" w:rsidRPr="00E71E6E" w:rsidP="00A541FC">
      <w:pPr>
        <w:spacing w:after="120"/>
        <w:ind w:left="1440"/>
        <w:rPr>
          <w:rFonts w:ascii="Times New Roman" w:hAnsi="Times New Roman"/>
          <w:szCs w:val="24"/>
        </w:rPr>
      </w:pPr>
      <w:r w:rsidRPr="00E71E6E">
        <w:rPr>
          <w:rFonts w:ascii="Times New Roman" w:hAnsi="Times New Roman"/>
          <w:szCs w:val="24"/>
        </w:rPr>
        <w:t xml:space="preserve">Section </w:t>
      </w:r>
      <w:r w:rsidR="00C0070C">
        <w:rPr>
          <w:rFonts w:ascii="Times New Roman" w:hAnsi="Times New Roman"/>
          <w:szCs w:val="24"/>
        </w:rPr>
        <w:t>349.</w:t>
      </w:r>
      <w:r w:rsidRPr="00E71E6E">
        <w:rPr>
          <w:rFonts w:ascii="Times New Roman" w:hAnsi="Times New Roman"/>
          <w:szCs w:val="24"/>
        </w:rPr>
        <w:t xml:space="preserve">9 addresses the treatment of cross-border transactions and, in certain limited situations, will permit a covered swap entity to comply with a foreign regulatory framework for non-cleared swaps (as a substitute for compliance with the prudential regulators’ rule) if the prudential regulators jointly determine that the foreign regulatory framework is comparable to the requirements in the prudential regulators’ rule.  Section </w:t>
      </w:r>
      <w:r w:rsidR="00C0070C">
        <w:rPr>
          <w:rFonts w:ascii="Times New Roman" w:hAnsi="Times New Roman"/>
          <w:szCs w:val="24"/>
        </w:rPr>
        <w:t>349.</w:t>
      </w:r>
      <w:r w:rsidRPr="00E71E6E">
        <w:rPr>
          <w:rFonts w:ascii="Times New Roman" w:hAnsi="Times New Roman"/>
          <w:szCs w:val="24"/>
        </w:rPr>
        <w:t xml:space="preserve">9(e) allows a covered swap entity to request that the prudential regulators make a substituted compliance determination and </w:t>
      </w:r>
      <w:r>
        <w:rPr>
          <w:rFonts w:ascii="Times New Roman" w:hAnsi="Times New Roman"/>
          <w:szCs w:val="24"/>
        </w:rPr>
        <w:t xml:space="preserve">provides that the covered swap entity </w:t>
      </w:r>
      <w:r w:rsidRPr="00E71E6E">
        <w:rPr>
          <w:rFonts w:ascii="Times New Roman" w:hAnsi="Times New Roman"/>
          <w:szCs w:val="24"/>
        </w:rPr>
        <w:t xml:space="preserve">must provide the reasons therefore and other required supporting documentation.  A request for a substituted compliance determination must include a description of the scope and objectives of the foreign regulatory framework for non-cleared swaps and non-cleared security-based swaps; the specific provisions of the foreign regulatory framework for non-cleared swaps and security-based swaps (scope of transactions covered; determination of the amount of initial and variation margin required; timing of margin requirements; documentation requirements; forms of eligible collateral; segregation and re-hypothecation requirements; and approval process and standards for models); the supervisory compliance program and enforcement authority exercised by a foreign financial regulatory authority or authorities in such system to support its oversight of the application of the non-cleared swap and security-based swap regulatory framework; and any other descriptions and documentation that the prudential regulators determine are appropriate.  A covered swap entity may make a request under </w:t>
      </w:r>
      <w:r w:rsidRPr="00824775">
        <w:rPr>
          <w:rFonts w:ascii="Times New Roman" w:hAnsi="Times New Roman"/>
          <w:szCs w:val="24"/>
        </w:rPr>
        <w:t>§</w:t>
      </w:r>
      <w:r>
        <w:rPr>
          <w:rFonts w:ascii="Times New Roman" w:hAnsi="Times New Roman"/>
          <w:szCs w:val="24"/>
        </w:rPr>
        <w:t xml:space="preserve"> </w:t>
      </w:r>
      <w:r w:rsidR="00C0070C">
        <w:rPr>
          <w:rFonts w:ascii="Times New Roman" w:hAnsi="Times New Roman"/>
          <w:szCs w:val="24"/>
        </w:rPr>
        <w:t>349.</w:t>
      </w:r>
      <w:r>
        <w:rPr>
          <w:rFonts w:ascii="Times New Roman" w:hAnsi="Times New Roman"/>
          <w:szCs w:val="24"/>
        </w:rPr>
        <w:t>9</w:t>
      </w:r>
      <w:r w:rsidRPr="00E71E6E">
        <w:rPr>
          <w:rFonts w:ascii="Times New Roman" w:hAnsi="Times New Roman"/>
          <w:szCs w:val="24"/>
        </w:rPr>
        <w:t xml:space="preserve"> only if </w:t>
      </w:r>
      <w:r>
        <w:rPr>
          <w:rFonts w:ascii="Times New Roman" w:hAnsi="Times New Roman"/>
          <w:szCs w:val="24"/>
        </w:rPr>
        <w:t xml:space="preserve">it is </w:t>
      </w:r>
      <w:r w:rsidRPr="00E71E6E">
        <w:rPr>
          <w:rFonts w:ascii="Times New Roman" w:hAnsi="Times New Roman"/>
          <w:szCs w:val="24"/>
        </w:rPr>
        <w:t>directly supervised by the authorities administering the foreign regulatory framework for non-cleared swaps and non-cleared security-based swaps.</w:t>
      </w:r>
    </w:p>
    <w:p w:rsidR="00A541FC" w:rsidRPr="00E71E6E" w:rsidP="00A541FC">
      <w:pPr>
        <w:spacing w:after="120"/>
        <w:ind w:left="1440"/>
        <w:rPr>
          <w:rFonts w:ascii="Times New Roman" w:hAnsi="Times New Roman"/>
          <w:szCs w:val="24"/>
        </w:rPr>
      </w:pPr>
      <w:r w:rsidRPr="00E71E6E">
        <w:rPr>
          <w:rFonts w:ascii="Times New Roman" w:hAnsi="Times New Roman"/>
          <w:szCs w:val="24"/>
        </w:rPr>
        <w:t xml:space="preserve">Section </w:t>
      </w:r>
      <w:r w:rsidR="00C0070C">
        <w:rPr>
          <w:rFonts w:ascii="Times New Roman" w:hAnsi="Times New Roman"/>
          <w:szCs w:val="24"/>
        </w:rPr>
        <w:t>349.</w:t>
      </w:r>
      <w:r w:rsidRPr="00E71E6E">
        <w:rPr>
          <w:rFonts w:ascii="Times New Roman" w:hAnsi="Times New Roman"/>
          <w:szCs w:val="24"/>
        </w:rPr>
        <w:t>10 requires a covered swap entity to execute trading documentation with each counterparty that is either a swap entity or financial end user regarding credit support arrangements that:  (1) provides the contractual right to collect and post initial margin and variation margin in such amounts, in such form, and under such circumstances as are required; and (2) specifies the methods, procedures, rules, and inputs for determining the value of each non-cleared swap or non-cleared security-based swap for purposes of calculating variation margin requirements, and the procedures for resolving any disputes concerning valuation.</w:t>
      </w:r>
    </w:p>
    <w:p w:rsidR="004D1876" w:rsidP="00A541FC">
      <w:pPr>
        <w:rPr>
          <w:rFonts w:ascii="Times New Roman" w:hAnsi="Times New Roman"/>
        </w:rPr>
      </w:pPr>
    </w:p>
    <w:p w:rsidR="00731A90" w:rsidP="00DA5F2E">
      <w:pPr>
        <w:numPr>
          <w:ilvl w:val="0"/>
          <w:numId w:val="15"/>
        </w:numPr>
        <w:rPr>
          <w:rFonts w:ascii="Times New Roman" w:hAnsi="Times New Roman"/>
        </w:rPr>
      </w:pPr>
      <w:r w:rsidRPr="00B662BE">
        <w:rPr>
          <w:rFonts w:ascii="Times New Roman" w:hAnsi="Times New Roman"/>
          <w:bCs/>
          <w:szCs w:val="24"/>
          <w:u w:val="single"/>
        </w:rPr>
        <w:t>Consideration of the use of improved information technology:</w:t>
      </w:r>
    </w:p>
    <w:p w:rsidR="00731A90">
      <w:pPr>
        <w:rPr>
          <w:rFonts w:ascii="Times New Roman" w:hAnsi="Times New Roman"/>
        </w:rPr>
      </w:pPr>
    </w:p>
    <w:p w:rsidR="00DA5F2E" w:rsidP="00DA5F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sidRPr="00EF62BB">
        <w:rPr>
          <w:rFonts w:ascii="Times New Roman" w:hAnsi="Times New Roman"/>
          <w:szCs w:val="24"/>
        </w:rPr>
        <w:t xml:space="preserve">Any information technology may be used that permits review by </w:t>
      </w:r>
      <w:r>
        <w:rPr>
          <w:rFonts w:ascii="Times New Roman" w:hAnsi="Times New Roman"/>
          <w:szCs w:val="24"/>
        </w:rPr>
        <w:t>FDIC</w:t>
      </w:r>
      <w:r w:rsidRPr="00EF62BB">
        <w:rPr>
          <w:rFonts w:ascii="Times New Roman" w:hAnsi="Times New Roman"/>
          <w:szCs w:val="24"/>
        </w:rPr>
        <w:t xml:space="preserve"> examiners.</w:t>
      </w:r>
    </w:p>
    <w:p w:rsidR="0077603D" w:rsidP="00B26610">
      <w:pPr>
        <w:ind w:left="1440"/>
        <w:rPr>
          <w:rFonts w:ascii="Times New Roman" w:hAnsi="Times New Roman"/>
          <w:color w:val="000000"/>
          <w:szCs w:val="24"/>
        </w:rPr>
      </w:pPr>
    </w:p>
    <w:p w:rsidR="00731A90" w:rsidP="00DA5F2E">
      <w:pPr>
        <w:numPr>
          <w:ilvl w:val="0"/>
          <w:numId w:val="15"/>
        </w:numPr>
        <w:rPr>
          <w:rFonts w:ascii="Times New Roman" w:hAnsi="Times New Roman"/>
        </w:rPr>
      </w:pPr>
      <w:r>
        <w:rPr>
          <w:rFonts w:ascii="Times New Roman" w:hAnsi="Times New Roman"/>
          <w:u w:val="single"/>
        </w:rPr>
        <w:t>Efforts to identify d</w:t>
      </w:r>
      <w:r>
        <w:rPr>
          <w:rFonts w:ascii="Times New Roman" w:hAnsi="Times New Roman"/>
          <w:u w:val="single"/>
        </w:rPr>
        <w:t>uplication</w:t>
      </w:r>
      <w:r w:rsidR="008F53AC">
        <w:rPr>
          <w:rFonts w:ascii="Times New Roman" w:hAnsi="Times New Roman"/>
          <w:u w:val="single"/>
        </w:rPr>
        <w:t>:</w:t>
      </w:r>
    </w:p>
    <w:p w:rsidR="00731A90">
      <w:pPr>
        <w:rPr>
          <w:rFonts w:ascii="Times New Roman" w:hAnsi="Times New Roman"/>
        </w:rPr>
      </w:pPr>
    </w:p>
    <w:p w:rsidR="00731A90" w:rsidP="00DA5F2E">
      <w:pPr>
        <w:ind w:left="1440"/>
        <w:rPr>
          <w:rFonts w:ascii="Times New Roman" w:hAnsi="Times New Roman"/>
        </w:rPr>
      </w:pPr>
      <w:r w:rsidRPr="00E71E6E">
        <w:rPr>
          <w:rFonts w:ascii="Times New Roman" w:hAnsi="Times New Roman"/>
          <w:szCs w:val="24"/>
        </w:rPr>
        <w:t>The information required is unique.  It is not duplicated elsewhere.</w:t>
      </w:r>
    </w:p>
    <w:p w:rsidR="00C819C1" w:rsidP="00DA5F2E">
      <w:pPr>
        <w:ind w:left="1440"/>
        <w:rPr>
          <w:rFonts w:ascii="Times New Roman" w:hAnsi="Times New Roman"/>
        </w:rPr>
      </w:pPr>
    </w:p>
    <w:p w:rsidR="00731A90" w:rsidP="00DA5F2E">
      <w:pPr>
        <w:numPr>
          <w:ilvl w:val="0"/>
          <w:numId w:val="15"/>
        </w:numPr>
        <w:rPr>
          <w:rFonts w:ascii="Times New Roman" w:hAnsi="Times New Roman"/>
          <w:u w:val="single"/>
        </w:rPr>
      </w:pPr>
      <w:r w:rsidRPr="008873E8">
        <w:rPr>
          <w:rFonts w:ascii="Times New Roman" w:hAnsi="Times New Roman"/>
          <w:bCs/>
          <w:szCs w:val="24"/>
          <w:u w:val="single"/>
        </w:rPr>
        <w:t>Methods used to minimize burden if the collection has a significant impact on a substantial number of small entities:</w:t>
      </w:r>
    </w:p>
    <w:p w:rsidR="00731A90">
      <w:pPr>
        <w:ind w:left="1440"/>
        <w:rPr>
          <w:rFonts w:ascii="Times New Roman" w:hAnsi="Times New Roman"/>
        </w:rPr>
      </w:pPr>
    </w:p>
    <w:p w:rsidR="00714873" w:rsidP="00BF48CF">
      <w:pPr>
        <w:ind w:left="1440"/>
        <w:rPr>
          <w:rFonts w:ascii="Times New Roman" w:hAnsi="Times New Roman"/>
          <w:szCs w:val="24"/>
        </w:rPr>
      </w:pPr>
      <w:r>
        <w:rPr>
          <w:rFonts w:ascii="Times New Roman" w:hAnsi="Times New Roman"/>
          <w:szCs w:val="24"/>
        </w:rPr>
        <w:t>The information collection does not have a significant impact on a substantial number of small entities.</w:t>
      </w:r>
    </w:p>
    <w:p w:rsidR="00DA5F2E" w:rsidP="00BF48CF">
      <w:pPr>
        <w:ind w:left="1440"/>
        <w:rPr>
          <w:rFonts w:ascii="Times New Roman" w:hAnsi="Times New Roman"/>
          <w:szCs w:val="24"/>
        </w:rPr>
      </w:pPr>
    </w:p>
    <w:p w:rsidR="00731A90" w:rsidP="00DA5F2E">
      <w:pPr>
        <w:numPr>
          <w:ilvl w:val="0"/>
          <w:numId w:val="15"/>
        </w:numPr>
        <w:tabs>
          <w:tab w:val="left" w:pos="-1620"/>
        </w:tabs>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rsidP="00BF48CF">
      <w:pPr>
        <w:ind w:left="1440"/>
        <w:rPr>
          <w:rFonts w:ascii="Times New Roman" w:hAnsi="Times New Roman"/>
        </w:rPr>
      </w:pPr>
    </w:p>
    <w:p w:rsidR="00731A90" w:rsidP="00DA5F2E">
      <w:pPr>
        <w:widowControl/>
        <w:ind w:left="1440"/>
        <w:rPr>
          <w:rFonts w:ascii="Times New Roman" w:hAnsi="Times New Roman"/>
          <w:color w:val="000000"/>
          <w:szCs w:val="24"/>
        </w:rPr>
      </w:pPr>
      <w:r w:rsidRPr="00E71E6E">
        <w:rPr>
          <w:rFonts w:ascii="Times New Roman" w:hAnsi="Times New Roman"/>
          <w:szCs w:val="24"/>
        </w:rPr>
        <w:t>Conducting the collection less frequently would present safety and soundness risks.</w:t>
      </w:r>
    </w:p>
    <w:p w:rsidR="00DA5F2E" w:rsidP="00DA5F2E">
      <w:pPr>
        <w:widowControl/>
        <w:ind w:left="1440"/>
        <w:rPr>
          <w:rFonts w:ascii="Times New Roman" w:hAnsi="Times New Roman"/>
        </w:rPr>
      </w:pPr>
    </w:p>
    <w:p w:rsidR="00D807AF" w:rsidRPr="001F2A5D" w:rsidP="00DA5F2E">
      <w:pPr>
        <w:numPr>
          <w:ilvl w:val="0"/>
          <w:numId w:val="15"/>
        </w:numPr>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pPr>
        <w:rPr>
          <w:rFonts w:ascii="Times New Roman" w:hAnsi="Times New Roman"/>
        </w:rPr>
      </w:pPr>
    </w:p>
    <w:p w:rsidR="00DA5F2E" w:rsidP="00DA5F2E">
      <w:pPr>
        <w:ind w:left="1440"/>
        <w:rPr>
          <w:rFonts w:ascii="Times New Roman" w:hAnsi="Times New Roman"/>
        </w:rPr>
      </w:pPr>
      <w:r w:rsidRPr="00E71E6E">
        <w:rPr>
          <w:rFonts w:ascii="Times New Roman" w:hAnsi="Times New Roman"/>
          <w:szCs w:val="24"/>
        </w:rPr>
        <w:t>None.  The information collection is conducted in accordance with OMB guidelines in 5 CFR part 1320.</w:t>
      </w:r>
    </w:p>
    <w:p w:rsidR="00DA5F2E" w:rsidP="00DA5F2E">
      <w:pPr>
        <w:ind w:left="1440"/>
        <w:rPr>
          <w:rFonts w:ascii="Times New Roman" w:hAnsi="Times New Roman"/>
        </w:rPr>
      </w:pPr>
    </w:p>
    <w:p w:rsidR="006B4033" w:rsidP="006B4033">
      <w:pPr>
        <w:rPr>
          <w:rFonts w:ascii="Times New Roman" w:hAnsi="Times New Roman"/>
        </w:rPr>
      </w:pPr>
    </w:p>
    <w:p w:rsidR="00D807AF" w:rsidRPr="001F2A5D" w:rsidP="00D74DD7">
      <w:pPr>
        <w:keepNext/>
        <w:numPr>
          <w:ilvl w:val="0"/>
          <w:numId w:val="15"/>
        </w:numPr>
        <w:rPr>
          <w:rFonts w:ascii="Times New Roman" w:hAnsi="Times New Roman"/>
          <w:szCs w:val="24"/>
        </w:rPr>
      </w:pPr>
      <w:r w:rsidRPr="008873E8">
        <w:rPr>
          <w:rFonts w:ascii="Times New Roman" w:hAnsi="Times New Roman"/>
          <w:bCs/>
          <w:szCs w:val="24"/>
          <w:u w:val="single"/>
        </w:rPr>
        <w:t>Efforts to consult with persons outside the agency:</w:t>
      </w:r>
    </w:p>
    <w:p w:rsidR="00731A90" w:rsidP="00D807AF">
      <w:pPr>
        <w:ind w:firstLine="720"/>
        <w:rPr>
          <w:rFonts w:ascii="Times New Roman" w:hAnsi="Times New Roman"/>
        </w:rPr>
      </w:pPr>
    </w:p>
    <w:p w:rsidR="00731A90" w:rsidRPr="00534415" w:rsidP="00534415">
      <w:pPr>
        <w:widowControl/>
        <w:autoSpaceDE w:val="0"/>
        <w:autoSpaceDN w:val="0"/>
        <w:adjustRightInd w:val="0"/>
        <w:ind w:left="1440"/>
        <w:rPr>
          <w:rFonts w:ascii="Times New Roman" w:hAnsi="Times New Roman"/>
          <w:szCs w:val="24"/>
        </w:rPr>
      </w:pPr>
      <w:r>
        <w:rPr>
          <w:rFonts w:ascii="Times New Roman" w:hAnsi="Times New Roman"/>
          <w:szCs w:val="24"/>
        </w:rPr>
        <w:t xml:space="preserve"> </w:t>
      </w:r>
      <w:r w:rsidR="005C25BB">
        <w:rPr>
          <w:rFonts w:ascii="Times New Roman" w:hAnsi="Times New Roman"/>
          <w:szCs w:val="24"/>
        </w:rPr>
        <w:t xml:space="preserve"> </w:t>
      </w:r>
      <w:r w:rsidRPr="00534415" w:rsidR="00534415">
        <w:rPr>
          <w:rFonts w:ascii="Times New Roman" w:hAnsi="Times New Roman"/>
          <w:szCs w:val="24"/>
        </w:rPr>
        <w:t xml:space="preserve">The FDIC published a notice in the </w:t>
      </w:r>
      <w:r w:rsidRPr="00534415" w:rsidR="00534415">
        <w:rPr>
          <w:rFonts w:ascii="Times New Roman" w:hAnsi="Times New Roman"/>
          <w:i/>
          <w:szCs w:val="24"/>
        </w:rPr>
        <w:t>Federal Register</w:t>
      </w:r>
      <w:r w:rsidRPr="00534415" w:rsidR="00534415">
        <w:rPr>
          <w:rFonts w:ascii="Times New Roman" w:hAnsi="Times New Roman"/>
          <w:szCs w:val="24"/>
        </w:rPr>
        <w:t xml:space="preserve"> seeking comment for a 60-day period on renewal of this information collection on July 24, 2023 (88 FR 47503).  No comments were received.</w:t>
      </w:r>
    </w:p>
    <w:p w:rsidR="001E004B" w:rsidP="00DB04B6">
      <w:pPr>
        <w:widowControl/>
        <w:autoSpaceDE w:val="0"/>
        <w:autoSpaceDN w:val="0"/>
        <w:adjustRightInd w:val="0"/>
        <w:ind w:left="1440"/>
        <w:rPr>
          <w:rFonts w:ascii="Times New Roman" w:hAnsi="Times New Roman"/>
        </w:rPr>
      </w:pPr>
    </w:p>
    <w:p w:rsidR="00D807AF" w:rsidRPr="001F2A5D" w:rsidP="006B4033">
      <w:pPr>
        <w:numPr>
          <w:ilvl w:val="0"/>
          <w:numId w:val="15"/>
        </w:numPr>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pPr>
        <w:rPr>
          <w:rFonts w:ascii="Times New Roman" w:hAnsi="Times New Roman"/>
        </w:rPr>
      </w:pPr>
    </w:p>
    <w:p w:rsidR="00731A90">
      <w:pPr>
        <w:ind w:left="1440"/>
        <w:rPr>
          <w:rFonts w:ascii="Times New Roman" w:hAnsi="Times New Roman"/>
        </w:rPr>
      </w:pPr>
      <w:r>
        <w:rPr>
          <w:rFonts w:ascii="Times New Roman" w:hAnsi="Times New Roman"/>
        </w:rPr>
        <w:t xml:space="preserve">None. </w:t>
      </w:r>
    </w:p>
    <w:p w:rsidR="00731A90">
      <w:pPr>
        <w:rPr>
          <w:rFonts w:ascii="Times New Roman" w:hAnsi="Times New Roman"/>
        </w:rPr>
      </w:pPr>
    </w:p>
    <w:p w:rsidR="00731A90" w:rsidP="006B4033">
      <w:pPr>
        <w:numPr>
          <w:ilvl w:val="0"/>
          <w:numId w:val="15"/>
        </w:numPr>
        <w:rPr>
          <w:rFonts w:ascii="Times New Roman" w:hAnsi="Times New Roman"/>
        </w:rPr>
      </w:pPr>
      <w:r w:rsidRPr="00647F97">
        <w:rPr>
          <w:rFonts w:ascii="Times New Roman TUR" w:hAnsi="Times New Roman TUR" w:cs="Times New Roman TUR"/>
          <w:bCs/>
          <w:u w:val="single"/>
        </w:rPr>
        <w:t>Any assurance of confidentiality:</w:t>
      </w:r>
    </w:p>
    <w:p w:rsidR="00731A90">
      <w:pPr>
        <w:rPr>
          <w:rFonts w:ascii="Times New Roman" w:hAnsi="Times New Roman"/>
        </w:rPr>
      </w:pPr>
    </w:p>
    <w:p w:rsidR="006B4033" w:rsidP="00C426CF">
      <w:pPr>
        <w:widowControl/>
        <w:tabs>
          <w:tab w:val="left" w:pos="432"/>
          <w:tab w:val="left" w:pos="1530"/>
          <w:tab w:val="left" w:pos="1728"/>
          <w:tab w:val="left" w:pos="4176"/>
        </w:tabs>
        <w:ind w:left="1440"/>
        <w:rPr>
          <w:rFonts w:ascii="Times New Roman" w:hAnsi="Times New Roman"/>
          <w:color w:val="000000"/>
          <w:szCs w:val="24"/>
        </w:rPr>
      </w:pPr>
      <w:r>
        <w:rPr>
          <w:rFonts w:ascii="Times New Roman" w:hAnsi="Times New Roman"/>
          <w:color w:val="000000"/>
          <w:szCs w:val="24"/>
        </w:rPr>
        <w:t>Information will be kept private to the extent allowed by law.</w:t>
      </w:r>
    </w:p>
    <w:p w:rsidR="00E5596D" w:rsidRPr="00E5596D">
      <w:pPr>
        <w:rPr>
          <w:rFonts w:ascii="Times New Roman" w:hAnsi="Times New Roman"/>
        </w:rPr>
      </w:pPr>
    </w:p>
    <w:p w:rsidR="00731A90" w:rsidP="006B4033">
      <w:pPr>
        <w:numPr>
          <w:ilvl w:val="0"/>
          <w:numId w:val="15"/>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pPr>
        <w:rPr>
          <w:rFonts w:ascii="Times New Roman" w:hAnsi="Times New Roman"/>
        </w:rPr>
      </w:pPr>
    </w:p>
    <w:p w:rsidR="009E7B87" w:rsidP="009E7B87">
      <w:pPr>
        <w:ind w:left="1440"/>
        <w:rPr>
          <w:rFonts w:ascii="Times New Roman" w:hAnsi="Times New Roman"/>
          <w:color w:val="000000"/>
          <w:szCs w:val="24"/>
        </w:rPr>
      </w:pPr>
      <w:r>
        <w:rPr>
          <w:rFonts w:ascii="Times New Roman" w:hAnsi="Times New Roman"/>
          <w:color w:val="000000"/>
          <w:szCs w:val="24"/>
        </w:rPr>
        <w:t>No information of a sensitive nature is requested.</w:t>
      </w:r>
    </w:p>
    <w:p w:rsidR="006B4033" w:rsidP="009E7B87">
      <w:pPr>
        <w:ind w:left="1440"/>
        <w:rPr>
          <w:rFonts w:ascii="Times New Roman" w:hAnsi="Times New Roman"/>
        </w:rPr>
      </w:pPr>
    </w:p>
    <w:p w:rsidR="00731A90" w:rsidP="006B4033">
      <w:pPr>
        <w:numPr>
          <w:ilvl w:val="0"/>
          <w:numId w:val="15"/>
        </w:numPr>
        <w:rPr>
          <w:rFonts w:ascii="Times New Roman" w:hAnsi="Times New Roman"/>
          <w:szCs w:val="24"/>
          <w:u w:val="single"/>
        </w:rPr>
      </w:pPr>
      <w:r w:rsidRPr="008F53AC">
        <w:rPr>
          <w:rFonts w:ascii="Times New Roman" w:hAnsi="Times New Roman"/>
          <w:szCs w:val="24"/>
          <w:u w:val="single"/>
        </w:rPr>
        <w:t>Estimate of hour burden including annualized hourly costs:</w:t>
      </w:r>
    </w:p>
    <w:p w:rsidR="009778B4">
      <w:pPr>
        <w:ind w:firstLine="720"/>
        <w:rPr>
          <w:rFonts w:ascii="Times New Roman" w:hAnsi="Times New Roman"/>
          <w:szCs w:val="24"/>
          <w:u w:val="single"/>
        </w:rPr>
      </w:pPr>
    </w:p>
    <w:p w:rsidR="009778B4" w:rsidRPr="00AF79FB" w:rsidP="00534415">
      <w:pPr>
        <w:ind w:left="1080" w:firstLine="360"/>
        <w:rPr>
          <w:rFonts w:ascii="Times New Roman" w:hAnsi="Times New Roman"/>
          <w:i/>
          <w:szCs w:val="24"/>
        </w:rPr>
      </w:pPr>
      <w:r w:rsidRPr="00AF79FB">
        <w:rPr>
          <w:rFonts w:ascii="Times New Roman" w:hAnsi="Times New Roman"/>
          <w:i/>
          <w:szCs w:val="24"/>
        </w:rPr>
        <w:t>Estimated Annual Burden</w:t>
      </w:r>
    </w:p>
    <w:p w:rsidR="005D2FE1">
      <w:pPr>
        <w:ind w:firstLine="720"/>
        <w:rPr>
          <w:rFonts w:ascii="Times New Roman" w:hAnsi="Times New Roman"/>
        </w:rPr>
      </w:pP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lang w:bidi="en-US"/>
        </w:rPr>
        <w:t>In late 2022 and early 2023, PRA and legal representatives from the FDIC, Federal Reserve Board (FRB) and Office of the Comptroller of Currency (OCC) (together, agencies) reviewed the set of ICs in each agency’s respective ICR.</w:t>
      </w:r>
      <w:r>
        <w:rPr>
          <w:rFonts w:ascii="Times New Roman" w:hAnsi="Times New Roman"/>
          <w:vertAlign w:val="superscript"/>
          <w:lang w:bidi="en-US"/>
        </w:rPr>
        <w:footnoteReference w:id="4"/>
      </w:r>
      <w:r w:rsidRPr="00534415">
        <w:rPr>
          <w:rFonts w:ascii="Times New Roman" w:hAnsi="Times New Roman"/>
          <w:lang w:bidi="en-US"/>
        </w:rPr>
        <w:t xml:space="preserve"> Based on this review and the FDIC’s own internal review, the FDIC has determined that </w:t>
      </w:r>
      <w:r>
        <w:rPr>
          <w:rFonts w:ascii="Times New Roman" w:hAnsi="Times New Roman"/>
          <w:lang w:bidi="en-US"/>
        </w:rPr>
        <w:t xml:space="preserve">only </w:t>
      </w:r>
      <w:r w:rsidRPr="00534415">
        <w:rPr>
          <w:rFonts w:ascii="Times New Roman" w:hAnsi="Times New Roman"/>
          <w:lang w:bidi="en-US"/>
        </w:rPr>
        <w:t>six of the eleven existing ICs continue to capture the PRA burden imposed by 349 Subpart A.</w:t>
      </w:r>
      <w:r>
        <w:rPr>
          <w:rFonts w:ascii="Times New Roman" w:hAnsi="Times New Roman"/>
          <w:vertAlign w:val="superscript"/>
          <w:lang w:bidi="en-US"/>
        </w:rPr>
        <w:footnoteReference w:id="5"/>
      </w:r>
      <w:r w:rsidRPr="00534415">
        <w:rPr>
          <w:rFonts w:ascii="Times New Roman" w:hAnsi="Times New Roman"/>
          <w:lang w:bidi="en-US"/>
        </w:rPr>
        <w:t xml:space="preserve"> A brief description of the six ICs are as follows:</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b/>
          <w:lang w:bidi="en-US"/>
        </w:rPr>
        <w:t xml:space="preserve">§ 349.2 Definition of "Eligible Master Netting Agreement," paragraphs (4)(i) and (ii), </w:t>
      </w:r>
      <w:r w:rsidRPr="00534415" w:rsidR="00CF4CC0">
        <w:rPr>
          <w:rFonts w:ascii="Times New Roman" w:hAnsi="Times New Roman"/>
          <w:b/>
          <w:lang w:bidi="en-US"/>
        </w:rPr>
        <w:t>and §</w:t>
      </w:r>
      <w:r w:rsidRPr="00534415">
        <w:rPr>
          <w:rFonts w:ascii="Times New Roman" w:hAnsi="Times New Roman"/>
          <w:b/>
          <w:lang w:bidi="en-US"/>
        </w:rPr>
        <w:t xml:space="preserve"> 349.10 Documentation of Margin Matters (Mandatory).</w:t>
      </w:r>
      <w:r w:rsidRPr="00534415">
        <w:rPr>
          <w:rFonts w:ascii="Times New Roman" w:hAnsi="Times New Roman"/>
          <w:lang w:bidi="en-US"/>
        </w:rPr>
        <w:t xml:space="preserve">  Together, these sections impose recordkeeping </w:t>
      </w:r>
      <w:r w:rsidRPr="00534415">
        <w:rPr>
          <w:rFonts w:ascii="Times New Roman" w:hAnsi="Times New Roman"/>
          <w:szCs w:val="24"/>
        </w:rPr>
        <w:t>requirements</w:t>
      </w:r>
      <w:r w:rsidRPr="00534415">
        <w:rPr>
          <w:rFonts w:ascii="Times New Roman" w:hAnsi="Times New Roman"/>
          <w:lang w:bidi="en-US"/>
        </w:rPr>
        <w:t xml:space="preserve"> on covered swap entities by (1) requiring a covered swap entity that relies on an eligible master netting agreement to satisfy the requirements of 349 Subpart A to conduct sufficient legal review of any and all eligible master netting agreements to conclude with a well-founded basis that the agreement meets specified criteria and maintain sufficient written documentation of that legal review</w:t>
      </w:r>
      <w:r>
        <w:rPr>
          <w:rFonts w:ascii="Times New Roman" w:hAnsi="Times New Roman"/>
          <w:vertAlign w:val="superscript"/>
          <w:lang w:bidi="en-US"/>
        </w:rPr>
        <w:footnoteReference w:id="6"/>
      </w:r>
      <w:r w:rsidRPr="00534415">
        <w:rPr>
          <w:rFonts w:ascii="Times New Roman" w:hAnsi="Times New Roman"/>
          <w:lang w:bidi="en-US"/>
        </w:rPr>
        <w:t>,(2) requiring a covered swap entity that relies on an eligible master netting agreement to satisfy the requirements of Part 349 to establish and maintain written procedures for monitoring relevant changes in law and to ensure that the agreement continues to satisfy the requirements of Part 349</w:t>
      </w:r>
      <w:r>
        <w:rPr>
          <w:rFonts w:ascii="Times New Roman" w:hAnsi="Times New Roman"/>
          <w:vertAlign w:val="superscript"/>
          <w:lang w:bidi="en-US"/>
        </w:rPr>
        <w:footnoteReference w:id="7"/>
      </w:r>
      <w:r w:rsidRPr="00534415">
        <w:rPr>
          <w:rFonts w:ascii="Times New Roman" w:hAnsi="Times New Roman"/>
          <w:lang w:bidi="en-US"/>
        </w:rPr>
        <w:t>, and (3) requiring a covered swap entity to execute trading documentation with certain counterparties related to collection of initial and variation margin.</w:t>
      </w:r>
      <w:r>
        <w:rPr>
          <w:rFonts w:ascii="Times New Roman" w:hAnsi="Times New Roman"/>
          <w:vertAlign w:val="superscript"/>
          <w:lang w:bidi="en-US"/>
        </w:rPr>
        <w:footnoteReference w:id="8"/>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b/>
          <w:lang w:bidi="en-US"/>
        </w:rPr>
        <w:t>§ 349.7(c) Custody Agreement (Mandatory).</w:t>
      </w:r>
      <w:r w:rsidRPr="00534415">
        <w:rPr>
          <w:rFonts w:ascii="Times New Roman" w:hAnsi="Times New Roman"/>
          <w:lang w:bidi="en-US"/>
        </w:rPr>
        <w:t xml:space="preserve"> This section imposes recordkeeping requirements on a covered swap </w:t>
      </w:r>
      <w:r w:rsidRPr="00534415">
        <w:rPr>
          <w:rFonts w:ascii="Times New Roman" w:hAnsi="Times New Roman"/>
          <w:szCs w:val="24"/>
        </w:rPr>
        <w:t>entity</w:t>
      </w:r>
      <w:r w:rsidRPr="00534415">
        <w:rPr>
          <w:rFonts w:ascii="Times New Roman" w:hAnsi="Times New Roman"/>
          <w:lang w:bidi="en-US"/>
        </w:rPr>
        <w:t xml:space="preserve"> to write custody agreements that prohibit custodians of collateral for covered swaps from rehypothecating, repledging, reusing, or otherwise transferring (through securities lending, securities borrowing, repurchase agreement, reverse repurchase agreement or other means) the collateral held by the custodian.</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b/>
          <w:lang w:bidi="en-US"/>
        </w:rPr>
        <w:t>§ 349.8(c) and (d) Initial Margin Model (Mandatory).</w:t>
      </w:r>
      <w:r w:rsidRPr="00534415">
        <w:rPr>
          <w:rFonts w:ascii="Times New Roman" w:hAnsi="Times New Roman"/>
          <w:lang w:bidi="en-US"/>
        </w:rPr>
        <w:t xml:space="preserve"> Section 349.8 describes the covered swap entities’ requirements for their initial margin models. Section 349.8(c) imposes mandatory reporting </w:t>
      </w:r>
      <w:r w:rsidRPr="00534415">
        <w:rPr>
          <w:rFonts w:ascii="Times New Roman" w:hAnsi="Times New Roman"/>
          <w:szCs w:val="24"/>
        </w:rPr>
        <w:t>requirements</w:t>
      </w:r>
      <w:r w:rsidRPr="00534415">
        <w:rPr>
          <w:rFonts w:ascii="Times New Roman" w:hAnsi="Times New Roman"/>
          <w:lang w:bidi="en-US"/>
        </w:rPr>
        <w:t xml:space="preserve"> for a covered swap entity to obtain prior written approval of the FDIC before using any initial margin model and to notify the FDIC in writing 60 days prior to extending or making changes to its initial margin model. Section 349.8(d) imposes mandatory reporting requirements on the covered swap entity to demonstrate to the satisfaction of the FDIC that the omission of any risk factor from the calculation of its initial margin is appropriate.</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b/>
          <w:lang w:bidi="en-US"/>
        </w:rPr>
        <w:t>§ 349.8(f)(3) Initial Margin Modeling Report (Mandatory).</w:t>
      </w:r>
      <w:r w:rsidRPr="00534415">
        <w:rPr>
          <w:rFonts w:ascii="Times New Roman" w:hAnsi="Times New Roman"/>
          <w:lang w:bidi="en-US"/>
        </w:rPr>
        <w:t xml:space="preserve"> This section imposes a reporting requirement on a covered swap entity to promptly notify the FDIC of any material problems with its initial </w:t>
      </w:r>
      <w:r w:rsidRPr="00534415">
        <w:rPr>
          <w:rFonts w:ascii="Times New Roman" w:hAnsi="Times New Roman"/>
          <w:szCs w:val="24"/>
        </w:rPr>
        <w:t>margin</w:t>
      </w:r>
      <w:r w:rsidRPr="00534415">
        <w:rPr>
          <w:rFonts w:ascii="Times New Roman" w:hAnsi="Times New Roman"/>
          <w:lang w:bidi="en-US"/>
        </w:rPr>
        <w:t xml:space="preserve"> model and describe to the FDIC any remedial actions the entity is taking to address those problems.</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b/>
          <w:lang w:bidi="en-US"/>
        </w:rPr>
        <w:t>§ 349.8(h) Escalation Procedures (Mandatory).</w:t>
      </w:r>
      <w:r w:rsidRPr="00534415">
        <w:rPr>
          <w:rFonts w:ascii="Times New Roman" w:hAnsi="Times New Roman"/>
          <w:lang w:bidi="en-US"/>
        </w:rPr>
        <w:t xml:space="preserve"> This section imposes a recordkeeping requirement on a covered </w:t>
      </w:r>
      <w:r w:rsidRPr="00534415">
        <w:rPr>
          <w:rFonts w:ascii="Times New Roman" w:hAnsi="Times New Roman"/>
          <w:szCs w:val="24"/>
        </w:rPr>
        <w:t>swap</w:t>
      </w:r>
      <w:r w:rsidRPr="00534415">
        <w:rPr>
          <w:rFonts w:ascii="Times New Roman" w:hAnsi="Times New Roman"/>
          <w:lang w:bidi="en-US"/>
        </w:rPr>
        <w:t xml:space="preserve"> entity. It requires a covered swap entity to adequately document internal authorization procedures, including escalation procedures, that require review and approval of any change to the initial margin calculation under the initial margin model, demonstrable analysis that any basis for any such change is consistent with the requirements of 349 Subpart A, and independent review of such demonstrable analysis and approval.</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b/>
          <w:lang w:bidi="en-US"/>
        </w:rPr>
        <w:t>§ 349.9(e) Requests for Determinations (Required to Obtain Benefits).</w:t>
      </w:r>
      <w:r w:rsidRPr="00534415">
        <w:rPr>
          <w:rFonts w:ascii="Times New Roman" w:hAnsi="Times New Roman"/>
          <w:lang w:bidi="en-US"/>
        </w:rPr>
        <w:t xml:space="preserve"> Section 349.9(e) allows a covered </w:t>
      </w:r>
      <w:r w:rsidRPr="00534415">
        <w:rPr>
          <w:rFonts w:ascii="Times New Roman" w:hAnsi="Times New Roman"/>
          <w:szCs w:val="24"/>
        </w:rPr>
        <w:t>swap</w:t>
      </w:r>
      <w:r w:rsidRPr="00534415">
        <w:rPr>
          <w:rFonts w:ascii="Times New Roman" w:hAnsi="Times New Roman"/>
          <w:lang w:bidi="en-US"/>
        </w:rPr>
        <w:t xml:space="preserve"> entity that is subject to the supervisory authority of authorities administering a foreign regulatory framework for the entity’s non-cleared swaps and non-cleared security-based swaps to request that its prudential regulators make a substituted compliance determination.</w:t>
      </w:r>
      <w:r>
        <w:rPr>
          <w:rFonts w:ascii="Times New Roman" w:hAnsi="Times New Roman"/>
          <w:vertAlign w:val="superscript"/>
          <w:lang w:bidi="en-US"/>
        </w:rPr>
        <w:footnoteReference w:id="9"/>
      </w:r>
      <w:r w:rsidRPr="00534415">
        <w:rPr>
          <w:rFonts w:ascii="Times New Roman" w:hAnsi="Times New Roman"/>
          <w:lang w:bidi="en-US"/>
        </w:rPr>
        <w:t xml:space="preserve"> Under the PRA, a request under this section would be classified as a reporting IC required to obtain benefits.</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lang w:bidi="en-US"/>
        </w:rPr>
        <w:t>In the 2020 ICR the requirement associated with 349.8(g) was included in IC 1 above, along with the requirements associated with 349.2 Definition of "Eligible Master Netting Agreement," paragraphs (4)(i) and (ii), and  § 349.10 Documentation of Margin Matters. During the review of the PRA burden imposed by 349 Subpart A that the FDIC conducted along with the FRB and the OCC, the agencies made a determination to break out the requirement in 349.8(g) into a separate IC for the 2023 renewal, bringing the total number of ICs in the 2023 renewal to seven. A description of the IC associated with the requirement in 349.8(g) is below.</w:t>
      </w:r>
    </w:p>
    <w:p w:rsidR="00534415" w:rsidRPr="00534415" w:rsidP="003F566E">
      <w:pPr>
        <w:widowControl/>
        <w:autoSpaceDE w:val="0"/>
        <w:autoSpaceDN w:val="0"/>
        <w:adjustRightInd w:val="0"/>
        <w:spacing w:after="120"/>
        <w:ind w:left="1440"/>
        <w:rPr>
          <w:rFonts w:ascii="Times New Roman" w:hAnsi="Times New Roman"/>
          <w:lang w:bidi="en-US"/>
        </w:rPr>
      </w:pPr>
      <w:r w:rsidRPr="003F566E">
        <w:rPr>
          <w:rFonts w:ascii="Times New Roman" w:hAnsi="Times New Roman"/>
          <w:lang w:bidi="en-US"/>
        </w:rPr>
        <w:t xml:space="preserve">§ 349.8(g) Documentation (Mandatory). </w:t>
      </w:r>
      <w:r w:rsidRPr="00534415">
        <w:rPr>
          <w:rFonts w:ascii="Times New Roman" w:hAnsi="Times New Roman"/>
          <w:lang w:bidi="en-US"/>
        </w:rPr>
        <w:t xml:space="preserve">Section 349.8(g) imposes a recordkeeping requirement on a covered swap entity. This section requires a covered swap entity to document all material aspects of </w:t>
      </w:r>
      <w:r w:rsidRPr="00534415">
        <w:rPr>
          <w:rFonts w:ascii="Times New Roman" w:hAnsi="Times New Roman"/>
          <w:szCs w:val="24"/>
        </w:rPr>
        <w:t>its</w:t>
      </w:r>
      <w:r w:rsidRPr="00534415">
        <w:rPr>
          <w:rFonts w:ascii="Times New Roman" w:hAnsi="Times New Roman"/>
          <w:lang w:bidi="en-US"/>
        </w:rPr>
        <w:t xml:space="preserve"> initial margin model.</w:t>
      </w:r>
      <w:r>
        <w:rPr>
          <w:rFonts w:ascii="Times New Roman" w:hAnsi="Times New Roman"/>
          <w:vertAlign w:val="superscript"/>
          <w:lang w:bidi="en-US"/>
        </w:rPr>
        <w:footnoteReference w:id="10"/>
      </w:r>
    </w:p>
    <w:p w:rsidR="00534415" w:rsidRPr="00534415" w:rsidP="00534415">
      <w:pPr>
        <w:widowControl/>
        <w:autoSpaceDE w:val="0"/>
        <w:autoSpaceDN w:val="0"/>
        <w:adjustRightInd w:val="0"/>
        <w:spacing w:after="120"/>
        <w:ind w:left="1440"/>
        <w:rPr>
          <w:rFonts w:ascii="Times New Roman" w:hAnsi="Times New Roman"/>
          <w:lang w:bidi="en-US"/>
        </w:rPr>
      </w:pPr>
      <w:r>
        <w:rPr>
          <w:rFonts w:ascii="Times New Roman" w:hAnsi="Times New Roman"/>
          <w:lang w:bidi="en-US"/>
        </w:rPr>
        <w:t>FDIC</w:t>
      </w:r>
      <w:r w:rsidRPr="00534415">
        <w:rPr>
          <w:rFonts w:ascii="Times New Roman" w:hAnsi="Times New Roman"/>
          <w:lang w:bidi="en-US"/>
        </w:rPr>
        <w:t xml:space="preserve"> estimate</w:t>
      </w:r>
      <w:r>
        <w:rPr>
          <w:rFonts w:ascii="Times New Roman" w:hAnsi="Times New Roman"/>
          <w:lang w:bidi="en-US"/>
        </w:rPr>
        <w:t>s</w:t>
      </w:r>
      <w:r w:rsidRPr="00534415">
        <w:rPr>
          <w:rFonts w:ascii="Times New Roman" w:hAnsi="Times New Roman"/>
          <w:lang w:bidi="en-US"/>
        </w:rPr>
        <w:t xml:space="preserve"> the annual hourly burden for each of these seven ICs by finding the product of the estimated number of annual respondents, the estimated annual number of responses per respondent, and the estimated time per </w:t>
      </w:r>
      <w:r w:rsidRPr="00534415">
        <w:rPr>
          <w:rFonts w:ascii="Times New Roman" w:hAnsi="Times New Roman"/>
          <w:szCs w:val="24"/>
        </w:rPr>
        <w:t>response</w:t>
      </w:r>
      <w:r w:rsidRPr="00534415">
        <w:rPr>
          <w:rFonts w:ascii="Times New Roman" w:hAnsi="Times New Roman"/>
          <w:lang w:bidi="en-US"/>
        </w:rPr>
        <w:t xml:space="preserve"> for each IC. I</w:t>
      </w:r>
      <w:r>
        <w:rPr>
          <w:rFonts w:ascii="Times New Roman" w:hAnsi="Times New Roman"/>
          <w:lang w:bidi="en-US"/>
        </w:rPr>
        <w:t>t</w:t>
      </w:r>
      <w:r w:rsidRPr="00534415">
        <w:rPr>
          <w:rFonts w:ascii="Times New Roman" w:hAnsi="Times New Roman"/>
          <w:lang w:bidi="en-US"/>
        </w:rPr>
        <w:t xml:space="preserve"> then find</w:t>
      </w:r>
      <w:r>
        <w:rPr>
          <w:rFonts w:ascii="Times New Roman" w:hAnsi="Times New Roman"/>
          <w:lang w:bidi="en-US"/>
        </w:rPr>
        <w:t>s</w:t>
      </w:r>
      <w:r w:rsidRPr="00534415">
        <w:rPr>
          <w:rFonts w:ascii="Times New Roman" w:hAnsi="Times New Roman"/>
          <w:lang w:bidi="en-US"/>
        </w:rPr>
        <w:t xml:space="preserve"> the total annual cost of this ICR as the product of the estimated annual hourly burden and the estimated weighted average hourly compensation rate. </w:t>
      </w:r>
    </w:p>
    <w:p w:rsidR="00534415" w:rsidRPr="00534415" w:rsidP="00534415">
      <w:pPr>
        <w:widowControl/>
        <w:autoSpaceDE w:val="0"/>
        <w:autoSpaceDN w:val="0"/>
        <w:adjustRightInd w:val="0"/>
        <w:spacing w:after="120"/>
        <w:ind w:left="1440"/>
        <w:rPr>
          <w:rFonts w:ascii="Times New Roman" w:hAnsi="Times New Roman"/>
          <w:b/>
          <w:bCs/>
          <w:lang w:bidi="en-US"/>
        </w:rPr>
      </w:pPr>
      <w:r w:rsidRPr="00534415">
        <w:rPr>
          <w:rFonts w:ascii="Times New Roman" w:hAnsi="Times New Roman"/>
          <w:b/>
          <w:bCs/>
          <w:lang w:bidi="en-US"/>
        </w:rPr>
        <w:t>Estimated Number of Respondents and Responses</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lang w:bidi="en-US"/>
        </w:rPr>
        <w:t>Potential respondents to OMB No. 3064-</w:t>
      </w:r>
      <w:r w:rsidRPr="00534415">
        <w:rPr>
          <w:rFonts w:ascii="Times New Roman" w:hAnsi="Times New Roman"/>
          <w:szCs w:val="24"/>
        </w:rPr>
        <w:t>0204</w:t>
      </w:r>
      <w:r w:rsidRPr="00534415">
        <w:rPr>
          <w:rFonts w:ascii="Times New Roman" w:hAnsi="Times New Roman"/>
          <w:lang w:bidi="en-US"/>
        </w:rPr>
        <w:t xml:space="preserve"> are covered swap entities. Covered swap entities include FDIC-institutions registered with the Commodity Futures Trading Commission (CFTC) as swap dealers or major swap participants pursuant to the Commodity Exchange Act of 1936 and persons registered with the Securities and Exchange Commission (SEC) as security-based swap dealers and major security-based swap participants under the Securities Exchange Act of 1934. Using the lists published by these organizations, </w:t>
      </w:r>
      <w:r w:rsidR="003F566E">
        <w:rPr>
          <w:rFonts w:ascii="Times New Roman" w:hAnsi="Times New Roman"/>
          <w:lang w:bidi="en-US"/>
        </w:rPr>
        <w:t>FDIC</w:t>
      </w:r>
      <w:r w:rsidRPr="00534415">
        <w:rPr>
          <w:rFonts w:ascii="Times New Roman" w:hAnsi="Times New Roman"/>
          <w:lang w:bidi="en-US"/>
        </w:rPr>
        <w:t xml:space="preserve"> identified 111 institutions that are registered as swap entities, as of May 2, 2023.</w:t>
      </w:r>
      <w:r>
        <w:rPr>
          <w:rFonts w:ascii="Times New Roman" w:hAnsi="Times New Roman"/>
          <w:vertAlign w:val="superscript"/>
          <w:lang w:bidi="en-US"/>
        </w:rPr>
        <w:footnoteReference w:id="11"/>
      </w:r>
      <w:r w:rsidRPr="00534415">
        <w:rPr>
          <w:rFonts w:ascii="Times New Roman" w:hAnsi="Times New Roman"/>
          <w:lang w:bidi="en-US"/>
        </w:rPr>
        <w:t xml:space="preserve"> </w:t>
      </w:r>
    </w:p>
    <w:p w:rsidR="00534415" w:rsidRPr="00534415"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lang w:bidi="en-US"/>
        </w:rPr>
        <w:t>One of these institutions is among the 3,</w:t>
      </w:r>
      <w:r w:rsidRPr="00534415">
        <w:rPr>
          <w:rFonts w:ascii="Times New Roman" w:hAnsi="Times New Roman"/>
          <w:szCs w:val="24"/>
        </w:rPr>
        <w:t>038</w:t>
      </w:r>
      <w:r w:rsidRPr="00534415">
        <w:rPr>
          <w:rFonts w:ascii="Times New Roman" w:hAnsi="Times New Roman"/>
          <w:lang w:bidi="en-US"/>
        </w:rPr>
        <w:t xml:space="preserve"> insured depository institutions (IDIs) supervised by the FDIC, as of December 31, 2022.</w:t>
      </w:r>
      <w:r>
        <w:rPr>
          <w:rFonts w:ascii="Times New Roman" w:hAnsi="Times New Roman"/>
          <w:vertAlign w:val="superscript"/>
          <w:lang w:bidi="en-US"/>
        </w:rPr>
        <w:footnoteReference w:id="12"/>
      </w:r>
      <w:r w:rsidRPr="00534415">
        <w:rPr>
          <w:rFonts w:ascii="Times New Roman" w:hAnsi="Times New Roman"/>
          <w:lang w:bidi="en-US"/>
        </w:rPr>
        <w:t xml:space="preserve">  As a covered swap entity, this institution would incur PRA burdens associated with all of the ICs listed above. Therefore, </w:t>
      </w:r>
      <w:r w:rsidRPr="003F566E" w:rsidR="003F566E">
        <w:rPr>
          <w:rFonts w:ascii="Times New Roman" w:hAnsi="Times New Roman"/>
          <w:lang w:bidi="en-US"/>
        </w:rPr>
        <w:t>FDIC</w:t>
      </w:r>
      <w:r w:rsidRPr="003F566E">
        <w:rPr>
          <w:rFonts w:ascii="Times New Roman" w:hAnsi="Times New Roman"/>
          <w:lang w:bidi="en-US"/>
        </w:rPr>
        <w:t xml:space="preserve"> estimate</w:t>
      </w:r>
      <w:r w:rsidRPr="003F566E" w:rsidR="003F566E">
        <w:rPr>
          <w:rFonts w:ascii="Times New Roman" w:hAnsi="Times New Roman"/>
          <w:lang w:bidi="en-US"/>
        </w:rPr>
        <w:t>s</w:t>
      </w:r>
      <w:r w:rsidRPr="003F566E">
        <w:rPr>
          <w:rFonts w:ascii="Times New Roman" w:hAnsi="Times New Roman"/>
          <w:lang w:bidi="en-US"/>
        </w:rPr>
        <w:t xml:space="preserve"> an annual respondent count of one for all ICs in this ICR. </w:t>
      </w:r>
      <w:r w:rsidRPr="00534415">
        <w:rPr>
          <w:rFonts w:ascii="Times New Roman" w:hAnsi="Times New Roman"/>
          <w:lang w:bidi="en-US"/>
        </w:rPr>
        <w:t>These respondent counts are unchanged from the 2020 ICR for ICs 1-5.  The lone respondent is not a small entity for purposes of the Regulatory Flexibility Act (RFA).</w:t>
      </w:r>
      <w:r>
        <w:rPr>
          <w:rFonts w:ascii="Times New Roman" w:hAnsi="Times New Roman"/>
          <w:vertAlign w:val="superscript"/>
          <w:lang w:bidi="en-US"/>
        </w:rPr>
        <w:footnoteReference w:id="13"/>
      </w:r>
    </w:p>
    <w:p w:rsidR="00B733BC" w:rsidP="00534415">
      <w:pPr>
        <w:widowControl/>
        <w:autoSpaceDE w:val="0"/>
        <w:autoSpaceDN w:val="0"/>
        <w:adjustRightInd w:val="0"/>
        <w:spacing w:after="120"/>
        <w:ind w:left="1440"/>
        <w:rPr>
          <w:rFonts w:ascii="Times New Roman" w:hAnsi="Times New Roman"/>
          <w:lang w:bidi="en-US"/>
        </w:rPr>
      </w:pPr>
      <w:r w:rsidRPr="00534415">
        <w:rPr>
          <w:rFonts w:ascii="Times New Roman" w:hAnsi="Times New Roman"/>
          <w:lang w:bidi="en-US"/>
        </w:rPr>
        <w:t xml:space="preserve">For recordkeeping ICs 1, 2, 5and 7, </w:t>
      </w:r>
      <w:r w:rsidR="003F566E">
        <w:rPr>
          <w:rFonts w:ascii="Times New Roman" w:hAnsi="Times New Roman"/>
          <w:lang w:bidi="en-US"/>
        </w:rPr>
        <w:t>FDIC</w:t>
      </w:r>
      <w:r w:rsidRPr="00534415">
        <w:rPr>
          <w:rFonts w:ascii="Times New Roman" w:hAnsi="Times New Roman"/>
          <w:lang w:bidi="en-US"/>
        </w:rPr>
        <w:t xml:space="preserve"> believes that the respective activities throughout the year that are performed by the respondent can all be considered as parts of a single annual response. Therefore, </w:t>
      </w:r>
      <w:r w:rsidRPr="003F566E" w:rsidR="003F566E">
        <w:rPr>
          <w:rFonts w:ascii="Times New Roman" w:hAnsi="Times New Roman"/>
          <w:lang w:bidi="en-US"/>
        </w:rPr>
        <w:t>FDIC</w:t>
      </w:r>
      <w:r w:rsidRPr="003F566E">
        <w:rPr>
          <w:rFonts w:ascii="Times New Roman" w:hAnsi="Times New Roman"/>
          <w:lang w:bidi="en-US"/>
        </w:rPr>
        <w:t xml:space="preserve"> use</w:t>
      </w:r>
      <w:r w:rsidRPr="003F566E" w:rsidR="003F566E">
        <w:rPr>
          <w:rFonts w:ascii="Times New Roman" w:hAnsi="Times New Roman"/>
          <w:lang w:bidi="en-US"/>
        </w:rPr>
        <w:t>s</w:t>
      </w:r>
      <w:r w:rsidRPr="003F566E">
        <w:rPr>
          <w:rFonts w:ascii="Times New Roman" w:hAnsi="Times New Roman"/>
          <w:lang w:bidi="en-US"/>
        </w:rPr>
        <w:t xml:space="preserve"> one as the number of annual responses per respondent for each of ICs 1, 2, 5 and 7</w:t>
      </w:r>
      <w:r w:rsidR="003F566E">
        <w:rPr>
          <w:rFonts w:ascii="Times New Roman" w:hAnsi="Times New Roman"/>
          <w:lang w:bidi="en-US"/>
        </w:rPr>
        <w:t>.</w:t>
      </w:r>
    </w:p>
    <w:p w:rsidR="00A109F6" w:rsidP="00A109F6">
      <w:pPr>
        <w:widowControl/>
        <w:autoSpaceDE w:val="0"/>
        <w:autoSpaceDN w:val="0"/>
        <w:adjustRightInd w:val="0"/>
        <w:spacing w:after="120"/>
        <w:ind w:left="1440"/>
        <w:rPr>
          <w:rFonts w:ascii="Times New Roman" w:hAnsi="Times New Roman"/>
          <w:lang w:bidi="en-US"/>
        </w:rPr>
      </w:pPr>
      <w:r w:rsidRPr="00A109F6">
        <w:rPr>
          <w:rFonts w:ascii="Times New Roman" w:hAnsi="Times New Roman"/>
          <w:lang w:bidi="en-US"/>
        </w:rPr>
        <w:t xml:space="preserve">For reporting ICs 3, 4 and 6, the </w:t>
      </w:r>
      <w:r>
        <w:rPr>
          <w:rFonts w:ascii="Times New Roman" w:hAnsi="Times New Roman"/>
          <w:lang w:bidi="en-US"/>
        </w:rPr>
        <w:t>FDIC</w:t>
      </w:r>
      <w:r w:rsidRPr="00A109F6">
        <w:rPr>
          <w:rFonts w:ascii="Times New Roman" w:hAnsi="Times New Roman"/>
          <w:lang w:bidi="en-US"/>
        </w:rPr>
        <w:t xml:space="preserve"> believes that these reporting requirements only arise on the occasion when the respondent must notify the FDIC of a problem with its initial margin model or request a substituted compliance determination. </w:t>
      </w:r>
      <w:r>
        <w:rPr>
          <w:rFonts w:ascii="Times New Roman" w:hAnsi="Times New Roman"/>
          <w:lang w:bidi="en-US"/>
        </w:rPr>
        <w:t>FDIC</w:t>
      </w:r>
      <w:r w:rsidRPr="00A109F6">
        <w:rPr>
          <w:rFonts w:ascii="Times New Roman" w:hAnsi="Times New Roman"/>
          <w:lang w:bidi="en-US"/>
        </w:rPr>
        <w:t xml:space="preserve"> does not anticipate these occasions to arise more than once, if at all, in the next three years for the lone respondent to this ICR. As such, FDIC uses one as a placeholder for the number of annual responses per respondent for ICs 3, 4, and 6.  For IC 6, this estimate is lower than the estimate of three annual responses used for the 2020 ICR.</w:t>
      </w:r>
    </w:p>
    <w:p w:rsidR="00A109F6" w:rsidP="00A109F6">
      <w:pPr>
        <w:widowControl/>
        <w:autoSpaceDE w:val="0"/>
        <w:autoSpaceDN w:val="0"/>
        <w:adjustRightInd w:val="0"/>
        <w:spacing w:after="120"/>
        <w:ind w:left="1440"/>
        <w:rPr>
          <w:rFonts w:ascii="Times New Roman" w:hAnsi="Times New Roman"/>
          <w:lang w:bidi="en-US"/>
        </w:rPr>
      </w:pPr>
    </w:p>
    <w:tbl>
      <w:tblPr>
        <w:tblW w:w="9340" w:type="dxa"/>
        <w:tblLook w:val="04A0"/>
      </w:tblPr>
      <w:tblGrid>
        <w:gridCol w:w="2284"/>
        <w:gridCol w:w="1615"/>
        <w:gridCol w:w="1341"/>
        <w:gridCol w:w="1760"/>
        <w:gridCol w:w="1160"/>
        <w:gridCol w:w="1180"/>
      </w:tblGrid>
      <w:tr w:rsidTr="00AA0B79">
        <w:tblPrEx>
          <w:tblW w:w="9340" w:type="dxa"/>
          <w:tblLook w:val="04A0"/>
        </w:tblPrEx>
        <w:trPr>
          <w:trHeight w:val="360"/>
        </w:trPr>
        <w:tc>
          <w:tcPr>
            <w:tcW w:w="9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109F6" w:rsidRPr="00A109F6" w:rsidP="00A109F6">
            <w:pPr>
              <w:autoSpaceDE w:val="0"/>
              <w:autoSpaceDN w:val="0"/>
              <w:jc w:val="center"/>
              <w:rPr>
                <w:rFonts w:ascii="Times New Roman" w:hAnsi="Times New Roman"/>
                <w:b/>
                <w:snapToGrid/>
                <w:color w:val="000000"/>
                <w:szCs w:val="24"/>
              </w:rPr>
            </w:pPr>
            <w:r w:rsidRPr="00A109F6">
              <w:rPr>
                <w:rFonts w:ascii="Times New Roman" w:hAnsi="Times New Roman"/>
                <w:b/>
                <w:snapToGrid/>
                <w:color w:val="000000"/>
                <w:szCs w:val="24"/>
              </w:rPr>
              <w:t>Table 1. Summary of Estimated Annual Burden (OMB No. 3064-0204)</w:t>
            </w:r>
          </w:p>
        </w:tc>
      </w:tr>
      <w:tr w:rsidTr="00AA0B79">
        <w:tblPrEx>
          <w:tblW w:w="9340" w:type="dxa"/>
          <w:tblLook w:val="04A0"/>
        </w:tblPrEx>
        <w:trPr>
          <w:trHeight w:val="79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Information Collection (Obligation to Respond)</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Type of Burden</w:t>
            </w:r>
            <w:r w:rsidRPr="00A109F6">
              <w:rPr>
                <w:rFonts w:ascii="Times New Roman" w:hAnsi="Times New Roman"/>
                <w:snapToGrid/>
                <w:color w:val="000000"/>
                <w:sz w:val="22"/>
                <w:szCs w:val="22"/>
              </w:rPr>
              <w:br/>
              <w:t>(Frequency of Response)</w:t>
            </w:r>
          </w:p>
        </w:tc>
        <w:tc>
          <w:tcPr>
            <w:tcW w:w="12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 xml:space="preserve"> Number of Respondents</w:t>
            </w:r>
          </w:p>
        </w:tc>
        <w:tc>
          <w:tcPr>
            <w:tcW w:w="17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 xml:space="preserve"> Number of Responses per Respondent</w:t>
            </w:r>
          </w:p>
        </w:tc>
        <w:tc>
          <w:tcPr>
            <w:tcW w:w="11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Time per Response (HH:MM)</w:t>
            </w:r>
          </w:p>
        </w:tc>
        <w:tc>
          <w:tcPr>
            <w:tcW w:w="118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Annual Burden (Hours)</w:t>
            </w:r>
          </w:p>
        </w:tc>
      </w:tr>
      <w:tr w:rsidTr="00AA0B79">
        <w:tblPrEx>
          <w:tblW w:w="9340" w:type="dxa"/>
          <w:tblLook w:val="04A0"/>
        </w:tblPrEx>
        <w:trPr>
          <w:trHeight w:val="183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 xml:space="preserve">1. § 349.2 Definition of "Eligible Master Netting Agreement," paragraphs (4)(i) and (ii) § 349.8(g) Documentation § 349.10 Documentation of Margin Matters (Mandatory). </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Recordkeeping</w:t>
            </w:r>
            <w:r w:rsidRPr="00A109F6">
              <w:rPr>
                <w:rFonts w:ascii="Times New Roman" w:hAnsi="Times New Roman"/>
                <w:snapToGrid/>
                <w:color w:val="000000"/>
                <w:sz w:val="22"/>
                <w:szCs w:val="22"/>
              </w:rPr>
              <w:br/>
              <w:t>(Annual)</w:t>
            </w:r>
          </w:p>
        </w:tc>
        <w:tc>
          <w:tcPr>
            <w:tcW w:w="12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7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160" w:type="dxa"/>
            <w:tcBorders>
              <w:top w:val="nil"/>
              <w:left w:val="nil"/>
              <w:bottom w:val="single" w:sz="8" w:space="0" w:color="auto"/>
              <w:right w:val="nil"/>
            </w:tcBorders>
            <w:shd w:val="clear" w:color="auto" w:fill="auto"/>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5:00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5</w:t>
            </w:r>
          </w:p>
        </w:tc>
      </w:tr>
      <w:tr w:rsidTr="00AA0B79">
        <w:tblPrEx>
          <w:tblW w:w="9340" w:type="dxa"/>
          <w:tblLook w:val="04A0"/>
        </w:tblPrEx>
        <w:trPr>
          <w:trHeight w:val="53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 xml:space="preserve">2. § 349.7(c) Custody Agreement (Mandatory). </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Recordkeeping</w:t>
            </w:r>
            <w:r w:rsidRPr="00A109F6">
              <w:rPr>
                <w:rFonts w:ascii="Times New Roman" w:hAnsi="Times New Roman"/>
                <w:snapToGrid/>
                <w:color w:val="000000"/>
                <w:sz w:val="22"/>
                <w:szCs w:val="22"/>
              </w:rPr>
              <w:br/>
              <w:t>(Annual)</w:t>
            </w:r>
          </w:p>
        </w:tc>
        <w:tc>
          <w:tcPr>
            <w:tcW w:w="12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7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160" w:type="dxa"/>
            <w:tcBorders>
              <w:top w:val="nil"/>
              <w:left w:val="nil"/>
              <w:bottom w:val="single" w:sz="8" w:space="0" w:color="auto"/>
              <w:right w:val="nil"/>
            </w:tcBorders>
            <w:shd w:val="clear" w:color="auto" w:fill="auto"/>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100:00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100</w:t>
            </w:r>
          </w:p>
        </w:tc>
      </w:tr>
      <w:tr w:rsidTr="00AA0B79">
        <w:tblPrEx>
          <w:tblW w:w="9340" w:type="dxa"/>
          <w:tblLook w:val="04A0"/>
        </w:tblPrEx>
        <w:trPr>
          <w:trHeight w:val="183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 xml:space="preserve">3. § 349.8(c) and (d) Initial Margin Model (Mandatory). </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Reporting</w:t>
            </w:r>
            <w:r w:rsidRPr="00A109F6">
              <w:rPr>
                <w:rFonts w:ascii="Times New Roman" w:hAnsi="Times New Roman"/>
                <w:snapToGrid/>
                <w:color w:val="000000"/>
                <w:sz w:val="22"/>
                <w:szCs w:val="22"/>
              </w:rPr>
              <w:br/>
              <w:t>(On occasion)</w:t>
            </w:r>
          </w:p>
        </w:tc>
        <w:tc>
          <w:tcPr>
            <w:tcW w:w="12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7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160" w:type="dxa"/>
            <w:tcBorders>
              <w:top w:val="nil"/>
              <w:left w:val="nil"/>
              <w:bottom w:val="single" w:sz="8" w:space="0" w:color="auto"/>
              <w:right w:val="nil"/>
            </w:tcBorders>
            <w:shd w:val="clear" w:color="auto" w:fill="auto"/>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240:00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240</w:t>
            </w:r>
          </w:p>
        </w:tc>
      </w:tr>
      <w:tr w:rsidTr="00AA0B79">
        <w:tblPrEx>
          <w:tblW w:w="9340" w:type="dxa"/>
          <w:tblLook w:val="04A0"/>
        </w:tblPrEx>
        <w:trPr>
          <w:trHeight w:val="79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4. § 349.8(f)(3) Initial Margin Modeling Report (Mandatory).</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Reporting</w:t>
            </w:r>
            <w:r w:rsidRPr="00A109F6">
              <w:rPr>
                <w:rFonts w:ascii="Times New Roman" w:hAnsi="Times New Roman"/>
                <w:snapToGrid/>
                <w:color w:val="000000"/>
                <w:sz w:val="22"/>
                <w:szCs w:val="22"/>
              </w:rPr>
              <w:br/>
              <w:t>(On occasion)</w:t>
            </w:r>
          </w:p>
        </w:tc>
        <w:tc>
          <w:tcPr>
            <w:tcW w:w="12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7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160" w:type="dxa"/>
            <w:tcBorders>
              <w:top w:val="nil"/>
              <w:left w:val="nil"/>
              <w:bottom w:val="single" w:sz="8" w:space="0" w:color="auto"/>
              <w:right w:val="nil"/>
            </w:tcBorders>
            <w:shd w:val="clear" w:color="auto" w:fill="auto"/>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50:00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50</w:t>
            </w:r>
          </w:p>
        </w:tc>
      </w:tr>
      <w:tr w:rsidTr="00AA0B79">
        <w:tblPrEx>
          <w:tblW w:w="9340" w:type="dxa"/>
          <w:tblLook w:val="04A0"/>
        </w:tblPrEx>
        <w:trPr>
          <w:trHeight w:val="53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5. § 349.8(h) Escalation Procedures (Mandatory).</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Recordkeeping</w:t>
            </w:r>
            <w:r w:rsidRPr="00A109F6">
              <w:rPr>
                <w:rFonts w:ascii="Times New Roman" w:hAnsi="Times New Roman"/>
                <w:snapToGrid/>
                <w:color w:val="000000"/>
                <w:sz w:val="22"/>
                <w:szCs w:val="22"/>
              </w:rPr>
              <w:br/>
              <w:t>(Annual)</w:t>
            </w:r>
          </w:p>
        </w:tc>
        <w:tc>
          <w:tcPr>
            <w:tcW w:w="12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7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160" w:type="dxa"/>
            <w:tcBorders>
              <w:top w:val="nil"/>
              <w:left w:val="nil"/>
              <w:bottom w:val="single" w:sz="8" w:space="0" w:color="auto"/>
              <w:right w:val="nil"/>
            </w:tcBorders>
            <w:shd w:val="clear" w:color="auto" w:fill="auto"/>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20:00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20</w:t>
            </w:r>
          </w:p>
        </w:tc>
      </w:tr>
      <w:tr w:rsidTr="00AA0B79">
        <w:tblPrEx>
          <w:tblW w:w="9340" w:type="dxa"/>
          <w:tblLook w:val="04A0"/>
        </w:tblPrEx>
        <w:trPr>
          <w:trHeight w:val="79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 xml:space="preserve">6. § 349.9(e) Requests for Determinations (Required to Obtain Benefits). </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Reporting</w:t>
            </w:r>
            <w:r w:rsidRPr="00A109F6">
              <w:rPr>
                <w:rFonts w:ascii="Times New Roman" w:hAnsi="Times New Roman"/>
                <w:snapToGrid/>
                <w:color w:val="000000"/>
                <w:sz w:val="22"/>
                <w:szCs w:val="22"/>
              </w:rPr>
              <w:br/>
              <w:t>(On Occasion)</w:t>
            </w:r>
          </w:p>
        </w:tc>
        <w:tc>
          <w:tcPr>
            <w:tcW w:w="12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7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160" w:type="dxa"/>
            <w:tcBorders>
              <w:top w:val="nil"/>
              <w:left w:val="nil"/>
              <w:bottom w:val="single" w:sz="8" w:space="0" w:color="auto"/>
              <w:right w:val="nil"/>
            </w:tcBorders>
            <w:shd w:val="clear" w:color="auto" w:fill="auto"/>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10:00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10</w:t>
            </w:r>
          </w:p>
        </w:tc>
      </w:tr>
      <w:tr w:rsidTr="00AA0B79">
        <w:tblPrEx>
          <w:tblW w:w="9340" w:type="dxa"/>
          <w:tblLook w:val="04A0"/>
        </w:tblPrEx>
        <w:trPr>
          <w:trHeight w:val="79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A109F6" w:rsidRPr="00A109F6" w:rsidP="00A109F6">
            <w:pPr>
              <w:widowControl/>
              <w:rPr>
                <w:rFonts w:ascii="Times New Roman" w:hAnsi="Times New Roman"/>
                <w:snapToGrid/>
                <w:color w:val="000000"/>
                <w:sz w:val="22"/>
                <w:szCs w:val="22"/>
              </w:rPr>
            </w:pPr>
            <w:r w:rsidRPr="00A109F6">
              <w:rPr>
                <w:rFonts w:ascii="Times New Roman" w:hAnsi="Times New Roman"/>
                <w:snapToGrid/>
                <w:color w:val="000000"/>
                <w:sz w:val="22"/>
                <w:szCs w:val="22"/>
              </w:rPr>
              <w:t>7. Documentation,</w:t>
            </w:r>
            <w:r w:rsidRPr="00A109F6">
              <w:rPr>
                <w:rFonts w:ascii="Times New Roman" w:hAnsi="Times New Roman"/>
                <w:snapToGrid/>
                <w:color w:val="000000"/>
                <w:sz w:val="22"/>
                <w:szCs w:val="22"/>
              </w:rPr>
              <w:br/>
              <w:t>12 CFR 349.8(g) (Mandatory)</w:t>
            </w:r>
          </w:p>
        </w:tc>
        <w:tc>
          <w:tcPr>
            <w:tcW w:w="1660" w:type="dxa"/>
            <w:tcBorders>
              <w:top w:val="nil"/>
              <w:left w:val="nil"/>
              <w:bottom w:val="single" w:sz="8" w:space="0" w:color="auto"/>
              <w:right w:val="single" w:sz="8" w:space="0" w:color="auto"/>
            </w:tcBorders>
            <w:shd w:val="clear" w:color="auto" w:fill="auto"/>
            <w:vAlign w:val="center"/>
            <w:hideMark/>
          </w:tcPr>
          <w:p w:rsidR="00A109F6" w:rsidRPr="00A109F6" w:rsidP="00A109F6">
            <w:pPr>
              <w:widowControl/>
              <w:jc w:val="center"/>
              <w:rPr>
                <w:rFonts w:ascii="Times New Roman" w:hAnsi="Times New Roman"/>
                <w:snapToGrid/>
                <w:color w:val="000000"/>
                <w:sz w:val="22"/>
                <w:szCs w:val="22"/>
              </w:rPr>
            </w:pPr>
            <w:r w:rsidRPr="00A109F6">
              <w:rPr>
                <w:rFonts w:ascii="Times New Roman" w:hAnsi="Times New Roman"/>
                <w:snapToGrid/>
                <w:color w:val="000000"/>
                <w:sz w:val="22"/>
                <w:szCs w:val="22"/>
              </w:rPr>
              <w:t>Recordkeeping</w:t>
            </w:r>
            <w:r w:rsidRPr="00A109F6">
              <w:rPr>
                <w:rFonts w:ascii="Times New Roman" w:hAnsi="Times New Roman"/>
                <w:snapToGrid/>
                <w:color w:val="000000"/>
                <w:sz w:val="22"/>
                <w:szCs w:val="22"/>
              </w:rPr>
              <w:br/>
              <w:t>(Annual)</w:t>
            </w:r>
          </w:p>
        </w:tc>
        <w:tc>
          <w:tcPr>
            <w:tcW w:w="12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760" w:type="dxa"/>
            <w:tcBorders>
              <w:top w:val="nil"/>
              <w:left w:val="nil"/>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1</w:t>
            </w:r>
          </w:p>
        </w:tc>
        <w:tc>
          <w:tcPr>
            <w:tcW w:w="1160" w:type="dxa"/>
            <w:tcBorders>
              <w:top w:val="nil"/>
              <w:left w:val="nil"/>
              <w:bottom w:val="single" w:sz="8" w:space="0" w:color="auto"/>
              <w:right w:val="nil"/>
            </w:tcBorders>
            <w:shd w:val="clear" w:color="auto" w:fill="auto"/>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80:00</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rsidR="00A109F6" w:rsidRPr="00A109F6" w:rsidP="00A109F6">
            <w:pPr>
              <w:widowControl/>
              <w:jc w:val="right"/>
              <w:rPr>
                <w:rFonts w:ascii="Times New Roman" w:hAnsi="Times New Roman"/>
                <w:snapToGrid/>
                <w:color w:val="000000"/>
                <w:sz w:val="22"/>
                <w:szCs w:val="22"/>
              </w:rPr>
            </w:pPr>
            <w:r w:rsidRPr="00A109F6">
              <w:rPr>
                <w:rFonts w:ascii="Times New Roman" w:hAnsi="Times New Roman"/>
                <w:snapToGrid/>
                <w:color w:val="000000"/>
                <w:sz w:val="22"/>
                <w:szCs w:val="22"/>
              </w:rPr>
              <w:t>80</w:t>
            </w:r>
          </w:p>
        </w:tc>
      </w:tr>
      <w:tr w:rsidTr="00AA0B79">
        <w:tblPrEx>
          <w:tblW w:w="9340" w:type="dxa"/>
          <w:tblLook w:val="04A0"/>
        </w:tblPrEx>
        <w:trPr>
          <w:trHeight w:val="790"/>
        </w:trPr>
        <w:tc>
          <w:tcPr>
            <w:tcW w:w="816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A109F6" w:rsidRPr="00A109F6" w:rsidP="00A109F6">
            <w:pPr>
              <w:widowControl/>
              <w:jc w:val="right"/>
              <w:rPr>
                <w:rFonts w:ascii="Times New Roman" w:hAnsi="Times New Roman"/>
                <w:b/>
                <w:bCs/>
                <w:i/>
                <w:iCs/>
                <w:snapToGrid/>
                <w:color w:val="000000"/>
                <w:sz w:val="22"/>
                <w:szCs w:val="22"/>
              </w:rPr>
            </w:pPr>
            <w:r w:rsidRPr="00A109F6">
              <w:rPr>
                <w:rFonts w:ascii="Times New Roman" w:hAnsi="Times New Roman"/>
                <w:b/>
                <w:bCs/>
                <w:i/>
                <w:iCs/>
                <w:snapToGrid/>
                <w:color w:val="000000"/>
                <w:sz w:val="22"/>
                <w:szCs w:val="22"/>
              </w:rPr>
              <w:t>Total Annual Burden (Hours):</w:t>
            </w:r>
          </w:p>
        </w:tc>
        <w:tc>
          <w:tcPr>
            <w:tcW w:w="1180" w:type="dxa"/>
            <w:tcBorders>
              <w:top w:val="nil"/>
              <w:left w:val="nil"/>
              <w:bottom w:val="single" w:sz="8" w:space="0" w:color="auto"/>
              <w:right w:val="single" w:sz="8" w:space="0" w:color="auto"/>
            </w:tcBorders>
            <w:shd w:val="clear" w:color="auto" w:fill="auto"/>
            <w:noWrap/>
            <w:vAlign w:val="bottom"/>
            <w:hideMark/>
          </w:tcPr>
          <w:p w:rsidR="00A109F6" w:rsidRPr="00A109F6" w:rsidP="00A109F6">
            <w:pPr>
              <w:widowControl/>
              <w:jc w:val="right"/>
              <w:rPr>
                <w:rFonts w:ascii="Times New Roman" w:hAnsi="Times New Roman"/>
                <w:b/>
                <w:bCs/>
                <w:i/>
                <w:iCs/>
                <w:snapToGrid/>
                <w:color w:val="000000"/>
                <w:sz w:val="22"/>
                <w:szCs w:val="22"/>
              </w:rPr>
            </w:pPr>
            <w:r w:rsidRPr="00A109F6">
              <w:rPr>
                <w:rFonts w:ascii="Times New Roman" w:hAnsi="Times New Roman"/>
                <w:b/>
                <w:bCs/>
                <w:i/>
                <w:iCs/>
                <w:snapToGrid/>
                <w:color w:val="000000"/>
                <w:sz w:val="22"/>
                <w:szCs w:val="22"/>
              </w:rPr>
              <w:t>505</w:t>
            </w:r>
          </w:p>
        </w:tc>
      </w:tr>
      <w:tr w:rsidTr="00AA0B79">
        <w:tblPrEx>
          <w:tblW w:w="9340" w:type="dxa"/>
          <w:tblLook w:val="04A0"/>
        </w:tblPrEx>
        <w:trPr>
          <w:trHeight w:val="530"/>
        </w:trPr>
        <w:tc>
          <w:tcPr>
            <w:tcW w:w="9340" w:type="dxa"/>
            <w:gridSpan w:val="6"/>
            <w:tcBorders>
              <w:top w:val="single" w:sz="8" w:space="0" w:color="auto"/>
              <w:left w:val="single" w:sz="8" w:space="0" w:color="auto"/>
              <w:bottom w:val="nil"/>
              <w:right w:val="single" w:sz="8" w:space="0" w:color="000000"/>
            </w:tcBorders>
            <w:shd w:val="clear" w:color="auto" w:fill="auto"/>
            <w:noWrap/>
            <w:hideMark/>
          </w:tcPr>
          <w:p w:rsidR="00A109F6" w:rsidRPr="00A109F6" w:rsidP="00A109F6">
            <w:pPr>
              <w:widowControl/>
              <w:rPr>
                <w:rFonts w:ascii="Times New Roman" w:hAnsi="Times New Roman"/>
                <w:snapToGrid/>
                <w:color w:val="000000"/>
                <w:sz w:val="20"/>
              </w:rPr>
            </w:pPr>
            <w:r w:rsidRPr="00A109F6">
              <w:rPr>
                <w:rFonts w:ascii="Times New Roman" w:hAnsi="Times New Roman"/>
                <w:snapToGrid/>
                <w:color w:val="000000"/>
                <w:sz w:val="20"/>
              </w:rPr>
              <w:t>Source: FDIC.</w:t>
            </w:r>
          </w:p>
        </w:tc>
      </w:tr>
      <w:tr w:rsidTr="00AA0B79">
        <w:tblPrEx>
          <w:tblW w:w="9340" w:type="dxa"/>
          <w:tblLook w:val="04A0"/>
        </w:tblPrEx>
        <w:trPr>
          <w:trHeight w:val="790"/>
        </w:trPr>
        <w:tc>
          <w:tcPr>
            <w:tcW w:w="934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A109F6" w:rsidRPr="00A109F6" w:rsidP="00A109F6">
            <w:pPr>
              <w:widowControl/>
              <w:rPr>
                <w:rFonts w:ascii="Times New Roman" w:hAnsi="Times New Roman"/>
                <w:snapToGrid/>
                <w:color w:val="000000"/>
                <w:sz w:val="20"/>
              </w:rPr>
            </w:pPr>
            <w:r w:rsidRPr="00A109F6">
              <w:rPr>
                <w:rFonts w:ascii="Times New Roman" w:hAnsi="Times New Roman"/>
                <w:snapToGrid/>
                <w:color w:val="000000"/>
                <w:sz w:val="20"/>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tc>
      </w:tr>
      <w:tr w:rsidTr="00AA0B79">
        <w:tblPrEx>
          <w:tblW w:w="9340" w:type="dxa"/>
          <w:tblLook w:val="04A0"/>
        </w:tblPrEx>
        <w:trPr>
          <w:trHeight w:val="530"/>
        </w:trPr>
        <w:tc>
          <w:tcPr>
            <w:tcW w:w="9340" w:type="dxa"/>
            <w:gridSpan w:val="6"/>
            <w:vMerge/>
            <w:tcBorders>
              <w:top w:val="nil"/>
              <w:left w:val="single" w:sz="8" w:space="0" w:color="auto"/>
              <w:bottom w:val="single" w:sz="8" w:space="0" w:color="000000"/>
              <w:right w:val="single" w:sz="8" w:space="0" w:color="000000"/>
            </w:tcBorders>
            <w:vAlign w:val="center"/>
            <w:hideMark/>
          </w:tcPr>
          <w:p w:rsidR="00A109F6" w:rsidRPr="00A109F6" w:rsidP="00A109F6">
            <w:pPr>
              <w:widowControl/>
              <w:rPr>
                <w:rFonts w:ascii="Times New Roman" w:hAnsi="Times New Roman"/>
                <w:snapToGrid/>
                <w:color w:val="000000"/>
                <w:sz w:val="22"/>
                <w:szCs w:val="22"/>
              </w:rPr>
            </w:pPr>
          </w:p>
        </w:tc>
      </w:tr>
      <w:tr w:rsidTr="00AA0B79">
        <w:tblPrEx>
          <w:tblW w:w="9340" w:type="dxa"/>
          <w:tblLook w:val="04A0"/>
        </w:tblPrEx>
        <w:trPr>
          <w:trHeight w:val="530"/>
        </w:trPr>
        <w:tc>
          <w:tcPr>
            <w:tcW w:w="9340" w:type="dxa"/>
            <w:gridSpan w:val="6"/>
            <w:vMerge/>
            <w:tcBorders>
              <w:top w:val="nil"/>
              <w:left w:val="single" w:sz="8" w:space="0" w:color="auto"/>
              <w:bottom w:val="single" w:sz="8" w:space="0" w:color="000000"/>
              <w:right w:val="single" w:sz="8" w:space="0" w:color="000000"/>
            </w:tcBorders>
            <w:vAlign w:val="center"/>
            <w:hideMark/>
          </w:tcPr>
          <w:p w:rsidR="00A109F6" w:rsidRPr="00A109F6" w:rsidP="00A109F6">
            <w:pPr>
              <w:widowControl/>
              <w:rPr>
                <w:rFonts w:ascii="Times New Roman" w:hAnsi="Times New Roman"/>
                <w:snapToGrid/>
                <w:color w:val="000000"/>
                <w:sz w:val="22"/>
                <w:szCs w:val="22"/>
              </w:rPr>
            </w:pPr>
          </w:p>
        </w:tc>
      </w:tr>
      <w:tr w:rsidTr="00AA0B79">
        <w:tblPrEx>
          <w:tblW w:w="9340" w:type="dxa"/>
          <w:tblLook w:val="04A0"/>
        </w:tblPrEx>
        <w:trPr>
          <w:trHeight w:val="530"/>
        </w:trPr>
        <w:tc>
          <w:tcPr>
            <w:tcW w:w="9340" w:type="dxa"/>
            <w:gridSpan w:val="6"/>
            <w:vMerge/>
            <w:tcBorders>
              <w:top w:val="nil"/>
              <w:left w:val="single" w:sz="8" w:space="0" w:color="auto"/>
              <w:bottom w:val="single" w:sz="8" w:space="0" w:color="000000"/>
              <w:right w:val="single" w:sz="8" w:space="0" w:color="000000"/>
            </w:tcBorders>
            <w:vAlign w:val="center"/>
            <w:hideMark/>
          </w:tcPr>
          <w:p w:rsidR="00A109F6" w:rsidRPr="00A109F6" w:rsidP="00A109F6">
            <w:pPr>
              <w:widowControl/>
              <w:rPr>
                <w:rFonts w:ascii="Times New Roman" w:hAnsi="Times New Roman"/>
                <w:snapToGrid/>
                <w:color w:val="000000"/>
                <w:sz w:val="22"/>
                <w:szCs w:val="22"/>
              </w:rPr>
            </w:pPr>
          </w:p>
        </w:tc>
      </w:tr>
    </w:tbl>
    <w:p w:rsidR="00A109F6" w:rsidP="009F641B">
      <w:pPr>
        <w:widowControl/>
        <w:autoSpaceDE w:val="0"/>
        <w:autoSpaceDN w:val="0"/>
        <w:adjustRightInd w:val="0"/>
        <w:spacing w:after="120"/>
        <w:rPr>
          <w:rFonts w:ascii="Times New Roman" w:hAnsi="Times New Roman"/>
          <w:lang w:bidi="en-US"/>
        </w:rPr>
      </w:pPr>
    </w:p>
    <w:p w:rsidR="009F641B" w:rsidRPr="009F641B" w:rsidP="009F641B">
      <w:pPr>
        <w:widowControl/>
        <w:autoSpaceDE w:val="0"/>
        <w:autoSpaceDN w:val="0"/>
        <w:adjustRightInd w:val="0"/>
        <w:spacing w:after="120"/>
        <w:ind w:left="1440"/>
        <w:rPr>
          <w:rFonts w:ascii="Times New Roman" w:hAnsi="Times New Roman"/>
          <w:i/>
          <w:lang w:bidi="en-US"/>
        </w:rPr>
      </w:pPr>
      <w:r w:rsidRPr="009F641B">
        <w:rPr>
          <w:rFonts w:ascii="Times New Roman" w:hAnsi="Times New Roman"/>
          <w:i/>
          <w:lang w:bidi="en-US"/>
        </w:rPr>
        <w:t xml:space="preserve">Estimated </w:t>
      </w:r>
      <w:r>
        <w:rPr>
          <w:rFonts w:ascii="Times New Roman" w:hAnsi="Times New Roman"/>
          <w:i/>
          <w:lang w:bidi="en-US"/>
        </w:rPr>
        <w:t>Labor Cost</w:t>
      </w:r>
    </w:p>
    <w:p w:rsidR="009F641B" w:rsidRPr="009F641B" w:rsidP="009F641B">
      <w:pPr>
        <w:widowControl/>
        <w:autoSpaceDE w:val="0"/>
        <w:autoSpaceDN w:val="0"/>
        <w:adjustRightInd w:val="0"/>
        <w:spacing w:after="120"/>
        <w:ind w:left="1440"/>
        <w:rPr>
          <w:rFonts w:ascii="Times New Roman" w:hAnsi="Times New Roman"/>
          <w:snapToGrid/>
          <w:color w:val="000000"/>
          <w:szCs w:val="24"/>
        </w:rPr>
      </w:pPr>
      <w:r>
        <w:rPr>
          <w:rFonts w:ascii="Times New Roman" w:eastAsia="Source Sans Pro" w:hAnsi="Times New Roman"/>
          <w:snapToGrid/>
          <w:color w:val="000000"/>
          <w:szCs w:val="24"/>
          <w:lang w:bidi="en-US"/>
        </w:rPr>
        <w:t>FDIC</w:t>
      </w:r>
      <w:r w:rsidRPr="009F641B">
        <w:rPr>
          <w:rFonts w:ascii="Times New Roman" w:eastAsia="Source Sans Pro" w:hAnsi="Times New Roman"/>
          <w:snapToGrid/>
          <w:color w:val="000000"/>
          <w:szCs w:val="24"/>
          <w:lang w:bidi="en-US"/>
        </w:rPr>
        <w:t xml:space="preserve"> </w:t>
      </w:r>
      <w:r>
        <w:rPr>
          <w:rFonts w:ascii="Times New Roman" w:eastAsia="Source Sans Pro" w:hAnsi="Times New Roman"/>
          <w:snapToGrid/>
          <w:color w:val="000000"/>
          <w:szCs w:val="24"/>
          <w:lang w:bidi="en-US"/>
        </w:rPr>
        <w:t xml:space="preserve">allocates </w:t>
      </w:r>
      <w:r w:rsidRPr="009F641B">
        <w:rPr>
          <w:rFonts w:ascii="Times New Roman" w:eastAsia="Source Sans Pro" w:hAnsi="Times New Roman"/>
          <w:snapToGrid/>
          <w:color w:val="000000"/>
          <w:szCs w:val="24"/>
          <w:lang w:bidi="en-US"/>
        </w:rPr>
        <w:t xml:space="preserve">labor </w:t>
      </w:r>
      <w:r>
        <w:rPr>
          <w:rFonts w:ascii="Times New Roman" w:eastAsia="Source Sans Pro" w:hAnsi="Times New Roman"/>
          <w:snapToGrid/>
          <w:color w:val="000000"/>
          <w:szCs w:val="24"/>
          <w:lang w:bidi="en-US"/>
        </w:rPr>
        <w:t xml:space="preserve">costs </w:t>
      </w:r>
      <w:r w:rsidRPr="009F641B">
        <w:rPr>
          <w:rFonts w:ascii="Times New Roman" w:eastAsia="Source Sans Pro" w:hAnsi="Times New Roman"/>
          <w:snapToGrid/>
          <w:color w:val="000000"/>
          <w:szCs w:val="24"/>
          <w:lang w:bidi="en-US"/>
        </w:rPr>
        <w:t xml:space="preserve">across six occupations to find the estimated hourly </w:t>
      </w:r>
      <w:r w:rsidRPr="009F641B">
        <w:rPr>
          <w:rFonts w:ascii="Times New Roman" w:hAnsi="Times New Roman"/>
          <w:lang w:bidi="en-US"/>
        </w:rPr>
        <w:t>cost</w:t>
      </w:r>
      <w:r w:rsidRPr="009F641B">
        <w:rPr>
          <w:rFonts w:ascii="Times New Roman" w:eastAsia="Source Sans Pro" w:hAnsi="Times New Roman"/>
          <w:snapToGrid/>
          <w:color w:val="000000"/>
          <w:szCs w:val="24"/>
          <w:lang w:bidi="en-US"/>
        </w:rPr>
        <w:t xml:space="preserve"> of complying with this ICR. </w:t>
      </w:r>
      <w:r w:rsidRPr="009F641B">
        <w:rPr>
          <w:rFonts w:ascii="Times New Roman" w:hAnsi="Times New Roman"/>
          <w:snapToGrid/>
          <w:color w:val="000000"/>
          <w:szCs w:val="24"/>
        </w:rPr>
        <w:t xml:space="preserve">To estimate the average cost of compensation per hour, </w:t>
      </w:r>
      <w:r>
        <w:rPr>
          <w:rFonts w:ascii="Times New Roman" w:hAnsi="Times New Roman"/>
          <w:snapToGrid/>
          <w:color w:val="000000"/>
          <w:szCs w:val="24"/>
        </w:rPr>
        <w:t>FDIC</w:t>
      </w:r>
      <w:r w:rsidRPr="009F641B">
        <w:rPr>
          <w:rFonts w:ascii="Times New Roman" w:hAnsi="Times New Roman"/>
          <w:snapToGrid/>
          <w:color w:val="000000"/>
          <w:szCs w:val="24"/>
        </w:rPr>
        <w:t xml:space="preserve"> use</w:t>
      </w:r>
      <w:r>
        <w:rPr>
          <w:rFonts w:ascii="Times New Roman" w:hAnsi="Times New Roman"/>
          <w:snapToGrid/>
          <w:color w:val="000000"/>
          <w:szCs w:val="24"/>
        </w:rPr>
        <w:t>s</w:t>
      </w:r>
      <w:r w:rsidRPr="009F641B">
        <w:rPr>
          <w:rFonts w:ascii="Times New Roman" w:hAnsi="Times New Roman"/>
          <w:snapToGrid/>
          <w:color w:val="000000"/>
          <w:szCs w:val="24"/>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2022 and do not include non-wage compensation. To adjust these wages for use in th</w:t>
      </w:r>
      <w:r>
        <w:rPr>
          <w:rFonts w:ascii="Times New Roman" w:hAnsi="Times New Roman"/>
          <w:snapToGrid/>
          <w:color w:val="000000"/>
          <w:szCs w:val="24"/>
        </w:rPr>
        <w:t>is</w:t>
      </w:r>
      <w:r w:rsidRPr="009F641B">
        <w:rPr>
          <w:rFonts w:ascii="Times New Roman" w:hAnsi="Times New Roman"/>
          <w:snapToGrid/>
          <w:color w:val="000000"/>
          <w:szCs w:val="24"/>
        </w:rPr>
        <w:t xml:space="preserve"> </w:t>
      </w:r>
      <w:r>
        <w:rPr>
          <w:rFonts w:ascii="Times New Roman" w:hAnsi="Times New Roman"/>
          <w:snapToGrid/>
          <w:color w:val="000000"/>
          <w:szCs w:val="24"/>
        </w:rPr>
        <w:t>estimate</w:t>
      </w:r>
      <w:r w:rsidRPr="009F641B">
        <w:rPr>
          <w:rFonts w:ascii="Times New Roman" w:hAnsi="Times New Roman"/>
          <w:snapToGrid/>
          <w:color w:val="000000"/>
          <w:szCs w:val="24"/>
        </w:rPr>
        <w:t xml:space="preserve">, </w:t>
      </w:r>
      <w:r>
        <w:rPr>
          <w:rFonts w:ascii="Times New Roman" w:hAnsi="Times New Roman"/>
          <w:snapToGrid/>
          <w:color w:val="000000"/>
          <w:szCs w:val="24"/>
        </w:rPr>
        <w:t>FDIC</w:t>
      </w:r>
      <w:r w:rsidRPr="009F641B">
        <w:rPr>
          <w:rFonts w:ascii="Times New Roman" w:hAnsi="Times New Roman"/>
          <w:snapToGrid/>
          <w:color w:val="000000"/>
          <w:szCs w:val="24"/>
        </w:rPr>
        <w:t xml:space="preserve"> multipl</w:t>
      </w:r>
      <w:r>
        <w:rPr>
          <w:rFonts w:ascii="Times New Roman" w:hAnsi="Times New Roman"/>
          <w:snapToGrid/>
          <w:color w:val="000000"/>
          <w:szCs w:val="24"/>
        </w:rPr>
        <w:t>ies</w:t>
      </w:r>
      <w:r w:rsidRPr="009F641B">
        <w:rPr>
          <w:rFonts w:ascii="Times New Roman" w:hAnsi="Times New Roman"/>
          <w:snapToGrid/>
          <w:color w:val="000000"/>
          <w:szCs w:val="24"/>
        </w:rPr>
        <w:t xml:space="preserve"> the OEWS hourly wages by approximately 1.51 to account for non-wage compensation, using the BLS Employer Cost of Employee Compensation (ECEC) data as of March 2022 (the latest published release prior to the OEWS wage data). I</w:t>
      </w:r>
      <w:r>
        <w:rPr>
          <w:rFonts w:ascii="Times New Roman" w:hAnsi="Times New Roman"/>
          <w:snapToGrid/>
          <w:color w:val="000000"/>
          <w:szCs w:val="24"/>
        </w:rPr>
        <w:t>t</w:t>
      </w:r>
      <w:r w:rsidRPr="009F641B">
        <w:rPr>
          <w:rFonts w:ascii="Times New Roman" w:hAnsi="Times New Roman"/>
          <w:snapToGrid/>
          <w:color w:val="000000"/>
          <w:szCs w:val="24"/>
        </w:rPr>
        <w:t xml:space="preserve"> then multipl</w:t>
      </w:r>
      <w:r>
        <w:rPr>
          <w:rFonts w:ascii="Times New Roman" w:hAnsi="Times New Roman"/>
          <w:snapToGrid/>
          <w:color w:val="000000"/>
          <w:szCs w:val="24"/>
        </w:rPr>
        <w:t>ies</w:t>
      </w:r>
      <w:r w:rsidRPr="009F641B">
        <w:rPr>
          <w:rFonts w:ascii="Times New Roman" w:hAnsi="Times New Roman"/>
          <w:snapToGrid/>
          <w:color w:val="000000"/>
          <w:szCs w:val="24"/>
        </w:rPr>
        <w:t xml:space="preserve"> the resulting compensation rates by approximately 1.05 to reflect the change in the seasonally adjusted Employment Cost Index for the Credit Intermediation and Related Activities sector (NAICS Code 522) between March 2022 and March 2023.  Table 2 shows the results:</w:t>
      </w:r>
    </w:p>
    <w:tbl>
      <w:tblPr>
        <w:tblW w:w="9170" w:type="dxa"/>
        <w:tblLook w:val="04A0"/>
      </w:tblPr>
      <w:tblGrid>
        <w:gridCol w:w="1258"/>
        <w:gridCol w:w="1259"/>
        <w:gridCol w:w="1258"/>
        <w:gridCol w:w="1259"/>
        <w:gridCol w:w="1258"/>
        <w:gridCol w:w="1259"/>
        <w:gridCol w:w="1619"/>
      </w:tblGrid>
      <w:tr w:rsidTr="00AA0B79">
        <w:tblPrEx>
          <w:tblW w:w="9170" w:type="dxa"/>
          <w:tblLook w:val="04A0"/>
        </w:tblPrEx>
        <w:trPr>
          <w:trHeight w:val="360"/>
        </w:trPr>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41B" w:rsidRPr="009F641B" w:rsidP="009F641B">
            <w:pPr>
              <w:widowControl/>
              <w:jc w:val="center"/>
              <w:rPr>
                <w:rFonts w:ascii="Times New Roman" w:hAnsi="Times New Roman"/>
                <w:snapToGrid/>
                <w:color w:val="000000"/>
                <w:szCs w:val="24"/>
              </w:rPr>
            </w:pPr>
            <w:r w:rsidRPr="009F641B">
              <w:rPr>
                <w:rFonts w:ascii="Times New Roman" w:hAnsi="Times New Roman"/>
                <w:snapToGrid/>
                <w:color w:val="000000"/>
                <w:szCs w:val="24"/>
              </w:rPr>
              <w:t>Table 2. Summary of Hourly Burden Cost Estimate (OMB No. 3064-0204)</w:t>
            </w:r>
          </w:p>
        </w:tc>
      </w:tr>
      <w:tr w:rsidTr="00AA0B79">
        <w:tblPrEx>
          <w:tblW w:w="9170" w:type="dxa"/>
          <w:tblLook w:val="04A0"/>
        </w:tblPrEx>
        <w:trPr>
          <w:trHeight w:val="600"/>
        </w:trPr>
        <w:tc>
          <w:tcPr>
            <w:tcW w:w="7551"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hAnsi="Times New Roman"/>
                <w:snapToGrid/>
                <w:color w:val="000000"/>
                <w:sz w:val="20"/>
              </w:rPr>
              <w:t xml:space="preserve">Percentage Shares of Hours Spent by and </w:t>
            </w:r>
            <w:r w:rsidRPr="009F641B">
              <w:rPr>
                <w:rFonts w:ascii="Times New Roman" w:hAnsi="Times New Roman"/>
                <w:snapToGrid/>
                <w:color w:val="000000"/>
                <w:sz w:val="20"/>
              </w:rPr>
              <w:br/>
              <w:t xml:space="preserve">Hourly Compensation Rates for each Occupation Group </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hAnsi="Times New Roman"/>
                <w:snapToGrid/>
                <w:color w:val="000000"/>
                <w:sz w:val="20"/>
              </w:rPr>
              <w:t>Estimated Hourly Compensation Rate</w:t>
            </w:r>
          </w:p>
        </w:tc>
      </w:tr>
      <w:tr w:rsidTr="00AA0B79">
        <w:tblPrEx>
          <w:tblW w:w="9170" w:type="dxa"/>
          <w:tblLook w:val="04A0"/>
        </w:tblPrEx>
        <w:trPr>
          <w:trHeight w:val="272"/>
        </w:trPr>
        <w:tc>
          <w:tcPr>
            <w:tcW w:w="7551" w:type="dxa"/>
            <w:gridSpan w:val="6"/>
            <w:vMerge/>
            <w:tcBorders>
              <w:top w:val="nil"/>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r>
      <w:tr w:rsidTr="00AA0B79">
        <w:tblPrEx>
          <w:tblW w:w="9170" w:type="dxa"/>
          <w:tblLook w:val="04A0"/>
        </w:tblPrEx>
        <w:trPr>
          <w:trHeight w:val="360"/>
        </w:trPr>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color w:val="000000"/>
                <w:sz w:val="20"/>
                <w:lang w:bidi="en-US"/>
              </w:rPr>
              <w:t>Exec. &amp; Mgr.      ($132.34)</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color w:val="000000"/>
                <w:sz w:val="20"/>
                <w:lang w:bidi="en-US"/>
              </w:rPr>
              <w:t>Lawyer   ($170.71)</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color w:val="000000"/>
                <w:sz w:val="20"/>
                <w:lang w:bidi="en-US"/>
              </w:rPr>
              <w:t>Compl. Ofc.   ($65.6)</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color w:val="000000"/>
                <w:sz w:val="20"/>
                <w:lang w:bidi="en-US"/>
              </w:rPr>
              <w:t>IT    ($104.27)</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color w:val="000000"/>
                <w:sz w:val="20"/>
                <w:lang w:bidi="en-US"/>
              </w:rPr>
              <w:t>Fin. Anlst.    ($96.78)</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color w:val="000000"/>
                <w:sz w:val="20"/>
                <w:lang w:bidi="en-US"/>
              </w:rPr>
              <w:t>Clerical    ($37.28)</w:t>
            </w: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r>
      <w:tr w:rsidTr="00AA0B79">
        <w:tblPrEx>
          <w:tblW w:w="9170" w:type="dxa"/>
          <w:tblLook w:val="04A0"/>
        </w:tblPrEx>
        <w:trPr>
          <w:trHeight w:val="272"/>
        </w:trPr>
        <w:tc>
          <w:tcPr>
            <w:tcW w:w="1258"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9F641B" w:rsidRPr="009F641B" w:rsidP="009F641B">
            <w:pPr>
              <w:widowControl/>
              <w:rPr>
                <w:rFonts w:ascii="Times New Roman" w:hAnsi="Times New Roman"/>
                <w:snapToGrid/>
                <w:color w:val="000000"/>
                <w:sz w:val="20"/>
              </w:rPr>
            </w:pPr>
          </w:p>
        </w:tc>
      </w:tr>
      <w:tr w:rsidTr="00AA0B79">
        <w:tblPrEx>
          <w:tblW w:w="9170" w:type="dxa"/>
          <w:tblLook w:val="04A0"/>
        </w:tblPrEx>
        <w:trPr>
          <w:trHeight w:val="215"/>
        </w:trPr>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sz w:val="20"/>
                <w:lang w:bidi="en-US"/>
              </w:rPr>
              <w:t>10</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sz w:val="20"/>
                <w:lang w:bidi="en-US"/>
              </w:rPr>
              <w:t>15</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sz w:val="20"/>
                <w:lang w:bidi="en-US"/>
              </w:rPr>
              <w:t>15</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sz w:val="20"/>
                <w:lang w:bidi="en-US"/>
              </w:rPr>
              <w:t>15</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sz w:val="20"/>
                <w:lang w:bidi="en-US"/>
              </w:rPr>
              <w:t>15</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9F641B" w:rsidRPr="009F641B" w:rsidP="009F641B">
            <w:pPr>
              <w:widowControl/>
              <w:jc w:val="center"/>
              <w:rPr>
                <w:rFonts w:ascii="Times New Roman" w:hAnsi="Times New Roman"/>
                <w:snapToGrid/>
                <w:color w:val="000000"/>
                <w:sz w:val="20"/>
              </w:rPr>
            </w:pPr>
            <w:r w:rsidRPr="009F641B">
              <w:rPr>
                <w:rFonts w:ascii="Times New Roman" w:eastAsia="Source Sans Pro" w:hAnsi="Times New Roman"/>
                <w:snapToGrid/>
                <w:sz w:val="20"/>
                <w:lang w:bidi="en-US"/>
              </w:rPr>
              <w:t>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41B" w:rsidRPr="009F641B" w:rsidP="009F641B">
            <w:pPr>
              <w:widowControl/>
              <w:ind w:firstLine="200" w:firstLineChars="100"/>
              <w:jc w:val="right"/>
              <w:rPr>
                <w:rFonts w:ascii="Times New Roman" w:hAnsi="Times New Roman"/>
                <w:snapToGrid/>
                <w:color w:val="000000"/>
                <w:sz w:val="20"/>
              </w:rPr>
            </w:pPr>
            <w:r w:rsidRPr="009F641B">
              <w:rPr>
                <w:rFonts w:ascii="Times New Roman" w:hAnsi="Times New Roman"/>
                <w:snapToGrid/>
                <w:color w:val="000000"/>
                <w:sz w:val="20"/>
              </w:rPr>
              <w:t xml:space="preserve">$90.02 </w:t>
            </w:r>
          </w:p>
        </w:tc>
      </w:tr>
      <w:tr w:rsidTr="00AA0B79">
        <w:tblPrEx>
          <w:tblW w:w="9170" w:type="dxa"/>
          <w:tblLook w:val="04A0"/>
        </w:tblPrEx>
        <w:trPr>
          <w:trHeight w:val="521"/>
        </w:trPr>
        <w:tc>
          <w:tcPr>
            <w:tcW w:w="7551" w:type="dxa"/>
            <w:gridSpan w:val="6"/>
            <w:tcBorders>
              <w:top w:val="single" w:sz="4" w:space="0" w:color="auto"/>
              <w:left w:val="single" w:sz="4" w:space="0" w:color="auto"/>
              <w:bottom w:val="single" w:sz="4" w:space="0" w:color="auto"/>
            </w:tcBorders>
            <w:shd w:val="clear" w:color="auto" w:fill="auto"/>
            <w:vAlign w:val="center"/>
            <w:hideMark/>
          </w:tcPr>
          <w:p w:rsidR="009F641B" w:rsidRPr="009F641B" w:rsidP="009F641B">
            <w:pPr>
              <w:widowControl/>
              <w:jc w:val="right"/>
              <w:rPr>
                <w:rFonts w:ascii="Times New Roman" w:hAnsi="Times New Roman"/>
                <w:b/>
                <w:bCs/>
                <w:i/>
                <w:iCs/>
                <w:snapToGrid/>
                <w:color w:val="000000"/>
                <w:sz w:val="22"/>
                <w:szCs w:val="22"/>
              </w:rPr>
            </w:pPr>
            <w:r w:rsidRPr="009F641B">
              <w:rPr>
                <w:rFonts w:ascii="Times New Roman" w:hAnsi="Times New Roman"/>
                <w:b/>
                <w:bCs/>
                <w:i/>
                <w:iCs/>
                <w:snapToGrid/>
                <w:color w:val="000000"/>
                <w:sz w:val="22"/>
                <w:szCs w:val="22"/>
              </w:rPr>
              <w:t>Weighted Average Hourly Compensation Rate:</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9F641B" w:rsidRPr="009F641B" w:rsidP="009F641B">
            <w:pPr>
              <w:widowControl/>
              <w:ind w:firstLine="220" w:firstLineChars="100"/>
              <w:jc w:val="right"/>
              <w:rPr>
                <w:rFonts w:ascii="Times New Roman" w:hAnsi="Times New Roman"/>
                <w:b/>
                <w:bCs/>
                <w:i/>
                <w:iCs/>
                <w:snapToGrid/>
                <w:color w:val="000000"/>
                <w:sz w:val="22"/>
                <w:szCs w:val="22"/>
              </w:rPr>
            </w:pPr>
            <w:r w:rsidRPr="009F641B">
              <w:rPr>
                <w:rFonts w:ascii="Times New Roman" w:hAnsi="Times New Roman"/>
                <w:b/>
                <w:bCs/>
                <w:i/>
                <w:iCs/>
                <w:snapToGrid/>
                <w:color w:val="000000"/>
                <w:sz w:val="22"/>
                <w:szCs w:val="22"/>
              </w:rPr>
              <w:t xml:space="preserve">$90.02 </w:t>
            </w:r>
          </w:p>
        </w:tc>
      </w:tr>
      <w:tr w:rsidTr="00AA0B79">
        <w:tblPrEx>
          <w:tblW w:w="9170" w:type="dxa"/>
          <w:tblLook w:val="04A0"/>
        </w:tblPrEx>
        <w:trPr>
          <w:trHeight w:val="521"/>
        </w:trPr>
        <w:tc>
          <w:tcPr>
            <w:tcW w:w="91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F641B" w:rsidRPr="009F641B" w:rsidP="009F641B">
            <w:pPr>
              <w:widowControl/>
              <w:rPr>
                <w:rFonts w:ascii="Times New Roman" w:hAnsi="Times New Roman"/>
                <w:bCs/>
                <w:iCs/>
                <w:snapToGrid/>
                <w:color w:val="000000"/>
                <w:sz w:val="18"/>
                <w:szCs w:val="22"/>
              </w:rPr>
            </w:pPr>
            <w:r w:rsidRPr="009F641B">
              <w:rPr>
                <w:rFonts w:ascii="Times New Roman" w:hAnsi="Times New Roman"/>
                <w:bCs/>
                <w:iCs/>
                <w:snapToGrid/>
                <w:color w:val="000000"/>
                <w:sz w:val="18"/>
                <w:szCs w:val="22"/>
              </w:rPr>
              <w:t xml:space="preserve">Source: Bureau of Labor Statistics: 'National Industry-Specific Occupational Employment and Wage Estimates: Industry: Credit Intermediation and Related Activities (5221 and 5223 only) (May 2022), Employer Cost of Employee Compensation (March 2022), and Employment Cost Index (March 2022 and March 2023).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r w:rsidRPr="009F641B">
              <w:rPr>
                <w:rFonts w:ascii="Times New Roman" w:hAnsi="Times New Roman"/>
                <w:bCs/>
                <w:iCs/>
                <w:snapToGrid/>
                <w:color w:val="000000"/>
                <w:sz w:val="18"/>
                <w:szCs w:val="22"/>
              </w:rPr>
              <w:tab/>
            </w:r>
            <w:r w:rsidRPr="009F641B">
              <w:rPr>
                <w:rFonts w:ascii="Times New Roman" w:hAnsi="Times New Roman"/>
                <w:bCs/>
                <w:iCs/>
                <w:snapToGrid/>
                <w:color w:val="000000"/>
                <w:sz w:val="18"/>
                <w:szCs w:val="22"/>
              </w:rPr>
              <w:tab/>
            </w:r>
            <w:r w:rsidRPr="009F641B">
              <w:rPr>
                <w:rFonts w:ascii="Times New Roman" w:hAnsi="Times New Roman"/>
                <w:bCs/>
                <w:iCs/>
                <w:snapToGrid/>
                <w:color w:val="000000"/>
                <w:sz w:val="18"/>
                <w:szCs w:val="22"/>
              </w:rPr>
              <w:br/>
            </w:r>
          </w:p>
          <w:p w:rsidR="009F641B" w:rsidRPr="009F641B" w:rsidP="009F641B">
            <w:pPr>
              <w:widowControl/>
              <w:rPr>
                <w:rFonts w:ascii="Times New Roman" w:hAnsi="Times New Roman"/>
                <w:bCs/>
                <w:iCs/>
                <w:snapToGrid/>
                <w:color w:val="000000"/>
                <w:sz w:val="18"/>
                <w:szCs w:val="22"/>
              </w:rPr>
            </w:pPr>
            <w:r w:rsidRPr="009F641B">
              <w:rPr>
                <w:rFonts w:ascii="Times New Roman" w:hAnsi="Times New Roman"/>
                <w:bCs/>
                <w:iCs/>
                <w:snapToGrid/>
                <w:color w:val="000000"/>
                <w:sz w:val="18"/>
                <w:szCs w:val="22"/>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p w:rsidR="009F641B" w:rsidRPr="009F641B" w:rsidP="009F641B">
            <w:pPr>
              <w:widowControl/>
              <w:ind w:firstLine="180" w:firstLineChars="100"/>
              <w:rPr>
                <w:rFonts w:ascii="Times New Roman" w:hAnsi="Times New Roman"/>
                <w:bCs/>
                <w:iCs/>
                <w:snapToGrid/>
                <w:color w:val="000000"/>
                <w:sz w:val="18"/>
                <w:szCs w:val="22"/>
              </w:rPr>
            </w:pPr>
          </w:p>
        </w:tc>
      </w:tr>
    </w:tbl>
    <w:p w:rsidR="009F641B" w:rsidRPr="009F641B" w:rsidP="009F641B">
      <w:pPr>
        <w:autoSpaceDE w:val="0"/>
        <w:autoSpaceDN w:val="0"/>
        <w:spacing w:before="240" w:after="120" w:line="240" w:lineRule="exact"/>
        <w:rPr>
          <w:rFonts w:ascii="Times New Roman" w:eastAsia="Source Sans Pro" w:hAnsi="Times New Roman"/>
          <w:snapToGrid/>
          <w:color w:val="000000"/>
          <w:sz w:val="20"/>
          <w:szCs w:val="19"/>
          <w:lang w:bidi="en-US"/>
        </w:rPr>
      </w:pPr>
    </w:p>
    <w:p w:rsidR="009F641B" w:rsidRPr="009F641B" w:rsidP="009F641B">
      <w:pPr>
        <w:widowControl/>
        <w:autoSpaceDE w:val="0"/>
        <w:autoSpaceDN w:val="0"/>
        <w:adjustRightInd w:val="0"/>
        <w:spacing w:after="120"/>
        <w:ind w:left="1440"/>
        <w:rPr>
          <w:rFonts w:ascii="Times New Roman" w:eastAsia="Source Sans Pro" w:hAnsi="Times New Roman"/>
          <w:bCs/>
          <w:i/>
          <w:snapToGrid/>
          <w:color w:val="000000"/>
          <w:szCs w:val="24"/>
          <w:lang w:bidi="en-US"/>
        </w:rPr>
      </w:pPr>
      <w:r w:rsidRPr="009F641B">
        <w:rPr>
          <w:rFonts w:ascii="Times New Roman" w:hAnsi="Times New Roman"/>
          <w:lang w:bidi="en-US"/>
        </w:rPr>
        <w:t>Total</w:t>
      </w:r>
      <w:r w:rsidRPr="009F641B">
        <w:rPr>
          <w:rFonts w:ascii="Times New Roman" w:eastAsia="Source Sans Pro" w:hAnsi="Times New Roman"/>
          <w:bCs/>
          <w:i/>
          <w:snapToGrid/>
          <w:color w:val="000000"/>
          <w:szCs w:val="24"/>
          <w:lang w:bidi="en-US"/>
        </w:rPr>
        <w:t xml:space="preserve"> Estimated Labor Cost</w:t>
      </w:r>
    </w:p>
    <w:p w:rsidR="009778B4" w:rsidP="000D0C32">
      <w:pPr>
        <w:widowControl/>
        <w:autoSpaceDE w:val="0"/>
        <w:autoSpaceDN w:val="0"/>
        <w:adjustRightInd w:val="0"/>
        <w:spacing w:after="120"/>
        <w:ind w:left="1440"/>
        <w:rPr>
          <w:rFonts w:ascii="Times New Roman" w:eastAsia="Source Sans Pro" w:hAnsi="Times New Roman"/>
          <w:snapToGrid/>
          <w:color w:val="000000"/>
          <w:szCs w:val="24"/>
          <w:lang w:bidi="en-US"/>
        </w:rPr>
      </w:pPr>
      <w:r>
        <w:rPr>
          <w:rFonts w:ascii="Times New Roman" w:eastAsia="Source Sans Pro" w:hAnsi="Times New Roman"/>
          <w:snapToGrid/>
          <w:color w:val="000000"/>
          <w:szCs w:val="24"/>
          <w:lang w:bidi="en-US"/>
        </w:rPr>
        <w:t>FDIC</w:t>
      </w:r>
      <w:r w:rsidRPr="009F641B" w:rsidR="009F641B">
        <w:rPr>
          <w:rFonts w:ascii="Times New Roman" w:eastAsia="Source Sans Pro" w:hAnsi="Times New Roman"/>
          <w:snapToGrid/>
          <w:color w:val="000000"/>
          <w:szCs w:val="24"/>
          <w:lang w:bidi="en-US"/>
        </w:rPr>
        <w:t xml:space="preserve"> estimate the total annual cost burden for OMB No. 3064-0204 by multiplying the total annual estimated burden hours reported in Table 1 by the corresponding weighted average hourly cost estimate reported in Table 2. The estimated total annual cost burden for this ICR is $45,460 per year</w:t>
      </w:r>
      <w:r>
        <w:rPr>
          <w:rFonts w:ascii="Times New Roman" w:eastAsia="Source Sans Pro" w:hAnsi="Times New Roman"/>
          <w:snapToGrid/>
          <w:color w:val="000000"/>
          <w:szCs w:val="24"/>
          <w:vertAlign w:val="superscript"/>
          <w:lang w:bidi="en-US"/>
        </w:rPr>
        <w:footnoteReference w:id="14"/>
      </w:r>
      <w:r w:rsidRPr="009F641B" w:rsidR="009F641B">
        <w:rPr>
          <w:rFonts w:ascii="Times New Roman" w:eastAsia="Source Sans Pro" w:hAnsi="Times New Roman"/>
          <w:snapToGrid/>
          <w:color w:val="000000"/>
          <w:szCs w:val="24"/>
          <w:lang w:bidi="en-US"/>
        </w:rPr>
        <w:t xml:space="preserve"> and is considerably less than the corresponding estimate ($169,860 per year) in the 2020 ICR.  As discussed above, this decrease is primarily the result of a reduction in the number of ICs in this renewal (seven) relative to the 2020 ICR (eleven). A reduction in the estimated number of annual responses for IC 6 also contributed to the decrease in the estimated annual cost of this ICR.</w:t>
      </w:r>
    </w:p>
    <w:p w:rsidR="000D0C32" w:rsidRPr="000D0C32" w:rsidP="000D0C32">
      <w:pPr>
        <w:widowControl/>
        <w:autoSpaceDE w:val="0"/>
        <w:autoSpaceDN w:val="0"/>
        <w:adjustRightInd w:val="0"/>
        <w:spacing w:after="120"/>
        <w:ind w:left="1440"/>
        <w:rPr>
          <w:rStyle w:val="documentbody1"/>
          <w:rFonts w:ascii="Times New Roman" w:eastAsia="Source Sans Pro" w:hAnsi="Times New Roman"/>
          <w:snapToGrid/>
          <w:color w:val="000000"/>
          <w:sz w:val="24"/>
          <w:szCs w:val="24"/>
          <w:lang w:bidi="en-US"/>
        </w:rPr>
      </w:pPr>
    </w:p>
    <w:p w:rsidR="009F4532" w:rsidRPr="001F2A5D" w:rsidP="00B415D0">
      <w:pPr>
        <w:numPr>
          <w:ilvl w:val="0"/>
          <w:numId w:val="15"/>
        </w:numPr>
        <w:outlineLvl w:val="0"/>
        <w:rPr>
          <w:rFonts w:ascii="Times New Roman" w:hAnsi="Times New Roman"/>
          <w:szCs w:val="24"/>
          <w:u w:val="single"/>
        </w:rPr>
      </w:pPr>
      <w:r w:rsidRPr="009E60FB">
        <w:rPr>
          <w:rFonts w:ascii="Times New Roman" w:hAnsi="Times New Roman"/>
          <w:bCs/>
          <w:szCs w:val="24"/>
          <w:u w:val="single"/>
        </w:rPr>
        <w:t>Estimate of start-up costs to respondents:</w:t>
      </w:r>
    </w:p>
    <w:p w:rsidR="00731A90">
      <w:pPr>
        <w:rPr>
          <w:rFonts w:ascii="Times New Roman" w:hAnsi="Times New Roman"/>
        </w:rPr>
      </w:pPr>
    </w:p>
    <w:p w:rsidR="00731A90" w:rsidP="00B415D0">
      <w:pPr>
        <w:ind w:left="1440"/>
        <w:rPr>
          <w:rFonts w:ascii="Times New Roman" w:hAnsi="Times New Roman"/>
        </w:rPr>
      </w:pPr>
      <w:r>
        <w:rPr>
          <w:rFonts w:ascii="Times New Roman" w:hAnsi="Times New Roman"/>
        </w:rPr>
        <w:t>None.</w:t>
      </w:r>
    </w:p>
    <w:p w:rsidR="00B415D0">
      <w:pPr>
        <w:rPr>
          <w:rFonts w:ascii="Times New Roman" w:hAnsi="Times New Roman"/>
        </w:rPr>
      </w:pPr>
    </w:p>
    <w:p w:rsidR="00731A90" w:rsidP="00B415D0">
      <w:pPr>
        <w:numPr>
          <w:ilvl w:val="0"/>
          <w:numId w:val="15"/>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pPr>
        <w:ind w:firstLine="720"/>
        <w:rPr>
          <w:rFonts w:ascii="Times New Roman" w:hAnsi="Times New Roman"/>
        </w:rPr>
      </w:pPr>
    </w:p>
    <w:p w:rsidR="007E3A41" w:rsidP="007E3A41">
      <w:pPr>
        <w:ind w:left="720" w:firstLine="720"/>
        <w:rPr>
          <w:rFonts w:ascii="Times New Roman" w:hAnsi="Times New Roman"/>
        </w:rPr>
      </w:pPr>
      <w:r>
        <w:rPr>
          <w:rFonts w:ascii="Times New Roman" w:hAnsi="Times New Roman"/>
        </w:rPr>
        <w:t>None</w:t>
      </w:r>
      <w:r w:rsidR="0077603D">
        <w:rPr>
          <w:rFonts w:ascii="Times New Roman" w:hAnsi="Times New Roman"/>
        </w:rPr>
        <w:t>.</w:t>
      </w:r>
    </w:p>
    <w:p w:rsidR="00B415D0" w:rsidP="00B415D0">
      <w:pPr>
        <w:outlineLvl w:val="0"/>
        <w:rPr>
          <w:rFonts w:ascii="Times New Roman" w:hAnsi="Times New Roman"/>
        </w:rPr>
      </w:pPr>
    </w:p>
    <w:p w:rsidR="009F4532" w:rsidRPr="001F2A5D" w:rsidP="00B415D0">
      <w:pPr>
        <w:numPr>
          <w:ilvl w:val="0"/>
          <w:numId w:val="15"/>
        </w:numPr>
        <w:outlineLvl w:val="0"/>
        <w:rPr>
          <w:rFonts w:ascii="Times New Roman" w:hAnsi="Times New Roman"/>
          <w:szCs w:val="24"/>
        </w:rPr>
      </w:pPr>
      <w:r w:rsidRPr="009E60FB">
        <w:rPr>
          <w:rFonts w:ascii="Times New Roman" w:hAnsi="Times New Roman"/>
          <w:szCs w:val="24"/>
          <w:u w:val="single"/>
        </w:rPr>
        <w:t>Analysis of change in burden:</w:t>
      </w:r>
    </w:p>
    <w:p w:rsidR="00731A90">
      <w:pPr>
        <w:ind w:firstLine="720"/>
        <w:rPr>
          <w:rFonts w:ascii="Times New Roman" w:hAnsi="Times New Roman"/>
        </w:rPr>
      </w:pPr>
    </w:p>
    <w:p w:rsidR="0077603D" w:rsidP="00DB04B6">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1440" w:right="0"/>
      </w:pPr>
      <w:r>
        <w:t>See discussion in Section 12 above.</w:t>
      </w:r>
    </w:p>
    <w:p w:rsidR="004B7B90">
      <w:pPr>
        <w:rPr>
          <w:rFonts w:ascii="Times New Roman" w:hAnsi="Times New Roman"/>
        </w:rPr>
      </w:pPr>
    </w:p>
    <w:p w:rsidR="009F4532" w:rsidRPr="001F2A5D" w:rsidP="00D74DD7">
      <w:pPr>
        <w:widowControl/>
        <w:numPr>
          <w:ilvl w:val="0"/>
          <w:numId w:val="15"/>
        </w:numPr>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pPr>
        <w:rPr>
          <w:rFonts w:ascii="Times New Roman" w:hAnsi="Times New Roman"/>
        </w:rPr>
      </w:pPr>
    </w:p>
    <w:p w:rsidR="00731A90">
      <w:pPr>
        <w:ind w:left="1440"/>
        <w:rPr>
          <w:rFonts w:ascii="Times New Roman" w:hAnsi="Times New Roman"/>
        </w:rPr>
      </w:pPr>
      <w:r>
        <w:rPr>
          <w:rFonts w:ascii="Times New Roman" w:hAnsi="Times New Roman"/>
        </w:rPr>
        <w:t>The result of this collection will not be published for statistical use.</w:t>
      </w:r>
    </w:p>
    <w:p w:rsidR="00731A90">
      <w:pPr>
        <w:rPr>
          <w:rFonts w:ascii="Times New Roman" w:hAnsi="Times New Roman"/>
        </w:rPr>
      </w:pPr>
    </w:p>
    <w:p w:rsidR="00C426CF">
      <w:pPr>
        <w:rPr>
          <w:rFonts w:ascii="Times New Roman" w:hAnsi="Times New Roman"/>
        </w:rPr>
      </w:pPr>
    </w:p>
    <w:p w:rsidR="00731A90" w:rsidP="00B415D0">
      <w:pPr>
        <w:numPr>
          <w:ilvl w:val="0"/>
          <w:numId w:val="15"/>
        </w:numPr>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pPr>
        <w:rPr>
          <w:rFonts w:ascii="Times New Roman" w:hAnsi="Times New Roman"/>
        </w:rPr>
      </w:pPr>
    </w:p>
    <w:p w:rsidR="00731A90">
      <w:pPr>
        <w:ind w:left="1440"/>
        <w:rPr>
          <w:rFonts w:ascii="Times New Roman" w:hAnsi="Times New Roman"/>
        </w:rPr>
      </w:pPr>
      <w:r>
        <w:rPr>
          <w:rFonts w:ascii="Times New Roman" w:hAnsi="Times New Roman"/>
        </w:rPr>
        <w:t>Not applicable.</w:t>
      </w:r>
    </w:p>
    <w:p w:rsidR="00731A90">
      <w:pPr>
        <w:rPr>
          <w:rFonts w:ascii="Times New Roman" w:hAnsi="Times New Roman"/>
        </w:rPr>
      </w:pPr>
    </w:p>
    <w:p w:rsidR="00731A90" w:rsidP="00B415D0">
      <w:pPr>
        <w:numPr>
          <w:ilvl w:val="0"/>
          <w:numId w:val="15"/>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pPr>
        <w:rPr>
          <w:rFonts w:ascii="Times New Roman" w:hAnsi="Times New Roman"/>
        </w:rPr>
      </w:pPr>
    </w:p>
    <w:p w:rsidR="00731A90">
      <w:pPr>
        <w:ind w:left="1440"/>
        <w:rPr>
          <w:rFonts w:ascii="Times New Roman" w:hAnsi="Times New Roman"/>
        </w:rPr>
      </w:pPr>
      <w:r>
        <w:rPr>
          <w:rFonts w:ascii="Times New Roman" w:hAnsi="Times New Roman"/>
        </w:rPr>
        <w:t>Not applicable</w:t>
      </w:r>
      <w:r>
        <w:rPr>
          <w:rFonts w:ascii="Times New Roman" w:hAnsi="Times New Roman"/>
        </w:rPr>
        <w:t>.</w:t>
      </w:r>
    </w:p>
    <w:p w:rsidR="00731A90">
      <w:pPr>
        <w:rPr>
          <w:rFonts w:ascii="Times New Roman" w:hAnsi="Times New Roman"/>
        </w:rPr>
      </w:pPr>
    </w:p>
    <w:p w:rsidR="00731A90">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pPr>
        <w:rPr>
          <w:rFonts w:ascii="Times New Roman" w:hAnsi="Times New Roman"/>
          <w:u w:val="single"/>
        </w:rPr>
      </w:pPr>
    </w:p>
    <w:p w:rsidR="00731A90" w:rsidP="00003DB0">
      <w:pPr>
        <w:ind w:left="720" w:firstLine="720"/>
        <w:rPr>
          <w:rFonts w:ascii="Times New Roman" w:hAnsi="Times New Roman"/>
        </w:rPr>
      </w:pPr>
      <w:r>
        <w:rPr>
          <w:rFonts w:ascii="Times New Roman" w:hAnsi="Times New Roman"/>
        </w:rPr>
        <w:t>Not Applicable</w:t>
      </w:r>
      <w:r w:rsidR="00DB04B6">
        <w:rPr>
          <w:rFonts w:ascii="Times New Roman" w:hAnsi="Times New Roman"/>
        </w:rPr>
        <w:t>.</w:t>
      </w:r>
    </w:p>
    <w:p w:rsidR="00731A90">
      <w:pPr>
        <w:rPr>
          <w:rFonts w:ascii="Times New Roman" w:hAnsi="Times New Roman"/>
        </w:rPr>
      </w:pPr>
    </w:p>
    <w:p w:rsidR="00731A90">
      <w:pPr>
        <w:rPr>
          <w:rFonts w:ascii="Times New Roman" w:hAnsi="Times New Roman"/>
        </w:rPr>
      </w:pPr>
    </w:p>
    <w:p w:rsidR="00731A90">
      <w:pPr>
        <w:rPr>
          <w:rFonts w:ascii="Times New Roman" w:hAnsi="Times New Roman"/>
        </w:rPr>
      </w:pPr>
    </w:p>
    <w:sectPr>
      <w:headerReference w:type="default" r:id="rId6"/>
      <w:footerReference w:type="default" r:id="rId7"/>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TUR">
    <w:altName w:val="Times New Roman"/>
    <w:charset w:val="00"/>
    <w:family w:val="roman"/>
    <w:pitch w:val="variable"/>
    <w:sig w:usb0="00000000"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F33">
    <w:pPr>
      <w:spacing w:line="240" w:lineRule="exact"/>
    </w:pPr>
  </w:p>
  <w:p w:rsidR="00782F3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B63B3">
      <w:rPr>
        <w:rFonts w:ascii="Times New Roman" w:hAnsi="Times New Roman"/>
        <w:noProof/>
      </w:rPr>
      <w:t>11</w:t>
    </w:r>
    <w:r>
      <w:rPr>
        <w:rFonts w:ascii="Times New Roman" w:hAnsi="Times New Roman"/>
      </w:rPr>
      <w:fldChar w:fldCharType="end"/>
    </w:r>
  </w:p>
  <w:p w:rsidR="00782F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3A97">
      <w:r>
        <w:separator/>
      </w:r>
    </w:p>
  </w:footnote>
  <w:footnote w:type="continuationSeparator" w:id="1">
    <w:p w:rsidR="00DC3A97">
      <w:r>
        <w:continuationSeparator/>
      </w:r>
    </w:p>
  </w:footnote>
  <w:footnote w:id="2">
    <w:p w:rsidR="009359EB" w:rsidRPr="009359EB" w:rsidP="009359EB">
      <w:pPr>
        <w:pStyle w:val="FootnoteText"/>
      </w:pPr>
      <w:r w:rsidRPr="009359EB">
        <w:rPr>
          <w:rStyle w:val="FootnoteReference"/>
          <w:vertAlign w:val="superscript"/>
        </w:rPr>
        <w:footnoteRef/>
      </w:r>
      <w:r w:rsidRPr="009359EB">
        <w:rPr>
          <w:vertAlign w:val="superscript"/>
        </w:rPr>
        <w:t xml:space="preserve"> </w:t>
      </w:r>
      <w:r w:rsidRPr="009359EB">
        <w:t>12 CFR 349.1(b)</w:t>
      </w:r>
    </w:p>
  </w:footnote>
  <w:footnote w:id="3">
    <w:p w:rsidR="00600213" w:rsidP="00600213">
      <w:pPr>
        <w:pStyle w:val="FootnoteText"/>
      </w:pPr>
      <w:r w:rsidRPr="009359EB">
        <w:rPr>
          <w:rStyle w:val="FootnoteReference"/>
          <w:vertAlign w:val="superscript"/>
        </w:rPr>
        <w:footnoteRef/>
      </w:r>
      <w:r w:rsidRPr="009359EB">
        <w:t xml:space="preserve"> The Agencies are the Office of the Comptroller of the Currency, the Board of Governors of the Federal Reserve System, the Federal Deposit Insurance Corporation, the Federal Housing Finance Agency, and the Farm Credit Administration</w:t>
      </w:r>
      <w:r w:rsidRPr="00F46B02">
        <w:t>.</w:t>
      </w:r>
    </w:p>
  </w:footnote>
  <w:footnote w:id="4">
    <w:p w:rsidR="00534415" w:rsidRPr="00534415" w:rsidP="00534415">
      <w:pPr>
        <w:pStyle w:val="FootnoteText"/>
      </w:pPr>
      <w:r w:rsidRPr="00534415">
        <w:rPr>
          <w:rStyle w:val="FootnoteReference"/>
          <w:vertAlign w:val="superscript"/>
        </w:rPr>
        <w:footnoteRef/>
      </w:r>
      <w:r w:rsidRPr="00534415">
        <w:rPr>
          <w:vertAlign w:val="superscript"/>
        </w:rPr>
        <w:t xml:space="preserve"> </w:t>
      </w:r>
      <w:r w:rsidRPr="00534415">
        <w:t>The FRB’s and OCC’s ICRs are OMB No. 7100-0364 for 12 CFR Part 237 and OMB No. 1557-0251 for 12 CFR Part 45, respectively.</w:t>
      </w:r>
    </w:p>
  </w:footnote>
  <w:footnote w:id="5">
    <w:p w:rsidR="00534415" w:rsidRPr="00534415" w:rsidP="00534415">
      <w:pPr>
        <w:pStyle w:val="FootnoteText"/>
      </w:pPr>
      <w:r w:rsidRPr="00534415">
        <w:rPr>
          <w:rStyle w:val="FootnoteReference"/>
          <w:vertAlign w:val="superscript"/>
        </w:rPr>
        <w:footnoteRef/>
      </w:r>
      <w:r w:rsidRPr="00534415">
        <w:t xml:space="preserve"> The IC corresponding to 12 CFR 349.11(b)(1) will be eliminated in this ICR because 12 CFR 349.11(b)(1) was eliminated in a 2020 final rulemaking. </w:t>
      </w:r>
      <w:r w:rsidRPr="00534415">
        <w:rPr>
          <w:i/>
        </w:rPr>
        <w:t>See</w:t>
      </w:r>
      <w:r w:rsidRPr="00534415">
        <w:t xml:space="preserve"> 85 FR 39754.</w:t>
      </w:r>
    </w:p>
  </w:footnote>
  <w:footnote w:id="6">
    <w:p w:rsidR="00534415" w:rsidRPr="00534415" w:rsidP="00534415">
      <w:pPr>
        <w:pStyle w:val="FootnoteText"/>
      </w:pPr>
      <w:r w:rsidRPr="00534415">
        <w:rPr>
          <w:rStyle w:val="FootnoteReference"/>
          <w:vertAlign w:val="superscript"/>
        </w:rPr>
        <w:footnoteRef/>
      </w:r>
      <w:r w:rsidRPr="00534415">
        <w:t xml:space="preserve"> Part 349.2 Definition of “Eligible Master Netting Agreement” paragraph 4(i)</w:t>
      </w:r>
    </w:p>
  </w:footnote>
  <w:footnote w:id="7">
    <w:p w:rsidR="00534415" w:rsidRPr="00534415" w:rsidP="00534415">
      <w:pPr>
        <w:pStyle w:val="FootnoteText"/>
      </w:pPr>
      <w:r w:rsidRPr="00534415">
        <w:rPr>
          <w:rStyle w:val="FootnoteReference"/>
          <w:vertAlign w:val="superscript"/>
        </w:rPr>
        <w:footnoteRef/>
      </w:r>
      <w:r w:rsidRPr="00534415">
        <w:rPr>
          <w:vertAlign w:val="superscript"/>
        </w:rPr>
        <w:t xml:space="preserve"> </w:t>
      </w:r>
      <w:r w:rsidRPr="00534415">
        <w:t>Part 349.2 Definition of “Eligible Master Netting Agreement” paragraph 4(ii)</w:t>
      </w:r>
    </w:p>
  </w:footnote>
  <w:footnote w:id="8">
    <w:p w:rsidR="00534415" w:rsidRPr="00534415" w:rsidP="00534415">
      <w:pPr>
        <w:pStyle w:val="FootnoteText"/>
      </w:pPr>
      <w:r w:rsidRPr="00534415">
        <w:rPr>
          <w:rStyle w:val="FootnoteReference"/>
          <w:vertAlign w:val="superscript"/>
        </w:rPr>
        <w:footnoteRef/>
      </w:r>
      <w:r w:rsidRPr="00534415">
        <w:rPr>
          <w:vertAlign w:val="superscript"/>
        </w:rPr>
        <w:t xml:space="preserve"> </w:t>
      </w:r>
      <w:r w:rsidRPr="00534415">
        <w:t>Part 349.10</w:t>
      </w:r>
    </w:p>
  </w:footnote>
  <w:footnote w:id="9">
    <w:p w:rsidR="00534415" w:rsidP="00534415">
      <w:pPr>
        <w:pStyle w:val="FootnoteText"/>
      </w:pPr>
      <w:r w:rsidRPr="009F641B">
        <w:rPr>
          <w:rStyle w:val="FootnoteReference"/>
          <w:vertAlign w:val="superscript"/>
        </w:rPr>
        <w:footnoteRef/>
      </w:r>
      <w:r>
        <w:t xml:space="preserve"> Section 349.9(e) states that covered swap entities must include certain information in a</w:t>
      </w:r>
      <w:r w:rsidRPr="00C83503">
        <w:t xml:space="preserve"> request for a substituted compliance determination</w:t>
      </w:r>
      <w:r>
        <w:t xml:space="preserve">. </w:t>
      </w:r>
    </w:p>
  </w:footnote>
  <w:footnote w:id="10">
    <w:p w:rsidR="00534415" w:rsidP="00534415">
      <w:pPr>
        <w:pStyle w:val="FootnoteText"/>
      </w:pPr>
      <w:r w:rsidRPr="009F641B">
        <w:rPr>
          <w:rStyle w:val="FootnoteReference"/>
          <w:vertAlign w:val="superscript"/>
        </w:rPr>
        <w:footnoteRef/>
      </w:r>
      <w:r>
        <w:t xml:space="preserve"> Section 349.8(g) states that these material aspects include the management and valuation of the non-cleared swaps and non-cleared security-based swaps to which it applies, the control, oversight, and validation of the initial margin model, any review processes and the results of such processes.</w:t>
      </w:r>
    </w:p>
  </w:footnote>
  <w:footnote w:id="11">
    <w:p w:rsidR="00534415" w:rsidP="00534415">
      <w:pPr>
        <w:pStyle w:val="FootnoteText"/>
      </w:pPr>
      <w:r w:rsidRPr="009F641B">
        <w:rPr>
          <w:rStyle w:val="FootnoteReference"/>
          <w:vertAlign w:val="superscript"/>
        </w:rPr>
        <w:footnoteRef/>
      </w:r>
      <w:r>
        <w:t xml:space="preserve"> </w:t>
      </w:r>
      <w:r w:rsidR="009F641B">
        <w:t>FDIC</w:t>
      </w:r>
      <w:r>
        <w:t xml:space="preserve"> </w:t>
      </w:r>
      <w:r w:rsidRPr="00801BE9">
        <w:t>used the list of swap</w:t>
      </w:r>
      <w:r>
        <w:t xml:space="preserve"> dealers set forth</w:t>
      </w:r>
      <w:r w:rsidRPr="00801BE9">
        <w:t xml:space="preserve"> on </w:t>
      </w:r>
      <w:r>
        <w:t>May 2</w:t>
      </w:r>
      <w:r w:rsidRPr="00801BE9">
        <w:t>, 20</w:t>
      </w:r>
      <w:r>
        <w:t>23</w:t>
      </w:r>
      <w:r w:rsidRPr="00801BE9">
        <w:t xml:space="preserve"> (providing data</w:t>
      </w:r>
      <w:r>
        <w:t xml:space="preserve"> </w:t>
      </w:r>
      <w:r w:rsidRPr="00801BE9">
        <w:t>as of</w:t>
      </w:r>
      <w:r>
        <w:t xml:space="preserve"> January 30, 2023</w:t>
      </w:r>
      <w:r w:rsidRPr="00801BE9">
        <w:t>) at</w:t>
      </w:r>
      <w:r>
        <w:t xml:space="preserve"> </w:t>
      </w:r>
      <w:hyperlink r:id="rId1" w:history="1">
        <w:r w:rsidRPr="00883702">
          <w:rPr>
            <w:rStyle w:val="Hyperlink"/>
            <w:i/>
          </w:rPr>
          <w:t>https://www.cftc.gov/</w:t>
        </w:r>
        <w:r w:rsidRPr="00883702">
          <w:rPr>
            <w:rStyle w:val="Hyperlink"/>
            <w:rFonts w:eastAsiaTheme="minorHAnsi"/>
            <w:i/>
          </w:rPr>
          <w:t>LawRegulation/DoddFrankAct/registerswapdealer</w:t>
        </w:r>
        <w:r w:rsidRPr="00883702">
          <w:rPr>
            <w:rStyle w:val="Hyperlink"/>
            <w:i/>
            <w:iCs/>
          </w:rPr>
          <w:t>.html</w:t>
        </w:r>
      </w:hyperlink>
      <w:r>
        <w:t xml:space="preserve"> and the list of security-based swap dealers and major security-based swap p</w:t>
      </w:r>
      <w:r w:rsidRPr="004805AA">
        <w:t>articipants</w:t>
      </w:r>
      <w:r>
        <w:t xml:space="preserve"> set forth on May 2, 2023 (providing data as of January 4, 2023) at </w:t>
      </w:r>
      <w:hyperlink r:id="rId2" w:history="1">
        <w:r w:rsidRPr="00883702">
          <w:rPr>
            <w:rStyle w:val="Hyperlink"/>
          </w:rPr>
          <w:t>https://www.sec.gov/tm/List-of-SBS-Dealers-and-Major-SBS-Participants</w:t>
        </w:r>
      </w:hyperlink>
      <w:r>
        <w:t xml:space="preserve">.  </w:t>
      </w:r>
      <w:r w:rsidRPr="00801BE9">
        <w:t>Major swap participants,</w:t>
      </w:r>
      <w:r>
        <w:t xml:space="preserve"> </w:t>
      </w:r>
      <w:r w:rsidRPr="00801BE9">
        <w:t>among others, are required to apply for registration</w:t>
      </w:r>
      <w:r>
        <w:t xml:space="preserve"> </w:t>
      </w:r>
      <w:r w:rsidRPr="00801BE9">
        <w:t>through a filing with the National Futures</w:t>
      </w:r>
      <w:r>
        <w:t xml:space="preserve"> </w:t>
      </w:r>
      <w:r w:rsidRPr="00801BE9">
        <w:t>Association. Accordingly, the FDIC reviewed the</w:t>
      </w:r>
      <w:r>
        <w:t xml:space="preserve"> </w:t>
      </w:r>
      <w:r w:rsidRPr="00801BE9">
        <w:t xml:space="preserve">National Futures Association </w:t>
      </w:r>
      <w:r w:rsidRPr="00801BE9">
        <w:rPr>
          <w:i/>
          <w:iCs/>
        </w:rPr>
        <w:t xml:space="preserve">https://www.nfa.futures.org/members/sd/index.html </w:t>
      </w:r>
      <w:r w:rsidRPr="00801BE9">
        <w:t>to</w:t>
      </w:r>
      <w:r>
        <w:t xml:space="preserve"> </w:t>
      </w:r>
      <w:r w:rsidRPr="00801BE9">
        <w:t>determine whether there were registered major</w:t>
      </w:r>
      <w:r>
        <w:t xml:space="preserve"> swap participants. As of May 2</w:t>
      </w:r>
      <w:r w:rsidRPr="00801BE9">
        <w:t xml:space="preserve">, </w:t>
      </w:r>
      <w:r>
        <w:t>2023</w:t>
      </w:r>
      <w:r w:rsidRPr="00801BE9">
        <w:t>, there were</w:t>
      </w:r>
      <w:r>
        <w:t xml:space="preserve"> </w:t>
      </w:r>
      <w:r w:rsidRPr="00801BE9">
        <w:t xml:space="preserve">no major swap participants listed </w:t>
      </w:r>
      <w:r>
        <w:t>at</w:t>
      </w:r>
      <w:r w:rsidRPr="00801BE9">
        <w:t xml:space="preserve"> this link.</w:t>
      </w:r>
    </w:p>
  </w:footnote>
  <w:footnote w:id="12">
    <w:p w:rsidR="00534415" w:rsidP="00534415">
      <w:pPr>
        <w:pStyle w:val="FootnoteText"/>
      </w:pPr>
      <w:r w:rsidRPr="009F641B">
        <w:rPr>
          <w:rStyle w:val="FootnoteReference"/>
          <w:vertAlign w:val="superscript"/>
        </w:rPr>
        <w:footnoteRef/>
      </w:r>
      <w:r>
        <w:t xml:space="preserve"> FDIC Call Report Data, December 31, 2022.  One other identified swap dealer has a name that is similar to both an FRB-supervised and an FDIC-supervised IDI. The </w:t>
      </w:r>
      <w:r w:rsidR="000D0C32">
        <w:t>FDIC</w:t>
      </w:r>
      <w:r>
        <w:t xml:space="preserve"> confirmed that this swap dealer is FRB-supervised.</w:t>
      </w:r>
    </w:p>
  </w:footnote>
  <w:footnote w:id="13">
    <w:p w:rsidR="00534415" w:rsidP="00534415">
      <w:pPr>
        <w:pStyle w:val="FootnoteText"/>
      </w:pPr>
      <w:r w:rsidRPr="009F641B">
        <w:rPr>
          <w:rStyle w:val="FootnoteReference"/>
          <w:vertAlign w:val="superscript"/>
        </w:rPr>
        <w:footnoteRef/>
      </w:r>
      <w:r>
        <w:t xml:space="preserve"> Based on </w:t>
      </w:r>
      <w:r w:rsidRPr="006021F5">
        <w:t xml:space="preserve">FDIC Call Report data, December 2022. The </w:t>
      </w:r>
      <w:r>
        <w:t>Small Business Administration (SBA)</w:t>
      </w:r>
      <w:r w:rsidRPr="006021F5">
        <w:t xml:space="preserve"> defines a small banking organization as having $850 million or less in assets, where an organization's ''assets are determined by averaging the assets reported on its four quarterly financial statements for the preceding year.'' See 13 CFR 121.201 (as amended by 87 FR 69118, effective December 19, 2022). In its determination, the ''SBA counts the receipts, employees, or other measure of size of the concern whose size is at issue and all of its domestic and foreign affiliates.'' See 13 CFR 121.103. Following these regulations, the FDIC uses an insured depository institution's affiliated and acquired assets, averaged over the preceding four quarters, to determine whether the insured depository institution is ''small'' for the purposes of RFA.</w:t>
      </w:r>
    </w:p>
  </w:footnote>
  <w:footnote w:id="14">
    <w:p w:rsidR="009F641B" w:rsidP="009F641B">
      <w:pPr>
        <w:pStyle w:val="FootnoteText"/>
      </w:pPr>
      <w:r w:rsidRPr="000D0C32">
        <w:rPr>
          <w:rStyle w:val="FootnoteReference"/>
          <w:vertAlign w:val="superscript"/>
        </w:rPr>
        <w:footnoteRef/>
      </w:r>
      <w:r w:rsidRPr="000D0C32">
        <w:rPr>
          <w:vertAlign w:val="superscript"/>
        </w:rPr>
        <w:t xml:space="preserve"> </w:t>
      </w:r>
      <w:r>
        <w:t>$45,460 per year = 505 hours per year x $90.02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94C82"/>
    <w:multiLevelType w:val="hybridMultilevel"/>
    <w:tmpl w:val="715AEDDE"/>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BA5A7B"/>
    <w:multiLevelType w:val="hybridMultilevel"/>
    <w:tmpl w:val="60586F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4">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5">
    <w:nsid w:val="1D3943A5"/>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2E32EA"/>
    <w:multiLevelType w:val="hybridMultilevel"/>
    <w:tmpl w:val="4AE8297A"/>
    <w:lvl w:ilvl="0">
      <w:start w:val="1"/>
      <w:numFmt w:val="decimal"/>
      <w:lvlText w:val="%1."/>
      <w:lvlJc w:val="left"/>
      <w:pPr>
        <w:ind w:left="720" w:hanging="360"/>
      </w:pPr>
      <w:rPr>
        <w:rFonts w:hint="default"/>
        <w:b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11">
    <w:nsid w:val="5ABF20BD"/>
    <w:multiLevelType w:val="singleLevel"/>
    <w:tmpl w:val="6A5EFD16"/>
    <w:lvl w:ilvl="0">
      <w:start w:val="1"/>
      <w:numFmt w:val="decimal"/>
      <w:lvlText w:val="(%1)"/>
      <w:lvlJc w:val="left"/>
      <w:pPr>
        <w:tabs>
          <w:tab w:val="num" w:pos="360"/>
        </w:tabs>
        <w:ind w:left="360" w:hanging="360"/>
      </w:pPr>
      <w:rPr>
        <w:rFonts w:hint="default"/>
      </w:rPr>
    </w:lvl>
  </w:abstractNum>
  <w:abstractNum w:abstractNumId="12">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49039DB"/>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abstractNumId w:val="10"/>
  </w:num>
  <w:num w:numId="2">
    <w:abstractNumId w:val="3"/>
  </w:num>
  <w:num w:numId="3">
    <w:abstractNumId w:val="4"/>
  </w:num>
  <w:num w:numId="4">
    <w:abstractNumId w:val="1"/>
  </w:num>
  <w:num w:numId="5">
    <w:abstractNumId w:val="15"/>
  </w:num>
  <w:num w:numId="6">
    <w:abstractNumId w:val="12"/>
  </w:num>
  <w:num w:numId="7">
    <w:abstractNumId w:val="8"/>
  </w:num>
  <w:num w:numId="8">
    <w:abstractNumId w:val="9"/>
  </w:num>
  <w:num w:numId="9">
    <w:abstractNumId w:val="14"/>
  </w:num>
  <w:num w:numId="10">
    <w:abstractNumId w:val="6"/>
  </w:num>
  <w:num w:numId="11">
    <w:abstractNumId w:val="11"/>
  </w:num>
  <w:num w:numId="12">
    <w:abstractNumId w:val="0"/>
  </w:num>
  <w:num w:numId="13">
    <w:abstractNumId w:val="5"/>
  </w:num>
  <w:num w:numId="14">
    <w:abstractNumId w:val="1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03DB0"/>
    <w:rsid w:val="00022D1D"/>
    <w:rsid w:val="0003174D"/>
    <w:rsid w:val="00047DE7"/>
    <w:rsid w:val="00054DF9"/>
    <w:rsid w:val="000712DC"/>
    <w:rsid w:val="000A78FE"/>
    <w:rsid w:val="000C2A5A"/>
    <w:rsid w:val="000C4B4F"/>
    <w:rsid w:val="000C5523"/>
    <w:rsid w:val="000D0C32"/>
    <w:rsid w:val="000D7176"/>
    <w:rsid w:val="00100C0C"/>
    <w:rsid w:val="00156E14"/>
    <w:rsid w:val="00170034"/>
    <w:rsid w:val="00173189"/>
    <w:rsid w:val="0018551F"/>
    <w:rsid w:val="00195400"/>
    <w:rsid w:val="001A10B6"/>
    <w:rsid w:val="001A5876"/>
    <w:rsid w:val="001C1626"/>
    <w:rsid w:val="001C4726"/>
    <w:rsid w:val="001D158E"/>
    <w:rsid w:val="001D433C"/>
    <w:rsid w:val="001D7BBE"/>
    <w:rsid w:val="001E004B"/>
    <w:rsid w:val="001F2A5D"/>
    <w:rsid w:val="0024688B"/>
    <w:rsid w:val="002847B4"/>
    <w:rsid w:val="0029442A"/>
    <w:rsid w:val="002D58BF"/>
    <w:rsid w:val="002F52A1"/>
    <w:rsid w:val="00324E6B"/>
    <w:rsid w:val="00373ED8"/>
    <w:rsid w:val="003C37B8"/>
    <w:rsid w:val="003F566E"/>
    <w:rsid w:val="00401A8A"/>
    <w:rsid w:val="00414D83"/>
    <w:rsid w:val="00462F60"/>
    <w:rsid w:val="004762EA"/>
    <w:rsid w:val="004805AA"/>
    <w:rsid w:val="004813F3"/>
    <w:rsid w:val="00494F8A"/>
    <w:rsid w:val="00497E0B"/>
    <w:rsid w:val="004B7B90"/>
    <w:rsid w:val="004C250D"/>
    <w:rsid w:val="004C4367"/>
    <w:rsid w:val="004D1876"/>
    <w:rsid w:val="004D6D84"/>
    <w:rsid w:val="004E7B81"/>
    <w:rsid w:val="004F4474"/>
    <w:rsid w:val="00500C44"/>
    <w:rsid w:val="00503AAC"/>
    <w:rsid w:val="00522B89"/>
    <w:rsid w:val="00534415"/>
    <w:rsid w:val="00565D70"/>
    <w:rsid w:val="00570C88"/>
    <w:rsid w:val="00574D7A"/>
    <w:rsid w:val="005C25BB"/>
    <w:rsid w:val="005D2FE1"/>
    <w:rsid w:val="005E4BBF"/>
    <w:rsid w:val="005F15BB"/>
    <w:rsid w:val="00600213"/>
    <w:rsid w:val="006021F5"/>
    <w:rsid w:val="00606638"/>
    <w:rsid w:val="00614176"/>
    <w:rsid w:val="0061500B"/>
    <w:rsid w:val="00647F97"/>
    <w:rsid w:val="00652F4C"/>
    <w:rsid w:val="00692309"/>
    <w:rsid w:val="00697A37"/>
    <w:rsid w:val="006A13B2"/>
    <w:rsid w:val="006A7DD6"/>
    <w:rsid w:val="006B4033"/>
    <w:rsid w:val="006B4247"/>
    <w:rsid w:val="006D6B34"/>
    <w:rsid w:val="006E11B2"/>
    <w:rsid w:val="00714873"/>
    <w:rsid w:val="00723A34"/>
    <w:rsid w:val="00727480"/>
    <w:rsid w:val="00731A90"/>
    <w:rsid w:val="0077603D"/>
    <w:rsid w:val="00782F33"/>
    <w:rsid w:val="007844D0"/>
    <w:rsid w:val="00784EE8"/>
    <w:rsid w:val="007B274F"/>
    <w:rsid w:val="007C6837"/>
    <w:rsid w:val="007D1404"/>
    <w:rsid w:val="007E3A41"/>
    <w:rsid w:val="007F2127"/>
    <w:rsid w:val="00801BE9"/>
    <w:rsid w:val="00805511"/>
    <w:rsid w:val="00807C1A"/>
    <w:rsid w:val="00817925"/>
    <w:rsid w:val="00824775"/>
    <w:rsid w:val="0086426A"/>
    <w:rsid w:val="00876F23"/>
    <w:rsid w:val="00883702"/>
    <w:rsid w:val="008873E8"/>
    <w:rsid w:val="008E20A7"/>
    <w:rsid w:val="008F53AC"/>
    <w:rsid w:val="009359EB"/>
    <w:rsid w:val="00964C8F"/>
    <w:rsid w:val="00967A7E"/>
    <w:rsid w:val="009778B4"/>
    <w:rsid w:val="0099128A"/>
    <w:rsid w:val="00994D3E"/>
    <w:rsid w:val="009A6AB2"/>
    <w:rsid w:val="009B63B3"/>
    <w:rsid w:val="009B6429"/>
    <w:rsid w:val="009D03FF"/>
    <w:rsid w:val="009D2490"/>
    <w:rsid w:val="009E60FB"/>
    <w:rsid w:val="009E7B87"/>
    <w:rsid w:val="009F4532"/>
    <w:rsid w:val="009F641B"/>
    <w:rsid w:val="00A109F6"/>
    <w:rsid w:val="00A541FC"/>
    <w:rsid w:val="00A63E49"/>
    <w:rsid w:val="00A700DA"/>
    <w:rsid w:val="00AA35E1"/>
    <w:rsid w:val="00AD251A"/>
    <w:rsid w:val="00AD2B69"/>
    <w:rsid w:val="00AD4167"/>
    <w:rsid w:val="00AE7A4A"/>
    <w:rsid w:val="00AF26B4"/>
    <w:rsid w:val="00AF79FB"/>
    <w:rsid w:val="00B0375D"/>
    <w:rsid w:val="00B2622D"/>
    <w:rsid w:val="00B26610"/>
    <w:rsid w:val="00B415D0"/>
    <w:rsid w:val="00B46EDD"/>
    <w:rsid w:val="00B662BE"/>
    <w:rsid w:val="00B723D8"/>
    <w:rsid w:val="00B733BC"/>
    <w:rsid w:val="00B81846"/>
    <w:rsid w:val="00B92CD6"/>
    <w:rsid w:val="00BA29C4"/>
    <w:rsid w:val="00BD18FD"/>
    <w:rsid w:val="00BF402A"/>
    <w:rsid w:val="00BF48CF"/>
    <w:rsid w:val="00C0070C"/>
    <w:rsid w:val="00C20BE7"/>
    <w:rsid w:val="00C2633A"/>
    <w:rsid w:val="00C426CF"/>
    <w:rsid w:val="00C46EA0"/>
    <w:rsid w:val="00C51500"/>
    <w:rsid w:val="00C56B13"/>
    <w:rsid w:val="00C619A3"/>
    <w:rsid w:val="00C63DA5"/>
    <w:rsid w:val="00C806D4"/>
    <w:rsid w:val="00C819C1"/>
    <w:rsid w:val="00C83503"/>
    <w:rsid w:val="00C96990"/>
    <w:rsid w:val="00CA6A95"/>
    <w:rsid w:val="00CD286D"/>
    <w:rsid w:val="00CF4CC0"/>
    <w:rsid w:val="00CF552E"/>
    <w:rsid w:val="00D10113"/>
    <w:rsid w:val="00D215E4"/>
    <w:rsid w:val="00D228E0"/>
    <w:rsid w:val="00D664A3"/>
    <w:rsid w:val="00D74DD7"/>
    <w:rsid w:val="00D807AF"/>
    <w:rsid w:val="00D84F14"/>
    <w:rsid w:val="00DA5F2E"/>
    <w:rsid w:val="00DB04B6"/>
    <w:rsid w:val="00DC3A97"/>
    <w:rsid w:val="00E26D96"/>
    <w:rsid w:val="00E47BDF"/>
    <w:rsid w:val="00E5596D"/>
    <w:rsid w:val="00E71E6E"/>
    <w:rsid w:val="00E72F1F"/>
    <w:rsid w:val="00EC0067"/>
    <w:rsid w:val="00EF62BB"/>
    <w:rsid w:val="00F46B02"/>
    <w:rsid w:val="00F62E05"/>
    <w:rsid w:val="00F80067"/>
    <w:rsid w:val="00F81839"/>
    <w:rsid w:val="00F9659A"/>
    <w:rsid w:val="00FA0D1D"/>
    <w:rsid w:val="00FF5E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 Char Char Char Char Char Char Char Char Char Char Char Char Char,Footnote Text Char1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
    <w:name w:val="Body Text"/>
    <w:basedOn w:val="Normal"/>
    <w:link w:val="BodyTextChar"/>
    <w:rsid w:val="0077603D"/>
    <w:pPr>
      <w:spacing w:after="120"/>
    </w:pPr>
  </w:style>
  <w:style w:type="character" w:customStyle="1" w:styleId="BodyTextChar">
    <w:name w:val="Body Text Char"/>
    <w:link w:val="BodyText"/>
    <w:rsid w:val="0077603D"/>
    <w:rPr>
      <w:rFonts w:ascii="Courier" w:hAnsi="Courier"/>
      <w:snapToGrid w:val="0"/>
      <w:sz w:val="24"/>
    </w:rPr>
  </w:style>
  <w:style w:type="character" w:styleId="Hyperlink">
    <w:name w:val="Hyperlink"/>
    <w:basedOn w:val="DefaultParagraphFont"/>
    <w:uiPriority w:val="99"/>
    <w:unhideWhenUsed/>
    <w:rsid w:val="005344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cftc.gov/LawRegulation/DoddFrankAct/registerswapdealer.html" TargetMode="External" /><Relationship Id="rId2" Type="http://schemas.openxmlformats.org/officeDocument/2006/relationships/hyperlink" Target="https://www.sec.gov/tm/List-of-SBS-Dealers-and-Major-SBS-Participa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FF99-DAE1-4FD6-B073-836DEF2A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4080</Words>
  <Characters>22983</Characters>
  <Application>Microsoft Office Word</Application>
  <DocSecurity>0</DocSecurity>
  <Lines>191</Lines>
  <Paragraphs>54</Paragraphs>
  <ScaleCrop>false</ScaleCrop>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2023-09-26T16:34:00Z</dcterms:created>
  <dcterms:modified xsi:type="dcterms:W3CDTF">2023-09-26T17:42:00Z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0e472b66-d63b-4b5d-adb9-faf46a6e1d67</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2023-09-26T17:42:24Z</vt:lpwstr>
  </property>
  <property fmtid="{D5CDD505-2E9C-101B-9397-08002B2CF9AE}" pid="8" name="MSIP_Label_3be8ab8c-433c-4394-a4fb-cd2d5c4d0a5e_SiteId">
    <vt:lpwstr>26c83bc9-31c1-4d77-a523-0816095aba31</vt:lpwstr>
  </property>
</Properties>
</file>