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C8E" w:rsidP="00202C8E" w14:paraId="25A7E3BF" w14:textId="00E69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p>
    <w:p w:rsidR="00A325C5" w:rsidP="002278CF" w14:paraId="3BCEAE39" w14:textId="2A62A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325C5" w14:paraId="02FEA2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325C5" w14:paraId="7DAF50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A325C5" w14:paraId="49B783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A325C5" w:rsidRPr="009F43D5" w14:paraId="202D3D1C" w14:textId="77777777">
      <w:pPr>
        <w:keepLines/>
        <w:tabs>
          <w:tab w:val="left" w:pos="360"/>
        </w:tabs>
        <w:spacing w:after="80"/>
        <w:ind w:left="360" w:hanging="360"/>
        <w:rPr>
          <w:b/>
          <w:bCs/>
          <w:color w:val="000000"/>
          <w:sz w:val="22"/>
        </w:rPr>
      </w:pPr>
      <w:r w:rsidRPr="009F43D5">
        <w:rPr>
          <w:b/>
          <w:bCs/>
          <w:color w:val="000000"/>
          <w:sz w:val="18"/>
        </w:rPr>
        <w:t>1.</w:t>
      </w:r>
      <w:r w:rsidRPr="009F43D5">
        <w:rPr>
          <w:b/>
          <w:bCs/>
          <w:color w:val="000000"/>
          <w:sz w:val="18"/>
        </w:rPr>
        <w:tab/>
      </w:r>
      <w:r w:rsidRPr="002278CF" w:rsidR="002278CF">
        <w:rPr>
          <w:b/>
          <w:bCs/>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4835" w:rsidP="00901BCD" w14:paraId="754320E3" w14:textId="77777777">
      <w:pPr>
        <w:keepLines/>
        <w:tabs>
          <w:tab w:val="left" w:pos="360"/>
        </w:tabs>
        <w:spacing w:after="80"/>
        <w:ind w:left="360"/>
        <w:rPr>
          <w:color w:val="000000"/>
          <w:sz w:val="22"/>
          <w:szCs w:val="22"/>
        </w:rPr>
      </w:pPr>
    </w:p>
    <w:p w:rsidR="00901BCD" w:rsidRPr="00901BCD" w:rsidP="00901BCD" w14:paraId="70C08B66" w14:textId="6A590C8B">
      <w:pPr>
        <w:keepLines/>
        <w:tabs>
          <w:tab w:val="left" w:pos="360"/>
        </w:tabs>
        <w:spacing w:after="80"/>
        <w:ind w:left="360"/>
        <w:rPr>
          <w:color w:val="000000"/>
          <w:sz w:val="22"/>
          <w:szCs w:val="22"/>
        </w:rPr>
      </w:pPr>
      <w:r>
        <w:rPr>
          <w:color w:val="000000"/>
          <w:sz w:val="22"/>
          <w:szCs w:val="22"/>
        </w:rPr>
        <w:t>Information collection is required by 2 CFR Part</w:t>
      </w:r>
      <w:r>
        <w:rPr>
          <w:color w:val="000000"/>
          <w:sz w:val="22"/>
          <w:szCs w:val="22"/>
        </w:rPr>
        <w:t>s</w:t>
      </w:r>
      <w:r>
        <w:rPr>
          <w:color w:val="000000"/>
          <w:sz w:val="22"/>
          <w:szCs w:val="22"/>
        </w:rPr>
        <w:t xml:space="preserve"> 200</w:t>
      </w:r>
      <w:r w:rsidR="00291E94">
        <w:rPr>
          <w:color w:val="000000"/>
          <w:sz w:val="22"/>
          <w:szCs w:val="22"/>
        </w:rPr>
        <w:t xml:space="preserve"> </w:t>
      </w:r>
      <w:r>
        <w:rPr>
          <w:color w:val="000000"/>
          <w:sz w:val="22"/>
          <w:szCs w:val="22"/>
        </w:rPr>
        <w:t xml:space="preserve">and 400. </w:t>
      </w:r>
      <w:r w:rsidRPr="00901BCD">
        <w:rPr>
          <w:color w:val="000000"/>
          <w:sz w:val="22"/>
          <w:szCs w:val="22"/>
        </w:rPr>
        <w:t xml:space="preserve">For assistance agreements awarded on or after December 26, 2014, 2 CFR Part </w:t>
      </w:r>
      <w:r>
        <w:rPr>
          <w:color w:val="000000"/>
          <w:sz w:val="22"/>
          <w:szCs w:val="22"/>
        </w:rPr>
        <w:t>400</w:t>
      </w:r>
      <w:r w:rsidRPr="00901BCD">
        <w:rPr>
          <w:color w:val="000000"/>
          <w:sz w:val="22"/>
          <w:szCs w:val="22"/>
        </w:rPr>
        <w:t xml:space="preserve"> implements OMB regulations in 2 CFR Part 200.</w:t>
      </w:r>
      <w:r>
        <w:rPr>
          <w:color w:val="000000"/>
          <w:sz w:val="22"/>
          <w:szCs w:val="22"/>
        </w:rPr>
        <w:t xml:space="preserve"> </w:t>
      </w:r>
      <w:r w:rsidRPr="00901BCD">
        <w:rPr>
          <w:color w:val="000000"/>
          <w:sz w:val="22"/>
          <w:szCs w:val="22"/>
        </w:rPr>
        <w:t xml:space="preserve">These regulations include only those provisions mandated by statue or added by </w:t>
      </w:r>
      <w:r>
        <w:rPr>
          <w:color w:val="000000"/>
          <w:sz w:val="22"/>
          <w:szCs w:val="22"/>
        </w:rPr>
        <w:t>USDA</w:t>
      </w:r>
      <w:r w:rsidRPr="00901BCD">
        <w:rPr>
          <w:color w:val="000000"/>
          <w:sz w:val="22"/>
          <w:szCs w:val="22"/>
        </w:rPr>
        <w:t xml:space="preserve"> to ensure sound and effective financial assistance management. These regulations set forth pre-award, post-award, and after-the-grant requirements. This information is needed by </w:t>
      </w:r>
      <w:r>
        <w:rPr>
          <w:color w:val="000000"/>
          <w:sz w:val="22"/>
          <w:szCs w:val="22"/>
        </w:rPr>
        <w:t>FAS</w:t>
      </w:r>
      <w:r w:rsidRPr="00901BCD">
        <w:rPr>
          <w:color w:val="000000"/>
          <w:sz w:val="22"/>
          <w:szCs w:val="22"/>
        </w:rPr>
        <w:t xml:space="preserve"> project officers, grant specialists, </w:t>
      </w:r>
      <w:r>
        <w:rPr>
          <w:color w:val="000000"/>
          <w:sz w:val="22"/>
          <w:szCs w:val="22"/>
        </w:rPr>
        <w:t xml:space="preserve">program </w:t>
      </w:r>
      <w:r w:rsidRPr="00901BCD">
        <w:rPr>
          <w:color w:val="000000"/>
          <w:sz w:val="22"/>
          <w:szCs w:val="22"/>
        </w:rPr>
        <w:t xml:space="preserve">coordinators, </w:t>
      </w:r>
      <w:r>
        <w:rPr>
          <w:color w:val="000000"/>
          <w:sz w:val="22"/>
          <w:szCs w:val="22"/>
        </w:rPr>
        <w:t xml:space="preserve">managers, </w:t>
      </w:r>
      <w:r w:rsidRPr="00901BCD">
        <w:rPr>
          <w:color w:val="000000"/>
          <w:sz w:val="22"/>
          <w:szCs w:val="22"/>
        </w:rPr>
        <w:t xml:space="preserve">and finance officials to manage/oversee recipient programmatic and financial performance under </w:t>
      </w:r>
      <w:r>
        <w:rPr>
          <w:color w:val="000000"/>
          <w:sz w:val="22"/>
          <w:szCs w:val="22"/>
        </w:rPr>
        <w:t>FAS</w:t>
      </w:r>
      <w:r w:rsidRPr="00901BCD">
        <w:rPr>
          <w:color w:val="000000"/>
          <w:sz w:val="22"/>
          <w:szCs w:val="22"/>
        </w:rPr>
        <w:t xml:space="preserve"> assistance agreements.</w:t>
      </w:r>
    </w:p>
    <w:p w:rsidR="00A325C5" w14:paraId="232D35EE" w14:textId="77777777">
      <w:pPr>
        <w:tabs>
          <w:tab w:val="left" w:pos="360"/>
        </w:tabs>
        <w:rPr>
          <w:color w:val="000000"/>
          <w:sz w:val="18"/>
        </w:rPr>
      </w:pPr>
    </w:p>
    <w:p w:rsidR="00A325C5" w:rsidRPr="009F43D5" w14:paraId="187AAEE7" w14:textId="77777777">
      <w:pPr>
        <w:keepLines/>
        <w:tabs>
          <w:tab w:val="left" w:pos="360"/>
        </w:tabs>
        <w:spacing w:after="80"/>
        <w:ind w:left="360" w:hanging="360"/>
        <w:rPr>
          <w:b/>
          <w:bCs/>
          <w:color w:val="000000"/>
          <w:sz w:val="18"/>
        </w:rPr>
      </w:pPr>
      <w:r w:rsidRPr="009F43D5">
        <w:rPr>
          <w:b/>
          <w:bCs/>
          <w:color w:val="000000"/>
          <w:sz w:val="18"/>
        </w:rPr>
        <w:t>2.</w:t>
      </w:r>
      <w:r w:rsidRPr="009F43D5">
        <w:rPr>
          <w:b/>
          <w:bCs/>
          <w:color w:val="000000"/>
          <w:sz w:val="18"/>
        </w:rPr>
        <w:tab/>
      </w:r>
      <w:r w:rsidRPr="002278CF" w:rsidR="002278CF">
        <w:rPr>
          <w:b/>
          <w:bCs/>
          <w:color w:val="000000"/>
          <w:sz w:val="22"/>
        </w:rPr>
        <w:t>Indicate how, by whom, and for what purpose the information is to be used. Except for a new collection, indicate the actual use the agency has made of the information received from the current collection.</w:t>
      </w:r>
    </w:p>
    <w:p w:rsidR="00D64835" w:rsidP="00AA1C39" w14:paraId="1942AE1D" w14:textId="77777777">
      <w:pPr>
        <w:keepLines/>
        <w:ind w:left="360"/>
        <w:rPr>
          <w:sz w:val="22"/>
          <w:szCs w:val="22"/>
        </w:rPr>
      </w:pPr>
    </w:p>
    <w:p w:rsidR="00AA1C39" w:rsidRPr="00AA1C39" w:rsidP="00AA1C39" w14:paraId="28088334" w14:textId="5C9D4A92">
      <w:pPr>
        <w:keepLines/>
        <w:ind w:left="360"/>
        <w:rPr>
          <w:sz w:val="22"/>
          <w:szCs w:val="22"/>
        </w:rPr>
      </w:pPr>
      <w:r>
        <w:rPr>
          <w:sz w:val="22"/>
          <w:szCs w:val="22"/>
        </w:rPr>
        <w:t>P</w:t>
      </w:r>
      <w:r w:rsidRPr="00AA1C39">
        <w:rPr>
          <w:sz w:val="22"/>
          <w:szCs w:val="22"/>
        </w:rPr>
        <w:t xml:space="preserve">re-award information is used by </w:t>
      </w:r>
      <w:r>
        <w:rPr>
          <w:sz w:val="22"/>
          <w:szCs w:val="22"/>
        </w:rPr>
        <w:t>FAS personnel</w:t>
      </w:r>
      <w:r w:rsidRPr="00AA1C39">
        <w:rPr>
          <w:sz w:val="22"/>
          <w:szCs w:val="22"/>
        </w:rPr>
        <w:t xml:space="preserve"> to qualify and select assistance agreement applicants for funding.</w:t>
      </w:r>
      <w:r>
        <w:rPr>
          <w:sz w:val="22"/>
          <w:szCs w:val="22"/>
        </w:rPr>
        <w:t xml:space="preserve"> Post-award reporting is used by FAS</w:t>
      </w:r>
      <w:r w:rsidRPr="00AA1C39">
        <w:rPr>
          <w:sz w:val="22"/>
          <w:szCs w:val="22"/>
        </w:rPr>
        <w:t xml:space="preserve"> </w:t>
      </w:r>
      <w:r>
        <w:rPr>
          <w:sz w:val="22"/>
          <w:szCs w:val="22"/>
        </w:rPr>
        <w:t>personnel</w:t>
      </w:r>
      <w:r w:rsidRPr="00AA1C39">
        <w:rPr>
          <w:sz w:val="22"/>
          <w:szCs w:val="22"/>
        </w:rPr>
        <w:t xml:space="preserve"> to make </w:t>
      </w:r>
      <w:r>
        <w:rPr>
          <w:sz w:val="22"/>
          <w:szCs w:val="22"/>
        </w:rPr>
        <w:t xml:space="preserve">amendments to established </w:t>
      </w:r>
      <w:r w:rsidRPr="00AA1C39">
        <w:rPr>
          <w:sz w:val="22"/>
          <w:szCs w:val="22"/>
        </w:rPr>
        <w:t>assistance agreement awards, to make payments</w:t>
      </w:r>
      <w:r>
        <w:rPr>
          <w:sz w:val="22"/>
          <w:szCs w:val="22"/>
        </w:rPr>
        <w:t xml:space="preserve"> pursuant to such awards</w:t>
      </w:r>
      <w:r w:rsidRPr="00AA1C39">
        <w:rPr>
          <w:sz w:val="22"/>
          <w:szCs w:val="22"/>
        </w:rPr>
        <w:t xml:space="preserve">, and to verify that the recipient is using Federal funds appropriately to comply with </w:t>
      </w:r>
      <w:r>
        <w:rPr>
          <w:sz w:val="22"/>
          <w:szCs w:val="22"/>
        </w:rPr>
        <w:t xml:space="preserve">applicable </w:t>
      </w:r>
      <w:r w:rsidRPr="00AA1C39">
        <w:rPr>
          <w:sz w:val="22"/>
          <w:szCs w:val="22"/>
        </w:rPr>
        <w:t>Federal</w:t>
      </w:r>
      <w:r>
        <w:rPr>
          <w:sz w:val="22"/>
          <w:szCs w:val="22"/>
        </w:rPr>
        <w:t xml:space="preserve"> and agency</w:t>
      </w:r>
      <w:r w:rsidRPr="00AA1C39">
        <w:rPr>
          <w:sz w:val="22"/>
          <w:szCs w:val="22"/>
        </w:rPr>
        <w:t xml:space="preserve"> requirements.</w:t>
      </w:r>
      <w:r>
        <w:rPr>
          <w:sz w:val="22"/>
          <w:szCs w:val="22"/>
        </w:rPr>
        <w:t xml:space="preserve"> </w:t>
      </w:r>
      <w:r w:rsidRPr="00AA1C39">
        <w:rPr>
          <w:sz w:val="22"/>
          <w:szCs w:val="22"/>
        </w:rPr>
        <w:t xml:space="preserve">The information is necessary to ensure minimum fiscal control and accountability for </w:t>
      </w:r>
      <w:r>
        <w:rPr>
          <w:sz w:val="22"/>
          <w:szCs w:val="22"/>
        </w:rPr>
        <w:t>award</w:t>
      </w:r>
      <w:r w:rsidRPr="00AA1C39">
        <w:rPr>
          <w:sz w:val="22"/>
          <w:szCs w:val="22"/>
        </w:rPr>
        <w:t xml:space="preserve"> funds and to deter waste, fraud, and abuse.</w:t>
      </w:r>
    </w:p>
    <w:p w:rsidR="009F43D5" w:rsidRPr="00901BCD" w14:paraId="1E8B1A52" w14:textId="77777777">
      <w:pPr>
        <w:tabs>
          <w:tab w:val="left" w:pos="360"/>
        </w:tabs>
        <w:rPr>
          <w:color w:val="000000"/>
          <w:sz w:val="22"/>
          <w:szCs w:val="22"/>
        </w:rPr>
      </w:pPr>
    </w:p>
    <w:p w:rsidR="00A325C5" w:rsidRPr="00F24499" w14:paraId="597D8DE9" w14:textId="77777777">
      <w:pPr>
        <w:keepLines/>
        <w:tabs>
          <w:tab w:val="left" w:pos="360"/>
        </w:tabs>
        <w:spacing w:after="80"/>
        <w:ind w:left="360" w:hanging="360"/>
        <w:rPr>
          <w:b/>
          <w:bCs/>
          <w:color w:val="000000"/>
          <w:sz w:val="22"/>
        </w:rPr>
      </w:pPr>
      <w:r w:rsidRPr="00F24499">
        <w:rPr>
          <w:b/>
          <w:bCs/>
          <w:color w:val="000000"/>
          <w:sz w:val="18"/>
        </w:rPr>
        <w:t>3.</w:t>
      </w:r>
      <w:r w:rsidRPr="00F24499">
        <w:rPr>
          <w:b/>
          <w:bCs/>
          <w:color w:val="000000"/>
          <w:sz w:val="18"/>
        </w:rPr>
        <w:tab/>
      </w:r>
      <w:r w:rsidRPr="002278CF" w:rsidR="002278CF">
        <w:rPr>
          <w:b/>
          <w:bCs/>
          <w:color w:val="000000"/>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278CF">
        <w:rPr>
          <w:b/>
          <w:bCs/>
          <w:color w:val="000000"/>
          <w:sz w:val="22"/>
          <w:szCs w:val="22"/>
        </w:rPr>
        <w:t xml:space="preserve"> (item 13b1 of OMB form 83-i)</w:t>
      </w:r>
      <w:r w:rsidRPr="002278CF" w:rsidR="002278CF">
        <w:rPr>
          <w:b/>
          <w:bCs/>
          <w:color w:val="000000"/>
          <w:sz w:val="22"/>
          <w:szCs w:val="22"/>
        </w:rPr>
        <w:t>.</w:t>
      </w:r>
    </w:p>
    <w:p w:rsidR="00D64835" w:rsidP="002278CF" w14:paraId="795AD1C3" w14:textId="77777777">
      <w:pPr>
        <w:keepLines/>
        <w:tabs>
          <w:tab w:val="left" w:pos="360"/>
        </w:tabs>
        <w:spacing w:after="80"/>
        <w:ind w:left="360"/>
        <w:rPr>
          <w:color w:val="000000"/>
          <w:sz w:val="22"/>
          <w:szCs w:val="22"/>
        </w:rPr>
      </w:pPr>
    </w:p>
    <w:p w:rsidR="00A325C5" w:rsidRPr="002278CF" w:rsidP="002278CF" w14:paraId="40BA007B" w14:textId="7F08380A">
      <w:pPr>
        <w:keepLines/>
        <w:tabs>
          <w:tab w:val="left" w:pos="360"/>
        </w:tabs>
        <w:spacing w:after="80"/>
        <w:ind w:left="360"/>
        <w:rPr>
          <w:color w:val="000000"/>
          <w:sz w:val="22"/>
          <w:szCs w:val="22"/>
        </w:rPr>
      </w:pPr>
      <w:r>
        <w:rPr>
          <w:color w:val="000000"/>
          <w:sz w:val="22"/>
          <w:szCs w:val="22"/>
        </w:rPr>
        <w:t xml:space="preserve">Electronic submission is enabled and encouraged using the USDA ezFedGrants system at </w:t>
      </w:r>
      <w:hyperlink r:id="rId4" w:history="1">
        <w:r w:rsidRPr="00C77760">
          <w:rPr>
            <w:rStyle w:val="Hyperlink"/>
            <w:sz w:val="22"/>
            <w:szCs w:val="22"/>
          </w:rPr>
          <w:t>https://grants.fms.usda.gov</w:t>
        </w:r>
      </w:hyperlink>
      <w:r>
        <w:rPr>
          <w:color w:val="000000"/>
          <w:sz w:val="22"/>
          <w:szCs w:val="22"/>
        </w:rPr>
        <w:t xml:space="preserve"> however, use of the system is not mandatory</w:t>
      </w:r>
      <w:r w:rsidR="00AA1C39">
        <w:rPr>
          <w:color w:val="000000"/>
          <w:sz w:val="22"/>
          <w:szCs w:val="22"/>
        </w:rPr>
        <w:t xml:space="preserve"> – applicants and recipients are permitted to submit materials outside of the ezFedGrants system without penalty, provided only that the same deadlines are met.</w:t>
      </w:r>
    </w:p>
    <w:p w:rsidR="00F24499" w14:paraId="3AB14A8C" w14:textId="77777777">
      <w:pPr>
        <w:tabs>
          <w:tab w:val="left" w:pos="360"/>
        </w:tabs>
        <w:ind w:left="360" w:hanging="360"/>
        <w:rPr>
          <w:color w:val="000000"/>
          <w:sz w:val="18"/>
        </w:rPr>
      </w:pPr>
    </w:p>
    <w:p w:rsidR="002278CF" w:rsidRPr="00F24499" w:rsidP="002278CF" w14:paraId="3E85AADC" w14:textId="77777777">
      <w:pPr>
        <w:keepLines/>
        <w:tabs>
          <w:tab w:val="left" w:pos="360"/>
        </w:tabs>
        <w:spacing w:after="80"/>
        <w:ind w:left="360" w:hanging="360"/>
        <w:rPr>
          <w:b/>
          <w:bCs/>
          <w:color w:val="000000"/>
          <w:sz w:val="22"/>
        </w:rPr>
      </w:pPr>
      <w:r w:rsidRPr="00F24499">
        <w:rPr>
          <w:b/>
          <w:bCs/>
          <w:color w:val="000000"/>
          <w:sz w:val="18"/>
        </w:rPr>
        <w:t>4.</w:t>
      </w:r>
      <w:r w:rsidRPr="00F24499">
        <w:rPr>
          <w:b/>
          <w:bCs/>
          <w:color w:val="000000"/>
          <w:sz w:val="18"/>
        </w:rPr>
        <w:tab/>
      </w:r>
      <w:r w:rsidRPr="002278CF">
        <w:rPr>
          <w:b/>
          <w:bCs/>
          <w:color w:val="000000"/>
          <w:sz w:val="22"/>
        </w:rPr>
        <w:t>Describe efforts to identify duplication. Show specifically why any similar information already available cannot be used or modified for use for the purposes described in Item 2 above.</w:t>
      </w:r>
    </w:p>
    <w:p w:rsidR="002278CF" w:rsidRPr="002278CF" w:rsidP="002278CF" w14:paraId="28F89722" w14:textId="5602CCDD">
      <w:pPr>
        <w:keepLines/>
        <w:tabs>
          <w:tab w:val="left" w:pos="360"/>
        </w:tabs>
        <w:spacing w:after="80"/>
        <w:ind w:left="360"/>
        <w:rPr>
          <w:color w:val="000000"/>
          <w:sz w:val="22"/>
          <w:szCs w:val="22"/>
        </w:rPr>
      </w:pPr>
      <w:r>
        <w:rPr>
          <w:color w:val="000000"/>
          <w:sz w:val="22"/>
          <w:szCs w:val="22"/>
        </w:rPr>
        <w:t xml:space="preserve">There is no </w:t>
      </w:r>
      <w:r w:rsidR="00CB3BFC">
        <w:rPr>
          <w:color w:val="000000"/>
          <w:sz w:val="22"/>
          <w:szCs w:val="22"/>
        </w:rPr>
        <w:t xml:space="preserve">other </w:t>
      </w:r>
      <w:r>
        <w:rPr>
          <w:color w:val="000000"/>
          <w:sz w:val="22"/>
          <w:szCs w:val="22"/>
        </w:rPr>
        <w:t xml:space="preserve">source for the </w:t>
      </w:r>
      <w:r w:rsidR="00CB3BFC">
        <w:rPr>
          <w:color w:val="000000"/>
          <w:sz w:val="22"/>
          <w:szCs w:val="22"/>
        </w:rPr>
        <w:t>information sought.</w:t>
      </w:r>
    </w:p>
    <w:p w:rsidR="002278CF" w:rsidP="002278CF" w14:paraId="63CACBB1" w14:textId="77777777">
      <w:pPr>
        <w:tabs>
          <w:tab w:val="left" w:pos="360"/>
        </w:tabs>
        <w:ind w:left="360" w:hanging="360"/>
        <w:rPr>
          <w:color w:val="000000"/>
          <w:sz w:val="18"/>
        </w:rPr>
      </w:pPr>
    </w:p>
    <w:p w:rsidR="002278CF" w:rsidRPr="00F24499" w:rsidP="002278CF" w14:paraId="75F5250E" w14:textId="77777777">
      <w:pPr>
        <w:keepLines/>
        <w:tabs>
          <w:tab w:val="left" w:pos="360"/>
        </w:tabs>
        <w:spacing w:after="80"/>
        <w:ind w:left="360" w:hanging="360"/>
        <w:rPr>
          <w:b/>
          <w:bCs/>
          <w:color w:val="000000"/>
          <w:sz w:val="22"/>
        </w:rPr>
      </w:pPr>
      <w:r w:rsidRPr="00F24499">
        <w:rPr>
          <w:b/>
          <w:bCs/>
          <w:color w:val="000000"/>
          <w:sz w:val="18"/>
        </w:rPr>
        <w:t>5.</w:t>
      </w:r>
      <w:r w:rsidRPr="00F24499">
        <w:rPr>
          <w:b/>
          <w:bCs/>
          <w:color w:val="000000"/>
          <w:sz w:val="18"/>
        </w:rPr>
        <w:tab/>
      </w:r>
      <w:r w:rsidRPr="00F24499">
        <w:rPr>
          <w:b/>
          <w:bCs/>
          <w:color w:val="000000"/>
          <w:sz w:val="22"/>
        </w:rPr>
        <w:t>Does the collection of information impact small businesses or other small entities (item 5 of OMB form 83-i)?  Describe any methods used to minimize burden.</w:t>
      </w:r>
    </w:p>
    <w:p w:rsidR="002278CF" w:rsidRPr="002278CF" w:rsidP="002278CF" w14:paraId="589B8F88" w14:textId="7D641EDE">
      <w:pPr>
        <w:keepLines/>
        <w:tabs>
          <w:tab w:val="left" w:pos="360"/>
        </w:tabs>
        <w:spacing w:after="80"/>
        <w:ind w:left="360"/>
        <w:rPr>
          <w:color w:val="000000"/>
          <w:sz w:val="22"/>
          <w:szCs w:val="22"/>
        </w:rPr>
      </w:pPr>
      <w:r>
        <w:rPr>
          <w:color w:val="000000"/>
          <w:sz w:val="22"/>
          <w:szCs w:val="22"/>
        </w:rPr>
        <w:t xml:space="preserve">Inasmuch as small businesses or other small entities apply to NARETPA grant and/or cooperative agreement programs, they are required to meet the same </w:t>
      </w:r>
      <w:r w:rsidR="00CB3BFC">
        <w:rPr>
          <w:color w:val="000000"/>
          <w:sz w:val="22"/>
          <w:szCs w:val="22"/>
        </w:rPr>
        <w:t>requirements. USDA offers assistance to all entities, upon request, to understand how to collect, compile, and provide the information requested correctly and completely; and provides opportunities to cure in instances where errata are clearly clerical in nature.</w:t>
      </w:r>
      <w:r w:rsidR="0004482B">
        <w:rPr>
          <w:color w:val="000000"/>
          <w:sz w:val="22"/>
          <w:szCs w:val="22"/>
        </w:rPr>
        <w:t xml:space="preserve">  We estimate that approximately 1% of small businesses participate. </w:t>
      </w:r>
    </w:p>
    <w:p w:rsidR="002278CF" w:rsidP="002278CF" w14:paraId="62DE4193" w14:textId="77777777">
      <w:pPr>
        <w:tabs>
          <w:tab w:val="left" w:pos="360"/>
        </w:tabs>
        <w:ind w:left="360" w:hanging="360"/>
        <w:rPr>
          <w:color w:val="000000"/>
          <w:sz w:val="18"/>
        </w:rPr>
      </w:pPr>
    </w:p>
    <w:p w:rsidR="00D964D7" w:rsidRPr="00F24499" w:rsidP="00D964D7" w14:paraId="03869732" w14:textId="77777777">
      <w:pPr>
        <w:keepLines/>
        <w:tabs>
          <w:tab w:val="left" w:pos="360"/>
        </w:tabs>
        <w:spacing w:after="80"/>
        <w:ind w:left="360" w:hanging="360"/>
        <w:rPr>
          <w:b/>
          <w:bCs/>
          <w:color w:val="000000"/>
          <w:sz w:val="22"/>
        </w:rPr>
      </w:pPr>
      <w:r w:rsidRPr="00F24499">
        <w:rPr>
          <w:b/>
          <w:bCs/>
          <w:color w:val="000000"/>
          <w:sz w:val="18"/>
        </w:rPr>
        <w:t>6.</w:t>
      </w:r>
      <w:r w:rsidRPr="00F24499">
        <w:rPr>
          <w:b/>
          <w:bCs/>
          <w:color w:val="000000"/>
          <w:sz w:val="18"/>
        </w:rPr>
        <w:tab/>
      </w:r>
      <w:r w:rsidRPr="00F24499">
        <w:rPr>
          <w:b/>
          <w:bCs/>
          <w:color w:val="000000"/>
          <w:sz w:val="22"/>
        </w:rPr>
        <w:t>Describe the consequence to Federal program or policy activities if the collection is not conducted or is conducted less frequently, as well as any technical or legal obstacles to reducing burden.</w:t>
      </w:r>
    </w:p>
    <w:p w:rsidR="00CB3BFC" w:rsidRPr="00901BCD" w:rsidP="00CB3BFC" w14:paraId="1F60B60A" w14:textId="77777777">
      <w:pPr>
        <w:keepLines/>
        <w:ind w:left="360"/>
        <w:rPr>
          <w:sz w:val="22"/>
          <w:szCs w:val="22"/>
        </w:rPr>
      </w:pPr>
      <w:r w:rsidRPr="00901BCD">
        <w:rPr>
          <w:sz w:val="22"/>
          <w:szCs w:val="22"/>
        </w:rPr>
        <w:t>Without the data compiled, it would be impossible for FAS to manage any of its Federal assistance programs.  Rational, fair grant</w:t>
      </w:r>
      <w:r>
        <w:rPr>
          <w:sz w:val="22"/>
          <w:szCs w:val="22"/>
        </w:rPr>
        <w:t xml:space="preserve"> and cooperative agreement</w:t>
      </w:r>
      <w:r w:rsidRPr="00901BCD">
        <w:rPr>
          <w:sz w:val="22"/>
          <w:szCs w:val="22"/>
        </w:rPr>
        <w:t xml:space="preserve"> awards would be extremely difficult to make, and financial and technical managerial information would not be available for assessing the status of grant </w:t>
      </w:r>
      <w:r>
        <w:rPr>
          <w:sz w:val="22"/>
          <w:szCs w:val="22"/>
        </w:rPr>
        <w:t xml:space="preserve">and cooperative agreement </w:t>
      </w:r>
      <w:r w:rsidRPr="00901BCD">
        <w:rPr>
          <w:sz w:val="22"/>
          <w:szCs w:val="22"/>
        </w:rPr>
        <w:t>efforts. Decreasing the frequency of data collection would have similar negative impacts.</w:t>
      </w:r>
    </w:p>
    <w:p w:rsidR="00F24499" w:rsidP="00D964D7" w14:paraId="3D7B2F25" w14:textId="77777777">
      <w:pPr>
        <w:keepLines/>
        <w:tabs>
          <w:tab w:val="left" w:pos="360"/>
        </w:tabs>
        <w:spacing w:after="80"/>
        <w:ind w:left="360" w:hanging="360"/>
        <w:rPr>
          <w:color w:val="000000"/>
          <w:sz w:val="18"/>
        </w:rPr>
      </w:pPr>
    </w:p>
    <w:p w:rsidR="00865C62" w:rsidRPr="00865C62" w:rsidP="00865C62" w14:paraId="39CC7655" w14:textId="77777777">
      <w:pPr>
        <w:numPr>
          <w:ilvl w:val="0"/>
          <w:numId w:val="15"/>
        </w:numPr>
        <w:overflowPunct/>
        <w:autoSpaceDE/>
        <w:autoSpaceDN/>
        <w:adjustRightInd/>
        <w:spacing w:after="200" w:line="276" w:lineRule="auto"/>
        <w:contextualSpacing/>
        <w:textAlignment w:val="auto"/>
        <w:rPr>
          <w:rFonts w:eastAsia="Calibri"/>
          <w:sz w:val="22"/>
          <w:szCs w:val="22"/>
        </w:rPr>
      </w:pPr>
      <w:r w:rsidRPr="00865C62">
        <w:rPr>
          <w:rFonts w:eastAsia="Calibri"/>
          <w:b/>
          <w:sz w:val="22"/>
          <w:szCs w:val="22"/>
        </w:rPr>
        <w:t>Explain any special circumstances that would cause an information to be collected in a manner:</w:t>
      </w:r>
    </w:p>
    <w:p w:rsidR="00D64835" w:rsidP="00D64835" w14:paraId="6104CAF9" w14:textId="755AB396">
      <w:pPr>
        <w:keepLines/>
        <w:numPr>
          <w:ilvl w:val="0"/>
          <w:numId w:val="13"/>
        </w:numPr>
        <w:tabs>
          <w:tab w:val="left" w:pos="360"/>
        </w:tabs>
        <w:spacing w:after="80"/>
        <w:rPr>
          <w:rFonts w:eastAsia="Calibri"/>
          <w:sz w:val="22"/>
          <w:szCs w:val="22"/>
        </w:rPr>
      </w:pPr>
      <w:bookmarkStart w:id="0" w:name="_Hlk494808620"/>
      <w:r w:rsidRPr="007617D9">
        <w:rPr>
          <w:rFonts w:eastAsia="Calibri"/>
          <w:sz w:val="22"/>
          <w:szCs w:val="22"/>
        </w:rPr>
        <w:t xml:space="preserve">requiring respondents to report information to the agency more than quarterly; </w:t>
      </w:r>
    </w:p>
    <w:p w:rsidR="00D64835" w:rsidRPr="00D64835" w:rsidP="00D64835" w14:paraId="3C54E26C" w14:textId="77777777">
      <w:pPr>
        <w:keepLines/>
        <w:tabs>
          <w:tab w:val="left" w:pos="360"/>
        </w:tabs>
        <w:spacing w:after="80"/>
        <w:ind w:left="720"/>
        <w:rPr>
          <w:rFonts w:eastAsia="Calibri"/>
          <w:sz w:val="22"/>
          <w:szCs w:val="22"/>
        </w:rPr>
      </w:pPr>
    </w:p>
    <w:p w:rsidR="00070EFE" w:rsidRPr="007617D9" w:rsidP="007617D9" w14:paraId="555479C1"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prepare a written response to a collection of information in fewer than 30 days after receipt of it;</w:t>
      </w:r>
    </w:p>
    <w:p w:rsidR="00DF0E4A" w:rsidRPr="007617D9" w:rsidP="00F24499" w14:paraId="531E1376" w14:textId="77777777">
      <w:pPr>
        <w:overflowPunct/>
        <w:autoSpaceDE/>
        <w:autoSpaceDN/>
        <w:adjustRightInd/>
        <w:spacing w:after="200" w:line="276" w:lineRule="auto"/>
        <w:ind w:left="1080"/>
        <w:contextualSpacing/>
        <w:textAlignment w:val="auto"/>
        <w:rPr>
          <w:rFonts w:eastAsia="Calibri"/>
          <w:sz w:val="22"/>
          <w:szCs w:val="22"/>
        </w:rPr>
      </w:pPr>
    </w:p>
    <w:p w:rsidR="00070EFE" w:rsidRPr="007617D9" w:rsidP="007617D9" w14:paraId="43DD8AAE"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submit more than an original and two copies of any document;</w:t>
      </w:r>
    </w:p>
    <w:p w:rsidR="00070EFE" w:rsidRPr="009747E6" w:rsidP="007617D9" w14:paraId="251E15DF" w14:textId="77777777">
      <w:pPr>
        <w:overflowPunct/>
        <w:autoSpaceDE/>
        <w:autoSpaceDN/>
        <w:adjustRightInd/>
        <w:spacing w:after="200" w:line="276" w:lineRule="auto"/>
        <w:ind w:left="720"/>
        <w:contextualSpacing/>
        <w:textAlignment w:val="auto"/>
        <w:rPr>
          <w:rFonts w:eastAsia="Calibri"/>
          <w:bCs/>
          <w:sz w:val="22"/>
          <w:szCs w:val="22"/>
        </w:rPr>
      </w:pPr>
    </w:p>
    <w:p w:rsidR="00070EFE" w:rsidRPr="007617D9" w:rsidP="007617D9" w14:paraId="5A459B21"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retain records other than health, medical, government contract, grant-in-aid, or tax records for more than three years;</w:t>
      </w:r>
    </w:p>
    <w:p w:rsidR="00DF0E4A" w:rsidRPr="007617D9" w:rsidP="00F24499" w14:paraId="013961E5" w14:textId="77777777">
      <w:pPr>
        <w:overflowPunct/>
        <w:autoSpaceDE/>
        <w:autoSpaceDN/>
        <w:adjustRightInd/>
        <w:spacing w:after="200" w:line="276" w:lineRule="auto"/>
        <w:ind w:left="1080"/>
        <w:contextualSpacing/>
        <w:textAlignment w:val="auto"/>
        <w:rPr>
          <w:rFonts w:eastAsia="Calibri"/>
          <w:sz w:val="22"/>
          <w:szCs w:val="22"/>
        </w:rPr>
      </w:pPr>
    </w:p>
    <w:p w:rsidR="00070EFE" w:rsidRPr="007617D9" w:rsidP="007617D9" w14:paraId="116D3887" w14:textId="77777777">
      <w:pPr>
        <w:keepLines/>
        <w:numPr>
          <w:ilvl w:val="0"/>
          <w:numId w:val="13"/>
        </w:numPr>
        <w:tabs>
          <w:tab w:val="left" w:pos="360"/>
        </w:tabs>
        <w:spacing w:after="80"/>
        <w:rPr>
          <w:rFonts w:eastAsia="Calibri"/>
          <w:sz w:val="22"/>
          <w:szCs w:val="22"/>
        </w:rPr>
      </w:pPr>
      <w:r w:rsidRPr="007617D9">
        <w:rPr>
          <w:rFonts w:eastAsia="Calibri"/>
          <w:sz w:val="22"/>
          <w:szCs w:val="22"/>
        </w:rPr>
        <w:t>in connection with a statistical survey, that is not designed to produce valid and reliable results than can be generalized to the universe of the study;</w:t>
      </w:r>
    </w:p>
    <w:p w:rsidR="00DF0E4A" w:rsidRPr="007617D9" w:rsidP="00F24499" w14:paraId="761EEFF9" w14:textId="77777777">
      <w:pPr>
        <w:overflowPunct/>
        <w:autoSpaceDE/>
        <w:autoSpaceDN/>
        <w:adjustRightInd/>
        <w:spacing w:after="200" w:line="276" w:lineRule="auto"/>
        <w:ind w:left="1080"/>
        <w:contextualSpacing/>
        <w:textAlignment w:val="auto"/>
        <w:rPr>
          <w:rFonts w:eastAsia="Calibri"/>
          <w:sz w:val="22"/>
          <w:szCs w:val="22"/>
        </w:rPr>
      </w:pPr>
    </w:p>
    <w:p w:rsidR="00070EFE" w:rsidRPr="007617D9" w:rsidP="007617D9" w14:paraId="1BE91F5A"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the use of statistical data classification that has not been reviewed and approved by OMB;</w:t>
      </w:r>
    </w:p>
    <w:p w:rsidR="00DF0E4A" w:rsidRPr="007617D9" w:rsidP="00F24499" w14:paraId="027CF8CB" w14:textId="77777777">
      <w:pPr>
        <w:overflowPunct/>
        <w:autoSpaceDE/>
        <w:autoSpaceDN/>
        <w:adjustRightInd/>
        <w:spacing w:after="200" w:line="276" w:lineRule="auto"/>
        <w:ind w:left="1080"/>
        <w:contextualSpacing/>
        <w:textAlignment w:val="auto"/>
        <w:rPr>
          <w:rFonts w:eastAsia="Calibri"/>
          <w:sz w:val="22"/>
          <w:szCs w:val="22"/>
        </w:rPr>
      </w:pPr>
    </w:p>
    <w:p w:rsidR="00070EFE" w:rsidRPr="007617D9" w:rsidP="007617D9" w14:paraId="0F612731" w14:textId="77777777">
      <w:pPr>
        <w:keepLines/>
        <w:numPr>
          <w:ilvl w:val="0"/>
          <w:numId w:val="13"/>
        </w:numPr>
        <w:tabs>
          <w:tab w:val="left" w:pos="360"/>
        </w:tabs>
        <w:spacing w:after="80"/>
        <w:rPr>
          <w:rFonts w:eastAsia="Calibri"/>
          <w:sz w:val="22"/>
          <w:szCs w:val="22"/>
        </w:rPr>
      </w:pPr>
      <w:r w:rsidRPr="007617D9">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F0E4A" w:rsidRPr="007617D9" w:rsidP="00F24499" w14:paraId="50989007" w14:textId="77777777">
      <w:pPr>
        <w:overflowPunct/>
        <w:autoSpaceDE/>
        <w:autoSpaceDN/>
        <w:adjustRightInd/>
        <w:spacing w:after="200" w:line="276" w:lineRule="auto"/>
        <w:ind w:left="1080"/>
        <w:contextualSpacing/>
        <w:textAlignment w:val="auto"/>
        <w:rPr>
          <w:rFonts w:eastAsia="Calibri"/>
          <w:sz w:val="22"/>
          <w:szCs w:val="22"/>
        </w:rPr>
      </w:pPr>
    </w:p>
    <w:p w:rsidR="00070EFE" w:rsidRPr="007617D9" w:rsidP="007617D9" w14:paraId="07DA449F"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bookmarkEnd w:id="0"/>
    <w:p w:rsidR="00070EFE" w14:paraId="5B8746B3" w14:textId="77777777">
      <w:pPr>
        <w:tabs>
          <w:tab w:val="left" w:pos="360"/>
        </w:tabs>
        <w:rPr>
          <w:color w:val="000000"/>
          <w:sz w:val="22"/>
        </w:rPr>
      </w:pPr>
    </w:p>
    <w:p w:rsidR="00481718" w:rsidP="0048634E" w14:paraId="7FA4B9BD" w14:textId="4F9496DB">
      <w:pPr>
        <w:tabs>
          <w:tab w:val="left" w:pos="360"/>
        </w:tabs>
        <w:ind w:left="360"/>
        <w:rPr>
          <w:color w:val="000000"/>
          <w:sz w:val="22"/>
        </w:rPr>
      </w:pPr>
      <w:r w:rsidRPr="00481718">
        <w:rPr>
          <w:color w:val="000000"/>
          <w:sz w:val="22"/>
        </w:rPr>
        <w:t>There are no special circumstances.</w:t>
      </w:r>
    </w:p>
    <w:p w:rsidR="00481718" w14:paraId="2D51E4E5" w14:textId="77777777">
      <w:pPr>
        <w:tabs>
          <w:tab w:val="left" w:pos="360"/>
        </w:tabs>
        <w:rPr>
          <w:color w:val="000000"/>
          <w:sz w:val="22"/>
        </w:rPr>
      </w:pPr>
    </w:p>
    <w:p w:rsidR="000612BD" w:rsidRPr="00F24499" w:rsidP="000612BD" w14:paraId="6FB0310B" w14:textId="77777777">
      <w:pPr>
        <w:keepLines/>
        <w:tabs>
          <w:tab w:val="left" w:pos="360"/>
        </w:tabs>
        <w:spacing w:after="80"/>
        <w:ind w:left="360" w:hanging="360"/>
        <w:rPr>
          <w:b/>
          <w:bCs/>
          <w:color w:val="000000"/>
          <w:sz w:val="22"/>
        </w:rPr>
      </w:pPr>
      <w:r w:rsidRPr="00335B36">
        <w:rPr>
          <w:b/>
          <w:bCs/>
          <w:color w:val="000000"/>
          <w:sz w:val="18"/>
        </w:rPr>
        <w:t>8.</w:t>
      </w:r>
      <w:r w:rsidRPr="00335B36">
        <w:rPr>
          <w:b/>
          <w:bCs/>
          <w:color w:val="000000"/>
          <w:sz w:val="18"/>
        </w:rPr>
        <w:tab/>
      </w:r>
      <w:r w:rsidRPr="00335B36" w:rsidR="00070EFE">
        <w:rPr>
          <w:b/>
          <w:bCs/>
          <w:color w:val="000000"/>
          <w:sz w:val="22"/>
        </w:rPr>
        <w:t>I</w:t>
      </w:r>
      <w:r w:rsidRPr="00335B36">
        <w:rPr>
          <w:b/>
          <w:bCs/>
          <w:color w:val="000000"/>
          <w:sz w:val="22"/>
        </w:rPr>
        <w:t xml:space="preserve">dentify the date and page number of the </w:t>
      </w:r>
      <w:r w:rsidRPr="00335B36">
        <w:rPr>
          <w:b/>
          <w:bCs/>
          <w:i/>
          <w:iCs/>
          <w:color w:val="000000"/>
          <w:sz w:val="22"/>
        </w:rPr>
        <w:t>Federal Register</w:t>
      </w:r>
      <w:r w:rsidRPr="00335B36">
        <w:rPr>
          <w:b/>
          <w:bCs/>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w:t>
      </w:r>
      <w:r w:rsidRPr="00335B36" w:rsidR="00274278">
        <w:rPr>
          <w:b/>
          <w:bCs/>
          <w:color w:val="000000"/>
          <w:sz w:val="22"/>
        </w:rPr>
        <w:t>m</w:t>
      </w:r>
      <w:r w:rsidRPr="00335B36">
        <w:rPr>
          <w:b/>
          <w:bCs/>
          <w:color w:val="000000"/>
          <w:sz w:val="22"/>
        </w:rPr>
        <w:t xml:space="preserve">. </w:t>
      </w:r>
    </w:p>
    <w:p w:rsidR="00D64835" w:rsidRPr="00CD244A" w:rsidP="000612BD" w14:paraId="3FF5287F" w14:textId="4891F9AC">
      <w:pPr>
        <w:keepLines/>
        <w:tabs>
          <w:tab w:val="left" w:pos="360"/>
        </w:tabs>
        <w:spacing w:after="80"/>
        <w:ind w:left="360"/>
        <w:rPr>
          <w:sz w:val="22"/>
          <w:szCs w:val="22"/>
        </w:rPr>
      </w:pPr>
      <w:r w:rsidRPr="00D64835">
        <w:rPr>
          <w:color w:val="000000"/>
          <w:sz w:val="22"/>
          <w:szCs w:val="22"/>
        </w:rPr>
        <w:t xml:space="preserve">FAS published a 60-day Notice of Proposed Information Collections for public comments in the Federal Register, Volume </w:t>
      </w:r>
      <w:r w:rsidR="00266F01">
        <w:rPr>
          <w:color w:val="000000"/>
          <w:sz w:val="22"/>
          <w:szCs w:val="22"/>
        </w:rPr>
        <w:t>88</w:t>
      </w:r>
      <w:r w:rsidRPr="00D64835">
        <w:rPr>
          <w:color w:val="000000"/>
          <w:sz w:val="22"/>
          <w:szCs w:val="22"/>
        </w:rPr>
        <w:t xml:space="preserve">; Page </w:t>
      </w:r>
      <w:r w:rsidR="00266F01">
        <w:rPr>
          <w:color w:val="000000"/>
          <w:sz w:val="22"/>
          <w:szCs w:val="22"/>
        </w:rPr>
        <w:t>55996</w:t>
      </w:r>
      <w:r>
        <w:rPr>
          <w:color w:val="000000"/>
          <w:sz w:val="22"/>
          <w:szCs w:val="22"/>
        </w:rPr>
        <w:t xml:space="preserve"> o</w:t>
      </w:r>
      <w:r w:rsidRPr="00D64835">
        <w:rPr>
          <w:color w:val="000000"/>
          <w:sz w:val="22"/>
          <w:szCs w:val="22"/>
        </w:rPr>
        <w:t xml:space="preserve">n </w:t>
      </w:r>
      <w:r w:rsidR="00266F01">
        <w:rPr>
          <w:color w:val="000000"/>
          <w:sz w:val="22"/>
          <w:szCs w:val="22"/>
        </w:rPr>
        <w:t>August 17</w:t>
      </w:r>
      <w:r w:rsidRPr="00D64835">
        <w:rPr>
          <w:color w:val="000000"/>
          <w:sz w:val="22"/>
          <w:szCs w:val="22"/>
        </w:rPr>
        <w:t>, 202</w:t>
      </w:r>
      <w:r>
        <w:rPr>
          <w:color w:val="000000"/>
          <w:sz w:val="22"/>
          <w:szCs w:val="22"/>
        </w:rPr>
        <w:t>3</w:t>
      </w:r>
      <w:r w:rsidRPr="00D64835">
        <w:rPr>
          <w:color w:val="000000"/>
          <w:sz w:val="22"/>
          <w:szCs w:val="22"/>
        </w:rPr>
        <w:t xml:space="preserve">.  The public was given until </w:t>
      </w:r>
      <w:r w:rsidR="00266F01">
        <w:rPr>
          <w:color w:val="000000"/>
          <w:sz w:val="22"/>
          <w:szCs w:val="22"/>
        </w:rPr>
        <w:t>October</w:t>
      </w:r>
      <w:r w:rsidRPr="00D64835">
        <w:rPr>
          <w:color w:val="000000"/>
          <w:sz w:val="22"/>
          <w:szCs w:val="22"/>
        </w:rPr>
        <w:t xml:space="preserve"> </w:t>
      </w:r>
      <w:r w:rsidR="00266F01">
        <w:rPr>
          <w:color w:val="000000"/>
          <w:sz w:val="22"/>
          <w:szCs w:val="22"/>
        </w:rPr>
        <w:t>16</w:t>
      </w:r>
      <w:r w:rsidRPr="00D64835">
        <w:rPr>
          <w:color w:val="000000"/>
          <w:sz w:val="22"/>
          <w:szCs w:val="22"/>
        </w:rPr>
        <w:t>, 202</w:t>
      </w:r>
      <w:r>
        <w:rPr>
          <w:color w:val="000000"/>
          <w:sz w:val="22"/>
          <w:szCs w:val="22"/>
        </w:rPr>
        <w:t>3</w:t>
      </w:r>
      <w:r w:rsidRPr="00D64835">
        <w:rPr>
          <w:color w:val="000000"/>
          <w:sz w:val="22"/>
          <w:szCs w:val="22"/>
        </w:rPr>
        <w:t xml:space="preserve">, to submit comments on the proposed information collection.  FAS received </w:t>
      </w:r>
      <w:r w:rsidR="00044F81">
        <w:rPr>
          <w:color w:val="000000"/>
          <w:sz w:val="22"/>
          <w:szCs w:val="22"/>
        </w:rPr>
        <w:t>1</w:t>
      </w:r>
      <w:r w:rsidRPr="00D64835">
        <w:rPr>
          <w:color w:val="000000"/>
          <w:sz w:val="22"/>
          <w:szCs w:val="22"/>
        </w:rPr>
        <w:t xml:space="preserve"> comment on this proposed collection.  </w:t>
      </w:r>
      <w:r w:rsidRPr="00CD244A" w:rsidR="00EB4A52">
        <w:rPr>
          <w:sz w:val="22"/>
          <w:szCs w:val="22"/>
        </w:rPr>
        <w:t>No response was provided as the comment did not apply to the actual collection of information.</w:t>
      </w:r>
    </w:p>
    <w:p w:rsidR="0077529E" w:rsidP="000612BD" w14:paraId="20E7ADD7" w14:textId="77777777">
      <w:pPr>
        <w:keepLines/>
        <w:tabs>
          <w:tab w:val="left" w:pos="360"/>
        </w:tabs>
        <w:spacing w:after="80"/>
        <w:ind w:left="360"/>
        <w:rPr>
          <w:color w:val="000000"/>
          <w:sz w:val="22"/>
          <w:szCs w:val="22"/>
        </w:rPr>
      </w:pPr>
    </w:p>
    <w:p w:rsidR="000014AF" w:rsidRPr="008C5C76" w:rsidP="00F94684" w14:paraId="54B52089" w14:textId="77777777">
      <w:pPr>
        <w:ind w:left="360"/>
        <w:rPr>
          <w:b/>
          <w:bCs/>
          <w:sz w:val="24"/>
        </w:rPr>
      </w:pPr>
      <w:r w:rsidRPr="008C5C76">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014AF" w:rsidRPr="008C5C76" w:rsidP="00F94684" w14:paraId="43ADF971" w14:textId="77777777">
      <w:pPr>
        <w:ind w:left="360"/>
        <w:rPr>
          <w:b/>
          <w:bCs/>
          <w:sz w:val="24"/>
        </w:rPr>
      </w:pPr>
    </w:p>
    <w:p w:rsidR="000014AF" w:rsidRPr="008C5C76" w:rsidP="00F94684" w14:paraId="04473D72" w14:textId="77777777">
      <w:pPr>
        <w:ind w:left="360"/>
        <w:rPr>
          <w:b/>
          <w:bCs/>
          <w:sz w:val="24"/>
        </w:rPr>
      </w:pPr>
      <w:r w:rsidRPr="008C5C76">
        <w:rPr>
          <w:b/>
          <w:bCs/>
          <w:sz w:val="24"/>
        </w:rPr>
        <w:t xml:space="preserve">Consultation with representatives of those from whom information is to be obtained or those who must compile records should occur at least once every 3 years </w:t>
      </w:r>
      <w:r>
        <w:rPr>
          <w:b/>
          <w:bCs/>
          <w:sz w:val="24"/>
        </w:rPr>
        <w:t>––</w:t>
      </w:r>
      <w:r w:rsidRPr="008C5C76">
        <w:rPr>
          <w:b/>
          <w:bCs/>
          <w:sz w:val="24"/>
        </w:rPr>
        <w:t xml:space="preserve"> even if the collection of information activity is the same as in prior periods.  There may be circumstances that may preclude consultation in a specific situation.  These circumstances should be explained.</w:t>
      </w:r>
    </w:p>
    <w:p w:rsidR="000014AF" w:rsidP="000612BD" w14:paraId="386E8FBC" w14:textId="77777777">
      <w:pPr>
        <w:keepLines/>
        <w:tabs>
          <w:tab w:val="left" w:pos="360"/>
        </w:tabs>
        <w:spacing w:after="80"/>
        <w:ind w:left="360"/>
        <w:rPr>
          <w:color w:val="000000"/>
          <w:sz w:val="22"/>
          <w:szCs w:val="22"/>
        </w:rPr>
      </w:pPr>
    </w:p>
    <w:p w:rsidR="0077529E" w:rsidP="000612BD" w14:paraId="287014F8" w14:textId="65D952B8">
      <w:pPr>
        <w:keepLines/>
        <w:tabs>
          <w:tab w:val="left" w:pos="360"/>
        </w:tabs>
        <w:spacing w:after="80"/>
        <w:ind w:left="360"/>
        <w:rPr>
          <w:color w:val="000000"/>
          <w:sz w:val="22"/>
          <w:szCs w:val="22"/>
        </w:rPr>
      </w:pPr>
      <w:r>
        <w:rPr>
          <w:color w:val="000000"/>
          <w:sz w:val="22"/>
          <w:szCs w:val="22"/>
        </w:rPr>
        <w:t>FAS spoke directly to several of the organizations that are among the largest applicants and recipients under these programs, and received the following feedback. No changes were made as a result of the feedback</w:t>
      </w:r>
      <w:r w:rsidR="009773A6">
        <w:rPr>
          <w:color w:val="000000"/>
          <w:sz w:val="22"/>
          <w:szCs w:val="22"/>
        </w:rPr>
        <w:t>, as FAS did not identify any proposed efficiencies that would, if implemented, have a nonnegative impact on program implementation and/or FAS’ responsibilities for management and oversight</w:t>
      </w:r>
      <w:r>
        <w:rPr>
          <w:color w:val="000000"/>
          <w:sz w:val="22"/>
          <w:szCs w:val="22"/>
        </w:rPr>
        <w:t>.</w:t>
      </w:r>
    </w:p>
    <w:p w:rsidR="0077529E" w:rsidP="000612BD" w14:paraId="3962A598" w14:textId="1877809A">
      <w:pPr>
        <w:keepLines/>
        <w:tabs>
          <w:tab w:val="left" w:pos="360"/>
        </w:tabs>
        <w:spacing w:after="80"/>
        <w:ind w:left="360"/>
        <w:rPr>
          <w:color w:val="000000"/>
          <w:sz w:val="22"/>
          <w:szCs w:val="22"/>
        </w:rPr>
      </w:pPr>
    </w:p>
    <w:p w:rsidR="0077529E" w:rsidRPr="000014AF" w:rsidP="000612BD" w14:paraId="3B8D5941" w14:textId="749C4138">
      <w:pPr>
        <w:keepLines/>
        <w:tabs>
          <w:tab w:val="left" w:pos="360"/>
        </w:tabs>
        <w:spacing w:after="80"/>
        <w:ind w:left="360"/>
        <w:rPr>
          <w:color w:val="000000"/>
          <w:sz w:val="22"/>
          <w:szCs w:val="22"/>
          <w:u w:val="single"/>
        </w:rPr>
      </w:pPr>
      <w:r w:rsidRPr="000014AF">
        <w:rPr>
          <w:color w:val="000000"/>
          <w:sz w:val="22"/>
          <w:szCs w:val="22"/>
          <w:u w:val="single"/>
        </w:rPr>
        <w:t>Kirk Shirley, Head of Strategic Partnerships – Americas, CAB International</w:t>
      </w:r>
    </w:p>
    <w:p w:rsidR="0077529E" w:rsidP="000612BD" w14:paraId="297EF662" w14:textId="65BBB423">
      <w:pPr>
        <w:keepLines/>
        <w:tabs>
          <w:tab w:val="left" w:pos="360"/>
        </w:tabs>
        <w:spacing w:after="80"/>
        <w:ind w:left="360"/>
        <w:rPr>
          <w:color w:val="000000"/>
          <w:sz w:val="22"/>
          <w:szCs w:val="22"/>
        </w:rPr>
      </w:pPr>
      <w:r w:rsidRPr="0077529E">
        <w:rPr>
          <w:color w:val="000000"/>
          <w:sz w:val="22"/>
          <w:szCs w:val="22"/>
        </w:rPr>
        <w:t xml:space="preserve">It is worth noting that there is quite a bit of variance between proposals, and </w:t>
      </w:r>
      <w:r w:rsidR="00EE638F">
        <w:rPr>
          <w:color w:val="000000"/>
          <w:sz w:val="22"/>
          <w:szCs w:val="22"/>
        </w:rPr>
        <w:t>CABI suspects</w:t>
      </w:r>
      <w:r w:rsidRPr="0077529E">
        <w:rPr>
          <w:color w:val="000000"/>
          <w:sz w:val="22"/>
          <w:szCs w:val="22"/>
        </w:rPr>
        <w:t xml:space="preserve"> some entities have different processes that have less or more eyes on proposals. </w:t>
      </w:r>
      <w:r>
        <w:rPr>
          <w:color w:val="000000"/>
          <w:sz w:val="22"/>
          <w:szCs w:val="22"/>
        </w:rPr>
        <w:t>CABI</w:t>
      </w:r>
      <w:r w:rsidRPr="0077529E">
        <w:rPr>
          <w:color w:val="000000"/>
          <w:sz w:val="22"/>
          <w:szCs w:val="22"/>
        </w:rPr>
        <w:t xml:space="preserve"> for example ha</w:t>
      </w:r>
      <w:r>
        <w:rPr>
          <w:color w:val="000000"/>
          <w:sz w:val="22"/>
          <w:szCs w:val="22"/>
        </w:rPr>
        <w:t>s</w:t>
      </w:r>
      <w:r w:rsidRPr="0077529E">
        <w:rPr>
          <w:color w:val="000000"/>
          <w:sz w:val="22"/>
          <w:szCs w:val="22"/>
        </w:rPr>
        <w:t xml:space="preserve"> a very formal internal process for drafting, reviewing, verification with internal controls and mission, and approving proposals and associated documents before they can be submitted, so lots of people involved.  </w:t>
      </w:r>
      <w:r w:rsidR="00EE638F">
        <w:rPr>
          <w:color w:val="000000"/>
          <w:sz w:val="22"/>
          <w:szCs w:val="22"/>
        </w:rPr>
        <w:t>CABI</w:t>
      </w:r>
      <w:r w:rsidRPr="0077529E">
        <w:rPr>
          <w:color w:val="000000"/>
          <w:sz w:val="22"/>
          <w:szCs w:val="22"/>
        </w:rPr>
        <w:t xml:space="preserve"> also note</w:t>
      </w:r>
      <w:r w:rsidR="00EE638F">
        <w:rPr>
          <w:color w:val="000000"/>
          <w:sz w:val="22"/>
          <w:szCs w:val="22"/>
        </w:rPr>
        <w:t>s</w:t>
      </w:r>
      <w:r w:rsidRPr="0077529E">
        <w:rPr>
          <w:color w:val="000000"/>
          <w:sz w:val="22"/>
          <w:szCs w:val="22"/>
        </w:rPr>
        <w:t xml:space="preserve"> that FAS is not the wors</w:t>
      </w:r>
      <w:r>
        <w:rPr>
          <w:color w:val="000000"/>
          <w:sz w:val="22"/>
          <w:szCs w:val="22"/>
        </w:rPr>
        <w:t>t</w:t>
      </w:r>
      <w:r w:rsidRPr="0077529E">
        <w:rPr>
          <w:color w:val="000000"/>
          <w:sz w:val="22"/>
          <w:szCs w:val="22"/>
        </w:rPr>
        <w:t xml:space="preserve"> nor the best, somewhere in the middle, even compared to other USDA agencies (APHIS, ARS, NIFA, FS, etc.). For example, </w:t>
      </w:r>
      <w:r w:rsidR="00EE638F">
        <w:rPr>
          <w:color w:val="000000"/>
          <w:sz w:val="22"/>
          <w:szCs w:val="22"/>
        </w:rPr>
        <w:t>CABI</w:t>
      </w:r>
      <w:r w:rsidRPr="0077529E">
        <w:rPr>
          <w:color w:val="000000"/>
          <w:sz w:val="22"/>
          <w:szCs w:val="22"/>
        </w:rPr>
        <w:t xml:space="preserve"> probably spent a combined 250 hours on </w:t>
      </w:r>
      <w:r w:rsidR="00EE638F">
        <w:rPr>
          <w:color w:val="000000"/>
          <w:sz w:val="22"/>
          <w:szCs w:val="22"/>
        </w:rPr>
        <w:t>their</w:t>
      </w:r>
      <w:r w:rsidRPr="0077529E">
        <w:rPr>
          <w:color w:val="000000"/>
          <w:sz w:val="22"/>
          <w:szCs w:val="22"/>
        </w:rPr>
        <w:t xml:space="preserve"> last </w:t>
      </w:r>
      <w:r>
        <w:rPr>
          <w:color w:val="000000"/>
          <w:sz w:val="22"/>
          <w:szCs w:val="22"/>
        </w:rPr>
        <w:t>USDA/</w:t>
      </w:r>
      <w:r w:rsidRPr="0077529E">
        <w:rPr>
          <w:color w:val="000000"/>
          <w:sz w:val="22"/>
          <w:szCs w:val="22"/>
        </w:rPr>
        <w:t>NIFA narrative.</w:t>
      </w:r>
    </w:p>
    <w:p w:rsidR="0077529E" w:rsidP="000612BD" w14:paraId="4903A3D9" w14:textId="2B8E0149">
      <w:pPr>
        <w:keepLines/>
        <w:tabs>
          <w:tab w:val="left" w:pos="360"/>
        </w:tabs>
        <w:spacing w:after="80"/>
        <w:ind w:left="360"/>
        <w:rPr>
          <w:color w:val="000000"/>
          <w:sz w:val="22"/>
          <w:szCs w:val="22"/>
        </w:rPr>
      </w:pPr>
      <w:r>
        <w:rPr>
          <w:color w:val="000000"/>
          <w:sz w:val="22"/>
          <w:szCs w:val="22"/>
        </w:rPr>
        <w:t>CABI estimates that it takes 90 hours on average to write, edit, and submit a project narrative; 20 hours on average to write, edit, and submit a budget narrative; and 30 hours on average to write, edit, and submit a performance report; at an average cos</w:t>
      </w:r>
      <w:r w:rsidRPr="00F94684">
        <w:rPr>
          <w:color w:val="000000"/>
          <w:sz w:val="22"/>
          <w:szCs w:val="22"/>
        </w:rPr>
        <w:t>t of $30/hour.</w:t>
      </w:r>
    </w:p>
    <w:p w:rsidR="009773A6" w:rsidP="000612BD" w14:paraId="01D42544" w14:textId="42A649B7">
      <w:pPr>
        <w:keepLines/>
        <w:tabs>
          <w:tab w:val="left" w:pos="360"/>
        </w:tabs>
        <w:spacing w:after="80"/>
        <w:ind w:left="360"/>
        <w:rPr>
          <w:color w:val="000000"/>
          <w:sz w:val="22"/>
          <w:szCs w:val="22"/>
        </w:rPr>
      </w:pPr>
    </w:p>
    <w:p w:rsidR="009773A6" w:rsidRPr="000014AF" w:rsidP="000612BD" w14:paraId="1E885D30" w14:textId="21983A7E">
      <w:pPr>
        <w:keepLines/>
        <w:tabs>
          <w:tab w:val="left" w:pos="360"/>
        </w:tabs>
        <w:spacing w:after="80"/>
        <w:ind w:left="360"/>
        <w:rPr>
          <w:color w:val="000000"/>
          <w:sz w:val="22"/>
          <w:szCs w:val="22"/>
          <w:u w:val="single"/>
        </w:rPr>
      </w:pPr>
      <w:r>
        <w:rPr>
          <w:color w:val="000000"/>
          <w:sz w:val="22"/>
          <w:szCs w:val="22"/>
          <w:u w:val="single"/>
        </w:rPr>
        <w:t>Sean Lawrie, Associate Director, Visiting International Professional Program, Michigan State University</w:t>
      </w:r>
    </w:p>
    <w:p w:rsidR="009773A6" w:rsidRPr="009773A6" w:rsidP="009773A6" w14:paraId="66D6BDC4" w14:textId="77777777">
      <w:pPr>
        <w:keepLines/>
        <w:tabs>
          <w:tab w:val="left" w:pos="360"/>
        </w:tabs>
        <w:spacing w:after="80"/>
        <w:ind w:left="360"/>
        <w:rPr>
          <w:color w:val="000000"/>
          <w:sz w:val="22"/>
          <w:szCs w:val="22"/>
        </w:rPr>
      </w:pPr>
      <w:r w:rsidRPr="009773A6">
        <w:rPr>
          <w:color w:val="000000"/>
          <w:sz w:val="22"/>
          <w:szCs w:val="22"/>
        </w:rPr>
        <w:t>The project narrative comes from the faculty, and some programs different numbers of moving parts and often times involving external partners. Much communication is necessary and it is common for changes to be made all the way to submission based on program personnel/facility availability. The faculty I work with are usually able to crank this out pretty quickly and I would be shocked it was more than 1-2 full work days (8-16 hours), plus maybe say 30-90 minutes for editing and the non-technical language that is included in a proposal.</w:t>
      </w:r>
    </w:p>
    <w:p w:rsidR="009773A6" w:rsidRPr="009773A6" w:rsidP="009773A6" w14:paraId="573AE7CF" w14:textId="77777777">
      <w:pPr>
        <w:keepLines/>
        <w:tabs>
          <w:tab w:val="left" w:pos="360"/>
        </w:tabs>
        <w:spacing w:after="80"/>
        <w:ind w:left="360"/>
        <w:rPr>
          <w:color w:val="000000"/>
          <w:sz w:val="22"/>
          <w:szCs w:val="22"/>
        </w:rPr>
      </w:pPr>
    </w:p>
    <w:p w:rsidR="009773A6" w:rsidRPr="009773A6" w:rsidP="009773A6" w14:paraId="09DBE7B7" w14:textId="77777777">
      <w:pPr>
        <w:keepLines/>
        <w:tabs>
          <w:tab w:val="left" w:pos="360"/>
        </w:tabs>
        <w:spacing w:after="80"/>
        <w:ind w:left="360"/>
        <w:rPr>
          <w:color w:val="000000"/>
          <w:sz w:val="22"/>
          <w:szCs w:val="22"/>
        </w:rPr>
      </w:pPr>
      <w:r w:rsidRPr="009773A6">
        <w:rPr>
          <w:color w:val="000000"/>
          <w:sz w:val="22"/>
          <w:szCs w:val="22"/>
        </w:rPr>
        <w:t>I do the heavy lifting on the budget and budget narrative, and would say takes me around 2-4 hours for both. This would also include time needed for any edits after the Office of Sponsored Programs does its review. The airfare, per diem, and lodging is very quick and easy and the parts that take the most time are personnel costs (salary and fringe), laboratory supplies &amp; materials, or more unusual things like facility usage and university vans needed for the entire time so mileage needs to be sorted out.</w:t>
      </w:r>
    </w:p>
    <w:p w:rsidR="009773A6" w:rsidRPr="009773A6" w:rsidP="009773A6" w14:paraId="54550017" w14:textId="77777777">
      <w:pPr>
        <w:keepLines/>
        <w:tabs>
          <w:tab w:val="left" w:pos="360"/>
        </w:tabs>
        <w:spacing w:after="80"/>
        <w:ind w:left="360"/>
        <w:rPr>
          <w:color w:val="000000"/>
          <w:sz w:val="22"/>
          <w:szCs w:val="22"/>
        </w:rPr>
      </w:pPr>
    </w:p>
    <w:p w:rsidR="009773A6" w:rsidRPr="009773A6" w:rsidP="009773A6" w14:paraId="5BF15D6D" w14:textId="77777777">
      <w:pPr>
        <w:keepLines/>
        <w:tabs>
          <w:tab w:val="left" w:pos="360"/>
        </w:tabs>
        <w:spacing w:after="80"/>
        <w:ind w:left="360"/>
        <w:rPr>
          <w:color w:val="000000"/>
          <w:sz w:val="22"/>
          <w:szCs w:val="22"/>
        </w:rPr>
      </w:pPr>
      <w:r w:rsidRPr="009773A6">
        <w:rPr>
          <w:color w:val="000000"/>
          <w:sz w:val="22"/>
          <w:szCs w:val="22"/>
        </w:rPr>
        <w:t>It takes no more than a few minutes to complete a performance report, however, that is because I typically do not include much detail in the bi-annual progress reports. I have always operated on the premise (with some feedback from FAS program personnel awhile throughout) that an excessive amount of detail is not expected in the progress reports and that the final report is the key. I suspect that other universities might include more detail (certainly nothing wrong with that and perhaps this is what is preferred now) but I would be shocked if this took more than 1 hour for anyone, including the feedback offered by the faculty.</w:t>
      </w:r>
    </w:p>
    <w:p w:rsidR="009773A6" w:rsidRPr="009773A6" w:rsidP="009773A6" w14:paraId="559A0E17" w14:textId="77777777">
      <w:pPr>
        <w:keepLines/>
        <w:tabs>
          <w:tab w:val="left" w:pos="360"/>
        </w:tabs>
        <w:spacing w:after="80"/>
        <w:ind w:left="360"/>
        <w:rPr>
          <w:color w:val="000000"/>
          <w:sz w:val="22"/>
          <w:szCs w:val="22"/>
        </w:rPr>
      </w:pPr>
    </w:p>
    <w:p w:rsidR="009773A6" w:rsidP="009773A6" w14:paraId="0066CB2D" w14:textId="121B6CFD">
      <w:pPr>
        <w:keepLines/>
        <w:tabs>
          <w:tab w:val="left" w:pos="360"/>
        </w:tabs>
        <w:spacing w:after="80"/>
        <w:ind w:left="360"/>
        <w:rPr>
          <w:color w:val="000000"/>
          <w:sz w:val="22"/>
          <w:szCs w:val="22"/>
        </w:rPr>
      </w:pPr>
      <w:r w:rsidRPr="009773A6">
        <w:rPr>
          <w:color w:val="000000"/>
          <w:sz w:val="22"/>
          <w:szCs w:val="22"/>
        </w:rPr>
        <w:t>For many of these programs, the only personnel involved in these activities are the coordinato</w:t>
      </w:r>
      <w:r w:rsidRPr="00F94684">
        <w:rPr>
          <w:color w:val="000000"/>
          <w:sz w:val="22"/>
          <w:szCs w:val="22"/>
        </w:rPr>
        <w:t>r ($26-35/hour) and the technical lead ($35-87/hour).</w:t>
      </w:r>
    </w:p>
    <w:p w:rsidR="000055F7" w:rsidP="009773A6" w14:paraId="77DE1FF1" w14:textId="77777777">
      <w:pPr>
        <w:keepLines/>
        <w:tabs>
          <w:tab w:val="left" w:pos="360"/>
        </w:tabs>
        <w:spacing w:after="80"/>
        <w:ind w:left="360"/>
        <w:rPr>
          <w:color w:val="000000"/>
          <w:sz w:val="22"/>
          <w:szCs w:val="22"/>
        </w:rPr>
      </w:pPr>
    </w:p>
    <w:p w:rsidR="000055F7" w:rsidRPr="000014AF" w:rsidP="009773A6" w14:paraId="4A0F6BAF" w14:textId="3F65A09C">
      <w:pPr>
        <w:keepLines/>
        <w:tabs>
          <w:tab w:val="left" w:pos="360"/>
        </w:tabs>
        <w:spacing w:after="80"/>
        <w:ind w:left="360"/>
        <w:rPr>
          <w:color w:val="000000"/>
          <w:sz w:val="22"/>
          <w:szCs w:val="22"/>
          <w:u w:val="single"/>
        </w:rPr>
      </w:pPr>
      <w:r w:rsidRPr="000014AF">
        <w:rPr>
          <w:color w:val="000000"/>
          <w:sz w:val="22"/>
          <w:szCs w:val="22"/>
          <w:u w:val="single"/>
        </w:rPr>
        <w:t xml:space="preserve">Jeri Lou Zimmerman, Director </w:t>
      </w:r>
      <w:r w:rsidRPr="000014AF" w:rsidR="00D771DA">
        <w:rPr>
          <w:color w:val="000000"/>
          <w:sz w:val="22"/>
          <w:szCs w:val="22"/>
          <w:u w:val="single"/>
        </w:rPr>
        <w:t>of Grants Office, University of Missouri College of Agriculture</w:t>
      </w:r>
    </w:p>
    <w:p w:rsidR="00D771DA" w:rsidRPr="00D771DA" w:rsidP="00D771DA" w14:paraId="3E8057E4" w14:textId="1B0FDE11">
      <w:pPr>
        <w:keepLines/>
        <w:tabs>
          <w:tab w:val="left" w:pos="360"/>
        </w:tabs>
        <w:spacing w:after="80"/>
        <w:ind w:left="360"/>
        <w:rPr>
          <w:color w:val="000000"/>
          <w:sz w:val="22"/>
          <w:szCs w:val="22"/>
        </w:rPr>
      </w:pPr>
      <w:r w:rsidRPr="00D771DA">
        <w:rPr>
          <w:color w:val="000000"/>
          <w:sz w:val="22"/>
          <w:szCs w:val="22"/>
        </w:rPr>
        <w:t xml:space="preserve">I’m just going to say it off the top…It </w:t>
      </w:r>
      <w:r w:rsidR="00A20F12">
        <w:rPr>
          <w:color w:val="000000"/>
          <w:sz w:val="22"/>
          <w:szCs w:val="22"/>
        </w:rPr>
        <w:t>d</w:t>
      </w:r>
      <w:r w:rsidRPr="00D771DA">
        <w:rPr>
          <w:color w:val="000000"/>
          <w:sz w:val="22"/>
          <w:szCs w:val="22"/>
        </w:rPr>
        <w:t>epends on:</w:t>
      </w:r>
    </w:p>
    <w:p w:rsidR="00D771DA" w:rsidRPr="00D771DA" w:rsidP="00D771DA" w14:paraId="30BE4136" w14:textId="03702B0D">
      <w:pPr>
        <w:keepLines/>
        <w:tabs>
          <w:tab w:val="left" w:pos="360"/>
        </w:tabs>
        <w:spacing w:after="80"/>
        <w:ind w:left="360"/>
        <w:rPr>
          <w:color w:val="000000"/>
          <w:sz w:val="22"/>
          <w:szCs w:val="22"/>
        </w:rPr>
      </w:pPr>
      <w:r>
        <w:rPr>
          <w:color w:val="000000"/>
          <w:sz w:val="22"/>
          <w:szCs w:val="22"/>
        </w:rPr>
        <w:tab/>
      </w:r>
      <w:r w:rsidRPr="00D771DA">
        <w:rPr>
          <w:color w:val="000000"/>
          <w:sz w:val="22"/>
          <w:szCs w:val="22"/>
        </w:rPr>
        <w:t>•</w:t>
      </w:r>
      <w:r>
        <w:rPr>
          <w:color w:val="000000"/>
          <w:sz w:val="22"/>
          <w:szCs w:val="22"/>
        </w:rPr>
        <w:t xml:space="preserve"> </w:t>
      </w:r>
      <w:r w:rsidRPr="00D771DA">
        <w:rPr>
          <w:color w:val="000000"/>
          <w:sz w:val="22"/>
          <w:szCs w:val="22"/>
        </w:rPr>
        <w:t>Which project</w:t>
      </w:r>
      <w:r>
        <w:rPr>
          <w:color w:val="000000"/>
          <w:sz w:val="22"/>
          <w:szCs w:val="22"/>
        </w:rPr>
        <w:t xml:space="preserve"> (some are simpler</w:t>
      </w:r>
      <w:r w:rsidR="00A20F12">
        <w:rPr>
          <w:color w:val="000000"/>
          <w:sz w:val="22"/>
          <w:szCs w:val="22"/>
        </w:rPr>
        <w:t xml:space="preserve"> or more complex</w:t>
      </w:r>
      <w:r>
        <w:rPr>
          <w:color w:val="000000"/>
          <w:sz w:val="22"/>
          <w:szCs w:val="22"/>
        </w:rPr>
        <w:t xml:space="preserve"> than others)</w:t>
      </w:r>
      <w:r w:rsidRPr="00D771DA">
        <w:rPr>
          <w:color w:val="000000"/>
          <w:sz w:val="22"/>
          <w:szCs w:val="22"/>
        </w:rPr>
        <w:t>.</w:t>
      </w:r>
    </w:p>
    <w:p w:rsidR="00D771DA" w:rsidRPr="00D771DA" w:rsidP="00D771DA" w14:paraId="0DD873A3" w14:textId="1B92ED81">
      <w:pPr>
        <w:keepLines/>
        <w:tabs>
          <w:tab w:val="left" w:pos="360"/>
        </w:tabs>
        <w:spacing w:after="80"/>
        <w:ind w:left="360"/>
        <w:rPr>
          <w:color w:val="000000"/>
          <w:sz w:val="22"/>
          <w:szCs w:val="22"/>
        </w:rPr>
      </w:pPr>
      <w:r>
        <w:rPr>
          <w:color w:val="000000"/>
          <w:sz w:val="22"/>
          <w:szCs w:val="22"/>
        </w:rPr>
        <w:tab/>
      </w:r>
      <w:r w:rsidRPr="00D771DA">
        <w:rPr>
          <w:color w:val="000000"/>
          <w:sz w:val="22"/>
          <w:szCs w:val="22"/>
        </w:rPr>
        <w:t>•</w:t>
      </w:r>
      <w:r>
        <w:rPr>
          <w:color w:val="000000"/>
          <w:sz w:val="22"/>
          <w:szCs w:val="22"/>
        </w:rPr>
        <w:t xml:space="preserve"> </w:t>
      </w:r>
      <w:r w:rsidRPr="00D771DA">
        <w:rPr>
          <w:color w:val="000000"/>
          <w:sz w:val="22"/>
          <w:szCs w:val="22"/>
        </w:rPr>
        <w:t>How involved they are.</w:t>
      </w:r>
    </w:p>
    <w:p w:rsidR="00D771DA" w:rsidRPr="00D771DA" w:rsidP="00D771DA" w14:paraId="71DBB2E1" w14:textId="06B81AE7">
      <w:pPr>
        <w:keepLines/>
        <w:tabs>
          <w:tab w:val="left" w:pos="360"/>
        </w:tabs>
        <w:spacing w:after="80"/>
        <w:ind w:left="360"/>
        <w:rPr>
          <w:color w:val="000000"/>
          <w:sz w:val="22"/>
          <w:szCs w:val="22"/>
        </w:rPr>
      </w:pPr>
      <w:r>
        <w:rPr>
          <w:color w:val="000000"/>
          <w:sz w:val="22"/>
          <w:szCs w:val="22"/>
        </w:rPr>
        <w:tab/>
      </w:r>
      <w:r w:rsidRPr="00D771DA">
        <w:rPr>
          <w:color w:val="000000"/>
          <w:sz w:val="22"/>
          <w:szCs w:val="22"/>
        </w:rPr>
        <w:t>•</w:t>
      </w:r>
      <w:r>
        <w:rPr>
          <w:color w:val="000000"/>
          <w:sz w:val="22"/>
          <w:szCs w:val="22"/>
        </w:rPr>
        <w:t xml:space="preserve"> </w:t>
      </w:r>
      <w:r w:rsidRPr="00D771DA">
        <w:rPr>
          <w:color w:val="000000"/>
          <w:sz w:val="22"/>
          <w:szCs w:val="22"/>
        </w:rPr>
        <w:t>How long Sponsored Programs wants to argue about something during their review.</w:t>
      </w:r>
    </w:p>
    <w:p w:rsidR="00D771DA" w:rsidRPr="00D771DA" w:rsidP="00D771DA" w14:paraId="4BA48144" w14:textId="6C840B94">
      <w:pPr>
        <w:keepLines/>
        <w:tabs>
          <w:tab w:val="left" w:pos="360"/>
        </w:tabs>
        <w:spacing w:after="80"/>
        <w:ind w:left="360"/>
        <w:rPr>
          <w:color w:val="000000"/>
          <w:sz w:val="22"/>
          <w:szCs w:val="22"/>
        </w:rPr>
      </w:pPr>
      <w:r w:rsidRPr="00D771DA">
        <w:rPr>
          <w:color w:val="000000"/>
          <w:sz w:val="22"/>
          <w:szCs w:val="22"/>
        </w:rPr>
        <w:t xml:space="preserve">That being said, our information below is for Training and Technical Assistance Projects. </w:t>
      </w:r>
      <w:r w:rsidR="006B0A4D">
        <w:rPr>
          <w:color w:val="000000"/>
          <w:sz w:val="22"/>
          <w:szCs w:val="22"/>
        </w:rPr>
        <w:t xml:space="preserve">This includes the </w:t>
      </w:r>
      <w:r w:rsidRPr="00D771DA">
        <w:rPr>
          <w:color w:val="000000"/>
          <w:sz w:val="22"/>
          <w:szCs w:val="22"/>
        </w:rPr>
        <w:t xml:space="preserve">programmatic people’s information, my processing through Sponsored Programs Submission as revise/submission, then the total. </w:t>
      </w:r>
    </w:p>
    <w:p w:rsidR="00D771DA" w:rsidRPr="00D771DA" w:rsidP="00D771DA" w14:paraId="00FFF290" w14:textId="77777777">
      <w:pPr>
        <w:keepLines/>
        <w:tabs>
          <w:tab w:val="left" w:pos="360"/>
        </w:tabs>
        <w:spacing w:after="80"/>
        <w:ind w:left="360"/>
        <w:rPr>
          <w:color w:val="000000"/>
          <w:sz w:val="22"/>
          <w:szCs w:val="22"/>
        </w:rPr>
      </w:pPr>
    </w:p>
    <w:p w:rsidR="00D771DA" w:rsidRPr="00D771DA" w:rsidP="00D771DA" w14:paraId="76091E27" w14:textId="6387F60C">
      <w:pPr>
        <w:keepLines/>
        <w:tabs>
          <w:tab w:val="left" w:pos="360"/>
        </w:tabs>
        <w:spacing w:after="80"/>
        <w:ind w:left="360"/>
        <w:rPr>
          <w:color w:val="000000"/>
          <w:sz w:val="22"/>
          <w:szCs w:val="22"/>
        </w:rPr>
      </w:pPr>
      <w:r>
        <w:rPr>
          <w:color w:val="000000"/>
          <w:sz w:val="22"/>
          <w:szCs w:val="22"/>
        </w:rPr>
        <w:tab/>
      </w:r>
      <w:r w:rsidRPr="00D771DA">
        <w:rPr>
          <w:color w:val="000000"/>
          <w:sz w:val="22"/>
          <w:szCs w:val="22"/>
        </w:rPr>
        <w:t>•</w:t>
      </w:r>
      <w:r>
        <w:rPr>
          <w:color w:val="000000"/>
          <w:sz w:val="22"/>
          <w:szCs w:val="22"/>
        </w:rPr>
        <w:t xml:space="preserve"> </w:t>
      </w:r>
      <w:r w:rsidRPr="00D771DA">
        <w:rPr>
          <w:color w:val="000000"/>
          <w:sz w:val="22"/>
          <w:szCs w:val="22"/>
        </w:rPr>
        <w:t>31 total hours</w:t>
      </w:r>
      <w:r>
        <w:rPr>
          <w:color w:val="000000"/>
          <w:sz w:val="22"/>
          <w:szCs w:val="22"/>
        </w:rPr>
        <w:t xml:space="preserve"> for the project narrative</w:t>
      </w:r>
    </w:p>
    <w:p w:rsidR="00D771DA" w:rsidRPr="00D771DA" w:rsidP="00D771DA" w14:paraId="56D6C5F0" w14:textId="51A8677B">
      <w:pPr>
        <w:keepLines/>
        <w:tabs>
          <w:tab w:val="left" w:pos="360"/>
        </w:tabs>
        <w:spacing w:after="80"/>
        <w:ind w:left="360"/>
        <w:rPr>
          <w:color w:val="000000"/>
          <w:sz w:val="22"/>
          <w:szCs w:val="22"/>
        </w:rPr>
      </w:pPr>
      <w:r>
        <w:rPr>
          <w:color w:val="000000"/>
          <w:sz w:val="22"/>
          <w:szCs w:val="22"/>
        </w:rPr>
        <w:tab/>
      </w:r>
      <w:r w:rsidRPr="00D771DA">
        <w:rPr>
          <w:color w:val="000000"/>
          <w:sz w:val="22"/>
          <w:szCs w:val="22"/>
        </w:rPr>
        <w:t>•</w:t>
      </w:r>
      <w:r>
        <w:rPr>
          <w:color w:val="000000"/>
          <w:sz w:val="22"/>
          <w:szCs w:val="22"/>
        </w:rPr>
        <w:t xml:space="preserve"> </w:t>
      </w:r>
      <w:r w:rsidRPr="00D771DA">
        <w:rPr>
          <w:color w:val="000000"/>
          <w:sz w:val="22"/>
          <w:szCs w:val="22"/>
        </w:rPr>
        <w:t>12 total hours</w:t>
      </w:r>
      <w:r>
        <w:rPr>
          <w:color w:val="000000"/>
          <w:sz w:val="22"/>
          <w:szCs w:val="22"/>
        </w:rPr>
        <w:t xml:space="preserve"> for the budget narrative</w:t>
      </w:r>
    </w:p>
    <w:p w:rsidR="00D771DA" w:rsidRPr="00D771DA" w:rsidP="00D771DA" w14:paraId="087472AA" w14:textId="1CB98092">
      <w:pPr>
        <w:keepLines/>
        <w:tabs>
          <w:tab w:val="left" w:pos="360"/>
        </w:tabs>
        <w:spacing w:after="80"/>
        <w:ind w:left="360"/>
        <w:rPr>
          <w:color w:val="000000"/>
          <w:sz w:val="22"/>
          <w:szCs w:val="22"/>
        </w:rPr>
      </w:pPr>
      <w:r>
        <w:rPr>
          <w:color w:val="000000"/>
          <w:sz w:val="22"/>
          <w:szCs w:val="22"/>
        </w:rPr>
        <w:tab/>
      </w:r>
      <w:r w:rsidRPr="00D771DA">
        <w:rPr>
          <w:color w:val="000000"/>
          <w:sz w:val="22"/>
          <w:szCs w:val="22"/>
        </w:rPr>
        <w:t>•</w:t>
      </w:r>
      <w:r>
        <w:rPr>
          <w:color w:val="000000"/>
          <w:sz w:val="22"/>
          <w:szCs w:val="22"/>
        </w:rPr>
        <w:t xml:space="preserve"> </w:t>
      </w:r>
      <w:r w:rsidRPr="00D771DA">
        <w:rPr>
          <w:color w:val="000000"/>
          <w:sz w:val="22"/>
          <w:szCs w:val="22"/>
        </w:rPr>
        <w:t>9 total hours</w:t>
      </w:r>
      <w:r>
        <w:rPr>
          <w:color w:val="000000"/>
          <w:sz w:val="22"/>
          <w:szCs w:val="22"/>
        </w:rPr>
        <w:t xml:space="preserve"> for the performance progress reporting</w:t>
      </w:r>
    </w:p>
    <w:p w:rsidR="00D771DA" w:rsidP="00D771DA" w14:paraId="42FB8ADC" w14:textId="3DF434C0">
      <w:pPr>
        <w:keepLines/>
        <w:tabs>
          <w:tab w:val="left" w:pos="360"/>
        </w:tabs>
        <w:spacing w:after="80"/>
        <w:ind w:left="360"/>
        <w:rPr>
          <w:color w:val="000000"/>
          <w:sz w:val="22"/>
          <w:szCs w:val="22"/>
        </w:rPr>
      </w:pPr>
      <w:r>
        <w:rPr>
          <w:color w:val="000000"/>
          <w:sz w:val="22"/>
          <w:szCs w:val="22"/>
        </w:rPr>
        <w:tab/>
      </w:r>
      <w:r w:rsidRPr="00D771DA">
        <w:rPr>
          <w:color w:val="000000"/>
          <w:sz w:val="22"/>
          <w:szCs w:val="22"/>
        </w:rPr>
        <w:t>•</w:t>
      </w:r>
      <w:r>
        <w:rPr>
          <w:color w:val="000000"/>
          <w:sz w:val="22"/>
          <w:szCs w:val="22"/>
        </w:rPr>
        <w:t xml:space="preserve"> Average hourly rate of pay for personnel concerned is</w:t>
      </w:r>
      <w:r w:rsidRPr="00D771DA">
        <w:rPr>
          <w:color w:val="000000"/>
          <w:sz w:val="22"/>
          <w:szCs w:val="22"/>
        </w:rPr>
        <w:t xml:space="preserve"> </w:t>
      </w:r>
      <w:r w:rsidRPr="00F94684">
        <w:rPr>
          <w:color w:val="000000"/>
          <w:sz w:val="22"/>
          <w:szCs w:val="22"/>
        </w:rPr>
        <w:t>$36.96</w:t>
      </w:r>
    </w:p>
    <w:p w:rsidR="00173994" w:rsidP="00173994" w14:paraId="338DB1B9" w14:textId="77777777">
      <w:pPr>
        <w:keepLines/>
        <w:tabs>
          <w:tab w:val="left" w:pos="360"/>
        </w:tabs>
        <w:spacing w:after="80"/>
        <w:rPr>
          <w:color w:val="000000"/>
          <w:sz w:val="22"/>
          <w:szCs w:val="22"/>
        </w:rPr>
      </w:pPr>
    </w:p>
    <w:p w:rsidR="00173994" w:rsidRPr="000014AF" w:rsidP="00173994" w14:paraId="18BDDFCF" w14:textId="51221934">
      <w:pPr>
        <w:keepLines/>
        <w:tabs>
          <w:tab w:val="left" w:pos="360"/>
        </w:tabs>
        <w:spacing w:after="80"/>
        <w:rPr>
          <w:color w:val="000000"/>
          <w:sz w:val="22"/>
          <w:szCs w:val="22"/>
          <w:u w:val="single"/>
        </w:rPr>
      </w:pPr>
      <w:r w:rsidRPr="000014AF">
        <w:rPr>
          <w:color w:val="000000"/>
          <w:sz w:val="22"/>
          <w:szCs w:val="22"/>
          <w:u w:val="single"/>
        </w:rPr>
        <w:t xml:space="preserve">José Urdaz, </w:t>
      </w:r>
      <w:r w:rsidRPr="000014AF" w:rsidR="00A76E7B">
        <w:rPr>
          <w:color w:val="000000"/>
          <w:sz w:val="22"/>
          <w:szCs w:val="22"/>
          <w:u w:val="single"/>
        </w:rPr>
        <w:t>AHFS Manager, InterAmerican Institute for Cooperation on Agriculture</w:t>
      </w:r>
    </w:p>
    <w:p w:rsidR="00A76E7B" w:rsidRPr="00185122" w:rsidP="00A76E7B" w14:paraId="7A7EE20E" w14:textId="19A61B3A">
      <w:pPr>
        <w:pStyle w:val="ListParagraph"/>
        <w:keepLines/>
        <w:numPr>
          <w:ilvl w:val="0"/>
          <w:numId w:val="46"/>
        </w:numPr>
        <w:tabs>
          <w:tab w:val="left" w:pos="360"/>
        </w:tabs>
        <w:spacing w:after="80"/>
        <w:rPr>
          <w:rFonts w:ascii="Times New Roman" w:hAnsi="Times New Roman"/>
          <w:color w:val="000000"/>
        </w:rPr>
      </w:pPr>
      <w:r w:rsidRPr="00185122">
        <w:rPr>
          <w:rFonts w:ascii="Times New Roman" w:hAnsi="Times New Roman"/>
          <w:color w:val="000000"/>
        </w:rPr>
        <w:t>20-27</w:t>
      </w:r>
      <w:r w:rsidRPr="00185122">
        <w:rPr>
          <w:rFonts w:ascii="Times New Roman" w:hAnsi="Times New Roman"/>
          <w:color w:val="000000"/>
        </w:rPr>
        <w:t xml:space="preserve"> hours for the project narrative</w:t>
      </w:r>
    </w:p>
    <w:p w:rsidR="00A76E7B" w:rsidRPr="00185122" w:rsidP="00A76E7B" w14:paraId="4379A5D4" w14:textId="49DD3A8A">
      <w:pPr>
        <w:pStyle w:val="ListParagraph"/>
        <w:keepLines/>
        <w:numPr>
          <w:ilvl w:val="0"/>
          <w:numId w:val="46"/>
        </w:numPr>
        <w:tabs>
          <w:tab w:val="left" w:pos="360"/>
        </w:tabs>
        <w:spacing w:after="80"/>
        <w:rPr>
          <w:rFonts w:ascii="Times New Roman" w:hAnsi="Times New Roman"/>
          <w:color w:val="000000"/>
        </w:rPr>
      </w:pPr>
      <w:r w:rsidRPr="00185122">
        <w:rPr>
          <w:rFonts w:ascii="Times New Roman" w:hAnsi="Times New Roman"/>
          <w:color w:val="000000"/>
        </w:rPr>
        <w:t>15-2</w:t>
      </w:r>
      <w:r w:rsidRPr="00185122" w:rsidR="00185122">
        <w:rPr>
          <w:rFonts w:ascii="Times New Roman" w:hAnsi="Times New Roman"/>
          <w:color w:val="000000"/>
        </w:rPr>
        <w:t>3</w:t>
      </w:r>
      <w:r w:rsidRPr="00185122">
        <w:rPr>
          <w:rFonts w:ascii="Times New Roman" w:hAnsi="Times New Roman"/>
          <w:color w:val="000000"/>
        </w:rPr>
        <w:t xml:space="preserve"> hours for the budget narrative</w:t>
      </w:r>
    </w:p>
    <w:p w:rsidR="00A76E7B" w:rsidRPr="00185122" w:rsidP="00A76E7B" w14:paraId="224FBE31" w14:textId="6C98E5E5">
      <w:pPr>
        <w:pStyle w:val="ListParagraph"/>
        <w:keepLines/>
        <w:numPr>
          <w:ilvl w:val="0"/>
          <w:numId w:val="46"/>
        </w:numPr>
        <w:tabs>
          <w:tab w:val="left" w:pos="360"/>
        </w:tabs>
        <w:spacing w:after="80"/>
        <w:rPr>
          <w:rFonts w:ascii="Times New Roman" w:hAnsi="Times New Roman"/>
          <w:color w:val="000000"/>
        </w:rPr>
      </w:pPr>
      <w:r w:rsidRPr="00185122">
        <w:rPr>
          <w:rFonts w:ascii="Times New Roman" w:hAnsi="Times New Roman"/>
          <w:color w:val="000000"/>
        </w:rPr>
        <w:t>11-12 hours for quarterly reports</w:t>
      </w:r>
    </w:p>
    <w:p w:rsidR="00185122" w:rsidRPr="000014AF" w:rsidP="00185122" w14:paraId="2E5716C4" w14:textId="438AC332">
      <w:pPr>
        <w:keepLines/>
        <w:tabs>
          <w:tab w:val="left" w:pos="360"/>
        </w:tabs>
        <w:spacing w:after="80"/>
        <w:rPr>
          <w:i/>
          <w:iCs/>
          <w:color w:val="000000"/>
          <w:sz w:val="22"/>
          <w:szCs w:val="22"/>
        </w:rPr>
      </w:pPr>
      <w:r w:rsidRPr="000014AF">
        <w:rPr>
          <w:i/>
          <w:iCs/>
          <w:color w:val="000000"/>
          <w:sz w:val="22"/>
          <w:szCs w:val="22"/>
        </w:rPr>
        <w:t xml:space="preserve">Dr. Urdaz did not </w:t>
      </w:r>
      <w:r w:rsidRPr="000014AF" w:rsidR="00030B22">
        <w:rPr>
          <w:i/>
          <w:iCs/>
          <w:color w:val="000000"/>
          <w:sz w:val="22"/>
          <w:szCs w:val="22"/>
        </w:rPr>
        <w:t>provide information regarding the cost of staff time.</w:t>
      </w:r>
    </w:p>
    <w:p w:rsidR="0048634E" w:rsidP="000612BD" w14:paraId="4BC3C764" w14:textId="77777777">
      <w:pPr>
        <w:tabs>
          <w:tab w:val="left" w:pos="360"/>
        </w:tabs>
        <w:ind w:left="360" w:hanging="360"/>
        <w:rPr>
          <w:color w:val="000000"/>
          <w:sz w:val="22"/>
          <w:szCs w:val="22"/>
        </w:rPr>
      </w:pPr>
    </w:p>
    <w:p w:rsidR="0048634E" w:rsidRPr="00185122" w:rsidP="000014AF" w14:paraId="12F24948" w14:textId="60B98864">
      <w:pPr>
        <w:tabs>
          <w:tab w:val="left" w:pos="360"/>
        </w:tabs>
        <w:ind w:left="360"/>
        <w:rPr>
          <w:color w:val="000000"/>
          <w:sz w:val="22"/>
          <w:szCs w:val="22"/>
        </w:rPr>
      </w:pPr>
      <w:r w:rsidRPr="00F94684">
        <w:rPr>
          <w:color w:val="000000"/>
          <w:sz w:val="22"/>
          <w:szCs w:val="22"/>
        </w:rPr>
        <w:t xml:space="preserve">FAS notes the wide range of </w:t>
      </w:r>
      <w:r w:rsidRPr="00F94684" w:rsidR="00272871">
        <w:rPr>
          <w:color w:val="000000"/>
          <w:sz w:val="22"/>
          <w:szCs w:val="22"/>
        </w:rPr>
        <w:t>time burdens among respondents, which may be worth future study</w:t>
      </w:r>
      <w:r w:rsidRPr="00F94684" w:rsidR="00321E73">
        <w:rPr>
          <w:color w:val="000000"/>
          <w:sz w:val="22"/>
          <w:szCs w:val="22"/>
        </w:rPr>
        <w:t>; although the cost</w:t>
      </w:r>
      <w:r w:rsidRPr="00F94684" w:rsidR="00F94684">
        <w:rPr>
          <w:color w:val="000000"/>
          <w:sz w:val="22"/>
          <w:szCs w:val="22"/>
        </w:rPr>
        <w:t xml:space="preserve"> </w:t>
      </w:r>
      <w:r w:rsidRPr="00F94684" w:rsidR="00321E73">
        <w:rPr>
          <w:color w:val="000000"/>
          <w:sz w:val="22"/>
          <w:szCs w:val="22"/>
        </w:rPr>
        <w:t>information is, broadly speaking, more consistent.</w:t>
      </w:r>
    </w:p>
    <w:p w:rsidR="00D771DA" w:rsidRPr="00185122" w:rsidP="000612BD" w14:paraId="4D240E1F" w14:textId="77777777">
      <w:pPr>
        <w:tabs>
          <w:tab w:val="left" w:pos="360"/>
        </w:tabs>
        <w:ind w:left="360" w:hanging="360"/>
        <w:rPr>
          <w:color w:val="000000"/>
          <w:sz w:val="22"/>
          <w:szCs w:val="22"/>
        </w:rPr>
      </w:pPr>
    </w:p>
    <w:p w:rsidR="00A325C5" w:rsidRPr="00F83286" w:rsidP="000612BD" w14:paraId="76D7ADB1" w14:textId="4E52D447">
      <w:pPr>
        <w:keepLines/>
        <w:tabs>
          <w:tab w:val="left" w:pos="360"/>
        </w:tabs>
        <w:spacing w:after="80"/>
        <w:ind w:left="360" w:hanging="360"/>
        <w:rPr>
          <w:b/>
          <w:bCs/>
          <w:color w:val="000000"/>
          <w:sz w:val="22"/>
        </w:rPr>
      </w:pPr>
      <w:r w:rsidRPr="00F83286">
        <w:rPr>
          <w:b/>
          <w:bCs/>
          <w:color w:val="000000"/>
          <w:sz w:val="18"/>
        </w:rPr>
        <w:t>9.</w:t>
      </w:r>
      <w:r w:rsidRPr="00F83286">
        <w:rPr>
          <w:b/>
          <w:bCs/>
          <w:color w:val="000000"/>
          <w:sz w:val="18"/>
        </w:rPr>
        <w:tab/>
      </w:r>
      <w:r w:rsidRPr="000612BD" w:rsidR="000612BD">
        <w:rPr>
          <w:b/>
          <w:bCs/>
          <w:color w:val="000000"/>
          <w:sz w:val="22"/>
        </w:rPr>
        <w:t>Explain any decision to provide any payment or gift to respondents, other than re</w:t>
      </w:r>
      <w:r w:rsidR="000B6BC1">
        <w:rPr>
          <w:b/>
          <w:bCs/>
          <w:color w:val="000000"/>
          <w:sz w:val="22"/>
        </w:rPr>
        <w:t>m</w:t>
      </w:r>
      <w:r w:rsidRPr="000612BD" w:rsidR="000612BD">
        <w:rPr>
          <w:b/>
          <w:bCs/>
          <w:color w:val="000000"/>
          <w:sz w:val="22"/>
        </w:rPr>
        <w:t>u</w:t>
      </w:r>
      <w:r w:rsidR="000B6BC1">
        <w:rPr>
          <w:b/>
          <w:bCs/>
          <w:color w:val="000000"/>
          <w:sz w:val="22"/>
        </w:rPr>
        <w:t>n</w:t>
      </w:r>
      <w:r w:rsidRPr="000612BD" w:rsidR="000612BD">
        <w:rPr>
          <w:b/>
          <w:bCs/>
          <w:color w:val="000000"/>
          <w:sz w:val="22"/>
        </w:rPr>
        <w:t>eration of</w:t>
      </w:r>
      <w:r w:rsidR="000612BD">
        <w:rPr>
          <w:b/>
          <w:bCs/>
          <w:color w:val="000000"/>
          <w:sz w:val="22"/>
        </w:rPr>
        <w:t xml:space="preserve"> </w:t>
      </w:r>
      <w:r w:rsidRPr="000612BD" w:rsidR="000612BD">
        <w:rPr>
          <w:b/>
          <w:bCs/>
          <w:color w:val="000000"/>
          <w:sz w:val="22"/>
        </w:rPr>
        <w:t>contractors or grantees.</w:t>
      </w:r>
    </w:p>
    <w:p w:rsidR="00F83286" w:rsidRPr="00CB3BFC" w:rsidP="00F83286" w14:paraId="4B2F6918" w14:textId="530A5294">
      <w:pPr>
        <w:tabs>
          <w:tab w:val="left" w:pos="360"/>
        </w:tabs>
        <w:rPr>
          <w:color w:val="000000"/>
          <w:sz w:val="22"/>
          <w:szCs w:val="22"/>
        </w:rPr>
      </w:pPr>
      <w:r w:rsidRPr="00CB3BFC">
        <w:rPr>
          <w:color w:val="000000"/>
          <w:sz w:val="22"/>
          <w:szCs w:val="22"/>
        </w:rPr>
        <w:tab/>
      </w:r>
      <w:r w:rsidR="00481718">
        <w:rPr>
          <w:color w:val="000000"/>
          <w:sz w:val="22"/>
          <w:szCs w:val="22"/>
        </w:rPr>
        <w:t xml:space="preserve"> </w:t>
      </w:r>
      <w:r w:rsidRPr="00481718" w:rsidR="00481718">
        <w:rPr>
          <w:color w:val="000000"/>
          <w:sz w:val="22"/>
          <w:szCs w:val="22"/>
        </w:rPr>
        <w:t>This information collection activity involves no payments or gifts to respondents.</w:t>
      </w:r>
    </w:p>
    <w:p w:rsidR="00F83286" w14:paraId="74DF990E" w14:textId="77777777">
      <w:pPr>
        <w:tabs>
          <w:tab w:val="left" w:pos="360"/>
        </w:tabs>
        <w:ind w:left="360" w:hanging="360"/>
        <w:rPr>
          <w:color w:val="000000"/>
          <w:sz w:val="18"/>
        </w:rPr>
      </w:pPr>
    </w:p>
    <w:p w:rsidR="000612BD" w:rsidRPr="00F83286" w:rsidP="000612BD" w14:paraId="40FF9809" w14:textId="77777777">
      <w:pPr>
        <w:keepLines/>
        <w:tabs>
          <w:tab w:val="left" w:pos="360"/>
        </w:tabs>
        <w:spacing w:after="80"/>
        <w:ind w:left="360" w:hanging="360"/>
        <w:rPr>
          <w:b/>
          <w:bCs/>
          <w:color w:val="000000"/>
          <w:sz w:val="22"/>
        </w:rPr>
      </w:pPr>
      <w:r w:rsidRPr="00F83286">
        <w:rPr>
          <w:b/>
          <w:bCs/>
          <w:color w:val="000000"/>
          <w:sz w:val="18"/>
        </w:rPr>
        <w:t>10.</w:t>
      </w:r>
      <w:r w:rsidRPr="00F83286">
        <w:rPr>
          <w:b/>
          <w:bCs/>
          <w:color w:val="000000"/>
          <w:sz w:val="18"/>
        </w:rPr>
        <w:tab/>
      </w:r>
      <w:r w:rsidRPr="00F83286">
        <w:rPr>
          <w:b/>
          <w:bCs/>
          <w:color w:val="000000"/>
          <w:sz w:val="22"/>
        </w:rPr>
        <w:t>Describe any assurance of confidentiality provided to respondents and the basis for assurance in statute, regulation or agency policy.</w:t>
      </w:r>
    </w:p>
    <w:p w:rsidR="000612BD" w:rsidRPr="00CB3BFC" w:rsidP="00CB3BFC" w14:paraId="2878651E" w14:textId="11A37DB3">
      <w:pPr>
        <w:tabs>
          <w:tab w:val="left" w:pos="360"/>
        </w:tabs>
        <w:ind w:left="360"/>
        <w:rPr>
          <w:color w:val="000000"/>
          <w:sz w:val="22"/>
          <w:szCs w:val="22"/>
        </w:rPr>
      </w:pPr>
      <w:r w:rsidRPr="00CB3BFC">
        <w:rPr>
          <w:color w:val="000000"/>
          <w:sz w:val="22"/>
          <w:szCs w:val="22"/>
        </w:rPr>
        <w:t>No pledge of confidentiality is given for applicant responses</w:t>
      </w:r>
      <w:r>
        <w:rPr>
          <w:color w:val="000000"/>
          <w:sz w:val="22"/>
          <w:szCs w:val="22"/>
        </w:rPr>
        <w:t>; however, as a practical matter, FAS does not release the content or any other details of non-selected applications.</w:t>
      </w:r>
    </w:p>
    <w:p w:rsidR="000612BD" w:rsidP="000612BD" w14:paraId="2DCBED31" w14:textId="77777777">
      <w:pPr>
        <w:tabs>
          <w:tab w:val="left" w:pos="360"/>
        </w:tabs>
        <w:ind w:left="360" w:hanging="360"/>
        <w:rPr>
          <w:color w:val="000000"/>
          <w:sz w:val="18"/>
        </w:rPr>
      </w:pPr>
    </w:p>
    <w:p w:rsidR="000612BD" w:rsidRPr="00F83286" w:rsidP="000612BD" w14:paraId="03573A9C" w14:textId="77777777">
      <w:pPr>
        <w:keepLines/>
        <w:tabs>
          <w:tab w:val="left" w:pos="360"/>
        </w:tabs>
        <w:spacing w:after="80"/>
        <w:ind w:left="360" w:hanging="360"/>
        <w:rPr>
          <w:b/>
          <w:bCs/>
          <w:color w:val="000000"/>
          <w:sz w:val="22"/>
        </w:rPr>
      </w:pPr>
      <w:r w:rsidRPr="00F83286">
        <w:rPr>
          <w:b/>
          <w:bCs/>
          <w:color w:val="000000"/>
          <w:sz w:val="18"/>
        </w:rPr>
        <w:t>11.</w:t>
      </w:r>
      <w:r w:rsidRPr="00F83286">
        <w:rPr>
          <w:b/>
          <w:bCs/>
          <w:color w:val="000000"/>
          <w:sz w:val="18"/>
        </w:rPr>
        <w:tab/>
      </w:r>
      <w:r w:rsidRPr="000612BD">
        <w:rPr>
          <w:b/>
          <w:bCs/>
          <w:color w:val="000000"/>
          <w:sz w:val="22"/>
        </w:rPr>
        <w:t>Provide additional justification for any questions of a sensitive nature, such as sexual behavior and attitudes, religious beliefs, and other matters that are commonly considered private.</w:t>
      </w:r>
    </w:p>
    <w:p w:rsidR="000612BD" w:rsidRPr="00CB3BFC" w:rsidP="000612BD" w14:paraId="447022ED" w14:textId="57EC36F0">
      <w:pPr>
        <w:tabs>
          <w:tab w:val="left" w:pos="360"/>
        </w:tabs>
        <w:rPr>
          <w:color w:val="000000"/>
          <w:sz w:val="22"/>
          <w:szCs w:val="22"/>
        </w:rPr>
      </w:pPr>
      <w:r w:rsidRPr="00CB3BFC">
        <w:rPr>
          <w:color w:val="000000"/>
          <w:sz w:val="22"/>
          <w:szCs w:val="22"/>
        </w:rPr>
        <w:tab/>
      </w:r>
      <w:r w:rsidRPr="009A7F77" w:rsidR="009A7F77">
        <w:t xml:space="preserve"> </w:t>
      </w:r>
      <w:r w:rsidRPr="009A7F77" w:rsidR="009A7F77">
        <w:rPr>
          <w:color w:val="000000"/>
          <w:sz w:val="22"/>
          <w:szCs w:val="22"/>
        </w:rPr>
        <w:t>There are no questions of a sensitive nature associated with this information collection.</w:t>
      </w:r>
    </w:p>
    <w:p w:rsidR="000612BD" w:rsidP="000612BD" w14:paraId="1CF8B70A" w14:textId="77777777">
      <w:pPr>
        <w:tabs>
          <w:tab w:val="left" w:pos="360"/>
        </w:tabs>
        <w:ind w:left="360" w:hanging="360"/>
        <w:rPr>
          <w:color w:val="000000"/>
          <w:sz w:val="18"/>
        </w:rPr>
      </w:pPr>
    </w:p>
    <w:p w:rsidR="000E64B3" w:rsidRPr="00F83286" w:rsidP="000E64B3" w14:paraId="023748A4" w14:textId="77777777">
      <w:pPr>
        <w:keepLines/>
        <w:tabs>
          <w:tab w:val="left" w:pos="360"/>
        </w:tabs>
        <w:spacing w:after="80"/>
        <w:ind w:left="360" w:hanging="360"/>
        <w:rPr>
          <w:b/>
          <w:bCs/>
          <w:color w:val="000000"/>
          <w:sz w:val="22"/>
        </w:rPr>
      </w:pPr>
      <w:r w:rsidRPr="00EF1BFD">
        <w:rPr>
          <w:b/>
          <w:bCs/>
          <w:color w:val="000000"/>
          <w:sz w:val="18"/>
        </w:rPr>
        <w:t>12.</w:t>
      </w:r>
      <w:r w:rsidRPr="00EF1BFD">
        <w:rPr>
          <w:b/>
          <w:bCs/>
          <w:color w:val="000000"/>
          <w:sz w:val="18"/>
        </w:rPr>
        <w:tab/>
      </w:r>
      <w:r w:rsidRPr="00722469" w:rsidR="00722469">
        <w:rPr>
          <w:b/>
          <w:bCs/>
          <w:color w:val="000000"/>
          <w:sz w:val="22"/>
        </w:rPr>
        <w:t>Provide estimates of the hour burden of the collection of information. The statement should: * Indicate the number of respondents, frequency of response, annual hour burden, and an explanation of how the burden was estimated.</w:t>
      </w:r>
      <w:r w:rsidRPr="00EF1BFD">
        <w:rPr>
          <w:b/>
          <w:bCs/>
          <w:color w:val="000000"/>
          <w:sz w:val="22"/>
        </w:rPr>
        <w:t xml:space="preserve">  Read the complete instructions on the form 83i.</w:t>
      </w:r>
    </w:p>
    <w:p w:rsidR="00F36A13" w:rsidP="00F36A13" w14:paraId="0E30D1EB" w14:textId="3EE91588">
      <w:pPr>
        <w:keepLines/>
        <w:tabs>
          <w:tab w:val="left" w:pos="360"/>
        </w:tabs>
        <w:spacing w:after="80"/>
        <w:ind w:left="360" w:hanging="360"/>
        <w:rPr>
          <w:color w:val="000000"/>
          <w:sz w:val="22"/>
          <w:szCs w:val="22"/>
        </w:rPr>
      </w:pPr>
      <w:r w:rsidRPr="00CB3BFC">
        <w:rPr>
          <w:color w:val="000000"/>
          <w:sz w:val="22"/>
          <w:szCs w:val="22"/>
        </w:rPr>
        <w:tab/>
      </w:r>
      <w:r w:rsidR="000B6BC1">
        <w:rPr>
          <w:color w:val="000000"/>
          <w:sz w:val="22"/>
          <w:szCs w:val="22"/>
        </w:rPr>
        <w:t>The precise burden inherently varies from year to year based on the number of applicants; the number of awards awarded that year; the number of awards awarded in previous years that remain active; the frequency with which recipients choose to submit claims; and the number of requests for extension, supplemental funds, or other amendments submitted by recipients.</w:t>
      </w:r>
    </w:p>
    <w:p w:rsidR="000A3D42" w:rsidP="00F36A13" w14:paraId="304DED0A" w14:textId="77777777">
      <w:pPr>
        <w:keepLines/>
        <w:tabs>
          <w:tab w:val="left" w:pos="360"/>
        </w:tabs>
        <w:spacing w:after="80"/>
        <w:ind w:left="360" w:hanging="360"/>
        <w:rPr>
          <w:color w:val="000000"/>
          <w:sz w:val="22"/>
          <w:szCs w:val="22"/>
        </w:rPr>
      </w:pPr>
      <w:r>
        <w:rPr>
          <w:color w:val="000000"/>
          <w:sz w:val="22"/>
          <w:szCs w:val="22"/>
        </w:rPr>
        <w:tab/>
      </w:r>
    </w:p>
    <w:p w:rsidR="00215307" w:rsidP="00F36A13" w14:paraId="28AC517F" w14:textId="0552AACA">
      <w:pPr>
        <w:keepLines/>
        <w:tabs>
          <w:tab w:val="left" w:pos="360"/>
        </w:tabs>
        <w:spacing w:after="80"/>
        <w:ind w:left="360" w:hanging="360"/>
        <w:rPr>
          <w:color w:val="000000"/>
          <w:sz w:val="22"/>
          <w:szCs w:val="22"/>
        </w:rPr>
      </w:pPr>
      <w:r>
        <w:rPr>
          <w:color w:val="000000"/>
          <w:sz w:val="22"/>
          <w:szCs w:val="22"/>
        </w:rPr>
        <w:tab/>
      </w:r>
      <w:r w:rsidR="000B6BC1">
        <w:rPr>
          <w:color w:val="000000"/>
          <w:sz w:val="22"/>
          <w:szCs w:val="22"/>
        </w:rPr>
        <w:t xml:space="preserve">For purposes of calculation, FAS referenced fiscal year 2019 (the most recent complete “normal” program year) and noted that 243 award actions were issued to 80 </w:t>
      </w:r>
      <w:r w:rsidR="003A6D2E">
        <w:rPr>
          <w:color w:val="000000"/>
          <w:sz w:val="22"/>
          <w:szCs w:val="22"/>
        </w:rPr>
        <w:t xml:space="preserve">unique </w:t>
      </w:r>
      <w:r w:rsidR="0027223A">
        <w:rPr>
          <w:color w:val="000000"/>
          <w:sz w:val="22"/>
          <w:szCs w:val="22"/>
        </w:rPr>
        <w:t>recipients</w:t>
      </w:r>
      <w:r w:rsidR="000B6BC1">
        <w:rPr>
          <w:color w:val="000000"/>
          <w:sz w:val="22"/>
          <w:szCs w:val="22"/>
        </w:rPr>
        <w:t>. Although FAS does not systematically track applications received, the agency believes a reasonable estimation is that it receives 2 applications for each award issued</w:t>
      </w:r>
      <w:r w:rsidR="0027223A">
        <w:rPr>
          <w:color w:val="000000"/>
          <w:sz w:val="22"/>
          <w:szCs w:val="22"/>
        </w:rPr>
        <w:t>, and that 4/5 of applicants are, at one time during the period, selected for at least one award;</w:t>
      </w:r>
      <w:r w:rsidR="000B6BC1">
        <w:rPr>
          <w:color w:val="000000"/>
          <w:sz w:val="22"/>
          <w:szCs w:val="22"/>
        </w:rPr>
        <w:t xml:space="preserve"> for a total of 486 application packages</w:t>
      </w:r>
      <w:r w:rsidR="0027223A">
        <w:rPr>
          <w:color w:val="000000"/>
          <w:sz w:val="22"/>
          <w:szCs w:val="22"/>
        </w:rPr>
        <w:t xml:space="preserve"> from 100 applicants</w:t>
      </w:r>
      <w:r w:rsidR="000B6BC1">
        <w:rPr>
          <w:color w:val="000000"/>
          <w:sz w:val="22"/>
          <w:szCs w:val="22"/>
        </w:rPr>
        <w:t>, each of which has four (4) required documents: The SF-424, the SF-424A, the Project Narrative, and the Budget Narrative.</w:t>
      </w:r>
    </w:p>
    <w:p w:rsidR="000A3D42" w:rsidP="00F36A13" w14:paraId="4645474B" w14:textId="77777777">
      <w:pPr>
        <w:keepLines/>
        <w:tabs>
          <w:tab w:val="left" w:pos="360"/>
        </w:tabs>
        <w:spacing w:after="80"/>
        <w:ind w:left="360" w:hanging="360"/>
        <w:rPr>
          <w:color w:val="000000"/>
          <w:sz w:val="22"/>
          <w:szCs w:val="22"/>
        </w:rPr>
      </w:pPr>
      <w:r>
        <w:rPr>
          <w:color w:val="000000"/>
          <w:sz w:val="22"/>
          <w:szCs w:val="22"/>
        </w:rPr>
        <w:tab/>
      </w:r>
    </w:p>
    <w:p w:rsidR="000B6BC1" w:rsidP="00F36A13" w14:paraId="2A91102D" w14:textId="7322FCE1">
      <w:pPr>
        <w:keepLines/>
        <w:tabs>
          <w:tab w:val="left" w:pos="360"/>
        </w:tabs>
        <w:spacing w:after="80"/>
        <w:ind w:left="360" w:hanging="360"/>
        <w:rPr>
          <w:color w:val="000000"/>
          <w:sz w:val="22"/>
          <w:szCs w:val="22"/>
        </w:rPr>
      </w:pPr>
      <w:r>
        <w:rPr>
          <w:color w:val="000000"/>
          <w:sz w:val="22"/>
          <w:szCs w:val="22"/>
        </w:rPr>
        <w:tab/>
      </w:r>
      <w:r w:rsidR="0027223A">
        <w:rPr>
          <w:color w:val="000000"/>
          <w:sz w:val="22"/>
          <w:szCs w:val="22"/>
        </w:rPr>
        <w:t xml:space="preserve">Regarding claims, </w:t>
      </w:r>
      <w:r>
        <w:rPr>
          <w:color w:val="000000"/>
          <w:sz w:val="22"/>
          <w:szCs w:val="22"/>
        </w:rPr>
        <w:t xml:space="preserve">FAS queried its grants management system and found that in fiscal year 2019 (the most recent complete “normal” program year), 735 claims were processed from 98 unique organizations, an average of </w:t>
      </w:r>
      <w:r w:rsidR="0027223A">
        <w:rPr>
          <w:color w:val="000000"/>
          <w:sz w:val="22"/>
          <w:szCs w:val="22"/>
        </w:rPr>
        <w:t xml:space="preserve">7.5 claims per organization (although </w:t>
      </w:r>
      <w:r w:rsidR="008473B6">
        <w:rPr>
          <w:color w:val="000000"/>
          <w:sz w:val="22"/>
          <w:szCs w:val="22"/>
        </w:rPr>
        <w:t xml:space="preserve">individual </w:t>
      </w:r>
      <w:r w:rsidR="0027223A">
        <w:rPr>
          <w:color w:val="000000"/>
          <w:sz w:val="22"/>
          <w:szCs w:val="22"/>
        </w:rPr>
        <w:t xml:space="preserve">recipients submitted </w:t>
      </w:r>
      <w:r w:rsidR="008473B6">
        <w:rPr>
          <w:color w:val="000000"/>
          <w:sz w:val="22"/>
          <w:szCs w:val="22"/>
        </w:rPr>
        <w:t>a minimum of</w:t>
      </w:r>
      <w:r w:rsidR="0027223A">
        <w:rPr>
          <w:color w:val="000000"/>
          <w:sz w:val="22"/>
          <w:szCs w:val="22"/>
        </w:rPr>
        <w:t xml:space="preserve"> 1 and </w:t>
      </w:r>
      <w:r w:rsidR="008473B6">
        <w:rPr>
          <w:color w:val="000000"/>
          <w:sz w:val="22"/>
          <w:szCs w:val="22"/>
        </w:rPr>
        <w:t xml:space="preserve">maximum of </w:t>
      </w:r>
      <w:r w:rsidR="0027223A">
        <w:rPr>
          <w:color w:val="000000"/>
          <w:sz w:val="22"/>
          <w:szCs w:val="22"/>
        </w:rPr>
        <w:t>45 claims during the period</w:t>
      </w:r>
      <w:r w:rsidR="008473B6">
        <w:rPr>
          <w:color w:val="000000"/>
          <w:sz w:val="22"/>
          <w:szCs w:val="22"/>
        </w:rPr>
        <w:t>, based on the number of awards held, the volume of activities under those awards, and the accounting procedures in place at each organization</w:t>
      </w:r>
      <w:r w:rsidR="0027223A">
        <w:rPr>
          <w:color w:val="000000"/>
          <w:sz w:val="22"/>
          <w:szCs w:val="22"/>
        </w:rPr>
        <w:t>).</w:t>
      </w:r>
    </w:p>
    <w:p w:rsidR="000A3D42" w:rsidP="0027223A" w14:paraId="10C36A2D" w14:textId="77777777">
      <w:pPr>
        <w:keepLines/>
        <w:tabs>
          <w:tab w:val="left" w:pos="360"/>
        </w:tabs>
        <w:spacing w:after="80"/>
        <w:ind w:left="360"/>
        <w:rPr>
          <w:color w:val="000000"/>
          <w:sz w:val="22"/>
          <w:szCs w:val="22"/>
        </w:rPr>
      </w:pPr>
    </w:p>
    <w:p w:rsidR="0027223A" w:rsidP="0027223A" w14:paraId="12EEC9AB" w14:textId="24E2181A">
      <w:pPr>
        <w:keepLines/>
        <w:tabs>
          <w:tab w:val="left" w:pos="360"/>
        </w:tabs>
        <w:spacing w:after="80"/>
        <w:ind w:left="360"/>
        <w:rPr>
          <w:color w:val="000000"/>
          <w:sz w:val="22"/>
          <w:szCs w:val="22"/>
        </w:rPr>
      </w:pPr>
      <w:r>
        <w:rPr>
          <w:color w:val="000000"/>
          <w:sz w:val="22"/>
          <w:szCs w:val="22"/>
        </w:rPr>
        <w:t xml:space="preserve">Regarding post-award reporting, FAS queried its grants management system and found that in </w:t>
      </w:r>
      <w:r w:rsidR="003A6D2E">
        <w:rPr>
          <w:color w:val="000000"/>
          <w:sz w:val="22"/>
          <w:szCs w:val="22"/>
        </w:rPr>
        <w:t>calendar</w:t>
      </w:r>
      <w:r>
        <w:rPr>
          <w:color w:val="000000"/>
          <w:sz w:val="22"/>
          <w:szCs w:val="22"/>
        </w:rPr>
        <w:t xml:space="preserve"> year 2019 (the most recent complete “normal” year), </w:t>
      </w:r>
      <w:r w:rsidR="003A6D2E">
        <w:rPr>
          <w:color w:val="000000"/>
          <w:sz w:val="22"/>
          <w:szCs w:val="22"/>
        </w:rPr>
        <w:t>592</w:t>
      </w:r>
      <w:r w:rsidR="00EB5B6B">
        <w:rPr>
          <w:color w:val="000000"/>
          <w:sz w:val="22"/>
          <w:szCs w:val="22"/>
        </w:rPr>
        <w:t xml:space="preserve"> financial reports and </w:t>
      </w:r>
      <w:r w:rsidR="003A6D2E">
        <w:rPr>
          <w:color w:val="000000"/>
          <w:sz w:val="22"/>
          <w:szCs w:val="22"/>
        </w:rPr>
        <w:t>598</w:t>
      </w:r>
      <w:r w:rsidR="00EB5B6B">
        <w:rPr>
          <w:color w:val="000000"/>
          <w:sz w:val="22"/>
          <w:szCs w:val="22"/>
        </w:rPr>
        <w:t xml:space="preserve"> performance reports were submitted from </w:t>
      </w:r>
      <w:r w:rsidR="003A6D2E">
        <w:rPr>
          <w:color w:val="000000"/>
          <w:sz w:val="22"/>
          <w:szCs w:val="22"/>
        </w:rPr>
        <w:t>99</w:t>
      </w:r>
      <w:r w:rsidR="00EB5B6B">
        <w:rPr>
          <w:color w:val="000000"/>
          <w:sz w:val="22"/>
          <w:szCs w:val="22"/>
        </w:rPr>
        <w:t xml:space="preserve"> unique organizations. (The reporting cadence varies by award; although in most cases performance and financial reports follow the same cadence, this is not necessarily required.) This </w:t>
      </w:r>
      <w:r w:rsidR="003A6D2E">
        <w:rPr>
          <w:color w:val="000000"/>
          <w:sz w:val="22"/>
          <w:szCs w:val="22"/>
        </w:rPr>
        <w:t>calculates to an average of 12.02 reports per organization (although individual recipients submitted a minimum of 2, and maximum of 73 unique reports during the year, based on the reporting cadence specified in each award). This calculation uses the calendar year rather than fiscal year due to the way the data are reported in the grants management system, but FAS has no reason to believe the figures are not comparable.</w:t>
      </w:r>
    </w:p>
    <w:p w:rsidR="000A3D42" w:rsidP="00F36A13" w14:paraId="41052420" w14:textId="77777777">
      <w:pPr>
        <w:keepLines/>
        <w:tabs>
          <w:tab w:val="left" w:pos="360"/>
        </w:tabs>
        <w:spacing w:after="80"/>
        <w:ind w:left="360" w:hanging="360"/>
        <w:rPr>
          <w:color w:val="000000"/>
          <w:sz w:val="22"/>
          <w:szCs w:val="22"/>
        </w:rPr>
      </w:pPr>
      <w:r>
        <w:rPr>
          <w:color w:val="000000"/>
          <w:sz w:val="22"/>
          <w:szCs w:val="22"/>
        </w:rPr>
        <w:tab/>
      </w:r>
    </w:p>
    <w:p w:rsidR="00F36A13" w:rsidP="00F36A13" w14:paraId="3BAA0290" w14:textId="12E44E3A">
      <w:pPr>
        <w:keepLines/>
        <w:tabs>
          <w:tab w:val="left" w:pos="360"/>
        </w:tabs>
        <w:spacing w:after="80"/>
        <w:ind w:left="360" w:hanging="360"/>
        <w:rPr>
          <w:color w:val="000000"/>
          <w:sz w:val="22"/>
          <w:szCs w:val="22"/>
        </w:rPr>
      </w:pPr>
      <w:r>
        <w:rPr>
          <w:color w:val="000000"/>
          <w:sz w:val="22"/>
          <w:szCs w:val="22"/>
        </w:rPr>
        <w:tab/>
      </w:r>
      <w:r w:rsidR="00215307">
        <w:rPr>
          <w:color w:val="000000"/>
          <w:sz w:val="22"/>
          <w:szCs w:val="22"/>
        </w:rPr>
        <w:t xml:space="preserve">For government-wide standard forms </w:t>
      </w:r>
      <w:r w:rsidR="001A2DB2">
        <w:rPr>
          <w:color w:val="000000"/>
          <w:sz w:val="22"/>
          <w:szCs w:val="22"/>
        </w:rPr>
        <w:t xml:space="preserve">SF-270, </w:t>
      </w:r>
      <w:r w:rsidR="00215307">
        <w:rPr>
          <w:color w:val="000000"/>
          <w:sz w:val="22"/>
          <w:szCs w:val="22"/>
        </w:rPr>
        <w:t xml:space="preserve">SF-424, SF-424A, and SF-425, the burden listed reflects the estimate projected in the corresponding approval for those forms. FAS notes that, </w:t>
      </w:r>
      <w:r w:rsidR="001A2DB2">
        <w:rPr>
          <w:color w:val="000000"/>
          <w:sz w:val="22"/>
          <w:szCs w:val="22"/>
        </w:rPr>
        <w:t>from anecdotal conversations with applicants and recipients</w:t>
      </w:r>
      <w:r w:rsidR="00215307">
        <w:rPr>
          <w:color w:val="000000"/>
          <w:sz w:val="22"/>
          <w:szCs w:val="22"/>
        </w:rPr>
        <w:t xml:space="preserve">, the </w:t>
      </w:r>
      <w:r w:rsidR="001A2DB2">
        <w:rPr>
          <w:color w:val="000000"/>
          <w:sz w:val="22"/>
          <w:szCs w:val="22"/>
        </w:rPr>
        <w:t xml:space="preserve">time estimation for those forms is </w:t>
      </w:r>
      <w:r w:rsidR="00215307">
        <w:rPr>
          <w:color w:val="000000"/>
          <w:sz w:val="22"/>
          <w:szCs w:val="22"/>
        </w:rPr>
        <w:t xml:space="preserve">excessive, </w:t>
      </w:r>
      <w:r w:rsidR="00B25B30">
        <w:rPr>
          <w:color w:val="000000"/>
          <w:sz w:val="22"/>
          <w:szCs w:val="22"/>
        </w:rPr>
        <w:t>and adopts here a more reasonable estimation for those forms</w:t>
      </w:r>
      <w:r w:rsidR="00215307">
        <w:rPr>
          <w:color w:val="000000"/>
          <w:sz w:val="22"/>
          <w:szCs w:val="22"/>
        </w:rPr>
        <w:t>.</w:t>
      </w:r>
    </w:p>
    <w:p w:rsidR="00EF1BFD" w:rsidRPr="00FC6446" w:rsidP="00EF1BFD" w14:paraId="60096E43" w14:textId="77777777">
      <w:pPr>
        <w:rPr>
          <w:sz w:val="22"/>
          <w:szCs w:val="22"/>
        </w:rPr>
      </w:pPr>
    </w:p>
    <w:tbl>
      <w:tblPr>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5"/>
        <w:gridCol w:w="1255"/>
        <w:gridCol w:w="1435"/>
        <w:gridCol w:w="1260"/>
        <w:gridCol w:w="1620"/>
        <w:gridCol w:w="900"/>
        <w:gridCol w:w="900"/>
        <w:gridCol w:w="1270"/>
      </w:tblGrid>
      <w:tr w14:paraId="2D742386" w14:textId="08AC420D" w:rsidTr="00CD244A">
        <w:tblPrEx>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805" w:type="dxa"/>
            <w:tcBorders>
              <w:top w:val="single" w:sz="4" w:space="0" w:color="auto"/>
              <w:left w:val="single" w:sz="4" w:space="0" w:color="auto"/>
            </w:tcBorders>
            <w:shd w:val="clear" w:color="auto" w:fill="C6D9F1"/>
          </w:tcPr>
          <w:p w:rsidR="00F36A13" w:rsidRPr="00F36A13" w:rsidP="00CD244A" w14:paraId="64D7FC1F" w14:textId="77777777">
            <w:pPr>
              <w:jc w:val="center"/>
              <w:rPr>
                <w:b/>
                <w:sz w:val="18"/>
                <w:szCs w:val="18"/>
              </w:rPr>
            </w:pPr>
            <w:r w:rsidRPr="00F36A13">
              <w:rPr>
                <w:b/>
                <w:sz w:val="18"/>
                <w:szCs w:val="18"/>
              </w:rPr>
              <w:t>Information</w:t>
            </w:r>
          </w:p>
          <w:p w:rsidR="00F36A13" w:rsidRPr="00F36A13" w:rsidP="00CD244A" w14:paraId="4CF00DCC" w14:textId="77777777">
            <w:pPr>
              <w:jc w:val="center"/>
              <w:rPr>
                <w:b/>
                <w:sz w:val="18"/>
                <w:szCs w:val="18"/>
              </w:rPr>
            </w:pPr>
            <w:r w:rsidRPr="00F36A13">
              <w:rPr>
                <w:b/>
                <w:sz w:val="18"/>
                <w:szCs w:val="18"/>
              </w:rPr>
              <w:t>Collection</w:t>
            </w:r>
          </w:p>
        </w:tc>
        <w:tc>
          <w:tcPr>
            <w:tcW w:w="1255" w:type="dxa"/>
            <w:tcBorders>
              <w:top w:val="single" w:sz="4" w:space="0" w:color="auto"/>
            </w:tcBorders>
            <w:shd w:val="clear" w:color="auto" w:fill="C6D9F1"/>
          </w:tcPr>
          <w:p w:rsidR="00F36A13" w:rsidRPr="00F36A13" w:rsidP="00CD244A" w14:paraId="304E3176" w14:textId="77777777">
            <w:pPr>
              <w:jc w:val="center"/>
              <w:rPr>
                <w:b/>
                <w:sz w:val="18"/>
                <w:szCs w:val="18"/>
              </w:rPr>
            </w:pPr>
            <w:r w:rsidRPr="00F36A13">
              <w:rPr>
                <w:b/>
                <w:sz w:val="18"/>
                <w:szCs w:val="18"/>
              </w:rPr>
              <w:t>Number of</w:t>
            </w:r>
          </w:p>
          <w:p w:rsidR="00F36A13" w:rsidRPr="00F36A13" w:rsidP="00CD244A" w14:paraId="33CABCB5" w14:textId="16C8FB0B">
            <w:pPr>
              <w:jc w:val="center"/>
              <w:rPr>
                <w:b/>
                <w:sz w:val="18"/>
                <w:szCs w:val="18"/>
              </w:rPr>
            </w:pPr>
            <w:r w:rsidRPr="00F36A13">
              <w:rPr>
                <w:b/>
                <w:sz w:val="18"/>
                <w:szCs w:val="18"/>
              </w:rPr>
              <w:t>Respondents</w:t>
            </w:r>
          </w:p>
        </w:tc>
        <w:tc>
          <w:tcPr>
            <w:tcW w:w="1435" w:type="dxa"/>
            <w:tcBorders>
              <w:top w:val="single" w:sz="4" w:space="0" w:color="auto"/>
            </w:tcBorders>
            <w:shd w:val="clear" w:color="auto" w:fill="C6D9F1"/>
          </w:tcPr>
          <w:p w:rsidR="00F36A13" w:rsidRPr="00F36A13" w:rsidP="00CD244A" w14:paraId="02426DC6" w14:textId="1805A14B">
            <w:pPr>
              <w:jc w:val="center"/>
              <w:rPr>
                <w:b/>
                <w:sz w:val="18"/>
                <w:szCs w:val="18"/>
              </w:rPr>
            </w:pPr>
            <w:r w:rsidRPr="00F36A13">
              <w:rPr>
                <w:b/>
                <w:sz w:val="18"/>
                <w:szCs w:val="18"/>
              </w:rPr>
              <w:t>Average Number of Reponses per Respondent</w:t>
            </w:r>
          </w:p>
        </w:tc>
        <w:tc>
          <w:tcPr>
            <w:tcW w:w="1260" w:type="dxa"/>
            <w:tcBorders>
              <w:top w:val="single" w:sz="4" w:space="0" w:color="auto"/>
            </w:tcBorders>
            <w:shd w:val="clear" w:color="auto" w:fill="C6D9F1"/>
          </w:tcPr>
          <w:p w:rsidR="00F36A13" w:rsidRPr="00F36A13" w:rsidP="00CD244A" w14:paraId="497A007F" w14:textId="77777777">
            <w:pPr>
              <w:jc w:val="center"/>
              <w:rPr>
                <w:b/>
                <w:sz w:val="18"/>
                <w:szCs w:val="18"/>
              </w:rPr>
            </w:pPr>
            <w:r w:rsidRPr="00F36A13">
              <w:rPr>
                <w:b/>
                <w:sz w:val="18"/>
                <w:szCs w:val="18"/>
              </w:rPr>
              <w:t>Total Annual Responses</w:t>
            </w:r>
          </w:p>
        </w:tc>
        <w:tc>
          <w:tcPr>
            <w:tcW w:w="1620" w:type="dxa"/>
            <w:tcBorders>
              <w:top w:val="single" w:sz="4" w:space="0" w:color="auto"/>
            </w:tcBorders>
            <w:shd w:val="clear" w:color="auto" w:fill="C6D9F1"/>
          </w:tcPr>
          <w:p w:rsidR="00F36A13" w:rsidRPr="00F36A13" w:rsidP="00CD244A" w14:paraId="764A21B9" w14:textId="0EC60A7A">
            <w:pPr>
              <w:jc w:val="center"/>
              <w:rPr>
                <w:b/>
                <w:sz w:val="18"/>
                <w:szCs w:val="18"/>
              </w:rPr>
            </w:pPr>
            <w:r w:rsidRPr="00F36A13">
              <w:rPr>
                <w:b/>
                <w:sz w:val="18"/>
                <w:szCs w:val="18"/>
              </w:rPr>
              <w:t>Burden Hours/Minutes per Response</w:t>
            </w:r>
          </w:p>
        </w:tc>
        <w:tc>
          <w:tcPr>
            <w:tcW w:w="900" w:type="dxa"/>
            <w:tcBorders>
              <w:top w:val="single" w:sz="4" w:space="0" w:color="auto"/>
            </w:tcBorders>
            <w:shd w:val="clear" w:color="auto" w:fill="C6D9F1"/>
          </w:tcPr>
          <w:p w:rsidR="00F36A13" w:rsidRPr="00F36A13" w:rsidP="00CD244A" w14:paraId="14FCA3D5" w14:textId="021410E4">
            <w:pPr>
              <w:jc w:val="center"/>
              <w:rPr>
                <w:b/>
                <w:sz w:val="18"/>
                <w:szCs w:val="18"/>
              </w:rPr>
            </w:pPr>
            <w:r w:rsidRPr="00F36A13">
              <w:rPr>
                <w:b/>
                <w:sz w:val="18"/>
                <w:szCs w:val="18"/>
              </w:rPr>
              <w:t>Total</w:t>
            </w:r>
            <w:r w:rsidR="002C7DCB">
              <w:rPr>
                <w:b/>
                <w:sz w:val="18"/>
                <w:szCs w:val="18"/>
              </w:rPr>
              <w:t xml:space="preserve"> Annual Burden</w:t>
            </w:r>
          </w:p>
          <w:p w:rsidR="00F36A13" w:rsidRPr="00F36A13" w:rsidP="00CD244A" w14:paraId="3B25CBF7" w14:textId="7AA88029">
            <w:pPr>
              <w:jc w:val="center"/>
              <w:rPr>
                <w:b/>
                <w:sz w:val="18"/>
                <w:szCs w:val="18"/>
              </w:rPr>
            </w:pPr>
            <w:r w:rsidRPr="00F36A13">
              <w:rPr>
                <w:b/>
                <w:sz w:val="18"/>
                <w:szCs w:val="18"/>
              </w:rPr>
              <w:t>Hours</w:t>
            </w:r>
          </w:p>
        </w:tc>
        <w:tc>
          <w:tcPr>
            <w:tcW w:w="900" w:type="dxa"/>
            <w:tcBorders>
              <w:top w:val="single" w:sz="4" w:space="0" w:color="auto"/>
            </w:tcBorders>
            <w:shd w:val="clear" w:color="auto" w:fill="C6D9F1"/>
          </w:tcPr>
          <w:p w:rsidR="00F36A13" w:rsidRPr="00F36A13" w:rsidP="00CD244A" w14:paraId="6E4617AC" w14:textId="2636DD26">
            <w:pPr>
              <w:jc w:val="center"/>
              <w:rPr>
                <w:b/>
                <w:sz w:val="18"/>
                <w:szCs w:val="18"/>
              </w:rPr>
            </w:pPr>
            <w:r>
              <w:rPr>
                <w:b/>
                <w:sz w:val="18"/>
                <w:szCs w:val="18"/>
              </w:rPr>
              <w:t>*</w:t>
            </w:r>
            <w:r w:rsidRPr="00F36A13">
              <w:rPr>
                <w:b/>
                <w:sz w:val="18"/>
                <w:szCs w:val="18"/>
              </w:rPr>
              <w:t>Hourly Cost</w:t>
            </w:r>
          </w:p>
        </w:tc>
        <w:tc>
          <w:tcPr>
            <w:tcW w:w="1270" w:type="dxa"/>
            <w:tcBorders>
              <w:top w:val="single" w:sz="4" w:space="0" w:color="auto"/>
            </w:tcBorders>
            <w:shd w:val="clear" w:color="auto" w:fill="C6D9F1"/>
          </w:tcPr>
          <w:p w:rsidR="00F36A13" w:rsidRPr="00F36A13" w:rsidP="00CD244A" w14:paraId="57BEBADD" w14:textId="77777777">
            <w:pPr>
              <w:jc w:val="center"/>
              <w:rPr>
                <w:b/>
                <w:sz w:val="18"/>
                <w:szCs w:val="18"/>
              </w:rPr>
            </w:pPr>
            <w:r w:rsidRPr="00F36A13">
              <w:rPr>
                <w:b/>
                <w:sz w:val="18"/>
                <w:szCs w:val="18"/>
              </w:rPr>
              <w:t>Total Annual Cost</w:t>
            </w:r>
          </w:p>
          <w:p w:rsidR="00F36A13" w:rsidRPr="00F36A13" w:rsidP="00CD244A" w14:paraId="536E8F57" w14:textId="56716864">
            <w:pPr>
              <w:jc w:val="center"/>
              <w:rPr>
                <w:b/>
                <w:sz w:val="18"/>
                <w:szCs w:val="18"/>
              </w:rPr>
            </w:pPr>
          </w:p>
        </w:tc>
      </w:tr>
      <w:tr w14:paraId="3F5D71AB" w14:textId="0C34EA6C" w:rsidTr="00CD244A">
        <w:tblPrEx>
          <w:tblW w:w="10445" w:type="dxa"/>
          <w:jc w:val="center"/>
          <w:tblLayout w:type="fixed"/>
          <w:tblLook w:val="00A0"/>
        </w:tblPrEx>
        <w:trPr>
          <w:jc w:val="center"/>
        </w:trPr>
        <w:tc>
          <w:tcPr>
            <w:tcW w:w="1805" w:type="dxa"/>
            <w:tcBorders>
              <w:left w:val="single" w:sz="4" w:space="0" w:color="auto"/>
            </w:tcBorders>
          </w:tcPr>
          <w:p w:rsidR="00F36A13" w:rsidRPr="009C53B3" w:rsidP="00C443A3" w14:paraId="30F2D2BD" w14:textId="5B8053F1">
            <w:pPr>
              <w:rPr>
                <w:sz w:val="18"/>
                <w:szCs w:val="18"/>
              </w:rPr>
            </w:pPr>
            <w:bookmarkStart w:id="1" w:name="_Hlk136504922"/>
            <w:r w:rsidRPr="009C53B3">
              <w:rPr>
                <w:sz w:val="18"/>
                <w:szCs w:val="18"/>
              </w:rPr>
              <w:t>Project Narrative</w:t>
            </w:r>
          </w:p>
        </w:tc>
        <w:tc>
          <w:tcPr>
            <w:tcW w:w="1255" w:type="dxa"/>
          </w:tcPr>
          <w:p w:rsidR="00F36A13" w:rsidRPr="009C53B3" w:rsidP="00C443A3" w14:paraId="6E8B64E4" w14:textId="52BACB45">
            <w:pPr>
              <w:jc w:val="center"/>
              <w:rPr>
                <w:sz w:val="18"/>
                <w:szCs w:val="18"/>
              </w:rPr>
            </w:pPr>
            <w:r w:rsidRPr="009C53B3">
              <w:rPr>
                <w:sz w:val="18"/>
                <w:szCs w:val="18"/>
              </w:rPr>
              <w:t>100</w:t>
            </w:r>
          </w:p>
        </w:tc>
        <w:tc>
          <w:tcPr>
            <w:tcW w:w="1435" w:type="dxa"/>
          </w:tcPr>
          <w:p w:rsidR="00F36A13" w:rsidRPr="009C53B3" w:rsidP="00C443A3" w14:paraId="74AA7390" w14:textId="302DC42B">
            <w:pPr>
              <w:jc w:val="center"/>
              <w:rPr>
                <w:sz w:val="18"/>
                <w:szCs w:val="18"/>
              </w:rPr>
            </w:pPr>
            <w:r w:rsidRPr="009C53B3">
              <w:rPr>
                <w:sz w:val="18"/>
                <w:szCs w:val="18"/>
              </w:rPr>
              <w:t>4.86</w:t>
            </w:r>
          </w:p>
        </w:tc>
        <w:tc>
          <w:tcPr>
            <w:tcW w:w="1260" w:type="dxa"/>
          </w:tcPr>
          <w:p w:rsidR="00F36A13" w:rsidRPr="009C53B3" w:rsidP="00C443A3" w14:paraId="4A205B84" w14:textId="2FD0C09F">
            <w:pPr>
              <w:jc w:val="center"/>
              <w:rPr>
                <w:sz w:val="18"/>
                <w:szCs w:val="18"/>
              </w:rPr>
            </w:pPr>
            <w:r w:rsidRPr="009C53B3">
              <w:rPr>
                <w:sz w:val="18"/>
                <w:szCs w:val="18"/>
              </w:rPr>
              <w:t>486</w:t>
            </w:r>
          </w:p>
        </w:tc>
        <w:tc>
          <w:tcPr>
            <w:tcW w:w="1620" w:type="dxa"/>
          </w:tcPr>
          <w:p w:rsidR="00F36A13" w:rsidRPr="009C53B3" w:rsidP="00C443A3" w14:paraId="5663A8B3" w14:textId="241EA751">
            <w:pPr>
              <w:jc w:val="center"/>
              <w:rPr>
                <w:sz w:val="18"/>
                <w:szCs w:val="18"/>
              </w:rPr>
            </w:pPr>
            <w:r>
              <w:rPr>
                <w:sz w:val="18"/>
                <w:szCs w:val="18"/>
              </w:rPr>
              <w:t>30</w:t>
            </w:r>
          </w:p>
        </w:tc>
        <w:tc>
          <w:tcPr>
            <w:tcW w:w="900" w:type="dxa"/>
          </w:tcPr>
          <w:p w:rsidR="00F36A13" w:rsidRPr="009C53B3" w:rsidP="00C443A3" w14:paraId="484BBB63" w14:textId="5A0DB1E9">
            <w:pPr>
              <w:jc w:val="center"/>
              <w:rPr>
                <w:sz w:val="18"/>
                <w:szCs w:val="18"/>
              </w:rPr>
            </w:pPr>
            <w:r>
              <w:rPr>
                <w:sz w:val="18"/>
                <w:szCs w:val="18"/>
              </w:rPr>
              <w:t>14,580</w:t>
            </w:r>
          </w:p>
        </w:tc>
        <w:tc>
          <w:tcPr>
            <w:tcW w:w="900" w:type="dxa"/>
          </w:tcPr>
          <w:p w:rsidR="00F36A13" w:rsidRPr="009C53B3" w:rsidP="00C443A3" w14:paraId="00E8CBAA" w14:textId="6F269A02">
            <w:pPr>
              <w:jc w:val="center"/>
              <w:rPr>
                <w:sz w:val="18"/>
                <w:szCs w:val="18"/>
              </w:rPr>
            </w:pPr>
            <w:r w:rsidRPr="009C53B3">
              <w:rPr>
                <w:sz w:val="18"/>
                <w:szCs w:val="18"/>
              </w:rPr>
              <w:t>$</w:t>
            </w:r>
            <w:r w:rsidR="00F537F5">
              <w:rPr>
                <w:sz w:val="18"/>
                <w:szCs w:val="18"/>
              </w:rPr>
              <w:t>3</w:t>
            </w:r>
            <w:r w:rsidRPr="009C53B3">
              <w:rPr>
                <w:sz w:val="18"/>
                <w:szCs w:val="18"/>
              </w:rPr>
              <w:t>5</w:t>
            </w:r>
          </w:p>
        </w:tc>
        <w:tc>
          <w:tcPr>
            <w:tcW w:w="1270" w:type="dxa"/>
          </w:tcPr>
          <w:p w:rsidR="00F36A13" w:rsidRPr="009C53B3" w:rsidP="00C443A3" w14:paraId="6511FA36" w14:textId="13D5D6C3">
            <w:pPr>
              <w:jc w:val="center"/>
              <w:rPr>
                <w:bCs/>
                <w:sz w:val="18"/>
                <w:szCs w:val="18"/>
              </w:rPr>
            </w:pPr>
            <w:r>
              <w:rPr>
                <w:bCs/>
                <w:sz w:val="18"/>
                <w:szCs w:val="18"/>
              </w:rPr>
              <w:t>$</w:t>
            </w:r>
            <w:r w:rsidR="004156B0">
              <w:rPr>
                <w:bCs/>
                <w:sz w:val="18"/>
                <w:szCs w:val="18"/>
              </w:rPr>
              <w:t>510,300</w:t>
            </w:r>
          </w:p>
        </w:tc>
      </w:tr>
      <w:tr w14:paraId="119E76FD" w14:textId="7DB8E6AB" w:rsidTr="00CD244A">
        <w:tblPrEx>
          <w:tblW w:w="10445" w:type="dxa"/>
          <w:jc w:val="center"/>
          <w:tblLayout w:type="fixed"/>
          <w:tblLook w:val="00A0"/>
        </w:tblPrEx>
        <w:trPr>
          <w:jc w:val="center"/>
        </w:trPr>
        <w:tc>
          <w:tcPr>
            <w:tcW w:w="1805" w:type="dxa"/>
            <w:tcBorders>
              <w:left w:val="single" w:sz="4" w:space="0" w:color="auto"/>
              <w:bottom w:val="single" w:sz="4" w:space="0" w:color="auto"/>
            </w:tcBorders>
          </w:tcPr>
          <w:p w:rsidR="00F36A13" w:rsidRPr="009C53B3" w:rsidP="00C443A3" w14:paraId="4BEA2B8A" w14:textId="0BFBB3A4">
            <w:pPr>
              <w:rPr>
                <w:sz w:val="18"/>
                <w:szCs w:val="18"/>
              </w:rPr>
            </w:pPr>
            <w:r w:rsidRPr="009C53B3">
              <w:rPr>
                <w:sz w:val="18"/>
                <w:szCs w:val="18"/>
              </w:rPr>
              <w:t>Budget Narrative</w:t>
            </w:r>
          </w:p>
        </w:tc>
        <w:tc>
          <w:tcPr>
            <w:tcW w:w="1255" w:type="dxa"/>
            <w:tcBorders>
              <w:bottom w:val="single" w:sz="4" w:space="0" w:color="auto"/>
            </w:tcBorders>
          </w:tcPr>
          <w:p w:rsidR="00F36A13" w:rsidRPr="009C53B3" w:rsidP="00C443A3" w14:paraId="71951F1A" w14:textId="7A727572">
            <w:pPr>
              <w:jc w:val="center"/>
              <w:rPr>
                <w:sz w:val="18"/>
                <w:szCs w:val="18"/>
              </w:rPr>
            </w:pPr>
            <w:r w:rsidRPr="009C53B3">
              <w:rPr>
                <w:sz w:val="18"/>
                <w:szCs w:val="18"/>
              </w:rPr>
              <w:t>100</w:t>
            </w:r>
          </w:p>
        </w:tc>
        <w:tc>
          <w:tcPr>
            <w:tcW w:w="1435" w:type="dxa"/>
            <w:tcBorders>
              <w:bottom w:val="single" w:sz="4" w:space="0" w:color="auto"/>
            </w:tcBorders>
          </w:tcPr>
          <w:p w:rsidR="00F36A13" w:rsidRPr="009C53B3" w:rsidP="00C443A3" w14:paraId="00D71DB6" w14:textId="2630B733">
            <w:pPr>
              <w:jc w:val="center"/>
              <w:rPr>
                <w:sz w:val="18"/>
                <w:szCs w:val="18"/>
              </w:rPr>
            </w:pPr>
            <w:r w:rsidRPr="009C53B3">
              <w:rPr>
                <w:sz w:val="18"/>
                <w:szCs w:val="18"/>
              </w:rPr>
              <w:t>4.86</w:t>
            </w:r>
          </w:p>
        </w:tc>
        <w:tc>
          <w:tcPr>
            <w:tcW w:w="1260" w:type="dxa"/>
            <w:tcBorders>
              <w:bottom w:val="single" w:sz="4" w:space="0" w:color="auto"/>
            </w:tcBorders>
          </w:tcPr>
          <w:p w:rsidR="00F36A13" w:rsidRPr="009C53B3" w:rsidP="00C443A3" w14:paraId="579B8CEF" w14:textId="2F5E35CD">
            <w:pPr>
              <w:jc w:val="center"/>
              <w:rPr>
                <w:sz w:val="18"/>
                <w:szCs w:val="18"/>
              </w:rPr>
            </w:pPr>
            <w:r w:rsidRPr="009C53B3">
              <w:rPr>
                <w:sz w:val="18"/>
                <w:szCs w:val="18"/>
              </w:rPr>
              <w:t>486</w:t>
            </w:r>
          </w:p>
        </w:tc>
        <w:tc>
          <w:tcPr>
            <w:tcW w:w="1620" w:type="dxa"/>
            <w:tcBorders>
              <w:bottom w:val="single" w:sz="4" w:space="0" w:color="auto"/>
            </w:tcBorders>
          </w:tcPr>
          <w:p w:rsidR="00F36A13" w:rsidRPr="009C53B3" w:rsidP="00C443A3" w14:paraId="057A810C" w14:textId="66EDD83C">
            <w:pPr>
              <w:jc w:val="center"/>
              <w:rPr>
                <w:sz w:val="18"/>
                <w:szCs w:val="18"/>
              </w:rPr>
            </w:pPr>
            <w:r>
              <w:rPr>
                <w:sz w:val="18"/>
                <w:szCs w:val="18"/>
              </w:rPr>
              <w:t>1</w:t>
            </w:r>
            <w:r w:rsidR="000A3D42">
              <w:rPr>
                <w:sz w:val="18"/>
                <w:szCs w:val="18"/>
              </w:rPr>
              <w:t>5</w:t>
            </w:r>
          </w:p>
        </w:tc>
        <w:tc>
          <w:tcPr>
            <w:tcW w:w="900" w:type="dxa"/>
            <w:tcBorders>
              <w:bottom w:val="single" w:sz="4" w:space="0" w:color="auto"/>
            </w:tcBorders>
          </w:tcPr>
          <w:p w:rsidR="00F36A13" w:rsidRPr="009C53B3" w:rsidP="00C443A3" w14:paraId="47B56E98" w14:textId="7B956C77">
            <w:pPr>
              <w:jc w:val="center"/>
              <w:rPr>
                <w:sz w:val="18"/>
                <w:szCs w:val="18"/>
              </w:rPr>
            </w:pPr>
            <w:r>
              <w:rPr>
                <w:sz w:val="18"/>
                <w:szCs w:val="18"/>
              </w:rPr>
              <w:t>7,290</w:t>
            </w:r>
          </w:p>
        </w:tc>
        <w:tc>
          <w:tcPr>
            <w:tcW w:w="900" w:type="dxa"/>
            <w:tcBorders>
              <w:bottom w:val="single" w:sz="4" w:space="0" w:color="auto"/>
            </w:tcBorders>
          </w:tcPr>
          <w:p w:rsidR="00F36A13" w:rsidRPr="009C53B3" w:rsidP="00C443A3" w14:paraId="2A2C23C9" w14:textId="1D859036">
            <w:pPr>
              <w:jc w:val="center"/>
              <w:rPr>
                <w:sz w:val="18"/>
                <w:szCs w:val="18"/>
              </w:rPr>
            </w:pPr>
            <w:r w:rsidRPr="009C53B3">
              <w:rPr>
                <w:sz w:val="18"/>
                <w:szCs w:val="18"/>
              </w:rPr>
              <w:t>$</w:t>
            </w:r>
            <w:r w:rsidR="00F537F5">
              <w:rPr>
                <w:sz w:val="18"/>
                <w:szCs w:val="18"/>
              </w:rPr>
              <w:t>3</w:t>
            </w:r>
            <w:r w:rsidRPr="009C53B3">
              <w:rPr>
                <w:sz w:val="18"/>
                <w:szCs w:val="18"/>
              </w:rPr>
              <w:t>5</w:t>
            </w:r>
          </w:p>
        </w:tc>
        <w:tc>
          <w:tcPr>
            <w:tcW w:w="1270" w:type="dxa"/>
            <w:tcBorders>
              <w:bottom w:val="single" w:sz="4" w:space="0" w:color="auto"/>
            </w:tcBorders>
          </w:tcPr>
          <w:p w:rsidR="00F36A13" w:rsidRPr="009C53B3" w:rsidP="00C443A3" w14:paraId="39763465" w14:textId="1092210A">
            <w:pPr>
              <w:jc w:val="center"/>
              <w:rPr>
                <w:bCs/>
                <w:sz w:val="18"/>
                <w:szCs w:val="18"/>
              </w:rPr>
            </w:pPr>
            <w:r>
              <w:rPr>
                <w:bCs/>
                <w:sz w:val="18"/>
                <w:szCs w:val="18"/>
              </w:rPr>
              <w:t>$255,150</w:t>
            </w:r>
          </w:p>
        </w:tc>
      </w:tr>
      <w:tr w14:paraId="58FB3396" w14:textId="77777777" w:rsidTr="00CD244A">
        <w:tblPrEx>
          <w:tblW w:w="10445" w:type="dxa"/>
          <w:jc w:val="center"/>
          <w:tblLayout w:type="fixed"/>
          <w:tblLook w:val="00A0"/>
        </w:tblPrEx>
        <w:trPr>
          <w:jc w:val="center"/>
        </w:trPr>
        <w:tc>
          <w:tcPr>
            <w:tcW w:w="1805" w:type="dxa"/>
            <w:tcBorders>
              <w:left w:val="single" w:sz="4" w:space="0" w:color="auto"/>
              <w:bottom w:val="single" w:sz="4" w:space="0" w:color="auto"/>
            </w:tcBorders>
          </w:tcPr>
          <w:p w:rsidR="002F7896" w:rsidRPr="009C53B3" w:rsidP="0075380A" w14:paraId="0895078A" w14:textId="77777777">
            <w:pPr>
              <w:rPr>
                <w:sz w:val="18"/>
                <w:szCs w:val="18"/>
              </w:rPr>
            </w:pPr>
            <w:r w:rsidRPr="009C53B3">
              <w:rPr>
                <w:sz w:val="18"/>
                <w:szCs w:val="18"/>
              </w:rPr>
              <w:t>Performance Report</w:t>
            </w:r>
          </w:p>
        </w:tc>
        <w:tc>
          <w:tcPr>
            <w:tcW w:w="1255" w:type="dxa"/>
            <w:tcBorders>
              <w:bottom w:val="single" w:sz="4" w:space="0" w:color="auto"/>
            </w:tcBorders>
          </w:tcPr>
          <w:p w:rsidR="002F7896" w:rsidRPr="009C53B3" w:rsidP="0075380A" w14:paraId="584EFBF8" w14:textId="77777777">
            <w:pPr>
              <w:jc w:val="center"/>
              <w:rPr>
                <w:sz w:val="18"/>
                <w:szCs w:val="18"/>
              </w:rPr>
            </w:pPr>
            <w:r w:rsidRPr="009C53B3">
              <w:rPr>
                <w:sz w:val="18"/>
                <w:szCs w:val="18"/>
              </w:rPr>
              <w:t>99</w:t>
            </w:r>
          </w:p>
        </w:tc>
        <w:tc>
          <w:tcPr>
            <w:tcW w:w="1435" w:type="dxa"/>
            <w:tcBorders>
              <w:bottom w:val="single" w:sz="4" w:space="0" w:color="auto"/>
            </w:tcBorders>
          </w:tcPr>
          <w:p w:rsidR="002F7896" w:rsidRPr="009C53B3" w:rsidP="0075380A" w14:paraId="692533D4" w14:textId="77777777">
            <w:pPr>
              <w:jc w:val="center"/>
              <w:rPr>
                <w:sz w:val="18"/>
                <w:szCs w:val="18"/>
              </w:rPr>
            </w:pPr>
            <w:r w:rsidRPr="009C53B3">
              <w:rPr>
                <w:sz w:val="18"/>
                <w:szCs w:val="18"/>
              </w:rPr>
              <w:t>6.04</w:t>
            </w:r>
          </w:p>
        </w:tc>
        <w:tc>
          <w:tcPr>
            <w:tcW w:w="1260" w:type="dxa"/>
            <w:tcBorders>
              <w:bottom w:val="single" w:sz="4" w:space="0" w:color="auto"/>
            </w:tcBorders>
          </w:tcPr>
          <w:p w:rsidR="002F7896" w:rsidRPr="009C53B3" w:rsidP="0075380A" w14:paraId="53424AF1" w14:textId="77777777">
            <w:pPr>
              <w:jc w:val="center"/>
              <w:rPr>
                <w:sz w:val="18"/>
                <w:szCs w:val="18"/>
              </w:rPr>
            </w:pPr>
            <w:r w:rsidRPr="009C53B3">
              <w:rPr>
                <w:sz w:val="18"/>
                <w:szCs w:val="18"/>
              </w:rPr>
              <w:t>598</w:t>
            </w:r>
          </w:p>
        </w:tc>
        <w:tc>
          <w:tcPr>
            <w:tcW w:w="1620" w:type="dxa"/>
            <w:tcBorders>
              <w:bottom w:val="single" w:sz="4" w:space="0" w:color="auto"/>
            </w:tcBorders>
          </w:tcPr>
          <w:p w:rsidR="002F7896" w:rsidRPr="009C53B3" w:rsidP="0075380A" w14:paraId="3141F437" w14:textId="3550D9E3">
            <w:pPr>
              <w:jc w:val="center"/>
              <w:rPr>
                <w:sz w:val="18"/>
                <w:szCs w:val="18"/>
              </w:rPr>
            </w:pPr>
            <w:r>
              <w:rPr>
                <w:sz w:val="18"/>
                <w:szCs w:val="18"/>
              </w:rPr>
              <w:t>12</w:t>
            </w:r>
          </w:p>
        </w:tc>
        <w:tc>
          <w:tcPr>
            <w:tcW w:w="900" w:type="dxa"/>
            <w:tcBorders>
              <w:bottom w:val="single" w:sz="4" w:space="0" w:color="auto"/>
            </w:tcBorders>
          </w:tcPr>
          <w:p w:rsidR="002F7896" w:rsidRPr="009C53B3" w:rsidP="0075380A" w14:paraId="4A42B4B3" w14:textId="4CB2EC91">
            <w:pPr>
              <w:jc w:val="center"/>
              <w:rPr>
                <w:sz w:val="18"/>
                <w:szCs w:val="18"/>
              </w:rPr>
            </w:pPr>
            <w:r>
              <w:rPr>
                <w:sz w:val="18"/>
                <w:szCs w:val="18"/>
              </w:rPr>
              <w:t>7,176</w:t>
            </w:r>
          </w:p>
        </w:tc>
        <w:tc>
          <w:tcPr>
            <w:tcW w:w="900" w:type="dxa"/>
            <w:tcBorders>
              <w:bottom w:val="single" w:sz="4" w:space="0" w:color="auto"/>
            </w:tcBorders>
          </w:tcPr>
          <w:p w:rsidR="002F7896" w:rsidRPr="009C53B3" w:rsidP="0075380A" w14:paraId="7C1B253E" w14:textId="1854145B">
            <w:pPr>
              <w:jc w:val="center"/>
              <w:rPr>
                <w:sz w:val="18"/>
                <w:szCs w:val="18"/>
              </w:rPr>
            </w:pPr>
            <w:r w:rsidRPr="009C53B3">
              <w:rPr>
                <w:sz w:val="18"/>
                <w:szCs w:val="18"/>
              </w:rPr>
              <w:t>$</w:t>
            </w:r>
            <w:r w:rsidR="00F537F5">
              <w:rPr>
                <w:sz w:val="18"/>
                <w:szCs w:val="18"/>
              </w:rPr>
              <w:t>3</w:t>
            </w:r>
            <w:r w:rsidRPr="009C53B3">
              <w:rPr>
                <w:sz w:val="18"/>
                <w:szCs w:val="18"/>
              </w:rPr>
              <w:t>5</w:t>
            </w:r>
          </w:p>
        </w:tc>
        <w:tc>
          <w:tcPr>
            <w:tcW w:w="1270" w:type="dxa"/>
            <w:tcBorders>
              <w:bottom w:val="single" w:sz="4" w:space="0" w:color="auto"/>
            </w:tcBorders>
          </w:tcPr>
          <w:p w:rsidR="002F7896" w:rsidRPr="009C53B3" w:rsidP="0075380A" w14:paraId="3870C325" w14:textId="6894539D">
            <w:pPr>
              <w:jc w:val="center"/>
              <w:rPr>
                <w:bCs/>
                <w:sz w:val="18"/>
                <w:szCs w:val="18"/>
              </w:rPr>
            </w:pPr>
            <w:r>
              <w:rPr>
                <w:bCs/>
                <w:sz w:val="18"/>
                <w:szCs w:val="18"/>
              </w:rPr>
              <w:t>$251,160</w:t>
            </w:r>
          </w:p>
        </w:tc>
      </w:tr>
      <w:tr w14:paraId="6195B4D9" w14:textId="77777777" w:rsidTr="00CD244A">
        <w:tblPrEx>
          <w:tblW w:w="10445" w:type="dxa"/>
          <w:jc w:val="center"/>
          <w:tblLayout w:type="fixed"/>
          <w:tblLook w:val="00A0"/>
        </w:tblPrEx>
        <w:trPr>
          <w:jc w:val="center"/>
        </w:trPr>
        <w:tc>
          <w:tcPr>
            <w:tcW w:w="1805" w:type="dxa"/>
            <w:tcBorders>
              <w:left w:val="single" w:sz="4" w:space="0" w:color="auto"/>
              <w:bottom w:val="single" w:sz="4" w:space="0" w:color="auto"/>
            </w:tcBorders>
          </w:tcPr>
          <w:p w:rsidR="002F7896" w:rsidRPr="000007EF" w:rsidP="002F7896" w14:paraId="0C92905F" w14:textId="33D6BB38">
            <w:pPr>
              <w:rPr>
                <w:b/>
                <w:bCs/>
                <w:sz w:val="18"/>
                <w:szCs w:val="18"/>
              </w:rPr>
            </w:pPr>
            <w:r w:rsidRPr="000007EF">
              <w:rPr>
                <w:b/>
                <w:bCs/>
                <w:sz w:val="18"/>
                <w:szCs w:val="18"/>
              </w:rPr>
              <w:t>Totals</w:t>
            </w:r>
          </w:p>
        </w:tc>
        <w:tc>
          <w:tcPr>
            <w:tcW w:w="1255" w:type="dxa"/>
            <w:tcBorders>
              <w:bottom w:val="single" w:sz="4" w:space="0" w:color="auto"/>
            </w:tcBorders>
          </w:tcPr>
          <w:p w:rsidR="002F7896" w:rsidRPr="000007EF" w:rsidP="00C443A3" w14:paraId="6DB95018" w14:textId="67D3EBE7">
            <w:pPr>
              <w:jc w:val="center"/>
              <w:rPr>
                <w:b/>
                <w:bCs/>
                <w:sz w:val="18"/>
                <w:szCs w:val="18"/>
              </w:rPr>
            </w:pPr>
            <w:r w:rsidRPr="000007EF">
              <w:rPr>
                <w:b/>
                <w:bCs/>
                <w:sz w:val="18"/>
                <w:szCs w:val="18"/>
              </w:rPr>
              <w:t>100</w:t>
            </w:r>
          </w:p>
        </w:tc>
        <w:tc>
          <w:tcPr>
            <w:tcW w:w="1435" w:type="dxa"/>
            <w:tcBorders>
              <w:bottom w:val="single" w:sz="4" w:space="0" w:color="auto"/>
            </w:tcBorders>
          </w:tcPr>
          <w:p w:rsidR="002F7896" w:rsidRPr="000A3D42" w:rsidP="00C443A3" w14:paraId="7942A2C6" w14:textId="77777777">
            <w:pPr>
              <w:jc w:val="center"/>
              <w:rPr>
                <w:b/>
                <w:bCs/>
                <w:sz w:val="18"/>
                <w:szCs w:val="18"/>
              </w:rPr>
            </w:pPr>
          </w:p>
        </w:tc>
        <w:tc>
          <w:tcPr>
            <w:tcW w:w="1260" w:type="dxa"/>
            <w:tcBorders>
              <w:bottom w:val="single" w:sz="4" w:space="0" w:color="auto"/>
            </w:tcBorders>
          </w:tcPr>
          <w:p w:rsidR="002F7896" w:rsidRPr="000007EF" w:rsidP="00C443A3" w14:paraId="0C6B8217" w14:textId="53599EF1">
            <w:pPr>
              <w:jc w:val="center"/>
              <w:rPr>
                <w:b/>
                <w:bCs/>
                <w:sz w:val="18"/>
                <w:szCs w:val="18"/>
              </w:rPr>
            </w:pPr>
            <w:r>
              <w:rPr>
                <w:b/>
                <w:bCs/>
                <w:sz w:val="18"/>
                <w:szCs w:val="18"/>
              </w:rPr>
              <w:t>1,570</w:t>
            </w:r>
          </w:p>
        </w:tc>
        <w:tc>
          <w:tcPr>
            <w:tcW w:w="1620" w:type="dxa"/>
            <w:tcBorders>
              <w:bottom w:val="single" w:sz="4" w:space="0" w:color="auto"/>
            </w:tcBorders>
          </w:tcPr>
          <w:p w:rsidR="002F7896" w:rsidRPr="000007EF" w:rsidP="00C443A3" w14:paraId="136A5F16" w14:textId="77777777">
            <w:pPr>
              <w:jc w:val="center"/>
              <w:rPr>
                <w:b/>
                <w:bCs/>
                <w:sz w:val="18"/>
                <w:szCs w:val="18"/>
              </w:rPr>
            </w:pPr>
          </w:p>
        </w:tc>
        <w:tc>
          <w:tcPr>
            <w:tcW w:w="900" w:type="dxa"/>
            <w:tcBorders>
              <w:bottom w:val="single" w:sz="4" w:space="0" w:color="auto"/>
            </w:tcBorders>
          </w:tcPr>
          <w:p w:rsidR="002F7896" w:rsidRPr="000007EF" w:rsidP="00C443A3" w14:paraId="72CE8157" w14:textId="3817E6BB">
            <w:pPr>
              <w:jc w:val="center"/>
              <w:rPr>
                <w:b/>
                <w:bCs/>
                <w:sz w:val="18"/>
                <w:szCs w:val="18"/>
              </w:rPr>
            </w:pPr>
            <w:r>
              <w:rPr>
                <w:b/>
                <w:bCs/>
                <w:sz w:val="18"/>
                <w:szCs w:val="18"/>
              </w:rPr>
              <w:t>29,046</w:t>
            </w:r>
          </w:p>
        </w:tc>
        <w:tc>
          <w:tcPr>
            <w:tcW w:w="900" w:type="dxa"/>
            <w:tcBorders>
              <w:bottom w:val="single" w:sz="4" w:space="0" w:color="auto"/>
            </w:tcBorders>
          </w:tcPr>
          <w:p w:rsidR="002F7896" w:rsidRPr="000007EF" w:rsidP="00C443A3" w14:paraId="7744E934" w14:textId="77777777">
            <w:pPr>
              <w:jc w:val="center"/>
              <w:rPr>
                <w:b/>
                <w:bCs/>
                <w:sz w:val="18"/>
                <w:szCs w:val="18"/>
              </w:rPr>
            </w:pPr>
          </w:p>
        </w:tc>
        <w:tc>
          <w:tcPr>
            <w:tcW w:w="1270" w:type="dxa"/>
            <w:tcBorders>
              <w:bottom w:val="single" w:sz="4" w:space="0" w:color="auto"/>
            </w:tcBorders>
          </w:tcPr>
          <w:p w:rsidR="002F7896" w:rsidRPr="000007EF" w:rsidP="00C443A3" w14:paraId="29B360CF" w14:textId="13981484">
            <w:pPr>
              <w:jc w:val="center"/>
              <w:rPr>
                <w:b/>
                <w:bCs/>
                <w:sz w:val="18"/>
                <w:szCs w:val="18"/>
              </w:rPr>
            </w:pPr>
            <w:r>
              <w:rPr>
                <w:b/>
                <w:bCs/>
                <w:sz w:val="18"/>
                <w:szCs w:val="18"/>
              </w:rPr>
              <w:t>$1,0</w:t>
            </w:r>
            <w:r w:rsidR="0064685F">
              <w:rPr>
                <w:b/>
                <w:bCs/>
                <w:sz w:val="18"/>
                <w:szCs w:val="18"/>
              </w:rPr>
              <w:t>1</w:t>
            </w:r>
            <w:r>
              <w:rPr>
                <w:b/>
                <w:bCs/>
                <w:sz w:val="18"/>
                <w:szCs w:val="18"/>
              </w:rPr>
              <w:t>6,6</w:t>
            </w:r>
            <w:r w:rsidR="0064685F">
              <w:rPr>
                <w:b/>
                <w:bCs/>
                <w:sz w:val="18"/>
                <w:szCs w:val="18"/>
              </w:rPr>
              <w:t>1</w:t>
            </w:r>
            <w:r>
              <w:rPr>
                <w:b/>
                <w:bCs/>
                <w:sz w:val="18"/>
                <w:szCs w:val="18"/>
              </w:rPr>
              <w:t>0</w:t>
            </w:r>
          </w:p>
        </w:tc>
      </w:tr>
      <w:bookmarkEnd w:id="1"/>
    </w:tbl>
    <w:p w:rsidR="000A3D42" w:rsidP="00EF1BFD" w14:paraId="26AA2267" w14:textId="77777777">
      <w:pPr>
        <w:rPr>
          <w:b/>
          <w:sz w:val="22"/>
          <w:szCs w:val="22"/>
        </w:rPr>
      </w:pPr>
    </w:p>
    <w:p w:rsidR="00954B41" w:rsidRPr="00FC6446" w:rsidP="00954B41" w14:paraId="7E6ED38A" w14:textId="559A604C">
      <w:pPr>
        <w:rPr>
          <w:i/>
          <w:sz w:val="22"/>
          <w:szCs w:val="22"/>
        </w:rPr>
      </w:pPr>
      <w:bookmarkStart w:id="2" w:name="_Hlk103587053"/>
      <w:r w:rsidRPr="005F12D8">
        <w:rPr>
          <w:i/>
          <w:sz w:val="22"/>
          <w:szCs w:val="22"/>
        </w:rPr>
        <w:t>*Cost include</w:t>
      </w:r>
      <w:r w:rsidR="00756293">
        <w:rPr>
          <w:i/>
          <w:sz w:val="22"/>
          <w:szCs w:val="22"/>
        </w:rPr>
        <w:t>s</w:t>
      </w:r>
      <w:r w:rsidRPr="005F12D8">
        <w:rPr>
          <w:i/>
          <w:sz w:val="22"/>
          <w:szCs w:val="22"/>
        </w:rPr>
        <w:t xml:space="preserve"> fringe benefits</w:t>
      </w:r>
    </w:p>
    <w:bookmarkEnd w:id="2"/>
    <w:p w:rsidR="00954B41" w:rsidP="00954B41" w14:paraId="7CB65E40" w14:textId="77777777">
      <w:pPr>
        <w:rPr>
          <w:i/>
          <w:sz w:val="22"/>
          <w:szCs w:val="22"/>
        </w:rPr>
      </w:pPr>
    </w:p>
    <w:p w:rsidR="00954B41" w:rsidRPr="00573ED7" w:rsidP="00383255" w14:paraId="7B4AA6AC" w14:textId="2999C468">
      <w:pPr>
        <w:ind w:left="360"/>
        <w:rPr>
          <w:sz w:val="22"/>
          <w:szCs w:val="22"/>
        </w:rPr>
      </w:pPr>
      <w:r w:rsidRPr="00383255">
        <w:rPr>
          <w:sz w:val="22"/>
          <w:szCs w:val="22"/>
        </w:rPr>
        <w:t xml:space="preserve">Average hourly cost is estimated at </w:t>
      </w:r>
      <w:r w:rsidR="00B65A56">
        <w:rPr>
          <w:sz w:val="22"/>
          <w:szCs w:val="22"/>
        </w:rPr>
        <w:t xml:space="preserve">approximately </w:t>
      </w:r>
      <w:r w:rsidRPr="00383255">
        <w:rPr>
          <w:sz w:val="22"/>
          <w:szCs w:val="22"/>
        </w:rPr>
        <w:t>$</w:t>
      </w:r>
      <w:r w:rsidR="001F2E97">
        <w:rPr>
          <w:sz w:val="22"/>
          <w:szCs w:val="22"/>
        </w:rPr>
        <w:t>35</w:t>
      </w:r>
      <w:r w:rsidRPr="00383255">
        <w:rPr>
          <w:sz w:val="22"/>
          <w:szCs w:val="22"/>
        </w:rPr>
        <w:t xml:space="preserve"> for participants.  This hourly cost is based on</w:t>
      </w:r>
      <w:r w:rsidR="00E37C0F">
        <w:rPr>
          <w:sz w:val="22"/>
          <w:szCs w:val="22"/>
        </w:rPr>
        <w:t xml:space="preserve"> specific feedback from queried participants, which is not inconsistent with FAS’ internal projected calculation</w:t>
      </w:r>
      <w:r w:rsidRPr="000014AF">
        <w:rPr>
          <w:sz w:val="22"/>
          <w:szCs w:val="22"/>
        </w:rPr>
        <w:t>.  The total annual estimated burden in dollars is $</w:t>
      </w:r>
      <w:r w:rsidR="00D74F2E">
        <w:rPr>
          <w:sz w:val="22"/>
          <w:szCs w:val="22"/>
        </w:rPr>
        <w:t>1,016,610</w:t>
      </w:r>
      <w:r w:rsidR="00EB4A52">
        <w:rPr>
          <w:sz w:val="22"/>
          <w:szCs w:val="22"/>
        </w:rPr>
        <w:t xml:space="preserve"> and includes fringe benefits.</w:t>
      </w:r>
    </w:p>
    <w:p w:rsidR="00954B41" w14:paraId="77DF0019" w14:textId="77777777">
      <w:pPr>
        <w:tabs>
          <w:tab w:val="left" w:pos="360"/>
        </w:tabs>
        <w:ind w:left="360" w:hanging="360"/>
        <w:rPr>
          <w:color w:val="000000"/>
          <w:sz w:val="18"/>
        </w:rPr>
      </w:pPr>
    </w:p>
    <w:p w:rsidR="00722469" w:rsidRPr="00F83286" w:rsidP="00722469" w14:paraId="27F6691C" w14:textId="77777777">
      <w:pPr>
        <w:keepLines/>
        <w:tabs>
          <w:tab w:val="left" w:pos="360"/>
        </w:tabs>
        <w:spacing w:after="80"/>
        <w:ind w:left="360" w:hanging="360"/>
        <w:rPr>
          <w:b/>
          <w:bCs/>
          <w:color w:val="000000"/>
          <w:sz w:val="22"/>
        </w:rPr>
      </w:pPr>
      <w:r w:rsidRPr="003B318A">
        <w:rPr>
          <w:b/>
          <w:bCs/>
          <w:color w:val="000000"/>
          <w:sz w:val="18"/>
        </w:rPr>
        <w:t>13.</w:t>
      </w:r>
      <w:r w:rsidRPr="003B318A">
        <w:rPr>
          <w:b/>
          <w:bCs/>
          <w:color w:val="000000"/>
          <w:sz w:val="18"/>
        </w:rPr>
        <w:tab/>
      </w:r>
      <w:r w:rsidRPr="003B318A">
        <w:rPr>
          <w:b/>
          <w:bCs/>
          <w:color w:val="000000"/>
          <w:sz w:val="22"/>
        </w:rPr>
        <w:t>Estimate of the annual cost to respondents or recordkeepers (do not include the cost of hour burden shown in Items 12 and 14).  Read the complete instructions on the form 83i.</w:t>
      </w:r>
    </w:p>
    <w:p w:rsidR="00D15ED4" w:rsidRPr="008473B6" w:rsidP="00B25B30" w14:paraId="05FBCE15" w14:textId="77777777">
      <w:pPr>
        <w:tabs>
          <w:tab w:val="left" w:pos="360"/>
        </w:tabs>
        <w:rPr>
          <w:color w:val="000000"/>
          <w:sz w:val="22"/>
          <w:szCs w:val="22"/>
        </w:rPr>
      </w:pPr>
    </w:p>
    <w:p w:rsidR="00722469" w:rsidRPr="00F83286" w:rsidP="00722469" w14:paraId="398F3A9A" w14:textId="77777777">
      <w:pPr>
        <w:keepLines/>
        <w:tabs>
          <w:tab w:val="left" w:pos="360"/>
        </w:tabs>
        <w:spacing w:after="80"/>
        <w:ind w:left="360" w:hanging="360"/>
        <w:rPr>
          <w:b/>
          <w:bCs/>
          <w:color w:val="000000"/>
          <w:sz w:val="22"/>
        </w:rPr>
      </w:pPr>
      <w:r w:rsidRPr="003B318A">
        <w:rPr>
          <w:b/>
          <w:bCs/>
          <w:color w:val="000000"/>
          <w:sz w:val="18"/>
        </w:rPr>
        <w:t>14.</w:t>
      </w:r>
      <w:r w:rsidRPr="003B318A">
        <w:rPr>
          <w:b/>
          <w:bCs/>
          <w:color w:val="000000"/>
          <w:sz w:val="18"/>
        </w:rPr>
        <w:tab/>
      </w:r>
      <w:r w:rsidRPr="003B318A" w:rsidR="00070EFE">
        <w:rPr>
          <w:b/>
          <w:bCs/>
          <w:color w:val="000000"/>
          <w:sz w:val="18"/>
        </w:rPr>
        <w:t>E</w:t>
      </w:r>
      <w:r w:rsidRPr="003B318A">
        <w:rPr>
          <w:b/>
          <w:bCs/>
          <w:color w:val="000000"/>
          <w:sz w:val="22"/>
        </w:rPr>
        <w:t>stimate annualized costs to the Federal government.</w:t>
      </w:r>
    </w:p>
    <w:p w:rsidR="00722469" w:rsidP="00722469" w14:paraId="7FD808C5" w14:textId="77777777">
      <w:pPr>
        <w:tabs>
          <w:tab w:val="left" w:pos="360"/>
        </w:tabs>
        <w:ind w:left="360" w:hanging="360"/>
        <w:rPr>
          <w:color w:val="000000"/>
          <w:sz w:val="18"/>
        </w:rPr>
      </w:pPr>
    </w:p>
    <w:tbl>
      <w:tblPr>
        <w:tblW w:w="10620" w:type="dxa"/>
        <w:tblInd w:w="-9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tblPr>
      <w:tblGrid>
        <w:gridCol w:w="1710"/>
        <w:gridCol w:w="1197"/>
        <w:gridCol w:w="1233"/>
        <w:gridCol w:w="1080"/>
        <w:gridCol w:w="1440"/>
        <w:gridCol w:w="1260"/>
        <w:gridCol w:w="1350"/>
        <w:gridCol w:w="1350"/>
      </w:tblGrid>
      <w:tr w14:paraId="59798182" w14:textId="77777777" w:rsidTr="00CD244A">
        <w:tblPrEx>
          <w:tblW w:w="10620" w:type="dxa"/>
          <w:tblInd w:w="-9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tblPrEx>
        <w:trPr>
          <w:trHeight w:val="796"/>
        </w:trPr>
        <w:tc>
          <w:tcPr>
            <w:tcW w:w="1710" w:type="dxa"/>
            <w:shd w:val="clear" w:color="000000" w:fill="C6E0B4"/>
            <w:vAlign w:val="center"/>
            <w:hideMark/>
          </w:tcPr>
          <w:p w:rsidR="009C53B3" w:rsidRPr="009C53B3" w:rsidP="009C53B3" w14:paraId="749C68D4" w14:textId="7D7C382A">
            <w:pPr>
              <w:overflowPunct/>
              <w:autoSpaceDE/>
              <w:autoSpaceDN/>
              <w:adjustRightInd/>
              <w:jc w:val="center"/>
              <w:textAlignment w:val="auto"/>
              <w:rPr>
                <w:b/>
                <w:bCs/>
                <w:color w:val="000000"/>
                <w:sz w:val="18"/>
                <w:szCs w:val="18"/>
              </w:rPr>
            </w:pPr>
            <w:r w:rsidRPr="009C53B3">
              <w:rPr>
                <w:b/>
                <w:bCs/>
                <w:color w:val="000000"/>
                <w:sz w:val="18"/>
                <w:szCs w:val="18"/>
              </w:rPr>
              <w:t xml:space="preserve">Information Collection </w:t>
            </w:r>
          </w:p>
        </w:tc>
        <w:tc>
          <w:tcPr>
            <w:tcW w:w="1197" w:type="dxa"/>
            <w:shd w:val="clear" w:color="000000" w:fill="C6E0B4"/>
            <w:vAlign w:val="center"/>
          </w:tcPr>
          <w:p w:rsidR="009C53B3" w:rsidRPr="009C53B3" w:rsidP="009C53B3" w14:paraId="1DB53770" w14:textId="60ACAE3E">
            <w:pPr>
              <w:overflowPunct/>
              <w:autoSpaceDE/>
              <w:autoSpaceDN/>
              <w:adjustRightInd/>
              <w:jc w:val="center"/>
              <w:textAlignment w:val="auto"/>
              <w:rPr>
                <w:b/>
                <w:bCs/>
                <w:color w:val="000000"/>
                <w:sz w:val="18"/>
                <w:szCs w:val="18"/>
              </w:rPr>
            </w:pPr>
            <w:r w:rsidRPr="009C53B3">
              <w:rPr>
                <w:b/>
                <w:bCs/>
                <w:color w:val="000000"/>
                <w:sz w:val="18"/>
                <w:szCs w:val="18"/>
              </w:rPr>
              <w:t>Number of Respondents</w:t>
            </w:r>
          </w:p>
        </w:tc>
        <w:tc>
          <w:tcPr>
            <w:tcW w:w="1233" w:type="dxa"/>
            <w:shd w:val="clear" w:color="000000" w:fill="C6E0B4"/>
            <w:vAlign w:val="center"/>
          </w:tcPr>
          <w:p w:rsidR="009C53B3" w:rsidRPr="009C53B3" w:rsidP="009C53B3" w14:paraId="2C9870A9" w14:textId="5BA561C7">
            <w:pPr>
              <w:overflowPunct/>
              <w:autoSpaceDE/>
              <w:autoSpaceDN/>
              <w:adjustRightInd/>
              <w:jc w:val="center"/>
              <w:textAlignment w:val="auto"/>
              <w:rPr>
                <w:b/>
                <w:bCs/>
                <w:color w:val="000000"/>
                <w:sz w:val="18"/>
                <w:szCs w:val="18"/>
              </w:rPr>
            </w:pPr>
            <w:r w:rsidRPr="009C53B3">
              <w:rPr>
                <w:b/>
                <w:bCs/>
                <w:color w:val="000000"/>
                <w:sz w:val="18"/>
                <w:szCs w:val="18"/>
              </w:rPr>
              <w:t>Number of Responses per Respondents</w:t>
            </w:r>
          </w:p>
        </w:tc>
        <w:tc>
          <w:tcPr>
            <w:tcW w:w="1080" w:type="dxa"/>
            <w:shd w:val="clear" w:color="000000" w:fill="C6E0B4"/>
            <w:vAlign w:val="center"/>
          </w:tcPr>
          <w:p w:rsidR="009C53B3" w:rsidRPr="009C53B3" w:rsidP="009C53B3" w14:paraId="7F6E7B25" w14:textId="72A506A7">
            <w:pPr>
              <w:overflowPunct/>
              <w:autoSpaceDE/>
              <w:autoSpaceDN/>
              <w:adjustRightInd/>
              <w:jc w:val="center"/>
              <w:textAlignment w:val="auto"/>
              <w:rPr>
                <w:b/>
                <w:bCs/>
                <w:color w:val="000000"/>
                <w:sz w:val="18"/>
                <w:szCs w:val="18"/>
              </w:rPr>
            </w:pPr>
            <w:r w:rsidRPr="009C53B3">
              <w:rPr>
                <w:b/>
                <w:bCs/>
                <w:color w:val="000000"/>
                <w:sz w:val="18"/>
                <w:szCs w:val="18"/>
              </w:rPr>
              <w:t>Total Annual Responses</w:t>
            </w:r>
          </w:p>
        </w:tc>
        <w:tc>
          <w:tcPr>
            <w:tcW w:w="1440" w:type="dxa"/>
            <w:shd w:val="clear" w:color="000000" w:fill="C6E0B4"/>
            <w:vAlign w:val="center"/>
            <w:hideMark/>
          </w:tcPr>
          <w:p w:rsidR="009C53B3" w:rsidRPr="009C53B3" w:rsidP="009C53B3" w14:paraId="377EF218" w14:textId="77777777">
            <w:pPr>
              <w:overflowPunct/>
              <w:autoSpaceDE/>
              <w:autoSpaceDN/>
              <w:adjustRightInd/>
              <w:jc w:val="center"/>
              <w:textAlignment w:val="auto"/>
              <w:rPr>
                <w:b/>
                <w:bCs/>
                <w:color w:val="000000"/>
                <w:sz w:val="18"/>
                <w:szCs w:val="18"/>
              </w:rPr>
            </w:pPr>
            <w:r w:rsidRPr="009C53B3">
              <w:rPr>
                <w:b/>
                <w:bCs/>
                <w:color w:val="000000"/>
                <w:sz w:val="18"/>
                <w:szCs w:val="18"/>
              </w:rPr>
              <w:t>Burden Hours/Minutes per Response</w:t>
            </w:r>
          </w:p>
        </w:tc>
        <w:tc>
          <w:tcPr>
            <w:tcW w:w="1260" w:type="dxa"/>
            <w:shd w:val="clear" w:color="000000" w:fill="C6E0B4"/>
            <w:vAlign w:val="center"/>
            <w:hideMark/>
          </w:tcPr>
          <w:p w:rsidR="009C53B3" w:rsidRPr="009C53B3" w:rsidP="009C53B3" w14:paraId="1C1A4495" w14:textId="77777777">
            <w:pPr>
              <w:overflowPunct/>
              <w:autoSpaceDE/>
              <w:autoSpaceDN/>
              <w:adjustRightInd/>
              <w:jc w:val="center"/>
              <w:textAlignment w:val="auto"/>
              <w:rPr>
                <w:b/>
                <w:bCs/>
                <w:color w:val="000000"/>
                <w:sz w:val="18"/>
                <w:szCs w:val="18"/>
              </w:rPr>
            </w:pPr>
            <w:r w:rsidRPr="009C53B3">
              <w:rPr>
                <w:b/>
                <w:bCs/>
                <w:color w:val="000000"/>
                <w:sz w:val="18"/>
                <w:szCs w:val="18"/>
              </w:rPr>
              <w:t>Total Government Burden Hours</w:t>
            </w:r>
          </w:p>
        </w:tc>
        <w:tc>
          <w:tcPr>
            <w:tcW w:w="1350" w:type="dxa"/>
            <w:shd w:val="clear" w:color="000000" w:fill="C6E0B4"/>
            <w:vAlign w:val="center"/>
            <w:hideMark/>
          </w:tcPr>
          <w:p w:rsidR="009C53B3" w:rsidRPr="009C53B3" w:rsidP="009C53B3" w14:paraId="36C5D502" w14:textId="405D507F">
            <w:pPr>
              <w:overflowPunct/>
              <w:autoSpaceDE/>
              <w:autoSpaceDN/>
              <w:adjustRightInd/>
              <w:jc w:val="center"/>
              <w:textAlignment w:val="auto"/>
              <w:rPr>
                <w:b/>
                <w:bCs/>
                <w:color w:val="000000"/>
                <w:sz w:val="18"/>
                <w:szCs w:val="18"/>
              </w:rPr>
            </w:pPr>
            <w:r>
              <w:rPr>
                <w:b/>
                <w:bCs/>
                <w:color w:val="000000"/>
                <w:sz w:val="18"/>
                <w:szCs w:val="18"/>
              </w:rPr>
              <w:t>*</w:t>
            </w:r>
            <w:r w:rsidRPr="009C53B3">
              <w:rPr>
                <w:b/>
                <w:bCs/>
                <w:color w:val="000000"/>
                <w:sz w:val="18"/>
                <w:szCs w:val="18"/>
              </w:rPr>
              <w:t xml:space="preserve">Government </w:t>
            </w:r>
            <w:r w:rsidR="00954B41">
              <w:rPr>
                <w:b/>
                <w:bCs/>
                <w:color w:val="000000"/>
                <w:sz w:val="18"/>
                <w:szCs w:val="18"/>
              </w:rPr>
              <w:t>Hourly</w:t>
            </w:r>
            <w:r w:rsidRPr="009C53B3" w:rsidR="00954B41">
              <w:rPr>
                <w:b/>
                <w:bCs/>
                <w:color w:val="000000"/>
                <w:sz w:val="18"/>
                <w:szCs w:val="18"/>
              </w:rPr>
              <w:t xml:space="preserve"> </w:t>
            </w:r>
            <w:r w:rsidR="00954B41">
              <w:rPr>
                <w:b/>
                <w:bCs/>
                <w:color w:val="000000"/>
                <w:sz w:val="18"/>
                <w:szCs w:val="18"/>
              </w:rPr>
              <w:t>Cost</w:t>
            </w:r>
            <w:r w:rsidRPr="009C53B3" w:rsidR="00954B41">
              <w:rPr>
                <w:b/>
                <w:bCs/>
                <w:color w:val="000000"/>
                <w:sz w:val="18"/>
                <w:szCs w:val="18"/>
              </w:rPr>
              <w:t xml:space="preserve"> </w:t>
            </w:r>
          </w:p>
        </w:tc>
        <w:tc>
          <w:tcPr>
            <w:tcW w:w="1350" w:type="dxa"/>
            <w:shd w:val="clear" w:color="000000" w:fill="C6E0B4"/>
            <w:vAlign w:val="center"/>
            <w:hideMark/>
          </w:tcPr>
          <w:p w:rsidR="009C53B3" w:rsidRPr="009C53B3" w:rsidP="009C53B3" w14:paraId="5E896F23" w14:textId="618959C1">
            <w:pPr>
              <w:overflowPunct/>
              <w:autoSpaceDE/>
              <w:autoSpaceDN/>
              <w:adjustRightInd/>
              <w:jc w:val="center"/>
              <w:textAlignment w:val="auto"/>
              <w:rPr>
                <w:b/>
                <w:bCs/>
                <w:color w:val="000000"/>
                <w:sz w:val="18"/>
                <w:szCs w:val="18"/>
              </w:rPr>
            </w:pPr>
            <w:r w:rsidRPr="009C53B3">
              <w:rPr>
                <w:b/>
                <w:bCs/>
                <w:color w:val="000000"/>
                <w:sz w:val="18"/>
                <w:szCs w:val="18"/>
              </w:rPr>
              <w:t xml:space="preserve">Total Government </w:t>
            </w:r>
            <w:r w:rsidR="002C7DCB">
              <w:rPr>
                <w:b/>
                <w:bCs/>
                <w:color w:val="000000"/>
                <w:sz w:val="18"/>
                <w:szCs w:val="18"/>
              </w:rPr>
              <w:t>Annual</w:t>
            </w:r>
            <w:r w:rsidRPr="009C53B3" w:rsidR="002C7DCB">
              <w:rPr>
                <w:b/>
                <w:bCs/>
                <w:color w:val="000000"/>
                <w:sz w:val="18"/>
                <w:szCs w:val="18"/>
              </w:rPr>
              <w:t xml:space="preserve"> </w:t>
            </w:r>
            <w:r w:rsidRPr="009C53B3">
              <w:rPr>
                <w:b/>
                <w:bCs/>
                <w:color w:val="000000"/>
                <w:sz w:val="18"/>
                <w:szCs w:val="18"/>
              </w:rPr>
              <w:t>Costs</w:t>
            </w:r>
          </w:p>
        </w:tc>
      </w:tr>
      <w:tr w14:paraId="6EA861C8" w14:textId="19F8D3B1" w:rsidTr="00CD244A">
        <w:tblPrEx>
          <w:tblW w:w="106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710" w:type="dxa"/>
            <w:tcBorders>
              <w:left w:val="single" w:sz="4" w:space="0" w:color="auto"/>
            </w:tcBorders>
          </w:tcPr>
          <w:p w:rsidR="002F7896" w:rsidRPr="00A76D7D" w:rsidP="002F7896" w14:paraId="67317026" w14:textId="01A4DCDE">
            <w:pPr>
              <w:rPr>
                <w:bCs/>
                <w:sz w:val="18"/>
                <w:szCs w:val="18"/>
              </w:rPr>
            </w:pPr>
            <w:r w:rsidRPr="009C53B3">
              <w:rPr>
                <w:sz w:val="18"/>
                <w:szCs w:val="18"/>
              </w:rPr>
              <w:t>Project Narrative</w:t>
            </w:r>
          </w:p>
        </w:tc>
        <w:tc>
          <w:tcPr>
            <w:tcW w:w="1197" w:type="dxa"/>
            <w:tcBorders>
              <w:left w:val="single" w:sz="4" w:space="0" w:color="auto"/>
            </w:tcBorders>
          </w:tcPr>
          <w:p w:rsidR="002F7896" w:rsidRPr="00A76D7D" w:rsidP="002F7896" w14:paraId="7C8A071D" w14:textId="71CAB8CC">
            <w:pPr>
              <w:rPr>
                <w:bCs/>
                <w:sz w:val="18"/>
                <w:szCs w:val="18"/>
              </w:rPr>
            </w:pPr>
            <w:r w:rsidRPr="009C53B3">
              <w:rPr>
                <w:sz w:val="18"/>
                <w:szCs w:val="18"/>
              </w:rPr>
              <w:t>100</w:t>
            </w:r>
          </w:p>
        </w:tc>
        <w:tc>
          <w:tcPr>
            <w:tcW w:w="1233" w:type="dxa"/>
            <w:tcBorders>
              <w:left w:val="single" w:sz="4" w:space="0" w:color="auto"/>
            </w:tcBorders>
          </w:tcPr>
          <w:p w:rsidR="002F7896" w:rsidRPr="00A76D7D" w:rsidP="002F7896" w14:paraId="3F83C9AB" w14:textId="092057D8">
            <w:pPr>
              <w:rPr>
                <w:bCs/>
                <w:sz w:val="18"/>
                <w:szCs w:val="18"/>
              </w:rPr>
            </w:pPr>
            <w:r w:rsidRPr="009C53B3">
              <w:rPr>
                <w:sz w:val="18"/>
                <w:szCs w:val="18"/>
              </w:rPr>
              <w:t>4.86</w:t>
            </w:r>
          </w:p>
        </w:tc>
        <w:tc>
          <w:tcPr>
            <w:tcW w:w="1080" w:type="dxa"/>
            <w:tcBorders>
              <w:left w:val="single" w:sz="4" w:space="0" w:color="auto"/>
              <w:right w:val="single" w:sz="4" w:space="0" w:color="auto"/>
            </w:tcBorders>
          </w:tcPr>
          <w:p w:rsidR="002F7896" w:rsidRPr="00A76D7D" w:rsidP="002F7896" w14:paraId="70F2AC82" w14:textId="38D6C0BA">
            <w:pPr>
              <w:rPr>
                <w:bCs/>
                <w:sz w:val="18"/>
                <w:szCs w:val="18"/>
              </w:rPr>
            </w:pPr>
            <w:r w:rsidRPr="009C53B3">
              <w:rPr>
                <w:sz w:val="18"/>
                <w:szCs w:val="18"/>
              </w:rPr>
              <w:t>486</w:t>
            </w:r>
          </w:p>
        </w:tc>
        <w:tc>
          <w:tcPr>
            <w:tcW w:w="1440" w:type="dxa"/>
            <w:tcBorders>
              <w:left w:val="single" w:sz="4" w:space="0" w:color="auto"/>
            </w:tcBorders>
          </w:tcPr>
          <w:p w:rsidR="002F7896" w:rsidRPr="00A76D7D" w:rsidP="002F7896" w14:paraId="1581B8B9" w14:textId="437DA6F4">
            <w:pPr>
              <w:rPr>
                <w:bCs/>
                <w:sz w:val="18"/>
                <w:szCs w:val="18"/>
              </w:rPr>
            </w:pPr>
            <w:r>
              <w:rPr>
                <w:bCs/>
                <w:sz w:val="18"/>
                <w:szCs w:val="18"/>
              </w:rPr>
              <w:t>3.0</w:t>
            </w:r>
          </w:p>
        </w:tc>
        <w:tc>
          <w:tcPr>
            <w:tcW w:w="1260" w:type="dxa"/>
            <w:tcBorders>
              <w:left w:val="single" w:sz="4" w:space="0" w:color="auto"/>
              <w:right w:val="single" w:sz="4" w:space="0" w:color="auto"/>
            </w:tcBorders>
          </w:tcPr>
          <w:p w:rsidR="002F7896" w:rsidRPr="00A76D7D" w:rsidP="002F7896" w14:paraId="0EA7D36E" w14:textId="64FF8A7E">
            <w:pPr>
              <w:rPr>
                <w:bCs/>
                <w:sz w:val="18"/>
                <w:szCs w:val="18"/>
              </w:rPr>
            </w:pPr>
            <w:r>
              <w:rPr>
                <w:bCs/>
                <w:sz w:val="18"/>
                <w:szCs w:val="18"/>
              </w:rPr>
              <w:t>1,458</w:t>
            </w:r>
          </w:p>
        </w:tc>
        <w:tc>
          <w:tcPr>
            <w:tcW w:w="1350" w:type="dxa"/>
            <w:tcBorders>
              <w:left w:val="single" w:sz="4" w:space="0" w:color="auto"/>
              <w:right w:val="single" w:sz="4" w:space="0" w:color="auto"/>
            </w:tcBorders>
          </w:tcPr>
          <w:p w:rsidR="002F7896" w:rsidRPr="00A76D7D" w:rsidP="002F7896" w14:paraId="32F07995" w14:textId="59FECE85">
            <w:pPr>
              <w:rPr>
                <w:bCs/>
                <w:sz w:val="18"/>
                <w:szCs w:val="18"/>
              </w:rPr>
            </w:pPr>
            <w:r>
              <w:rPr>
                <w:bCs/>
                <w:sz w:val="18"/>
                <w:szCs w:val="18"/>
              </w:rPr>
              <w:t>$62.26</w:t>
            </w:r>
          </w:p>
        </w:tc>
        <w:tc>
          <w:tcPr>
            <w:tcW w:w="1350" w:type="dxa"/>
            <w:tcBorders>
              <w:left w:val="single" w:sz="4" w:space="0" w:color="auto"/>
            </w:tcBorders>
          </w:tcPr>
          <w:p w:rsidR="002F7896" w:rsidRPr="00A76D7D" w:rsidP="002F7896" w14:paraId="4E752285" w14:textId="7F5B78D6">
            <w:pPr>
              <w:rPr>
                <w:bCs/>
                <w:sz w:val="18"/>
                <w:szCs w:val="18"/>
              </w:rPr>
            </w:pPr>
            <w:r>
              <w:rPr>
                <w:bCs/>
                <w:sz w:val="18"/>
                <w:szCs w:val="18"/>
              </w:rPr>
              <w:t>$90,775</w:t>
            </w:r>
          </w:p>
        </w:tc>
      </w:tr>
      <w:tr w14:paraId="670FBCD8" w14:textId="2C984AE7" w:rsidTr="00CD244A">
        <w:tblPrEx>
          <w:tblW w:w="106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710" w:type="dxa"/>
            <w:tcBorders>
              <w:left w:val="single" w:sz="4" w:space="0" w:color="auto"/>
            </w:tcBorders>
          </w:tcPr>
          <w:p w:rsidR="002F7896" w:rsidRPr="00A9527B" w:rsidP="002F7896" w14:paraId="4CBC18C9" w14:textId="6F3C3404">
            <w:pPr>
              <w:rPr>
                <w:sz w:val="18"/>
                <w:szCs w:val="18"/>
              </w:rPr>
            </w:pPr>
            <w:r w:rsidRPr="009C53B3">
              <w:rPr>
                <w:sz w:val="18"/>
                <w:szCs w:val="18"/>
              </w:rPr>
              <w:t>Budget Narrative</w:t>
            </w:r>
          </w:p>
        </w:tc>
        <w:tc>
          <w:tcPr>
            <w:tcW w:w="1197" w:type="dxa"/>
            <w:tcBorders>
              <w:left w:val="single" w:sz="4" w:space="0" w:color="auto"/>
            </w:tcBorders>
          </w:tcPr>
          <w:p w:rsidR="002F7896" w:rsidP="002F7896" w14:paraId="6C3319DA" w14:textId="044AF7B0">
            <w:pPr>
              <w:rPr>
                <w:sz w:val="18"/>
                <w:szCs w:val="18"/>
              </w:rPr>
            </w:pPr>
            <w:r w:rsidRPr="009C53B3">
              <w:rPr>
                <w:sz w:val="18"/>
                <w:szCs w:val="18"/>
              </w:rPr>
              <w:t>100</w:t>
            </w:r>
          </w:p>
        </w:tc>
        <w:tc>
          <w:tcPr>
            <w:tcW w:w="1233" w:type="dxa"/>
            <w:tcBorders>
              <w:left w:val="single" w:sz="4" w:space="0" w:color="auto"/>
            </w:tcBorders>
          </w:tcPr>
          <w:p w:rsidR="002F7896" w:rsidP="002F7896" w14:paraId="5097A2AD" w14:textId="4B0CC86B">
            <w:pPr>
              <w:rPr>
                <w:sz w:val="18"/>
                <w:szCs w:val="18"/>
              </w:rPr>
            </w:pPr>
            <w:r w:rsidRPr="009C53B3">
              <w:rPr>
                <w:sz w:val="18"/>
                <w:szCs w:val="18"/>
              </w:rPr>
              <w:t>4.86</w:t>
            </w:r>
          </w:p>
        </w:tc>
        <w:tc>
          <w:tcPr>
            <w:tcW w:w="1080" w:type="dxa"/>
            <w:tcBorders>
              <w:left w:val="single" w:sz="4" w:space="0" w:color="auto"/>
              <w:right w:val="single" w:sz="4" w:space="0" w:color="auto"/>
            </w:tcBorders>
          </w:tcPr>
          <w:p w:rsidR="002F7896" w:rsidP="002F7896" w14:paraId="71FEFC29" w14:textId="44719487">
            <w:pPr>
              <w:rPr>
                <w:sz w:val="18"/>
                <w:szCs w:val="18"/>
              </w:rPr>
            </w:pPr>
            <w:r w:rsidRPr="009C53B3">
              <w:rPr>
                <w:sz w:val="18"/>
                <w:szCs w:val="18"/>
              </w:rPr>
              <w:t>486</w:t>
            </w:r>
          </w:p>
        </w:tc>
        <w:tc>
          <w:tcPr>
            <w:tcW w:w="1440" w:type="dxa"/>
            <w:tcBorders>
              <w:left w:val="single" w:sz="4" w:space="0" w:color="auto"/>
              <w:right w:val="single" w:sz="4" w:space="0" w:color="auto"/>
            </w:tcBorders>
          </w:tcPr>
          <w:p w:rsidR="002F7896" w:rsidP="002F7896" w14:paraId="36C0E763" w14:textId="6F3E50C6">
            <w:pPr>
              <w:rPr>
                <w:sz w:val="18"/>
                <w:szCs w:val="18"/>
              </w:rPr>
            </w:pPr>
            <w:r>
              <w:rPr>
                <w:sz w:val="18"/>
                <w:szCs w:val="18"/>
              </w:rPr>
              <w:t>1.5</w:t>
            </w:r>
          </w:p>
        </w:tc>
        <w:tc>
          <w:tcPr>
            <w:tcW w:w="1260" w:type="dxa"/>
            <w:tcBorders>
              <w:left w:val="single" w:sz="4" w:space="0" w:color="auto"/>
              <w:right w:val="single" w:sz="4" w:space="0" w:color="auto"/>
            </w:tcBorders>
          </w:tcPr>
          <w:p w:rsidR="002F7896" w:rsidP="002F7896" w14:paraId="1FFDEFB2" w14:textId="42CC7FF7">
            <w:pPr>
              <w:rPr>
                <w:sz w:val="18"/>
                <w:szCs w:val="18"/>
              </w:rPr>
            </w:pPr>
            <w:r>
              <w:rPr>
                <w:sz w:val="18"/>
                <w:szCs w:val="18"/>
              </w:rPr>
              <w:t>729</w:t>
            </w:r>
          </w:p>
        </w:tc>
        <w:tc>
          <w:tcPr>
            <w:tcW w:w="1350" w:type="dxa"/>
            <w:tcBorders>
              <w:left w:val="single" w:sz="4" w:space="0" w:color="auto"/>
              <w:right w:val="single" w:sz="4" w:space="0" w:color="auto"/>
            </w:tcBorders>
          </w:tcPr>
          <w:p w:rsidR="002F7896" w:rsidP="002F7896" w14:paraId="43FF9E40" w14:textId="43041724">
            <w:pPr>
              <w:rPr>
                <w:sz w:val="18"/>
                <w:szCs w:val="18"/>
              </w:rPr>
            </w:pPr>
            <w:r>
              <w:rPr>
                <w:bCs/>
                <w:sz w:val="18"/>
                <w:szCs w:val="18"/>
              </w:rPr>
              <w:t>$62.26</w:t>
            </w:r>
          </w:p>
        </w:tc>
        <w:tc>
          <w:tcPr>
            <w:tcW w:w="1350" w:type="dxa"/>
            <w:tcBorders>
              <w:left w:val="single" w:sz="4" w:space="0" w:color="auto"/>
              <w:right w:val="single" w:sz="4" w:space="0" w:color="auto"/>
            </w:tcBorders>
          </w:tcPr>
          <w:p w:rsidR="002F7896" w:rsidP="002F7896" w14:paraId="4066C94D" w14:textId="70BB72F9">
            <w:pPr>
              <w:rPr>
                <w:sz w:val="18"/>
                <w:szCs w:val="18"/>
              </w:rPr>
            </w:pPr>
            <w:r>
              <w:rPr>
                <w:sz w:val="18"/>
                <w:szCs w:val="18"/>
              </w:rPr>
              <w:t>$45,388</w:t>
            </w:r>
          </w:p>
        </w:tc>
      </w:tr>
      <w:tr w14:paraId="02DF041E" w14:textId="66E5225C" w:rsidTr="00CD244A">
        <w:tblPrEx>
          <w:tblW w:w="106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710" w:type="dxa"/>
            <w:tcBorders>
              <w:left w:val="single" w:sz="4" w:space="0" w:color="auto"/>
            </w:tcBorders>
          </w:tcPr>
          <w:p w:rsidR="002F7896" w:rsidRPr="00A9527B" w:rsidP="002F7896" w14:paraId="61CCA4E6" w14:textId="60350373">
            <w:pPr>
              <w:rPr>
                <w:sz w:val="18"/>
                <w:szCs w:val="18"/>
              </w:rPr>
            </w:pPr>
            <w:r w:rsidRPr="009C53B3">
              <w:rPr>
                <w:sz w:val="18"/>
                <w:szCs w:val="18"/>
              </w:rPr>
              <w:t>Performance Report</w:t>
            </w:r>
          </w:p>
        </w:tc>
        <w:tc>
          <w:tcPr>
            <w:tcW w:w="1197" w:type="dxa"/>
            <w:tcBorders>
              <w:left w:val="single" w:sz="4" w:space="0" w:color="auto"/>
            </w:tcBorders>
          </w:tcPr>
          <w:p w:rsidR="002F7896" w:rsidP="002F7896" w14:paraId="15F982C5" w14:textId="55E3FC9F">
            <w:pPr>
              <w:rPr>
                <w:sz w:val="18"/>
                <w:szCs w:val="18"/>
              </w:rPr>
            </w:pPr>
            <w:r w:rsidRPr="009C53B3">
              <w:rPr>
                <w:sz w:val="18"/>
                <w:szCs w:val="18"/>
              </w:rPr>
              <w:t>99</w:t>
            </w:r>
          </w:p>
        </w:tc>
        <w:tc>
          <w:tcPr>
            <w:tcW w:w="1233" w:type="dxa"/>
            <w:tcBorders>
              <w:left w:val="single" w:sz="4" w:space="0" w:color="auto"/>
            </w:tcBorders>
          </w:tcPr>
          <w:p w:rsidR="002F7896" w:rsidP="002F7896" w14:paraId="4FC26332" w14:textId="265F4464">
            <w:pPr>
              <w:rPr>
                <w:sz w:val="18"/>
                <w:szCs w:val="18"/>
              </w:rPr>
            </w:pPr>
            <w:r w:rsidRPr="009C53B3">
              <w:rPr>
                <w:sz w:val="18"/>
                <w:szCs w:val="18"/>
              </w:rPr>
              <w:t>6.04</w:t>
            </w:r>
          </w:p>
        </w:tc>
        <w:tc>
          <w:tcPr>
            <w:tcW w:w="1080" w:type="dxa"/>
            <w:tcBorders>
              <w:left w:val="single" w:sz="4" w:space="0" w:color="auto"/>
              <w:right w:val="single" w:sz="4" w:space="0" w:color="auto"/>
            </w:tcBorders>
          </w:tcPr>
          <w:p w:rsidR="002F7896" w:rsidP="002F7896" w14:paraId="0936B249" w14:textId="2FCF87FF">
            <w:pPr>
              <w:rPr>
                <w:sz w:val="18"/>
                <w:szCs w:val="18"/>
              </w:rPr>
            </w:pPr>
            <w:r w:rsidRPr="009C53B3">
              <w:rPr>
                <w:sz w:val="18"/>
                <w:szCs w:val="18"/>
              </w:rPr>
              <w:t>598</w:t>
            </w:r>
          </w:p>
        </w:tc>
        <w:tc>
          <w:tcPr>
            <w:tcW w:w="1440" w:type="dxa"/>
            <w:tcBorders>
              <w:left w:val="single" w:sz="4" w:space="0" w:color="auto"/>
            </w:tcBorders>
          </w:tcPr>
          <w:p w:rsidR="002F7896" w:rsidP="002F7896" w14:paraId="0CCA4BDA" w14:textId="01424B70">
            <w:pPr>
              <w:rPr>
                <w:sz w:val="18"/>
                <w:szCs w:val="18"/>
              </w:rPr>
            </w:pPr>
            <w:r>
              <w:rPr>
                <w:sz w:val="18"/>
                <w:szCs w:val="18"/>
              </w:rPr>
              <w:t>0.5</w:t>
            </w:r>
          </w:p>
        </w:tc>
        <w:tc>
          <w:tcPr>
            <w:tcW w:w="1260" w:type="dxa"/>
            <w:tcBorders>
              <w:left w:val="single" w:sz="4" w:space="0" w:color="auto"/>
              <w:right w:val="single" w:sz="4" w:space="0" w:color="auto"/>
            </w:tcBorders>
          </w:tcPr>
          <w:p w:rsidR="002F7896" w:rsidP="002F7896" w14:paraId="3DFFE960" w14:textId="7A6EF7A9">
            <w:pPr>
              <w:rPr>
                <w:sz w:val="18"/>
                <w:szCs w:val="18"/>
              </w:rPr>
            </w:pPr>
            <w:r>
              <w:rPr>
                <w:sz w:val="18"/>
                <w:szCs w:val="18"/>
              </w:rPr>
              <w:t>299</w:t>
            </w:r>
          </w:p>
        </w:tc>
        <w:tc>
          <w:tcPr>
            <w:tcW w:w="1350" w:type="dxa"/>
            <w:tcBorders>
              <w:left w:val="single" w:sz="4" w:space="0" w:color="auto"/>
              <w:right w:val="single" w:sz="4" w:space="0" w:color="auto"/>
            </w:tcBorders>
          </w:tcPr>
          <w:p w:rsidR="002F7896" w:rsidP="002F7896" w14:paraId="7DEC4D0C" w14:textId="08173B77">
            <w:pPr>
              <w:rPr>
                <w:sz w:val="18"/>
                <w:szCs w:val="18"/>
              </w:rPr>
            </w:pPr>
            <w:r>
              <w:rPr>
                <w:bCs/>
                <w:sz w:val="18"/>
                <w:szCs w:val="18"/>
              </w:rPr>
              <w:t>$62.26</w:t>
            </w:r>
          </w:p>
        </w:tc>
        <w:tc>
          <w:tcPr>
            <w:tcW w:w="1350" w:type="dxa"/>
            <w:tcBorders>
              <w:left w:val="single" w:sz="4" w:space="0" w:color="auto"/>
            </w:tcBorders>
          </w:tcPr>
          <w:p w:rsidR="002F7896" w:rsidP="002F7896" w14:paraId="6D54C1BD" w14:textId="350BAAAF">
            <w:pPr>
              <w:rPr>
                <w:sz w:val="18"/>
                <w:szCs w:val="18"/>
              </w:rPr>
            </w:pPr>
            <w:r>
              <w:rPr>
                <w:sz w:val="18"/>
                <w:szCs w:val="18"/>
              </w:rPr>
              <w:t>$18,616</w:t>
            </w:r>
          </w:p>
        </w:tc>
      </w:tr>
      <w:tr w14:paraId="39A3AB5A" w14:textId="77777777" w:rsidTr="00CD244A">
        <w:tblPrEx>
          <w:tblW w:w="106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710" w:type="dxa"/>
            <w:tcBorders>
              <w:left w:val="single" w:sz="4" w:space="0" w:color="auto"/>
            </w:tcBorders>
          </w:tcPr>
          <w:p w:rsidR="00EB4A52" w:rsidRPr="00B81937" w:rsidP="002F7896" w14:paraId="74C19CF8" w14:textId="47B07D6C">
            <w:pPr>
              <w:rPr>
                <w:b/>
                <w:bCs/>
                <w:sz w:val="18"/>
                <w:szCs w:val="18"/>
              </w:rPr>
            </w:pPr>
            <w:r w:rsidRPr="00B81937">
              <w:rPr>
                <w:b/>
                <w:bCs/>
                <w:sz w:val="18"/>
                <w:szCs w:val="18"/>
              </w:rPr>
              <w:t>Totals</w:t>
            </w:r>
          </w:p>
        </w:tc>
        <w:tc>
          <w:tcPr>
            <w:tcW w:w="1197" w:type="dxa"/>
            <w:tcBorders>
              <w:left w:val="single" w:sz="4" w:space="0" w:color="auto"/>
            </w:tcBorders>
          </w:tcPr>
          <w:p w:rsidR="00EB4A52" w:rsidRPr="00B81937" w:rsidP="002F7896" w14:paraId="42AFD493" w14:textId="7BE7F813">
            <w:pPr>
              <w:rPr>
                <w:b/>
                <w:bCs/>
                <w:sz w:val="18"/>
                <w:szCs w:val="18"/>
              </w:rPr>
            </w:pPr>
            <w:r>
              <w:rPr>
                <w:b/>
                <w:bCs/>
                <w:sz w:val="18"/>
                <w:szCs w:val="18"/>
              </w:rPr>
              <w:t>100</w:t>
            </w:r>
          </w:p>
        </w:tc>
        <w:tc>
          <w:tcPr>
            <w:tcW w:w="1233" w:type="dxa"/>
            <w:tcBorders>
              <w:left w:val="single" w:sz="4" w:space="0" w:color="auto"/>
            </w:tcBorders>
          </w:tcPr>
          <w:p w:rsidR="00EB4A52" w:rsidRPr="00B81937" w:rsidP="002F7896" w14:paraId="6E7AD641" w14:textId="77777777">
            <w:pPr>
              <w:rPr>
                <w:b/>
                <w:bCs/>
                <w:sz w:val="18"/>
                <w:szCs w:val="18"/>
              </w:rPr>
            </w:pPr>
          </w:p>
        </w:tc>
        <w:tc>
          <w:tcPr>
            <w:tcW w:w="1080" w:type="dxa"/>
            <w:tcBorders>
              <w:left w:val="single" w:sz="4" w:space="0" w:color="auto"/>
              <w:right w:val="single" w:sz="4" w:space="0" w:color="auto"/>
            </w:tcBorders>
          </w:tcPr>
          <w:p w:rsidR="00EB4A52" w:rsidRPr="00B81937" w:rsidP="002F7896" w14:paraId="797A670F" w14:textId="77777777">
            <w:pPr>
              <w:rPr>
                <w:b/>
                <w:bCs/>
                <w:sz w:val="18"/>
                <w:szCs w:val="18"/>
              </w:rPr>
            </w:pPr>
          </w:p>
        </w:tc>
        <w:tc>
          <w:tcPr>
            <w:tcW w:w="1440" w:type="dxa"/>
            <w:tcBorders>
              <w:left w:val="single" w:sz="4" w:space="0" w:color="auto"/>
            </w:tcBorders>
          </w:tcPr>
          <w:p w:rsidR="00EB4A52" w:rsidRPr="00B81937" w:rsidP="002F7896" w14:paraId="67D09692" w14:textId="77777777">
            <w:pPr>
              <w:rPr>
                <w:b/>
                <w:bCs/>
                <w:sz w:val="18"/>
                <w:szCs w:val="18"/>
              </w:rPr>
            </w:pPr>
          </w:p>
        </w:tc>
        <w:tc>
          <w:tcPr>
            <w:tcW w:w="1260" w:type="dxa"/>
            <w:tcBorders>
              <w:left w:val="single" w:sz="4" w:space="0" w:color="auto"/>
              <w:right w:val="single" w:sz="4" w:space="0" w:color="auto"/>
            </w:tcBorders>
          </w:tcPr>
          <w:p w:rsidR="00EB4A52" w:rsidRPr="00B81937" w:rsidP="002F7896" w14:paraId="482D3D13" w14:textId="6A7153C8">
            <w:pPr>
              <w:rPr>
                <w:b/>
                <w:bCs/>
                <w:sz w:val="18"/>
                <w:szCs w:val="18"/>
              </w:rPr>
            </w:pPr>
            <w:r>
              <w:rPr>
                <w:b/>
                <w:bCs/>
                <w:sz w:val="18"/>
                <w:szCs w:val="18"/>
              </w:rPr>
              <w:t>2,486</w:t>
            </w:r>
          </w:p>
        </w:tc>
        <w:tc>
          <w:tcPr>
            <w:tcW w:w="1350" w:type="dxa"/>
            <w:tcBorders>
              <w:left w:val="single" w:sz="4" w:space="0" w:color="auto"/>
              <w:right w:val="single" w:sz="4" w:space="0" w:color="auto"/>
            </w:tcBorders>
          </w:tcPr>
          <w:p w:rsidR="00EB4A52" w:rsidRPr="00B81937" w:rsidP="002F7896" w14:paraId="0A8CDA2C" w14:textId="77777777">
            <w:pPr>
              <w:rPr>
                <w:b/>
                <w:bCs/>
                <w:sz w:val="18"/>
                <w:szCs w:val="18"/>
              </w:rPr>
            </w:pPr>
          </w:p>
        </w:tc>
        <w:tc>
          <w:tcPr>
            <w:tcW w:w="1350" w:type="dxa"/>
            <w:tcBorders>
              <w:left w:val="single" w:sz="4" w:space="0" w:color="auto"/>
            </w:tcBorders>
          </w:tcPr>
          <w:p w:rsidR="00EB4A52" w:rsidRPr="00B81937" w:rsidP="002F7896" w14:paraId="589A7C69" w14:textId="079B56BC">
            <w:pPr>
              <w:rPr>
                <w:b/>
                <w:bCs/>
                <w:sz w:val="18"/>
                <w:szCs w:val="18"/>
              </w:rPr>
            </w:pPr>
            <w:r>
              <w:rPr>
                <w:b/>
                <w:bCs/>
                <w:sz w:val="18"/>
                <w:szCs w:val="18"/>
              </w:rPr>
              <w:t>$154,779</w:t>
            </w:r>
          </w:p>
        </w:tc>
      </w:tr>
    </w:tbl>
    <w:p w:rsidR="004A4BC2" w:rsidP="00722469" w14:paraId="4CCC1F7D" w14:textId="77777777">
      <w:pPr>
        <w:tabs>
          <w:tab w:val="left" w:pos="360"/>
        </w:tabs>
        <w:ind w:left="360" w:hanging="360"/>
        <w:rPr>
          <w:color w:val="000000"/>
          <w:sz w:val="18"/>
        </w:rPr>
      </w:pPr>
    </w:p>
    <w:p w:rsidR="00954B41" w:rsidP="00954B41" w14:paraId="17EED60D" w14:textId="7F46AE51">
      <w:pPr>
        <w:rPr>
          <w:i/>
          <w:sz w:val="22"/>
          <w:szCs w:val="22"/>
        </w:rPr>
      </w:pPr>
      <w:r w:rsidRPr="005F12D8">
        <w:rPr>
          <w:i/>
          <w:sz w:val="22"/>
          <w:szCs w:val="22"/>
        </w:rPr>
        <w:t>*Cost include</w:t>
      </w:r>
      <w:r w:rsidR="00756293">
        <w:rPr>
          <w:i/>
          <w:sz w:val="22"/>
          <w:szCs w:val="22"/>
        </w:rPr>
        <w:t>s</w:t>
      </w:r>
      <w:r w:rsidRPr="005F12D8">
        <w:rPr>
          <w:i/>
          <w:sz w:val="22"/>
          <w:szCs w:val="22"/>
        </w:rPr>
        <w:t xml:space="preserve"> fringe benefits</w:t>
      </w:r>
    </w:p>
    <w:p w:rsidR="00954B41" w:rsidRPr="004D3481" w:rsidP="00954B41" w14:paraId="4096689F" w14:textId="77777777">
      <w:pPr>
        <w:pStyle w:val="PlainText"/>
        <w:rPr>
          <w:rFonts w:ascii="Times New Roman" w:hAnsi="Times New Roman" w:cs="Times New Roman"/>
          <w:sz w:val="24"/>
          <w:szCs w:val="24"/>
        </w:rPr>
      </w:pPr>
    </w:p>
    <w:p w:rsidR="00954B41" w:rsidRPr="004D3481" w:rsidP="00954B41" w14:paraId="65386291" w14:textId="333554EC">
      <w:pPr>
        <w:pStyle w:val="PlainText"/>
        <w:rPr>
          <w:rFonts w:ascii="Times New Roman" w:hAnsi="Times New Roman" w:cs="Times New Roman"/>
          <w:sz w:val="24"/>
          <w:szCs w:val="24"/>
        </w:rPr>
      </w:pPr>
      <w:r w:rsidRPr="00F748F8">
        <w:rPr>
          <w:rFonts w:ascii="Times New Roman" w:hAnsi="Times New Roman"/>
          <w:sz w:val="24"/>
        </w:rPr>
        <w:t xml:space="preserve">The annual estimated cost to the Federal Government for this collection is </w:t>
      </w:r>
      <w:r w:rsidRPr="004A6F14">
        <w:rPr>
          <w:rFonts w:ascii="Times New Roman" w:hAnsi="Times New Roman"/>
          <w:sz w:val="24"/>
        </w:rPr>
        <w:t>$</w:t>
      </w:r>
      <w:r w:rsidR="00756293">
        <w:rPr>
          <w:rFonts w:ascii="Times New Roman" w:hAnsi="Times New Roman"/>
          <w:sz w:val="24"/>
        </w:rPr>
        <w:t>154,779</w:t>
      </w:r>
      <w:r w:rsidRPr="00F748F8">
        <w:rPr>
          <w:rFonts w:ascii="Times New Roman" w:hAnsi="Times New Roman"/>
          <w:sz w:val="24"/>
        </w:rPr>
        <w:t xml:space="preserve">.  Average hourly cost is estimated at </w:t>
      </w:r>
      <w:r w:rsidRPr="004A6F14">
        <w:rPr>
          <w:rFonts w:ascii="Times New Roman" w:hAnsi="Times New Roman"/>
          <w:sz w:val="24"/>
        </w:rPr>
        <w:t>$</w:t>
      </w:r>
      <w:r w:rsidR="0014599D">
        <w:rPr>
          <w:rFonts w:ascii="Times New Roman" w:hAnsi="Times New Roman"/>
          <w:sz w:val="24"/>
        </w:rPr>
        <w:t>62.26</w:t>
      </w:r>
      <w:r w:rsidRPr="004A6F14">
        <w:rPr>
          <w:rFonts w:ascii="Times New Roman" w:hAnsi="Times New Roman"/>
          <w:sz w:val="24"/>
        </w:rPr>
        <w:t xml:space="preserve"> per hour, based on the </w:t>
      </w:r>
      <w:r w:rsidR="0014599D">
        <w:rPr>
          <w:rFonts w:ascii="Times New Roman" w:hAnsi="Times New Roman"/>
          <w:sz w:val="24"/>
        </w:rPr>
        <w:t>weighted average cost for the staff assigned to</w:t>
      </w:r>
      <w:r w:rsidRPr="004A6F14">
        <w:rPr>
          <w:rFonts w:ascii="Times New Roman" w:hAnsi="Times New Roman"/>
          <w:sz w:val="24"/>
        </w:rPr>
        <w:t xml:space="preserve"> review information submissions.  The hourly cost</w:t>
      </w:r>
      <w:r w:rsidR="00883BF5">
        <w:rPr>
          <w:rFonts w:ascii="Times New Roman" w:hAnsi="Times New Roman"/>
          <w:sz w:val="24"/>
        </w:rPr>
        <w:t>s</w:t>
      </w:r>
      <w:r w:rsidRPr="004A6F14">
        <w:rPr>
          <w:rFonts w:ascii="Times New Roman" w:hAnsi="Times New Roman"/>
          <w:sz w:val="24"/>
        </w:rPr>
        <w:t xml:space="preserve"> used in the estimate includes fringe benefits.</w:t>
      </w:r>
      <w:r w:rsidR="0018164D">
        <w:rPr>
          <w:rFonts w:ascii="Times New Roman" w:hAnsi="Times New Roman"/>
          <w:sz w:val="24"/>
        </w:rPr>
        <w:t xml:space="preserve"> </w:t>
      </w:r>
      <w:r w:rsidR="00D31856">
        <w:rPr>
          <w:rFonts w:ascii="Times New Roman" w:hAnsi="Times New Roman"/>
          <w:sz w:val="24"/>
        </w:rPr>
        <w:t>Feedback from staff indicates that the formal process of reviewing submitted documents is generally quite expedient in large part because staff are engaged on a regular basis with recipients, i.e. such that the contents are usually within expected parameters.</w:t>
      </w:r>
    </w:p>
    <w:p w:rsidR="00954B41" w:rsidP="00722469" w14:paraId="032F989A" w14:textId="77777777">
      <w:pPr>
        <w:tabs>
          <w:tab w:val="left" w:pos="360"/>
        </w:tabs>
        <w:ind w:left="360" w:hanging="360"/>
        <w:rPr>
          <w:color w:val="000000"/>
          <w:sz w:val="18"/>
        </w:rPr>
      </w:pPr>
    </w:p>
    <w:p w:rsidR="004A4BC2" w:rsidP="00722469" w14:paraId="3AEE1F2B" w14:textId="77777777">
      <w:pPr>
        <w:tabs>
          <w:tab w:val="left" w:pos="360"/>
        </w:tabs>
        <w:ind w:left="360" w:hanging="360"/>
        <w:rPr>
          <w:color w:val="000000"/>
          <w:sz w:val="18"/>
        </w:rPr>
      </w:pPr>
    </w:p>
    <w:p w:rsidR="00722469" w:rsidRPr="00F83286" w:rsidP="00722469" w14:paraId="1DD55A84" w14:textId="77777777">
      <w:pPr>
        <w:keepLines/>
        <w:tabs>
          <w:tab w:val="left" w:pos="360"/>
        </w:tabs>
        <w:spacing w:after="80"/>
        <w:ind w:left="360" w:hanging="360"/>
        <w:rPr>
          <w:b/>
          <w:bCs/>
          <w:color w:val="000000"/>
          <w:sz w:val="22"/>
        </w:rPr>
      </w:pPr>
      <w:r w:rsidRPr="00D00533">
        <w:rPr>
          <w:b/>
          <w:bCs/>
          <w:color w:val="000000"/>
          <w:sz w:val="18"/>
        </w:rPr>
        <w:t>15.</w:t>
      </w:r>
      <w:r w:rsidRPr="00D00533">
        <w:rPr>
          <w:b/>
          <w:bCs/>
          <w:color w:val="000000"/>
          <w:sz w:val="18"/>
        </w:rPr>
        <w:tab/>
      </w:r>
      <w:r w:rsidRPr="00D00533" w:rsidR="00070EFE">
        <w:rPr>
          <w:b/>
          <w:bCs/>
          <w:color w:val="000000"/>
          <w:sz w:val="22"/>
        </w:rPr>
        <w:t>E</w:t>
      </w:r>
      <w:r w:rsidRPr="00D00533">
        <w:rPr>
          <w:b/>
          <w:bCs/>
          <w:color w:val="000000"/>
          <w:sz w:val="22"/>
        </w:rPr>
        <w:t>xplain any program changes or adjustments reported in items 13 and 14 of the OMB Form 83i.</w:t>
      </w:r>
    </w:p>
    <w:p w:rsidR="00722469" w:rsidRPr="00CB3BFC" w:rsidP="00722469" w14:paraId="1CFE31A1" w14:textId="36D6C15C">
      <w:pPr>
        <w:tabs>
          <w:tab w:val="left" w:pos="360"/>
        </w:tabs>
        <w:rPr>
          <w:color w:val="000000"/>
          <w:sz w:val="22"/>
          <w:szCs w:val="22"/>
        </w:rPr>
      </w:pPr>
      <w:r w:rsidRPr="00CB3BFC">
        <w:rPr>
          <w:color w:val="000000"/>
          <w:sz w:val="22"/>
          <w:szCs w:val="22"/>
        </w:rPr>
        <w:tab/>
      </w:r>
      <w:r w:rsidR="00481718">
        <w:rPr>
          <w:color w:val="000000"/>
          <w:sz w:val="22"/>
          <w:szCs w:val="22"/>
        </w:rPr>
        <w:t>This is a</w:t>
      </w:r>
      <w:r w:rsidR="005E68A7">
        <w:rPr>
          <w:color w:val="000000"/>
          <w:sz w:val="22"/>
          <w:szCs w:val="22"/>
        </w:rPr>
        <w:t xml:space="preserve">n existing information collection in use without a valid OMB Control No. </w:t>
      </w:r>
    </w:p>
    <w:p w:rsidR="00722469" w:rsidP="00722469" w14:paraId="5EC29F64" w14:textId="77777777">
      <w:pPr>
        <w:tabs>
          <w:tab w:val="left" w:pos="360"/>
        </w:tabs>
        <w:ind w:left="360" w:hanging="360"/>
        <w:rPr>
          <w:color w:val="000000"/>
          <w:sz w:val="18"/>
        </w:rPr>
      </w:pPr>
    </w:p>
    <w:p w:rsidR="00722469" w:rsidRPr="00F83286" w:rsidP="00722469" w14:paraId="6B69981E" w14:textId="77777777">
      <w:pPr>
        <w:keepLines/>
        <w:tabs>
          <w:tab w:val="left" w:pos="360"/>
        </w:tabs>
        <w:spacing w:after="80"/>
        <w:ind w:left="360" w:hanging="360"/>
        <w:rPr>
          <w:b/>
          <w:bCs/>
          <w:color w:val="000000"/>
          <w:sz w:val="22"/>
        </w:rPr>
      </w:pPr>
      <w:r w:rsidRPr="00810E90">
        <w:rPr>
          <w:b/>
          <w:bCs/>
          <w:color w:val="000000"/>
          <w:sz w:val="18"/>
        </w:rPr>
        <w:t>16.</w:t>
      </w:r>
      <w:r w:rsidRPr="00810E90">
        <w:rPr>
          <w:b/>
          <w:bCs/>
          <w:color w:val="000000"/>
          <w:sz w:val="18"/>
        </w:rPr>
        <w:tab/>
      </w:r>
      <w:r w:rsidRPr="00810E90" w:rsidR="00070EFE">
        <w:rPr>
          <w:b/>
          <w:bCs/>
          <w:color w:val="000000"/>
          <w:sz w:val="22"/>
        </w:rPr>
        <w:t>I</w:t>
      </w:r>
      <w:r w:rsidRPr="00810E90">
        <w:rPr>
          <w:b/>
          <w:bCs/>
          <w:color w:val="000000"/>
          <w:sz w:val="22"/>
        </w:rPr>
        <w:t>f the information will be published, outline plans for tabulation and publication.</w:t>
      </w:r>
    </w:p>
    <w:p w:rsidR="00CB3BFC" w:rsidRPr="00CB3BFC" w:rsidP="00CB3BFC" w14:paraId="0AC21908" w14:textId="1171964E">
      <w:pPr>
        <w:tabs>
          <w:tab w:val="left" w:pos="360"/>
        </w:tabs>
        <w:rPr>
          <w:color w:val="000000"/>
          <w:sz w:val="22"/>
          <w:szCs w:val="22"/>
        </w:rPr>
      </w:pPr>
      <w:r w:rsidRPr="00CB3BFC">
        <w:rPr>
          <w:color w:val="000000"/>
          <w:sz w:val="22"/>
          <w:szCs w:val="22"/>
        </w:rPr>
        <w:tab/>
      </w:r>
      <w:r w:rsidRPr="00C5319E" w:rsidR="00C5319E">
        <w:rPr>
          <w:color w:val="000000"/>
          <w:sz w:val="22"/>
          <w:szCs w:val="22"/>
        </w:rPr>
        <w:t>FAS has no plans to tabulate or publish the information that is being collected.</w:t>
      </w:r>
    </w:p>
    <w:p w:rsidR="00722469" w:rsidP="00722469" w14:paraId="380DC42B" w14:textId="77777777">
      <w:pPr>
        <w:tabs>
          <w:tab w:val="left" w:pos="360"/>
        </w:tabs>
        <w:ind w:left="360" w:hanging="360"/>
        <w:rPr>
          <w:color w:val="000000"/>
          <w:sz w:val="18"/>
        </w:rPr>
      </w:pPr>
    </w:p>
    <w:p w:rsidR="00722469" w:rsidRPr="00F83286" w:rsidP="00722469" w14:paraId="032B6E9B" w14:textId="77777777">
      <w:pPr>
        <w:keepLines/>
        <w:tabs>
          <w:tab w:val="left" w:pos="360"/>
        </w:tabs>
        <w:spacing w:after="80"/>
        <w:ind w:left="360" w:hanging="360"/>
        <w:rPr>
          <w:b/>
          <w:bCs/>
          <w:color w:val="000000"/>
          <w:sz w:val="22"/>
        </w:rPr>
      </w:pPr>
      <w:r w:rsidRPr="00810E90">
        <w:rPr>
          <w:b/>
          <w:bCs/>
          <w:color w:val="000000"/>
          <w:sz w:val="18"/>
        </w:rPr>
        <w:t>17.</w:t>
      </w:r>
      <w:r w:rsidRPr="00810E90">
        <w:rPr>
          <w:b/>
          <w:bCs/>
          <w:color w:val="000000"/>
          <w:sz w:val="18"/>
        </w:rPr>
        <w:tab/>
      </w:r>
      <w:r w:rsidRPr="00722469">
        <w:rPr>
          <w:b/>
          <w:bCs/>
          <w:color w:val="000000"/>
          <w:sz w:val="22"/>
          <w:szCs w:val="22"/>
        </w:rPr>
        <w:t>If seeking approval to not display the expiration date for OMB approval of the information collection, explain the reasons that display would be inappropriate.</w:t>
      </w:r>
    </w:p>
    <w:p w:rsidR="00CB3BFC" w:rsidRPr="00CB3BFC" w:rsidP="00CB3BFC" w14:paraId="53470F3D" w14:textId="6A7C7B49">
      <w:pPr>
        <w:tabs>
          <w:tab w:val="left" w:pos="360"/>
        </w:tabs>
        <w:rPr>
          <w:color w:val="000000"/>
          <w:sz w:val="22"/>
          <w:szCs w:val="22"/>
        </w:rPr>
      </w:pPr>
      <w:r w:rsidRPr="00CB3BFC">
        <w:rPr>
          <w:color w:val="000000"/>
          <w:sz w:val="22"/>
          <w:szCs w:val="22"/>
        </w:rPr>
        <w:tab/>
      </w:r>
      <w:r w:rsidRPr="00C5319E" w:rsidR="00C5319E">
        <w:rPr>
          <w:color w:val="000000"/>
          <w:sz w:val="22"/>
          <w:szCs w:val="22"/>
        </w:rPr>
        <w:t>We are not seeking approval to not display the expiration date for OMB approval of the information collection.</w:t>
      </w:r>
    </w:p>
    <w:p w:rsidR="00722469" w:rsidP="00722469" w14:paraId="6B3CAD20" w14:textId="77777777">
      <w:pPr>
        <w:tabs>
          <w:tab w:val="left" w:pos="360"/>
        </w:tabs>
        <w:ind w:left="360" w:hanging="360"/>
        <w:rPr>
          <w:color w:val="000000"/>
          <w:sz w:val="18"/>
        </w:rPr>
      </w:pPr>
    </w:p>
    <w:p w:rsidR="00824B68" w:rsidRPr="00F83286" w:rsidP="00824B68" w14:paraId="11CA824A" w14:textId="77777777">
      <w:pPr>
        <w:keepLines/>
        <w:tabs>
          <w:tab w:val="left" w:pos="360"/>
        </w:tabs>
        <w:spacing w:after="80"/>
        <w:ind w:left="360" w:hanging="360"/>
        <w:rPr>
          <w:b/>
          <w:bCs/>
          <w:color w:val="000000"/>
          <w:sz w:val="22"/>
        </w:rPr>
      </w:pPr>
      <w:r w:rsidRPr="00810E90">
        <w:rPr>
          <w:b/>
          <w:bCs/>
          <w:color w:val="000000"/>
          <w:sz w:val="18"/>
        </w:rPr>
        <w:t>18.</w:t>
      </w:r>
      <w:r w:rsidRPr="00810E90">
        <w:rPr>
          <w:b/>
          <w:bCs/>
          <w:color w:val="000000"/>
          <w:sz w:val="18"/>
        </w:rPr>
        <w:tab/>
      </w:r>
      <w:r w:rsidRPr="00810E90">
        <w:rPr>
          <w:b/>
          <w:bCs/>
          <w:color w:val="000000"/>
          <w:sz w:val="22"/>
        </w:rPr>
        <w:t>Explain each exception to the certification statement identified in item 19.</w:t>
      </w:r>
    </w:p>
    <w:p w:rsidR="00824B68" w:rsidRPr="00D74F2E" w:rsidP="00D74F2E" w14:paraId="73058B78" w14:textId="2CFA9C52">
      <w:pPr>
        <w:tabs>
          <w:tab w:val="left" w:pos="360"/>
        </w:tabs>
        <w:rPr>
          <w:color w:val="000000"/>
          <w:sz w:val="22"/>
          <w:szCs w:val="22"/>
        </w:rPr>
      </w:pPr>
      <w:r>
        <w:rPr>
          <w:color w:val="000000"/>
          <w:sz w:val="22"/>
          <w:szCs w:val="22"/>
        </w:rPr>
        <w:tab/>
      </w:r>
      <w:r w:rsidRPr="00D74F2E">
        <w:rPr>
          <w:color w:val="000000"/>
          <w:sz w:val="22"/>
          <w:szCs w:val="22"/>
        </w:rPr>
        <w:t>There are no exceptions</w:t>
      </w:r>
      <w:r>
        <w:rPr>
          <w:color w:val="000000"/>
          <w:sz w:val="22"/>
          <w:szCs w:val="22"/>
        </w:rPr>
        <w:t>.</w:t>
      </w:r>
    </w:p>
    <w:sectPr w:rsidSect="00EB4A52">
      <w:footerReference w:type="first" r:id="rId5"/>
      <w:pgSz w:w="12240" w:h="15840"/>
      <w:pgMar w:top="1008" w:right="1008" w:bottom="720" w:left="1008" w:header="475" w:footer="475" w:gutter="0"/>
      <w:cols w:space="480" w:equalWidth="0">
        <w:col w:w="10332"/>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4B3" w:rsidRPr="002278CF" w:rsidP="002278CF" w14:paraId="0ACC7D4F"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5C075E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6005B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FACF2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C80241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DEC40D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620F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934263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B807C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2BED3EA"/>
    <w:lvl w:ilvl="0">
      <w:start w:val="1"/>
      <w:numFmt w:val="decimal"/>
      <w:pStyle w:val="ListNumber"/>
      <w:lvlText w:val="%1."/>
      <w:lvlJc w:val="left"/>
      <w:pPr>
        <w:tabs>
          <w:tab w:val="num" w:pos="360"/>
        </w:tabs>
        <w:ind w:left="360" w:hanging="360"/>
      </w:pPr>
    </w:lvl>
  </w:abstractNum>
  <w:abstractNum w:abstractNumId="9">
    <w:nsid w:val="FFFFFF89"/>
    <w:multiLevelType w:val="singleLevel"/>
    <w:tmpl w:val="79E495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B26EA4E0"/>
    <w:lvl w:ilvl="0">
      <w:start w:val="0"/>
      <w:numFmt w:val="decimal"/>
      <w:lvlText w:val="*"/>
      <w:lvlJc w:val="left"/>
    </w:lvl>
  </w:abstractNum>
  <w:abstractNum w:abstractNumId="11">
    <w:nsid w:val="0001522C"/>
    <w:multiLevelType w:val="singleLevel"/>
    <w:tmpl w:val="681EE8F2"/>
    <w:lvl w:ilvl="0">
      <w:start w:val="1"/>
      <w:numFmt w:val="lowerLetter"/>
      <w:lvlText w:val="%1."/>
      <w:lvlJc w:val="left"/>
      <w:pPr>
        <w:tabs>
          <w:tab w:val="num" w:pos="216"/>
        </w:tabs>
      </w:pPr>
      <w:rPr>
        <w:rFonts w:ascii="Arial Narrow" w:hAnsi="Arial Narrow"/>
        <w:snapToGrid/>
        <w:sz w:val="17"/>
      </w:rPr>
    </w:lvl>
  </w:abstractNum>
  <w:abstractNum w:abstractNumId="12">
    <w:nsid w:val="00F60568"/>
    <w:multiLevelType w:val="hybridMultilevel"/>
    <w:tmpl w:val="4C40A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26B11BC"/>
    <w:multiLevelType w:val="singleLevel"/>
    <w:tmpl w:val="715E23CD"/>
    <w:lvl w:ilvl="0">
      <w:start w:val="1"/>
      <w:numFmt w:val="lowerLetter"/>
      <w:lvlText w:val="%1."/>
      <w:lvlJc w:val="left"/>
      <w:pPr>
        <w:tabs>
          <w:tab w:val="num" w:pos="216"/>
        </w:tabs>
        <w:ind w:left="72"/>
      </w:pPr>
      <w:rPr>
        <w:rFonts w:ascii="Arial Narrow" w:hAnsi="Arial Narrow"/>
        <w:snapToGrid/>
        <w:spacing w:val="-5"/>
        <w:sz w:val="17"/>
      </w:rPr>
    </w:lvl>
  </w:abstractNum>
  <w:abstractNum w:abstractNumId="14">
    <w:nsid w:val="027C504D"/>
    <w:multiLevelType w:val="singleLevel"/>
    <w:tmpl w:val="5B5DFD3F"/>
    <w:lvl w:ilvl="0">
      <w:start w:val="1"/>
      <w:numFmt w:val="lowerLetter"/>
      <w:lvlText w:val="%1."/>
      <w:lvlJc w:val="left"/>
      <w:pPr>
        <w:tabs>
          <w:tab w:val="num" w:pos="216"/>
        </w:tabs>
      </w:pPr>
      <w:rPr>
        <w:rFonts w:ascii="Arial Narrow" w:hAnsi="Arial Narrow"/>
        <w:snapToGrid/>
        <w:sz w:val="17"/>
      </w:rPr>
    </w:lvl>
  </w:abstractNum>
  <w:abstractNum w:abstractNumId="15">
    <w:nsid w:val="02BFBCFD"/>
    <w:multiLevelType w:val="singleLevel"/>
    <w:tmpl w:val="6F4FADC1"/>
    <w:lvl w:ilvl="0">
      <w:start w:val="16"/>
      <w:numFmt w:val="decimal"/>
      <w:lvlText w:val="%1."/>
      <w:lvlJc w:val="left"/>
      <w:pPr>
        <w:tabs>
          <w:tab w:val="num" w:pos="216"/>
        </w:tabs>
        <w:ind w:left="216"/>
      </w:pPr>
      <w:rPr>
        <w:rFonts w:ascii="Arial Narrow" w:hAnsi="Arial Narrow"/>
        <w:b/>
        <w:snapToGrid/>
        <w:spacing w:val="3"/>
        <w:sz w:val="16"/>
      </w:rPr>
    </w:lvl>
  </w:abstractNum>
  <w:abstractNum w:abstractNumId="16">
    <w:nsid w:val="030EC499"/>
    <w:multiLevelType w:val="singleLevel"/>
    <w:tmpl w:val="620FD957"/>
    <w:lvl w:ilvl="0">
      <w:start w:val="14"/>
      <w:numFmt w:val="decimal"/>
      <w:lvlText w:val="%1."/>
      <w:lvlJc w:val="left"/>
      <w:pPr>
        <w:tabs>
          <w:tab w:val="num" w:pos="216"/>
        </w:tabs>
      </w:pPr>
      <w:rPr>
        <w:rFonts w:ascii="Arial Narrow" w:hAnsi="Arial Narrow"/>
        <w:snapToGrid/>
        <w:spacing w:val="-3"/>
        <w:sz w:val="17"/>
      </w:rPr>
    </w:lvl>
  </w:abstractNum>
  <w:abstractNum w:abstractNumId="17">
    <w:nsid w:val="0349B100"/>
    <w:multiLevelType w:val="singleLevel"/>
    <w:tmpl w:val="5778749A"/>
    <w:lvl w:ilvl="0">
      <w:start w:val="1"/>
      <w:numFmt w:val="lowerLetter"/>
      <w:lvlText w:val="%1."/>
      <w:lvlJc w:val="left"/>
      <w:pPr>
        <w:tabs>
          <w:tab w:val="num" w:pos="216"/>
        </w:tabs>
        <w:ind w:left="72"/>
      </w:pPr>
      <w:rPr>
        <w:rFonts w:ascii="Arial Narrow" w:hAnsi="Arial Narrow"/>
        <w:snapToGrid/>
        <w:spacing w:val="-5"/>
        <w:sz w:val="17"/>
      </w:rPr>
    </w:lvl>
  </w:abstractNum>
  <w:abstractNum w:abstractNumId="18">
    <w:nsid w:val="0378F78E"/>
    <w:multiLevelType w:val="singleLevel"/>
    <w:tmpl w:val="115B12F9"/>
    <w:lvl w:ilvl="0">
      <w:start w:val="1"/>
      <w:numFmt w:val="lowerLetter"/>
      <w:lvlText w:val="%1."/>
      <w:lvlJc w:val="left"/>
      <w:pPr>
        <w:tabs>
          <w:tab w:val="num" w:pos="216"/>
        </w:tabs>
        <w:ind w:left="72"/>
      </w:pPr>
      <w:rPr>
        <w:rFonts w:ascii="Arial Narrow" w:hAnsi="Arial Narrow"/>
        <w:snapToGrid/>
        <w:spacing w:val="-4"/>
        <w:sz w:val="17"/>
      </w:rPr>
    </w:lvl>
  </w:abstractNum>
  <w:abstractNum w:abstractNumId="19">
    <w:nsid w:val="04CF8416"/>
    <w:multiLevelType w:val="singleLevel"/>
    <w:tmpl w:val="5DE51FCC"/>
    <w:lvl w:ilvl="0">
      <w:start w:val="1"/>
      <w:numFmt w:val="decimal"/>
      <w:lvlText w:val="f.%1."/>
      <w:lvlJc w:val="left"/>
      <w:pPr>
        <w:tabs>
          <w:tab w:val="num" w:pos="216"/>
        </w:tabs>
      </w:pPr>
      <w:rPr>
        <w:rFonts w:ascii="Arial Narrow" w:hAnsi="Arial Narrow"/>
        <w:snapToGrid/>
        <w:sz w:val="17"/>
      </w:rPr>
    </w:lvl>
  </w:abstractNum>
  <w:abstractNum w:abstractNumId="20">
    <w:nsid w:val="05A9203F"/>
    <w:multiLevelType w:val="singleLevel"/>
    <w:tmpl w:val="0027C351"/>
    <w:lvl w:ilvl="0">
      <w:start w:val="1"/>
      <w:numFmt w:val="lowerLetter"/>
      <w:lvlText w:val="%1."/>
      <w:lvlJc w:val="left"/>
      <w:pPr>
        <w:tabs>
          <w:tab w:val="num" w:pos="216"/>
        </w:tabs>
      </w:pPr>
      <w:rPr>
        <w:rFonts w:ascii="Arial Narrow" w:hAnsi="Arial Narrow"/>
        <w:snapToGrid/>
        <w:spacing w:val="-4"/>
        <w:sz w:val="17"/>
      </w:rPr>
    </w:lvl>
  </w:abstractNum>
  <w:abstractNum w:abstractNumId="21">
    <w:nsid w:val="05D9EC74"/>
    <w:multiLevelType w:val="singleLevel"/>
    <w:tmpl w:val="4D97DE20"/>
    <w:lvl w:ilvl="0">
      <w:start w:val="1"/>
      <w:numFmt w:val="lowerLetter"/>
      <w:lvlText w:val="%1."/>
      <w:lvlJc w:val="left"/>
      <w:pPr>
        <w:tabs>
          <w:tab w:val="num" w:pos="216"/>
        </w:tabs>
        <w:ind w:left="72"/>
      </w:pPr>
      <w:rPr>
        <w:rFonts w:ascii="Arial Narrow" w:hAnsi="Arial Narrow"/>
        <w:snapToGrid/>
        <w:spacing w:val="-4"/>
        <w:sz w:val="17"/>
      </w:rPr>
    </w:lvl>
  </w:abstractNum>
  <w:abstractNum w:abstractNumId="22">
    <w:nsid w:val="0660058E"/>
    <w:multiLevelType w:val="singleLevel"/>
    <w:tmpl w:val="0399F156"/>
    <w:lvl w:ilvl="0">
      <w:start w:val="2"/>
      <w:numFmt w:val="decimal"/>
      <w:lvlText w:val="%1."/>
      <w:lvlJc w:val="left"/>
      <w:pPr>
        <w:tabs>
          <w:tab w:val="num" w:pos="144"/>
        </w:tabs>
      </w:pPr>
      <w:rPr>
        <w:rFonts w:ascii="Arial Narrow" w:hAnsi="Arial Narrow"/>
        <w:snapToGrid/>
        <w:spacing w:val="-4"/>
        <w:sz w:val="17"/>
      </w:rPr>
    </w:lvl>
  </w:abstractNum>
  <w:abstractNum w:abstractNumId="23">
    <w:nsid w:val="071EABE7"/>
    <w:multiLevelType w:val="singleLevel"/>
    <w:tmpl w:val="681CC450"/>
    <w:lvl w:ilvl="0">
      <w:start w:val="1"/>
      <w:numFmt w:val="lowerLetter"/>
      <w:lvlText w:val="%1."/>
      <w:lvlJc w:val="left"/>
      <w:pPr>
        <w:tabs>
          <w:tab w:val="num" w:pos="216"/>
        </w:tabs>
      </w:pPr>
      <w:rPr>
        <w:rFonts w:ascii="Arial Narrow" w:hAnsi="Arial Narrow"/>
        <w:snapToGrid/>
        <w:spacing w:val="-5"/>
        <w:sz w:val="17"/>
      </w:rPr>
    </w:lvl>
  </w:abstractNum>
  <w:abstractNum w:abstractNumId="24">
    <w:nsid w:val="07E02F1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25">
    <w:nsid w:val="0C1C2F2A"/>
    <w:multiLevelType w:val="hybridMultilevel"/>
    <w:tmpl w:val="53E4D79A"/>
    <w:lvl w:ilvl="0">
      <w:start w:val="7"/>
      <w:numFmt w:val="decimal"/>
      <w:lvlText w:val="%1."/>
      <w:lvlJc w:val="left"/>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8">
    <w:nsid w:val="30851D18"/>
    <w:multiLevelType w:val="hybridMultilevel"/>
    <w:tmpl w:val="30A8E4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6B21C6D"/>
    <w:multiLevelType w:val="hybridMultilevel"/>
    <w:tmpl w:val="639A97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B0F7200"/>
    <w:multiLevelType w:val="hybridMultilevel"/>
    <w:tmpl w:val="6E147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3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4">
    <w:nsid w:val="54627B55"/>
    <w:multiLevelType w:val="hybridMultilevel"/>
    <w:tmpl w:val="67A00304"/>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7580A04"/>
    <w:multiLevelType w:val="hybridMultilevel"/>
    <w:tmpl w:val="D892DF0C"/>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9">
    <w:nsid w:val="7B8A2ABB"/>
    <w:multiLevelType w:val="hybridMultilevel"/>
    <w:tmpl w:val="0B1EB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2348040">
    <w:abstractNumId w:val="27"/>
  </w:num>
  <w:num w:numId="2" w16cid:durableId="1142229640">
    <w:abstractNumId w:val="38"/>
  </w:num>
  <w:num w:numId="3" w16cid:durableId="1339500883">
    <w:abstractNumId w:val="26"/>
  </w:num>
  <w:num w:numId="4" w16cid:durableId="1897079960">
    <w:abstractNumId w:val="37"/>
  </w:num>
  <w:num w:numId="5" w16cid:durableId="1281302965">
    <w:abstractNumId w:val="36"/>
  </w:num>
  <w:num w:numId="6" w16cid:durableId="1430390197">
    <w:abstractNumId w:val="3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180508601">
    <w:abstractNumId w:val="33"/>
  </w:num>
  <w:num w:numId="8" w16cid:durableId="1035619983">
    <w:abstractNumId w:val="1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386806366">
    <w:abstractNumId w:val="34"/>
  </w:num>
  <w:num w:numId="10" w16cid:durableId="1930457367">
    <w:abstractNumId w:val="32"/>
  </w:num>
  <w:num w:numId="11" w16cid:durableId="511723058">
    <w:abstractNumId w:val="25"/>
  </w:num>
  <w:num w:numId="12" w16cid:durableId="1849129693">
    <w:abstractNumId w:val="39"/>
  </w:num>
  <w:num w:numId="13" w16cid:durableId="408502061">
    <w:abstractNumId w:val="30"/>
  </w:num>
  <w:num w:numId="14" w16cid:durableId="101150273">
    <w:abstractNumId w:val="12"/>
  </w:num>
  <w:num w:numId="15" w16cid:durableId="352271195">
    <w:abstractNumId w:val="35"/>
  </w:num>
  <w:num w:numId="16" w16cid:durableId="1141732477">
    <w:abstractNumId w:val="28"/>
  </w:num>
  <w:num w:numId="17" w16cid:durableId="374084417">
    <w:abstractNumId w:val="29"/>
  </w:num>
  <w:num w:numId="18" w16cid:durableId="197544641">
    <w:abstractNumId w:val="9"/>
  </w:num>
  <w:num w:numId="19" w16cid:durableId="1707412556">
    <w:abstractNumId w:val="7"/>
  </w:num>
  <w:num w:numId="20" w16cid:durableId="1240748410">
    <w:abstractNumId w:val="6"/>
  </w:num>
  <w:num w:numId="21" w16cid:durableId="1931960821">
    <w:abstractNumId w:val="5"/>
  </w:num>
  <w:num w:numId="22" w16cid:durableId="1461534273">
    <w:abstractNumId w:val="4"/>
  </w:num>
  <w:num w:numId="23" w16cid:durableId="1298334989">
    <w:abstractNumId w:val="8"/>
  </w:num>
  <w:num w:numId="24" w16cid:durableId="1106462106">
    <w:abstractNumId w:val="3"/>
  </w:num>
  <w:num w:numId="25" w16cid:durableId="1657487542">
    <w:abstractNumId w:val="2"/>
  </w:num>
  <w:num w:numId="26" w16cid:durableId="1304118926">
    <w:abstractNumId w:val="1"/>
  </w:num>
  <w:num w:numId="27" w16cid:durableId="1922057472">
    <w:abstractNumId w:val="0"/>
  </w:num>
  <w:num w:numId="28" w16cid:durableId="290675623">
    <w:abstractNumId w:val="21"/>
  </w:num>
  <w:num w:numId="29" w16cid:durableId="1343967824">
    <w:abstractNumId w:val="13"/>
  </w:num>
  <w:num w:numId="30" w16cid:durableId="1990816935">
    <w:abstractNumId w:val="18"/>
  </w:num>
  <w:num w:numId="31" w16cid:durableId="1444619148">
    <w:abstractNumId w:val="11"/>
  </w:num>
  <w:num w:numId="32" w16cid:durableId="2069256295">
    <w:abstractNumId w:val="14"/>
  </w:num>
  <w:num w:numId="33" w16cid:durableId="2140950129">
    <w:abstractNumId w:val="20"/>
  </w:num>
  <w:num w:numId="34" w16cid:durableId="456024587">
    <w:abstractNumId w:val="19"/>
  </w:num>
  <w:num w:numId="35" w16cid:durableId="1003968087">
    <w:abstractNumId w:val="23"/>
  </w:num>
  <w:num w:numId="36" w16cid:durableId="67117891">
    <w:abstractNumId w:val="17"/>
  </w:num>
  <w:num w:numId="37" w16cid:durableId="1116414066">
    <w:abstractNumId w:val="17"/>
    <w:lvlOverride w:ilvl="0">
      <w:lvl w:ilvl="0">
        <w:start w:val="0"/>
        <w:numFmt w:val="lowerLetter"/>
        <w:lvlText w:val="%1."/>
        <w:lvlJc w:val="left"/>
        <w:pPr>
          <w:tabs>
            <w:tab w:val="num" w:pos="216"/>
          </w:tabs>
          <w:ind w:left="216"/>
        </w:pPr>
        <w:rPr>
          <w:rFonts w:ascii="Arial Narrow" w:hAnsi="Arial Narrow"/>
          <w:snapToGrid/>
          <w:sz w:val="17"/>
        </w:rPr>
      </w:lvl>
    </w:lvlOverride>
  </w:num>
  <w:num w:numId="38" w16cid:durableId="167672084">
    <w:abstractNumId w:val="15"/>
  </w:num>
  <w:num w:numId="39" w16cid:durableId="1634095576">
    <w:abstractNumId w:val="15"/>
    <w:lvlOverride w:ilvl="0">
      <w:lvl w:ilvl="0">
        <w:start w:val="0"/>
        <w:numFmt w:val="decimal"/>
        <w:lvlText w:val="%1."/>
        <w:lvlJc w:val="left"/>
        <w:pPr>
          <w:tabs>
            <w:tab w:val="num" w:pos="216"/>
          </w:tabs>
        </w:pPr>
        <w:rPr>
          <w:rFonts w:ascii="Arial Narrow" w:hAnsi="Arial Narrow"/>
          <w:b/>
          <w:snapToGrid/>
          <w:sz w:val="16"/>
        </w:rPr>
      </w:lvl>
    </w:lvlOverride>
  </w:num>
  <w:num w:numId="40" w16cid:durableId="1750158349">
    <w:abstractNumId w:val="24"/>
  </w:num>
  <w:num w:numId="41" w16cid:durableId="19357333">
    <w:abstractNumId w:val="24"/>
    <w:lvlOverride w:ilvl="0">
      <w:lvl w:ilvl="0">
        <w:start w:val="0"/>
        <w:numFmt w:val="decimal"/>
        <w:lvlText w:val="%1."/>
        <w:lvlJc w:val="left"/>
        <w:pPr>
          <w:tabs>
            <w:tab w:val="num" w:pos="144"/>
          </w:tabs>
        </w:pPr>
        <w:rPr>
          <w:rFonts w:ascii="Arial Narrow" w:hAnsi="Arial Narrow"/>
          <w:snapToGrid/>
          <w:spacing w:val="-4"/>
          <w:sz w:val="17"/>
        </w:rPr>
      </w:lvl>
    </w:lvlOverride>
  </w:num>
  <w:num w:numId="42" w16cid:durableId="1634170394">
    <w:abstractNumId w:val="24"/>
    <w:lvlOverride w:ilvl="0">
      <w:lvl w:ilvl="0">
        <w:start w:val="0"/>
        <w:numFmt w:val="decimal"/>
        <w:lvlText w:val="%1."/>
        <w:lvlJc w:val="left"/>
        <w:pPr>
          <w:tabs>
            <w:tab w:val="num" w:pos="216"/>
          </w:tabs>
        </w:pPr>
        <w:rPr>
          <w:rFonts w:ascii="Arial Narrow" w:hAnsi="Arial Narrow"/>
          <w:snapToGrid/>
          <w:spacing w:val="-3"/>
          <w:sz w:val="17"/>
        </w:rPr>
      </w:lvl>
    </w:lvlOverride>
  </w:num>
  <w:num w:numId="43" w16cid:durableId="4987945">
    <w:abstractNumId w:val="16"/>
  </w:num>
  <w:num w:numId="44" w16cid:durableId="697702181">
    <w:abstractNumId w:val="16"/>
    <w:lvlOverride w:ilvl="0">
      <w:lvl w:ilvl="0">
        <w:start w:val="0"/>
        <w:numFmt w:val="decimal"/>
        <w:lvlText w:val="%1."/>
        <w:lvlJc w:val="left"/>
        <w:pPr>
          <w:tabs>
            <w:tab w:val="num" w:pos="504"/>
          </w:tabs>
          <w:ind w:left="288"/>
        </w:pPr>
        <w:rPr>
          <w:rFonts w:ascii="Arial Narrow" w:hAnsi="Arial Narrow"/>
          <w:snapToGrid/>
          <w:spacing w:val="-4"/>
          <w:sz w:val="17"/>
        </w:rPr>
      </w:lvl>
    </w:lvlOverride>
  </w:num>
  <w:num w:numId="45" w16cid:durableId="101337734">
    <w:abstractNumId w:val="22"/>
  </w:num>
  <w:num w:numId="46" w16cid:durableId="5930483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2"/>
    <w:rsid w:val="000007EF"/>
    <w:rsid w:val="000014AF"/>
    <w:rsid w:val="000055F7"/>
    <w:rsid w:val="0002436D"/>
    <w:rsid w:val="00030B22"/>
    <w:rsid w:val="0004482B"/>
    <w:rsid w:val="00044847"/>
    <w:rsid w:val="00044F81"/>
    <w:rsid w:val="00045202"/>
    <w:rsid w:val="000612BD"/>
    <w:rsid w:val="00065E9D"/>
    <w:rsid w:val="00070EFE"/>
    <w:rsid w:val="00073991"/>
    <w:rsid w:val="0009006A"/>
    <w:rsid w:val="000A3D42"/>
    <w:rsid w:val="000B6BC1"/>
    <w:rsid w:val="000D18F2"/>
    <w:rsid w:val="000D2967"/>
    <w:rsid w:val="000E4340"/>
    <w:rsid w:val="000E64B3"/>
    <w:rsid w:val="001048DF"/>
    <w:rsid w:val="0014599D"/>
    <w:rsid w:val="0015177D"/>
    <w:rsid w:val="00173994"/>
    <w:rsid w:val="00176805"/>
    <w:rsid w:val="0018164D"/>
    <w:rsid w:val="00185122"/>
    <w:rsid w:val="001861D9"/>
    <w:rsid w:val="001A2DB2"/>
    <w:rsid w:val="001A3B4F"/>
    <w:rsid w:val="001C5535"/>
    <w:rsid w:val="001F2E97"/>
    <w:rsid w:val="00202C8E"/>
    <w:rsid w:val="00210FC8"/>
    <w:rsid w:val="00213045"/>
    <w:rsid w:val="00215307"/>
    <w:rsid w:val="002278CF"/>
    <w:rsid w:val="00244AAA"/>
    <w:rsid w:val="00266F01"/>
    <w:rsid w:val="0027223A"/>
    <w:rsid w:val="00272871"/>
    <w:rsid w:val="00274278"/>
    <w:rsid w:val="00277CD0"/>
    <w:rsid w:val="00282591"/>
    <w:rsid w:val="00291E94"/>
    <w:rsid w:val="002948F0"/>
    <w:rsid w:val="002B256A"/>
    <w:rsid w:val="002C7DCB"/>
    <w:rsid w:val="002E4F46"/>
    <w:rsid w:val="002E7E1B"/>
    <w:rsid w:val="002F7896"/>
    <w:rsid w:val="00321E73"/>
    <w:rsid w:val="00333CAC"/>
    <w:rsid w:val="00335B36"/>
    <w:rsid w:val="00342BE1"/>
    <w:rsid w:val="00383255"/>
    <w:rsid w:val="003957DB"/>
    <w:rsid w:val="003A6D2E"/>
    <w:rsid w:val="003B318A"/>
    <w:rsid w:val="003C742E"/>
    <w:rsid w:val="003D64DE"/>
    <w:rsid w:val="004156B0"/>
    <w:rsid w:val="00425122"/>
    <w:rsid w:val="004272B7"/>
    <w:rsid w:val="00475D20"/>
    <w:rsid w:val="00481718"/>
    <w:rsid w:val="0048634E"/>
    <w:rsid w:val="00491C35"/>
    <w:rsid w:val="004A4BC2"/>
    <w:rsid w:val="004A6F14"/>
    <w:rsid w:val="004B34E9"/>
    <w:rsid w:val="004B377F"/>
    <w:rsid w:val="004D3481"/>
    <w:rsid w:val="00525DAE"/>
    <w:rsid w:val="005546A1"/>
    <w:rsid w:val="00573ED7"/>
    <w:rsid w:val="005B5315"/>
    <w:rsid w:val="005E160E"/>
    <w:rsid w:val="005E68A7"/>
    <w:rsid w:val="005F12D8"/>
    <w:rsid w:val="006071C1"/>
    <w:rsid w:val="006155CF"/>
    <w:rsid w:val="0064685F"/>
    <w:rsid w:val="006476DF"/>
    <w:rsid w:val="00660227"/>
    <w:rsid w:val="00674701"/>
    <w:rsid w:val="006B0A4D"/>
    <w:rsid w:val="006D2F1F"/>
    <w:rsid w:val="006E6BA3"/>
    <w:rsid w:val="00710AE8"/>
    <w:rsid w:val="00722469"/>
    <w:rsid w:val="00730580"/>
    <w:rsid w:val="0075380A"/>
    <w:rsid w:val="00755F1E"/>
    <w:rsid w:val="00756293"/>
    <w:rsid w:val="007617D9"/>
    <w:rsid w:val="0077529E"/>
    <w:rsid w:val="007B254A"/>
    <w:rsid w:val="007E0A34"/>
    <w:rsid w:val="00802A45"/>
    <w:rsid w:val="00810E90"/>
    <w:rsid w:val="00811091"/>
    <w:rsid w:val="008213A5"/>
    <w:rsid w:val="00824B68"/>
    <w:rsid w:val="008473B6"/>
    <w:rsid w:val="00856672"/>
    <w:rsid w:val="00857AED"/>
    <w:rsid w:val="008625A2"/>
    <w:rsid w:val="00865C62"/>
    <w:rsid w:val="00883851"/>
    <w:rsid w:val="00883BF5"/>
    <w:rsid w:val="008C5C76"/>
    <w:rsid w:val="008D6326"/>
    <w:rsid w:val="00901BCD"/>
    <w:rsid w:val="00954B41"/>
    <w:rsid w:val="00963F28"/>
    <w:rsid w:val="009747E6"/>
    <w:rsid w:val="009773A6"/>
    <w:rsid w:val="00986906"/>
    <w:rsid w:val="009A58B8"/>
    <w:rsid w:val="009A7F77"/>
    <w:rsid w:val="009C53B3"/>
    <w:rsid w:val="009F143A"/>
    <w:rsid w:val="009F1475"/>
    <w:rsid w:val="009F43D5"/>
    <w:rsid w:val="00A20F12"/>
    <w:rsid w:val="00A2333D"/>
    <w:rsid w:val="00A23D48"/>
    <w:rsid w:val="00A325C5"/>
    <w:rsid w:val="00A4629E"/>
    <w:rsid w:val="00A54CA7"/>
    <w:rsid w:val="00A55011"/>
    <w:rsid w:val="00A70F74"/>
    <w:rsid w:val="00A76D7D"/>
    <w:rsid w:val="00A76E7B"/>
    <w:rsid w:val="00A82A78"/>
    <w:rsid w:val="00A9527B"/>
    <w:rsid w:val="00AA1C39"/>
    <w:rsid w:val="00AA2AE1"/>
    <w:rsid w:val="00AB523B"/>
    <w:rsid w:val="00AE0836"/>
    <w:rsid w:val="00AF3801"/>
    <w:rsid w:val="00B0076C"/>
    <w:rsid w:val="00B162F0"/>
    <w:rsid w:val="00B25B30"/>
    <w:rsid w:val="00B27CFD"/>
    <w:rsid w:val="00B55933"/>
    <w:rsid w:val="00B65A56"/>
    <w:rsid w:val="00B81937"/>
    <w:rsid w:val="00B90CD6"/>
    <w:rsid w:val="00BB0059"/>
    <w:rsid w:val="00BB418D"/>
    <w:rsid w:val="00BB557C"/>
    <w:rsid w:val="00BF4FB4"/>
    <w:rsid w:val="00C443A3"/>
    <w:rsid w:val="00C5319E"/>
    <w:rsid w:val="00C54A30"/>
    <w:rsid w:val="00C61565"/>
    <w:rsid w:val="00C62654"/>
    <w:rsid w:val="00C77760"/>
    <w:rsid w:val="00CA57D0"/>
    <w:rsid w:val="00CB3BFC"/>
    <w:rsid w:val="00CB423D"/>
    <w:rsid w:val="00CB7C42"/>
    <w:rsid w:val="00CD244A"/>
    <w:rsid w:val="00D00533"/>
    <w:rsid w:val="00D15ED4"/>
    <w:rsid w:val="00D31856"/>
    <w:rsid w:val="00D64835"/>
    <w:rsid w:val="00D74F2E"/>
    <w:rsid w:val="00D771DA"/>
    <w:rsid w:val="00D964D7"/>
    <w:rsid w:val="00DC346A"/>
    <w:rsid w:val="00DF0E4A"/>
    <w:rsid w:val="00E34837"/>
    <w:rsid w:val="00E37C0F"/>
    <w:rsid w:val="00E53476"/>
    <w:rsid w:val="00E6336F"/>
    <w:rsid w:val="00E80567"/>
    <w:rsid w:val="00E8353B"/>
    <w:rsid w:val="00E94C51"/>
    <w:rsid w:val="00EA169B"/>
    <w:rsid w:val="00EB4A52"/>
    <w:rsid w:val="00EB5B6B"/>
    <w:rsid w:val="00ED1A61"/>
    <w:rsid w:val="00ED4FBA"/>
    <w:rsid w:val="00EE638F"/>
    <w:rsid w:val="00EF1BFD"/>
    <w:rsid w:val="00F13DA3"/>
    <w:rsid w:val="00F23D17"/>
    <w:rsid w:val="00F24499"/>
    <w:rsid w:val="00F24F2A"/>
    <w:rsid w:val="00F36A13"/>
    <w:rsid w:val="00F4130E"/>
    <w:rsid w:val="00F41A82"/>
    <w:rsid w:val="00F537F5"/>
    <w:rsid w:val="00F748F8"/>
    <w:rsid w:val="00F8093D"/>
    <w:rsid w:val="00F83286"/>
    <w:rsid w:val="00F94684"/>
    <w:rsid w:val="00FC6446"/>
    <w:rsid w:val="00FE3F60"/>
    <w:rsid w:val="00FE4B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57182A"/>
  <w15:chartTrackingRefBased/>
  <w15:docId w15:val="{09B5C5D7-38B4-4772-BBE4-73D357ED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F143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F143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9F143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F143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F143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143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9F143A"/>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9F143A"/>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9F143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9F43D5"/>
    <w:rPr>
      <w:sz w:val="16"/>
      <w:szCs w:val="16"/>
    </w:rPr>
  </w:style>
  <w:style w:type="paragraph" w:styleId="CommentText">
    <w:name w:val="annotation text"/>
    <w:basedOn w:val="Normal"/>
    <w:link w:val="CommentTextChar"/>
    <w:uiPriority w:val="99"/>
    <w:unhideWhenUsed/>
    <w:rsid w:val="009F43D5"/>
  </w:style>
  <w:style w:type="character" w:customStyle="1" w:styleId="CommentTextChar">
    <w:name w:val="Comment Text Char"/>
    <w:basedOn w:val="DefaultParagraphFont"/>
    <w:link w:val="CommentText"/>
    <w:uiPriority w:val="99"/>
    <w:rsid w:val="009F43D5"/>
  </w:style>
  <w:style w:type="paragraph" w:styleId="CommentSubject">
    <w:name w:val="annotation subject"/>
    <w:basedOn w:val="CommentText"/>
    <w:next w:val="CommentText"/>
    <w:link w:val="CommentSubjectChar"/>
    <w:uiPriority w:val="99"/>
    <w:semiHidden/>
    <w:unhideWhenUsed/>
    <w:rsid w:val="009F43D5"/>
    <w:rPr>
      <w:b/>
      <w:bCs/>
    </w:rPr>
  </w:style>
  <w:style w:type="character" w:customStyle="1" w:styleId="CommentSubjectChar">
    <w:name w:val="Comment Subject Char"/>
    <w:link w:val="CommentSubject"/>
    <w:uiPriority w:val="99"/>
    <w:semiHidden/>
    <w:rsid w:val="009F43D5"/>
    <w:rPr>
      <w:b/>
      <w:bCs/>
    </w:rPr>
  </w:style>
  <w:style w:type="paragraph" w:styleId="BalloonText">
    <w:name w:val="Balloon Text"/>
    <w:basedOn w:val="Normal"/>
    <w:link w:val="BalloonTextChar"/>
    <w:uiPriority w:val="99"/>
    <w:semiHidden/>
    <w:unhideWhenUsed/>
    <w:rsid w:val="009F43D5"/>
    <w:rPr>
      <w:rFonts w:ascii="Segoe UI" w:hAnsi="Segoe UI" w:cs="Segoe UI"/>
      <w:sz w:val="18"/>
      <w:szCs w:val="18"/>
    </w:rPr>
  </w:style>
  <w:style w:type="character" w:customStyle="1" w:styleId="BalloonTextChar">
    <w:name w:val="Balloon Text Char"/>
    <w:link w:val="BalloonText"/>
    <w:uiPriority w:val="99"/>
    <w:semiHidden/>
    <w:rsid w:val="009F43D5"/>
    <w:rPr>
      <w:rFonts w:ascii="Segoe UI" w:hAnsi="Segoe UI" w:cs="Segoe UI"/>
      <w:sz w:val="18"/>
      <w:szCs w:val="18"/>
    </w:rPr>
  </w:style>
  <w:style w:type="paragraph" w:styleId="ListParagraph">
    <w:name w:val="List Paragraph"/>
    <w:basedOn w:val="Normal"/>
    <w:uiPriority w:val="99"/>
    <w:qFormat/>
    <w:rsid w:val="009F43D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9F143A"/>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9F143A"/>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9F143A"/>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F143A"/>
    <w:rPr>
      <w:rFonts w:ascii="Calibri" w:eastAsia="Times New Roman" w:hAnsi="Calibri" w:cs="Times New Roman"/>
      <w:b/>
      <w:bCs/>
      <w:sz w:val="28"/>
      <w:szCs w:val="28"/>
    </w:rPr>
  </w:style>
  <w:style w:type="character" w:customStyle="1" w:styleId="Heading5Char">
    <w:name w:val="Heading 5 Char"/>
    <w:link w:val="Heading5"/>
    <w:uiPriority w:val="9"/>
    <w:semiHidden/>
    <w:rsid w:val="009F143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F143A"/>
    <w:rPr>
      <w:rFonts w:ascii="Calibri" w:eastAsia="Times New Roman" w:hAnsi="Calibri" w:cs="Times New Roman"/>
      <w:b/>
      <w:bCs/>
      <w:sz w:val="22"/>
      <w:szCs w:val="22"/>
    </w:rPr>
  </w:style>
  <w:style w:type="character" w:customStyle="1" w:styleId="Heading7Char">
    <w:name w:val="Heading 7 Char"/>
    <w:link w:val="Heading7"/>
    <w:uiPriority w:val="9"/>
    <w:semiHidden/>
    <w:rsid w:val="009F143A"/>
    <w:rPr>
      <w:rFonts w:ascii="Calibri" w:eastAsia="Times New Roman" w:hAnsi="Calibri" w:cs="Times New Roman"/>
      <w:sz w:val="24"/>
      <w:szCs w:val="24"/>
    </w:rPr>
  </w:style>
  <w:style w:type="character" w:customStyle="1" w:styleId="Heading8Char">
    <w:name w:val="Heading 8 Char"/>
    <w:link w:val="Heading8"/>
    <w:uiPriority w:val="9"/>
    <w:semiHidden/>
    <w:rsid w:val="009F143A"/>
    <w:rPr>
      <w:rFonts w:ascii="Calibri" w:eastAsia="Times New Roman" w:hAnsi="Calibri" w:cs="Times New Roman"/>
      <w:i/>
      <w:iCs/>
      <w:sz w:val="24"/>
      <w:szCs w:val="24"/>
    </w:rPr>
  </w:style>
  <w:style w:type="character" w:customStyle="1" w:styleId="Heading9Char">
    <w:name w:val="Heading 9 Char"/>
    <w:link w:val="Heading9"/>
    <w:uiPriority w:val="9"/>
    <w:semiHidden/>
    <w:rsid w:val="009F143A"/>
    <w:rPr>
      <w:rFonts w:ascii="Calibri Light" w:eastAsia="Times New Roman" w:hAnsi="Calibri Light" w:cs="Times New Roman"/>
      <w:sz w:val="22"/>
      <w:szCs w:val="22"/>
    </w:rPr>
  </w:style>
  <w:style w:type="paragraph" w:styleId="BlockText">
    <w:name w:val="Block Text"/>
    <w:basedOn w:val="Normal"/>
    <w:uiPriority w:val="99"/>
    <w:semiHidden/>
    <w:unhideWhenUsed/>
    <w:rsid w:val="009F143A"/>
    <w:pPr>
      <w:spacing w:after="120"/>
      <w:ind w:left="1440" w:right="1440"/>
    </w:pPr>
  </w:style>
  <w:style w:type="paragraph" w:styleId="BodyText">
    <w:name w:val="Body Text"/>
    <w:basedOn w:val="Normal"/>
    <w:link w:val="BodyTextChar"/>
    <w:uiPriority w:val="99"/>
    <w:semiHidden/>
    <w:unhideWhenUsed/>
    <w:rsid w:val="009F143A"/>
    <w:pPr>
      <w:spacing w:after="120"/>
    </w:pPr>
  </w:style>
  <w:style w:type="character" w:customStyle="1" w:styleId="BodyTextChar">
    <w:name w:val="Body Text Char"/>
    <w:basedOn w:val="DefaultParagraphFont"/>
    <w:link w:val="BodyText"/>
    <w:uiPriority w:val="99"/>
    <w:semiHidden/>
    <w:rsid w:val="009F143A"/>
  </w:style>
  <w:style w:type="paragraph" w:styleId="BodyText2">
    <w:name w:val="Body Text 2"/>
    <w:basedOn w:val="Normal"/>
    <w:link w:val="BodyText2Char"/>
    <w:uiPriority w:val="99"/>
    <w:semiHidden/>
    <w:unhideWhenUsed/>
    <w:rsid w:val="009F143A"/>
    <w:pPr>
      <w:spacing w:after="120" w:line="480" w:lineRule="auto"/>
    </w:pPr>
  </w:style>
  <w:style w:type="character" w:customStyle="1" w:styleId="BodyText2Char">
    <w:name w:val="Body Text 2 Char"/>
    <w:basedOn w:val="DefaultParagraphFont"/>
    <w:link w:val="BodyText2"/>
    <w:uiPriority w:val="99"/>
    <w:semiHidden/>
    <w:rsid w:val="009F143A"/>
  </w:style>
  <w:style w:type="paragraph" w:styleId="BodyText3">
    <w:name w:val="Body Text 3"/>
    <w:basedOn w:val="Normal"/>
    <w:link w:val="BodyText3Char"/>
    <w:uiPriority w:val="99"/>
    <w:semiHidden/>
    <w:unhideWhenUsed/>
    <w:rsid w:val="009F143A"/>
    <w:pPr>
      <w:spacing w:after="120"/>
    </w:pPr>
    <w:rPr>
      <w:sz w:val="16"/>
      <w:szCs w:val="16"/>
    </w:rPr>
  </w:style>
  <w:style w:type="character" w:customStyle="1" w:styleId="BodyText3Char">
    <w:name w:val="Body Text 3 Char"/>
    <w:link w:val="BodyText3"/>
    <w:uiPriority w:val="99"/>
    <w:semiHidden/>
    <w:rsid w:val="009F143A"/>
    <w:rPr>
      <w:sz w:val="16"/>
      <w:szCs w:val="16"/>
    </w:rPr>
  </w:style>
  <w:style w:type="paragraph" w:styleId="BodyTextFirstIndent">
    <w:name w:val="Body Text First Indent"/>
    <w:basedOn w:val="BodyText"/>
    <w:link w:val="BodyTextFirstIndentChar"/>
    <w:uiPriority w:val="99"/>
    <w:semiHidden/>
    <w:unhideWhenUsed/>
    <w:rsid w:val="009F143A"/>
    <w:pPr>
      <w:ind w:firstLine="210"/>
    </w:pPr>
  </w:style>
  <w:style w:type="character" w:customStyle="1" w:styleId="BodyTextFirstIndentChar">
    <w:name w:val="Body Text First Indent Char"/>
    <w:basedOn w:val="BodyTextChar"/>
    <w:link w:val="BodyTextFirstIndent"/>
    <w:uiPriority w:val="99"/>
    <w:semiHidden/>
    <w:rsid w:val="009F143A"/>
  </w:style>
  <w:style w:type="paragraph" w:styleId="BodyTextIndent">
    <w:name w:val="Body Text Indent"/>
    <w:basedOn w:val="Normal"/>
    <w:link w:val="BodyTextIndentChar"/>
    <w:uiPriority w:val="99"/>
    <w:semiHidden/>
    <w:unhideWhenUsed/>
    <w:rsid w:val="009F143A"/>
    <w:pPr>
      <w:spacing w:after="120"/>
      <w:ind w:left="360"/>
    </w:pPr>
  </w:style>
  <w:style w:type="character" w:customStyle="1" w:styleId="BodyTextIndentChar">
    <w:name w:val="Body Text Indent Char"/>
    <w:basedOn w:val="DefaultParagraphFont"/>
    <w:link w:val="BodyTextIndent"/>
    <w:uiPriority w:val="99"/>
    <w:semiHidden/>
    <w:rsid w:val="009F143A"/>
  </w:style>
  <w:style w:type="paragraph" w:styleId="BodyTextFirstIndent2">
    <w:name w:val="Body Text First Indent 2"/>
    <w:basedOn w:val="BodyTextIndent"/>
    <w:link w:val="BodyTextFirstIndent2Char"/>
    <w:uiPriority w:val="99"/>
    <w:semiHidden/>
    <w:unhideWhenUsed/>
    <w:rsid w:val="009F143A"/>
    <w:pPr>
      <w:ind w:firstLine="210"/>
    </w:pPr>
  </w:style>
  <w:style w:type="character" w:customStyle="1" w:styleId="BodyTextFirstIndent2Char">
    <w:name w:val="Body Text First Indent 2 Char"/>
    <w:basedOn w:val="BodyTextIndentChar"/>
    <w:link w:val="BodyTextFirstIndent2"/>
    <w:uiPriority w:val="99"/>
    <w:semiHidden/>
    <w:rsid w:val="009F143A"/>
  </w:style>
  <w:style w:type="paragraph" w:styleId="BodyTextIndent2">
    <w:name w:val="Body Text Indent 2"/>
    <w:basedOn w:val="Normal"/>
    <w:link w:val="BodyTextIndent2Char"/>
    <w:uiPriority w:val="99"/>
    <w:semiHidden/>
    <w:unhideWhenUsed/>
    <w:rsid w:val="009F143A"/>
    <w:pPr>
      <w:spacing w:after="120" w:line="480" w:lineRule="auto"/>
      <w:ind w:left="360"/>
    </w:pPr>
  </w:style>
  <w:style w:type="character" w:customStyle="1" w:styleId="BodyTextIndent2Char">
    <w:name w:val="Body Text Indent 2 Char"/>
    <w:basedOn w:val="DefaultParagraphFont"/>
    <w:link w:val="BodyTextIndent2"/>
    <w:uiPriority w:val="99"/>
    <w:semiHidden/>
    <w:rsid w:val="009F143A"/>
  </w:style>
  <w:style w:type="paragraph" w:styleId="BodyTextIndent3">
    <w:name w:val="Body Text Indent 3"/>
    <w:basedOn w:val="Normal"/>
    <w:link w:val="BodyTextIndent3Char"/>
    <w:uiPriority w:val="99"/>
    <w:semiHidden/>
    <w:unhideWhenUsed/>
    <w:rsid w:val="009F143A"/>
    <w:pPr>
      <w:spacing w:after="120"/>
      <w:ind w:left="360"/>
    </w:pPr>
    <w:rPr>
      <w:sz w:val="16"/>
      <w:szCs w:val="16"/>
    </w:rPr>
  </w:style>
  <w:style w:type="character" w:customStyle="1" w:styleId="BodyTextIndent3Char">
    <w:name w:val="Body Text Indent 3 Char"/>
    <w:link w:val="BodyTextIndent3"/>
    <w:uiPriority w:val="99"/>
    <w:semiHidden/>
    <w:rsid w:val="009F143A"/>
    <w:rPr>
      <w:sz w:val="16"/>
      <w:szCs w:val="16"/>
    </w:rPr>
  </w:style>
  <w:style w:type="paragraph" w:styleId="Closing">
    <w:name w:val="Closing"/>
    <w:basedOn w:val="Normal"/>
    <w:link w:val="ClosingChar"/>
    <w:uiPriority w:val="99"/>
    <w:semiHidden/>
    <w:unhideWhenUsed/>
    <w:rsid w:val="009F143A"/>
    <w:pPr>
      <w:ind w:left="4320"/>
    </w:pPr>
  </w:style>
  <w:style w:type="character" w:customStyle="1" w:styleId="ClosingChar">
    <w:name w:val="Closing Char"/>
    <w:basedOn w:val="DefaultParagraphFont"/>
    <w:link w:val="Closing"/>
    <w:uiPriority w:val="99"/>
    <w:semiHidden/>
    <w:rsid w:val="009F143A"/>
  </w:style>
  <w:style w:type="paragraph" w:styleId="Date">
    <w:name w:val="Date"/>
    <w:basedOn w:val="Normal"/>
    <w:next w:val="Normal"/>
    <w:link w:val="DateChar"/>
    <w:uiPriority w:val="99"/>
    <w:semiHidden/>
    <w:unhideWhenUsed/>
    <w:rsid w:val="009F143A"/>
  </w:style>
  <w:style w:type="character" w:customStyle="1" w:styleId="DateChar">
    <w:name w:val="Date Char"/>
    <w:basedOn w:val="DefaultParagraphFont"/>
    <w:link w:val="Date"/>
    <w:uiPriority w:val="99"/>
    <w:semiHidden/>
    <w:rsid w:val="009F143A"/>
  </w:style>
  <w:style w:type="paragraph" w:styleId="E-mailSignature">
    <w:name w:val="E-mail Signature"/>
    <w:basedOn w:val="Normal"/>
    <w:link w:val="E-mailSignatureChar"/>
    <w:uiPriority w:val="99"/>
    <w:semiHidden/>
    <w:unhideWhenUsed/>
    <w:rsid w:val="009F143A"/>
  </w:style>
  <w:style w:type="character" w:customStyle="1" w:styleId="E-mailSignatureChar">
    <w:name w:val="E-mail Signature Char"/>
    <w:basedOn w:val="DefaultParagraphFont"/>
    <w:link w:val="E-mailSignature"/>
    <w:uiPriority w:val="99"/>
    <w:semiHidden/>
    <w:rsid w:val="009F143A"/>
  </w:style>
  <w:style w:type="paragraph" w:styleId="EndnoteText">
    <w:name w:val="endnote text"/>
    <w:basedOn w:val="Normal"/>
    <w:link w:val="EndnoteTextChar"/>
    <w:uiPriority w:val="99"/>
    <w:semiHidden/>
    <w:unhideWhenUsed/>
    <w:rsid w:val="009F143A"/>
  </w:style>
  <w:style w:type="character" w:customStyle="1" w:styleId="EndnoteTextChar">
    <w:name w:val="Endnote Text Char"/>
    <w:basedOn w:val="DefaultParagraphFont"/>
    <w:link w:val="EndnoteText"/>
    <w:uiPriority w:val="99"/>
    <w:semiHidden/>
    <w:rsid w:val="009F143A"/>
  </w:style>
  <w:style w:type="paragraph" w:styleId="EnvelopeAddress">
    <w:name w:val="envelope address"/>
    <w:basedOn w:val="Normal"/>
    <w:uiPriority w:val="99"/>
    <w:semiHidden/>
    <w:unhideWhenUsed/>
    <w:rsid w:val="009F143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9F143A"/>
    <w:rPr>
      <w:rFonts w:ascii="Calibri Light" w:hAnsi="Calibri Light"/>
    </w:rPr>
  </w:style>
  <w:style w:type="paragraph" w:styleId="FootnoteText">
    <w:name w:val="footnote text"/>
    <w:basedOn w:val="Normal"/>
    <w:link w:val="FootnoteTextChar"/>
    <w:uiPriority w:val="99"/>
    <w:semiHidden/>
    <w:unhideWhenUsed/>
    <w:rsid w:val="009F143A"/>
  </w:style>
  <w:style w:type="character" w:customStyle="1" w:styleId="FootnoteTextChar">
    <w:name w:val="Footnote Text Char"/>
    <w:basedOn w:val="DefaultParagraphFont"/>
    <w:link w:val="FootnoteText"/>
    <w:uiPriority w:val="99"/>
    <w:semiHidden/>
    <w:rsid w:val="009F143A"/>
  </w:style>
  <w:style w:type="paragraph" w:styleId="HTMLAddress">
    <w:name w:val="HTML Address"/>
    <w:basedOn w:val="Normal"/>
    <w:link w:val="HTMLAddressChar"/>
    <w:uiPriority w:val="99"/>
    <w:semiHidden/>
    <w:unhideWhenUsed/>
    <w:rsid w:val="009F143A"/>
    <w:rPr>
      <w:i/>
      <w:iCs/>
    </w:rPr>
  </w:style>
  <w:style w:type="character" w:customStyle="1" w:styleId="HTMLAddressChar">
    <w:name w:val="HTML Address Char"/>
    <w:link w:val="HTMLAddress"/>
    <w:uiPriority w:val="99"/>
    <w:semiHidden/>
    <w:rsid w:val="009F143A"/>
    <w:rPr>
      <w:i/>
      <w:iCs/>
    </w:rPr>
  </w:style>
  <w:style w:type="paragraph" w:styleId="HTMLPreformatted">
    <w:name w:val="HTML Preformatted"/>
    <w:basedOn w:val="Normal"/>
    <w:link w:val="HTMLPreformattedChar"/>
    <w:uiPriority w:val="99"/>
    <w:semiHidden/>
    <w:unhideWhenUsed/>
    <w:rsid w:val="009F143A"/>
    <w:rPr>
      <w:rFonts w:ascii="Courier New" w:hAnsi="Courier New" w:cs="Courier New"/>
    </w:rPr>
  </w:style>
  <w:style w:type="character" w:customStyle="1" w:styleId="HTMLPreformattedChar">
    <w:name w:val="HTML Preformatted Char"/>
    <w:link w:val="HTMLPreformatted"/>
    <w:uiPriority w:val="99"/>
    <w:semiHidden/>
    <w:rsid w:val="009F143A"/>
    <w:rPr>
      <w:rFonts w:ascii="Courier New" w:hAnsi="Courier New" w:cs="Courier New"/>
    </w:rPr>
  </w:style>
  <w:style w:type="paragraph" w:styleId="Index3">
    <w:name w:val="index 3"/>
    <w:basedOn w:val="Normal"/>
    <w:next w:val="Normal"/>
    <w:autoRedefine/>
    <w:uiPriority w:val="99"/>
    <w:semiHidden/>
    <w:unhideWhenUsed/>
    <w:rsid w:val="009F143A"/>
    <w:pPr>
      <w:ind w:left="600" w:hanging="200"/>
    </w:pPr>
  </w:style>
  <w:style w:type="paragraph" w:styleId="List">
    <w:name w:val="List"/>
    <w:basedOn w:val="Normal"/>
    <w:uiPriority w:val="99"/>
    <w:semiHidden/>
    <w:unhideWhenUsed/>
    <w:rsid w:val="009F143A"/>
    <w:pPr>
      <w:ind w:left="360" w:hanging="360"/>
      <w:contextualSpacing/>
    </w:pPr>
  </w:style>
  <w:style w:type="paragraph" w:styleId="List2">
    <w:name w:val="List 2"/>
    <w:basedOn w:val="Normal"/>
    <w:uiPriority w:val="99"/>
    <w:semiHidden/>
    <w:unhideWhenUsed/>
    <w:rsid w:val="009F143A"/>
    <w:pPr>
      <w:ind w:left="720" w:hanging="360"/>
      <w:contextualSpacing/>
    </w:pPr>
  </w:style>
  <w:style w:type="paragraph" w:styleId="List3">
    <w:name w:val="List 3"/>
    <w:basedOn w:val="Normal"/>
    <w:uiPriority w:val="99"/>
    <w:semiHidden/>
    <w:unhideWhenUsed/>
    <w:rsid w:val="009F143A"/>
    <w:pPr>
      <w:ind w:left="1080" w:hanging="360"/>
      <w:contextualSpacing/>
    </w:pPr>
  </w:style>
  <w:style w:type="paragraph" w:styleId="List4">
    <w:name w:val="List 4"/>
    <w:basedOn w:val="Normal"/>
    <w:uiPriority w:val="99"/>
    <w:semiHidden/>
    <w:unhideWhenUsed/>
    <w:rsid w:val="009F143A"/>
    <w:pPr>
      <w:ind w:left="1440" w:hanging="360"/>
      <w:contextualSpacing/>
    </w:pPr>
  </w:style>
  <w:style w:type="paragraph" w:styleId="List5">
    <w:name w:val="List 5"/>
    <w:basedOn w:val="Normal"/>
    <w:uiPriority w:val="99"/>
    <w:semiHidden/>
    <w:unhideWhenUsed/>
    <w:rsid w:val="009F143A"/>
    <w:pPr>
      <w:ind w:left="1800" w:hanging="360"/>
      <w:contextualSpacing/>
    </w:pPr>
  </w:style>
  <w:style w:type="paragraph" w:styleId="ListBullet">
    <w:name w:val="List Bullet"/>
    <w:basedOn w:val="Normal"/>
    <w:uiPriority w:val="99"/>
    <w:semiHidden/>
    <w:unhideWhenUsed/>
    <w:rsid w:val="009F143A"/>
    <w:pPr>
      <w:numPr>
        <w:numId w:val="18"/>
      </w:numPr>
      <w:contextualSpacing/>
    </w:pPr>
  </w:style>
  <w:style w:type="paragraph" w:styleId="ListBullet2">
    <w:name w:val="List Bullet 2"/>
    <w:basedOn w:val="Normal"/>
    <w:uiPriority w:val="99"/>
    <w:semiHidden/>
    <w:unhideWhenUsed/>
    <w:rsid w:val="009F143A"/>
    <w:pPr>
      <w:numPr>
        <w:numId w:val="19"/>
      </w:numPr>
      <w:contextualSpacing/>
    </w:pPr>
  </w:style>
  <w:style w:type="paragraph" w:styleId="ListBullet3">
    <w:name w:val="List Bullet 3"/>
    <w:basedOn w:val="Normal"/>
    <w:uiPriority w:val="99"/>
    <w:semiHidden/>
    <w:unhideWhenUsed/>
    <w:rsid w:val="009F143A"/>
    <w:pPr>
      <w:numPr>
        <w:numId w:val="20"/>
      </w:numPr>
      <w:contextualSpacing/>
    </w:pPr>
  </w:style>
  <w:style w:type="paragraph" w:styleId="ListBullet4">
    <w:name w:val="List Bullet 4"/>
    <w:basedOn w:val="Normal"/>
    <w:uiPriority w:val="99"/>
    <w:semiHidden/>
    <w:unhideWhenUsed/>
    <w:rsid w:val="009F143A"/>
    <w:pPr>
      <w:numPr>
        <w:numId w:val="21"/>
      </w:numPr>
      <w:contextualSpacing/>
    </w:pPr>
  </w:style>
  <w:style w:type="paragraph" w:styleId="ListBullet5">
    <w:name w:val="List Bullet 5"/>
    <w:basedOn w:val="Normal"/>
    <w:uiPriority w:val="99"/>
    <w:semiHidden/>
    <w:unhideWhenUsed/>
    <w:rsid w:val="009F143A"/>
    <w:pPr>
      <w:numPr>
        <w:numId w:val="22"/>
      </w:numPr>
      <w:contextualSpacing/>
    </w:pPr>
  </w:style>
  <w:style w:type="paragraph" w:styleId="ListContinue">
    <w:name w:val="List Continue"/>
    <w:basedOn w:val="Normal"/>
    <w:uiPriority w:val="99"/>
    <w:semiHidden/>
    <w:unhideWhenUsed/>
    <w:rsid w:val="009F143A"/>
    <w:pPr>
      <w:spacing w:after="120"/>
      <w:ind w:left="360"/>
      <w:contextualSpacing/>
    </w:pPr>
  </w:style>
  <w:style w:type="paragraph" w:styleId="ListContinue2">
    <w:name w:val="List Continue 2"/>
    <w:basedOn w:val="Normal"/>
    <w:uiPriority w:val="99"/>
    <w:semiHidden/>
    <w:unhideWhenUsed/>
    <w:rsid w:val="009F143A"/>
    <w:pPr>
      <w:spacing w:after="120"/>
      <w:ind w:left="720"/>
      <w:contextualSpacing/>
    </w:pPr>
  </w:style>
  <w:style w:type="paragraph" w:styleId="ListContinue3">
    <w:name w:val="List Continue 3"/>
    <w:basedOn w:val="Normal"/>
    <w:uiPriority w:val="99"/>
    <w:semiHidden/>
    <w:unhideWhenUsed/>
    <w:rsid w:val="009F143A"/>
    <w:pPr>
      <w:spacing w:after="120"/>
      <w:ind w:left="1080"/>
      <w:contextualSpacing/>
    </w:pPr>
  </w:style>
  <w:style w:type="paragraph" w:styleId="ListContinue4">
    <w:name w:val="List Continue 4"/>
    <w:basedOn w:val="Normal"/>
    <w:uiPriority w:val="99"/>
    <w:semiHidden/>
    <w:unhideWhenUsed/>
    <w:rsid w:val="009F143A"/>
    <w:pPr>
      <w:spacing w:after="120"/>
      <w:ind w:left="1440"/>
      <w:contextualSpacing/>
    </w:pPr>
  </w:style>
  <w:style w:type="paragraph" w:styleId="ListContinue5">
    <w:name w:val="List Continue 5"/>
    <w:basedOn w:val="Normal"/>
    <w:uiPriority w:val="99"/>
    <w:semiHidden/>
    <w:unhideWhenUsed/>
    <w:rsid w:val="009F143A"/>
    <w:pPr>
      <w:spacing w:after="120"/>
      <w:ind w:left="1800"/>
      <w:contextualSpacing/>
    </w:pPr>
  </w:style>
  <w:style w:type="paragraph" w:styleId="ListNumber">
    <w:name w:val="List Number"/>
    <w:basedOn w:val="Normal"/>
    <w:uiPriority w:val="99"/>
    <w:semiHidden/>
    <w:unhideWhenUsed/>
    <w:rsid w:val="009F143A"/>
    <w:pPr>
      <w:numPr>
        <w:numId w:val="23"/>
      </w:numPr>
      <w:contextualSpacing/>
    </w:pPr>
  </w:style>
  <w:style w:type="paragraph" w:styleId="ListNumber2">
    <w:name w:val="List Number 2"/>
    <w:basedOn w:val="Normal"/>
    <w:uiPriority w:val="99"/>
    <w:semiHidden/>
    <w:unhideWhenUsed/>
    <w:rsid w:val="009F143A"/>
    <w:pPr>
      <w:numPr>
        <w:numId w:val="24"/>
      </w:numPr>
      <w:contextualSpacing/>
    </w:pPr>
  </w:style>
  <w:style w:type="paragraph" w:styleId="ListNumber3">
    <w:name w:val="List Number 3"/>
    <w:basedOn w:val="Normal"/>
    <w:uiPriority w:val="99"/>
    <w:semiHidden/>
    <w:unhideWhenUsed/>
    <w:rsid w:val="009F143A"/>
    <w:pPr>
      <w:numPr>
        <w:numId w:val="25"/>
      </w:numPr>
      <w:contextualSpacing/>
    </w:pPr>
  </w:style>
  <w:style w:type="paragraph" w:styleId="ListNumber4">
    <w:name w:val="List Number 4"/>
    <w:basedOn w:val="Normal"/>
    <w:uiPriority w:val="99"/>
    <w:semiHidden/>
    <w:unhideWhenUsed/>
    <w:rsid w:val="009F143A"/>
    <w:pPr>
      <w:numPr>
        <w:numId w:val="26"/>
      </w:numPr>
      <w:contextualSpacing/>
    </w:pPr>
  </w:style>
  <w:style w:type="paragraph" w:styleId="ListNumber5">
    <w:name w:val="List Number 5"/>
    <w:basedOn w:val="Normal"/>
    <w:uiPriority w:val="99"/>
    <w:semiHidden/>
    <w:unhideWhenUsed/>
    <w:rsid w:val="009F143A"/>
    <w:pPr>
      <w:numPr>
        <w:numId w:val="27"/>
      </w:numPr>
      <w:contextualSpacing/>
    </w:pPr>
  </w:style>
  <w:style w:type="paragraph" w:styleId="MessageHeader">
    <w:name w:val="Message Header"/>
    <w:basedOn w:val="Normal"/>
    <w:link w:val="MessageHeaderChar"/>
    <w:uiPriority w:val="99"/>
    <w:semiHidden/>
    <w:unhideWhenUsed/>
    <w:rsid w:val="009F143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9F143A"/>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9F143A"/>
    <w:rPr>
      <w:sz w:val="24"/>
      <w:szCs w:val="24"/>
    </w:rPr>
  </w:style>
  <w:style w:type="paragraph" w:styleId="NormalIndent">
    <w:name w:val="Normal Indent"/>
    <w:basedOn w:val="Normal"/>
    <w:uiPriority w:val="99"/>
    <w:semiHidden/>
    <w:unhideWhenUsed/>
    <w:rsid w:val="009F143A"/>
    <w:pPr>
      <w:ind w:left="720"/>
    </w:pPr>
  </w:style>
  <w:style w:type="paragraph" w:styleId="NoteHeading">
    <w:name w:val="Note Heading"/>
    <w:basedOn w:val="Normal"/>
    <w:next w:val="Normal"/>
    <w:link w:val="NoteHeadingChar"/>
    <w:uiPriority w:val="99"/>
    <w:semiHidden/>
    <w:unhideWhenUsed/>
    <w:rsid w:val="009F143A"/>
  </w:style>
  <w:style w:type="character" w:customStyle="1" w:styleId="NoteHeadingChar">
    <w:name w:val="Note Heading Char"/>
    <w:basedOn w:val="DefaultParagraphFont"/>
    <w:link w:val="NoteHeading"/>
    <w:uiPriority w:val="99"/>
    <w:semiHidden/>
    <w:rsid w:val="009F143A"/>
  </w:style>
  <w:style w:type="paragraph" w:styleId="PlainText">
    <w:name w:val="Plain Text"/>
    <w:basedOn w:val="Normal"/>
    <w:link w:val="PlainTextChar"/>
    <w:uiPriority w:val="99"/>
    <w:unhideWhenUsed/>
    <w:rsid w:val="009F143A"/>
    <w:rPr>
      <w:rFonts w:ascii="Courier New" w:hAnsi="Courier New" w:cs="Courier New"/>
    </w:rPr>
  </w:style>
  <w:style w:type="character" w:customStyle="1" w:styleId="PlainTextChar">
    <w:name w:val="Plain Text Char"/>
    <w:link w:val="PlainText"/>
    <w:uiPriority w:val="99"/>
    <w:rsid w:val="009F143A"/>
    <w:rPr>
      <w:rFonts w:ascii="Courier New" w:hAnsi="Courier New" w:cs="Courier New"/>
    </w:rPr>
  </w:style>
  <w:style w:type="paragraph" w:styleId="Salutation">
    <w:name w:val="Salutation"/>
    <w:basedOn w:val="Normal"/>
    <w:next w:val="Normal"/>
    <w:link w:val="SalutationChar"/>
    <w:uiPriority w:val="99"/>
    <w:semiHidden/>
    <w:unhideWhenUsed/>
    <w:rsid w:val="009F143A"/>
  </w:style>
  <w:style w:type="character" w:customStyle="1" w:styleId="SalutationChar">
    <w:name w:val="Salutation Char"/>
    <w:basedOn w:val="DefaultParagraphFont"/>
    <w:link w:val="Salutation"/>
    <w:uiPriority w:val="99"/>
    <w:semiHidden/>
    <w:rsid w:val="009F143A"/>
  </w:style>
  <w:style w:type="paragraph" w:styleId="Signature">
    <w:name w:val="Signature"/>
    <w:basedOn w:val="Normal"/>
    <w:link w:val="SignatureChar"/>
    <w:uiPriority w:val="99"/>
    <w:semiHidden/>
    <w:unhideWhenUsed/>
    <w:rsid w:val="009F143A"/>
    <w:pPr>
      <w:ind w:left="4320"/>
    </w:pPr>
  </w:style>
  <w:style w:type="character" w:customStyle="1" w:styleId="SignatureChar">
    <w:name w:val="Signature Char"/>
    <w:basedOn w:val="DefaultParagraphFont"/>
    <w:link w:val="Signature"/>
    <w:uiPriority w:val="99"/>
    <w:semiHidden/>
    <w:rsid w:val="009F143A"/>
  </w:style>
  <w:style w:type="paragraph" w:styleId="Subtitle">
    <w:name w:val="Subtitle"/>
    <w:basedOn w:val="Normal"/>
    <w:next w:val="Normal"/>
    <w:link w:val="SubtitleChar"/>
    <w:uiPriority w:val="11"/>
    <w:qFormat/>
    <w:rsid w:val="009F143A"/>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9F143A"/>
    <w:rPr>
      <w:rFonts w:ascii="Calibri Light" w:eastAsia="Times New Roman" w:hAnsi="Calibri Light" w:cs="Times New Roman"/>
      <w:sz w:val="24"/>
      <w:szCs w:val="24"/>
    </w:rPr>
  </w:style>
  <w:style w:type="paragraph" w:styleId="Title">
    <w:name w:val="Title"/>
    <w:basedOn w:val="Normal"/>
    <w:next w:val="Normal"/>
    <w:link w:val="TitleChar"/>
    <w:uiPriority w:val="10"/>
    <w:qFormat/>
    <w:rsid w:val="009F143A"/>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F143A"/>
    <w:rPr>
      <w:rFonts w:ascii="Calibri Light" w:eastAsia="Times New Roman" w:hAnsi="Calibri Light" w:cs="Times New Roman"/>
      <w:b/>
      <w:bCs/>
      <w:kern w:val="28"/>
      <w:sz w:val="32"/>
      <w:szCs w:val="32"/>
    </w:rPr>
  </w:style>
  <w:style w:type="paragraph" w:styleId="NoSpacing">
    <w:name w:val="No Spacing"/>
    <w:uiPriority w:val="1"/>
    <w:qFormat/>
    <w:rsid w:val="000D2967"/>
    <w:pPr>
      <w:overflowPunct w:val="0"/>
      <w:autoSpaceDE w:val="0"/>
      <w:autoSpaceDN w:val="0"/>
      <w:adjustRightInd w:val="0"/>
      <w:textAlignment w:val="baseline"/>
    </w:pPr>
  </w:style>
  <w:style w:type="character" w:styleId="Hyperlink">
    <w:name w:val="Hyperlink"/>
    <w:basedOn w:val="DefaultParagraphFont"/>
    <w:uiPriority w:val="99"/>
    <w:unhideWhenUsed/>
    <w:rsid w:val="00901BCD"/>
    <w:rPr>
      <w:color w:val="0563C1" w:themeColor="hyperlink"/>
      <w:u w:val="single"/>
    </w:rPr>
  </w:style>
  <w:style w:type="character" w:styleId="UnresolvedMention">
    <w:name w:val="Unresolved Mention"/>
    <w:basedOn w:val="DefaultParagraphFont"/>
    <w:uiPriority w:val="99"/>
    <w:semiHidden/>
    <w:unhideWhenUsed/>
    <w:rsid w:val="00901BCD"/>
    <w:rPr>
      <w:color w:val="605E5C"/>
      <w:shd w:val="clear" w:color="auto" w:fill="E1DFDD"/>
    </w:rPr>
  </w:style>
  <w:style w:type="paragraph" w:styleId="Revision">
    <w:name w:val="Revision"/>
    <w:hidden/>
    <w:uiPriority w:val="99"/>
    <w:semiHidden/>
    <w:rsid w:val="0000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rants.fms.usd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2715</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Rogers, Dacia - TFAA-FAS, DC</cp:lastModifiedBy>
  <cp:revision>50</cp:revision>
  <cp:lastPrinted>2019-12-20T19:37:00Z</cp:lastPrinted>
  <dcterms:created xsi:type="dcterms:W3CDTF">2023-10-16T14:22:00Z</dcterms:created>
  <dcterms:modified xsi:type="dcterms:W3CDTF">2023-10-26T14:41:00Z</dcterms:modified>
</cp:coreProperties>
</file>