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1BDB" w:rsidP="00371BDB" w14:paraId="74667FDC" w14:textId="17578D4A">
      <w:pPr>
        <w:pStyle w:val="DefaultText"/>
        <w:jc w:val="right"/>
        <w:rPr>
          <w:b/>
        </w:rPr>
      </w:pPr>
      <w:bookmarkStart w:id="0" w:name="_Toc142106607"/>
      <w:r>
        <w:rPr>
          <w:b/>
        </w:rPr>
        <w:t xml:space="preserve">October </w:t>
      </w:r>
      <w:r>
        <w:rPr>
          <w:b/>
        </w:rPr>
        <w:t>2023</w:t>
      </w:r>
    </w:p>
    <w:p w:rsidR="00371BDB" w:rsidP="00DD307B" w14:paraId="1C6A480D" w14:textId="77777777">
      <w:pPr>
        <w:pStyle w:val="DefaultText"/>
        <w:jc w:val="center"/>
        <w:rPr>
          <w:b/>
        </w:rPr>
      </w:pPr>
    </w:p>
    <w:p w:rsidR="002C33CD" w:rsidP="00DD307B" w14:paraId="79DA2B71" w14:textId="58313FB9">
      <w:pPr>
        <w:pStyle w:val="DefaultText"/>
        <w:jc w:val="center"/>
        <w:rPr>
          <w:b/>
        </w:rPr>
      </w:pPr>
      <w:r>
        <w:rPr>
          <w:b/>
        </w:rPr>
        <w:t xml:space="preserve">Supporting </w:t>
      </w:r>
      <w:r w:rsidR="00D52072">
        <w:rPr>
          <w:b/>
        </w:rPr>
        <w:t>Statement</w:t>
      </w:r>
    </w:p>
    <w:p w:rsidR="00E1142E" w:rsidP="00DD307B" w14:paraId="41F99E3A" w14:textId="13CA4E0C">
      <w:pPr>
        <w:pStyle w:val="DefaultText"/>
        <w:jc w:val="center"/>
        <w:rPr>
          <w:b/>
        </w:rPr>
      </w:pPr>
      <w:r w:rsidRPr="00E011A9">
        <w:rPr>
          <w:b/>
        </w:rPr>
        <w:t>Center for Epidemiology and Animal Health (CEAH),</w:t>
      </w:r>
    </w:p>
    <w:p w:rsidR="00D52072" w:rsidP="00DD307B" w14:paraId="40545E26" w14:textId="21DA1994">
      <w:pPr>
        <w:pStyle w:val="DefaultText"/>
        <w:jc w:val="center"/>
        <w:rPr>
          <w:b/>
        </w:rPr>
      </w:pPr>
      <w:r>
        <w:rPr>
          <w:b/>
        </w:rPr>
        <w:t xml:space="preserve">NAHMS </w:t>
      </w:r>
      <w:r>
        <w:rPr>
          <w:b/>
        </w:rPr>
        <w:t xml:space="preserve">Backyard Animal Keeping </w:t>
      </w:r>
      <w:r>
        <w:rPr>
          <w:b/>
        </w:rPr>
        <w:t>202</w:t>
      </w:r>
      <w:r w:rsidR="00A72E62">
        <w:rPr>
          <w:b/>
        </w:rPr>
        <w:t>4</w:t>
      </w:r>
      <w:r w:rsidR="006000EB">
        <w:rPr>
          <w:b/>
        </w:rPr>
        <w:t xml:space="preserve"> </w:t>
      </w:r>
      <w:r>
        <w:rPr>
          <w:b/>
        </w:rPr>
        <w:t>Study</w:t>
      </w:r>
      <w:r w:rsidR="0027206A">
        <w:rPr>
          <w:b/>
        </w:rPr>
        <w:t xml:space="preserve">: A </w:t>
      </w:r>
      <w:r w:rsidRPr="002B2EF6" w:rsidR="002B2EF6">
        <w:rPr>
          <w:b/>
        </w:rPr>
        <w:t>National Study of Poultry, Pigs, Rabbits, and Goats</w:t>
      </w:r>
    </w:p>
    <w:p w:rsidR="00D52072" w:rsidP="00DD307B" w14:paraId="492D2A8D" w14:textId="4CB9FE1E">
      <w:pPr>
        <w:pStyle w:val="DefaultText"/>
        <w:jc w:val="center"/>
        <w:rPr>
          <w:b/>
        </w:rPr>
      </w:pPr>
      <w:r>
        <w:rPr>
          <w:b/>
        </w:rPr>
        <w:t>OMB Control Number 0579-XXXX</w:t>
      </w:r>
    </w:p>
    <w:p w:rsidR="00515058" w:rsidP="002B2EF6" w14:paraId="4E2380E3" w14:textId="77777777">
      <w:pPr>
        <w:pStyle w:val="DefaultText"/>
        <w:rPr>
          <w:b/>
        </w:rPr>
      </w:pPr>
    </w:p>
    <w:p w:rsidR="00037950" w:rsidP="004918DE" w14:paraId="476658F0" w14:textId="11761396">
      <w:pPr>
        <w:pStyle w:val="DefaultText"/>
        <w:rPr>
          <w:b/>
        </w:rPr>
      </w:pPr>
      <w:r>
        <w:rPr>
          <w:b/>
        </w:rPr>
        <w:t xml:space="preserve">Part </w:t>
      </w:r>
      <w:r w:rsidRPr="005F6640" w:rsidR="00A15641">
        <w:rPr>
          <w:b/>
        </w:rPr>
        <w:t>B</w:t>
      </w:r>
    </w:p>
    <w:p w:rsidR="004918DE" w:rsidRPr="009B3D2F" w:rsidP="004918DE" w14:paraId="6A47F831" w14:textId="77777777">
      <w:pPr>
        <w:pStyle w:val="DefaultText"/>
        <w:rPr>
          <w:bCs/>
        </w:rPr>
      </w:pPr>
    </w:p>
    <w:p w:rsidR="00A15641" w:rsidP="004918DE" w14:paraId="527ABB81" w14:textId="035EE97C">
      <w:pPr>
        <w:pStyle w:val="DefaultText"/>
        <w:rPr>
          <w:b/>
          <w:caps/>
        </w:rPr>
      </w:pPr>
      <w:r w:rsidRPr="005F6640">
        <w:rPr>
          <w:b/>
          <w:caps/>
        </w:rPr>
        <w:t>Collections of Information Employing Statistical Methods</w:t>
      </w:r>
      <w:bookmarkEnd w:id="0"/>
    </w:p>
    <w:p w:rsidR="00044527" w:rsidRPr="005F6640" w:rsidP="004918DE" w14:paraId="6FB2A0EC" w14:textId="77777777">
      <w:pPr>
        <w:pStyle w:val="DefaultText"/>
        <w:rPr>
          <w:caps/>
        </w:rPr>
      </w:pPr>
    </w:p>
    <w:p w:rsidR="00A15641" w:rsidRPr="00215E71" w:rsidP="0083303A" w14:paraId="49783262" w14:textId="12D8CB35">
      <w:pPr>
        <w:pStyle w:val="ListParagraph"/>
        <w:ind w:left="0"/>
        <w:contextualSpacing w:val="0"/>
        <w:rPr>
          <w:rFonts w:ascii="Times New Roman" w:hAnsi="Times New Roman" w:eastAsiaTheme="majorEastAsia"/>
          <w:b/>
        </w:rPr>
      </w:pPr>
      <w:bookmarkStart w:id="1" w:name="_Toc120517344"/>
      <w:bookmarkStart w:id="2" w:name="_Toc121289103"/>
      <w:bookmarkStart w:id="3" w:name="_Toc133308572"/>
      <w:bookmarkStart w:id="4" w:name="_Toc142106608"/>
      <w:r>
        <w:rPr>
          <w:rFonts w:ascii="Times New Roman" w:hAnsi="Times New Roman"/>
          <w:b/>
        </w:rPr>
        <w:t xml:space="preserve">1. </w:t>
      </w:r>
      <w:r w:rsidRPr="00215E71">
        <w:rPr>
          <w:rFonts w:ascii="Times New Roman" w:hAnsi="Times New Roman"/>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
      <w:bookmarkEnd w:id="2"/>
      <w:bookmarkEnd w:id="3"/>
      <w:bookmarkEnd w:id="4"/>
    </w:p>
    <w:p w:rsidR="009115FF" w:rsidRPr="009B3D2F" w:rsidP="009B3D2F" w14:paraId="60EC47B1" w14:textId="77777777">
      <w:pPr>
        <w:pStyle w:val="ListParagraph"/>
        <w:spacing w:after="240"/>
        <w:ind w:left="0"/>
        <w:rPr>
          <w:rStyle w:val="InitialStyle"/>
          <w:rFonts w:ascii="Times New Roman" w:hAnsi="Times New Roman" w:eastAsiaTheme="majorEastAsia"/>
          <w:bCs/>
          <w:caps/>
        </w:rPr>
      </w:pPr>
    </w:p>
    <w:p w:rsidR="009115FF" w:rsidRPr="005F6640" w:rsidP="005F6640" w14:paraId="1BD2E821" w14:textId="27D3340B">
      <w:pPr>
        <w:pStyle w:val="ListParagraph"/>
        <w:numPr>
          <w:ilvl w:val="0"/>
          <w:numId w:val="21"/>
        </w:numPr>
        <w:rPr>
          <w:rFonts w:ascii="Times New Roman" w:hAnsi="Times New Roman"/>
          <w:b/>
          <w:bCs/>
          <w:u w:val="single"/>
        </w:rPr>
      </w:pPr>
      <w:r w:rsidRPr="005F6640">
        <w:rPr>
          <w:rFonts w:ascii="Times New Roman" w:hAnsi="Times New Roman"/>
          <w:b/>
          <w:bCs/>
          <w:u w:val="single"/>
        </w:rPr>
        <w:t xml:space="preserve">Study </w:t>
      </w:r>
      <w:r w:rsidR="00B07C96">
        <w:rPr>
          <w:rFonts w:ascii="Times New Roman" w:hAnsi="Times New Roman"/>
          <w:b/>
          <w:bCs/>
          <w:u w:val="single"/>
        </w:rPr>
        <w:t>c</w:t>
      </w:r>
      <w:r w:rsidRPr="005F6640">
        <w:rPr>
          <w:rFonts w:ascii="Times New Roman" w:hAnsi="Times New Roman"/>
          <w:b/>
          <w:bCs/>
          <w:u w:val="single"/>
        </w:rPr>
        <w:t>omponents</w:t>
      </w:r>
    </w:p>
    <w:p w:rsidR="007152B6" w:rsidRPr="005F6640" w:rsidP="00982199" w14:paraId="6DDAA16D" w14:textId="39FFB3E5">
      <w:pPr>
        <w:ind w:left="360"/>
      </w:pPr>
      <w:r w:rsidRPr="005F6640">
        <w:t>The National Animal Health Monitoring System (NAHMS) Backyard Animal Keeping 202</w:t>
      </w:r>
      <w:r w:rsidR="00391A0C">
        <w:t>4</w:t>
      </w:r>
      <w:r w:rsidRPr="005F6640">
        <w:t xml:space="preserve"> study</w:t>
      </w:r>
      <w:r w:rsidRPr="005F6640" w:rsidR="005F6640">
        <w:t xml:space="preserve"> (the “Study”)</w:t>
      </w:r>
      <w:r w:rsidRPr="005F6640">
        <w:t xml:space="preserve"> will be a cross-sectional </w:t>
      </w:r>
      <w:r w:rsidR="00982454">
        <w:t>s</w:t>
      </w:r>
      <w:r w:rsidRPr="005F6640">
        <w:t>tudy with two primary components.</w:t>
      </w:r>
    </w:p>
    <w:p w:rsidR="007152B6" w:rsidRPr="005F6640" w:rsidP="00A15641" w14:paraId="060B3274" w14:textId="769B43CF"/>
    <w:p w:rsidR="007152B6" w:rsidRPr="005F6640" w:rsidP="007152B6" w14:paraId="3D855AD4" w14:textId="0B96C4DC">
      <w:pPr>
        <w:pStyle w:val="ListParagraph"/>
        <w:numPr>
          <w:ilvl w:val="0"/>
          <w:numId w:val="13"/>
        </w:numPr>
        <w:rPr>
          <w:rFonts w:ascii="Times New Roman" w:hAnsi="Times New Roman"/>
        </w:rPr>
      </w:pPr>
      <w:r w:rsidRPr="005F6640">
        <w:rPr>
          <w:rFonts w:ascii="Times New Roman" w:hAnsi="Times New Roman"/>
        </w:rPr>
        <w:t xml:space="preserve">National </w:t>
      </w:r>
      <w:r w:rsidRPr="005F6640" w:rsidR="007D09CF">
        <w:rPr>
          <w:rFonts w:ascii="Times New Roman" w:hAnsi="Times New Roman"/>
        </w:rPr>
        <w:t>Survey</w:t>
      </w:r>
      <w:r w:rsidRPr="005F6640">
        <w:rPr>
          <w:rFonts w:ascii="Times New Roman" w:hAnsi="Times New Roman"/>
        </w:rPr>
        <w:t xml:space="preserve"> </w:t>
      </w:r>
      <w:r w:rsidRPr="005F6640" w:rsidR="007D09CF">
        <w:rPr>
          <w:rFonts w:ascii="Times New Roman" w:hAnsi="Times New Roman"/>
        </w:rPr>
        <w:t>C</w:t>
      </w:r>
      <w:r w:rsidRPr="005F6640">
        <w:rPr>
          <w:rFonts w:ascii="Times New Roman" w:hAnsi="Times New Roman"/>
        </w:rPr>
        <w:t>omponent</w:t>
      </w:r>
    </w:p>
    <w:p w:rsidR="007D09CF" w:rsidRPr="005F6640" w:rsidP="007D09CF" w14:paraId="320AEED6" w14:textId="1D7C3F0C">
      <w:pPr>
        <w:pStyle w:val="ListParagraph"/>
        <w:numPr>
          <w:ilvl w:val="1"/>
          <w:numId w:val="13"/>
        </w:numPr>
        <w:rPr>
          <w:rFonts w:ascii="Times New Roman" w:hAnsi="Times New Roman"/>
        </w:rPr>
      </w:pPr>
      <w:r w:rsidRPr="005F6640">
        <w:rPr>
          <w:rFonts w:ascii="Times New Roman" w:hAnsi="Times New Roman"/>
        </w:rPr>
        <w:t xml:space="preserve">Estimate the prevalence of ownership of </w:t>
      </w:r>
      <w:r w:rsidR="009878D0">
        <w:rPr>
          <w:rFonts w:ascii="Times New Roman" w:hAnsi="Times New Roman"/>
        </w:rPr>
        <w:t>poultry</w:t>
      </w:r>
      <w:r>
        <w:rPr>
          <w:rStyle w:val="FootnoteReference"/>
          <w:rFonts w:ascii="Times New Roman" w:hAnsi="Times New Roman"/>
        </w:rPr>
        <w:footnoteReference w:id="3"/>
      </w:r>
      <w:r w:rsidRPr="005F6640">
        <w:rPr>
          <w:rFonts w:ascii="Times New Roman" w:hAnsi="Times New Roman"/>
        </w:rPr>
        <w:t>, pigs, rabbits, and goats among U.S. households</w:t>
      </w:r>
      <w:r w:rsidRPr="005F6640" w:rsidR="00556256">
        <w:rPr>
          <w:rFonts w:ascii="Times New Roman" w:hAnsi="Times New Roman"/>
        </w:rPr>
        <w:t xml:space="preserve"> in urban and non-urban areas.</w:t>
      </w:r>
    </w:p>
    <w:p w:rsidR="00556256" w:rsidRPr="005F6640" w:rsidP="007D09CF" w14:paraId="3CCEEF58" w14:textId="64B2E2AD">
      <w:pPr>
        <w:pStyle w:val="ListParagraph"/>
        <w:numPr>
          <w:ilvl w:val="1"/>
          <w:numId w:val="13"/>
        </w:numPr>
        <w:rPr>
          <w:rFonts w:ascii="Times New Roman" w:hAnsi="Times New Roman"/>
        </w:rPr>
      </w:pPr>
      <w:r w:rsidRPr="005F6640">
        <w:rPr>
          <w:rFonts w:ascii="Times New Roman" w:hAnsi="Times New Roman"/>
        </w:rPr>
        <w:t>For owners of</w:t>
      </w:r>
      <w:r w:rsidRPr="005F6640" w:rsidR="004F728E">
        <w:rPr>
          <w:rFonts w:ascii="Times New Roman" w:hAnsi="Times New Roman"/>
        </w:rPr>
        <w:t xml:space="preserve"> the species of interest, describe opinions regarding backyard and urban chicken ownership, </w:t>
      </w:r>
      <w:r w:rsidRPr="005F6640" w:rsidR="00457004">
        <w:rPr>
          <w:rFonts w:ascii="Times New Roman" w:hAnsi="Times New Roman"/>
        </w:rPr>
        <w:t>food security, and animal management practices, particularly surrounding health issues</w:t>
      </w:r>
      <w:r w:rsidR="00D325C3">
        <w:rPr>
          <w:rFonts w:ascii="Times New Roman" w:hAnsi="Times New Roman"/>
        </w:rPr>
        <w:t xml:space="preserve"> and biosecurity practices</w:t>
      </w:r>
      <w:r w:rsidR="005B33DB">
        <w:rPr>
          <w:rFonts w:ascii="Times New Roman" w:hAnsi="Times New Roman"/>
        </w:rPr>
        <w:t xml:space="preserve"> including those relevant to antimicrobial stewardship</w:t>
      </w:r>
      <w:r w:rsidRPr="005F6640" w:rsidR="00457004">
        <w:rPr>
          <w:rFonts w:ascii="Times New Roman" w:hAnsi="Times New Roman"/>
        </w:rPr>
        <w:t>.</w:t>
      </w:r>
    </w:p>
    <w:p w:rsidR="00457004" w:rsidRPr="005F6640" w:rsidP="00A15716" w14:paraId="0C37C036" w14:textId="21A59D72">
      <w:pPr>
        <w:pStyle w:val="ListParagraph"/>
        <w:numPr>
          <w:ilvl w:val="1"/>
          <w:numId w:val="13"/>
        </w:numPr>
        <w:rPr>
          <w:rFonts w:ascii="Times New Roman" w:hAnsi="Times New Roman"/>
        </w:rPr>
      </w:pPr>
      <w:r w:rsidRPr="005F6640">
        <w:rPr>
          <w:rFonts w:ascii="Times New Roman" w:hAnsi="Times New Roman"/>
        </w:rPr>
        <w:t>For non-owners of the species of interest, describe opinions regarding backyard and urban chicken ownership, food security,</w:t>
      </w:r>
      <w:r w:rsidR="00005B04">
        <w:rPr>
          <w:rFonts w:ascii="Times New Roman" w:hAnsi="Times New Roman"/>
        </w:rPr>
        <w:t xml:space="preserve"> any contact with </w:t>
      </w:r>
      <w:r w:rsidR="00DF1DEC">
        <w:rPr>
          <w:rFonts w:ascii="Times New Roman" w:hAnsi="Times New Roman"/>
        </w:rPr>
        <w:t xml:space="preserve">live </w:t>
      </w:r>
      <w:r w:rsidR="00005B04">
        <w:rPr>
          <w:rFonts w:ascii="Times New Roman" w:hAnsi="Times New Roman"/>
        </w:rPr>
        <w:t>poultry,</w:t>
      </w:r>
      <w:r w:rsidRPr="005F6640">
        <w:rPr>
          <w:rFonts w:ascii="Times New Roman" w:hAnsi="Times New Roman"/>
        </w:rPr>
        <w:t xml:space="preserve"> and intention to own any of the</w:t>
      </w:r>
      <w:r w:rsidR="00BC6824">
        <w:rPr>
          <w:rFonts w:ascii="Times New Roman" w:hAnsi="Times New Roman"/>
        </w:rPr>
        <w:t>se</w:t>
      </w:r>
      <w:r w:rsidRPr="005F6640">
        <w:rPr>
          <w:rFonts w:ascii="Times New Roman" w:hAnsi="Times New Roman"/>
        </w:rPr>
        <w:t xml:space="preserve"> species of interest in the future.</w:t>
      </w:r>
    </w:p>
    <w:p w:rsidR="007152B6" w:rsidRPr="005F6640" w:rsidP="00E52E9E" w14:paraId="03277009" w14:textId="4182EB95">
      <w:pPr>
        <w:pStyle w:val="ListParagraph"/>
        <w:numPr>
          <w:ilvl w:val="0"/>
          <w:numId w:val="13"/>
        </w:numPr>
        <w:rPr>
          <w:rFonts w:ascii="Times New Roman" w:hAnsi="Times New Roman"/>
        </w:rPr>
      </w:pPr>
      <w:r w:rsidRPr="005F6640">
        <w:rPr>
          <w:rFonts w:ascii="Times New Roman" w:hAnsi="Times New Roman"/>
        </w:rPr>
        <w:t xml:space="preserve">City </w:t>
      </w:r>
      <w:r w:rsidRPr="005F6640" w:rsidR="007D09CF">
        <w:rPr>
          <w:rFonts w:ascii="Times New Roman" w:hAnsi="Times New Roman"/>
        </w:rPr>
        <w:t>Survey</w:t>
      </w:r>
      <w:r w:rsidRPr="005F6640">
        <w:rPr>
          <w:rFonts w:ascii="Times New Roman" w:hAnsi="Times New Roman"/>
        </w:rPr>
        <w:t xml:space="preserve"> </w:t>
      </w:r>
      <w:r w:rsidRPr="005F6640" w:rsidR="007D09CF">
        <w:rPr>
          <w:rFonts w:ascii="Times New Roman" w:hAnsi="Times New Roman"/>
        </w:rPr>
        <w:t>C</w:t>
      </w:r>
      <w:r w:rsidRPr="005F6640">
        <w:rPr>
          <w:rFonts w:ascii="Times New Roman" w:hAnsi="Times New Roman"/>
        </w:rPr>
        <w:t>omponent</w:t>
      </w:r>
    </w:p>
    <w:p w:rsidR="00457004" w:rsidRPr="005F6640" w:rsidP="00A15716" w14:paraId="56949090" w14:textId="200A3EB2">
      <w:pPr>
        <w:pStyle w:val="ListParagraph"/>
        <w:numPr>
          <w:ilvl w:val="1"/>
          <w:numId w:val="13"/>
        </w:numPr>
        <w:rPr>
          <w:rFonts w:ascii="Times New Roman" w:hAnsi="Times New Roman"/>
        </w:rPr>
      </w:pPr>
      <w:r w:rsidRPr="005F6640">
        <w:rPr>
          <w:rFonts w:ascii="Times New Roman" w:hAnsi="Times New Roman"/>
        </w:rPr>
        <w:t xml:space="preserve">Estimate the prevalence of ownership of chickens, pigs, rabbits, and goats among U.S. households in </w:t>
      </w:r>
      <w:r w:rsidRPr="005F6640" w:rsidR="00FB4082">
        <w:rPr>
          <w:rStyle w:val="normaltextrun"/>
          <w:rFonts w:ascii="Times New Roman" w:hAnsi="Times New Roman"/>
          <w:color w:val="000000"/>
          <w:szCs w:val="24"/>
          <w:bdr w:val="none" w:sz="0" w:space="0" w:color="auto" w:frame="1"/>
        </w:rPr>
        <w:t>two</w:t>
      </w:r>
      <w:r w:rsidRPr="005F6640" w:rsidR="00025A18">
        <w:rPr>
          <w:rStyle w:val="normaltextrun"/>
          <w:rFonts w:ascii="Times New Roman" w:hAnsi="Times New Roman"/>
          <w:color w:val="000000"/>
          <w:szCs w:val="24"/>
          <w:bdr w:val="none" w:sz="0" w:space="0" w:color="auto" w:frame="1"/>
        </w:rPr>
        <w:t xml:space="preserve"> of the cities surveyed on urban chicken ownership in the </w:t>
      </w:r>
      <w:hyperlink r:id="rId9" w:history="1">
        <w:r w:rsidRPr="005F6640" w:rsidR="00025A18">
          <w:rPr>
            <w:rStyle w:val="Hyperlink"/>
            <w:rFonts w:ascii="Times New Roman" w:hAnsi="Times New Roman"/>
            <w:szCs w:val="24"/>
            <w:bdr w:val="none" w:sz="0" w:space="0" w:color="auto" w:frame="1"/>
          </w:rPr>
          <w:t>NAHMS Poultry 2010 study</w:t>
        </w:r>
      </w:hyperlink>
      <w:r w:rsidR="00EE40CE">
        <w:rPr>
          <w:rStyle w:val="Hyperlink"/>
          <w:rFonts w:ascii="Times New Roman" w:hAnsi="Times New Roman"/>
          <w:szCs w:val="24"/>
          <w:bdr w:val="none" w:sz="0" w:space="0" w:color="auto" w:frame="1"/>
          <w:vertAlign w:val="superscript"/>
        </w:rPr>
        <w:t>1</w:t>
      </w:r>
      <w:r w:rsidRPr="005F6640" w:rsidR="00025A18">
        <w:rPr>
          <w:rStyle w:val="normaltextrun"/>
          <w:rFonts w:ascii="Times New Roman" w:hAnsi="Times New Roman"/>
          <w:color w:val="000000"/>
          <w:szCs w:val="24"/>
          <w:bdr w:val="none" w:sz="0" w:space="0" w:color="auto" w:frame="1"/>
        </w:rPr>
        <w:t xml:space="preserve"> (Denver and Miami</w:t>
      </w:r>
      <w:r w:rsidRPr="005F6640" w:rsidR="00202C95">
        <w:rPr>
          <w:rStyle w:val="normaltextrun"/>
          <w:rFonts w:ascii="Times New Roman" w:hAnsi="Times New Roman"/>
          <w:color w:val="000000"/>
          <w:szCs w:val="24"/>
          <w:bdr w:val="none" w:sz="0" w:space="0" w:color="auto" w:frame="1"/>
        </w:rPr>
        <w:t>; USDA, 2012</w:t>
      </w:r>
      <w:r w:rsidRPr="005F6640" w:rsidR="00025A18">
        <w:rPr>
          <w:rStyle w:val="normaltextrun"/>
          <w:rFonts w:ascii="Times New Roman" w:hAnsi="Times New Roman"/>
          <w:color w:val="000000"/>
          <w:szCs w:val="24"/>
          <w:bdr w:val="none" w:sz="0" w:space="0" w:color="auto" w:frame="1"/>
        </w:rPr>
        <w:t>)</w:t>
      </w:r>
      <w:r w:rsidRPr="005F6640" w:rsidR="00935C84">
        <w:rPr>
          <w:rStyle w:val="normaltextrun"/>
          <w:rFonts w:ascii="Times New Roman" w:hAnsi="Times New Roman"/>
          <w:color w:val="000000"/>
          <w:szCs w:val="24"/>
          <w:bdr w:val="none" w:sz="0" w:space="0" w:color="auto" w:frame="1"/>
        </w:rPr>
        <w:t xml:space="preserve"> and how the prevalence of chicken ownership has changed in those cities since the NAHMS Poultry 2010 study</w:t>
      </w:r>
      <w:r w:rsidRPr="005F6640" w:rsidR="00025A18">
        <w:rPr>
          <w:rStyle w:val="normaltextrun"/>
          <w:rFonts w:ascii="Times New Roman" w:hAnsi="Times New Roman"/>
          <w:color w:val="000000"/>
          <w:szCs w:val="24"/>
          <w:bdr w:val="none" w:sz="0" w:space="0" w:color="auto" w:frame="1"/>
        </w:rPr>
        <w:t>. For both owners and non-owners of the four species of interest, describe opinions regarding backyard and urban chicken ownership.</w:t>
      </w:r>
    </w:p>
    <w:p w:rsidR="00175D6E" w:rsidRPr="005F6640" w:rsidP="00A15641" w14:paraId="4AB766DD" w14:textId="7932F404"/>
    <w:p w:rsidR="000F56B8" w:rsidP="0022026C" w14:paraId="465C5DBD" w14:textId="70C9621C">
      <w:pPr>
        <w:ind w:left="360"/>
      </w:pPr>
      <w:r w:rsidRPr="005F6640">
        <w:t xml:space="preserve">The primary data collection instrument for the National Survey </w:t>
      </w:r>
      <w:r w:rsidR="009D0B96">
        <w:t>c</w:t>
      </w:r>
      <w:r w:rsidRPr="005F6640">
        <w:t xml:space="preserve">omponent will be the Backyard Animal Keeping </w:t>
      </w:r>
      <w:r w:rsidR="00700777">
        <w:t>2024</w:t>
      </w:r>
      <w:r w:rsidR="002168B2">
        <w:t xml:space="preserve"> </w:t>
      </w:r>
      <w:r w:rsidRPr="005F6640">
        <w:t xml:space="preserve">Study </w:t>
      </w:r>
      <w:r w:rsidR="00511245">
        <w:t>s</w:t>
      </w:r>
      <w:r w:rsidRPr="00C3061D">
        <w:t>urvey, which will</w:t>
      </w:r>
      <w:r w:rsidRPr="005F6640">
        <w:t xml:space="preserve"> be administered by computer-assisted self-interview (CASI) using a web-based survey and by</w:t>
      </w:r>
      <w:r w:rsidR="00F81537">
        <w:t xml:space="preserve"> computer-assisted </w:t>
      </w:r>
      <w:r w:rsidRPr="005F6640">
        <w:t xml:space="preserve">telephone interviews </w:t>
      </w:r>
      <w:r w:rsidR="0094667A">
        <w:t xml:space="preserve">(CATI) </w:t>
      </w:r>
      <w:r w:rsidRPr="005F6640">
        <w:t>by a private survey company sub-contracted under a cooperative agreement.</w:t>
      </w:r>
      <w:r w:rsidR="00AA19F7">
        <w:t xml:space="preserve"> For the National Survey </w:t>
      </w:r>
      <w:r w:rsidR="009D0B96">
        <w:t>c</w:t>
      </w:r>
      <w:r w:rsidR="00AA19F7">
        <w:t xml:space="preserve">omponent, there will be two ways that participants will be recruited </w:t>
      </w:r>
      <w:r>
        <w:t xml:space="preserve">to take the survey: a probability-based survey panel and a nonprobability-based opt-in sample of participants. The probability-based survey panel </w:t>
      </w:r>
      <w:r w:rsidR="007F5001">
        <w:t>i</w:t>
      </w:r>
      <w:r w:rsidR="007B3CEF">
        <w:t xml:space="preserve">s a list frame of households that was recruited probabilistically from frames so that the </w:t>
      </w:r>
      <w:r w:rsidR="00AB7245">
        <w:t xml:space="preserve">group of participants (i.e., the panel) statistically represents the population of U.S. households. This group of participants on the survey panel have been pre-recruited and </w:t>
      </w:r>
      <w:r w:rsidR="00D76930">
        <w:t>agree to participate in surveys sent to the panel. The nonprobability-based opt-in portion of the sample will include a sample of households that voluntarily complete the survey</w:t>
      </w:r>
      <w:r w:rsidR="00272FE4">
        <w:t xml:space="preserve">. They will be recruited through online outreach </w:t>
      </w:r>
      <w:r w:rsidR="007E38E3">
        <w:t>and is not based on probabilistic sampling methods and so statistical methods will be used to combine the probability panel portion of the sample and nonprobability-based opt-in portion of the sample.</w:t>
      </w:r>
    </w:p>
    <w:p w:rsidR="000F56B8" w:rsidP="0022026C" w14:paraId="65ABB99D" w14:textId="77777777">
      <w:pPr>
        <w:ind w:left="360"/>
      </w:pPr>
    </w:p>
    <w:p w:rsidR="009115FF" w:rsidRPr="005F6640" w:rsidP="0022026C" w14:paraId="6A734A32" w14:textId="56557B2C">
      <w:pPr>
        <w:ind w:left="360"/>
      </w:pPr>
      <w:r w:rsidRPr="005F6640">
        <w:t xml:space="preserve">For </w:t>
      </w:r>
      <w:r w:rsidR="007E38E3">
        <w:t xml:space="preserve">the National Survey </w:t>
      </w:r>
      <w:r w:rsidRPr="005F6640">
        <w:t>component, members of a probability-based survey panel will be sent the Backyard Animal Keeping 202</w:t>
      </w:r>
      <w:r w:rsidR="00A94431">
        <w:t>4</w:t>
      </w:r>
      <w:r w:rsidRPr="005F6640">
        <w:t xml:space="preserve"> Study </w:t>
      </w:r>
      <w:r w:rsidR="00511245">
        <w:t>s</w:t>
      </w:r>
      <w:r w:rsidRPr="005F6640">
        <w:t xml:space="preserve">urvey. All respondents will answer questions regarding ownership of the species of interest to address component 1.a. </w:t>
      </w:r>
      <w:r w:rsidR="00982454">
        <w:t xml:space="preserve">Owners </w:t>
      </w:r>
      <w:r w:rsidRPr="005F6640">
        <w:t>of the species of interest will answer further questions regarding management and biosecurity to address component 1.b. For non-owners of the species of interest, a subset</w:t>
      </w:r>
      <w:r w:rsidR="00982454">
        <w:t xml:space="preserve"> of 800 respondents</w:t>
      </w:r>
      <w:r w:rsidRPr="005F6640">
        <w:t xml:space="preserve"> will answer opinion questions regarding backyard and urban chicken ownership</w:t>
      </w:r>
      <w:r w:rsidR="00982454">
        <w:t>,</w:t>
      </w:r>
      <w:r w:rsidRPr="005F6640">
        <w:t xml:space="preserve"> food security</w:t>
      </w:r>
      <w:r w:rsidR="00982454">
        <w:t>,</w:t>
      </w:r>
      <w:r w:rsidR="00AE6339">
        <w:t xml:space="preserve"> any contact with </w:t>
      </w:r>
      <w:r w:rsidR="00071E79">
        <w:t xml:space="preserve">live </w:t>
      </w:r>
      <w:r w:rsidR="00AE6339">
        <w:t>poultry,</w:t>
      </w:r>
      <w:r w:rsidR="00982454">
        <w:t xml:space="preserve"> and intention to own any of the species of interest in the future</w:t>
      </w:r>
      <w:r w:rsidRPr="005F6640">
        <w:t xml:space="preserve"> to address component 1.c.</w:t>
      </w:r>
      <w:r w:rsidRPr="005F6640" w:rsidR="004C04DD">
        <w:t xml:space="preserve"> A nonprobability sample of owners of the species of interest will be selected</w:t>
      </w:r>
      <w:r w:rsidR="002D19BE">
        <w:t>, if needed,</w:t>
      </w:r>
      <w:r w:rsidRPr="005F6640" w:rsidR="004C04DD">
        <w:t xml:space="preserve"> to increase the sample size of species owners to answer the questions regarding animal ownership and biosecurity specifically (part of component 1.b) due to the low expected numbers of owners of some of the </w:t>
      </w:r>
      <w:r w:rsidR="00982454">
        <w:t>less commonly owned</w:t>
      </w:r>
      <w:r w:rsidRPr="005F6640" w:rsidR="004C04DD">
        <w:t xml:space="preserve"> species (pigs, goats).</w:t>
      </w:r>
    </w:p>
    <w:p w:rsidR="009115FF" w:rsidRPr="005F6640" w:rsidP="009115FF" w14:paraId="63F25294" w14:textId="77777777"/>
    <w:p w:rsidR="009115FF" w:rsidRPr="005F6640" w:rsidP="00A31596" w14:paraId="6256DF9D" w14:textId="7E3F8CB3">
      <w:pPr>
        <w:ind w:left="360"/>
      </w:pPr>
      <w:r w:rsidRPr="005F6640">
        <w:t xml:space="preserve">The primary data collection instrument for the City Survey </w:t>
      </w:r>
      <w:r w:rsidR="00511245">
        <w:t>c</w:t>
      </w:r>
      <w:r w:rsidRPr="005F6640">
        <w:t>omponent will be the Backyard Animal Prevalence Record, which will be administered by computer-assisted self-interview (CASI) using a web-based survey</w:t>
      </w:r>
      <w:r w:rsidR="005447A3">
        <w:t xml:space="preserve"> and, for those who don’t complete over the web, a paper survey will be offered, followed by a telephone follow-up</w:t>
      </w:r>
      <w:r w:rsidR="00E805ED">
        <w:t xml:space="preserve"> to a subset</w:t>
      </w:r>
      <w:r w:rsidR="00E231A2">
        <w:t xml:space="preserve"> of respondents</w:t>
      </w:r>
      <w:r w:rsidRPr="005F6640">
        <w:t>. All respondents will answer questions regarding ownership of the four species of interest</w:t>
      </w:r>
      <w:r w:rsidR="00982454">
        <w:t xml:space="preserve">, </w:t>
      </w:r>
      <w:r w:rsidRPr="005F6640">
        <w:t>opinions regarding ownership of backyard and urban chickens</w:t>
      </w:r>
      <w:r w:rsidR="00982454">
        <w:t xml:space="preserve">, and intention to own </w:t>
      </w:r>
      <w:r w:rsidR="00AA4353">
        <w:t>chickens</w:t>
      </w:r>
      <w:r w:rsidR="00982454">
        <w:t xml:space="preserve"> in the future</w:t>
      </w:r>
      <w:r w:rsidRPr="005F6640">
        <w:t xml:space="preserve"> to address component 2.a.</w:t>
      </w:r>
    </w:p>
    <w:p w:rsidR="009115FF" w:rsidRPr="005F6640" w:rsidP="00A15641" w14:paraId="339B5E09" w14:textId="2E03FFC3"/>
    <w:p w:rsidR="009115FF" w:rsidRPr="005F6640" w:rsidP="005F6640" w14:paraId="6A77ADE2" w14:textId="6CC3487C">
      <w:pPr>
        <w:pStyle w:val="ListParagraph"/>
        <w:numPr>
          <w:ilvl w:val="0"/>
          <w:numId w:val="21"/>
        </w:numPr>
        <w:rPr>
          <w:rFonts w:ascii="Times New Roman" w:hAnsi="Times New Roman"/>
          <w:b/>
          <w:bCs/>
          <w:u w:val="single"/>
        </w:rPr>
      </w:pPr>
      <w:r w:rsidRPr="005F6640">
        <w:rPr>
          <w:rFonts w:ascii="Times New Roman" w:hAnsi="Times New Roman"/>
          <w:b/>
          <w:bCs/>
          <w:u w:val="single"/>
        </w:rPr>
        <w:t>Target population</w:t>
      </w:r>
    </w:p>
    <w:p w:rsidR="009115FF" w:rsidRPr="005F6640" w:rsidP="00603195" w14:paraId="66A847B9" w14:textId="6C1FD92C">
      <w:pPr>
        <w:ind w:left="360"/>
      </w:pPr>
      <w:r w:rsidRPr="005F6640">
        <w:t xml:space="preserve">The </w:t>
      </w:r>
      <w:r w:rsidRPr="005F6640" w:rsidR="00FB4082">
        <w:t>target population</w:t>
      </w:r>
      <w:r w:rsidRPr="005F6640">
        <w:t xml:space="preserve"> for </w:t>
      </w:r>
      <w:r w:rsidRPr="005F6640" w:rsidR="00FB4082">
        <w:t xml:space="preserve">the National Survey </w:t>
      </w:r>
      <w:r w:rsidRPr="005F6640" w:rsidR="00000E88">
        <w:t>is</w:t>
      </w:r>
      <w:r w:rsidRPr="005F6640">
        <w:t xml:space="preserve"> all U.S. </w:t>
      </w:r>
      <w:r w:rsidRPr="005F6640" w:rsidR="00000E88">
        <w:t>households</w:t>
      </w:r>
      <w:r w:rsidRPr="005F6640">
        <w:t>.</w:t>
      </w:r>
      <w:r w:rsidRPr="005F6640" w:rsidR="00FB4082">
        <w:t xml:space="preserve"> The target population for the City Survey is all U.S. households within the two cities of interest (Denver and Miami).</w:t>
      </w:r>
      <w:r w:rsidRPr="005F6640" w:rsidR="00BD5DAC">
        <w:t xml:space="preserve"> Data from the </w:t>
      </w:r>
      <w:r w:rsidRPr="005F6640" w:rsidR="001E48EB">
        <w:t>U.S. Census Bureau</w:t>
      </w:r>
      <w:r w:rsidRPr="005F6640" w:rsidR="00817F90">
        <w:t xml:space="preserve">’s American Community Survey (ACS) </w:t>
      </w:r>
      <w:r w:rsidRPr="005F6640" w:rsidR="0088231C">
        <w:t xml:space="preserve">describing the three target populations </w:t>
      </w:r>
      <w:r w:rsidRPr="005F6640" w:rsidR="00BD5DAC">
        <w:t xml:space="preserve">are </w:t>
      </w:r>
      <w:r w:rsidRPr="005F6640" w:rsidR="00645A67">
        <w:t xml:space="preserve">provided in </w:t>
      </w:r>
      <w:r w:rsidRPr="005F6640" w:rsidR="0088231C">
        <w:t xml:space="preserve">Table A.1 and Figure A.1 in </w:t>
      </w:r>
      <w:r w:rsidRPr="005F6640" w:rsidR="00645A67">
        <w:t>Appendix A.</w:t>
      </w:r>
    </w:p>
    <w:p w:rsidR="009115FF" w:rsidRPr="005F6640" w:rsidP="00A15641" w14:paraId="18EEF33C" w14:textId="230DD9B6"/>
    <w:p w:rsidR="009115FF" w:rsidRPr="005F6640" w:rsidP="005F6640" w14:paraId="6565E7EB" w14:textId="6D490784">
      <w:pPr>
        <w:pStyle w:val="ListParagraph"/>
        <w:numPr>
          <w:ilvl w:val="0"/>
          <w:numId w:val="21"/>
        </w:numPr>
        <w:rPr>
          <w:rFonts w:ascii="Times New Roman" w:hAnsi="Times New Roman"/>
          <w:b/>
          <w:bCs/>
          <w:u w:val="single"/>
        </w:rPr>
      </w:pPr>
      <w:r w:rsidRPr="005F6640">
        <w:rPr>
          <w:rFonts w:ascii="Times New Roman" w:hAnsi="Times New Roman"/>
          <w:b/>
          <w:bCs/>
          <w:u w:val="single"/>
        </w:rPr>
        <w:t>Sampling and respondent selection</w:t>
      </w:r>
    </w:p>
    <w:p w:rsidR="006E3DF2" w:rsidRPr="005F6640" w:rsidP="00603195" w14:paraId="46CD32E2" w14:textId="5DFF95DE">
      <w:pPr>
        <w:ind w:left="360"/>
      </w:pPr>
      <w:r w:rsidRPr="005F6640">
        <w:t xml:space="preserve">For the National Survey, </w:t>
      </w:r>
      <w:r w:rsidRPr="00B356E9">
        <w:t xml:space="preserve">all households will be selected from </w:t>
      </w:r>
      <w:r w:rsidRPr="00B356E9" w:rsidR="00F23B16">
        <w:rPr>
          <w:color w:val="333333"/>
          <w:shd w:val="clear" w:color="auto" w:fill="FFFFFF"/>
        </w:rPr>
        <w:t xml:space="preserve">the </w:t>
      </w:r>
      <w:r w:rsidR="00AF79B3">
        <w:rPr>
          <w:color w:val="333333"/>
          <w:shd w:val="clear" w:color="auto" w:fill="FFFFFF"/>
        </w:rPr>
        <w:t>N</w:t>
      </w:r>
      <w:r w:rsidRPr="00B356E9" w:rsidR="00F23B16">
        <w:rPr>
          <w:color w:val="333333"/>
          <w:shd w:val="clear" w:color="auto" w:fill="FFFFFF"/>
        </w:rPr>
        <w:t xml:space="preserve">onpartisan and </w:t>
      </w:r>
      <w:r w:rsidR="00AF79B3">
        <w:rPr>
          <w:color w:val="333333"/>
          <w:shd w:val="clear" w:color="auto" w:fill="FFFFFF"/>
        </w:rPr>
        <w:t>O</w:t>
      </w:r>
      <w:r w:rsidRPr="00B356E9" w:rsidR="00F23B16">
        <w:rPr>
          <w:color w:val="333333"/>
          <w:shd w:val="clear" w:color="auto" w:fill="FFFFFF"/>
        </w:rPr>
        <w:t xml:space="preserve">bjective </w:t>
      </w:r>
      <w:r w:rsidR="00AF79B3">
        <w:rPr>
          <w:color w:val="333333"/>
          <w:shd w:val="clear" w:color="auto" w:fill="FFFFFF"/>
        </w:rPr>
        <w:t>R</w:t>
      </w:r>
      <w:r w:rsidRPr="00B356E9" w:rsidR="00F23B16">
        <w:rPr>
          <w:color w:val="333333"/>
          <w:shd w:val="clear" w:color="auto" w:fill="FFFFFF"/>
        </w:rPr>
        <w:t xml:space="preserve">esearch </w:t>
      </w:r>
      <w:r w:rsidR="00AF79B3">
        <w:rPr>
          <w:color w:val="333333"/>
          <w:shd w:val="clear" w:color="auto" w:fill="FFFFFF"/>
        </w:rPr>
        <w:t>O</w:t>
      </w:r>
      <w:r w:rsidRPr="00B356E9" w:rsidR="00F23B16">
        <w:rPr>
          <w:color w:val="333333"/>
          <w:shd w:val="clear" w:color="auto" w:fill="FFFFFF"/>
        </w:rPr>
        <w:t xml:space="preserve">rganization </w:t>
      </w:r>
      <w:r w:rsidR="00AF79B3">
        <w:rPr>
          <w:color w:val="333333"/>
          <w:shd w:val="clear" w:color="auto" w:fill="FFFFFF"/>
        </w:rPr>
        <w:t>(</w:t>
      </w:r>
      <w:r w:rsidRPr="00B356E9" w:rsidR="00F23B16">
        <w:rPr>
          <w:color w:val="333333"/>
          <w:shd w:val="clear" w:color="auto" w:fill="FFFFFF"/>
        </w:rPr>
        <w:t>NORC</w:t>
      </w:r>
      <w:r w:rsidR="00AF79B3">
        <w:rPr>
          <w:color w:val="333333"/>
          <w:shd w:val="clear" w:color="auto" w:fill="FFFFFF"/>
        </w:rPr>
        <w:t>)</w:t>
      </w:r>
      <w:r w:rsidRPr="00B356E9" w:rsidR="00F23B16">
        <w:rPr>
          <w:color w:val="333333"/>
          <w:shd w:val="clear" w:color="auto" w:fill="FFFFFF"/>
        </w:rPr>
        <w:t xml:space="preserve"> at the University of Chicago</w:t>
      </w:r>
      <w:r w:rsidRPr="005F6640">
        <w:t xml:space="preserve"> </w:t>
      </w:r>
      <w:hyperlink r:id="rId10" w:history="1">
        <w:r w:rsidRPr="005F6640">
          <w:rPr>
            <w:rStyle w:val="Hyperlink"/>
          </w:rPr>
          <w:t>AmeriSpeak</w:t>
        </w:r>
        <w:r w:rsidRPr="005F6640">
          <w:rPr>
            <w:rStyle w:val="Hyperlink"/>
          </w:rPr>
          <w:t>® probability-based household panel</w:t>
        </w:r>
      </w:hyperlink>
      <w:r w:rsidRPr="005F6640" w:rsidR="00202C95">
        <w:t xml:space="preserve"> (NORC, 2022)</w:t>
      </w:r>
      <w:r w:rsidRPr="005F6640">
        <w:t>. This survey panel was designed to be representative of all households in the U.S.</w:t>
      </w:r>
    </w:p>
    <w:p w:rsidR="006E3DF2" w:rsidRPr="005F6640" w:rsidP="00A15641" w14:paraId="4E28A2E9" w14:textId="77777777"/>
    <w:p w:rsidR="00000E88" w:rsidRPr="005F6640" w:rsidP="00982199" w14:paraId="5A9DCD7E" w14:textId="62FBE0DA">
      <w:pPr>
        <w:ind w:left="360"/>
      </w:pPr>
      <w:r w:rsidRPr="005F6640">
        <w:t>Briefly, the</w:t>
      </w:r>
      <w:r w:rsidRPr="005F6640" w:rsidR="009115FF">
        <w:t xml:space="preserve"> </w:t>
      </w:r>
      <w:r w:rsidRPr="005F6640" w:rsidR="00D05044">
        <w:t>AmeriSpeak</w:t>
      </w:r>
      <w:r w:rsidRPr="005F6640" w:rsidR="00D05044">
        <w:t xml:space="preserve"> </w:t>
      </w:r>
      <w:r w:rsidRPr="005F6640" w:rsidR="009115FF">
        <w:t xml:space="preserve">panel is </w:t>
      </w:r>
      <w:r w:rsidRPr="005F6640">
        <w:t>recruited</w:t>
      </w:r>
      <w:r w:rsidRPr="005F6640" w:rsidR="009115FF">
        <w:t xml:space="preserve"> from </w:t>
      </w:r>
      <w:r w:rsidRPr="005F6640" w:rsidR="00D05044">
        <w:t xml:space="preserve">address-based sample (ABS) frames and </w:t>
      </w:r>
      <w:r w:rsidRPr="005F6640" w:rsidR="009115FF">
        <w:t xml:space="preserve">the </w:t>
      </w:r>
      <w:hyperlink r:id="rId11">
        <w:r w:rsidRPr="1FD478F1" w:rsidR="009115FF">
          <w:rPr>
            <w:rStyle w:val="Hyperlink"/>
          </w:rPr>
          <w:t>NORC National Sample Frame</w:t>
        </w:r>
      </w:hyperlink>
      <w:r w:rsidRPr="005F6640" w:rsidR="00D05044">
        <w:t xml:space="preserve"> (the “National Frame”</w:t>
      </w:r>
      <w:r w:rsidRPr="005F6640" w:rsidR="00202C95">
        <w:t>; NORC, n.d.; NORC, 2022</w:t>
      </w:r>
      <w:r w:rsidRPr="005F6640" w:rsidR="00D05044">
        <w:t>)</w:t>
      </w:r>
      <w:r w:rsidRPr="005F6640">
        <w:t>, which is a list frame constructed using a two-stage probability sample, selecting U.S. Census areas of populations of 10,000 or more at the first stage and selecting segments, defined as Census tracts or blocks containing at least 300 housing units, in the second stage.</w:t>
      </w:r>
      <w:r w:rsidRPr="005F6640" w:rsidR="00D05044">
        <w:t xml:space="preserve"> At each stage, samples are taken using stratified random sampling with probability proportional to size.</w:t>
      </w:r>
      <w:r w:rsidRPr="005F6640">
        <w:t xml:space="preserve"> The </w:t>
      </w:r>
      <w:r w:rsidRPr="005F6640" w:rsidR="00D05044">
        <w:t xml:space="preserve">National Frame </w:t>
      </w:r>
      <w:r w:rsidRPr="005F6640">
        <w:t>is constructed using the United States Postal Service Delivery Sequence File (USPS-</w:t>
      </w:r>
      <w:r>
        <w:t>D</w:t>
      </w:r>
      <w:r w:rsidR="778A6178">
        <w:t>SF</w:t>
      </w:r>
      <w:r w:rsidRPr="005F6640">
        <w:t>) in most of the segments and by field enumeration in segments for which the USPS-D</w:t>
      </w:r>
      <w:r w:rsidR="2E8BF1C5">
        <w:t>SF</w:t>
      </w:r>
      <w:r w:rsidRPr="005F6640">
        <w:t xml:space="preserve"> household counts differed substantially from the U.S. Census household counts. The </w:t>
      </w:r>
      <w:r w:rsidRPr="005F6640" w:rsidR="00D05044">
        <w:t xml:space="preserve">National Frame </w:t>
      </w:r>
      <w:r w:rsidRPr="005F6640">
        <w:t>is representative of over 9</w:t>
      </w:r>
      <w:r w:rsidRPr="005F6640" w:rsidR="00D05044">
        <w:t>7</w:t>
      </w:r>
      <w:r w:rsidRPr="005F6640">
        <w:t xml:space="preserve"> percent of U.S. households, with a known gap in very remote and sparsely populated areas, especially in Alaska (accounting for approximately 0.03 percent of the U.S population and 13.7 percent of the U.S. by area) due to prohibitive costs to enumerate.</w:t>
      </w:r>
      <w:r w:rsidRPr="005F6640" w:rsidR="00D05044">
        <w:t xml:space="preserve"> In addition to the NORC National Sample Frame, households are also selected from ABS frames to supplement the National Frame to ensure households from every State are represented in the </w:t>
      </w:r>
      <w:r w:rsidRPr="005F6640" w:rsidR="00D05044">
        <w:t>AmeriSpeak</w:t>
      </w:r>
      <w:r w:rsidRPr="005F6640" w:rsidR="00D05044">
        <w:t xml:space="preserve"> Panel (including in Alaska, Iowa, North Dakota, and Wyoming).</w:t>
      </w:r>
    </w:p>
    <w:p w:rsidR="00D05044" w:rsidRPr="005F6640" w:rsidP="00A15641" w14:paraId="4240DA2A" w14:textId="4CFE53CD"/>
    <w:p w:rsidR="00817F90" w:rsidRPr="005F6640" w:rsidP="00982199" w14:paraId="0A81F34C" w14:textId="7B5CE28C">
      <w:pPr>
        <w:ind w:left="360"/>
      </w:pPr>
      <w:r w:rsidRPr="005F6640">
        <w:t xml:space="preserve">The </w:t>
      </w:r>
      <w:r w:rsidRPr="005F6640">
        <w:t>AmeriSpeak</w:t>
      </w:r>
      <w:r w:rsidRPr="005F6640">
        <w:t xml:space="preserve"> panel currently contains over 43,000 households. These households are recruited from the National Frame and ABS frames through multi-stage, multi-phase, stratified random sampling.</w:t>
      </w:r>
      <w:r w:rsidRPr="005F6640">
        <w:t xml:space="preserve"> Households are selected from the National and ABS frames using stratified random sampling with strata defined by race/ethnicity and age categories and a stratified random sample of nonrespondents are followed up with using nonresponse follow-up (NRFU) procedures, typically involving in-person interviews. The panel has close benchmark percentages compared to the ACS and can be viewed </w:t>
      </w:r>
      <w:hyperlink r:id="rId12" w:history="1">
        <w:r w:rsidRPr="005F6640">
          <w:rPr>
            <w:rStyle w:val="Hyperlink"/>
          </w:rPr>
          <w:t>online</w:t>
        </w:r>
      </w:hyperlink>
      <w:r w:rsidRPr="005F6640" w:rsidR="00202C95">
        <w:t xml:space="preserve"> (NORC, 2019)</w:t>
      </w:r>
      <w:r w:rsidRPr="005F6640">
        <w:t>.</w:t>
      </w:r>
    </w:p>
    <w:p w:rsidR="00817F90" w:rsidRPr="005F6640" w:rsidP="00A15641" w14:paraId="05EB09AC" w14:textId="77777777"/>
    <w:p w:rsidR="00D05044" w:rsidRPr="005F6640" w:rsidP="00982199" w14:paraId="53E1B171" w14:textId="6E9AC9FD">
      <w:pPr>
        <w:ind w:left="360"/>
      </w:pPr>
      <w:r w:rsidRPr="005F6640">
        <w:t>The cumulative weighted household response rate for years that include NRFU is 34.0 percent, and the annual panel retention rate is 85.0 percent. For surveys administered to panel members, typical expected response rates fall between 10 and 20 percent, accounting for panel recruitment, retention, and responses to the specific survey itself.</w:t>
      </w:r>
    </w:p>
    <w:p w:rsidR="00057C7A" w:rsidRPr="005F6640" w:rsidP="00A15641" w14:paraId="4BCE60F1" w14:textId="4769D49E"/>
    <w:p w:rsidR="00057C7A" w:rsidRPr="005F6640" w:rsidP="00982199" w14:paraId="420E8DC9" w14:textId="5997B7C8">
      <w:pPr>
        <w:ind w:left="360"/>
      </w:pPr>
      <w:r w:rsidRPr="005F6640">
        <w:t xml:space="preserve">To increase sample size of owners of the species of interest, a nonprobability sample of owners of the species of interest will be taken to address estimation of prevalence of animal management and biosecurity factors to address study component 1.b. This nonprobability sample will be calibrated to the probability sample using </w:t>
      </w:r>
      <w:hyperlink r:id="rId13" w:history="1">
        <w:r w:rsidRPr="005F6640">
          <w:rPr>
            <w:rStyle w:val="Hyperlink"/>
          </w:rPr>
          <w:t xml:space="preserve">NORC’s </w:t>
        </w:r>
        <w:r w:rsidRPr="005F6640">
          <w:rPr>
            <w:rStyle w:val="Hyperlink"/>
          </w:rPr>
          <w:t>TrueNorth</w:t>
        </w:r>
        <w:r w:rsidRPr="005F6640">
          <w:rPr>
            <w:rStyle w:val="Hyperlink"/>
          </w:rPr>
          <w:t>® Calibration method</w:t>
        </w:r>
      </w:hyperlink>
      <w:r w:rsidRPr="005F6640">
        <w:t xml:space="preserve"> (NORC, 2021) so that accurate estimates regarding animal management and biosecurity can be made. </w:t>
      </w:r>
      <w:r w:rsidR="00E01B17">
        <w:t xml:space="preserve">The methodology uses </w:t>
      </w:r>
      <w:r w:rsidR="0020693B">
        <w:t>a sample-matching procedure that assigns weights to nonprobability records using similar records from the probability sample, where similarity is measured on sets of factors known for both probability and nonprobability sample records. A</w:t>
      </w:r>
      <w:r w:rsidR="00E01B17">
        <w:t xml:space="preserve"> small number of key content </w:t>
      </w:r>
      <w:r w:rsidR="00E01B17">
        <w:t xml:space="preserve">variables </w:t>
      </w:r>
      <w:r w:rsidR="0020693B">
        <w:t xml:space="preserve">are then used </w:t>
      </w:r>
      <w:r w:rsidR="00E01B17">
        <w:t xml:space="preserve">to calibrate the nonprobability sample to the probability sample within 20-40 sub-populations using small area models and then use this information and standard Census demographic benchmarks to calibrate the combined dataset. </w:t>
      </w:r>
      <w:r w:rsidRPr="005F6640">
        <w:t xml:space="preserve">This component will be advertised broadly, such as through advertisements on the internet and on social media sites as well as through electronic mailing lists. Only </w:t>
      </w:r>
      <w:r w:rsidR="00A71095">
        <w:t xml:space="preserve">experimental </w:t>
      </w:r>
      <w:r w:rsidRPr="005F6640">
        <w:t xml:space="preserve">estimates </w:t>
      </w:r>
      <w:r w:rsidRPr="005F6640" w:rsidR="004C04DD">
        <w:t>of practices for species owners will include data from the nonprobability pane</w:t>
      </w:r>
      <w:r w:rsidR="0020693B">
        <w:t>l</w:t>
      </w:r>
      <w:r w:rsidRPr="005F6640" w:rsidR="004C04DD">
        <w:t>.</w:t>
      </w:r>
    </w:p>
    <w:p w:rsidR="00817F90" w:rsidRPr="005F6640" w:rsidP="00A15641" w14:paraId="2660D587" w14:textId="6BEC5C7B"/>
    <w:p w:rsidR="00817F90" w:rsidP="00982199" w14:paraId="65A4BC9D" w14:textId="73EDF823">
      <w:pPr>
        <w:ind w:left="360"/>
      </w:pPr>
      <w:r w:rsidRPr="005F6640">
        <w:t xml:space="preserve">The City Survey Component sample will be selected using a simple random sample from an ABS frame constructed based on the </w:t>
      </w:r>
      <w:r>
        <w:t>US</w:t>
      </w:r>
      <w:r w:rsidR="00202C95">
        <w:t>PS-D</w:t>
      </w:r>
      <w:r w:rsidRPr="004D12D9" w:rsidR="52721FE2">
        <w:t>SF</w:t>
      </w:r>
      <w:r w:rsidRPr="005F6640" w:rsidR="00202C95">
        <w:t xml:space="preserve">, which has high reliability for </w:t>
      </w:r>
      <w:r w:rsidRPr="005F6640" w:rsidR="00057C7A">
        <w:t>highly populated</w:t>
      </w:r>
      <w:r w:rsidRPr="005F6640" w:rsidR="00202C95">
        <w:t xml:space="preserve"> areas such as Denver, Colorado and Miami, Florida. This same sampling approach was used in the NAHMS Poultry 2010 study and will be replicated here to support comparison of results from the two studies.</w:t>
      </w:r>
    </w:p>
    <w:p w:rsidR="00574923" w:rsidRPr="00574923" w:rsidP="00A15641" w14:paraId="1E0EA2A7" w14:textId="77777777"/>
    <w:p w:rsidR="0088231C" w:rsidRPr="00574923" w:rsidP="00574923" w14:paraId="3903707D" w14:textId="44C29C23">
      <w:pPr>
        <w:pStyle w:val="ListParagraph"/>
        <w:numPr>
          <w:ilvl w:val="0"/>
          <w:numId w:val="21"/>
        </w:numPr>
        <w:rPr>
          <w:rFonts w:ascii="Times New Roman" w:hAnsi="Times New Roman"/>
          <w:b/>
          <w:bCs/>
          <w:u w:val="single"/>
        </w:rPr>
      </w:pPr>
      <w:r w:rsidRPr="00574923">
        <w:rPr>
          <w:rFonts w:ascii="Times New Roman" w:hAnsi="Times New Roman"/>
          <w:b/>
          <w:bCs/>
          <w:u w:val="single"/>
        </w:rPr>
        <w:t>Stratification</w:t>
      </w:r>
    </w:p>
    <w:p w:rsidR="00CC3399" w:rsidP="004D12D9" w14:paraId="57AD705A" w14:textId="42D50303">
      <w:pPr>
        <w:ind w:left="360"/>
        <w:rPr>
          <w:b/>
          <w:bCs/>
          <w:u w:val="single"/>
        </w:rPr>
      </w:pPr>
      <w:r>
        <w:t>Beyond</w:t>
      </w:r>
      <w:r w:rsidRPr="005F6640" w:rsidR="005F6640">
        <w:t xml:space="preserve"> the stratification performed in the preparation and recruitment of the </w:t>
      </w:r>
      <w:r w:rsidRPr="005F6640" w:rsidR="005F6640">
        <w:t>AmeriSpeak</w:t>
      </w:r>
      <w:r w:rsidRPr="005F6640" w:rsidR="005F6640">
        <w:t xml:space="preserve"> probability panel, there will be no stratification in the remaining sampling components of the Study</w:t>
      </w:r>
      <w:r w:rsidR="0020693B">
        <w:t xml:space="preserve">. Because a </w:t>
      </w:r>
      <w:r w:rsidRPr="005F6640" w:rsidR="0020693B">
        <w:t xml:space="preserve">census </w:t>
      </w:r>
      <w:r w:rsidR="0020693B">
        <w:t xml:space="preserve">of </w:t>
      </w:r>
      <w:r w:rsidR="004D2B45">
        <w:t xml:space="preserve">households from </w:t>
      </w:r>
      <w:r w:rsidR="0020693B">
        <w:t xml:space="preserve">the </w:t>
      </w:r>
      <w:r w:rsidR="0020693B">
        <w:t>AmeriSpeak</w:t>
      </w:r>
      <w:r w:rsidR="0020693B">
        <w:t xml:space="preserve"> probability panel will be taken, stratification won’t be used further to select households from the probability panel. Likewise, stratification won’t be used for</w:t>
      </w:r>
      <w:r w:rsidRPr="005F6640" w:rsidR="005F6640">
        <w:t xml:space="preserve"> the nonprobability sample for owners of the species of interest</w:t>
      </w:r>
      <w:r w:rsidR="004D2B45">
        <w:t>,</w:t>
      </w:r>
      <w:r w:rsidR="0020693B">
        <w:t xml:space="preserve"> because</w:t>
      </w:r>
      <w:r w:rsidR="004D2B45">
        <w:t xml:space="preserve"> of the self-selection of the nonprobability sample,</w:t>
      </w:r>
      <w:r w:rsidRPr="005F6640" w:rsidR="005F6640">
        <w:t xml:space="preserve"> or the City Survey component</w:t>
      </w:r>
      <w:r w:rsidR="004D2B45">
        <w:t xml:space="preserve"> to make sure the methodology was as close to that used in the NAHMS Poultry 2010 study.</w:t>
      </w:r>
    </w:p>
    <w:p w:rsidR="00CC3399" w:rsidRPr="00574923" w:rsidP="00A15641" w14:paraId="53A635A6" w14:textId="77777777">
      <w:pPr>
        <w:rPr>
          <w:b/>
          <w:bCs/>
          <w:u w:val="single"/>
        </w:rPr>
      </w:pPr>
    </w:p>
    <w:p w:rsidR="00A15641" w:rsidRPr="00704787" w:rsidP="00A15641" w14:paraId="01935975" w14:textId="301D57A9">
      <w:pPr>
        <w:pStyle w:val="ListParagraph"/>
        <w:numPr>
          <w:ilvl w:val="0"/>
          <w:numId w:val="21"/>
        </w:numPr>
        <w:rPr>
          <w:rFonts w:ascii="Times New Roman" w:hAnsi="Times New Roman"/>
          <w:b/>
          <w:bCs/>
          <w:u w:val="single"/>
        </w:rPr>
      </w:pPr>
      <w:r>
        <w:rPr>
          <w:rFonts w:ascii="Times New Roman" w:hAnsi="Times New Roman"/>
          <w:b/>
          <w:bCs/>
          <w:u w:val="single"/>
        </w:rPr>
        <w:t>Response rates</w:t>
      </w:r>
    </w:p>
    <w:p w:rsidR="00A15641" w:rsidP="00603195" w14:paraId="170E8779" w14:textId="0BFCE122">
      <w:pPr>
        <w:ind w:left="360"/>
      </w:pPr>
      <w:r w:rsidRPr="005F6640">
        <w:t xml:space="preserve">The expected response rates </w:t>
      </w:r>
      <w:r w:rsidRPr="005F6640" w:rsidR="005F6640">
        <w:t>across components of the</w:t>
      </w:r>
      <w:r w:rsidRPr="005F6640">
        <w:t xml:space="preserve"> Study and response rates from previous related studies are presented in Appendix B.</w:t>
      </w:r>
      <w:r w:rsidRPr="005F6640" w:rsidR="005F6640">
        <w:t xml:space="preserve"> Table B.3 contains expected response rates and counts by sub-component, including for owners of each of the species of interest separately in estimating prevalence of animal management and biosecurity factors for component 1.b.</w:t>
      </w:r>
      <w:bookmarkStart w:id="5" w:name="_Toc120517345"/>
      <w:bookmarkStart w:id="6" w:name="_Toc121289104"/>
      <w:bookmarkStart w:id="7" w:name="_Toc133308573"/>
      <w:bookmarkStart w:id="8" w:name="_Toc142106609"/>
    </w:p>
    <w:p w:rsidR="003C7EA7" w:rsidRPr="005F6640" w:rsidP="007C04F2" w14:paraId="64855AB7" w14:textId="77777777">
      <w:pPr>
        <w:rPr>
          <w:rStyle w:val="InitialStyle"/>
          <w:rFonts w:eastAsiaTheme="majorEastAsia"/>
        </w:rPr>
      </w:pPr>
    </w:p>
    <w:p w:rsidR="00A15641" w:rsidP="0060200D" w14:paraId="236FF437" w14:textId="59E89F13">
      <w:pPr>
        <w:pStyle w:val="DefaultText"/>
        <w:rPr>
          <w:rStyle w:val="InitialStyle"/>
          <w:rFonts w:eastAsiaTheme="majorEastAsia"/>
          <w:b/>
        </w:rPr>
      </w:pPr>
      <w:r w:rsidRPr="005F6640">
        <w:rPr>
          <w:rStyle w:val="InitialStyle"/>
          <w:rFonts w:eastAsiaTheme="majorEastAsia"/>
          <w:b/>
        </w:rPr>
        <w:t xml:space="preserve">2. </w:t>
      </w:r>
      <w:r w:rsidRPr="00215E71">
        <w:rPr>
          <w:rStyle w:val="InitialStyle"/>
          <w:rFonts w:eastAsiaTheme="majorEastAsia"/>
          <w:b/>
        </w:rPr>
        <w:t>Describe the procedures for the collection of information including:</w:t>
      </w:r>
      <w:bookmarkEnd w:id="5"/>
      <w:bookmarkEnd w:id="6"/>
      <w:bookmarkEnd w:id="7"/>
      <w:bookmarkEnd w:id="8"/>
    </w:p>
    <w:p w:rsidR="00D4345F" w:rsidP="00290245" w14:paraId="2DD7E2C1" w14:textId="77777777">
      <w:pPr>
        <w:pStyle w:val="DefaultText"/>
        <w:rPr>
          <w:rStyle w:val="InitialStyle"/>
          <w:rFonts w:eastAsiaTheme="majorEastAsia"/>
        </w:rPr>
      </w:pPr>
    </w:p>
    <w:p w:rsidR="00C3769C" w:rsidRPr="00C3769C" w:rsidP="00C3769C" w14:paraId="4656F7AF" w14:textId="77777777">
      <w:pPr>
        <w:pStyle w:val="DefaultText"/>
        <w:numPr>
          <w:ilvl w:val="0"/>
          <w:numId w:val="1"/>
        </w:numPr>
        <w:ind w:left="720"/>
        <w:rPr>
          <w:rFonts w:eastAsiaTheme="majorEastAsia"/>
          <w:b/>
          <w:bCs/>
        </w:rPr>
      </w:pPr>
      <w:r w:rsidRPr="00C3769C">
        <w:rPr>
          <w:rFonts w:eastAsiaTheme="majorEastAsia"/>
          <w:b/>
          <w:bCs/>
          <w:u w:val="single"/>
        </w:rPr>
        <w:t>Statistical methodology for stratification and sample selection</w:t>
      </w:r>
      <w:r w:rsidRPr="00C3769C">
        <w:rPr>
          <w:rFonts w:eastAsiaTheme="majorEastAsia"/>
          <w:b/>
          <w:bCs/>
        </w:rPr>
        <w:t>:</w:t>
      </w:r>
    </w:p>
    <w:p w:rsidR="00C3769C" w:rsidP="00C3769C" w14:paraId="1168C341" w14:textId="77777777">
      <w:pPr>
        <w:pStyle w:val="DefaultText"/>
        <w:ind w:left="720"/>
        <w:rPr>
          <w:rFonts w:eastAsiaTheme="majorEastAsia"/>
        </w:rPr>
      </w:pPr>
      <w:r w:rsidRPr="00C3769C">
        <w:rPr>
          <w:rFonts w:eastAsiaTheme="majorEastAsia"/>
        </w:rPr>
        <w:t>Details on sample selection are provided in Section 1.c for each component of the Study and details on stratification are provided in Section 1.d.</w:t>
      </w:r>
    </w:p>
    <w:p w:rsidR="00054EB2" w:rsidP="00C3769C" w14:paraId="5F6DF22D" w14:textId="77777777">
      <w:pPr>
        <w:pStyle w:val="DefaultText"/>
        <w:ind w:left="720"/>
        <w:rPr>
          <w:rFonts w:eastAsiaTheme="majorEastAsia"/>
        </w:rPr>
      </w:pPr>
    </w:p>
    <w:p w:rsidR="00054EB2" w:rsidRPr="00054EB2" w:rsidP="00274BCB" w14:paraId="16B20E17" w14:textId="77777777">
      <w:pPr>
        <w:pStyle w:val="DefaultText"/>
        <w:numPr>
          <w:ilvl w:val="0"/>
          <w:numId w:val="1"/>
        </w:numPr>
        <w:ind w:left="720"/>
        <w:rPr>
          <w:rFonts w:eastAsiaTheme="majorEastAsia"/>
          <w:b/>
          <w:bCs/>
          <w:u w:val="single"/>
        </w:rPr>
      </w:pPr>
      <w:r w:rsidRPr="00054EB2">
        <w:rPr>
          <w:rFonts w:eastAsiaTheme="majorEastAsia"/>
          <w:b/>
          <w:bCs/>
          <w:u w:val="single"/>
        </w:rPr>
        <w:t>Estimation procedure:</w:t>
      </w:r>
    </w:p>
    <w:p w:rsidR="00054EB2" w:rsidRPr="00054EB2" w:rsidP="00274BCB" w14:paraId="47D353BC" w14:textId="3B9DD13A">
      <w:pPr>
        <w:pStyle w:val="DefaultText"/>
        <w:ind w:left="720"/>
        <w:rPr>
          <w:rFonts w:eastAsiaTheme="majorEastAsia"/>
        </w:rPr>
      </w:pPr>
      <w:r w:rsidRPr="00054EB2">
        <w:rPr>
          <w:rFonts w:eastAsiaTheme="majorEastAsia"/>
        </w:rPr>
        <w:t xml:space="preserve">For both the National Survey and City Survey components of the Study, APHIS will receive de-identified, record-level datasets with selection weights adjusted for nonresponse and calibrated to known population information. Some of the information regarding specific weighting decisions are proprietary, but are described in part publicly (NORC, 2019; NORC, 2021; NORC, 2022). The probability panel information will account for sampling that occurred in the creation of the frame and the panel, recruitment from the panel, and nonresponse </w:t>
      </w:r>
      <w:r w:rsidR="004D2B45">
        <w:rPr>
          <w:rFonts w:eastAsiaTheme="majorEastAsia"/>
        </w:rPr>
        <w:t xml:space="preserve">reweighting </w:t>
      </w:r>
      <w:r w:rsidRPr="00054EB2">
        <w:rPr>
          <w:rFonts w:eastAsiaTheme="majorEastAsia"/>
        </w:rPr>
        <w:t xml:space="preserve">from panelist invitations to participate in the Study. The nonprobability sample will be calibrated to the probability panel using the </w:t>
      </w:r>
      <w:r w:rsidRPr="00054EB2">
        <w:rPr>
          <w:rFonts w:eastAsiaTheme="majorEastAsia"/>
        </w:rPr>
        <w:t>TrueNorth</w:t>
      </w:r>
      <w:r w:rsidRPr="00054EB2">
        <w:rPr>
          <w:rFonts w:eastAsiaTheme="majorEastAsia"/>
        </w:rPr>
        <w:t xml:space="preserve">® calibration methodology and will use </w:t>
      </w:r>
      <w:r w:rsidRPr="00054EB2">
        <w:rPr>
          <w:rFonts w:eastAsiaTheme="majorEastAsia"/>
        </w:rPr>
        <w:t>known population information from the American Community Survey. Adjusted survey weights will be provided to APHIS for the probability panel component to allow inference to the population of U.S. households for components 1.a-</w:t>
      </w:r>
      <w:r w:rsidRPr="00054EB2">
        <w:rPr>
          <w:rFonts w:eastAsiaTheme="majorEastAsia"/>
        </w:rPr>
        <w:t>1.c.</w:t>
      </w:r>
      <w:r w:rsidRPr="00054EB2">
        <w:rPr>
          <w:rFonts w:eastAsiaTheme="majorEastAsia"/>
        </w:rPr>
        <w:t xml:space="preserve"> Weights will also be provided for the probability panel combined with the nonprobability sample to provide experimental estimates for component 1.b.</w:t>
      </w:r>
    </w:p>
    <w:p w:rsidR="00054EB2" w:rsidRPr="00054EB2" w:rsidP="00274BCB" w14:paraId="114022CD" w14:textId="77777777">
      <w:pPr>
        <w:pStyle w:val="DefaultText"/>
        <w:ind w:left="720"/>
        <w:rPr>
          <w:rFonts w:eastAsiaTheme="majorEastAsia"/>
        </w:rPr>
      </w:pPr>
    </w:p>
    <w:p w:rsidR="00054EB2" w:rsidRPr="00054EB2" w:rsidP="00274BCB" w14:paraId="6483BB3B" w14:textId="565DDCFB">
      <w:pPr>
        <w:pStyle w:val="DefaultText"/>
        <w:ind w:left="720"/>
        <w:rPr>
          <w:rFonts w:eastAsiaTheme="majorEastAsia"/>
        </w:rPr>
      </w:pPr>
      <w:r w:rsidRPr="00054EB2">
        <w:rPr>
          <w:rFonts w:eastAsiaTheme="majorEastAsia"/>
        </w:rPr>
        <w:t>The City Survey component information will be adjusted for nonresponse and calibrated to known Census information, following the same methodology used in the NAHMS Poultry 2010 study</w:t>
      </w:r>
      <w:r w:rsidR="00C25FB2">
        <w:rPr>
          <w:rFonts w:eastAsiaTheme="majorEastAsia"/>
        </w:rPr>
        <w:t xml:space="preserve"> to maximize comparability of the estimates from the two studies</w:t>
      </w:r>
      <w:r w:rsidRPr="00054EB2">
        <w:rPr>
          <w:rFonts w:eastAsiaTheme="majorEastAsia"/>
        </w:rPr>
        <w:t>. Adjusted survey weights will be provided to APHIS to make inference to the population of U.S. households in Denver and Miami for component 2.a.</w:t>
      </w:r>
    </w:p>
    <w:p w:rsidR="00054EB2" w:rsidRPr="00054EB2" w:rsidP="00274BCB" w14:paraId="2CB2BF72" w14:textId="77777777">
      <w:pPr>
        <w:pStyle w:val="DefaultText"/>
        <w:ind w:left="720"/>
        <w:rPr>
          <w:rFonts w:eastAsiaTheme="majorEastAsia"/>
        </w:rPr>
      </w:pPr>
    </w:p>
    <w:p w:rsidR="00054EB2" w:rsidRPr="00054EB2" w:rsidP="00274BCB" w14:paraId="6067394D" w14:textId="403ACCCD">
      <w:pPr>
        <w:pStyle w:val="DefaultText"/>
        <w:ind w:left="720"/>
        <w:rPr>
          <w:rFonts w:eastAsiaTheme="majorEastAsia"/>
        </w:rPr>
      </w:pPr>
      <w:r w:rsidRPr="00054EB2">
        <w:rPr>
          <w:rFonts w:eastAsiaTheme="majorEastAsia"/>
        </w:rPr>
        <w:t xml:space="preserve">APHIS </w:t>
      </w:r>
      <w:r w:rsidR="00B7352C">
        <w:rPr>
          <w:rFonts w:eastAsiaTheme="majorEastAsia"/>
        </w:rPr>
        <w:t xml:space="preserve">will coordinate the </w:t>
      </w:r>
      <w:r w:rsidRPr="00054EB2">
        <w:rPr>
          <w:rFonts w:eastAsiaTheme="majorEastAsia"/>
        </w:rPr>
        <w:t xml:space="preserve">statistical estimation </w:t>
      </w:r>
      <w:r w:rsidR="00186653">
        <w:rPr>
          <w:rFonts w:eastAsiaTheme="majorEastAsia"/>
        </w:rPr>
        <w:t xml:space="preserve">with the contractor </w:t>
      </w:r>
      <w:r w:rsidR="003970F0">
        <w:rPr>
          <w:rFonts w:eastAsiaTheme="majorEastAsia"/>
        </w:rPr>
        <w:t xml:space="preserve">using </w:t>
      </w:r>
      <w:r w:rsidRPr="00054EB2">
        <w:rPr>
          <w:rFonts w:eastAsiaTheme="majorEastAsia"/>
        </w:rPr>
        <w:t>SAS</w:t>
      </w:r>
      <w:r w:rsidR="00186653">
        <w:rPr>
          <w:rFonts w:eastAsiaTheme="majorEastAsia"/>
        </w:rPr>
        <w:t xml:space="preserve">, SUDAAN, R, or other appropriate statistical software </w:t>
      </w:r>
      <w:r w:rsidRPr="00054EB2">
        <w:rPr>
          <w:rFonts w:eastAsiaTheme="majorEastAsia"/>
        </w:rPr>
        <w:t>to estimate variances appropriate to the survey design, including the non-response adjusted sampling weights.</w:t>
      </w:r>
    </w:p>
    <w:p w:rsidR="000A5DBD" w:rsidP="00E82CCF" w14:paraId="2B9462B8" w14:textId="77777777">
      <w:pPr>
        <w:pStyle w:val="DefaultText"/>
        <w:rPr>
          <w:rStyle w:val="InitialStyle"/>
          <w:rFonts w:eastAsiaTheme="majorEastAsia"/>
        </w:rPr>
      </w:pPr>
    </w:p>
    <w:p w:rsidR="00E82CCF" w:rsidRPr="00E82CCF" w:rsidP="00E82CCF" w14:paraId="0F0DCACE" w14:textId="77777777">
      <w:pPr>
        <w:pStyle w:val="DefaultText"/>
        <w:numPr>
          <w:ilvl w:val="0"/>
          <w:numId w:val="2"/>
        </w:numPr>
        <w:ind w:left="720"/>
        <w:rPr>
          <w:rFonts w:eastAsiaTheme="majorEastAsia"/>
          <w:b/>
          <w:bCs/>
        </w:rPr>
      </w:pPr>
      <w:r w:rsidRPr="00E82CCF">
        <w:rPr>
          <w:rFonts w:eastAsiaTheme="majorEastAsia"/>
          <w:b/>
          <w:bCs/>
          <w:u w:val="single"/>
        </w:rPr>
        <w:t>Degree of precision needed for the purpose described in the justification</w:t>
      </w:r>
      <w:r w:rsidRPr="00E82CCF">
        <w:rPr>
          <w:rFonts w:eastAsiaTheme="majorEastAsia"/>
          <w:b/>
          <w:bCs/>
        </w:rPr>
        <w:t>:</w:t>
      </w:r>
    </w:p>
    <w:p w:rsidR="00E82CCF" w:rsidRPr="00E82CCF" w:rsidP="00E82CCF" w14:paraId="1F2A0C71" w14:textId="77777777">
      <w:pPr>
        <w:pStyle w:val="DefaultText"/>
        <w:ind w:left="720"/>
        <w:rPr>
          <w:rFonts w:eastAsiaTheme="majorEastAsia"/>
        </w:rPr>
      </w:pPr>
      <w:r w:rsidRPr="00E82CCF">
        <w:rPr>
          <w:rFonts w:eastAsiaTheme="majorEastAsia"/>
        </w:rPr>
        <w:t xml:space="preserve">The APHIS goal is to develop descriptive statistics (proportions or means) with a coefficient of variation (CV) of 20 percent or less. </w:t>
      </w:r>
    </w:p>
    <w:p w:rsidR="00E82CCF" w:rsidRPr="00E82CCF" w:rsidP="00E82CCF" w14:paraId="2B2C0918" w14:textId="77777777">
      <w:pPr>
        <w:pStyle w:val="DefaultText"/>
        <w:ind w:left="720"/>
        <w:rPr>
          <w:rFonts w:eastAsiaTheme="majorEastAsia"/>
        </w:rPr>
      </w:pPr>
    </w:p>
    <w:p w:rsidR="00E82CCF" w:rsidRPr="00E82CCF" w:rsidP="00E82CCF" w14:paraId="5365A07B" w14:textId="77777777">
      <w:pPr>
        <w:pStyle w:val="DefaultText"/>
        <w:ind w:left="720"/>
        <w:rPr>
          <w:rFonts w:eastAsiaTheme="majorEastAsia"/>
        </w:rPr>
      </w:pPr>
      <w:r w:rsidRPr="00E82CCF">
        <w:rPr>
          <w:rFonts w:eastAsiaTheme="majorEastAsia"/>
        </w:rPr>
        <w:t>Table C.1 presents estimates of precision for each of the components of the Study. Most of the CV estimates presented don’t exceed 20 percent. For component 1.a, estimates of percentages down to 0.6 percent, the estimated percentage of households that own the least common of the species of interest at the national level, aren’t expected to exceed a CV of 20 percent. For component 1.b, with a focus on households owning any of the species of interest, and for component 1.c, estimates of percentages of households down to 10.0 percent aren’t expected to exceed a CV of 20 percent. For component 1.b, for households with either poultry or rabbits, estimates of percentages of households down to 25.0 percent aren’t expected to exceed a CV of 20 percent, though for households with either goats or pigs, estimates down to 25.0 percent are expected to exceed a CV of 20 percent, as ownership of those species is less common. For component 2.a, estimates down to 1.0-2.5 percent are not expected to exceed a CV of 20 percent, which matches the precision of estimates observed in the NAHMS Poultry 2010 study.</w:t>
      </w:r>
    </w:p>
    <w:p w:rsidR="00E82CCF" w:rsidRPr="00E82CCF" w:rsidP="00E82CCF" w14:paraId="7CCA6273" w14:textId="77777777">
      <w:pPr>
        <w:pStyle w:val="DefaultText"/>
        <w:ind w:left="720"/>
        <w:rPr>
          <w:rFonts w:eastAsiaTheme="majorEastAsia"/>
        </w:rPr>
      </w:pPr>
    </w:p>
    <w:p w:rsidR="00E82CCF" w:rsidRPr="00E82CCF" w:rsidP="00E82CCF" w14:paraId="7B2FD8D3" w14:textId="77777777">
      <w:pPr>
        <w:pStyle w:val="DefaultText"/>
        <w:ind w:left="720"/>
        <w:rPr>
          <w:rFonts w:eastAsiaTheme="majorEastAsia"/>
        </w:rPr>
      </w:pPr>
      <w:r w:rsidRPr="00E82CCF">
        <w:rPr>
          <w:rFonts w:eastAsiaTheme="majorEastAsia"/>
        </w:rPr>
        <w:t>For components 1.a-1.c, the primary level of reporting will be at the National level. For component 1.a, potential reporting levels include by species, urban/non-urban regions, housing type, age, gender, race/ethnicity, and region. For components 1.b-1.c, potential reporting levels include by species and urban/non-urban regions. For component 2.a for each of Denver and Miami, the primary level of reporting will be at the city level. For component 2.a, potential reporting levels include by housing type, age, gender, and race/ethnicity, to match the reporting from NAHMS Poultry 2010 study.</w:t>
      </w:r>
    </w:p>
    <w:p w:rsidR="00E82CCF" w:rsidRPr="00E82CCF" w:rsidP="00E82CCF" w14:paraId="759E0B03" w14:textId="77777777">
      <w:pPr>
        <w:pStyle w:val="DefaultText"/>
        <w:ind w:left="720"/>
        <w:rPr>
          <w:rFonts w:eastAsiaTheme="majorEastAsia"/>
        </w:rPr>
      </w:pPr>
    </w:p>
    <w:p w:rsidR="00E82CCF" w:rsidRPr="00E82CCF" w:rsidP="00E82CCF" w14:paraId="4B1975BD" w14:textId="77777777">
      <w:pPr>
        <w:pStyle w:val="DefaultText"/>
        <w:ind w:left="720"/>
        <w:rPr>
          <w:rFonts w:eastAsiaTheme="majorEastAsia"/>
        </w:rPr>
      </w:pPr>
      <w:r w:rsidRPr="00E82CCF">
        <w:rPr>
          <w:rFonts w:eastAsiaTheme="majorEastAsia"/>
        </w:rPr>
        <w:t>In general, if sample sizes are too small or CVs too large for any estimates, those estimates are not published or are reported at a more aggregate level.</w:t>
      </w:r>
    </w:p>
    <w:p w:rsidR="00A15641" w:rsidRPr="005F6640" w:rsidP="00A15641" w14:paraId="159BE187" w14:textId="77777777">
      <w:bookmarkStart w:id="9" w:name="_Toc133308578"/>
    </w:p>
    <w:p w:rsidR="00A15641" w:rsidRPr="00436F55" w:rsidP="00541374" w14:paraId="45BAD5AD" w14:textId="14696B93">
      <w:pPr>
        <w:numPr>
          <w:ilvl w:val="0"/>
          <w:numId w:val="8"/>
        </w:numPr>
        <w:ind w:left="720"/>
        <w:rPr>
          <w:rStyle w:val="InitialStyle"/>
          <w:b/>
          <w:caps/>
        </w:rPr>
      </w:pPr>
      <w:r w:rsidRPr="005F6640">
        <w:rPr>
          <w:b/>
          <w:u w:val="single"/>
        </w:rPr>
        <w:t>Unusual problems requiring specialized sampling procedures and data collection cycles</w:t>
      </w:r>
      <w:r w:rsidRPr="005F6640">
        <w:rPr>
          <w:b/>
          <w:caps/>
        </w:rPr>
        <w:t>:</w:t>
      </w:r>
      <w:bookmarkEnd w:id="9"/>
    </w:p>
    <w:p w:rsidR="006547FB" w:rsidP="005260A4" w14:paraId="7B90E9AD" w14:textId="6665DCF6">
      <w:pPr>
        <w:pStyle w:val="DefaultText"/>
        <w:ind w:left="720"/>
        <w:rPr>
          <w:rStyle w:val="InitialStyle"/>
          <w:rFonts w:eastAsiaTheme="majorEastAsia"/>
        </w:rPr>
      </w:pPr>
      <w:r w:rsidRPr="005F6640">
        <w:rPr>
          <w:rStyle w:val="InitialStyle"/>
          <w:rFonts w:eastAsiaTheme="majorEastAsia"/>
        </w:rPr>
        <w:t xml:space="preserve">The </w:t>
      </w:r>
      <w:r w:rsidR="00FF49EF">
        <w:rPr>
          <w:rStyle w:val="InitialStyle"/>
          <w:rFonts w:eastAsiaTheme="majorEastAsia"/>
        </w:rPr>
        <w:t xml:space="preserve">only </w:t>
      </w:r>
      <w:r w:rsidRPr="005F6640">
        <w:rPr>
          <w:rStyle w:val="InitialStyle"/>
          <w:rFonts w:eastAsiaTheme="majorEastAsia"/>
        </w:rPr>
        <w:t>unusual problem requiring specialized sampling procedures</w:t>
      </w:r>
      <w:r w:rsidR="00FF49EF">
        <w:rPr>
          <w:rStyle w:val="InitialStyle"/>
          <w:rFonts w:eastAsiaTheme="majorEastAsia"/>
        </w:rPr>
        <w:t xml:space="preserve"> is the use of the nonprobability sample to increase the number of respondents with any of the species of interest to address study component 1.b. </w:t>
      </w:r>
      <w:r>
        <w:rPr>
          <w:rStyle w:val="InitialStyle"/>
          <w:rFonts w:eastAsiaTheme="majorEastAsia"/>
        </w:rPr>
        <w:t xml:space="preserve">The ownership of </w:t>
      </w:r>
      <w:r w:rsidR="00A355BA">
        <w:rPr>
          <w:rStyle w:val="InitialStyle"/>
          <w:rFonts w:eastAsiaTheme="majorEastAsia"/>
        </w:rPr>
        <w:t xml:space="preserve">any of </w:t>
      </w:r>
      <w:r>
        <w:rPr>
          <w:rStyle w:val="InitialStyle"/>
          <w:rFonts w:eastAsiaTheme="majorEastAsia"/>
        </w:rPr>
        <w:t xml:space="preserve">these species is expected to be very low, about 4% of households owning </w:t>
      </w:r>
      <w:r w:rsidR="00203E50">
        <w:rPr>
          <w:rStyle w:val="InitialStyle"/>
          <w:rFonts w:eastAsiaTheme="majorEastAsia"/>
        </w:rPr>
        <w:t xml:space="preserve">poultry </w:t>
      </w:r>
      <w:r>
        <w:rPr>
          <w:rStyle w:val="InitialStyle"/>
          <w:rFonts w:eastAsiaTheme="majorEastAsia"/>
        </w:rPr>
        <w:t xml:space="preserve">and less than 1% for pigs, for example, and ensuring that the sample has enough owners of these less </w:t>
      </w:r>
      <w:r w:rsidR="00FE54D4">
        <w:rPr>
          <w:rStyle w:val="InitialStyle"/>
          <w:rFonts w:eastAsiaTheme="majorEastAsia"/>
        </w:rPr>
        <w:t>commonly owned</w:t>
      </w:r>
      <w:r>
        <w:rPr>
          <w:rStyle w:val="InitialStyle"/>
          <w:rFonts w:eastAsiaTheme="majorEastAsia"/>
        </w:rPr>
        <w:t xml:space="preserve"> animal species is important for </w:t>
      </w:r>
      <w:r w:rsidR="00D8664F">
        <w:rPr>
          <w:rStyle w:val="InitialStyle"/>
          <w:rFonts w:eastAsiaTheme="majorEastAsia"/>
        </w:rPr>
        <w:t>estimating proportions of owners by animal management or biosecurity practice</w:t>
      </w:r>
      <w:r>
        <w:rPr>
          <w:rStyle w:val="InitialStyle"/>
          <w:rFonts w:eastAsiaTheme="majorEastAsia"/>
        </w:rPr>
        <w:t>, especially.</w:t>
      </w:r>
    </w:p>
    <w:p w:rsidR="006547FB" w:rsidP="00541374" w14:paraId="18747FBB" w14:textId="77777777">
      <w:pPr>
        <w:pStyle w:val="DefaultText"/>
        <w:ind w:left="360" w:hanging="360"/>
        <w:rPr>
          <w:rStyle w:val="InitialStyle"/>
          <w:rFonts w:eastAsiaTheme="majorEastAsia"/>
        </w:rPr>
      </w:pPr>
    </w:p>
    <w:p w:rsidR="00A15641" w:rsidP="00541374" w14:paraId="2BA4316E" w14:textId="6AD5A739">
      <w:pPr>
        <w:pStyle w:val="DefaultText"/>
        <w:ind w:left="720"/>
        <w:rPr>
          <w:rStyle w:val="InitialStyle"/>
          <w:rFonts w:eastAsiaTheme="majorEastAsia"/>
        </w:rPr>
      </w:pPr>
      <w:r>
        <w:rPr>
          <w:rStyle w:val="InitialStyle"/>
          <w:rFonts w:eastAsiaTheme="majorEastAsia"/>
        </w:rPr>
        <w:t xml:space="preserve">This approach is being considered for a </w:t>
      </w:r>
      <w:r w:rsidR="00D8664F">
        <w:rPr>
          <w:rStyle w:val="InitialStyle"/>
          <w:rFonts w:eastAsiaTheme="majorEastAsia"/>
        </w:rPr>
        <w:t>several</w:t>
      </w:r>
      <w:r>
        <w:rPr>
          <w:rStyle w:val="InitialStyle"/>
          <w:rFonts w:eastAsiaTheme="majorEastAsia"/>
        </w:rPr>
        <w:t xml:space="preserve"> reasons. First, a census of the probability-based survey panel is being used and so no sample size increases would be possible using the </w:t>
      </w:r>
      <w:r w:rsidR="00232068">
        <w:rPr>
          <w:rStyle w:val="InitialStyle"/>
          <w:rFonts w:eastAsiaTheme="majorEastAsia"/>
        </w:rPr>
        <w:t xml:space="preserve">probability </w:t>
      </w:r>
      <w:r>
        <w:rPr>
          <w:rStyle w:val="InitialStyle"/>
          <w:rFonts w:eastAsiaTheme="majorEastAsia"/>
        </w:rPr>
        <w:t>panel only and the use of a nonprobability sample is substantially cheaper than another method such as employing a second probability panel with a separate entity. Second, the use of the nonprobability sample method, and the method of calibrating the nonprobability and probability-based samples to generate combined estimates is experimental</w:t>
      </w:r>
      <w:r w:rsidR="00D8664F">
        <w:rPr>
          <w:rStyle w:val="InitialStyle"/>
          <w:rFonts w:eastAsiaTheme="majorEastAsia"/>
        </w:rPr>
        <w:t xml:space="preserve"> and targeted to a secondary study objective</w:t>
      </w:r>
      <w:r>
        <w:rPr>
          <w:rStyle w:val="InitialStyle"/>
          <w:rFonts w:eastAsiaTheme="majorEastAsia"/>
        </w:rPr>
        <w:t xml:space="preserve">, with </w:t>
      </w:r>
      <w:r w:rsidR="00D8664F">
        <w:rPr>
          <w:rStyle w:val="InitialStyle"/>
          <w:rFonts w:eastAsiaTheme="majorEastAsia"/>
        </w:rPr>
        <w:t>an aim</w:t>
      </w:r>
      <w:r>
        <w:rPr>
          <w:rStyle w:val="InitialStyle"/>
          <w:rFonts w:eastAsiaTheme="majorEastAsia"/>
        </w:rPr>
        <w:t xml:space="preserve"> to examine the feasibility of generating accurate estimates for rare populations using those methods</w:t>
      </w:r>
      <w:r w:rsidR="00D8664F">
        <w:rPr>
          <w:rStyle w:val="InitialStyle"/>
          <w:rFonts w:eastAsiaTheme="majorEastAsia"/>
        </w:rPr>
        <w:t xml:space="preserve">. </w:t>
      </w:r>
      <w:r>
        <w:rPr>
          <w:rStyle w:val="InitialStyle"/>
          <w:rFonts w:eastAsiaTheme="majorEastAsia"/>
        </w:rPr>
        <w:t>It is important to have methods to reach backyard owners of animals, especially to gather information important for combating foreign animal or other diseases affecting livestock</w:t>
      </w:r>
      <w:r w:rsidR="00E154FD">
        <w:rPr>
          <w:rStyle w:val="InitialStyle"/>
          <w:rFonts w:eastAsiaTheme="majorEastAsia"/>
        </w:rPr>
        <w:t>,</w:t>
      </w:r>
      <w:r w:rsidR="00D874D4">
        <w:rPr>
          <w:rStyle w:val="InitialStyle"/>
          <w:rFonts w:eastAsiaTheme="majorEastAsia"/>
        </w:rPr>
        <w:t xml:space="preserve"> </w:t>
      </w:r>
      <w:r>
        <w:rPr>
          <w:rStyle w:val="InitialStyle"/>
          <w:rFonts w:eastAsiaTheme="majorEastAsia"/>
        </w:rPr>
        <w:t xml:space="preserve">such as African </w:t>
      </w:r>
      <w:r w:rsidR="00A30C59">
        <w:rPr>
          <w:rStyle w:val="InitialStyle"/>
          <w:rFonts w:eastAsiaTheme="majorEastAsia"/>
        </w:rPr>
        <w:t xml:space="preserve">swine fever </w:t>
      </w:r>
      <w:r>
        <w:rPr>
          <w:rStyle w:val="InitialStyle"/>
          <w:rFonts w:eastAsiaTheme="majorEastAsia"/>
        </w:rPr>
        <w:t xml:space="preserve">(ASF) </w:t>
      </w:r>
      <w:r w:rsidR="00A90E44">
        <w:rPr>
          <w:rStyle w:val="InitialStyle"/>
          <w:rFonts w:eastAsiaTheme="majorEastAsia"/>
        </w:rPr>
        <w:t>and rabbit</w:t>
      </w:r>
      <w:r w:rsidR="00A30C59">
        <w:rPr>
          <w:rStyle w:val="InitialStyle"/>
          <w:rFonts w:eastAsiaTheme="majorEastAsia"/>
        </w:rPr>
        <w:t xml:space="preserve"> hemorrhagic disease virus serotype </w:t>
      </w:r>
      <w:r>
        <w:rPr>
          <w:rStyle w:val="InitialStyle"/>
          <w:rFonts w:eastAsiaTheme="majorEastAsia"/>
        </w:rPr>
        <w:t>2 (RHDV2)</w:t>
      </w:r>
      <w:r w:rsidR="00D874D4">
        <w:rPr>
          <w:rStyle w:val="InitialStyle"/>
          <w:rFonts w:eastAsiaTheme="majorEastAsia"/>
        </w:rPr>
        <w:t xml:space="preserve">, </w:t>
      </w:r>
      <w:r w:rsidR="00396156">
        <w:rPr>
          <w:rStyle w:val="InitialStyle"/>
          <w:rFonts w:eastAsiaTheme="majorEastAsia"/>
        </w:rPr>
        <w:t>or poultry, such as</w:t>
      </w:r>
      <w:r w:rsidR="00D874D4">
        <w:rPr>
          <w:rStyle w:val="InitialStyle"/>
          <w:rFonts w:eastAsiaTheme="majorEastAsia"/>
        </w:rPr>
        <w:t xml:space="preserve"> </w:t>
      </w:r>
      <w:r w:rsidR="00A30C59">
        <w:rPr>
          <w:rStyle w:val="InitialStyle"/>
          <w:rFonts w:eastAsiaTheme="majorEastAsia"/>
        </w:rPr>
        <w:t xml:space="preserve">highly pathogenic avian </w:t>
      </w:r>
      <w:r w:rsidR="00A90E44">
        <w:rPr>
          <w:rStyle w:val="InitialStyle"/>
          <w:rFonts w:eastAsiaTheme="majorEastAsia"/>
        </w:rPr>
        <w:t xml:space="preserve">influenza </w:t>
      </w:r>
      <w:r w:rsidR="00D874D4">
        <w:rPr>
          <w:rStyle w:val="InitialStyle"/>
          <w:rFonts w:eastAsiaTheme="majorEastAsia"/>
        </w:rPr>
        <w:t>(HPAI)</w:t>
      </w:r>
      <w:r>
        <w:rPr>
          <w:rStyle w:val="InitialStyle"/>
          <w:rFonts w:eastAsiaTheme="majorEastAsia"/>
        </w:rPr>
        <w:t>.</w:t>
      </w:r>
    </w:p>
    <w:p w:rsidR="00FF49EF" w:rsidP="00541374" w14:paraId="0006F631" w14:textId="261F7139">
      <w:pPr>
        <w:pStyle w:val="DefaultText"/>
        <w:ind w:left="360" w:hanging="360"/>
        <w:rPr>
          <w:rStyle w:val="InitialStyle"/>
          <w:rFonts w:eastAsiaTheme="majorEastAsia"/>
        </w:rPr>
      </w:pPr>
    </w:p>
    <w:p w:rsidR="00FF49EF" w:rsidRPr="005F6640" w:rsidP="00541374" w14:paraId="1F474CC3" w14:textId="3D7576E4">
      <w:pPr>
        <w:pStyle w:val="DefaultText"/>
        <w:ind w:left="720"/>
        <w:rPr>
          <w:rStyle w:val="InitialStyle"/>
          <w:rFonts w:eastAsiaTheme="majorEastAsia"/>
        </w:rPr>
      </w:pPr>
      <w:r>
        <w:rPr>
          <w:rStyle w:val="InitialStyle"/>
          <w:rFonts w:eastAsiaTheme="majorEastAsia"/>
        </w:rPr>
        <w:t>Because estimates from nonprobability samples are experimental, we will use estimates from the probability-based survey panel as the default estimates to address study component 1.b</w:t>
      </w:r>
      <w:r w:rsidR="00D8664F">
        <w:rPr>
          <w:rStyle w:val="InitialStyle"/>
          <w:rFonts w:eastAsiaTheme="majorEastAsia"/>
        </w:rPr>
        <w:t xml:space="preserve">, comparing </w:t>
      </w:r>
      <w:r>
        <w:rPr>
          <w:rStyle w:val="InitialStyle"/>
          <w:rFonts w:eastAsiaTheme="majorEastAsia"/>
        </w:rPr>
        <w:t xml:space="preserve">estimates generated using </w:t>
      </w:r>
      <w:r w:rsidR="00D8664F">
        <w:rPr>
          <w:rStyle w:val="InitialStyle"/>
          <w:rFonts w:eastAsiaTheme="majorEastAsia"/>
        </w:rPr>
        <w:t xml:space="preserve">the probability and nonprobability sample methods </w:t>
      </w:r>
      <w:r>
        <w:rPr>
          <w:rStyle w:val="InitialStyle"/>
          <w:rFonts w:eastAsiaTheme="majorEastAsia"/>
        </w:rPr>
        <w:t>a</w:t>
      </w:r>
      <w:r w:rsidR="00691526">
        <w:rPr>
          <w:rStyle w:val="InitialStyle"/>
          <w:rFonts w:eastAsiaTheme="majorEastAsia"/>
        </w:rPr>
        <w:t xml:space="preserve">nd to assess the feasibility of using those methods for future study of those rare populations. </w:t>
      </w:r>
      <w:r w:rsidR="004D2B45">
        <w:rPr>
          <w:rStyle w:val="InitialStyle"/>
          <w:rFonts w:eastAsiaTheme="majorEastAsia"/>
        </w:rPr>
        <w:t xml:space="preserve">We will estimate bias in estimates generated using the probability and nonprobability samples combined compared to estimates generated using the probability panel only, both overall and by selected demographic factors. </w:t>
      </w:r>
      <w:r w:rsidR="005B7DBC">
        <w:rPr>
          <w:rStyle w:val="InitialStyle"/>
          <w:rFonts w:eastAsiaTheme="majorEastAsia"/>
        </w:rPr>
        <w:t>Methods to combine probability and nonprobability samples</w:t>
      </w:r>
      <w:r w:rsidR="00691526">
        <w:rPr>
          <w:rStyle w:val="InitialStyle"/>
          <w:rFonts w:eastAsiaTheme="majorEastAsia"/>
        </w:rPr>
        <w:t xml:space="preserve"> are </w:t>
      </w:r>
      <w:r w:rsidR="005B7DBC">
        <w:rPr>
          <w:rStyle w:val="InitialStyle"/>
          <w:rFonts w:eastAsiaTheme="majorEastAsia"/>
        </w:rPr>
        <w:t>a</w:t>
      </w:r>
      <w:r w:rsidR="00691526">
        <w:rPr>
          <w:rStyle w:val="InitialStyle"/>
          <w:rFonts w:eastAsiaTheme="majorEastAsia"/>
        </w:rPr>
        <w:t xml:space="preserve"> topic</w:t>
      </w:r>
      <w:r w:rsidR="005B7DBC">
        <w:rPr>
          <w:rStyle w:val="InitialStyle"/>
          <w:rFonts w:eastAsiaTheme="majorEastAsia"/>
        </w:rPr>
        <w:t xml:space="preserve"> of interest</w:t>
      </w:r>
      <w:r w:rsidR="00691526">
        <w:rPr>
          <w:rStyle w:val="InitialStyle"/>
          <w:rFonts w:eastAsiaTheme="majorEastAsia"/>
        </w:rPr>
        <w:t xml:space="preserve"> in statistical methodology and Federal statistical methodology (</w:t>
      </w:r>
      <w:r w:rsidR="00B309E1">
        <w:rPr>
          <w:rStyle w:val="InitialStyle"/>
          <w:rFonts w:eastAsiaTheme="majorEastAsia"/>
        </w:rPr>
        <w:t>Lee, 2006; Lee and Valliant, 2009; Baker, 2013; Elliot and Valliant, 2017; Mercer et al., 2017; Dever, 2018</w:t>
      </w:r>
      <w:r w:rsidR="00691526">
        <w:rPr>
          <w:rStyle w:val="InitialStyle"/>
          <w:rFonts w:eastAsiaTheme="majorEastAsia"/>
        </w:rPr>
        <w:t xml:space="preserve">) </w:t>
      </w:r>
      <w:r w:rsidR="00B309E1">
        <w:rPr>
          <w:rStyle w:val="InitialStyle"/>
          <w:rFonts w:eastAsiaTheme="majorEastAsia"/>
        </w:rPr>
        <w:t>to address declining response rates (Czajka and Beyler, 2016)</w:t>
      </w:r>
      <w:r w:rsidR="005B7DBC">
        <w:rPr>
          <w:rStyle w:val="InitialStyle"/>
          <w:rFonts w:eastAsiaTheme="majorEastAsia"/>
        </w:rPr>
        <w:t xml:space="preserve"> </w:t>
      </w:r>
      <w:r w:rsidR="00B309E1">
        <w:rPr>
          <w:rStyle w:val="InitialStyle"/>
          <w:rFonts w:eastAsiaTheme="majorEastAsia"/>
        </w:rPr>
        <w:t xml:space="preserve">and </w:t>
      </w:r>
      <w:r w:rsidR="005B7DBC">
        <w:rPr>
          <w:rStyle w:val="InitialStyle"/>
          <w:rFonts w:eastAsiaTheme="majorEastAsia"/>
        </w:rPr>
        <w:t xml:space="preserve">increasing </w:t>
      </w:r>
      <w:r w:rsidR="00B309E1">
        <w:rPr>
          <w:rStyle w:val="InitialStyle"/>
          <w:rFonts w:eastAsiaTheme="majorEastAsia"/>
        </w:rPr>
        <w:t xml:space="preserve">survey costs while </w:t>
      </w:r>
      <w:r w:rsidR="005B7DBC">
        <w:rPr>
          <w:rStyle w:val="InitialStyle"/>
          <w:rFonts w:eastAsiaTheme="majorEastAsia"/>
        </w:rPr>
        <w:t>borrowing from the</w:t>
      </w:r>
      <w:r w:rsidR="00B309E1">
        <w:rPr>
          <w:rStyle w:val="InitialStyle"/>
          <w:rFonts w:eastAsiaTheme="majorEastAsia"/>
        </w:rPr>
        <w:t xml:space="preserve"> rigorous methodology of probability-based surveys. These methods</w:t>
      </w:r>
      <w:r w:rsidR="00691526">
        <w:rPr>
          <w:rStyle w:val="InitialStyle"/>
          <w:rFonts w:eastAsiaTheme="majorEastAsia"/>
        </w:rPr>
        <w:t xml:space="preserve"> are</w:t>
      </w:r>
      <w:r w:rsidR="00B309E1">
        <w:rPr>
          <w:rStyle w:val="InitialStyle"/>
          <w:rFonts w:eastAsiaTheme="majorEastAsia"/>
        </w:rPr>
        <w:t xml:space="preserve"> also</w:t>
      </w:r>
      <w:r w:rsidR="00691526">
        <w:rPr>
          <w:rStyle w:val="InitialStyle"/>
          <w:rFonts w:eastAsiaTheme="majorEastAsia"/>
        </w:rPr>
        <w:t xml:space="preserve"> being used in the Centers for Disease Control and Prevention (CDC) Research and Development Survey (RANDS; NCHS, 2022) as experimental to assess the methodology</w:t>
      </w:r>
      <w:r w:rsidR="00EA38CB">
        <w:rPr>
          <w:rStyle w:val="InitialStyle"/>
          <w:rFonts w:eastAsiaTheme="majorEastAsia"/>
        </w:rPr>
        <w:t xml:space="preserve"> for human-based health research</w:t>
      </w:r>
      <w:r w:rsidR="00691526">
        <w:rPr>
          <w:rStyle w:val="InitialStyle"/>
          <w:rFonts w:eastAsiaTheme="majorEastAsia"/>
        </w:rPr>
        <w:t>.</w:t>
      </w:r>
    </w:p>
    <w:p w:rsidR="00A15641" w:rsidP="00A15641" w14:paraId="55090BCC" w14:textId="77777777">
      <w:pPr>
        <w:pStyle w:val="DefaultText"/>
        <w:rPr>
          <w:rStyle w:val="InitialStyle"/>
          <w:rFonts w:eastAsiaTheme="majorEastAsia"/>
        </w:rPr>
      </w:pPr>
    </w:p>
    <w:p w:rsidR="00BC4664" w:rsidRPr="005F6640" w:rsidP="00A15641" w14:paraId="24276262" w14:textId="77777777">
      <w:pPr>
        <w:pStyle w:val="DefaultText"/>
        <w:rPr>
          <w:rStyle w:val="InitialStyle"/>
          <w:rFonts w:eastAsiaTheme="majorEastAsia"/>
        </w:rPr>
      </w:pPr>
    </w:p>
    <w:p w:rsidR="00A15641" w:rsidRPr="00436F55" w:rsidP="00D8079C" w14:paraId="12343C67" w14:textId="4EC197AF">
      <w:pPr>
        <w:pStyle w:val="DefaultText"/>
        <w:numPr>
          <w:ilvl w:val="0"/>
          <w:numId w:val="8"/>
        </w:numPr>
        <w:ind w:left="720"/>
        <w:rPr>
          <w:rStyle w:val="InitialStyle"/>
          <w:rFonts w:eastAsiaTheme="majorEastAsia"/>
          <w:b/>
          <w:caps/>
          <w:u w:val="single"/>
        </w:rPr>
      </w:pPr>
      <w:r w:rsidRPr="005F6640">
        <w:rPr>
          <w:rStyle w:val="InitialStyle"/>
          <w:rFonts w:eastAsiaTheme="majorEastAsia"/>
          <w:b/>
          <w:u w:val="single"/>
        </w:rPr>
        <w:t>Any use of periodic (less frequent than annual) data collection cycles to reduce burden.</w:t>
      </w:r>
    </w:p>
    <w:p w:rsidR="00A15641" w:rsidRPr="005F6640" w:rsidP="005260A4" w14:paraId="78FDE35A" w14:textId="77777777">
      <w:pPr>
        <w:pStyle w:val="DefaultText"/>
        <w:ind w:left="720"/>
        <w:rPr>
          <w:rStyle w:val="InitialStyle"/>
          <w:rFonts w:eastAsiaTheme="majorEastAsia"/>
        </w:rPr>
      </w:pPr>
      <w:r w:rsidRPr="005F6640">
        <w:rPr>
          <w:rStyle w:val="InitialStyle"/>
          <w:rFonts w:eastAsiaTheme="majorEastAsia"/>
        </w:rPr>
        <w:t>The data collection described is not planned to be carried out on an annual or less than annual frequency basis.</w:t>
      </w:r>
    </w:p>
    <w:p w:rsidR="00A15641" w:rsidP="00A15641" w14:paraId="3F07ECC8" w14:textId="77777777">
      <w:pPr>
        <w:pStyle w:val="DefaultText"/>
        <w:rPr>
          <w:rStyle w:val="InitialStyle"/>
          <w:rFonts w:eastAsiaTheme="majorEastAsia"/>
        </w:rPr>
      </w:pPr>
    </w:p>
    <w:p w:rsidR="00175C83" w:rsidRPr="005F6640" w:rsidP="00A15641" w14:paraId="218D7D54" w14:textId="77777777">
      <w:pPr>
        <w:pStyle w:val="DefaultText"/>
        <w:rPr>
          <w:rStyle w:val="InitialStyle"/>
          <w:rFonts w:eastAsiaTheme="majorEastAsia"/>
        </w:rPr>
      </w:pPr>
    </w:p>
    <w:p w:rsidR="00A15641" w:rsidP="0083303A" w14:paraId="2E137C84" w14:textId="0B161593">
      <w:pPr>
        <w:pStyle w:val="ListParagraph"/>
        <w:ind w:left="0"/>
        <w:contextualSpacing w:val="0"/>
        <w:rPr>
          <w:rFonts w:ascii="Times New Roman" w:hAnsi="Times New Roman"/>
          <w:b/>
          <w:bCs/>
          <w:iCs/>
          <w:snapToGrid/>
          <w:szCs w:val="24"/>
        </w:rPr>
      </w:pPr>
      <w:r>
        <w:rPr>
          <w:rFonts w:ascii="Times New Roman" w:hAnsi="Times New Roman"/>
          <w:b/>
          <w:szCs w:val="24"/>
        </w:rPr>
        <w:t xml:space="preserve">3. </w:t>
      </w:r>
      <w:bookmarkStart w:id="10" w:name="_Toc120517351"/>
      <w:bookmarkStart w:id="11" w:name="_Toc121289110"/>
      <w:bookmarkStart w:id="12" w:name="_Toc133308579"/>
      <w:bookmarkStart w:id="13" w:name="_Toc142106614"/>
      <w:r w:rsidRPr="00400571">
        <w:rPr>
          <w:rFonts w:ascii="Times New Roman" w:hAnsi="Times New Roman"/>
          <w:b/>
          <w:szCs w:val="24"/>
        </w:rPr>
        <w:t>D</w:t>
      </w:r>
      <w:r w:rsidRPr="00400571">
        <w:rPr>
          <w:rFonts w:ascii="Times New Roman" w:hAnsi="Times New Roman"/>
          <w:b/>
          <w:bCs/>
          <w:iCs/>
          <w:snapToGrid/>
          <w:szCs w:val="24"/>
        </w:rPr>
        <w:t>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10"/>
      <w:bookmarkEnd w:id="11"/>
      <w:bookmarkEnd w:id="12"/>
      <w:bookmarkEnd w:id="13"/>
    </w:p>
    <w:p w:rsidR="00541374" w:rsidP="0083303A" w14:paraId="2645A152" w14:textId="77777777">
      <w:pPr>
        <w:pStyle w:val="ListParagraph"/>
        <w:ind w:left="0"/>
        <w:contextualSpacing w:val="0"/>
        <w:rPr>
          <w:rFonts w:ascii="Times New Roman" w:hAnsi="Times New Roman"/>
          <w:szCs w:val="24"/>
        </w:rPr>
      </w:pPr>
    </w:p>
    <w:p w:rsidR="003A2843" w:rsidP="00F63787" w14:paraId="55EA4868" w14:textId="77777777">
      <w:pPr>
        <w:pStyle w:val="ListParagraph"/>
        <w:ind w:left="0" w:firstLine="360"/>
        <w:rPr>
          <w:rFonts w:ascii="Times New Roman" w:hAnsi="Times New Roman"/>
          <w:b/>
          <w:bCs/>
        </w:rPr>
      </w:pPr>
      <w:r w:rsidRPr="003A2843">
        <w:rPr>
          <w:rFonts w:ascii="Times New Roman" w:hAnsi="Times New Roman"/>
          <w:b/>
          <w:bCs/>
          <w:u w:val="single"/>
        </w:rPr>
        <w:t>Questionnaire design and training</w:t>
      </w:r>
      <w:r w:rsidRPr="003A2843">
        <w:rPr>
          <w:rFonts w:ascii="Times New Roman" w:hAnsi="Times New Roman"/>
          <w:b/>
          <w:bCs/>
        </w:rPr>
        <w:t>:</w:t>
      </w:r>
    </w:p>
    <w:p w:rsidR="00603195" w:rsidRPr="003A2843" w:rsidP="00F63787" w14:paraId="2A4C55FB" w14:textId="77777777">
      <w:pPr>
        <w:pStyle w:val="ListParagraph"/>
        <w:ind w:left="0" w:firstLine="360"/>
        <w:rPr>
          <w:rFonts w:ascii="Times New Roman" w:hAnsi="Times New Roman"/>
          <w:b/>
          <w:bCs/>
        </w:rPr>
      </w:pPr>
    </w:p>
    <w:p w:rsidR="003A2843" w:rsidRPr="003A2843" w:rsidP="00654839" w14:paraId="17E88EEE" w14:textId="77777777">
      <w:pPr>
        <w:pStyle w:val="ListParagraph"/>
        <w:numPr>
          <w:ilvl w:val="0"/>
          <w:numId w:val="3"/>
        </w:numPr>
        <w:ind w:left="720"/>
        <w:rPr>
          <w:rFonts w:ascii="Times New Roman" w:hAnsi="Times New Roman"/>
        </w:rPr>
      </w:pPr>
      <w:r w:rsidRPr="003A2843">
        <w:rPr>
          <w:rFonts w:ascii="Times New Roman" w:hAnsi="Times New Roman"/>
        </w:rPr>
        <w:t>The Study minimizes collection of data to that which is absolutely necessary to meet the stated objectives. Surveys are extensively reviewed by APHIS staff, including a survey methodologist, and experts both in industry and in academia.</w:t>
      </w:r>
    </w:p>
    <w:p w:rsidR="003A2843" w:rsidRPr="003A2843" w:rsidP="00654839" w14:paraId="4FC00F6F" w14:textId="284EB9A9">
      <w:pPr>
        <w:pStyle w:val="ListParagraph"/>
        <w:numPr>
          <w:ilvl w:val="0"/>
          <w:numId w:val="3"/>
        </w:numPr>
        <w:ind w:left="720"/>
        <w:rPr>
          <w:rFonts w:ascii="Times New Roman" w:hAnsi="Times New Roman"/>
        </w:rPr>
      </w:pPr>
      <w:r w:rsidRPr="003A2843">
        <w:rPr>
          <w:rFonts w:ascii="Times New Roman" w:hAnsi="Times New Roman"/>
        </w:rPr>
        <w:t>The questionnaire used in the NAHMS Poultry 2010 study performed well for that survey cycle and was used as the baseline for the City Survey</w:t>
      </w:r>
      <w:r w:rsidR="002F2BC9">
        <w:rPr>
          <w:rFonts w:ascii="Times New Roman" w:hAnsi="Times New Roman"/>
        </w:rPr>
        <w:t xml:space="preserve">, with </w:t>
      </w:r>
      <w:r w:rsidRPr="003A2843">
        <w:rPr>
          <w:rFonts w:ascii="Times New Roman" w:hAnsi="Times New Roman"/>
        </w:rPr>
        <w:t>minimal changes made to that questionnaire. Questions from previous NAHMS questionnaires that have been tested and performed well in the past have been used as a baseline for the National Survey.</w:t>
      </w:r>
    </w:p>
    <w:p w:rsidR="003A2843" w:rsidRPr="003A2843" w:rsidP="00654839" w14:paraId="161D0066" w14:textId="77777777">
      <w:pPr>
        <w:pStyle w:val="ListParagraph"/>
        <w:numPr>
          <w:ilvl w:val="0"/>
          <w:numId w:val="3"/>
        </w:numPr>
        <w:ind w:left="720"/>
        <w:rPr>
          <w:rFonts w:ascii="Times New Roman" w:hAnsi="Times New Roman"/>
        </w:rPr>
      </w:pPr>
      <w:r w:rsidRPr="003A2843">
        <w:rPr>
          <w:rFonts w:ascii="Times New Roman" w:hAnsi="Times New Roman"/>
        </w:rPr>
        <w:t>The questionnaires will be delivered in a variety of modes (mail, web, telephone), and the electronic versions of the questionnaires will take advantage of time-saving features of those modes, such as automatic survey routing and skipping.</w:t>
      </w:r>
    </w:p>
    <w:p w:rsidR="003A2843" w:rsidRPr="003A2843" w:rsidP="00654839" w14:paraId="71A5122F" w14:textId="77777777">
      <w:pPr>
        <w:pStyle w:val="ListParagraph"/>
        <w:numPr>
          <w:ilvl w:val="0"/>
          <w:numId w:val="4"/>
        </w:numPr>
        <w:tabs>
          <w:tab w:val="clear" w:pos="0"/>
          <w:tab w:val="num" w:pos="360"/>
        </w:tabs>
        <w:ind w:left="720"/>
        <w:rPr>
          <w:rFonts w:ascii="Times New Roman" w:hAnsi="Times New Roman"/>
        </w:rPr>
      </w:pPr>
      <w:r w:rsidRPr="003A2843">
        <w:rPr>
          <w:rFonts w:ascii="Times New Roman" w:hAnsi="Times New Roman"/>
        </w:rPr>
        <w:t>Data collectors and data handlers will have been trained on data and information security guidelines.</w:t>
      </w:r>
    </w:p>
    <w:p w:rsidR="003A2843" w:rsidRPr="003A2843" w:rsidP="00654839" w14:paraId="64B779B3" w14:textId="77777777">
      <w:pPr>
        <w:pStyle w:val="ListParagraph"/>
        <w:numPr>
          <w:ilvl w:val="0"/>
          <w:numId w:val="4"/>
        </w:numPr>
        <w:tabs>
          <w:tab w:val="clear" w:pos="0"/>
          <w:tab w:val="num" w:pos="360"/>
        </w:tabs>
        <w:ind w:left="720"/>
        <w:rPr>
          <w:rFonts w:ascii="Times New Roman" w:hAnsi="Times New Roman"/>
        </w:rPr>
      </w:pPr>
      <w:r w:rsidRPr="003A2843">
        <w:rPr>
          <w:rFonts w:ascii="Times New Roman" w:hAnsi="Times New Roman"/>
        </w:rPr>
        <w:t>Panelists on the probability-based survey panel, which make up the majority of expected respondents to the Study, will have decreased burden compared to other subjects in the Study because they will have had demographic information captured already, as a part of their ordinary involvement with the panel, reducing the number of questions they would need to answer on the survey.</w:t>
      </w:r>
    </w:p>
    <w:p w:rsidR="003A2843" w:rsidRPr="003A2843" w:rsidP="00654839" w14:paraId="6DC4C621" w14:textId="66710812">
      <w:pPr>
        <w:pStyle w:val="ListParagraph"/>
        <w:numPr>
          <w:ilvl w:val="0"/>
          <w:numId w:val="4"/>
        </w:numPr>
        <w:tabs>
          <w:tab w:val="clear" w:pos="0"/>
          <w:tab w:val="num" w:pos="360"/>
        </w:tabs>
        <w:ind w:left="720"/>
        <w:rPr>
          <w:rFonts w:ascii="Times New Roman" w:hAnsi="Times New Roman"/>
        </w:rPr>
      </w:pPr>
      <w:r w:rsidRPr="003A2843">
        <w:rPr>
          <w:rFonts w:ascii="Times New Roman" w:hAnsi="Times New Roman"/>
        </w:rPr>
        <w:t>APHIS staff have made numerous contacts and have been involved in collaborative efforts to identify the information needs of stakeholders, including the Veterinary Services subject matter experts and public health officials at the Centers for Disease Control and Prevention, and the best way to ask for and incentivize the information collection.</w:t>
      </w:r>
    </w:p>
    <w:p w:rsidR="003A2843" w:rsidP="0083303A" w14:paraId="5581C9F3" w14:textId="77777777">
      <w:pPr>
        <w:pStyle w:val="ListParagraph"/>
        <w:ind w:left="0"/>
        <w:contextualSpacing w:val="0"/>
        <w:rPr>
          <w:rFonts w:ascii="Times New Roman" w:hAnsi="Times New Roman"/>
          <w:szCs w:val="24"/>
        </w:rPr>
      </w:pPr>
    </w:p>
    <w:p w:rsidR="00B075E3" w:rsidP="002801FA" w14:paraId="3B60542B" w14:textId="77777777">
      <w:pPr>
        <w:pStyle w:val="ListParagraph"/>
        <w:ind w:left="0" w:firstLine="360"/>
        <w:rPr>
          <w:rFonts w:ascii="Times New Roman" w:hAnsi="Times New Roman"/>
          <w:b/>
          <w:bCs/>
          <w:u w:val="single"/>
        </w:rPr>
      </w:pPr>
      <w:r w:rsidRPr="00B075E3">
        <w:rPr>
          <w:rFonts w:ascii="Times New Roman" w:hAnsi="Times New Roman"/>
          <w:b/>
          <w:bCs/>
          <w:u w:val="single"/>
        </w:rPr>
        <w:t>Contacting respondents:</w:t>
      </w:r>
    </w:p>
    <w:p w:rsidR="008C5887" w:rsidRPr="00B075E3" w:rsidP="002801FA" w14:paraId="67934DC2" w14:textId="77777777">
      <w:pPr>
        <w:pStyle w:val="ListParagraph"/>
        <w:ind w:left="0" w:firstLine="360"/>
        <w:rPr>
          <w:rFonts w:ascii="Times New Roman" w:hAnsi="Times New Roman"/>
          <w:b/>
          <w:bCs/>
          <w:u w:val="single"/>
        </w:rPr>
      </w:pPr>
    </w:p>
    <w:p w:rsidR="00B075E3" w:rsidRPr="00B075E3" w:rsidP="002801FA" w14:paraId="7989C1D2" w14:textId="2D726E9B">
      <w:pPr>
        <w:pStyle w:val="ListParagraph"/>
        <w:numPr>
          <w:ilvl w:val="1"/>
          <w:numId w:val="4"/>
        </w:numPr>
        <w:ind w:left="720"/>
        <w:rPr>
          <w:rFonts w:ascii="Times New Roman" w:hAnsi="Times New Roman"/>
        </w:rPr>
      </w:pPr>
      <w:r w:rsidRPr="00B075E3">
        <w:rPr>
          <w:rFonts w:ascii="Times New Roman" w:hAnsi="Times New Roman"/>
        </w:rPr>
        <w:t xml:space="preserve">Panelist invitation to the </w:t>
      </w:r>
      <w:r w:rsidRPr="20799D17" w:rsidR="077258D1">
        <w:rPr>
          <w:rFonts w:ascii="Times New Roman" w:hAnsi="Times New Roman"/>
        </w:rPr>
        <w:t xml:space="preserve">National </w:t>
      </w:r>
      <w:r w:rsidRPr="20799D17">
        <w:rPr>
          <w:rFonts w:ascii="Times New Roman" w:hAnsi="Times New Roman"/>
        </w:rPr>
        <w:t>S</w:t>
      </w:r>
      <w:r w:rsidR="00004AE1">
        <w:rPr>
          <w:rFonts w:ascii="Times New Roman" w:hAnsi="Times New Roman"/>
        </w:rPr>
        <w:t xml:space="preserve">urvey </w:t>
      </w:r>
      <w:r w:rsidRPr="00B075E3">
        <w:rPr>
          <w:rFonts w:ascii="Times New Roman" w:hAnsi="Times New Roman"/>
        </w:rPr>
        <w:t>will occur using email, text, and telephone invitations, based on preference of the panelists.</w:t>
      </w:r>
      <w:r w:rsidR="00F70DD3">
        <w:rPr>
          <w:rFonts w:ascii="Times New Roman" w:hAnsi="Times New Roman"/>
        </w:rPr>
        <w:t xml:space="preserve"> </w:t>
      </w:r>
      <w:r w:rsidR="005470F3">
        <w:rPr>
          <w:rFonts w:ascii="Times New Roman" w:hAnsi="Times New Roman"/>
        </w:rPr>
        <w:t xml:space="preserve">The probability survey panel participants </w:t>
      </w:r>
      <w:r w:rsidRPr="50E3EBE5" w:rsidR="7FA48325">
        <w:rPr>
          <w:rFonts w:ascii="Times New Roman" w:hAnsi="Times New Roman"/>
        </w:rPr>
        <w:t>for the National S</w:t>
      </w:r>
      <w:r w:rsidR="00004AE1">
        <w:rPr>
          <w:rFonts w:ascii="Times New Roman" w:hAnsi="Times New Roman"/>
        </w:rPr>
        <w:t xml:space="preserve">urvey </w:t>
      </w:r>
      <w:r w:rsidRPr="50E3EBE5" w:rsidR="005470F3">
        <w:rPr>
          <w:rFonts w:ascii="Times New Roman" w:hAnsi="Times New Roman"/>
        </w:rPr>
        <w:t>will</w:t>
      </w:r>
      <w:r w:rsidR="005470F3">
        <w:rPr>
          <w:rFonts w:ascii="Times New Roman" w:hAnsi="Times New Roman"/>
        </w:rPr>
        <w:t xml:space="preserve"> receive </w:t>
      </w:r>
      <w:r w:rsidRPr="18B7642E" w:rsidR="114F223E">
        <w:rPr>
          <w:rFonts w:ascii="Times New Roman" w:hAnsi="Times New Roman"/>
        </w:rPr>
        <w:t>“</w:t>
      </w:r>
      <w:r w:rsidRPr="3B54E293" w:rsidR="114F223E">
        <w:rPr>
          <w:rFonts w:ascii="Times New Roman" w:hAnsi="Times New Roman"/>
        </w:rPr>
        <w:t>Ameri</w:t>
      </w:r>
      <w:r w:rsidRPr="3B54E293" w:rsidR="662F368B">
        <w:rPr>
          <w:rFonts w:ascii="Times New Roman" w:hAnsi="Times New Roman"/>
        </w:rPr>
        <w:t>P</w:t>
      </w:r>
      <w:r w:rsidRPr="3B54E293" w:rsidR="005470F3">
        <w:rPr>
          <w:rFonts w:ascii="Times New Roman" w:hAnsi="Times New Roman"/>
        </w:rPr>
        <w:t>oints</w:t>
      </w:r>
      <w:r w:rsidRPr="0BB32FBC" w:rsidR="5E3CB58B">
        <w:rPr>
          <w:rFonts w:ascii="Times New Roman" w:hAnsi="Times New Roman"/>
        </w:rPr>
        <w:t>”</w:t>
      </w:r>
      <w:r w:rsidR="005470F3">
        <w:rPr>
          <w:rFonts w:ascii="Times New Roman" w:hAnsi="Times New Roman"/>
        </w:rPr>
        <w:t xml:space="preserve"> </w:t>
      </w:r>
      <w:r w:rsidRPr="61B75403" w:rsidR="3E653DFC">
        <w:rPr>
          <w:rFonts w:ascii="Times New Roman" w:hAnsi="Times New Roman"/>
        </w:rPr>
        <w:t>from NORC</w:t>
      </w:r>
      <w:r w:rsidRPr="5660629A" w:rsidR="005470F3">
        <w:rPr>
          <w:rFonts w:ascii="Times New Roman" w:hAnsi="Times New Roman"/>
        </w:rPr>
        <w:t xml:space="preserve"> </w:t>
      </w:r>
      <w:r w:rsidR="005470F3">
        <w:rPr>
          <w:rFonts w:ascii="Times New Roman" w:hAnsi="Times New Roman"/>
        </w:rPr>
        <w:t xml:space="preserve">as a part of </w:t>
      </w:r>
      <w:r w:rsidRPr="20142E12" w:rsidR="63C647C5">
        <w:rPr>
          <w:rFonts w:ascii="Times New Roman" w:hAnsi="Times New Roman"/>
        </w:rPr>
        <w:t>their membership</w:t>
      </w:r>
      <w:r w:rsidR="005470F3">
        <w:rPr>
          <w:rFonts w:ascii="Times New Roman" w:hAnsi="Times New Roman"/>
        </w:rPr>
        <w:t xml:space="preserve"> </w:t>
      </w:r>
      <w:r w:rsidRPr="161BFFA4" w:rsidR="005470F3">
        <w:rPr>
          <w:rFonts w:ascii="Times New Roman" w:hAnsi="Times New Roman"/>
        </w:rPr>
        <w:t>o</w:t>
      </w:r>
      <w:r w:rsidRPr="161BFFA4" w:rsidR="3144B95D">
        <w:rPr>
          <w:rFonts w:ascii="Times New Roman" w:hAnsi="Times New Roman"/>
        </w:rPr>
        <w:t>n</w:t>
      </w:r>
      <w:r w:rsidR="005470F3">
        <w:rPr>
          <w:rFonts w:ascii="Times New Roman" w:hAnsi="Times New Roman"/>
        </w:rPr>
        <w:t xml:space="preserve"> the panel in return for completing the survey, with estimated value approximately $2</w:t>
      </w:r>
      <w:r w:rsidR="0064461B">
        <w:rPr>
          <w:rFonts w:ascii="Times New Roman" w:hAnsi="Times New Roman"/>
        </w:rPr>
        <w:t>.00</w:t>
      </w:r>
      <w:r w:rsidR="005470F3">
        <w:rPr>
          <w:rFonts w:ascii="Times New Roman" w:hAnsi="Times New Roman"/>
        </w:rPr>
        <w:t>. Non-probability survey panelists will be offered a similar incentive for complete participation</w:t>
      </w:r>
      <w:r w:rsidRPr="47AC940C" w:rsidR="53F61709">
        <w:rPr>
          <w:rFonts w:ascii="Times New Roman" w:hAnsi="Times New Roman"/>
        </w:rPr>
        <w:t xml:space="preserve"> </w:t>
      </w:r>
      <w:r w:rsidRPr="137B06A0" w:rsidR="53F61709">
        <w:rPr>
          <w:rFonts w:ascii="Times New Roman" w:hAnsi="Times New Roman"/>
        </w:rPr>
        <w:t>in the National Survey</w:t>
      </w:r>
      <w:r w:rsidRPr="137B06A0" w:rsidR="005470F3">
        <w:rPr>
          <w:rFonts w:ascii="Times New Roman" w:hAnsi="Times New Roman"/>
        </w:rPr>
        <w:t>.</w:t>
      </w:r>
    </w:p>
    <w:p w:rsidR="00B075E3" w:rsidRPr="00B075E3" w:rsidP="002801FA" w14:paraId="34DD8B14" w14:textId="77777777">
      <w:pPr>
        <w:pStyle w:val="ListParagraph"/>
        <w:numPr>
          <w:ilvl w:val="1"/>
          <w:numId w:val="4"/>
        </w:numPr>
        <w:ind w:left="720"/>
        <w:contextualSpacing w:val="0"/>
        <w:rPr>
          <w:rFonts w:ascii="Times New Roman" w:hAnsi="Times New Roman"/>
        </w:rPr>
      </w:pPr>
      <w:r w:rsidRPr="00B075E3">
        <w:rPr>
          <w:rFonts w:ascii="Times New Roman" w:hAnsi="Times New Roman"/>
        </w:rPr>
        <w:t>Recruitment of the nonprobability sample will attempt to target owners of the species of interest to focus on that specific subset of U.S. households using advertisements through social media and through email.</w:t>
      </w:r>
    </w:p>
    <w:p w:rsidR="000961E0" w:rsidP="002801FA" w14:paraId="22FFEEFB" w14:textId="77777777">
      <w:pPr>
        <w:pStyle w:val="ListParagraph"/>
        <w:numPr>
          <w:ilvl w:val="1"/>
          <w:numId w:val="4"/>
        </w:numPr>
        <w:ind w:left="720"/>
        <w:rPr>
          <w:rFonts w:ascii="Times New Roman" w:hAnsi="Times New Roman"/>
        </w:rPr>
      </w:pPr>
      <w:r w:rsidRPr="00B075E3">
        <w:rPr>
          <w:rFonts w:ascii="Times New Roman" w:hAnsi="Times New Roman"/>
        </w:rPr>
        <w:t>For the City Survey, selected subjects will be notified and offered a chance to participate in the survey in a variety of ways, including an announcement postcard, a push-to-web letter, a mailed paper questionnaire, a reminder postcard, and a subset who will receive a telephone follow-up.</w:t>
      </w:r>
      <w:r w:rsidR="008E452E">
        <w:rPr>
          <w:rFonts w:ascii="Times New Roman" w:hAnsi="Times New Roman"/>
        </w:rPr>
        <w:t xml:space="preserve"> </w:t>
      </w:r>
    </w:p>
    <w:p w:rsidR="00B075E3" w:rsidRPr="00B075E3" w:rsidP="002801FA" w14:paraId="322D466C" w14:textId="1FDAC3A0">
      <w:pPr>
        <w:pStyle w:val="ListParagraph"/>
        <w:numPr>
          <w:ilvl w:val="1"/>
          <w:numId w:val="4"/>
        </w:numPr>
        <w:ind w:left="720"/>
        <w:rPr>
          <w:rFonts w:ascii="Times New Roman" w:hAnsi="Times New Roman"/>
        </w:rPr>
      </w:pPr>
      <w:r>
        <w:rPr>
          <w:rFonts w:ascii="Times New Roman" w:hAnsi="Times New Roman"/>
        </w:rPr>
        <w:t>H</w:t>
      </w:r>
      <w:r w:rsidR="00E00B12">
        <w:rPr>
          <w:rFonts w:ascii="Times New Roman" w:hAnsi="Times New Roman"/>
        </w:rPr>
        <w:t xml:space="preserve">alf of the respondents </w:t>
      </w:r>
      <w:r w:rsidR="00BC3FB4">
        <w:rPr>
          <w:rFonts w:ascii="Times New Roman" w:hAnsi="Times New Roman"/>
        </w:rPr>
        <w:t xml:space="preserve">in each city in </w:t>
      </w:r>
      <w:r w:rsidR="00E00B12">
        <w:rPr>
          <w:rFonts w:ascii="Times New Roman" w:hAnsi="Times New Roman"/>
        </w:rPr>
        <w:t xml:space="preserve">the City </w:t>
      </w:r>
      <w:r w:rsidR="002B7E1B">
        <w:rPr>
          <w:rFonts w:ascii="Times New Roman" w:hAnsi="Times New Roman"/>
        </w:rPr>
        <w:t xml:space="preserve">Survey will be </w:t>
      </w:r>
      <w:r w:rsidR="001B593E">
        <w:rPr>
          <w:rFonts w:ascii="Times New Roman" w:hAnsi="Times New Roman"/>
        </w:rPr>
        <w:t>provided</w:t>
      </w:r>
      <w:r w:rsidR="002B7E1B">
        <w:rPr>
          <w:rFonts w:ascii="Times New Roman" w:hAnsi="Times New Roman"/>
        </w:rPr>
        <w:t xml:space="preserve"> a $2</w:t>
      </w:r>
      <w:r w:rsidR="0064461B">
        <w:rPr>
          <w:rFonts w:ascii="Times New Roman" w:hAnsi="Times New Roman"/>
        </w:rPr>
        <w:t>.00</w:t>
      </w:r>
      <w:r w:rsidR="002B7E1B">
        <w:rPr>
          <w:rFonts w:ascii="Times New Roman" w:hAnsi="Times New Roman"/>
        </w:rPr>
        <w:t xml:space="preserve"> incentive </w:t>
      </w:r>
      <w:r w:rsidR="001B593E">
        <w:rPr>
          <w:rFonts w:ascii="Times New Roman" w:hAnsi="Times New Roman"/>
        </w:rPr>
        <w:t>with the initial mailing</w:t>
      </w:r>
      <w:r w:rsidR="00BC3FB4">
        <w:rPr>
          <w:rFonts w:ascii="Times New Roman" w:hAnsi="Times New Roman"/>
        </w:rPr>
        <w:t>, as a partial compensation for their time</w:t>
      </w:r>
      <w:r>
        <w:rPr>
          <w:rFonts w:ascii="Times New Roman" w:hAnsi="Times New Roman"/>
        </w:rPr>
        <w:t>.</w:t>
      </w:r>
    </w:p>
    <w:p w:rsidR="00620410" w:rsidRPr="00B075E3" w:rsidP="004D12D9" w14:paraId="237F0056" w14:textId="44ADB290">
      <w:pPr>
        <w:pStyle w:val="ListParagraph"/>
        <w:rPr>
          <w:rFonts w:ascii="Times New Roman" w:hAnsi="Times New Roman"/>
        </w:rPr>
      </w:pPr>
      <w:r w:rsidRPr="00B075E3">
        <w:rPr>
          <w:rFonts w:ascii="Times New Roman" w:hAnsi="Times New Roman"/>
        </w:rPr>
        <w:t>Telephone enumerators will have gone through specific training to help answer questions of reluctant respondents to maximize response rates.</w:t>
      </w:r>
    </w:p>
    <w:p w:rsidR="007C642F" w:rsidRPr="0064461B" w:rsidP="0064461B" w14:paraId="02539872" w14:textId="77777777">
      <w:pPr>
        <w:rPr>
          <w:rStyle w:val="InitialStyle"/>
          <w:rFonts w:eastAsiaTheme="majorEastAsia"/>
        </w:rPr>
      </w:pPr>
    </w:p>
    <w:p w:rsidR="00A90A95" w:rsidP="00A90A95" w14:paraId="27F93559" w14:textId="77777777">
      <w:pPr>
        <w:pStyle w:val="DefaultText"/>
        <w:ind w:firstLine="360"/>
        <w:rPr>
          <w:b/>
          <w:bCs/>
          <w:u w:val="single"/>
        </w:rPr>
      </w:pPr>
      <w:r w:rsidRPr="00A90A95">
        <w:rPr>
          <w:b/>
          <w:bCs/>
          <w:u w:val="single"/>
        </w:rPr>
        <w:t>Non-response adjustment:</w:t>
      </w:r>
    </w:p>
    <w:p w:rsidR="008C5887" w:rsidRPr="00A90A95" w:rsidP="00A90A95" w14:paraId="06169E4D" w14:textId="77777777">
      <w:pPr>
        <w:pStyle w:val="DefaultText"/>
        <w:ind w:firstLine="360"/>
        <w:rPr>
          <w:b/>
          <w:bCs/>
        </w:rPr>
      </w:pPr>
    </w:p>
    <w:p w:rsidR="00A90A95" w:rsidRPr="00A90A95" w:rsidP="00A90A95" w14:paraId="1E804E68" w14:textId="77777777">
      <w:pPr>
        <w:pStyle w:val="DefaultText"/>
        <w:numPr>
          <w:ilvl w:val="0"/>
          <w:numId w:val="10"/>
        </w:numPr>
      </w:pPr>
      <w:r w:rsidRPr="00A90A95">
        <w:t>Baseline expected response rates are taken from the NAHMS Poultry 2010 study and conversations and documentation from the private survey companies.</w:t>
      </w:r>
    </w:p>
    <w:p w:rsidR="00A90A95" w:rsidRPr="00A90A95" w:rsidP="00A90A95" w14:paraId="3B4CB2AA" w14:textId="310BB822">
      <w:pPr>
        <w:pStyle w:val="DefaultText"/>
        <w:numPr>
          <w:ilvl w:val="0"/>
          <w:numId w:val="10"/>
        </w:numPr>
      </w:pPr>
      <w:r w:rsidRPr="00A90A95">
        <w:t xml:space="preserve">For both the National and City Surveys, non-response will be accounted for using weighting class adjustments, and weights will be calibrated to American Community Survey benchmarks using demographic variables. To combine the probability and nonprobability samples, calibration will be made on demographic variables and on select content variables from the questionnaire using small area modeling using NORC’s </w:t>
      </w:r>
      <w:r w:rsidRPr="00A90A95">
        <w:t>TrueNorth</w:t>
      </w:r>
      <w:r w:rsidRPr="00A90A95">
        <w:t>® Calibration method (NORC, 2021).</w:t>
      </w:r>
      <w:r w:rsidR="00930AD0">
        <w:t xml:space="preserve"> Demographic information will be collected from participants for non-probability survey panel </w:t>
      </w:r>
      <w:r w:rsidR="00E87B88">
        <w:t>m</w:t>
      </w:r>
      <w:r w:rsidR="008D5F5B">
        <w:t xml:space="preserve">embers </w:t>
      </w:r>
      <w:r w:rsidR="00930AD0">
        <w:t>of the National Survey</w:t>
      </w:r>
      <w:r w:rsidR="00E87B88">
        <w:t>,</w:t>
      </w:r>
      <w:r w:rsidR="00930AD0">
        <w:t xml:space="preserve"> and demographic information that has already been collected for the probability survey panel members will be used in non-response adjustments.</w:t>
      </w:r>
    </w:p>
    <w:p w:rsidR="00A90A95" w:rsidP="00A90A95" w14:paraId="086EF728" w14:textId="4E3CD54D">
      <w:pPr>
        <w:pStyle w:val="DefaultText"/>
        <w:numPr>
          <w:ilvl w:val="0"/>
          <w:numId w:val="10"/>
        </w:numPr>
      </w:pPr>
      <w:r w:rsidRPr="00A90A95">
        <w:t>Non</w:t>
      </w:r>
      <w:r w:rsidR="00E925D0">
        <w:t>-</w:t>
      </w:r>
      <w:r w:rsidRPr="00A90A95">
        <w:t>response adjustment for the City Survey will adopt the same method used for the NAHMS Poultry 2010 study to maximize comparability of the results from the two studies.</w:t>
      </w:r>
    </w:p>
    <w:p w:rsidR="00C43DE2" w:rsidRPr="005F6640" w:rsidP="00EF3680" w14:paraId="57D429EE" w14:textId="491743A5">
      <w:pPr>
        <w:pStyle w:val="ListParagraph"/>
        <w:numPr>
          <w:ilvl w:val="0"/>
          <w:numId w:val="10"/>
        </w:numPr>
      </w:pPr>
      <w:r w:rsidRPr="00225E2A">
        <w:rPr>
          <w:rFonts w:ascii="Times New Roman" w:hAnsi="Times New Roman"/>
          <w:snapToGrid/>
          <w:szCs w:val="24"/>
        </w:rPr>
        <w:t xml:space="preserve">If the respondents differ substantially from the non-respondents, then there is potential for bias. </w:t>
      </w:r>
      <w:r>
        <w:rPr>
          <w:rFonts w:ascii="Times New Roman" w:hAnsi="Times New Roman"/>
          <w:snapToGrid/>
          <w:szCs w:val="24"/>
        </w:rPr>
        <w:t>The demographic information for the probability-based survey panel members</w:t>
      </w:r>
      <w:r w:rsidRPr="00225E2A">
        <w:rPr>
          <w:rFonts w:ascii="Times New Roman" w:hAnsi="Times New Roman"/>
          <w:snapToGrid/>
          <w:szCs w:val="24"/>
        </w:rPr>
        <w:t xml:space="preserve"> </w:t>
      </w:r>
      <w:r>
        <w:rPr>
          <w:rFonts w:ascii="Times New Roman" w:hAnsi="Times New Roman"/>
          <w:snapToGrid/>
          <w:szCs w:val="24"/>
        </w:rPr>
        <w:t>will be</w:t>
      </w:r>
      <w:r w:rsidRPr="00225E2A">
        <w:rPr>
          <w:rFonts w:ascii="Times New Roman" w:hAnsi="Times New Roman"/>
          <w:snapToGrid/>
          <w:szCs w:val="24"/>
        </w:rPr>
        <w:t xml:space="preserve"> </w:t>
      </w:r>
      <w:r w:rsidR="006B3E59">
        <w:rPr>
          <w:rFonts w:ascii="Times New Roman" w:hAnsi="Times New Roman"/>
          <w:snapToGrid/>
          <w:szCs w:val="24"/>
        </w:rPr>
        <w:t>known</w:t>
      </w:r>
      <w:r w:rsidRPr="00225E2A">
        <w:rPr>
          <w:rFonts w:ascii="Times New Roman" w:hAnsi="Times New Roman"/>
          <w:snapToGrid/>
          <w:szCs w:val="24"/>
        </w:rPr>
        <w:t xml:space="preserve"> for both respondents and non-respondents to allow for examination of potential differences in type of responding and non-responding </w:t>
      </w:r>
      <w:r w:rsidR="00E345EC">
        <w:rPr>
          <w:rFonts w:ascii="Times New Roman" w:hAnsi="Times New Roman"/>
          <w:snapToGrid/>
          <w:szCs w:val="24"/>
        </w:rPr>
        <w:t>households</w:t>
      </w:r>
      <w:r>
        <w:rPr>
          <w:rFonts w:ascii="Times New Roman" w:hAnsi="Times New Roman"/>
          <w:snapToGrid/>
          <w:szCs w:val="24"/>
        </w:rPr>
        <w:t xml:space="preserve"> for that component of the National Survey. This information won’t be available for the nonprobability sample component or for the City Survey</w:t>
      </w:r>
      <w:r w:rsidRPr="00225E2A">
        <w:rPr>
          <w:rFonts w:ascii="Times New Roman" w:hAnsi="Times New Roman"/>
          <w:snapToGrid/>
          <w:szCs w:val="24"/>
        </w:rPr>
        <w:t>. If needed, APHIS will perform a non-response bias analysis to investigate unexpected response patterns to guide future sampling efforts. If significant non</w:t>
      </w:r>
      <w:r w:rsidR="002646C2">
        <w:rPr>
          <w:rFonts w:ascii="Times New Roman" w:hAnsi="Times New Roman"/>
          <w:snapToGrid/>
          <w:szCs w:val="24"/>
        </w:rPr>
        <w:t>-</w:t>
      </w:r>
      <w:r w:rsidRPr="00225E2A">
        <w:rPr>
          <w:rFonts w:ascii="Times New Roman" w:hAnsi="Times New Roman"/>
          <w:snapToGrid/>
          <w:szCs w:val="24"/>
        </w:rPr>
        <w:t>response bias is found, the factors contributing to the bias will be incorporated into the non</w:t>
      </w:r>
      <w:r w:rsidR="00E925D0">
        <w:rPr>
          <w:rFonts w:ascii="Times New Roman" w:hAnsi="Times New Roman"/>
          <w:snapToGrid/>
          <w:szCs w:val="24"/>
        </w:rPr>
        <w:t>-</w:t>
      </w:r>
      <w:r w:rsidRPr="00225E2A">
        <w:rPr>
          <w:rFonts w:ascii="Times New Roman" w:hAnsi="Times New Roman"/>
          <w:snapToGrid/>
          <w:szCs w:val="24"/>
        </w:rPr>
        <w:t>response weight adjustment using post-stratification</w:t>
      </w:r>
      <w:r>
        <w:rPr>
          <w:rFonts w:ascii="Times New Roman" w:hAnsi="Times New Roman"/>
          <w:snapToGrid/>
          <w:szCs w:val="24"/>
        </w:rPr>
        <w:t xml:space="preserve"> and calibration</w:t>
      </w:r>
      <w:r w:rsidRPr="00225E2A">
        <w:rPr>
          <w:rFonts w:ascii="Times New Roman" w:hAnsi="Times New Roman"/>
          <w:snapToGrid/>
          <w:szCs w:val="24"/>
        </w:rPr>
        <w:t xml:space="preserve"> procedures. </w:t>
      </w:r>
    </w:p>
    <w:p w:rsidR="004C001E" w:rsidP="00EF3680" w14:paraId="53547010" w14:textId="77777777">
      <w:pPr>
        <w:autoSpaceDE w:val="0"/>
        <w:autoSpaceDN w:val="0"/>
        <w:adjustRightInd w:val="0"/>
        <w:rPr>
          <w:b/>
          <w:bCs/>
          <w:u w:val="single"/>
        </w:rPr>
      </w:pPr>
    </w:p>
    <w:p w:rsidR="00FC60D2" w:rsidP="00FC60D2" w14:paraId="0E172B67" w14:textId="695BE60F">
      <w:pPr>
        <w:autoSpaceDE w:val="0"/>
        <w:autoSpaceDN w:val="0"/>
        <w:adjustRightInd w:val="0"/>
        <w:ind w:left="360"/>
        <w:rPr>
          <w:b/>
          <w:bCs/>
          <w:u w:val="single"/>
        </w:rPr>
      </w:pPr>
      <w:r w:rsidRPr="00FC60D2">
        <w:rPr>
          <w:b/>
          <w:bCs/>
          <w:u w:val="single"/>
        </w:rPr>
        <w:t>Sampling and design strategies:</w:t>
      </w:r>
    </w:p>
    <w:p w:rsidR="001E3D09" w:rsidRPr="00FC60D2" w:rsidP="00FC60D2" w14:paraId="04131D96" w14:textId="77777777">
      <w:pPr>
        <w:autoSpaceDE w:val="0"/>
        <w:autoSpaceDN w:val="0"/>
        <w:adjustRightInd w:val="0"/>
        <w:ind w:left="360"/>
        <w:rPr>
          <w:b/>
          <w:bCs/>
          <w:u w:val="single"/>
        </w:rPr>
      </w:pPr>
    </w:p>
    <w:p w:rsidR="00FC60D2" w:rsidRPr="00FC60D2" w:rsidP="00FC60D2" w14:paraId="29E8D1AB" w14:textId="078A7F27">
      <w:pPr>
        <w:numPr>
          <w:ilvl w:val="0"/>
          <w:numId w:val="10"/>
        </w:numPr>
        <w:autoSpaceDE w:val="0"/>
        <w:autoSpaceDN w:val="0"/>
        <w:adjustRightInd w:val="0"/>
      </w:pPr>
      <w:r w:rsidRPr="00FC60D2">
        <w:t>Panelists on the probability-based survey panel have some level of agreement to accept survey inquiries</w:t>
      </w:r>
      <w:r w:rsidR="00AF5863">
        <w:t>,</w:t>
      </w:r>
      <w:r w:rsidRPr="00FC60D2">
        <w:t xml:space="preserve"> and NORC purposefully manages the level of burden placed on the panelists to help to maintain adequate response rates. The NORC </w:t>
      </w:r>
      <w:r w:rsidRPr="00FC60D2">
        <w:t>AmeriSpeak</w:t>
      </w:r>
      <w:r w:rsidRPr="00FC60D2">
        <w:t xml:space="preserve"> panel has shown high panel recruitment and retention rates for panelists compared to similar commercial panels (NORC, 2022).</w:t>
      </w:r>
    </w:p>
    <w:p w:rsidR="00FC60D2" w:rsidRPr="00FC60D2" w:rsidP="00FC60D2" w14:paraId="63C054A3" w14:textId="77777777">
      <w:pPr>
        <w:numPr>
          <w:ilvl w:val="0"/>
          <w:numId w:val="10"/>
        </w:numPr>
        <w:autoSpaceDE w:val="0"/>
        <w:autoSpaceDN w:val="0"/>
        <w:adjustRightInd w:val="0"/>
      </w:pPr>
      <w:r w:rsidRPr="00FC60D2">
        <w:t>Sampling for the City Survey will be similar to the methodology used in the NAHMS Poultry 2010 study to maximize comparability of the results from the two studies.</w:t>
      </w:r>
    </w:p>
    <w:p w:rsidR="00FC60D2" w:rsidRPr="00FC60D2" w:rsidP="00FC60D2" w14:paraId="647BECA8" w14:textId="77777777">
      <w:pPr>
        <w:numPr>
          <w:ilvl w:val="0"/>
          <w:numId w:val="10"/>
        </w:numPr>
        <w:autoSpaceDE w:val="0"/>
        <w:autoSpaceDN w:val="0"/>
        <w:adjustRightInd w:val="0"/>
      </w:pPr>
      <w:r w:rsidRPr="00FC60D2">
        <w:t>Various modes of administration through mail, web, and telephone were chosen to meet the varied response mode preferences of U.S. households. Preferred response modes vary across the population, and so making available a selection of response opportunities to fit household’s schedules and preferences has been important to maximizing response in a COVID-19-influenced environment and will continue to be important going forward.</w:t>
      </w:r>
    </w:p>
    <w:p w:rsidR="00FC60D2" w:rsidP="00CC5F72" w14:paraId="62F3E2F1" w14:textId="77777777">
      <w:pPr>
        <w:autoSpaceDE w:val="0"/>
        <w:autoSpaceDN w:val="0"/>
        <w:adjustRightInd w:val="0"/>
      </w:pPr>
    </w:p>
    <w:p w:rsidR="0024717E" w:rsidP="00CC5F72" w14:paraId="206936A7" w14:textId="77777777">
      <w:pPr>
        <w:autoSpaceDE w:val="0"/>
        <w:autoSpaceDN w:val="0"/>
        <w:adjustRightInd w:val="0"/>
      </w:pPr>
    </w:p>
    <w:p w:rsidR="0024717E" w:rsidRPr="0024717E" w:rsidP="0024717E" w14:paraId="023CF23A" w14:textId="77777777">
      <w:pPr>
        <w:autoSpaceDE w:val="0"/>
        <w:autoSpaceDN w:val="0"/>
        <w:adjustRightInd w:val="0"/>
        <w:rPr>
          <w:b/>
          <w:bCs/>
          <w:iCs/>
        </w:rPr>
      </w:pPr>
      <w:r w:rsidRPr="0024717E">
        <w:rPr>
          <w:b/>
          <w:bCs/>
          <w:iCs/>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24717E" w:rsidRPr="0024717E" w:rsidP="0024717E" w14:paraId="77254A0C" w14:textId="77777777">
      <w:pPr>
        <w:autoSpaceDE w:val="0"/>
        <w:autoSpaceDN w:val="0"/>
        <w:adjustRightInd w:val="0"/>
      </w:pPr>
    </w:p>
    <w:p w:rsidR="0024717E" w:rsidRPr="0024717E" w:rsidP="0024717E" w14:paraId="6C96AA4A" w14:textId="77777777">
      <w:pPr>
        <w:autoSpaceDE w:val="0"/>
        <w:autoSpaceDN w:val="0"/>
        <w:adjustRightInd w:val="0"/>
      </w:pPr>
      <w:r w:rsidRPr="0024717E">
        <w:t>APHIS will pretest the survey prior to field enumeration, involving fewer than 10 respondents. APHIS will use the results of these pretests to refine the surveys in order to reduce respondent burden and improve the accuracy and usefulness of the information. The pretested and revised questions from previous NAHMS studies, including the NAHMS Poultry 2010 study, will be used as a baseline, where possible, in order to borrow from the work performed during those studies and to ensure that trends on particular topics can be drawn. The final surveys will have been reviewed by a variety of experts, including academic researchers, industry representatives, extension agents, veterinarians, health specialists, and epidemiologists.</w:t>
      </w:r>
    </w:p>
    <w:p w:rsidR="0024717E" w:rsidRPr="005F6640" w:rsidP="00CC5F72" w14:paraId="7AF633F2" w14:textId="77777777">
      <w:pPr>
        <w:autoSpaceDE w:val="0"/>
        <w:autoSpaceDN w:val="0"/>
        <w:adjustRightInd w:val="0"/>
      </w:pPr>
    </w:p>
    <w:p w:rsidR="00175C83" w:rsidRPr="005F6640" w:rsidP="00A15641" w14:paraId="2C966B6B" w14:textId="77777777">
      <w:pPr>
        <w:pStyle w:val="DefaultText"/>
        <w:ind w:left="720" w:hanging="720"/>
        <w:rPr>
          <w:rStyle w:val="InitialStyle"/>
          <w:rFonts w:eastAsiaTheme="majorEastAsia"/>
          <w:b/>
        </w:rPr>
      </w:pPr>
      <w:bookmarkStart w:id="14" w:name="_Toc120517356"/>
      <w:bookmarkStart w:id="15" w:name="_Toc121289115"/>
      <w:bookmarkStart w:id="16" w:name="_Toc133308584"/>
      <w:bookmarkStart w:id="17" w:name="_Toc142106619"/>
    </w:p>
    <w:p w:rsidR="00A15641" w:rsidP="004E64F7" w14:paraId="53E60B9D" w14:textId="7A51500A">
      <w:pPr>
        <w:pStyle w:val="DefaultText"/>
        <w:tabs>
          <w:tab w:val="left" w:pos="360"/>
        </w:tabs>
        <w:rPr>
          <w:b/>
        </w:rPr>
      </w:pPr>
      <w:r>
        <w:rPr>
          <w:rStyle w:val="InitialStyle"/>
          <w:rFonts w:eastAsiaTheme="majorEastAsia"/>
          <w:b/>
        </w:rPr>
        <w:t xml:space="preserve">5. </w:t>
      </w:r>
      <w:r w:rsidRPr="00400571">
        <w:rPr>
          <w:rStyle w:val="InitialStyle"/>
          <w:rFonts w:eastAsiaTheme="majorEastAsia"/>
          <w:b/>
        </w:rPr>
        <w:t>P</w:t>
      </w:r>
      <w:r w:rsidRPr="00400571">
        <w:rPr>
          <w:b/>
        </w:rPr>
        <w:t>rovide the name and telephone number of individuals consulted on statistical aspects of the design and the name of the agency unit, contractor(s), grantee(s), or other person(s) who will actually collect and/or analyze the information for the agency.</w:t>
      </w:r>
      <w:bookmarkEnd w:id="14"/>
      <w:bookmarkEnd w:id="15"/>
      <w:bookmarkEnd w:id="16"/>
      <w:bookmarkEnd w:id="17"/>
    </w:p>
    <w:p w:rsidR="00D72D20" w:rsidRPr="005F6640" w:rsidP="009A64F5" w14:paraId="05D538D2" w14:textId="77777777">
      <w:pPr>
        <w:pStyle w:val="DefaultText"/>
        <w:tabs>
          <w:tab w:val="left" w:pos="360"/>
        </w:tabs>
        <w:rPr>
          <w:rStyle w:val="InitialStyle"/>
          <w:rFonts w:eastAsiaTheme="majorEastAsia"/>
          <w:b/>
        </w:rPr>
      </w:pPr>
    </w:p>
    <w:p w:rsidR="007F31EB" w:rsidP="009A64F5" w14:paraId="0DDB77D3" w14:textId="77777777">
      <w:pPr>
        <w:pStyle w:val="BODY11Indent"/>
        <w:ind w:left="0"/>
        <w:rPr>
          <w:sz w:val="24"/>
        </w:rPr>
      </w:pPr>
      <w:r w:rsidRPr="005F6640">
        <w:rPr>
          <w:sz w:val="24"/>
        </w:rPr>
        <w:t>The statistical aspects of the design were coordinated by:</w:t>
      </w:r>
    </w:p>
    <w:p w:rsidR="00A15641" w:rsidP="00982199" w14:paraId="4B73A2BE" w14:textId="6AE1D442">
      <w:pPr>
        <w:pStyle w:val="BODY11Indent"/>
        <w:numPr>
          <w:ilvl w:val="1"/>
          <w:numId w:val="8"/>
        </w:numPr>
        <w:ind w:left="720"/>
        <w:rPr>
          <w:sz w:val="24"/>
        </w:rPr>
      </w:pPr>
      <w:r w:rsidRPr="005F6640">
        <w:rPr>
          <w:sz w:val="24"/>
        </w:rPr>
        <w:t>Mr. Matthew Branan, Mathematical Statistician, USDA, APHIS, VS, NAHMS, Fort Collins, CO (970-494-7349</w:t>
      </w:r>
      <w:r w:rsidR="00144335">
        <w:rPr>
          <w:sz w:val="24"/>
        </w:rPr>
        <w:t>;</w:t>
      </w:r>
      <w:r w:rsidR="00B22EA4">
        <w:rPr>
          <w:sz w:val="24"/>
        </w:rPr>
        <w:t xml:space="preserve"> </w:t>
      </w:r>
      <w:hyperlink r:id="rId14" w:history="1">
        <w:r w:rsidRPr="00B31B06" w:rsidR="00486451">
          <w:rPr>
            <w:rStyle w:val="Hyperlink"/>
            <w:sz w:val="24"/>
          </w:rPr>
          <w:t>matthew.a.bra</w:t>
        </w:r>
        <w:r w:rsidRPr="00B31B06" w:rsidR="00486451">
          <w:rPr>
            <w:rStyle w:val="Hyperlink"/>
          </w:rPr>
          <w:t>nan@usda.gov</w:t>
        </w:r>
      </w:hyperlink>
      <w:r w:rsidRPr="005F6640">
        <w:rPr>
          <w:sz w:val="24"/>
        </w:rPr>
        <w:t>).</w:t>
      </w:r>
    </w:p>
    <w:p w:rsidR="00201108" w:rsidRPr="005F6640" w:rsidP="009A64F5" w14:paraId="691CC81F" w14:textId="77777777">
      <w:pPr>
        <w:pStyle w:val="BODY11Indent"/>
        <w:ind w:left="0"/>
        <w:rPr>
          <w:sz w:val="24"/>
        </w:rPr>
      </w:pPr>
    </w:p>
    <w:p w:rsidR="00A15641" w:rsidRPr="005F6640" w:rsidP="009A64F5" w14:paraId="2E371FE7" w14:textId="317E0CAE">
      <w:pPr>
        <w:pStyle w:val="BODY11Indent"/>
        <w:ind w:left="0"/>
        <w:rPr>
          <w:sz w:val="24"/>
        </w:rPr>
      </w:pPr>
      <w:r w:rsidRPr="005F6640">
        <w:rPr>
          <w:sz w:val="24"/>
        </w:rPr>
        <w:t xml:space="preserve">For a NASS review of the OMB package submission, NAHMS will coordinate with </w:t>
      </w:r>
      <w:r w:rsidR="006A19BB">
        <w:rPr>
          <w:sz w:val="24"/>
        </w:rPr>
        <w:t>agricultural statisticians</w:t>
      </w:r>
      <w:r w:rsidRPr="005F6640">
        <w:rPr>
          <w:sz w:val="24"/>
        </w:rPr>
        <w:t xml:space="preserve"> reporting to:</w:t>
      </w:r>
    </w:p>
    <w:p w:rsidR="00A15641" w:rsidP="00982199" w14:paraId="13CFA255" w14:textId="3F2C4989">
      <w:pPr>
        <w:pStyle w:val="BODY11Indent"/>
        <w:numPr>
          <w:ilvl w:val="0"/>
          <w:numId w:val="24"/>
        </w:numPr>
        <w:ind w:left="720"/>
        <w:rPr>
          <w:sz w:val="24"/>
        </w:rPr>
      </w:pPr>
      <w:r w:rsidRPr="005F6640">
        <w:rPr>
          <w:sz w:val="24"/>
        </w:rPr>
        <w:t>Mr. Daniel Beckler, Chief, Standards and Survey Development Methodology Branch, USDA, NASS, Washington, DC (202-720-8858</w:t>
      </w:r>
      <w:r w:rsidRPr="0EECF113" w:rsidR="0E5EA37A">
        <w:rPr>
          <w:sz w:val="24"/>
        </w:rPr>
        <w:t xml:space="preserve">; </w:t>
      </w:r>
      <w:hyperlink r:id="rId15" w:history="1">
        <w:r w:rsidRPr="00B31B06" w:rsidR="00486451">
          <w:rPr>
            <w:rStyle w:val="Hyperlink"/>
            <w:sz w:val="24"/>
          </w:rPr>
          <w:t>dan.beckler@usda.gov</w:t>
        </w:r>
      </w:hyperlink>
      <w:r w:rsidRPr="0EECF113">
        <w:rPr>
          <w:sz w:val="24"/>
        </w:rPr>
        <w:t>).</w:t>
      </w:r>
    </w:p>
    <w:p w:rsidR="00201108" w:rsidRPr="005F6640" w:rsidP="009A64F5" w14:paraId="467C4622" w14:textId="77777777">
      <w:pPr>
        <w:pStyle w:val="BODY11Indent"/>
        <w:ind w:left="0"/>
        <w:rPr>
          <w:sz w:val="24"/>
        </w:rPr>
      </w:pPr>
    </w:p>
    <w:p w:rsidR="00A15641" w:rsidRPr="005F6640" w:rsidP="009A64F5" w14:paraId="1F936050" w14:textId="30AC71A2">
      <w:pPr>
        <w:pStyle w:val="BODY11Indent"/>
        <w:ind w:left="0"/>
        <w:rPr>
          <w:sz w:val="24"/>
        </w:rPr>
      </w:pPr>
      <w:r w:rsidRPr="005F6640">
        <w:rPr>
          <w:sz w:val="24"/>
        </w:rPr>
        <w:t xml:space="preserve">The actual </w:t>
      </w:r>
      <w:r w:rsidRPr="005F6640" w:rsidR="00BF6683">
        <w:rPr>
          <w:sz w:val="24"/>
        </w:rPr>
        <w:t xml:space="preserve">enumerated </w:t>
      </w:r>
      <w:r w:rsidRPr="005F6640">
        <w:rPr>
          <w:sz w:val="24"/>
        </w:rPr>
        <w:t xml:space="preserve">data collection will be conducted </w:t>
      </w:r>
      <w:r w:rsidR="006A19BB">
        <w:rPr>
          <w:sz w:val="24"/>
        </w:rPr>
        <w:t>under a cooperative agreement, overseen by</w:t>
      </w:r>
      <w:r w:rsidRPr="005F6640">
        <w:rPr>
          <w:sz w:val="24"/>
        </w:rPr>
        <w:t>:</w:t>
      </w:r>
    </w:p>
    <w:p w:rsidR="00A15641" w:rsidP="00982199" w14:paraId="73E290D6" w14:textId="3FC8E54A">
      <w:pPr>
        <w:pStyle w:val="BODY11Indent"/>
        <w:numPr>
          <w:ilvl w:val="0"/>
          <w:numId w:val="24"/>
        </w:numPr>
        <w:ind w:left="720"/>
        <w:rPr>
          <w:sz w:val="24"/>
        </w:rPr>
      </w:pPr>
      <w:r w:rsidRPr="005F6640">
        <w:rPr>
          <w:sz w:val="24"/>
        </w:rPr>
        <w:t xml:space="preserve">Dr. </w:t>
      </w:r>
      <w:r>
        <w:rPr>
          <w:sz w:val="24"/>
        </w:rPr>
        <w:t>Victoria Fields</w:t>
      </w:r>
      <w:r w:rsidRPr="005F6640">
        <w:rPr>
          <w:sz w:val="24"/>
        </w:rPr>
        <w:t xml:space="preserve">, </w:t>
      </w:r>
      <w:r>
        <w:rPr>
          <w:sz w:val="24"/>
        </w:rPr>
        <w:t>Veterinary Medical Officer (Epidemiology)</w:t>
      </w:r>
      <w:r w:rsidRPr="005F6640">
        <w:rPr>
          <w:sz w:val="24"/>
        </w:rPr>
        <w:t xml:space="preserve">, USDA APHIS, VS, </w:t>
      </w:r>
      <w:r>
        <w:rPr>
          <w:sz w:val="24"/>
        </w:rPr>
        <w:t xml:space="preserve">CEAH, NAHMS, </w:t>
      </w:r>
      <w:r w:rsidRPr="005F6640">
        <w:rPr>
          <w:sz w:val="24"/>
        </w:rPr>
        <w:t>Fort Collins, CO (970-</w:t>
      </w:r>
      <w:r>
        <w:rPr>
          <w:sz w:val="24"/>
        </w:rPr>
        <w:t>286-1514</w:t>
      </w:r>
      <w:r w:rsidR="00486451">
        <w:rPr>
          <w:sz w:val="24"/>
        </w:rPr>
        <w:t xml:space="preserve">; </w:t>
      </w:r>
      <w:hyperlink r:id="rId16" w:history="1">
        <w:r w:rsidRPr="00315A09" w:rsidR="00363435">
          <w:rPr>
            <w:rStyle w:val="Hyperlink"/>
            <w:sz w:val="24"/>
          </w:rPr>
          <w:t>victoria.fields@usda.gov</w:t>
        </w:r>
      </w:hyperlink>
      <w:r w:rsidRPr="005F6640">
        <w:rPr>
          <w:sz w:val="24"/>
        </w:rPr>
        <w:t>)</w:t>
      </w:r>
      <w:r>
        <w:rPr>
          <w:sz w:val="24"/>
        </w:rPr>
        <w:t xml:space="preserve"> and</w:t>
      </w:r>
    </w:p>
    <w:p w:rsidR="00201108" w:rsidP="00982199" w14:paraId="5F3A59ED" w14:textId="04A16FDD">
      <w:pPr>
        <w:pStyle w:val="BODY11Indent"/>
        <w:numPr>
          <w:ilvl w:val="0"/>
          <w:numId w:val="24"/>
        </w:numPr>
        <w:ind w:left="720"/>
        <w:rPr>
          <w:sz w:val="24"/>
        </w:rPr>
      </w:pPr>
      <w:r>
        <w:rPr>
          <w:sz w:val="24"/>
        </w:rPr>
        <w:t>Dr. Becca Jablonski, Associate Professor and Food Systems Extension Economist, Colorado State University, Fort Collins, CO (970-491-6133</w:t>
      </w:r>
      <w:r w:rsidR="0064091B">
        <w:rPr>
          <w:sz w:val="24"/>
        </w:rPr>
        <w:t>;</w:t>
      </w:r>
      <w:r w:rsidR="00D672D5">
        <w:rPr>
          <w:sz w:val="24"/>
        </w:rPr>
        <w:t xml:space="preserve"> </w:t>
      </w:r>
      <w:hyperlink r:id="rId17" w:history="1">
        <w:r w:rsidRPr="00315A09" w:rsidR="00363435">
          <w:rPr>
            <w:rStyle w:val="Hyperlink"/>
            <w:sz w:val="24"/>
          </w:rPr>
          <w:t>becca.jablonski@colostate.edu</w:t>
        </w:r>
      </w:hyperlink>
      <w:r>
        <w:rPr>
          <w:sz w:val="24"/>
        </w:rPr>
        <w:t>).</w:t>
      </w:r>
    </w:p>
    <w:p w:rsidR="00201108" w:rsidP="009A64F5" w14:paraId="2CE01853" w14:textId="77777777">
      <w:pPr>
        <w:pStyle w:val="BODY11Indent"/>
        <w:ind w:left="0"/>
        <w:rPr>
          <w:sz w:val="24"/>
        </w:rPr>
      </w:pPr>
    </w:p>
    <w:p w:rsidR="006A19BB" w:rsidP="009A64F5" w14:paraId="7031469B" w14:textId="01E87477">
      <w:pPr>
        <w:pStyle w:val="BODY11Indent"/>
        <w:ind w:left="0"/>
        <w:rPr>
          <w:sz w:val="24"/>
        </w:rPr>
      </w:pPr>
      <w:r>
        <w:rPr>
          <w:sz w:val="24"/>
        </w:rPr>
        <w:t xml:space="preserve">The </w:t>
      </w:r>
      <w:r w:rsidR="00201108">
        <w:rPr>
          <w:sz w:val="24"/>
        </w:rPr>
        <w:t>data collection will be conducted under direction of the following:</w:t>
      </w:r>
    </w:p>
    <w:p w:rsidR="00201108" w:rsidP="00982199" w14:paraId="5C98B2A3" w14:textId="6C046D84">
      <w:pPr>
        <w:pStyle w:val="BODY11Indent"/>
        <w:numPr>
          <w:ilvl w:val="0"/>
          <w:numId w:val="25"/>
        </w:numPr>
        <w:ind w:left="720"/>
        <w:rPr>
          <w:sz w:val="24"/>
        </w:rPr>
      </w:pPr>
      <w:r>
        <w:rPr>
          <w:sz w:val="24"/>
        </w:rPr>
        <w:t>Corona Insights, Denver, CO (303-894-8246</w:t>
      </w:r>
      <w:r w:rsidR="00D672D5">
        <w:rPr>
          <w:sz w:val="24"/>
        </w:rPr>
        <w:t xml:space="preserve">; </w:t>
      </w:r>
      <w:hyperlink r:id="rId18" w:tgtFrame="_blank" w:tooltip="mailto:matt@coronainsights.com" w:history="1">
        <w:r w:rsidR="00DF28BF">
          <w:rPr>
            <w:rStyle w:val="Hyperlink"/>
          </w:rPr>
          <w:t>matt@coronainsights.com</w:t>
        </w:r>
      </w:hyperlink>
      <w:r>
        <w:rPr>
          <w:sz w:val="24"/>
        </w:rPr>
        <w:t>).</w:t>
      </w:r>
    </w:p>
    <w:p w:rsidR="00201108" w:rsidP="00982199" w14:paraId="39C5E67A" w14:textId="108ADAEB">
      <w:pPr>
        <w:pStyle w:val="BODY11Indent"/>
        <w:numPr>
          <w:ilvl w:val="0"/>
          <w:numId w:val="25"/>
        </w:numPr>
        <w:ind w:left="720"/>
        <w:rPr>
          <w:sz w:val="24"/>
        </w:rPr>
      </w:pPr>
      <w:r>
        <w:rPr>
          <w:sz w:val="24"/>
        </w:rPr>
        <w:t>NORC at the University of Chicago, Chicago, IL (</w:t>
      </w:r>
      <w:hyperlink r:id="rId19" w:history="1">
        <w:r w:rsidRPr="00D117C2">
          <w:rPr>
            <w:rStyle w:val="Hyperlink"/>
            <w:sz w:val="24"/>
          </w:rPr>
          <w:t>AmeriSpeak-BD@norc.org</w:t>
        </w:r>
      </w:hyperlink>
      <w:r>
        <w:rPr>
          <w:sz w:val="24"/>
        </w:rPr>
        <w:t>).</w:t>
      </w:r>
    </w:p>
    <w:p w:rsidR="00201108" w:rsidRPr="005F6640" w:rsidP="009A64F5" w14:paraId="3E232500" w14:textId="77777777">
      <w:pPr>
        <w:pStyle w:val="BODY11Indent"/>
        <w:ind w:left="0"/>
        <w:rPr>
          <w:sz w:val="24"/>
        </w:rPr>
      </w:pPr>
    </w:p>
    <w:p w:rsidR="00A15641" w:rsidRPr="005F6640" w:rsidP="009A64F5" w14:paraId="55DB4F49" w14:textId="77777777">
      <w:pPr>
        <w:pStyle w:val="BODY11Indent"/>
        <w:ind w:left="0"/>
        <w:rPr>
          <w:sz w:val="24"/>
        </w:rPr>
      </w:pPr>
      <w:r w:rsidRPr="005F6640">
        <w:rPr>
          <w:sz w:val="24"/>
        </w:rPr>
        <w:t>Analysis of the data will be accomplished by APHIS veterinarians, epidemiologists, and statisticians under the direction of:</w:t>
      </w:r>
    </w:p>
    <w:p w:rsidR="00A15641" w:rsidRPr="005F6640" w:rsidP="00982199" w14:paraId="597D92F0" w14:textId="36554901">
      <w:pPr>
        <w:pStyle w:val="BODY11Indent"/>
        <w:numPr>
          <w:ilvl w:val="0"/>
          <w:numId w:val="26"/>
        </w:numPr>
        <w:ind w:left="720"/>
        <w:rPr>
          <w:sz w:val="24"/>
        </w:rPr>
      </w:pPr>
      <w:r w:rsidRPr="005F6640">
        <w:rPr>
          <w:sz w:val="24"/>
        </w:rPr>
        <w:t xml:space="preserve">Dr. Amy Delgado, Director, </w:t>
      </w:r>
      <w:r w:rsidR="006A19BB">
        <w:rPr>
          <w:sz w:val="24"/>
        </w:rPr>
        <w:t>Center for Epidemiology and Animal Health</w:t>
      </w:r>
      <w:r w:rsidRPr="005F6640">
        <w:rPr>
          <w:sz w:val="24"/>
        </w:rPr>
        <w:t>, USDA APHIS, VS, Fort Collins, CO (970-494-7302</w:t>
      </w:r>
      <w:r w:rsidR="00486451">
        <w:rPr>
          <w:sz w:val="24"/>
        </w:rPr>
        <w:t>;</w:t>
      </w:r>
      <w:r w:rsidR="00602558">
        <w:rPr>
          <w:sz w:val="24"/>
        </w:rPr>
        <w:t xml:space="preserve"> </w:t>
      </w:r>
      <w:hyperlink r:id="rId20" w:history="1">
        <w:r w:rsidRPr="00315A09" w:rsidR="00363435">
          <w:rPr>
            <w:rStyle w:val="Hyperlink"/>
            <w:sz w:val="24"/>
          </w:rPr>
          <w:t>amy.h.delgado@usda.gov</w:t>
        </w:r>
      </w:hyperlink>
      <w:r w:rsidRPr="005F6640">
        <w:rPr>
          <w:sz w:val="24"/>
        </w:rPr>
        <w:t>).</w:t>
      </w:r>
    </w:p>
    <w:p w:rsidR="00202C95" w:rsidRPr="005F6640" w14:paraId="417ADED9" w14:textId="26D3FDA2">
      <w:pPr>
        <w:spacing w:after="160" w:line="259" w:lineRule="auto"/>
        <w:rPr>
          <w:b/>
        </w:rPr>
      </w:pPr>
      <w:r w:rsidRPr="005F6640">
        <w:rPr>
          <w:b/>
        </w:rPr>
        <w:br w:type="page"/>
      </w:r>
    </w:p>
    <w:p w:rsidR="00202C95" w:rsidRPr="005F6640" w:rsidP="00202C95" w14:paraId="3890C026" w14:textId="4593E785">
      <w:pPr>
        <w:rPr>
          <w:b/>
          <w:bCs/>
        </w:rPr>
      </w:pPr>
      <w:r w:rsidRPr="005F6640">
        <w:rPr>
          <w:b/>
          <w:bCs/>
        </w:rPr>
        <w:t>References</w:t>
      </w:r>
    </w:p>
    <w:p w:rsidR="00B309E1" w:rsidP="00202C95" w14:paraId="07C7405B" w14:textId="5FB2EAB0">
      <w:r>
        <w:t xml:space="preserve">Baker, R. Brick, J.M., Bates, N.A., </w:t>
      </w:r>
      <w:r>
        <w:t>Battalglia</w:t>
      </w:r>
      <w:r>
        <w:t>, M., Couper, M.P., Dever, J.A., Gile, K.J., Tourangeau, R. (2013)</w:t>
      </w:r>
      <w:r w:rsidR="0063443F">
        <w:t>.</w:t>
      </w:r>
      <w:r>
        <w:t xml:space="preserve"> Report of the AAPOR task force on non-probability sampling. </w:t>
      </w:r>
      <w:hyperlink r:id="rId21" w:history="1">
        <w:r w:rsidRPr="00D117C2" w:rsidR="00835EBE">
          <w:rPr>
            <w:rStyle w:val="Hyperlink"/>
          </w:rPr>
          <w:t>https://www.aapor.org/AAPOR_Main/media/MainSiteFiles/NPS_TF_Report_Final_7_revised_FNL_6_22_13.pdf</w:t>
        </w:r>
      </w:hyperlink>
      <w:r w:rsidR="00835EBE">
        <w:t>. Accessed July 26, 2022.</w:t>
      </w:r>
    </w:p>
    <w:p w:rsidR="00B309E1" w:rsidP="00202C95" w14:paraId="6DE249C9" w14:textId="23B4C745"/>
    <w:p w:rsidR="00B309E1" w:rsidP="00202C95" w14:paraId="694D66EC" w14:textId="067C2E86">
      <w:r>
        <w:t>Czajka, J.L. and Beyler, A. (2016). Background Paper – Declining Response Rates in Federal Surveys: Trends and Implications. Mathematical Policy Research.</w:t>
      </w:r>
    </w:p>
    <w:p w:rsidR="00B309E1" w:rsidRPr="00B309E1" w:rsidP="00202C95" w14:paraId="1B5840A5" w14:textId="77777777"/>
    <w:p w:rsidR="00974E44" w:rsidRPr="00974E44" w:rsidP="00202C95" w14:paraId="65209614" w14:textId="0B81A9CE">
      <w:r>
        <w:t>Dever, J.A.</w:t>
      </w:r>
      <w:r w:rsidR="00AA36AD">
        <w:t xml:space="preserve"> (2018)</w:t>
      </w:r>
      <w:r w:rsidR="0063443F">
        <w:t>.</w:t>
      </w:r>
      <w:r w:rsidR="00AA36AD">
        <w:t xml:space="preserve"> Combining Probability and Nonprobability Samples to form Efficient Hybrid Estimates: An Evaluation of the Common Support Assumption. Proceedings of the 2018 Federal Committee on Statistical Methodology (FCSM) Research Conference. </w:t>
      </w:r>
      <w:hyperlink r:id="rId22" w:history="1">
        <w:r w:rsidRPr="00D117C2" w:rsidR="00AA36AD">
          <w:rPr>
            <w:rStyle w:val="Hyperlink"/>
          </w:rPr>
          <w:t>https://copafs.org/wp-content/uploads/2020/05/COPAFS-A4_Dever_2018FCSM.pdf</w:t>
        </w:r>
      </w:hyperlink>
      <w:r w:rsidR="00AA36AD">
        <w:t>. Accessed July 26, 2022.</w:t>
      </w:r>
    </w:p>
    <w:p w:rsidR="00974E44" w:rsidP="00202C95" w14:paraId="5AEC981A" w14:textId="5F70CE23">
      <w:pPr>
        <w:rPr>
          <w:b/>
          <w:bCs/>
        </w:rPr>
      </w:pPr>
    </w:p>
    <w:p w:rsidR="00A346CE" w:rsidP="00202C95" w14:paraId="05A1087C" w14:textId="6D1BE8E2">
      <w:r>
        <w:t>Elliot, M.R. and Valliant, R. (2017)</w:t>
      </w:r>
      <w:r w:rsidR="0063443F">
        <w:t xml:space="preserve">. </w:t>
      </w:r>
      <w:r>
        <w:t xml:space="preserve">Inference for Nonprobability Samples. </w:t>
      </w:r>
      <w:r>
        <w:rPr>
          <w:i/>
          <w:iCs/>
        </w:rPr>
        <w:t>Statistical Science</w:t>
      </w:r>
      <w:r>
        <w:t xml:space="preserve"> 32(2), 249-264. </w:t>
      </w:r>
    </w:p>
    <w:p w:rsidR="005433AC" w:rsidP="00202C95" w14:paraId="19888AE0" w14:textId="26447D42"/>
    <w:p w:rsidR="005433AC" w:rsidP="00202C95" w14:paraId="2C860433" w14:textId="7EA71C6C">
      <w:r>
        <w:t>Lee, S. (2006)</w:t>
      </w:r>
      <w:r w:rsidR="0063443F">
        <w:t>.</w:t>
      </w:r>
      <w:r>
        <w:t xml:space="preserve"> Propensity Score Adjustment as a Weighting Scheme for Volunteer Panel Web Surveys. </w:t>
      </w:r>
      <w:r>
        <w:rPr>
          <w:i/>
          <w:iCs/>
        </w:rPr>
        <w:t>Journal of Official Statistics</w:t>
      </w:r>
      <w:r>
        <w:t xml:space="preserve"> 22(2), 329-349.</w:t>
      </w:r>
    </w:p>
    <w:p w:rsidR="005433AC" w:rsidP="00202C95" w14:paraId="7B8DA315" w14:textId="03B64815"/>
    <w:p w:rsidR="005433AC" w:rsidP="00202C95" w14:paraId="02F7ED07" w14:textId="2F0132E3">
      <w:r>
        <w:t>Lee, S. and Valliant, R. (2009)</w:t>
      </w:r>
      <w:r w:rsidR="0063443F">
        <w:t>.</w:t>
      </w:r>
      <w:r>
        <w:t xml:space="preserve"> </w:t>
      </w:r>
      <w:r w:rsidRPr="005433AC">
        <w:t>Estimation for Volunteer Panel Web Surveys Using Propensity Score Adjustment and Calibration Adjustment</w:t>
      </w:r>
      <w:r>
        <w:t xml:space="preserve">. </w:t>
      </w:r>
      <w:r>
        <w:rPr>
          <w:i/>
          <w:iCs/>
        </w:rPr>
        <w:t xml:space="preserve">Sociological Methods &amp; Research </w:t>
      </w:r>
      <w:r>
        <w:t>37(3), 319-343.</w:t>
      </w:r>
    </w:p>
    <w:p w:rsidR="0063443F" w:rsidP="00202C95" w14:paraId="260B44C7" w14:textId="195A51E6"/>
    <w:p w:rsidR="0063443F" w:rsidRPr="0063443F" w:rsidP="00202C95" w14:paraId="3904A299" w14:textId="75BA3686">
      <w:r>
        <w:t xml:space="preserve">Mercer, A.W., Kreuter, F., Keeter, S., Stuart, E.A. (2017). Theory and Practice in Nonprobability Surveys. </w:t>
      </w:r>
      <w:r>
        <w:rPr>
          <w:i/>
          <w:iCs/>
        </w:rPr>
        <w:t>Public Opinion Quarterly</w:t>
      </w:r>
      <w:r>
        <w:t xml:space="preserve"> 81, 250-271.</w:t>
      </w:r>
    </w:p>
    <w:p w:rsidR="00A346CE" w:rsidRPr="005F6640" w:rsidP="00202C95" w14:paraId="17E5A17C" w14:textId="77777777">
      <w:pPr>
        <w:rPr>
          <w:b/>
          <w:bCs/>
        </w:rPr>
      </w:pPr>
    </w:p>
    <w:p w:rsidR="00691526" w:rsidP="00202C95" w14:paraId="0E104D51" w14:textId="040DB76D">
      <w:r>
        <w:t xml:space="preserve">National Center for Health Statistics (NCHS) (2022). RANDS during COVID-19 Round 2 Non-Probability Sample Technical Documentation. </w:t>
      </w:r>
      <w:hyperlink r:id="rId23" w:history="1">
        <w:r w:rsidRPr="00D117C2">
          <w:rPr>
            <w:rStyle w:val="Hyperlink"/>
          </w:rPr>
          <w:t>https://www.cdc.gov/nchs/rands/files/RANDS_COVID_2_np_technical_documentation.pdf</w:t>
        </w:r>
      </w:hyperlink>
      <w:r>
        <w:t xml:space="preserve">. Accessed </w:t>
      </w:r>
      <w:r w:rsidR="00485C2F">
        <w:t>August 4</w:t>
      </w:r>
      <w:r>
        <w:t>, 2022.</w:t>
      </w:r>
    </w:p>
    <w:p w:rsidR="00691526" w:rsidP="00202C95" w14:paraId="3366E082" w14:textId="77777777"/>
    <w:p w:rsidR="00202C95" w:rsidRPr="005F6640" w:rsidP="00202C95" w14:paraId="6101FC27" w14:textId="085C0301">
      <w:r w:rsidRPr="005F6640">
        <w:t>NORC (n.d.)</w:t>
      </w:r>
      <w:r w:rsidR="0063443F">
        <w:t>.</w:t>
      </w:r>
      <w:r w:rsidRPr="005F6640">
        <w:t xml:space="preserve"> 2010 National Sample Frame. </w:t>
      </w:r>
      <w:hyperlink r:id="rId11" w:history="1">
        <w:r w:rsidRPr="005F6640">
          <w:rPr>
            <w:rStyle w:val="Hyperlink"/>
          </w:rPr>
          <w:t>https://www.norc.org/Research/Projects/Pages/2010-national-sample-frame.aspx</w:t>
        </w:r>
      </w:hyperlink>
      <w:r w:rsidRPr="005F6640">
        <w:t xml:space="preserve">. </w:t>
      </w:r>
    </w:p>
    <w:p w:rsidR="00202C95" w:rsidRPr="005F6640" w:rsidP="00202C95" w14:paraId="6056DC6F" w14:textId="510CDDA5">
      <w:r w:rsidRPr="005F6640">
        <w:t>Accessed July 26, 2022.</w:t>
      </w:r>
    </w:p>
    <w:p w:rsidR="00202C95" w:rsidRPr="005F6640" w:rsidP="00202C95" w14:paraId="759FD4FD" w14:textId="77777777">
      <w:pPr>
        <w:rPr>
          <w:b/>
          <w:bCs/>
        </w:rPr>
      </w:pPr>
    </w:p>
    <w:p w:rsidR="00202C95" w:rsidRPr="005F6640" w:rsidP="00202C95" w14:paraId="1084F75D" w14:textId="4CEBF58F">
      <w:r w:rsidRPr="005F6640">
        <w:t>NORC (2019)</w:t>
      </w:r>
      <w:r w:rsidR="0063443F">
        <w:t>.</w:t>
      </w:r>
      <w:r w:rsidRPr="005F6640">
        <w:t xml:space="preserve"> </w:t>
      </w:r>
      <w:r w:rsidRPr="005F6640">
        <w:t>AmeriSpeak</w:t>
      </w:r>
      <w:r w:rsidRPr="005F6640">
        <w:t xml:space="preserve">® Panel Demographics Report. NORC at the University of Chicago. Updated October 24, 2019. </w:t>
      </w:r>
      <w:hyperlink r:id="rId12" w:history="1">
        <w:r w:rsidRPr="005F6640">
          <w:rPr>
            <w:rStyle w:val="Hyperlink"/>
          </w:rPr>
          <w:t>https://amerispeak.norc.org/content/dam/amerispeak/research/pdf/AmeriSpeak%20Panel%20Demographic%20Report.pdf</w:t>
        </w:r>
      </w:hyperlink>
      <w:r w:rsidRPr="005F6640">
        <w:t>. Accessed July 26, 2022.</w:t>
      </w:r>
    </w:p>
    <w:p w:rsidR="00202C95" w:rsidRPr="005F6640" w:rsidP="00202C95" w14:paraId="681F1FBE" w14:textId="0D11A261"/>
    <w:p w:rsidR="00202C95" w:rsidRPr="005F6640" w:rsidP="00202C95" w14:paraId="788F1B5B" w14:textId="133851A2">
      <w:r w:rsidRPr="005F6640">
        <w:t>NORC (2021)</w:t>
      </w:r>
      <w:r w:rsidR="0063443F">
        <w:t>.</w:t>
      </w:r>
      <w:r w:rsidRPr="005F6640">
        <w:t xml:space="preserve"> NORC’s </w:t>
      </w:r>
      <w:r w:rsidRPr="005F6640">
        <w:t>TrueNorth</w:t>
      </w:r>
      <w:r w:rsidRPr="005F6640">
        <w:t xml:space="preserve"> Calibration tool for probability and nonprobability samples: New Version 2.0 even more effective. NORC at the University of Chicago. Updated </w:t>
      </w:r>
      <w:r w:rsidRPr="005F6640">
        <w:t>August,</w:t>
      </w:r>
      <w:r w:rsidRPr="005F6640">
        <w:t xml:space="preserve"> 2021. </w:t>
      </w:r>
      <w:hyperlink r:id="rId13" w:history="1">
        <w:r w:rsidRPr="005F6640">
          <w:rPr>
            <w:rStyle w:val="Hyperlink"/>
          </w:rPr>
          <w:t>https://amerispeak.norc.org/content/dam/amerispeak/research/pdf/NORC%20-%20White%20Paper%20-</w:t>
        </w:r>
        <w:r w:rsidRPr="005F6640">
          <w:rPr>
            <w:rStyle w:val="Hyperlink"/>
          </w:rPr>
          <w:t>%20TrueNorth%20Calibration%20tool%20for%20probability%20and%20nonprobability%20samples%20-%20March%202020.pdf</w:t>
        </w:r>
      </w:hyperlink>
      <w:r w:rsidRPr="005F6640">
        <w:t>. Accessed July 26, 2022.</w:t>
      </w:r>
    </w:p>
    <w:p w:rsidR="00202C95" w:rsidRPr="005F6640" w:rsidP="00202C95" w14:paraId="53B9E1E2" w14:textId="77777777">
      <w:pPr>
        <w:rPr>
          <w:b/>
          <w:bCs/>
        </w:rPr>
      </w:pPr>
    </w:p>
    <w:p w:rsidR="00202C95" w:rsidRPr="005F6640" w:rsidP="00202C95" w14:paraId="47DAFD02" w14:textId="72A06FCB">
      <w:r w:rsidRPr="005F6640">
        <w:t>NORC (2022)</w:t>
      </w:r>
      <w:r w:rsidR="0063443F">
        <w:t>.</w:t>
      </w:r>
      <w:r w:rsidRPr="005F6640">
        <w:t xml:space="preserve"> Technical Overview of the </w:t>
      </w:r>
      <w:r w:rsidRPr="005F6640">
        <w:t>AmeriSpeak</w:t>
      </w:r>
      <w:r w:rsidRPr="005F6640">
        <w:t xml:space="preserve">® Panel – NORC’s Probability-Based Household Panel. NORC at the University of Chicago. Updated February 8, 2022. </w:t>
      </w:r>
      <w:hyperlink r:id="rId10" w:history="1">
        <w:r w:rsidRPr="005F6640">
          <w:rPr>
            <w:rStyle w:val="Hyperlink"/>
          </w:rPr>
          <w:t>https://amerispeak.norc.org/content/dam/amerispeak/research/pdf/AmeriSpeak%20Technical%20Overview%202019%2002%2018.pdf</w:t>
        </w:r>
      </w:hyperlink>
      <w:r w:rsidRPr="005F6640">
        <w:t>. Accessed July 26, 2022.</w:t>
      </w:r>
    </w:p>
    <w:p w:rsidR="007A3250" w:rsidRPr="005F6640" w:rsidP="00202C95" w14:paraId="5BF268DD" w14:textId="77777777">
      <w:pPr>
        <w:rPr>
          <w:b/>
          <w:bCs/>
        </w:rPr>
      </w:pPr>
    </w:p>
    <w:p w:rsidR="00A15641" w:rsidRPr="005F6640" w:rsidP="00A15641" w14:paraId="21C4069F" w14:textId="34663EAB">
      <w:pPr>
        <w:autoSpaceDE w:val="0"/>
        <w:autoSpaceDN w:val="0"/>
        <w:adjustRightInd w:val="0"/>
        <w:rPr>
          <w:b/>
        </w:rPr>
      </w:pPr>
      <w:r w:rsidRPr="005F6640">
        <w:rPr>
          <w:bCs/>
        </w:rPr>
        <w:t xml:space="preserve">USDA (2012). Poultry 2010 – Urban Chicken Ownership in Four U.S. Cities. USDA–APHIS–VS, CEAH. Fort Collins, CO. #661.0413. </w:t>
      </w:r>
      <w:r w:rsidRPr="005F6640">
        <w:rPr>
          <w:b/>
        </w:rPr>
        <w:br w:type="page"/>
      </w:r>
    </w:p>
    <w:p w:rsidR="00645A67" w:rsidRPr="005F6640" w14:paraId="38F1CFF1" w14:textId="76D74291">
      <w:pPr>
        <w:autoSpaceDE w:val="0"/>
        <w:autoSpaceDN w:val="0"/>
        <w:adjustRightInd w:val="0"/>
        <w:rPr>
          <w:b/>
        </w:rPr>
      </w:pPr>
      <w:r w:rsidRPr="005F6640">
        <w:rPr>
          <w:b/>
        </w:rPr>
        <w:t>Appendix A – Target Populations</w:t>
      </w:r>
    </w:p>
    <w:p w:rsidR="00645A67" w:rsidRPr="005F6640" w:rsidP="00BC7C97" w14:paraId="0DAEB248" w14:textId="1FCD2C06">
      <w:pPr>
        <w:autoSpaceDE w:val="0"/>
        <w:autoSpaceDN w:val="0"/>
        <w:adjustRightInd w:val="0"/>
        <w:rPr>
          <w:bCs/>
        </w:rPr>
      </w:pPr>
      <w:r w:rsidRPr="005F6640">
        <w:rPr>
          <w:bCs/>
        </w:rPr>
        <w:t>Target population</w:t>
      </w:r>
      <w:r w:rsidRPr="005F6640">
        <w:rPr>
          <w:bCs/>
        </w:rPr>
        <w:t xml:space="preserve"> </w:t>
      </w:r>
      <w:r w:rsidRPr="005F6640" w:rsidR="001E48EB">
        <w:rPr>
          <w:bCs/>
        </w:rPr>
        <w:t>data</w:t>
      </w:r>
      <w:r w:rsidRPr="005F6640">
        <w:rPr>
          <w:bCs/>
        </w:rPr>
        <w:t xml:space="preserve"> come</w:t>
      </w:r>
      <w:r w:rsidRPr="005F6640" w:rsidR="001E48EB">
        <w:rPr>
          <w:bCs/>
        </w:rPr>
        <w:t xml:space="preserve"> from the U.S. Census Bureau, specifically from the American Community Survey (ACS) 2020, on the number of households in the U.S., in Denver</w:t>
      </w:r>
      <w:r w:rsidRPr="005F6640" w:rsidR="00BC2B08">
        <w:rPr>
          <w:bCs/>
        </w:rPr>
        <w:t>, Colorado</w:t>
      </w:r>
      <w:r w:rsidRPr="005F6640" w:rsidR="005160C9">
        <w:rPr>
          <w:bCs/>
        </w:rPr>
        <w:t xml:space="preserve"> (</w:t>
      </w:r>
      <w:r w:rsidRPr="005F6640" w:rsidR="00BC2B08">
        <w:rPr>
          <w:bCs/>
        </w:rPr>
        <w:t xml:space="preserve">as constructed to mimic </w:t>
      </w:r>
      <w:r w:rsidRPr="005F6640" w:rsidR="005160C9">
        <w:rPr>
          <w:bCs/>
        </w:rPr>
        <w:t>the Denver area used in the NAHMS Poultry 2010 stud</w:t>
      </w:r>
      <w:r w:rsidRPr="005F6640" w:rsidR="00BC7C97">
        <w:rPr>
          <w:bCs/>
        </w:rPr>
        <w:t xml:space="preserve">y, </w:t>
      </w:r>
      <w:r w:rsidRPr="005F6640" w:rsidR="005160C9">
        <w:rPr>
          <w:bCs/>
        </w:rPr>
        <w:t>depicted in Figure A.1 below), and in Miami, Florida</w:t>
      </w:r>
      <w:r w:rsidRPr="005F6640" w:rsidR="00013D57">
        <w:rPr>
          <w:bCs/>
        </w:rPr>
        <w:t xml:space="preserve"> </w:t>
      </w:r>
      <w:r w:rsidRPr="005F6640" w:rsidR="00BC7C97">
        <w:rPr>
          <w:bCs/>
        </w:rPr>
        <w:t>(as constructed to mimic the Miami area used in the NAHMS Poultry 2010 study, depicted in Figure A.1 below).</w:t>
      </w:r>
    </w:p>
    <w:p w:rsidR="00BC7C97" w:rsidRPr="005F6640" w:rsidP="00BC7C97" w14:paraId="5B106FBF" w14:textId="77777777">
      <w:pPr>
        <w:autoSpaceDE w:val="0"/>
        <w:autoSpaceDN w:val="0"/>
        <w:adjustRightInd w:val="0"/>
        <w:rPr>
          <w:bCs/>
        </w:rPr>
      </w:pPr>
    </w:p>
    <w:p w:rsidR="00BC7C97" w:rsidRPr="005F6640" w:rsidP="00BC7C97" w14:paraId="39C0ACAE" w14:textId="12BEDA6F">
      <w:pPr>
        <w:autoSpaceDE w:val="0"/>
        <w:autoSpaceDN w:val="0"/>
        <w:adjustRightInd w:val="0"/>
        <w:rPr>
          <w:bCs/>
        </w:rPr>
      </w:pPr>
      <w:r w:rsidRPr="005F6640">
        <w:rPr>
          <w:bCs/>
        </w:rPr>
        <w:t>Table A.1: Overall number of households, by area.</w:t>
      </w:r>
    </w:p>
    <w:tbl>
      <w:tblPr>
        <w:tblStyle w:val="TableGrid"/>
        <w:tblW w:w="0" w:type="auto"/>
        <w:tblLook w:val="04A0"/>
      </w:tblPr>
      <w:tblGrid>
        <w:gridCol w:w="2952"/>
        <w:gridCol w:w="2952"/>
        <w:gridCol w:w="2952"/>
      </w:tblGrid>
      <w:tr w14:paraId="17A93FCD" w14:textId="77777777" w:rsidTr="00A15716">
        <w:tblPrEx>
          <w:tblW w:w="0" w:type="auto"/>
          <w:tblLook w:val="04A0"/>
        </w:tblPrEx>
        <w:trPr>
          <w:trHeight w:val="386"/>
        </w:trPr>
        <w:tc>
          <w:tcPr>
            <w:tcW w:w="2952" w:type="dxa"/>
            <w:vAlign w:val="bottom"/>
          </w:tcPr>
          <w:p w:rsidR="00BC7C97" w:rsidRPr="005F6640" w14:paraId="2895729F" w14:textId="15D69CA1">
            <w:pPr>
              <w:autoSpaceDE w:val="0"/>
              <w:autoSpaceDN w:val="0"/>
              <w:adjustRightInd w:val="0"/>
              <w:rPr>
                <w:bCs/>
              </w:rPr>
            </w:pPr>
            <w:r w:rsidRPr="005F6640">
              <w:rPr>
                <w:bCs/>
              </w:rPr>
              <w:t>Area</w:t>
            </w:r>
          </w:p>
        </w:tc>
        <w:tc>
          <w:tcPr>
            <w:tcW w:w="2952" w:type="dxa"/>
            <w:vAlign w:val="bottom"/>
          </w:tcPr>
          <w:p w:rsidR="00BC7C97" w:rsidRPr="005F6640" w:rsidP="00A15716" w14:paraId="085B0B77" w14:textId="3BD9954E">
            <w:pPr>
              <w:autoSpaceDE w:val="0"/>
              <w:autoSpaceDN w:val="0"/>
              <w:adjustRightInd w:val="0"/>
              <w:jc w:val="right"/>
              <w:rPr>
                <w:bCs/>
              </w:rPr>
            </w:pPr>
            <w:r w:rsidRPr="005F6640">
              <w:rPr>
                <w:bCs/>
              </w:rPr>
              <w:t>Number of Households</w:t>
            </w:r>
          </w:p>
        </w:tc>
        <w:tc>
          <w:tcPr>
            <w:tcW w:w="2952" w:type="dxa"/>
            <w:vAlign w:val="bottom"/>
          </w:tcPr>
          <w:p w:rsidR="00BC7C97" w:rsidRPr="005F6640" w:rsidP="00A15716" w14:paraId="27D39592" w14:textId="520EA178">
            <w:pPr>
              <w:autoSpaceDE w:val="0"/>
              <w:autoSpaceDN w:val="0"/>
              <w:adjustRightInd w:val="0"/>
              <w:jc w:val="right"/>
              <w:rPr>
                <w:bCs/>
              </w:rPr>
            </w:pPr>
            <w:r w:rsidRPr="005F6640">
              <w:rPr>
                <w:bCs/>
              </w:rPr>
              <w:t>Margin of Error</w:t>
            </w:r>
          </w:p>
        </w:tc>
      </w:tr>
      <w:tr w14:paraId="02825452" w14:textId="77777777" w:rsidTr="00A15716">
        <w:tblPrEx>
          <w:tblW w:w="0" w:type="auto"/>
          <w:tblLook w:val="04A0"/>
        </w:tblPrEx>
        <w:trPr>
          <w:trHeight w:val="272"/>
        </w:trPr>
        <w:tc>
          <w:tcPr>
            <w:tcW w:w="2952" w:type="dxa"/>
          </w:tcPr>
          <w:p w:rsidR="00BC7C97" w:rsidRPr="005F6640" w:rsidP="00BC7C97" w14:paraId="53014F79" w14:textId="7FF314E3">
            <w:pPr>
              <w:autoSpaceDE w:val="0"/>
              <w:autoSpaceDN w:val="0"/>
              <w:adjustRightInd w:val="0"/>
              <w:rPr>
                <w:bCs/>
              </w:rPr>
            </w:pPr>
            <w:r w:rsidRPr="005F6640">
              <w:rPr>
                <w:bCs/>
              </w:rPr>
              <w:t>U.S.</w:t>
            </w:r>
          </w:p>
        </w:tc>
        <w:tc>
          <w:tcPr>
            <w:tcW w:w="2952" w:type="dxa"/>
          </w:tcPr>
          <w:p w:rsidR="00BC7C97" w:rsidRPr="005F6640" w:rsidP="00A15716" w14:paraId="7452B10B" w14:textId="5FA844EC">
            <w:pPr>
              <w:autoSpaceDE w:val="0"/>
              <w:autoSpaceDN w:val="0"/>
              <w:adjustRightInd w:val="0"/>
              <w:jc w:val="right"/>
              <w:rPr>
                <w:bCs/>
              </w:rPr>
            </w:pPr>
            <w:r w:rsidRPr="005F6640">
              <w:rPr>
                <w:bCs/>
              </w:rPr>
              <w:t>122,354,219</w:t>
            </w:r>
          </w:p>
        </w:tc>
        <w:tc>
          <w:tcPr>
            <w:tcW w:w="2952" w:type="dxa"/>
          </w:tcPr>
          <w:p w:rsidR="00BC7C97" w:rsidRPr="005F6640" w:rsidP="00A15716" w14:paraId="235ED5E7" w14:textId="4B22A9CB">
            <w:pPr>
              <w:autoSpaceDE w:val="0"/>
              <w:autoSpaceDN w:val="0"/>
              <w:adjustRightInd w:val="0"/>
              <w:jc w:val="right"/>
              <w:rPr>
                <w:bCs/>
              </w:rPr>
            </w:pPr>
            <w:r w:rsidRPr="005F6640">
              <w:rPr>
                <w:bCs/>
              </w:rPr>
              <w:t>211,970</w:t>
            </w:r>
          </w:p>
        </w:tc>
      </w:tr>
      <w:tr w14:paraId="3B93B53D" w14:textId="77777777" w:rsidTr="00A15716">
        <w:tblPrEx>
          <w:tblW w:w="0" w:type="auto"/>
          <w:tblLook w:val="04A0"/>
        </w:tblPrEx>
        <w:trPr>
          <w:trHeight w:val="272"/>
        </w:trPr>
        <w:tc>
          <w:tcPr>
            <w:tcW w:w="2952" w:type="dxa"/>
          </w:tcPr>
          <w:p w:rsidR="00BC7C97" w:rsidRPr="005F6640" w:rsidP="00BC7C97" w14:paraId="5CE96F0E" w14:textId="4EFAA633">
            <w:pPr>
              <w:autoSpaceDE w:val="0"/>
              <w:autoSpaceDN w:val="0"/>
              <w:adjustRightInd w:val="0"/>
              <w:rPr>
                <w:bCs/>
                <w:vertAlign w:val="superscript"/>
              </w:rPr>
            </w:pPr>
            <w:r w:rsidRPr="005F6640">
              <w:rPr>
                <w:bCs/>
              </w:rPr>
              <w:t>Denver</w:t>
            </w:r>
            <w:r w:rsidRPr="005F6640">
              <w:rPr>
                <w:bCs/>
                <w:vertAlign w:val="superscript"/>
              </w:rPr>
              <w:t>1</w:t>
            </w:r>
          </w:p>
        </w:tc>
        <w:tc>
          <w:tcPr>
            <w:tcW w:w="2952" w:type="dxa"/>
          </w:tcPr>
          <w:p w:rsidR="00BC7C97" w:rsidRPr="005F6640" w:rsidP="00A15716" w14:paraId="02565ECF" w14:textId="7D3224F6">
            <w:pPr>
              <w:autoSpaceDE w:val="0"/>
              <w:autoSpaceDN w:val="0"/>
              <w:adjustRightInd w:val="0"/>
              <w:jc w:val="right"/>
              <w:rPr>
                <w:bCs/>
              </w:rPr>
            </w:pPr>
            <w:r w:rsidRPr="005F6640">
              <w:rPr>
                <w:bCs/>
              </w:rPr>
              <w:t>771,717</w:t>
            </w:r>
          </w:p>
        </w:tc>
        <w:tc>
          <w:tcPr>
            <w:tcW w:w="2952" w:type="dxa"/>
          </w:tcPr>
          <w:p w:rsidR="00BC7C97" w:rsidRPr="005F6640" w:rsidP="00A15716" w14:paraId="467FD2D6" w14:textId="59569402">
            <w:pPr>
              <w:autoSpaceDE w:val="0"/>
              <w:autoSpaceDN w:val="0"/>
              <w:adjustRightInd w:val="0"/>
              <w:jc w:val="right"/>
              <w:rPr>
                <w:bCs/>
                <w:vertAlign w:val="superscript"/>
              </w:rPr>
            </w:pPr>
            <w:r w:rsidRPr="005F6640">
              <w:rPr>
                <w:bCs/>
              </w:rPr>
              <w:t>1,</w:t>
            </w:r>
            <w:r w:rsidRPr="005F6640" w:rsidR="00CD50D5">
              <w:rPr>
                <w:bCs/>
              </w:rPr>
              <w:t>390</w:t>
            </w:r>
            <w:r w:rsidRPr="005F6640">
              <w:rPr>
                <w:bCs/>
                <w:vertAlign w:val="superscript"/>
              </w:rPr>
              <w:t>3</w:t>
            </w:r>
          </w:p>
        </w:tc>
      </w:tr>
      <w:tr w14:paraId="011AD34D" w14:textId="77777777" w:rsidTr="00A15716">
        <w:tblPrEx>
          <w:tblW w:w="0" w:type="auto"/>
          <w:tblLook w:val="04A0"/>
        </w:tblPrEx>
        <w:trPr>
          <w:trHeight w:val="272"/>
        </w:trPr>
        <w:tc>
          <w:tcPr>
            <w:tcW w:w="2952" w:type="dxa"/>
          </w:tcPr>
          <w:p w:rsidR="00BC7C97" w:rsidRPr="005F6640" w:rsidP="00BC7C97" w14:paraId="2C9CC512" w14:textId="00C6D476">
            <w:pPr>
              <w:autoSpaceDE w:val="0"/>
              <w:autoSpaceDN w:val="0"/>
              <w:adjustRightInd w:val="0"/>
              <w:rPr>
                <w:bCs/>
                <w:vertAlign w:val="superscript"/>
              </w:rPr>
            </w:pPr>
            <w:r w:rsidRPr="005F6640">
              <w:rPr>
                <w:bCs/>
              </w:rPr>
              <w:t>Miami</w:t>
            </w:r>
            <w:r w:rsidRPr="005F6640">
              <w:rPr>
                <w:bCs/>
                <w:vertAlign w:val="superscript"/>
              </w:rPr>
              <w:t>2</w:t>
            </w:r>
          </w:p>
        </w:tc>
        <w:tc>
          <w:tcPr>
            <w:tcW w:w="2952" w:type="dxa"/>
          </w:tcPr>
          <w:p w:rsidR="00BC7C97" w:rsidRPr="005F6640" w:rsidP="00A15716" w14:paraId="15410A33" w14:textId="2DA3E874">
            <w:pPr>
              <w:autoSpaceDE w:val="0"/>
              <w:autoSpaceDN w:val="0"/>
              <w:adjustRightInd w:val="0"/>
              <w:jc w:val="right"/>
              <w:rPr>
                <w:bCs/>
              </w:rPr>
            </w:pPr>
            <w:r w:rsidRPr="005F6640">
              <w:rPr>
                <w:bCs/>
              </w:rPr>
              <w:t>697,807</w:t>
            </w:r>
          </w:p>
        </w:tc>
        <w:tc>
          <w:tcPr>
            <w:tcW w:w="2952" w:type="dxa"/>
          </w:tcPr>
          <w:p w:rsidR="00BC7C97" w:rsidRPr="005F6640" w:rsidP="00A15716" w14:paraId="7B310504" w14:textId="66F67D09">
            <w:pPr>
              <w:autoSpaceDE w:val="0"/>
              <w:autoSpaceDN w:val="0"/>
              <w:adjustRightInd w:val="0"/>
              <w:jc w:val="right"/>
              <w:rPr>
                <w:bCs/>
                <w:vertAlign w:val="superscript"/>
              </w:rPr>
            </w:pPr>
            <w:r w:rsidRPr="005F6640">
              <w:rPr>
                <w:bCs/>
              </w:rPr>
              <w:t>1,</w:t>
            </w:r>
            <w:r w:rsidRPr="005F6640" w:rsidR="00CD50D5">
              <w:rPr>
                <w:bCs/>
              </w:rPr>
              <w:t>554</w:t>
            </w:r>
            <w:r w:rsidRPr="005F6640">
              <w:rPr>
                <w:bCs/>
                <w:vertAlign w:val="superscript"/>
              </w:rPr>
              <w:t>3</w:t>
            </w:r>
          </w:p>
        </w:tc>
      </w:tr>
      <w:tr w14:paraId="5CF20923" w14:textId="77777777" w:rsidTr="00A15716">
        <w:tblPrEx>
          <w:tblW w:w="0" w:type="auto"/>
          <w:tblLook w:val="04A0"/>
        </w:tblPrEx>
        <w:trPr>
          <w:trHeight w:val="272"/>
        </w:trPr>
        <w:tc>
          <w:tcPr>
            <w:tcW w:w="8856" w:type="dxa"/>
            <w:gridSpan w:val="3"/>
          </w:tcPr>
          <w:p w:rsidR="00BC7C97" w:rsidRPr="005F6640" w:rsidP="00BC7C97" w14:paraId="34C062B6" w14:textId="07D32586">
            <w:pPr>
              <w:autoSpaceDE w:val="0"/>
              <w:autoSpaceDN w:val="0"/>
              <w:adjustRightInd w:val="0"/>
              <w:rPr>
                <w:bCs/>
                <w:sz w:val="14"/>
                <w:szCs w:val="14"/>
              </w:rPr>
            </w:pPr>
            <w:r w:rsidRPr="005F6640">
              <w:rPr>
                <w:bCs/>
                <w:sz w:val="14"/>
                <w:szCs w:val="14"/>
                <w:vertAlign w:val="superscript"/>
              </w:rPr>
              <w:t>1</w:t>
            </w:r>
            <w:r w:rsidRPr="005F6640">
              <w:rPr>
                <w:bCs/>
                <w:sz w:val="14"/>
                <w:szCs w:val="14"/>
              </w:rPr>
              <w:t xml:space="preserve">Colorado </w:t>
            </w:r>
            <w:r w:rsidRPr="005F6640" w:rsidR="001E6743">
              <w:rPr>
                <w:bCs/>
                <w:sz w:val="14"/>
                <w:szCs w:val="14"/>
              </w:rPr>
              <w:t>tracts</w:t>
            </w:r>
            <w:r w:rsidRPr="005F6640">
              <w:rPr>
                <w:bCs/>
                <w:sz w:val="14"/>
                <w:szCs w:val="14"/>
              </w:rPr>
              <w:t xml:space="preserve"> used to construct the Denver area include</w:t>
            </w:r>
            <w:r w:rsidRPr="005F6640" w:rsidR="001E6743">
              <w:rPr>
                <w:bCs/>
                <w:sz w:val="14"/>
                <w:szCs w:val="14"/>
              </w:rPr>
              <w:t xml:space="preserve"> the following, by county.</w:t>
            </w:r>
          </w:p>
          <w:p w:rsidR="001E6743" w:rsidRPr="005F6640" w:rsidP="00BC7C97" w14:paraId="66D5C25B" w14:textId="54E0A4F5">
            <w:pPr>
              <w:autoSpaceDE w:val="0"/>
              <w:autoSpaceDN w:val="0"/>
              <w:adjustRightInd w:val="0"/>
              <w:rPr>
                <w:bCs/>
                <w:sz w:val="14"/>
                <w:szCs w:val="14"/>
              </w:rPr>
            </w:pPr>
            <w:r w:rsidRPr="005F6640">
              <w:rPr>
                <w:bCs/>
                <w:sz w:val="14"/>
                <w:szCs w:val="14"/>
              </w:rPr>
              <w:t xml:space="preserve">  Adams County: 78.01, 78.02, 79, 80, 81, 82, 83.08, 83.09, 85.05, 85.06, 85.07, 85.08, 85.33, 85.34, 85.50, 85.51, 87.05, 87.06, 87.09, 88.01, 88.02, 89.01, 90.01, 90.03, 90.04, 91.01, 91.03, 91.04, 92.02, 92.03, 92.04, 92.06, 92.07, 93.04, 93.06, 93.07, 93.08, 93.09, 93.10, 93.16, 93.18, 93.19, 93.20, 93.21, 93.22, 93.23, 93.25, 93.26, 93.27, 94.01, 94.06, 94.07, 94.08, 94.09, 94.10, 94.11, 95.01, 95.02, 95.53, 96.03, 96.04, 96.06, 96.07, 96.08, 97.51, 97.52, 150</w:t>
            </w:r>
          </w:p>
          <w:p w:rsidR="001E6743" w:rsidRPr="005F6640" w:rsidP="00BC7C97" w14:paraId="11E837FB" w14:textId="3624E33D">
            <w:pPr>
              <w:autoSpaceDE w:val="0"/>
              <w:autoSpaceDN w:val="0"/>
              <w:adjustRightInd w:val="0"/>
              <w:rPr>
                <w:bCs/>
                <w:sz w:val="14"/>
                <w:szCs w:val="14"/>
              </w:rPr>
            </w:pPr>
            <w:r w:rsidRPr="005F6640">
              <w:rPr>
                <w:bCs/>
                <w:sz w:val="14"/>
                <w:szCs w:val="14"/>
              </w:rPr>
              <w:t xml:space="preserve">  Arapahoe County: 49.51, 49.52, 55.51, 55.52, 55.53, 56.11, 56.12, 56.14, 56.19, 56.20, 56.21, 56.22, 56.23, 56.24, 56.25, 56.26, 56.27, 56.28, 56.29, 56.30, 56.31, 56.32, 56.33, 56.34, 56.35, 56.36, 57.01, 57.02, 58, 59.51, 59.52, 60, 61, 62, 63, 64, 65.01, 65.02, 66.01, 66.03, 66.04, 67.04, 67.05, 67.06, 67.07, 67.08, 67.09, 67.11, 67.12, 67.13, 68.08, 68.15, 68.54, 68.57, 68.59, 68.60, 68.61, 68.62, 68.63, 68.64, 71.08, 71.10, 72.01, 72.02, 73.01, 73.02, 74, 75, 76, 77.02, 77.03, 77.04, 151, 800, 801, 802, 803, 804, 805, 806, 807, 808, 809, 810.01, 810.02, 811.01, 811.02, 812, 813, 814, 815, 816, 817, 818, 819, 820, 821, 822, 823, 824, 825, 826, 827, 828, 829, 830, 831, 832.01, 832.02, 833, 834, 835, 836, 837, 838, 839, 840, 841, 842, 843, 844, 845, 846, 847, 848, 849, 850, 851, 852, 853, 854, 855, 856, 857, 858, 859, 860.01, 860.02, 861, 862, 863, 864, 865, 868.01, 868.02, 869, 870, 871, 872, 873.01, 873.02, 9800</w:t>
            </w:r>
          </w:p>
          <w:p w:rsidR="001E6743" w:rsidRPr="005F6640" w:rsidP="00BC7C97" w14:paraId="28F0325F" w14:textId="12FEC96A">
            <w:pPr>
              <w:autoSpaceDE w:val="0"/>
              <w:autoSpaceDN w:val="0"/>
              <w:adjustRightInd w:val="0"/>
              <w:rPr>
                <w:bCs/>
                <w:sz w:val="14"/>
                <w:szCs w:val="14"/>
              </w:rPr>
            </w:pPr>
            <w:r w:rsidRPr="005F6640">
              <w:rPr>
                <w:bCs/>
                <w:sz w:val="14"/>
                <w:szCs w:val="14"/>
              </w:rPr>
              <w:t xml:space="preserve">  Broomfield County: 302, 311.01, 311.03, 9801, 9802</w:t>
            </w:r>
          </w:p>
          <w:p w:rsidR="001E6743" w:rsidRPr="005F6640" w:rsidP="00BC7C97" w14:paraId="6842700D" w14:textId="461331A0">
            <w:pPr>
              <w:autoSpaceDE w:val="0"/>
              <w:autoSpaceDN w:val="0"/>
              <w:adjustRightInd w:val="0"/>
              <w:rPr>
                <w:bCs/>
                <w:sz w:val="14"/>
                <w:szCs w:val="14"/>
              </w:rPr>
            </w:pPr>
            <w:r w:rsidRPr="005F6640">
              <w:rPr>
                <w:bCs/>
                <w:sz w:val="14"/>
                <w:szCs w:val="14"/>
              </w:rPr>
              <w:t xml:space="preserve">  Denver County: 1.02, 2.01, 2.02, 3.01, 3.02, 3.03, 4.01, 4.03, 4.04, 5.01, 5.03, 5.04, 6, 7.03, 7.04, 7.05, 7.06, 8, 9.02, 9.03, 9.04, 9.05, 10, 11.01, 11.02, 13.01, 13.02, 14.01, 14.02, 14.03, 15, 16.01, 16.02, 16.03, 17.03, 17.04, 17.05, 17.06, 17.07, 18, 19.01, 20, 21.01, 21.02, 23, 24.02, 24.04, 24.05, 26.02, 26.03, 26.04, 27.04, 27.05, 27.06, 27.07, 27.08, 27.09, 28.01, 28.02, 28.04, 28.05, 29.01, 29.02, 30.02, 30.03, 30.04, 30.05, 30.06, 31.01, 31.02, 32.02, 32.03, 32.04, 32.05, 33, 34.01, 34.02, 35.01, 35.02, 36.01, 36.02, 36.03, 37.01, 37.02, 37.03, 38.01, 38.02, 39.01, 39.02, 40.02, 40.03, 40.04, 40.05, 40.06, 41.01, 41.02, 41.03, 41.04, 41.08, 41.09, 41.10, 41.11, 41.12, 41.13, 42.01, 42.02, 43.02, 43.03, 43.06, 43.07, 43.08, 43.09, 43.10, 44.03, 44.04, 44.06, 44.07, 45.03, 45.04, 45.05, 45.06, 46.01, 46.02, 46.03, 47, 48.01, 50.01, 50.03, 50.04, 51.02, 51.04, 52, 53, 55.02, 55.03, 67.01, 68.04, 68.10, 68.12, 68.13, 68.14, 68.15, 68.16, 68.17, 68.18, 69.02, 69.03, 70.06, 70.13, 70.37, 70.88, 70.90, 70.91, 83.04, 83.05, 83.06, 83.12, 83.86, 83.87, 83.88, 119.02, 119.03, 120.01, 120.10, 120.15, 120.16, 153, 154, 155, 156, 157, 158, 9801, 9802</w:t>
            </w:r>
          </w:p>
          <w:p w:rsidR="001E6743" w:rsidRPr="005F6640" w:rsidP="00BC7C97" w14:paraId="02ABE91C" w14:textId="660B3F4C">
            <w:pPr>
              <w:autoSpaceDE w:val="0"/>
              <w:autoSpaceDN w:val="0"/>
              <w:adjustRightInd w:val="0"/>
              <w:rPr>
                <w:bCs/>
                <w:sz w:val="14"/>
                <w:szCs w:val="14"/>
              </w:rPr>
            </w:pPr>
            <w:r w:rsidRPr="005F6640">
              <w:rPr>
                <w:bCs/>
                <w:sz w:val="14"/>
                <w:szCs w:val="14"/>
              </w:rPr>
              <w:t xml:space="preserve">  Douglas County: 140.14, 140.15</w:t>
            </w:r>
          </w:p>
          <w:p w:rsidR="001E6743" w:rsidRPr="005F6640" w:rsidP="00BC7C97" w14:paraId="3EA90E0B" w14:textId="688F70C5">
            <w:pPr>
              <w:autoSpaceDE w:val="0"/>
              <w:autoSpaceDN w:val="0"/>
              <w:adjustRightInd w:val="0"/>
              <w:rPr>
                <w:bCs/>
                <w:sz w:val="14"/>
                <w:szCs w:val="14"/>
              </w:rPr>
            </w:pPr>
            <w:r w:rsidRPr="005F6640">
              <w:rPr>
                <w:bCs/>
                <w:sz w:val="14"/>
                <w:szCs w:val="14"/>
              </w:rPr>
              <w:t xml:space="preserve">  Jefferson County: 98.07, 98.15, 98.23, 98.24, 98.27, 98.28, 98.29, 98.30, 98.31, 98.32, 98.33, 98.34, 98.35, 98.36, 98.39, 98.40, 98.41, 98.51, 98.52, 102.05, 102.06, 102.08, 102.09, 102.10, 102.11, 102.12, 102.13, 103.03, 103.04, 103.05, 103.06, 103.07, 103.08, 104.02, 104.03, 104.05, 104.06, 105.02, 105.03, 105.04, 106.03, 106.04, 107.01, 107.02, 108.01, 109.01, 109.02, 110, 111.01, 111.02, 112.02, 113, 114.01, 114.02, 115.51, 115.52, 116.01, 116.02, 117.01, 117.02, 117.08, 117.09, 117.10, 117.27, 117.28, 117.29, 117.30, 118.03, 118.04, 118.06, 118.07, 118.08, 119.04, 119.51, 120.23, 120.46, 120.47, 120.48, 120.49, 120.50, 120.51, 120.52, 120.53, 120.54, 120.55, 120.57, 120.59, 120.60, 158, 159, 603, 604, 605.01, 9800, 9804</w:t>
            </w:r>
          </w:p>
          <w:p w:rsidR="001E6743" w:rsidRPr="005F6640" w:rsidP="001E6743" w14:paraId="4F750D63" w14:textId="77777777">
            <w:pPr>
              <w:rPr>
                <w:bCs/>
                <w:sz w:val="14"/>
                <w:szCs w:val="14"/>
              </w:rPr>
            </w:pPr>
            <w:r w:rsidRPr="005F6640">
              <w:rPr>
                <w:bCs/>
                <w:sz w:val="14"/>
                <w:szCs w:val="14"/>
                <w:vertAlign w:val="superscript"/>
              </w:rPr>
              <w:t>2</w:t>
            </w:r>
            <w:r w:rsidRPr="005F6640">
              <w:rPr>
                <w:bCs/>
                <w:sz w:val="14"/>
                <w:szCs w:val="14"/>
              </w:rPr>
              <w:t xml:space="preserve">Florida </w:t>
            </w:r>
            <w:r w:rsidRPr="005F6640">
              <w:rPr>
                <w:bCs/>
                <w:sz w:val="14"/>
                <w:szCs w:val="14"/>
              </w:rPr>
              <w:t>tracts</w:t>
            </w:r>
            <w:r w:rsidRPr="005F6640">
              <w:rPr>
                <w:bCs/>
                <w:sz w:val="14"/>
                <w:szCs w:val="14"/>
              </w:rPr>
              <w:t xml:space="preserve"> used to construct the Miami area includ</w:t>
            </w:r>
            <w:r w:rsidRPr="005F6640">
              <w:rPr>
                <w:bCs/>
                <w:sz w:val="14"/>
                <w:szCs w:val="14"/>
              </w:rPr>
              <w:t>e the following, by county.</w:t>
            </w:r>
          </w:p>
          <w:p w:rsidR="001E6743" w:rsidRPr="005F6640" w:rsidP="001E6743" w14:paraId="588F783D" w14:textId="0A5D5ECF">
            <w:pPr>
              <w:rPr>
                <w:bCs/>
                <w:sz w:val="14"/>
                <w:szCs w:val="14"/>
              </w:rPr>
            </w:pPr>
            <w:r w:rsidRPr="005F6640">
              <w:rPr>
                <w:bCs/>
                <w:sz w:val="14"/>
                <w:szCs w:val="14"/>
              </w:rPr>
              <w:t xml:space="preserve">  Broward County: 1103.64, 1103.65</w:t>
            </w:r>
          </w:p>
          <w:p w:rsidR="001E6743" w:rsidRPr="005F6640" w:rsidP="001E6743" w14:paraId="4C0DC165" w14:textId="54DDB104">
            <w:pPr>
              <w:rPr>
                <w:bCs/>
                <w:sz w:val="14"/>
                <w:szCs w:val="14"/>
              </w:rPr>
            </w:pPr>
            <w:r w:rsidRPr="005F6640">
              <w:rPr>
                <w:bCs/>
                <w:sz w:val="14"/>
                <w:szCs w:val="14"/>
              </w:rPr>
              <w:t xml:space="preserve">  Miami-Dade County: 1.07, 1.09, 1.15, 1.18, 1.20, 1.21, 1.22, 1.23, 1.24, 1.25, 1.26, 1.27, 1.28, 1.29, 1.30, 1.31, 1.32, 1.34, 1.40, 1.41, 1.42, 1.43, 1.44, 1.45, 1.46, 2.04, 2.06, 2.11, 2.12, 2.13, 2.15, 2.16, 2.18, 2.19, 2.20, 2.21, 2.22, 2.23, 2.24, 2.25, 2.26, 2.27, 2.28, 3.02, 3.06, 3.07, 3.08, 3.09, 3.10, 3.11, 3.12, 4.02, 4.05, 4.08, 4.09, 4.10, 4.11, 4.13, 4.14, 4.15, 4.16, 4.17, 4.18, 4.19, 4.20, 5.04, 5.05, 5.06, 5.07, 5.08, 5.09, 6.01, 6.02, 6.03, 6.05, 6.07, 6.09, 6.10, 6.11, 6.12, 7.05, 7.10, 7.11, 7.12, 7.13, 7.14, 7.15, 7.16, 7.17, 7.18, 7.19, 7.20, 8.04, 8.05, 8.06, 8.07, 8.08, 9.03, 9.04, 9.05, 9.06, 9.07, 9.08, 10.03, 10.04, 10.05, 10.06, 10.07, 10.08, 11.01, 11.02, 11.03, 11.04, 12.04, 12.05, 12.06, 12.07, 12.08, 12.09, 13.01, 13.02, 14.01, 14.02, 15.01, 15.02, 16.03, 16.05, 16.06, 16.07, 16.08, 17.01, 17.02, 17.04, 17.05, 18.01, 18.02, 18.03, 19.01, 19.03, 19.04, 20.01, 20.03, 20.04, 21, 22.01, 22.02, 23, 24.02, 24.03, 24.04, 25.01, 25.02, 26, 27.02, 27.05, 27.07, 27.08, 27.09, 27.10, 28, 29, 30.01, 30.04, 30.05, 30.06, 31, 34, 36.03, 36.04, 36.05, 36.06, 36.07, 37.03, 37.04, 37.05, 37.06, 37.07, 37.08, 37.09, 37.10, 38.01, 38.03, 38.04, 39.06, 39.09, 39.11, 39.12, 39.13, 39.14, 39.15, 39.16, 39.17, 39.18, 39.19, 39.21, 39.22, 40, 41.02, 41.03, 41.05, 41.06, 42.04, 42.05, 42.06, 42.07, 42.08, 43.01, 43.03, 43.04, 44.03, 44.04, 44.05, 44.06, 45, 46.02, 46.05, 46.07, 46.08, 47.01, 47.03, 47.04, 47.05, 49.01, 49.03, 49.04, 50.02, 50.03, 50.04, 51.02, 51.03, 51.04, 52.01, 52.02, 53.03, 53.04, 53.05, 53.06, 54.03, 54.05, 54.06, 54.07, 54.09, 54.10, 55.03, 55.04, 55.05, 55.06, 56, 57.01, 57.05, 57.06, 57.07, 57.08, 58.03, 58.04, 58.05, 58.06, 59.01, 59.02, 59.03, 59.04, 60.02, 60.03, 60.04, 61.03, 61.04, 61.05, 61.06, 62.01, 62.03, 62.05, 62.06, 63.02, 63.03, 63.04, 64.01, 64.02, 64.03, 65.01, 65.03, 65.04, 66.03, 66.04, 66.05, 66.06, 66.07, 66.08, 67.05, 67.06, 67.07, 67.09, 67.13, 67.14, 67.15, 67.16, 67.17, 67.18, 67.19, 67.20, 67.21, 67.22, 68.01, 68.02, 69.01, 69.02, 70.03, 70.04, 70.05, 70.06, 70.07, 71.01, 71.03, 71.04, 72, 73, 74.01, 74.02, 74.03, 75.01, 75.03, 76.01, 76.03, 76.05, 76.07, 76.08, 76.09, 76.10, 77.04, 77.05, 77.06, 77.07, 77.08, 77.09, 78.01, 78.05, 78.06, 78.07, 78.08, 78.09, 79.01, 79.02, 80, 81.01, 81.02, 82.05, 82.06, 83.05, 83.12, 83.13, 84.09, 84.15, 84.16, 84.18, 84.19, 84.20, 84.21, 84.22, 84.23, 84.24, 84.25, 84.26, 84.27, 84.28, 84.29, 84.30, 84.31, 85.02, 85.03, 85.04, 86.01, 86.03, 86.04, 87.02, 87.03, 87.04, 88.05, 88.06, 88.07, 88.08, 88.09, 88.10, 89.04, 89.06, 89.07, 89.08, 89.09, 89.10, 89.11, 90.10, 90.14, 90.15, 90.20, 90.21, 90.22, 90.24, 90.26, 90.27, 90.28, 90.29, 90.30, 90.31, 90.39, 90.40, 90.43, 90.44, 90.48, 90.49, 90.50, 90.51, 90.52, 90.53, 90.54, 90.55, 90.56, 90.57, 90.58, 90.59, 90.60, 90.61, 90.62, 90.63, 90.64, 90.65, 90.66, 91.01, 91.02, 92, 93.05, 93.12, 93.14, 93.15, 93.16, 93.17, 93.18, 93.19, 93.20, 93.21, 93.22, 93.23, 93.24, 93.25, 93.26, 93.27, 94.01, 94.02, 95.03, 95.04, 95.05, 95.06, 96.01, 96.02, 97.03, 97.04, 97.05, 97.06, 98.03, 98.04, 98.06, 98.09, 98.10, 98.11, 98.12, 99.03, 99.04, 99.05, 99.06, 99.07, 99.08, 99.09, 100.10, 100.12, 100.13, 100.15, 100.16, 100.17, 100.18, 100.19, 100.20, 100.21, 100.22, 100.23, 100.24, 100.25, 100.26, 116.01, 116.02, 117.01, 117.02, 118, 119, 120.01, 120.02, 121.01, 121.02, 121.03, 121.04, 121.05, 122, 123.01, 123.02, 124.01, 124.02, 124.03, 125.01, 125.02, 126.01, 126.02, 127.01, 127.02, 128.01, 128.02, 129, 130, 131, 132.01, 132.02, 133.01, 133.02, 134, 135, 136, 137, 138.01, 138.02, 139, 156, 4901, 9803, 9804, 9805, 9808, 9810, 9811</w:t>
            </w:r>
          </w:p>
          <w:p w:rsidR="00BC7C97" w:rsidRPr="005F6640" w:rsidP="001E6743" w14:paraId="45BF74D6" w14:textId="33292218">
            <w:pPr>
              <w:rPr>
                <w:bCs/>
                <w:sz w:val="14"/>
                <w:szCs w:val="14"/>
              </w:rPr>
            </w:pPr>
            <w:r w:rsidRPr="005F6640">
              <w:rPr>
                <w:bCs/>
                <w:sz w:val="14"/>
                <w:szCs w:val="14"/>
                <w:vertAlign w:val="superscript"/>
              </w:rPr>
              <w:t>3</w:t>
            </w:r>
            <w:r w:rsidRPr="005F6640">
              <w:rPr>
                <w:bCs/>
                <w:sz w:val="14"/>
                <w:szCs w:val="14"/>
              </w:rPr>
              <w:t>Estimated by NAHMS.</w:t>
            </w:r>
          </w:p>
        </w:tc>
      </w:tr>
    </w:tbl>
    <w:p w:rsidR="00BC7C97" w:rsidRPr="005F6640" w:rsidP="00BC7C97" w14:paraId="2549ACC3" w14:textId="0A445CFB">
      <w:pPr>
        <w:autoSpaceDE w:val="0"/>
        <w:autoSpaceDN w:val="0"/>
        <w:adjustRightInd w:val="0"/>
        <w:rPr>
          <w:bCs/>
        </w:rPr>
      </w:pPr>
    </w:p>
    <w:p w:rsidR="00BC7C97" w:rsidRPr="005F6640" w14:paraId="5490593E" w14:textId="20B8475B">
      <w:pPr>
        <w:autoSpaceDE w:val="0"/>
        <w:autoSpaceDN w:val="0"/>
        <w:adjustRightInd w:val="0"/>
        <w:rPr>
          <w:bCs/>
        </w:rPr>
      </w:pPr>
    </w:p>
    <w:p w:rsidR="00645A67" w:rsidRPr="005F6640" w:rsidP="00A15641" w14:paraId="6ACB6C31" w14:textId="589638C3">
      <w:pPr>
        <w:autoSpaceDE w:val="0"/>
        <w:autoSpaceDN w:val="0"/>
        <w:adjustRightInd w:val="0"/>
        <w:rPr>
          <w:bCs/>
        </w:rPr>
      </w:pPr>
      <w:r w:rsidRPr="005F6640">
        <w:rPr>
          <w:noProof/>
        </w:rPr>
        <w:drawing>
          <wp:anchor distT="0" distB="0" distL="114300" distR="114300" simplePos="0" relativeHeight="251658240" behindDoc="0" locked="0" layoutInCell="1" allowOverlap="1">
            <wp:simplePos x="0" y="0"/>
            <wp:positionH relativeFrom="column">
              <wp:posOffset>3416935</wp:posOffset>
            </wp:positionH>
            <wp:positionV relativeFrom="paragraph">
              <wp:posOffset>-61595</wp:posOffset>
            </wp:positionV>
            <wp:extent cx="2940923" cy="320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940923" cy="3200400"/>
                    </a:xfrm>
                    <a:prstGeom prst="rect">
                      <a:avLst/>
                    </a:prstGeom>
                  </pic:spPr>
                </pic:pic>
              </a:graphicData>
            </a:graphic>
            <wp14:sizeRelH relativeFrom="page">
              <wp14:pctWidth>0</wp14:pctWidth>
            </wp14:sizeRelH>
            <wp14:sizeRelV relativeFrom="page">
              <wp14:pctHeight>0</wp14:pctHeight>
            </wp14:sizeRelV>
          </wp:anchor>
        </w:drawing>
      </w:r>
      <w:r w:rsidRPr="005F6640" w:rsidR="00BC7C97">
        <w:rPr>
          <w:noProof/>
        </w:rPr>
        <w:drawing>
          <wp:inline distT="0" distB="0" distL="0" distR="0">
            <wp:extent cx="2946952" cy="3200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a:stretch>
                      <a:fillRect/>
                    </a:stretch>
                  </pic:blipFill>
                  <pic:spPr>
                    <a:xfrm>
                      <a:off x="0" y="0"/>
                      <a:ext cx="2946952" cy="3200400"/>
                    </a:xfrm>
                    <a:prstGeom prst="rect">
                      <a:avLst/>
                    </a:prstGeom>
                  </pic:spPr>
                </pic:pic>
              </a:graphicData>
            </a:graphic>
          </wp:inline>
        </w:drawing>
      </w:r>
    </w:p>
    <w:p w:rsidR="00BC7C97" w:rsidRPr="005F6640" w14:paraId="1BFF8580" w14:textId="2BD269A9">
      <w:pPr>
        <w:spacing w:after="160" w:line="259" w:lineRule="auto"/>
        <w:rPr>
          <w:bCs/>
          <w:sz w:val="20"/>
          <w:szCs w:val="20"/>
        </w:rPr>
      </w:pPr>
      <w:r w:rsidRPr="005F6640">
        <w:rPr>
          <w:bCs/>
          <w:sz w:val="20"/>
          <w:szCs w:val="20"/>
        </w:rPr>
        <w:t>Figure A.1: Denver and Miami areas used in the NAHMS Poultry 2010 study.</w:t>
      </w:r>
    </w:p>
    <w:p w:rsidR="00645A67" w:rsidRPr="005F6640" w14:paraId="0F8AE36E" w14:textId="44C4BEE1">
      <w:pPr>
        <w:spacing w:after="160" w:line="259" w:lineRule="auto"/>
        <w:rPr>
          <w:b/>
        </w:rPr>
      </w:pPr>
      <w:r w:rsidRPr="005F6640">
        <w:rPr>
          <w:b/>
        </w:rPr>
        <w:br w:type="page"/>
      </w:r>
    </w:p>
    <w:p w:rsidR="00403F62" w:rsidRPr="005F6640" w:rsidP="00403F62" w14:paraId="3AD184BB" w14:textId="1233BD77">
      <w:pPr>
        <w:pStyle w:val="Heading1"/>
        <w:rPr>
          <w:rFonts w:ascii="Times New Roman" w:hAnsi="Times New Roman" w:cs="Times New Roman"/>
          <w:bCs w:val="0"/>
          <w:sz w:val="24"/>
          <w:szCs w:val="24"/>
        </w:rPr>
      </w:pPr>
      <w:r w:rsidRPr="005F6640">
        <w:rPr>
          <w:rFonts w:ascii="Times New Roman" w:hAnsi="Times New Roman" w:cs="Times New Roman"/>
          <w:sz w:val="24"/>
          <w:szCs w:val="24"/>
        </w:rPr>
        <w:t xml:space="preserve">Appendix B: </w:t>
      </w:r>
      <w:r w:rsidRPr="005F6640">
        <w:rPr>
          <w:rFonts w:ascii="Times New Roman" w:hAnsi="Times New Roman" w:cs="Times New Roman"/>
          <w:bCs w:val="0"/>
          <w:sz w:val="24"/>
          <w:szCs w:val="24"/>
        </w:rPr>
        <w:t>Estimated response rates</w:t>
      </w:r>
    </w:p>
    <w:p w:rsidR="00403F62" w:rsidRPr="005F6640" w:rsidP="00403F62" w14:paraId="12DDC1B8" w14:textId="1C8AEF47">
      <w:pPr>
        <w:autoSpaceDE w:val="0"/>
        <w:autoSpaceDN w:val="0"/>
        <w:adjustRightInd w:val="0"/>
        <w:rPr>
          <w:bCs/>
        </w:rPr>
      </w:pPr>
      <w:r w:rsidRPr="005F6640">
        <w:rPr>
          <w:bCs/>
        </w:rPr>
        <w:t>Three tables of response rates are presented below. The information in Table B.1 comes from the NAHMS Poultry 2010 study and represents the percentages of households selected in Denver, Colorado and Miami, Florida by response category and gives estimates for response rates for the City Survey for the NAHMS Backyard Animal Keeping 202</w:t>
      </w:r>
      <w:r w:rsidR="00076700">
        <w:rPr>
          <w:bCs/>
        </w:rPr>
        <w:t>4</w:t>
      </w:r>
      <w:r w:rsidRPr="005F6640">
        <w:rPr>
          <w:bCs/>
        </w:rPr>
        <w:t xml:space="preserve"> study. The information in Table B.2 comes from a test questionnaire that NORC had run on a small subset of their probability survey panel and gives </w:t>
      </w:r>
      <w:r w:rsidRPr="005F6640" w:rsidR="00285C17">
        <w:rPr>
          <w:bCs/>
        </w:rPr>
        <w:t>estimate</w:t>
      </w:r>
      <w:r w:rsidR="00285C17">
        <w:rPr>
          <w:bCs/>
        </w:rPr>
        <w:t>d</w:t>
      </w:r>
      <w:r w:rsidRPr="005F6640" w:rsidR="00285C17">
        <w:rPr>
          <w:bCs/>
        </w:rPr>
        <w:t xml:space="preserve"> </w:t>
      </w:r>
      <w:r w:rsidRPr="005F6640">
        <w:rPr>
          <w:bCs/>
        </w:rPr>
        <w:t>percentages of respondents that owned any of the species of interest and any individual species of interest for the current study. The information in Table B.3 uses response rate information from Table B.1 and B.2, as well as information from NORC regarding standard response rates for current surveys they perform.</w:t>
      </w:r>
    </w:p>
    <w:p w:rsidR="00403F62" w:rsidRPr="005F6640" w:rsidP="00403F62" w14:paraId="605D63C4" w14:textId="77777777">
      <w:pPr>
        <w:autoSpaceDE w:val="0"/>
        <w:autoSpaceDN w:val="0"/>
        <w:adjustRightInd w:val="0"/>
        <w:rPr>
          <w:b/>
        </w:rPr>
      </w:pPr>
    </w:p>
    <w:p w:rsidR="00403F62" w:rsidRPr="005F6640" w:rsidP="00403F62" w14:paraId="79C951AF" w14:textId="7BDFF236">
      <w:r w:rsidRPr="005F6640">
        <w:t>Table B.1: Response rates for Denver and Miami from the NAHMS Poultry 2010 study.</w:t>
      </w:r>
    </w:p>
    <w:tbl>
      <w:tblPr>
        <w:tblW w:w="6387" w:type="dxa"/>
        <w:tblBorders>
          <w:top w:val="single" w:sz="4" w:space="0" w:color="auto"/>
          <w:bottom w:val="single" w:sz="4" w:space="0" w:color="auto"/>
          <w:insideH w:val="single" w:sz="4" w:space="0" w:color="BFBFBF" w:themeColor="background1" w:themeShade="BF"/>
        </w:tblBorders>
        <w:tblLook w:val="04A0"/>
      </w:tblPr>
      <w:tblGrid>
        <w:gridCol w:w="2790"/>
        <w:gridCol w:w="990"/>
        <w:gridCol w:w="900"/>
        <w:gridCol w:w="810"/>
        <w:gridCol w:w="897"/>
      </w:tblGrid>
      <w:tr w14:paraId="0B9E1F95" w14:textId="77777777" w:rsidTr="00D8664F">
        <w:tblPrEx>
          <w:tblW w:w="6387" w:type="dxa"/>
          <w:tblBorders>
            <w:top w:val="single" w:sz="4" w:space="0" w:color="auto"/>
            <w:bottom w:val="single" w:sz="4" w:space="0" w:color="auto"/>
            <w:insideH w:val="single" w:sz="4" w:space="0" w:color="BFBFBF" w:themeColor="background1" w:themeShade="BF"/>
          </w:tblBorders>
          <w:tblLook w:val="04A0"/>
        </w:tblPrEx>
        <w:trPr>
          <w:trHeight w:val="300"/>
        </w:trPr>
        <w:tc>
          <w:tcPr>
            <w:tcW w:w="2790" w:type="dxa"/>
            <w:shd w:val="clear" w:color="auto" w:fill="auto"/>
            <w:noWrap/>
            <w:vAlign w:val="bottom"/>
            <w:hideMark/>
          </w:tcPr>
          <w:p w:rsidR="00A15716" w:rsidRPr="00A15716" w:rsidP="00A15716" w14:paraId="294612BC" w14:textId="77777777">
            <w:pPr>
              <w:rPr>
                <w:sz w:val="20"/>
                <w:szCs w:val="20"/>
              </w:rPr>
            </w:pPr>
          </w:p>
        </w:tc>
        <w:tc>
          <w:tcPr>
            <w:tcW w:w="3597" w:type="dxa"/>
            <w:gridSpan w:val="4"/>
            <w:shd w:val="clear" w:color="auto" w:fill="auto"/>
            <w:noWrap/>
            <w:vAlign w:val="bottom"/>
            <w:hideMark/>
          </w:tcPr>
          <w:p w:rsidR="00A15716" w:rsidRPr="00A15716" w:rsidP="00A15716" w14:paraId="1E35A8EC" w14:textId="64AD3444">
            <w:pPr>
              <w:jc w:val="center"/>
              <w:rPr>
                <w:sz w:val="20"/>
                <w:szCs w:val="20"/>
              </w:rPr>
            </w:pPr>
            <w:r w:rsidRPr="00A15716">
              <w:rPr>
                <w:color w:val="000000"/>
                <w:sz w:val="22"/>
                <w:szCs w:val="22"/>
              </w:rPr>
              <w:t>City</w:t>
            </w:r>
          </w:p>
        </w:tc>
      </w:tr>
      <w:tr w14:paraId="41B12BA6" w14:textId="77777777" w:rsidTr="00D8664F">
        <w:tblPrEx>
          <w:tblW w:w="6387" w:type="dxa"/>
          <w:tblLook w:val="04A0"/>
        </w:tblPrEx>
        <w:trPr>
          <w:trHeight w:val="300"/>
        </w:trPr>
        <w:tc>
          <w:tcPr>
            <w:tcW w:w="2790" w:type="dxa"/>
            <w:shd w:val="clear" w:color="auto" w:fill="auto"/>
            <w:noWrap/>
            <w:vAlign w:val="bottom"/>
            <w:hideMark/>
          </w:tcPr>
          <w:p w:rsidR="00A15716" w:rsidRPr="00A15716" w:rsidP="00A15716" w14:paraId="4C2E534C" w14:textId="77777777">
            <w:pPr>
              <w:rPr>
                <w:sz w:val="20"/>
                <w:szCs w:val="20"/>
              </w:rPr>
            </w:pPr>
          </w:p>
        </w:tc>
        <w:tc>
          <w:tcPr>
            <w:tcW w:w="1890" w:type="dxa"/>
            <w:gridSpan w:val="2"/>
            <w:shd w:val="clear" w:color="auto" w:fill="auto"/>
            <w:noWrap/>
            <w:vAlign w:val="bottom"/>
            <w:hideMark/>
          </w:tcPr>
          <w:p w:rsidR="00A15716" w:rsidRPr="00A15716" w:rsidP="00A15716" w14:paraId="7BCE8AE3" w14:textId="1A628983">
            <w:pPr>
              <w:jc w:val="center"/>
              <w:rPr>
                <w:color w:val="000000"/>
                <w:sz w:val="22"/>
                <w:szCs w:val="22"/>
              </w:rPr>
            </w:pPr>
            <w:r w:rsidRPr="00A15716">
              <w:rPr>
                <w:color w:val="000000"/>
                <w:sz w:val="22"/>
                <w:szCs w:val="22"/>
              </w:rPr>
              <w:t>Denver</w:t>
            </w:r>
          </w:p>
        </w:tc>
        <w:tc>
          <w:tcPr>
            <w:tcW w:w="1707" w:type="dxa"/>
            <w:gridSpan w:val="2"/>
            <w:shd w:val="clear" w:color="auto" w:fill="auto"/>
            <w:noWrap/>
            <w:vAlign w:val="bottom"/>
            <w:hideMark/>
          </w:tcPr>
          <w:p w:rsidR="00A15716" w:rsidRPr="00A15716" w:rsidP="00A15716" w14:paraId="1BE52B0C" w14:textId="654AB3EE">
            <w:pPr>
              <w:jc w:val="center"/>
              <w:rPr>
                <w:color w:val="000000"/>
                <w:sz w:val="22"/>
                <w:szCs w:val="22"/>
              </w:rPr>
            </w:pPr>
            <w:r w:rsidRPr="00A15716">
              <w:rPr>
                <w:color w:val="000000"/>
                <w:sz w:val="22"/>
                <w:szCs w:val="22"/>
              </w:rPr>
              <w:t>Miami</w:t>
            </w:r>
          </w:p>
        </w:tc>
      </w:tr>
      <w:tr w14:paraId="4337458E" w14:textId="77777777" w:rsidTr="00D8664F">
        <w:tblPrEx>
          <w:tblW w:w="6387" w:type="dxa"/>
          <w:tblLook w:val="04A0"/>
        </w:tblPrEx>
        <w:trPr>
          <w:trHeight w:val="300"/>
        </w:trPr>
        <w:tc>
          <w:tcPr>
            <w:tcW w:w="2790" w:type="dxa"/>
            <w:shd w:val="clear" w:color="auto" w:fill="auto"/>
            <w:noWrap/>
            <w:vAlign w:val="center"/>
            <w:hideMark/>
          </w:tcPr>
          <w:p w:rsidR="00A15716" w:rsidRPr="00A15716" w:rsidP="00A15716" w14:paraId="44E4534D" w14:textId="77777777">
            <w:pPr>
              <w:rPr>
                <w:color w:val="000000"/>
                <w:sz w:val="22"/>
                <w:szCs w:val="22"/>
              </w:rPr>
            </w:pPr>
            <w:r w:rsidRPr="00A15716">
              <w:rPr>
                <w:color w:val="000000"/>
                <w:sz w:val="22"/>
                <w:szCs w:val="22"/>
              </w:rPr>
              <w:t>Response category</w:t>
            </w:r>
          </w:p>
        </w:tc>
        <w:tc>
          <w:tcPr>
            <w:tcW w:w="990" w:type="dxa"/>
            <w:shd w:val="clear" w:color="auto" w:fill="auto"/>
            <w:noWrap/>
            <w:vAlign w:val="bottom"/>
            <w:hideMark/>
          </w:tcPr>
          <w:p w:rsidR="00A15716" w:rsidRPr="00A15716" w:rsidP="00A15716" w14:paraId="065C7C34" w14:textId="77777777">
            <w:pPr>
              <w:jc w:val="right"/>
              <w:rPr>
                <w:color w:val="000000"/>
                <w:sz w:val="22"/>
                <w:szCs w:val="22"/>
              </w:rPr>
            </w:pPr>
            <w:r w:rsidRPr="00A15716">
              <w:rPr>
                <w:color w:val="000000"/>
                <w:sz w:val="22"/>
                <w:szCs w:val="22"/>
              </w:rPr>
              <w:t xml:space="preserve">No. </w:t>
            </w:r>
          </w:p>
        </w:tc>
        <w:tc>
          <w:tcPr>
            <w:tcW w:w="900" w:type="dxa"/>
            <w:shd w:val="clear" w:color="auto" w:fill="auto"/>
            <w:noWrap/>
            <w:vAlign w:val="bottom"/>
            <w:hideMark/>
          </w:tcPr>
          <w:p w:rsidR="00A15716" w:rsidRPr="00A15716" w:rsidP="00A15716" w14:paraId="25159874" w14:textId="77777777">
            <w:pPr>
              <w:jc w:val="right"/>
              <w:rPr>
                <w:color w:val="000000"/>
                <w:sz w:val="22"/>
                <w:szCs w:val="22"/>
              </w:rPr>
            </w:pPr>
            <w:r w:rsidRPr="00A15716">
              <w:rPr>
                <w:color w:val="000000"/>
                <w:sz w:val="22"/>
                <w:szCs w:val="22"/>
              </w:rPr>
              <w:t>Pct.</w:t>
            </w:r>
          </w:p>
        </w:tc>
        <w:tc>
          <w:tcPr>
            <w:tcW w:w="810" w:type="dxa"/>
            <w:shd w:val="clear" w:color="auto" w:fill="auto"/>
            <w:noWrap/>
            <w:vAlign w:val="bottom"/>
            <w:hideMark/>
          </w:tcPr>
          <w:p w:rsidR="00A15716" w:rsidRPr="00A15716" w:rsidP="00A15716" w14:paraId="48867182" w14:textId="77777777">
            <w:pPr>
              <w:jc w:val="right"/>
              <w:rPr>
                <w:color w:val="000000"/>
                <w:sz w:val="22"/>
                <w:szCs w:val="22"/>
              </w:rPr>
            </w:pPr>
            <w:r w:rsidRPr="00A15716">
              <w:rPr>
                <w:color w:val="000000"/>
                <w:sz w:val="22"/>
                <w:szCs w:val="22"/>
              </w:rPr>
              <w:t xml:space="preserve">No. </w:t>
            </w:r>
          </w:p>
        </w:tc>
        <w:tc>
          <w:tcPr>
            <w:tcW w:w="897" w:type="dxa"/>
            <w:shd w:val="clear" w:color="auto" w:fill="auto"/>
            <w:noWrap/>
            <w:vAlign w:val="bottom"/>
            <w:hideMark/>
          </w:tcPr>
          <w:p w:rsidR="00A15716" w:rsidRPr="00A15716" w:rsidP="00A15716" w14:paraId="68BD5A1F" w14:textId="77777777">
            <w:pPr>
              <w:jc w:val="right"/>
              <w:rPr>
                <w:color w:val="000000"/>
                <w:sz w:val="22"/>
                <w:szCs w:val="22"/>
              </w:rPr>
            </w:pPr>
            <w:r w:rsidRPr="00A15716">
              <w:rPr>
                <w:color w:val="000000"/>
                <w:sz w:val="22"/>
                <w:szCs w:val="22"/>
              </w:rPr>
              <w:t>Pct.</w:t>
            </w:r>
          </w:p>
        </w:tc>
      </w:tr>
      <w:tr w14:paraId="0FBEDDF4" w14:textId="77777777" w:rsidTr="00D8664F">
        <w:tblPrEx>
          <w:tblW w:w="6387" w:type="dxa"/>
          <w:tblLook w:val="04A0"/>
        </w:tblPrEx>
        <w:trPr>
          <w:trHeight w:val="300"/>
        </w:trPr>
        <w:tc>
          <w:tcPr>
            <w:tcW w:w="2790" w:type="dxa"/>
            <w:shd w:val="clear" w:color="auto" w:fill="BFBFBF" w:themeFill="background1" w:themeFillShade="BF"/>
            <w:noWrap/>
            <w:vAlign w:val="center"/>
            <w:hideMark/>
          </w:tcPr>
          <w:p w:rsidR="00A15716" w:rsidRPr="00A15716" w:rsidP="00A15716" w14:paraId="3A7440D0" w14:textId="0C13A576">
            <w:pPr>
              <w:rPr>
                <w:color w:val="000000"/>
                <w:sz w:val="22"/>
                <w:szCs w:val="22"/>
              </w:rPr>
            </w:pPr>
            <w:r w:rsidRPr="00A15716">
              <w:rPr>
                <w:color w:val="000000"/>
                <w:sz w:val="22"/>
                <w:szCs w:val="22"/>
              </w:rPr>
              <w:t xml:space="preserve">Any </w:t>
            </w:r>
            <w:r w:rsidR="005F6640">
              <w:rPr>
                <w:color w:val="000000"/>
                <w:sz w:val="22"/>
                <w:szCs w:val="22"/>
              </w:rPr>
              <w:t>completion</w:t>
            </w:r>
          </w:p>
        </w:tc>
        <w:tc>
          <w:tcPr>
            <w:tcW w:w="990" w:type="dxa"/>
            <w:shd w:val="clear" w:color="auto" w:fill="BFBFBF" w:themeFill="background1" w:themeFillShade="BF"/>
            <w:noWrap/>
            <w:vAlign w:val="center"/>
            <w:hideMark/>
          </w:tcPr>
          <w:p w:rsidR="00A15716" w:rsidRPr="00A15716" w:rsidP="00A15716" w14:paraId="18E73871" w14:textId="77777777">
            <w:pPr>
              <w:jc w:val="right"/>
              <w:rPr>
                <w:color w:val="000000"/>
                <w:sz w:val="22"/>
                <w:szCs w:val="22"/>
              </w:rPr>
            </w:pPr>
            <w:r w:rsidRPr="00A15716">
              <w:rPr>
                <w:color w:val="000000"/>
                <w:sz w:val="22"/>
                <w:szCs w:val="22"/>
              </w:rPr>
              <w:t>2,994</w:t>
            </w:r>
          </w:p>
        </w:tc>
        <w:tc>
          <w:tcPr>
            <w:tcW w:w="900" w:type="dxa"/>
            <w:shd w:val="clear" w:color="auto" w:fill="BFBFBF" w:themeFill="background1" w:themeFillShade="BF"/>
            <w:noWrap/>
            <w:vAlign w:val="center"/>
            <w:hideMark/>
          </w:tcPr>
          <w:p w:rsidR="00A15716" w:rsidRPr="00A15716" w:rsidP="00A15716" w14:paraId="796D0876" w14:textId="77777777">
            <w:pPr>
              <w:jc w:val="right"/>
              <w:rPr>
                <w:color w:val="000000"/>
                <w:sz w:val="22"/>
                <w:szCs w:val="22"/>
              </w:rPr>
            </w:pPr>
            <w:r w:rsidRPr="00A15716">
              <w:rPr>
                <w:color w:val="000000"/>
                <w:sz w:val="22"/>
                <w:szCs w:val="22"/>
              </w:rPr>
              <w:t>39.1</w:t>
            </w:r>
          </w:p>
        </w:tc>
        <w:tc>
          <w:tcPr>
            <w:tcW w:w="810" w:type="dxa"/>
            <w:shd w:val="clear" w:color="auto" w:fill="BFBFBF" w:themeFill="background1" w:themeFillShade="BF"/>
            <w:noWrap/>
            <w:vAlign w:val="center"/>
            <w:hideMark/>
          </w:tcPr>
          <w:p w:rsidR="00A15716" w:rsidRPr="00A15716" w:rsidP="00A15716" w14:paraId="66EA86A8" w14:textId="77777777">
            <w:pPr>
              <w:jc w:val="right"/>
              <w:rPr>
                <w:color w:val="000000"/>
                <w:sz w:val="22"/>
                <w:szCs w:val="22"/>
              </w:rPr>
            </w:pPr>
            <w:r w:rsidRPr="00A15716">
              <w:rPr>
                <w:color w:val="000000"/>
                <w:sz w:val="22"/>
                <w:szCs w:val="22"/>
              </w:rPr>
              <w:t>1,997</w:t>
            </w:r>
          </w:p>
        </w:tc>
        <w:tc>
          <w:tcPr>
            <w:tcW w:w="897" w:type="dxa"/>
            <w:shd w:val="clear" w:color="auto" w:fill="BFBFBF" w:themeFill="background1" w:themeFillShade="BF"/>
            <w:noWrap/>
            <w:vAlign w:val="center"/>
            <w:hideMark/>
          </w:tcPr>
          <w:p w:rsidR="00A15716" w:rsidRPr="00A15716" w:rsidP="00A15716" w14:paraId="4E3CDB88" w14:textId="77777777">
            <w:pPr>
              <w:jc w:val="right"/>
              <w:rPr>
                <w:color w:val="000000"/>
                <w:sz w:val="22"/>
                <w:szCs w:val="22"/>
              </w:rPr>
            </w:pPr>
            <w:r w:rsidRPr="00A15716">
              <w:rPr>
                <w:color w:val="000000"/>
                <w:sz w:val="22"/>
                <w:szCs w:val="22"/>
              </w:rPr>
              <w:t>23.5</w:t>
            </w:r>
          </w:p>
        </w:tc>
      </w:tr>
      <w:tr w14:paraId="611ACAE9" w14:textId="77777777" w:rsidTr="00D8664F">
        <w:tblPrEx>
          <w:tblW w:w="6387" w:type="dxa"/>
          <w:tblLook w:val="04A0"/>
        </w:tblPrEx>
        <w:trPr>
          <w:trHeight w:val="300"/>
        </w:trPr>
        <w:tc>
          <w:tcPr>
            <w:tcW w:w="2790" w:type="dxa"/>
            <w:shd w:val="clear" w:color="auto" w:fill="auto"/>
            <w:noWrap/>
            <w:vAlign w:val="center"/>
            <w:hideMark/>
          </w:tcPr>
          <w:p w:rsidR="00A15716" w:rsidRPr="00A15716" w:rsidP="00A15716" w14:paraId="2855A28C" w14:textId="169006A9">
            <w:pPr>
              <w:rPr>
                <w:color w:val="000000"/>
                <w:sz w:val="22"/>
                <w:szCs w:val="22"/>
              </w:rPr>
            </w:pPr>
            <w:r>
              <w:rPr>
                <w:color w:val="000000"/>
                <w:sz w:val="22"/>
                <w:szCs w:val="22"/>
              </w:rPr>
              <w:t xml:space="preserve">  </w:t>
            </w:r>
            <w:r w:rsidRPr="00A15716">
              <w:rPr>
                <w:color w:val="000000"/>
                <w:sz w:val="22"/>
                <w:szCs w:val="22"/>
              </w:rPr>
              <w:t>Completed - Mail or online</w:t>
            </w:r>
          </w:p>
        </w:tc>
        <w:tc>
          <w:tcPr>
            <w:tcW w:w="990" w:type="dxa"/>
            <w:shd w:val="clear" w:color="auto" w:fill="auto"/>
            <w:noWrap/>
            <w:vAlign w:val="center"/>
            <w:hideMark/>
          </w:tcPr>
          <w:p w:rsidR="00A15716" w:rsidRPr="00A15716" w:rsidP="00A15716" w14:paraId="7849A494" w14:textId="77777777">
            <w:pPr>
              <w:jc w:val="right"/>
              <w:rPr>
                <w:color w:val="000000"/>
                <w:sz w:val="22"/>
                <w:szCs w:val="22"/>
              </w:rPr>
            </w:pPr>
            <w:r w:rsidRPr="00A15716">
              <w:rPr>
                <w:color w:val="000000"/>
                <w:sz w:val="22"/>
                <w:szCs w:val="22"/>
              </w:rPr>
              <w:t>2,793</w:t>
            </w:r>
          </w:p>
        </w:tc>
        <w:tc>
          <w:tcPr>
            <w:tcW w:w="900" w:type="dxa"/>
            <w:shd w:val="clear" w:color="auto" w:fill="auto"/>
            <w:noWrap/>
            <w:vAlign w:val="center"/>
            <w:hideMark/>
          </w:tcPr>
          <w:p w:rsidR="00A15716" w:rsidRPr="00A15716" w:rsidP="00A15716" w14:paraId="3C3BCC29" w14:textId="77777777">
            <w:pPr>
              <w:jc w:val="right"/>
              <w:rPr>
                <w:color w:val="000000"/>
                <w:sz w:val="22"/>
                <w:szCs w:val="22"/>
              </w:rPr>
            </w:pPr>
            <w:r w:rsidRPr="00A15716">
              <w:rPr>
                <w:color w:val="000000"/>
                <w:sz w:val="22"/>
                <w:szCs w:val="22"/>
              </w:rPr>
              <w:t>36.5</w:t>
            </w:r>
          </w:p>
        </w:tc>
        <w:tc>
          <w:tcPr>
            <w:tcW w:w="810" w:type="dxa"/>
            <w:shd w:val="clear" w:color="auto" w:fill="auto"/>
            <w:noWrap/>
            <w:vAlign w:val="center"/>
            <w:hideMark/>
          </w:tcPr>
          <w:p w:rsidR="00A15716" w:rsidRPr="00A15716" w:rsidP="00A15716" w14:paraId="5D140740" w14:textId="77777777">
            <w:pPr>
              <w:jc w:val="right"/>
              <w:rPr>
                <w:color w:val="000000"/>
                <w:sz w:val="22"/>
                <w:szCs w:val="22"/>
              </w:rPr>
            </w:pPr>
            <w:r w:rsidRPr="00A15716">
              <w:rPr>
                <w:color w:val="000000"/>
                <w:sz w:val="22"/>
                <w:szCs w:val="22"/>
              </w:rPr>
              <w:t>1,889</w:t>
            </w:r>
          </w:p>
        </w:tc>
        <w:tc>
          <w:tcPr>
            <w:tcW w:w="897" w:type="dxa"/>
            <w:shd w:val="clear" w:color="auto" w:fill="auto"/>
            <w:noWrap/>
            <w:vAlign w:val="center"/>
            <w:hideMark/>
          </w:tcPr>
          <w:p w:rsidR="00A15716" w:rsidRPr="00A15716" w:rsidP="00A15716" w14:paraId="64671197" w14:textId="77777777">
            <w:pPr>
              <w:jc w:val="right"/>
              <w:rPr>
                <w:color w:val="000000"/>
                <w:sz w:val="22"/>
                <w:szCs w:val="22"/>
              </w:rPr>
            </w:pPr>
            <w:r w:rsidRPr="00A15716">
              <w:rPr>
                <w:color w:val="000000"/>
                <w:sz w:val="22"/>
                <w:szCs w:val="22"/>
              </w:rPr>
              <w:t>22.2</w:t>
            </w:r>
          </w:p>
        </w:tc>
      </w:tr>
      <w:tr w14:paraId="3F40D139" w14:textId="77777777" w:rsidTr="00D8664F">
        <w:tblPrEx>
          <w:tblW w:w="6387" w:type="dxa"/>
          <w:tblLook w:val="04A0"/>
        </w:tblPrEx>
        <w:trPr>
          <w:trHeight w:val="300"/>
        </w:trPr>
        <w:tc>
          <w:tcPr>
            <w:tcW w:w="2790" w:type="dxa"/>
            <w:shd w:val="clear" w:color="auto" w:fill="auto"/>
            <w:noWrap/>
            <w:vAlign w:val="center"/>
            <w:hideMark/>
          </w:tcPr>
          <w:p w:rsidR="00A15716" w:rsidRPr="00A15716" w:rsidP="00A15716" w14:paraId="5BE72C8D" w14:textId="24A406D2">
            <w:pPr>
              <w:rPr>
                <w:color w:val="000000"/>
                <w:sz w:val="22"/>
                <w:szCs w:val="22"/>
              </w:rPr>
            </w:pPr>
            <w:r>
              <w:rPr>
                <w:color w:val="000000"/>
                <w:sz w:val="22"/>
                <w:szCs w:val="22"/>
              </w:rPr>
              <w:t xml:space="preserve">  </w:t>
            </w:r>
            <w:r w:rsidRPr="00A15716">
              <w:rPr>
                <w:color w:val="000000"/>
                <w:sz w:val="22"/>
                <w:szCs w:val="22"/>
              </w:rPr>
              <w:t>Completed - telephone</w:t>
            </w:r>
          </w:p>
        </w:tc>
        <w:tc>
          <w:tcPr>
            <w:tcW w:w="990" w:type="dxa"/>
            <w:shd w:val="clear" w:color="auto" w:fill="auto"/>
            <w:noWrap/>
            <w:vAlign w:val="center"/>
            <w:hideMark/>
          </w:tcPr>
          <w:p w:rsidR="00A15716" w:rsidRPr="00A15716" w:rsidP="00A15716" w14:paraId="4EA50A3E" w14:textId="77777777">
            <w:pPr>
              <w:jc w:val="right"/>
              <w:rPr>
                <w:color w:val="000000"/>
                <w:sz w:val="22"/>
                <w:szCs w:val="22"/>
              </w:rPr>
            </w:pPr>
            <w:r w:rsidRPr="00A15716">
              <w:rPr>
                <w:color w:val="000000"/>
                <w:sz w:val="22"/>
                <w:szCs w:val="22"/>
              </w:rPr>
              <w:t>201</w:t>
            </w:r>
          </w:p>
        </w:tc>
        <w:tc>
          <w:tcPr>
            <w:tcW w:w="900" w:type="dxa"/>
            <w:shd w:val="clear" w:color="auto" w:fill="auto"/>
            <w:noWrap/>
            <w:vAlign w:val="center"/>
            <w:hideMark/>
          </w:tcPr>
          <w:p w:rsidR="00A15716" w:rsidRPr="00A15716" w:rsidP="00A15716" w14:paraId="2C86D161" w14:textId="77777777">
            <w:pPr>
              <w:jc w:val="right"/>
              <w:rPr>
                <w:color w:val="000000"/>
                <w:sz w:val="22"/>
                <w:szCs w:val="22"/>
              </w:rPr>
            </w:pPr>
            <w:r w:rsidRPr="00A15716">
              <w:rPr>
                <w:color w:val="000000"/>
                <w:sz w:val="22"/>
                <w:szCs w:val="22"/>
              </w:rPr>
              <w:t>2.6</w:t>
            </w:r>
          </w:p>
        </w:tc>
        <w:tc>
          <w:tcPr>
            <w:tcW w:w="810" w:type="dxa"/>
            <w:shd w:val="clear" w:color="auto" w:fill="auto"/>
            <w:noWrap/>
            <w:vAlign w:val="center"/>
            <w:hideMark/>
          </w:tcPr>
          <w:p w:rsidR="00A15716" w:rsidRPr="00A15716" w:rsidP="00A15716" w14:paraId="4B1B3C72" w14:textId="77777777">
            <w:pPr>
              <w:jc w:val="right"/>
              <w:rPr>
                <w:color w:val="000000"/>
                <w:sz w:val="22"/>
                <w:szCs w:val="22"/>
              </w:rPr>
            </w:pPr>
            <w:r w:rsidRPr="00A15716">
              <w:rPr>
                <w:color w:val="000000"/>
                <w:sz w:val="22"/>
                <w:szCs w:val="22"/>
              </w:rPr>
              <w:t>108</w:t>
            </w:r>
          </w:p>
        </w:tc>
        <w:tc>
          <w:tcPr>
            <w:tcW w:w="897" w:type="dxa"/>
            <w:shd w:val="clear" w:color="auto" w:fill="auto"/>
            <w:noWrap/>
            <w:vAlign w:val="center"/>
            <w:hideMark/>
          </w:tcPr>
          <w:p w:rsidR="00A15716" w:rsidRPr="00A15716" w:rsidP="00A15716" w14:paraId="6EEAC2D1" w14:textId="77777777">
            <w:pPr>
              <w:jc w:val="right"/>
              <w:rPr>
                <w:color w:val="000000"/>
                <w:sz w:val="22"/>
                <w:szCs w:val="22"/>
              </w:rPr>
            </w:pPr>
            <w:r w:rsidRPr="00A15716">
              <w:rPr>
                <w:color w:val="000000"/>
                <w:sz w:val="22"/>
                <w:szCs w:val="22"/>
              </w:rPr>
              <w:t>1.3</w:t>
            </w:r>
          </w:p>
        </w:tc>
      </w:tr>
      <w:tr w14:paraId="521014E1" w14:textId="77777777" w:rsidTr="00D8664F">
        <w:tblPrEx>
          <w:tblW w:w="6387" w:type="dxa"/>
          <w:tblLook w:val="04A0"/>
        </w:tblPrEx>
        <w:trPr>
          <w:trHeight w:val="300"/>
        </w:trPr>
        <w:tc>
          <w:tcPr>
            <w:tcW w:w="2790" w:type="dxa"/>
            <w:shd w:val="clear" w:color="auto" w:fill="auto"/>
            <w:noWrap/>
            <w:vAlign w:val="center"/>
            <w:hideMark/>
          </w:tcPr>
          <w:p w:rsidR="00A15716" w:rsidRPr="00A15716" w:rsidP="00A15716" w14:paraId="34A756F1" w14:textId="77777777">
            <w:pPr>
              <w:rPr>
                <w:color w:val="000000"/>
                <w:sz w:val="22"/>
                <w:szCs w:val="22"/>
              </w:rPr>
            </w:pPr>
            <w:r w:rsidRPr="00A15716">
              <w:rPr>
                <w:color w:val="000000"/>
                <w:sz w:val="22"/>
                <w:szCs w:val="22"/>
              </w:rPr>
              <w:t>Undeliverable</w:t>
            </w:r>
          </w:p>
        </w:tc>
        <w:tc>
          <w:tcPr>
            <w:tcW w:w="990" w:type="dxa"/>
            <w:shd w:val="clear" w:color="auto" w:fill="auto"/>
            <w:noWrap/>
            <w:vAlign w:val="center"/>
            <w:hideMark/>
          </w:tcPr>
          <w:p w:rsidR="00A15716" w:rsidRPr="00A15716" w:rsidP="00A15716" w14:paraId="12BF3039" w14:textId="77777777">
            <w:pPr>
              <w:jc w:val="right"/>
              <w:rPr>
                <w:color w:val="000000"/>
                <w:sz w:val="22"/>
                <w:szCs w:val="22"/>
              </w:rPr>
            </w:pPr>
            <w:r w:rsidRPr="00A15716">
              <w:rPr>
                <w:color w:val="000000"/>
                <w:sz w:val="22"/>
                <w:szCs w:val="22"/>
              </w:rPr>
              <w:t>619</w:t>
            </w:r>
          </w:p>
        </w:tc>
        <w:tc>
          <w:tcPr>
            <w:tcW w:w="900" w:type="dxa"/>
            <w:shd w:val="clear" w:color="auto" w:fill="auto"/>
            <w:noWrap/>
            <w:vAlign w:val="center"/>
            <w:hideMark/>
          </w:tcPr>
          <w:p w:rsidR="00A15716" w:rsidRPr="00A15716" w:rsidP="00A15716" w14:paraId="4BA9B7EC" w14:textId="77777777">
            <w:pPr>
              <w:jc w:val="right"/>
              <w:rPr>
                <w:color w:val="000000"/>
                <w:sz w:val="22"/>
                <w:szCs w:val="22"/>
              </w:rPr>
            </w:pPr>
            <w:r w:rsidRPr="00A15716">
              <w:rPr>
                <w:color w:val="000000"/>
                <w:sz w:val="22"/>
                <w:szCs w:val="22"/>
              </w:rPr>
              <w:t>8.1</w:t>
            </w:r>
          </w:p>
        </w:tc>
        <w:tc>
          <w:tcPr>
            <w:tcW w:w="810" w:type="dxa"/>
            <w:shd w:val="clear" w:color="auto" w:fill="auto"/>
            <w:noWrap/>
            <w:vAlign w:val="center"/>
            <w:hideMark/>
          </w:tcPr>
          <w:p w:rsidR="00A15716" w:rsidRPr="00A15716" w:rsidP="00A15716" w14:paraId="4901C1EF" w14:textId="77777777">
            <w:pPr>
              <w:jc w:val="right"/>
              <w:rPr>
                <w:color w:val="000000"/>
                <w:sz w:val="22"/>
                <w:szCs w:val="22"/>
              </w:rPr>
            </w:pPr>
            <w:r w:rsidRPr="00A15716">
              <w:rPr>
                <w:color w:val="000000"/>
                <w:sz w:val="22"/>
                <w:szCs w:val="22"/>
              </w:rPr>
              <w:t>853</w:t>
            </w:r>
          </w:p>
        </w:tc>
        <w:tc>
          <w:tcPr>
            <w:tcW w:w="897" w:type="dxa"/>
            <w:shd w:val="clear" w:color="auto" w:fill="auto"/>
            <w:noWrap/>
            <w:vAlign w:val="center"/>
            <w:hideMark/>
          </w:tcPr>
          <w:p w:rsidR="00A15716" w:rsidRPr="00A15716" w:rsidP="00A15716" w14:paraId="6379C88F" w14:textId="77777777">
            <w:pPr>
              <w:jc w:val="right"/>
              <w:rPr>
                <w:color w:val="000000"/>
                <w:sz w:val="22"/>
                <w:szCs w:val="22"/>
              </w:rPr>
            </w:pPr>
            <w:r w:rsidRPr="00A15716">
              <w:rPr>
                <w:color w:val="000000"/>
                <w:sz w:val="22"/>
                <w:szCs w:val="22"/>
              </w:rPr>
              <w:t>10.0</w:t>
            </w:r>
          </w:p>
        </w:tc>
      </w:tr>
      <w:tr w14:paraId="2B471F6E" w14:textId="77777777" w:rsidTr="00D8664F">
        <w:tblPrEx>
          <w:tblW w:w="6387" w:type="dxa"/>
          <w:tblLook w:val="04A0"/>
        </w:tblPrEx>
        <w:trPr>
          <w:trHeight w:val="300"/>
        </w:trPr>
        <w:tc>
          <w:tcPr>
            <w:tcW w:w="2790" w:type="dxa"/>
            <w:shd w:val="clear" w:color="auto" w:fill="auto"/>
            <w:noWrap/>
            <w:vAlign w:val="center"/>
            <w:hideMark/>
          </w:tcPr>
          <w:p w:rsidR="00A15716" w:rsidRPr="00A15716" w:rsidP="00A15716" w14:paraId="4DFDCA0A" w14:textId="77777777">
            <w:pPr>
              <w:rPr>
                <w:color w:val="000000"/>
                <w:sz w:val="22"/>
                <w:szCs w:val="22"/>
              </w:rPr>
            </w:pPr>
            <w:r w:rsidRPr="00A15716">
              <w:rPr>
                <w:color w:val="000000"/>
                <w:sz w:val="22"/>
                <w:szCs w:val="22"/>
              </w:rPr>
              <w:t>Refusal/no response</w:t>
            </w:r>
          </w:p>
        </w:tc>
        <w:tc>
          <w:tcPr>
            <w:tcW w:w="990" w:type="dxa"/>
            <w:shd w:val="clear" w:color="auto" w:fill="auto"/>
            <w:noWrap/>
            <w:vAlign w:val="center"/>
            <w:hideMark/>
          </w:tcPr>
          <w:p w:rsidR="00A15716" w:rsidRPr="00A15716" w:rsidP="00A15716" w14:paraId="1C3CB45B" w14:textId="77777777">
            <w:pPr>
              <w:jc w:val="right"/>
              <w:rPr>
                <w:color w:val="000000"/>
                <w:sz w:val="22"/>
                <w:szCs w:val="22"/>
              </w:rPr>
            </w:pPr>
            <w:r w:rsidRPr="00A15716">
              <w:rPr>
                <w:color w:val="000000"/>
                <w:sz w:val="22"/>
                <w:szCs w:val="22"/>
              </w:rPr>
              <w:t>4,037</w:t>
            </w:r>
          </w:p>
        </w:tc>
        <w:tc>
          <w:tcPr>
            <w:tcW w:w="900" w:type="dxa"/>
            <w:shd w:val="clear" w:color="auto" w:fill="auto"/>
            <w:noWrap/>
            <w:vAlign w:val="center"/>
            <w:hideMark/>
          </w:tcPr>
          <w:p w:rsidR="00A15716" w:rsidRPr="00A15716" w:rsidP="00A15716" w14:paraId="5FDFCEEA" w14:textId="77777777">
            <w:pPr>
              <w:jc w:val="right"/>
              <w:rPr>
                <w:color w:val="000000"/>
                <w:sz w:val="22"/>
                <w:szCs w:val="22"/>
              </w:rPr>
            </w:pPr>
            <w:r w:rsidRPr="00A15716">
              <w:rPr>
                <w:color w:val="000000"/>
                <w:sz w:val="22"/>
                <w:szCs w:val="22"/>
              </w:rPr>
              <w:t>52.8</w:t>
            </w:r>
          </w:p>
        </w:tc>
        <w:tc>
          <w:tcPr>
            <w:tcW w:w="810" w:type="dxa"/>
            <w:shd w:val="clear" w:color="auto" w:fill="auto"/>
            <w:noWrap/>
            <w:vAlign w:val="center"/>
            <w:hideMark/>
          </w:tcPr>
          <w:p w:rsidR="00A15716" w:rsidRPr="00A15716" w:rsidP="00A15716" w14:paraId="2811C844" w14:textId="77777777">
            <w:pPr>
              <w:jc w:val="right"/>
              <w:rPr>
                <w:color w:val="000000"/>
                <w:sz w:val="22"/>
                <w:szCs w:val="22"/>
              </w:rPr>
            </w:pPr>
            <w:r w:rsidRPr="00A15716">
              <w:rPr>
                <w:color w:val="000000"/>
                <w:sz w:val="22"/>
                <w:szCs w:val="22"/>
              </w:rPr>
              <w:t>5,650</w:t>
            </w:r>
          </w:p>
        </w:tc>
        <w:tc>
          <w:tcPr>
            <w:tcW w:w="897" w:type="dxa"/>
            <w:shd w:val="clear" w:color="auto" w:fill="auto"/>
            <w:noWrap/>
            <w:vAlign w:val="center"/>
            <w:hideMark/>
          </w:tcPr>
          <w:p w:rsidR="00A15716" w:rsidRPr="00A15716" w:rsidP="00A15716" w14:paraId="4D3CA9B3" w14:textId="77777777">
            <w:pPr>
              <w:jc w:val="right"/>
              <w:rPr>
                <w:color w:val="000000"/>
                <w:sz w:val="22"/>
                <w:szCs w:val="22"/>
              </w:rPr>
            </w:pPr>
            <w:r w:rsidRPr="00A15716">
              <w:rPr>
                <w:color w:val="000000"/>
                <w:sz w:val="22"/>
                <w:szCs w:val="22"/>
              </w:rPr>
              <w:t>66.5</w:t>
            </w:r>
          </w:p>
        </w:tc>
      </w:tr>
      <w:tr w14:paraId="48906CC6" w14:textId="77777777" w:rsidTr="00D8664F">
        <w:tblPrEx>
          <w:tblW w:w="6387" w:type="dxa"/>
          <w:tblLook w:val="04A0"/>
        </w:tblPrEx>
        <w:trPr>
          <w:trHeight w:val="300"/>
        </w:trPr>
        <w:tc>
          <w:tcPr>
            <w:tcW w:w="2790" w:type="dxa"/>
            <w:shd w:val="clear" w:color="auto" w:fill="auto"/>
            <w:noWrap/>
            <w:vAlign w:val="center"/>
            <w:hideMark/>
          </w:tcPr>
          <w:p w:rsidR="00A15716" w:rsidRPr="00A15716" w:rsidP="00A15716" w14:paraId="628D8BE9" w14:textId="77777777">
            <w:pPr>
              <w:rPr>
                <w:color w:val="000000"/>
                <w:sz w:val="22"/>
                <w:szCs w:val="22"/>
              </w:rPr>
            </w:pPr>
            <w:r w:rsidRPr="00A15716">
              <w:rPr>
                <w:color w:val="000000"/>
                <w:sz w:val="22"/>
                <w:szCs w:val="22"/>
              </w:rPr>
              <w:t>Total</w:t>
            </w:r>
          </w:p>
        </w:tc>
        <w:tc>
          <w:tcPr>
            <w:tcW w:w="990" w:type="dxa"/>
            <w:shd w:val="clear" w:color="auto" w:fill="auto"/>
            <w:noWrap/>
            <w:vAlign w:val="center"/>
            <w:hideMark/>
          </w:tcPr>
          <w:p w:rsidR="00A15716" w:rsidRPr="00A15716" w:rsidP="00A15716" w14:paraId="6B3D5863" w14:textId="77777777">
            <w:pPr>
              <w:jc w:val="right"/>
              <w:rPr>
                <w:color w:val="000000"/>
                <w:sz w:val="22"/>
                <w:szCs w:val="22"/>
              </w:rPr>
            </w:pPr>
            <w:r w:rsidRPr="00A15716">
              <w:rPr>
                <w:color w:val="000000"/>
                <w:sz w:val="22"/>
                <w:szCs w:val="22"/>
              </w:rPr>
              <w:t>7,650</w:t>
            </w:r>
          </w:p>
        </w:tc>
        <w:tc>
          <w:tcPr>
            <w:tcW w:w="900" w:type="dxa"/>
            <w:shd w:val="clear" w:color="auto" w:fill="auto"/>
            <w:noWrap/>
            <w:vAlign w:val="center"/>
            <w:hideMark/>
          </w:tcPr>
          <w:p w:rsidR="00A15716" w:rsidRPr="00A15716" w:rsidP="00A15716" w14:paraId="2B74B9A3" w14:textId="77777777">
            <w:pPr>
              <w:jc w:val="right"/>
              <w:rPr>
                <w:color w:val="000000"/>
                <w:sz w:val="22"/>
                <w:szCs w:val="22"/>
              </w:rPr>
            </w:pPr>
            <w:r w:rsidRPr="00A15716">
              <w:rPr>
                <w:color w:val="000000"/>
                <w:sz w:val="22"/>
                <w:szCs w:val="22"/>
              </w:rPr>
              <w:t>100.0</w:t>
            </w:r>
          </w:p>
        </w:tc>
        <w:tc>
          <w:tcPr>
            <w:tcW w:w="810" w:type="dxa"/>
            <w:shd w:val="clear" w:color="auto" w:fill="auto"/>
            <w:noWrap/>
            <w:vAlign w:val="center"/>
            <w:hideMark/>
          </w:tcPr>
          <w:p w:rsidR="00A15716" w:rsidRPr="00A15716" w:rsidP="00A15716" w14:paraId="38027CCE" w14:textId="77777777">
            <w:pPr>
              <w:jc w:val="right"/>
              <w:rPr>
                <w:color w:val="000000"/>
                <w:sz w:val="22"/>
                <w:szCs w:val="22"/>
              </w:rPr>
            </w:pPr>
            <w:r w:rsidRPr="00A15716">
              <w:rPr>
                <w:color w:val="000000"/>
                <w:sz w:val="22"/>
                <w:szCs w:val="22"/>
              </w:rPr>
              <w:t>8,500</w:t>
            </w:r>
          </w:p>
        </w:tc>
        <w:tc>
          <w:tcPr>
            <w:tcW w:w="897" w:type="dxa"/>
            <w:shd w:val="clear" w:color="auto" w:fill="auto"/>
            <w:noWrap/>
            <w:vAlign w:val="center"/>
            <w:hideMark/>
          </w:tcPr>
          <w:p w:rsidR="00A15716" w:rsidRPr="00A15716" w:rsidP="00A15716" w14:paraId="527AB577" w14:textId="77777777">
            <w:pPr>
              <w:jc w:val="right"/>
              <w:rPr>
                <w:color w:val="000000"/>
                <w:sz w:val="22"/>
                <w:szCs w:val="22"/>
              </w:rPr>
            </w:pPr>
            <w:r w:rsidRPr="00A15716">
              <w:rPr>
                <w:color w:val="000000"/>
                <w:sz w:val="22"/>
                <w:szCs w:val="22"/>
              </w:rPr>
              <w:t>100.0</w:t>
            </w:r>
          </w:p>
        </w:tc>
      </w:tr>
    </w:tbl>
    <w:p w:rsidR="00403F62" w:rsidRPr="005F6640" w:rsidP="00403F62" w14:paraId="3B4F8D9A" w14:textId="77777777"/>
    <w:p w:rsidR="00403F62" w:rsidRPr="005F6640" w:rsidP="00403F62" w14:paraId="75F81D7E" w14:textId="018AE8E4">
      <w:r w:rsidRPr="005F6640">
        <w:t>Table B.2: Response rates from NORC test questionnaire.</w:t>
      </w:r>
    </w:p>
    <w:tbl>
      <w:tblPr>
        <w:tblW w:w="6040" w:type="dxa"/>
        <w:tblBorders>
          <w:top w:val="single" w:sz="4" w:space="0" w:color="auto"/>
          <w:bottom w:val="single" w:sz="4" w:space="0" w:color="auto"/>
          <w:insideH w:val="single" w:sz="4" w:space="0" w:color="BFBFBF" w:themeColor="background1" w:themeShade="BF"/>
        </w:tblBorders>
        <w:tblLook w:val="04A0"/>
      </w:tblPr>
      <w:tblGrid>
        <w:gridCol w:w="4120"/>
        <w:gridCol w:w="960"/>
        <w:gridCol w:w="960"/>
      </w:tblGrid>
      <w:tr w14:paraId="256E725D" w14:textId="77777777" w:rsidTr="00D8664F">
        <w:tblPrEx>
          <w:tblW w:w="6040" w:type="dxa"/>
          <w:tblBorders>
            <w:top w:val="single" w:sz="4" w:space="0" w:color="auto"/>
            <w:bottom w:val="single" w:sz="4" w:space="0" w:color="auto"/>
            <w:insideH w:val="single" w:sz="4" w:space="0" w:color="BFBFBF" w:themeColor="background1" w:themeShade="BF"/>
          </w:tblBorders>
          <w:tblLook w:val="04A0"/>
        </w:tblPrEx>
        <w:trPr>
          <w:trHeight w:val="300"/>
        </w:trPr>
        <w:tc>
          <w:tcPr>
            <w:tcW w:w="4120" w:type="dxa"/>
            <w:shd w:val="clear" w:color="auto" w:fill="auto"/>
            <w:noWrap/>
            <w:vAlign w:val="center"/>
            <w:hideMark/>
          </w:tcPr>
          <w:p w:rsidR="00A15716" w:rsidRPr="00A15716" w:rsidP="00A15716" w14:paraId="01E66576" w14:textId="77777777">
            <w:pPr>
              <w:rPr>
                <w:color w:val="000000"/>
                <w:sz w:val="22"/>
                <w:szCs w:val="22"/>
              </w:rPr>
            </w:pPr>
            <w:r w:rsidRPr="00A15716">
              <w:rPr>
                <w:color w:val="000000"/>
                <w:sz w:val="22"/>
                <w:szCs w:val="22"/>
              </w:rPr>
              <w:t>Category of subject</w:t>
            </w:r>
          </w:p>
        </w:tc>
        <w:tc>
          <w:tcPr>
            <w:tcW w:w="960" w:type="dxa"/>
            <w:shd w:val="clear" w:color="auto" w:fill="auto"/>
            <w:noWrap/>
            <w:vAlign w:val="bottom"/>
            <w:hideMark/>
          </w:tcPr>
          <w:p w:rsidR="00A15716" w:rsidRPr="00A15716" w:rsidP="00A15716" w14:paraId="7ECF15D0" w14:textId="77777777">
            <w:pPr>
              <w:jc w:val="right"/>
              <w:rPr>
                <w:color w:val="000000"/>
                <w:sz w:val="22"/>
                <w:szCs w:val="22"/>
              </w:rPr>
            </w:pPr>
            <w:r w:rsidRPr="00A15716">
              <w:rPr>
                <w:color w:val="000000"/>
                <w:sz w:val="22"/>
                <w:szCs w:val="22"/>
              </w:rPr>
              <w:t>No.</w:t>
            </w:r>
          </w:p>
        </w:tc>
        <w:tc>
          <w:tcPr>
            <w:tcW w:w="960" w:type="dxa"/>
            <w:shd w:val="clear" w:color="auto" w:fill="auto"/>
            <w:noWrap/>
            <w:vAlign w:val="bottom"/>
            <w:hideMark/>
          </w:tcPr>
          <w:p w:rsidR="00A15716" w:rsidRPr="00A15716" w:rsidP="00A15716" w14:paraId="6984C45F" w14:textId="77777777">
            <w:pPr>
              <w:jc w:val="right"/>
              <w:rPr>
                <w:color w:val="000000"/>
                <w:sz w:val="22"/>
                <w:szCs w:val="22"/>
              </w:rPr>
            </w:pPr>
            <w:r w:rsidRPr="00A15716">
              <w:rPr>
                <w:color w:val="000000"/>
                <w:sz w:val="22"/>
                <w:szCs w:val="22"/>
              </w:rPr>
              <w:t>Pct.</w:t>
            </w:r>
          </w:p>
        </w:tc>
      </w:tr>
      <w:tr w14:paraId="4B0A7738" w14:textId="77777777" w:rsidTr="00D8664F">
        <w:tblPrEx>
          <w:tblW w:w="6040" w:type="dxa"/>
          <w:tblLook w:val="04A0"/>
        </w:tblPrEx>
        <w:trPr>
          <w:trHeight w:val="300"/>
        </w:trPr>
        <w:tc>
          <w:tcPr>
            <w:tcW w:w="4120" w:type="dxa"/>
            <w:shd w:val="clear" w:color="auto" w:fill="auto"/>
            <w:noWrap/>
            <w:vAlign w:val="center"/>
            <w:hideMark/>
          </w:tcPr>
          <w:p w:rsidR="00A15716" w:rsidRPr="00A15716" w:rsidP="00A15716" w14:paraId="19262B4F" w14:textId="77777777">
            <w:pPr>
              <w:rPr>
                <w:color w:val="000000"/>
                <w:sz w:val="22"/>
                <w:szCs w:val="22"/>
              </w:rPr>
            </w:pPr>
            <w:r w:rsidRPr="00A15716">
              <w:rPr>
                <w:color w:val="000000"/>
                <w:sz w:val="22"/>
                <w:szCs w:val="22"/>
              </w:rPr>
              <w:t>Respondent</w:t>
            </w:r>
          </w:p>
        </w:tc>
        <w:tc>
          <w:tcPr>
            <w:tcW w:w="960" w:type="dxa"/>
            <w:shd w:val="clear" w:color="auto" w:fill="auto"/>
            <w:noWrap/>
            <w:vAlign w:val="center"/>
            <w:hideMark/>
          </w:tcPr>
          <w:p w:rsidR="00A15716" w:rsidRPr="00A15716" w:rsidP="00A15716" w14:paraId="68584126" w14:textId="77777777">
            <w:pPr>
              <w:jc w:val="right"/>
              <w:rPr>
                <w:color w:val="000000"/>
                <w:sz w:val="22"/>
                <w:szCs w:val="22"/>
              </w:rPr>
            </w:pPr>
            <w:r w:rsidRPr="00A15716">
              <w:rPr>
                <w:color w:val="000000"/>
                <w:sz w:val="22"/>
                <w:szCs w:val="22"/>
              </w:rPr>
              <w:t>1,004</w:t>
            </w:r>
          </w:p>
        </w:tc>
        <w:tc>
          <w:tcPr>
            <w:tcW w:w="960" w:type="dxa"/>
            <w:shd w:val="clear" w:color="auto" w:fill="auto"/>
            <w:noWrap/>
            <w:vAlign w:val="center"/>
            <w:hideMark/>
          </w:tcPr>
          <w:p w:rsidR="00A15716" w:rsidRPr="00A15716" w:rsidP="00A15716" w14:paraId="1CC84BA3" w14:textId="77777777">
            <w:pPr>
              <w:jc w:val="right"/>
              <w:rPr>
                <w:color w:val="000000"/>
                <w:sz w:val="22"/>
                <w:szCs w:val="22"/>
              </w:rPr>
            </w:pPr>
          </w:p>
        </w:tc>
      </w:tr>
      <w:tr w14:paraId="1837AEF1" w14:textId="77777777" w:rsidTr="00D8664F">
        <w:tblPrEx>
          <w:tblW w:w="6040" w:type="dxa"/>
          <w:tblLook w:val="04A0"/>
        </w:tblPrEx>
        <w:trPr>
          <w:trHeight w:val="300"/>
        </w:trPr>
        <w:tc>
          <w:tcPr>
            <w:tcW w:w="4120" w:type="dxa"/>
            <w:shd w:val="clear" w:color="auto" w:fill="auto"/>
            <w:noWrap/>
            <w:vAlign w:val="center"/>
            <w:hideMark/>
          </w:tcPr>
          <w:p w:rsidR="00A15716" w:rsidRPr="00A15716" w:rsidP="00A15716" w14:paraId="6B8C725D" w14:textId="272FCCF4">
            <w:pPr>
              <w:rPr>
                <w:color w:val="000000"/>
                <w:sz w:val="22"/>
                <w:szCs w:val="22"/>
              </w:rPr>
            </w:pPr>
            <w:r w:rsidRPr="00A15716">
              <w:rPr>
                <w:color w:val="000000"/>
                <w:sz w:val="22"/>
                <w:szCs w:val="22"/>
              </w:rPr>
              <w:t>Respondent with any of the four species</w:t>
            </w:r>
          </w:p>
        </w:tc>
        <w:tc>
          <w:tcPr>
            <w:tcW w:w="960" w:type="dxa"/>
            <w:shd w:val="clear" w:color="auto" w:fill="auto"/>
            <w:noWrap/>
            <w:vAlign w:val="center"/>
            <w:hideMark/>
          </w:tcPr>
          <w:p w:rsidR="00A15716" w:rsidRPr="00A15716" w:rsidP="00A15716" w14:paraId="060C3D85" w14:textId="77777777">
            <w:pPr>
              <w:jc w:val="right"/>
              <w:rPr>
                <w:color w:val="000000"/>
                <w:sz w:val="22"/>
                <w:szCs w:val="22"/>
              </w:rPr>
            </w:pPr>
            <w:r w:rsidRPr="00A15716">
              <w:rPr>
                <w:color w:val="000000"/>
                <w:sz w:val="22"/>
                <w:szCs w:val="22"/>
              </w:rPr>
              <w:t>55</w:t>
            </w:r>
          </w:p>
        </w:tc>
        <w:tc>
          <w:tcPr>
            <w:tcW w:w="960" w:type="dxa"/>
            <w:shd w:val="clear" w:color="auto" w:fill="auto"/>
            <w:noWrap/>
            <w:vAlign w:val="center"/>
            <w:hideMark/>
          </w:tcPr>
          <w:p w:rsidR="00A15716" w:rsidRPr="00A15716" w:rsidP="00A15716" w14:paraId="1EA0C1CE" w14:textId="77777777">
            <w:pPr>
              <w:jc w:val="right"/>
              <w:rPr>
                <w:color w:val="000000"/>
                <w:sz w:val="22"/>
                <w:szCs w:val="22"/>
              </w:rPr>
            </w:pPr>
            <w:r w:rsidRPr="00A15716">
              <w:rPr>
                <w:color w:val="000000"/>
                <w:sz w:val="22"/>
                <w:szCs w:val="22"/>
              </w:rPr>
              <w:t>5.5</w:t>
            </w:r>
          </w:p>
        </w:tc>
      </w:tr>
      <w:tr w14:paraId="3E2F6A2A" w14:textId="77777777" w:rsidTr="00D8664F">
        <w:tblPrEx>
          <w:tblW w:w="6040" w:type="dxa"/>
          <w:tblLook w:val="04A0"/>
        </w:tblPrEx>
        <w:trPr>
          <w:trHeight w:val="300"/>
        </w:trPr>
        <w:tc>
          <w:tcPr>
            <w:tcW w:w="4120" w:type="dxa"/>
            <w:shd w:val="clear" w:color="auto" w:fill="auto"/>
            <w:noWrap/>
            <w:vAlign w:val="center"/>
            <w:hideMark/>
          </w:tcPr>
          <w:p w:rsidR="00A15716" w:rsidRPr="00A15716" w:rsidP="00A15716" w14:paraId="2B3F0262" w14:textId="77777777">
            <w:pPr>
              <w:rPr>
                <w:color w:val="000000"/>
                <w:sz w:val="22"/>
                <w:szCs w:val="22"/>
              </w:rPr>
            </w:pPr>
            <w:r w:rsidRPr="00A15716">
              <w:rPr>
                <w:color w:val="000000"/>
                <w:sz w:val="22"/>
                <w:szCs w:val="22"/>
              </w:rPr>
              <w:t>Respondent with chickens</w:t>
            </w:r>
          </w:p>
        </w:tc>
        <w:tc>
          <w:tcPr>
            <w:tcW w:w="960" w:type="dxa"/>
            <w:shd w:val="clear" w:color="auto" w:fill="auto"/>
            <w:noWrap/>
            <w:vAlign w:val="center"/>
            <w:hideMark/>
          </w:tcPr>
          <w:p w:rsidR="00A15716" w:rsidRPr="00A15716" w:rsidP="00A15716" w14:paraId="2B4B313C" w14:textId="77777777">
            <w:pPr>
              <w:jc w:val="right"/>
              <w:rPr>
                <w:color w:val="000000"/>
                <w:sz w:val="22"/>
                <w:szCs w:val="22"/>
              </w:rPr>
            </w:pPr>
            <w:r w:rsidRPr="00A15716">
              <w:rPr>
                <w:color w:val="000000"/>
                <w:sz w:val="22"/>
                <w:szCs w:val="22"/>
              </w:rPr>
              <w:t>40</w:t>
            </w:r>
          </w:p>
        </w:tc>
        <w:tc>
          <w:tcPr>
            <w:tcW w:w="960" w:type="dxa"/>
            <w:shd w:val="clear" w:color="auto" w:fill="auto"/>
            <w:noWrap/>
            <w:vAlign w:val="center"/>
            <w:hideMark/>
          </w:tcPr>
          <w:p w:rsidR="00A15716" w:rsidRPr="00A15716" w:rsidP="00A15716" w14:paraId="7EAC9725" w14:textId="77777777">
            <w:pPr>
              <w:jc w:val="right"/>
              <w:rPr>
                <w:color w:val="000000"/>
                <w:sz w:val="22"/>
                <w:szCs w:val="22"/>
              </w:rPr>
            </w:pPr>
            <w:r w:rsidRPr="00A15716">
              <w:rPr>
                <w:color w:val="000000"/>
                <w:sz w:val="22"/>
                <w:szCs w:val="22"/>
              </w:rPr>
              <w:t>4.0</w:t>
            </w:r>
          </w:p>
        </w:tc>
      </w:tr>
      <w:tr w14:paraId="5493A927" w14:textId="77777777" w:rsidTr="00D8664F">
        <w:tblPrEx>
          <w:tblW w:w="6040" w:type="dxa"/>
          <w:tblLook w:val="04A0"/>
        </w:tblPrEx>
        <w:trPr>
          <w:trHeight w:val="300"/>
        </w:trPr>
        <w:tc>
          <w:tcPr>
            <w:tcW w:w="4120" w:type="dxa"/>
            <w:shd w:val="clear" w:color="auto" w:fill="auto"/>
            <w:noWrap/>
            <w:vAlign w:val="center"/>
            <w:hideMark/>
          </w:tcPr>
          <w:p w:rsidR="00A15716" w:rsidRPr="00A15716" w:rsidP="00A15716" w14:paraId="3C08B3AF" w14:textId="77777777">
            <w:pPr>
              <w:rPr>
                <w:color w:val="000000"/>
                <w:sz w:val="22"/>
                <w:szCs w:val="22"/>
              </w:rPr>
            </w:pPr>
            <w:r w:rsidRPr="00A15716">
              <w:rPr>
                <w:color w:val="000000"/>
                <w:sz w:val="22"/>
                <w:szCs w:val="22"/>
              </w:rPr>
              <w:t>Respondent with rabbits</w:t>
            </w:r>
          </w:p>
        </w:tc>
        <w:tc>
          <w:tcPr>
            <w:tcW w:w="960" w:type="dxa"/>
            <w:shd w:val="clear" w:color="auto" w:fill="auto"/>
            <w:noWrap/>
            <w:vAlign w:val="center"/>
            <w:hideMark/>
          </w:tcPr>
          <w:p w:rsidR="00A15716" w:rsidRPr="00A15716" w:rsidP="00A15716" w14:paraId="34E22607" w14:textId="77777777">
            <w:pPr>
              <w:jc w:val="right"/>
              <w:rPr>
                <w:color w:val="000000"/>
                <w:sz w:val="22"/>
                <w:szCs w:val="22"/>
              </w:rPr>
            </w:pPr>
            <w:r w:rsidRPr="00A15716">
              <w:rPr>
                <w:color w:val="000000"/>
                <w:sz w:val="22"/>
                <w:szCs w:val="22"/>
              </w:rPr>
              <w:t>17</w:t>
            </w:r>
          </w:p>
        </w:tc>
        <w:tc>
          <w:tcPr>
            <w:tcW w:w="960" w:type="dxa"/>
            <w:shd w:val="clear" w:color="auto" w:fill="auto"/>
            <w:noWrap/>
            <w:vAlign w:val="center"/>
            <w:hideMark/>
          </w:tcPr>
          <w:p w:rsidR="00A15716" w:rsidRPr="00A15716" w:rsidP="00A15716" w14:paraId="62D9B222" w14:textId="77777777">
            <w:pPr>
              <w:jc w:val="right"/>
              <w:rPr>
                <w:color w:val="000000"/>
                <w:sz w:val="22"/>
                <w:szCs w:val="22"/>
              </w:rPr>
            </w:pPr>
            <w:r w:rsidRPr="00A15716">
              <w:rPr>
                <w:color w:val="000000"/>
                <w:sz w:val="22"/>
                <w:szCs w:val="22"/>
              </w:rPr>
              <w:t>1.7</w:t>
            </w:r>
          </w:p>
        </w:tc>
      </w:tr>
      <w:tr w14:paraId="4200148A" w14:textId="77777777" w:rsidTr="00D8664F">
        <w:tblPrEx>
          <w:tblW w:w="6040" w:type="dxa"/>
          <w:tblLook w:val="04A0"/>
        </w:tblPrEx>
        <w:trPr>
          <w:trHeight w:val="300"/>
        </w:trPr>
        <w:tc>
          <w:tcPr>
            <w:tcW w:w="4120" w:type="dxa"/>
            <w:shd w:val="clear" w:color="auto" w:fill="auto"/>
            <w:noWrap/>
            <w:vAlign w:val="center"/>
            <w:hideMark/>
          </w:tcPr>
          <w:p w:rsidR="00A15716" w:rsidRPr="00A15716" w:rsidP="00A15716" w14:paraId="3FCD1F19" w14:textId="77777777">
            <w:pPr>
              <w:rPr>
                <w:color w:val="000000"/>
                <w:sz w:val="22"/>
                <w:szCs w:val="22"/>
              </w:rPr>
            </w:pPr>
            <w:r w:rsidRPr="00A15716">
              <w:rPr>
                <w:color w:val="000000"/>
                <w:sz w:val="22"/>
                <w:szCs w:val="22"/>
              </w:rPr>
              <w:t>Respondent with goats</w:t>
            </w:r>
          </w:p>
        </w:tc>
        <w:tc>
          <w:tcPr>
            <w:tcW w:w="960" w:type="dxa"/>
            <w:shd w:val="clear" w:color="auto" w:fill="auto"/>
            <w:noWrap/>
            <w:vAlign w:val="center"/>
            <w:hideMark/>
          </w:tcPr>
          <w:p w:rsidR="00A15716" w:rsidRPr="00A15716" w:rsidP="00A15716" w14:paraId="3B2EEB6F" w14:textId="77777777">
            <w:pPr>
              <w:jc w:val="right"/>
              <w:rPr>
                <w:color w:val="000000"/>
                <w:sz w:val="22"/>
                <w:szCs w:val="22"/>
              </w:rPr>
            </w:pPr>
            <w:r w:rsidRPr="00A15716">
              <w:rPr>
                <w:color w:val="000000"/>
                <w:sz w:val="22"/>
                <w:szCs w:val="22"/>
              </w:rPr>
              <w:t>10</w:t>
            </w:r>
          </w:p>
        </w:tc>
        <w:tc>
          <w:tcPr>
            <w:tcW w:w="960" w:type="dxa"/>
            <w:shd w:val="clear" w:color="auto" w:fill="auto"/>
            <w:noWrap/>
            <w:vAlign w:val="center"/>
            <w:hideMark/>
          </w:tcPr>
          <w:p w:rsidR="00A15716" w:rsidRPr="00A15716" w:rsidP="00A15716" w14:paraId="120AC3A4" w14:textId="77777777">
            <w:pPr>
              <w:jc w:val="right"/>
              <w:rPr>
                <w:color w:val="000000"/>
                <w:sz w:val="22"/>
                <w:szCs w:val="22"/>
              </w:rPr>
            </w:pPr>
            <w:r w:rsidRPr="00A15716">
              <w:rPr>
                <w:color w:val="000000"/>
                <w:sz w:val="22"/>
                <w:szCs w:val="22"/>
              </w:rPr>
              <w:t>1.0</w:t>
            </w:r>
          </w:p>
        </w:tc>
      </w:tr>
      <w:tr w14:paraId="5D79A243" w14:textId="77777777" w:rsidTr="00D8664F">
        <w:tblPrEx>
          <w:tblW w:w="6040" w:type="dxa"/>
          <w:tblLook w:val="04A0"/>
        </w:tblPrEx>
        <w:trPr>
          <w:trHeight w:val="300"/>
        </w:trPr>
        <w:tc>
          <w:tcPr>
            <w:tcW w:w="4120" w:type="dxa"/>
            <w:shd w:val="clear" w:color="auto" w:fill="auto"/>
            <w:noWrap/>
            <w:vAlign w:val="center"/>
            <w:hideMark/>
          </w:tcPr>
          <w:p w:rsidR="00A15716" w:rsidRPr="00A15716" w:rsidP="00A15716" w14:paraId="1820C12F" w14:textId="77777777">
            <w:pPr>
              <w:rPr>
                <w:color w:val="000000"/>
                <w:sz w:val="22"/>
                <w:szCs w:val="22"/>
              </w:rPr>
            </w:pPr>
            <w:r w:rsidRPr="00A15716">
              <w:rPr>
                <w:color w:val="000000"/>
                <w:sz w:val="22"/>
                <w:szCs w:val="22"/>
              </w:rPr>
              <w:t>Respondent with pigs</w:t>
            </w:r>
          </w:p>
        </w:tc>
        <w:tc>
          <w:tcPr>
            <w:tcW w:w="960" w:type="dxa"/>
            <w:shd w:val="clear" w:color="auto" w:fill="auto"/>
            <w:noWrap/>
            <w:vAlign w:val="center"/>
            <w:hideMark/>
          </w:tcPr>
          <w:p w:rsidR="00A15716" w:rsidRPr="00A15716" w:rsidP="00A15716" w14:paraId="3B9FF3C1" w14:textId="77777777">
            <w:pPr>
              <w:jc w:val="right"/>
              <w:rPr>
                <w:color w:val="000000"/>
                <w:sz w:val="22"/>
                <w:szCs w:val="22"/>
              </w:rPr>
            </w:pPr>
            <w:r w:rsidRPr="00A15716">
              <w:rPr>
                <w:color w:val="000000"/>
                <w:sz w:val="22"/>
                <w:szCs w:val="22"/>
              </w:rPr>
              <w:t>6</w:t>
            </w:r>
          </w:p>
        </w:tc>
        <w:tc>
          <w:tcPr>
            <w:tcW w:w="960" w:type="dxa"/>
            <w:shd w:val="clear" w:color="auto" w:fill="auto"/>
            <w:noWrap/>
            <w:vAlign w:val="center"/>
            <w:hideMark/>
          </w:tcPr>
          <w:p w:rsidR="00A15716" w:rsidRPr="00A15716" w:rsidP="00A15716" w14:paraId="0256F820" w14:textId="77777777">
            <w:pPr>
              <w:jc w:val="right"/>
              <w:rPr>
                <w:color w:val="000000"/>
                <w:sz w:val="22"/>
                <w:szCs w:val="22"/>
              </w:rPr>
            </w:pPr>
            <w:r w:rsidRPr="00A15716">
              <w:rPr>
                <w:color w:val="000000"/>
                <w:sz w:val="22"/>
                <w:szCs w:val="22"/>
              </w:rPr>
              <w:t>0.6</w:t>
            </w:r>
          </w:p>
        </w:tc>
      </w:tr>
      <w:tr w14:paraId="56B27756" w14:textId="77777777" w:rsidTr="00D8664F">
        <w:tblPrEx>
          <w:tblW w:w="6040" w:type="dxa"/>
          <w:tblLook w:val="04A0"/>
        </w:tblPrEx>
        <w:trPr>
          <w:trHeight w:val="300"/>
        </w:trPr>
        <w:tc>
          <w:tcPr>
            <w:tcW w:w="4120" w:type="dxa"/>
            <w:shd w:val="clear" w:color="auto" w:fill="auto"/>
            <w:noWrap/>
            <w:vAlign w:val="center"/>
            <w:hideMark/>
          </w:tcPr>
          <w:p w:rsidR="00A15716" w:rsidRPr="00A15716" w:rsidP="00A15716" w14:paraId="1E52DEDA" w14:textId="6FD67BB0">
            <w:pPr>
              <w:rPr>
                <w:color w:val="000000"/>
                <w:sz w:val="22"/>
                <w:szCs w:val="22"/>
              </w:rPr>
            </w:pPr>
            <w:r w:rsidRPr="00A15716">
              <w:rPr>
                <w:color w:val="000000"/>
                <w:sz w:val="22"/>
                <w:szCs w:val="22"/>
              </w:rPr>
              <w:t>Respondents with none of the four species</w:t>
            </w:r>
          </w:p>
        </w:tc>
        <w:tc>
          <w:tcPr>
            <w:tcW w:w="960" w:type="dxa"/>
            <w:shd w:val="clear" w:color="auto" w:fill="auto"/>
            <w:noWrap/>
            <w:vAlign w:val="center"/>
            <w:hideMark/>
          </w:tcPr>
          <w:p w:rsidR="00A15716" w:rsidRPr="00A15716" w:rsidP="00A15716" w14:paraId="6C3C1AFF" w14:textId="77777777">
            <w:pPr>
              <w:jc w:val="right"/>
              <w:rPr>
                <w:color w:val="000000"/>
                <w:sz w:val="22"/>
                <w:szCs w:val="22"/>
              </w:rPr>
            </w:pPr>
            <w:r w:rsidRPr="00A15716">
              <w:rPr>
                <w:color w:val="000000"/>
                <w:sz w:val="22"/>
                <w:szCs w:val="22"/>
              </w:rPr>
              <w:t>949</w:t>
            </w:r>
          </w:p>
        </w:tc>
        <w:tc>
          <w:tcPr>
            <w:tcW w:w="960" w:type="dxa"/>
            <w:shd w:val="clear" w:color="auto" w:fill="auto"/>
            <w:noWrap/>
            <w:vAlign w:val="center"/>
            <w:hideMark/>
          </w:tcPr>
          <w:p w:rsidR="00A15716" w:rsidRPr="00A15716" w:rsidP="00A15716" w14:paraId="58E4A59E" w14:textId="77777777">
            <w:pPr>
              <w:jc w:val="right"/>
              <w:rPr>
                <w:color w:val="000000"/>
                <w:sz w:val="22"/>
                <w:szCs w:val="22"/>
              </w:rPr>
            </w:pPr>
            <w:r w:rsidRPr="00A15716">
              <w:rPr>
                <w:color w:val="000000"/>
                <w:sz w:val="22"/>
                <w:szCs w:val="22"/>
              </w:rPr>
              <w:t>94.5</w:t>
            </w:r>
          </w:p>
        </w:tc>
      </w:tr>
    </w:tbl>
    <w:p w:rsidR="00403F62" w:rsidRPr="005F6640" w:rsidP="00403F62" w14:paraId="4A904EBA" w14:textId="77777777"/>
    <w:p w:rsidR="00A15716" w:rsidRPr="005F6640" w14:paraId="5AC794B5" w14:textId="77777777">
      <w:pPr>
        <w:spacing w:after="160" w:line="259" w:lineRule="auto"/>
      </w:pPr>
      <w:r w:rsidRPr="005F6640">
        <w:br w:type="page"/>
      </w:r>
    </w:p>
    <w:p w:rsidR="00403F62" w:rsidRPr="005F6640" w:rsidP="00403F62" w14:paraId="1D291B66" w14:textId="190A4492">
      <w:r w:rsidRPr="005F6640">
        <w:t xml:space="preserve">Table B.3: Expected response rates for the NAHMS Backyard Animal Keeping </w:t>
      </w:r>
      <w:r w:rsidRPr="005F6640" w:rsidR="006E6DB9">
        <w:t>202</w:t>
      </w:r>
      <w:r w:rsidR="006E6DB9">
        <w:t>4</w:t>
      </w:r>
      <w:r w:rsidRPr="005F6640" w:rsidR="006E6DB9">
        <w:t xml:space="preserve"> </w:t>
      </w:r>
      <w:r w:rsidRPr="005F6640">
        <w:t>study.</w:t>
      </w:r>
    </w:p>
    <w:p w:rsidR="00403F62" w:rsidRPr="005F6640" w:rsidP="00A15641" w14:paraId="2B8224FB" w14:textId="77777777">
      <w:pPr>
        <w:autoSpaceDE w:val="0"/>
        <w:autoSpaceDN w:val="0"/>
        <w:adjustRightInd w:val="0"/>
        <w:rPr>
          <w:b/>
        </w:rPr>
      </w:pPr>
    </w:p>
    <w:tbl>
      <w:tblPr>
        <w:tblW w:w="9914" w:type="dxa"/>
        <w:tblBorders>
          <w:top w:val="single" w:sz="4" w:space="0" w:color="auto"/>
          <w:bottom w:val="single" w:sz="4" w:space="0" w:color="auto"/>
          <w:insideH w:val="single" w:sz="4" w:space="0" w:color="BFBFBF" w:themeColor="background1" w:themeShade="BF"/>
        </w:tblBorders>
        <w:tblLook w:val="04A0"/>
      </w:tblPr>
      <w:tblGrid>
        <w:gridCol w:w="3136"/>
        <w:gridCol w:w="1649"/>
        <w:gridCol w:w="1082"/>
        <w:gridCol w:w="1012"/>
        <w:gridCol w:w="1011"/>
        <w:gridCol w:w="911"/>
        <w:gridCol w:w="1113"/>
      </w:tblGrid>
      <w:tr w14:paraId="62446B83" w14:textId="77777777" w:rsidTr="00D8664F">
        <w:tblPrEx>
          <w:tblW w:w="9914" w:type="dxa"/>
          <w:tblBorders>
            <w:top w:val="single" w:sz="4" w:space="0" w:color="auto"/>
            <w:bottom w:val="single" w:sz="4" w:space="0" w:color="auto"/>
            <w:insideH w:val="single" w:sz="4" w:space="0" w:color="BFBFBF" w:themeColor="background1" w:themeShade="BF"/>
          </w:tblBorders>
          <w:tblLook w:val="04A0"/>
        </w:tblPrEx>
        <w:trPr>
          <w:trHeight w:val="318"/>
        </w:trPr>
        <w:tc>
          <w:tcPr>
            <w:tcW w:w="3136" w:type="dxa"/>
            <w:shd w:val="clear" w:color="auto" w:fill="auto"/>
            <w:noWrap/>
            <w:vAlign w:val="center"/>
            <w:hideMark/>
          </w:tcPr>
          <w:p w:rsidR="00A15716" w:rsidRPr="009D7556" w:rsidP="00A15716" w14:paraId="08FB317D" w14:textId="77777777">
            <w:pPr>
              <w:rPr>
                <w:sz w:val="20"/>
                <w:szCs w:val="20"/>
              </w:rPr>
            </w:pPr>
          </w:p>
        </w:tc>
        <w:tc>
          <w:tcPr>
            <w:tcW w:w="1649" w:type="dxa"/>
            <w:shd w:val="clear" w:color="auto" w:fill="auto"/>
            <w:noWrap/>
            <w:vAlign w:val="center"/>
            <w:hideMark/>
          </w:tcPr>
          <w:p w:rsidR="00A15716" w:rsidRPr="009D7556" w:rsidP="00A15716" w14:paraId="27A6487A" w14:textId="1DD88FD9">
            <w:pPr>
              <w:rPr>
                <w:color w:val="000000"/>
                <w:sz w:val="20"/>
                <w:szCs w:val="20"/>
              </w:rPr>
            </w:pPr>
          </w:p>
        </w:tc>
        <w:tc>
          <w:tcPr>
            <w:tcW w:w="2094" w:type="dxa"/>
            <w:gridSpan w:val="2"/>
            <w:shd w:val="clear" w:color="auto" w:fill="auto"/>
            <w:noWrap/>
            <w:vAlign w:val="bottom"/>
            <w:hideMark/>
          </w:tcPr>
          <w:p w:rsidR="00A15716" w:rsidRPr="009D7556" w:rsidP="00DD7848" w14:paraId="2D22A6BD" w14:textId="60A90DC4">
            <w:pPr>
              <w:jc w:val="center"/>
              <w:rPr>
                <w:color w:val="000000"/>
                <w:sz w:val="20"/>
                <w:szCs w:val="20"/>
              </w:rPr>
            </w:pPr>
            <w:r w:rsidRPr="009D7556">
              <w:rPr>
                <w:color w:val="000000"/>
                <w:sz w:val="20"/>
                <w:szCs w:val="20"/>
              </w:rPr>
              <w:t>Probability panel</w:t>
            </w:r>
          </w:p>
        </w:tc>
        <w:tc>
          <w:tcPr>
            <w:tcW w:w="1922" w:type="dxa"/>
            <w:gridSpan w:val="2"/>
            <w:shd w:val="clear" w:color="auto" w:fill="auto"/>
            <w:noWrap/>
            <w:vAlign w:val="bottom"/>
            <w:hideMark/>
          </w:tcPr>
          <w:p w:rsidR="00A15716" w:rsidRPr="009D7556" w:rsidP="00DD7848" w14:paraId="7090DE03" w14:textId="77891219">
            <w:pPr>
              <w:jc w:val="center"/>
              <w:rPr>
                <w:color w:val="000000"/>
                <w:sz w:val="20"/>
                <w:szCs w:val="20"/>
              </w:rPr>
            </w:pPr>
            <w:r w:rsidRPr="009D7556">
              <w:rPr>
                <w:color w:val="000000"/>
                <w:sz w:val="20"/>
                <w:szCs w:val="20"/>
              </w:rPr>
              <w:t>Nonprobability panel</w:t>
            </w:r>
          </w:p>
        </w:tc>
        <w:tc>
          <w:tcPr>
            <w:tcW w:w="1113" w:type="dxa"/>
            <w:shd w:val="clear" w:color="auto" w:fill="auto"/>
            <w:noWrap/>
            <w:vAlign w:val="bottom"/>
            <w:hideMark/>
          </w:tcPr>
          <w:p w:rsidR="00A15716" w:rsidRPr="009D7556" w:rsidP="00DD7848" w14:paraId="00A20271" w14:textId="77777777">
            <w:pPr>
              <w:jc w:val="center"/>
              <w:rPr>
                <w:color w:val="000000"/>
                <w:sz w:val="20"/>
                <w:szCs w:val="20"/>
              </w:rPr>
            </w:pPr>
            <w:r w:rsidRPr="009D7556">
              <w:rPr>
                <w:color w:val="000000"/>
                <w:sz w:val="20"/>
                <w:szCs w:val="20"/>
              </w:rPr>
              <w:t>Total</w:t>
            </w:r>
          </w:p>
        </w:tc>
      </w:tr>
      <w:tr w14:paraId="04172C3B" w14:textId="77777777" w:rsidTr="00D8664F">
        <w:tblPrEx>
          <w:tblW w:w="9914" w:type="dxa"/>
          <w:tblLook w:val="04A0"/>
        </w:tblPrEx>
        <w:trPr>
          <w:trHeight w:val="318"/>
        </w:trPr>
        <w:tc>
          <w:tcPr>
            <w:tcW w:w="3136" w:type="dxa"/>
            <w:shd w:val="clear" w:color="auto" w:fill="auto"/>
            <w:noWrap/>
            <w:vAlign w:val="bottom"/>
            <w:hideMark/>
          </w:tcPr>
          <w:p w:rsidR="00A15716" w:rsidRPr="009D7556" w:rsidP="00A15716" w14:paraId="75DD5ED9" w14:textId="77777777">
            <w:pPr>
              <w:rPr>
                <w:color w:val="000000"/>
                <w:sz w:val="20"/>
                <w:szCs w:val="20"/>
              </w:rPr>
            </w:pPr>
            <w:r w:rsidRPr="009D7556">
              <w:rPr>
                <w:color w:val="000000"/>
                <w:sz w:val="20"/>
                <w:szCs w:val="20"/>
              </w:rPr>
              <w:t>Category of subject</w:t>
            </w:r>
          </w:p>
        </w:tc>
        <w:tc>
          <w:tcPr>
            <w:tcW w:w="1649" w:type="dxa"/>
            <w:shd w:val="clear" w:color="auto" w:fill="auto"/>
            <w:noWrap/>
            <w:vAlign w:val="bottom"/>
            <w:hideMark/>
          </w:tcPr>
          <w:p w:rsidR="00A15716" w:rsidRPr="009D7556" w:rsidP="00A15716" w14:paraId="488CA377" w14:textId="18134862">
            <w:pPr>
              <w:rPr>
                <w:color w:val="000000"/>
                <w:sz w:val="20"/>
                <w:szCs w:val="20"/>
              </w:rPr>
            </w:pPr>
            <w:r w:rsidRPr="009D7556">
              <w:rPr>
                <w:color w:val="000000"/>
                <w:sz w:val="20"/>
                <w:szCs w:val="20"/>
              </w:rPr>
              <w:t>Study sub-component(s)</w:t>
            </w:r>
          </w:p>
        </w:tc>
        <w:tc>
          <w:tcPr>
            <w:tcW w:w="1082" w:type="dxa"/>
            <w:shd w:val="clear" w:color="auto" w:fill="auto"/>
            <w:noWrap/>
            <w:vAlign w:val="bottom"/>
            <w:hideMark/>
          </w:tcPr>
          <w:p w:rsidR="00A15716" w:rsidRPr="009D7556" w:rsidP="00A15716" w14:paraId="5667F727" w14:textId="181DDEED">
            <w:pPr>
              <w:jc w:val="right"/>
              <w:rPr>
                <w:color w:val="000000"/>
                <w:sz w:val="20"/>
                <w:szCs w:val="20"/>
              </w:rPr>
            </w:pPr>
            <w:r w:rsidRPr="009D7556">
              <w:rPr>
                <w:color w:val="000000"/>
                <w:sz w:val="20"/>
                <w:szCs w:val="20"/>
              </w:rPr>
              <w:t>No.</w:t>
            </w:r>
          </w:p>
        </w:tc>
        <w:tc>
          <w:tcPr>
            <w:tcW w:w="1012" w:type="dxa"/>
            <w:shd w:val="clear" w:color="auto" w:fill="auto"/>
            <w:noWrap/>
            <w:vAlign w:val="bottom"/>
            <w:hideMark/>
          </w:tcPr>
          <w:p w:rsidR="00A15716" w:rsidRPr="009D7556" w:rsidP="00A15716" w14:paraId="6D8174B9" w14:textId="3FF75479">
            <w:pPr>
              <w:jc w:val="right"/>
              <w:rPr>
                <w:color w:val="000000"/>
                <w:sz w:val="20"/>
                <w:szCs w:val="20"/>
              </w:rPr>
            </w:pPr>
            <w:r w:rsidRPr="009D7556">
              <w:rPr>
                <w:color w:val="000000"/>
                <w:sz w:val="20"/>
                <w:szCs w:val="20"/>
              </w:rPr>
              <w:t>Pct.</w:t>
            </w:r>
          </w:p>
        </w:tc>
        <w:tc>
          <w:tcPr>
            <w:tcW w:w="1011" w:type="dxa"/>
            <w:shd w:val="clear" w:color="auto" w:fill="auto"/>
            <w:noWrap/>
            <w:vAlign w:val="bottom"/>
            <w:hideMark/>
          </w:tcPr>
          <w:p w:rsidR="00A15716" w:rsidRPr="009D7556" w:rsidP="00A15716" w14:paraId="1A67CA15" w14:textId="31CAA6C5">
            <w:pPr>
              <w:jc w:val="right"/>
              <w:rPr>
                <w:color w:val="000000"/>
                <w:sz w:val="20"/>
                <w:szCs w:val="20"/>
              </w:rPr>
            </w:pPr>
            <w:r w:rsidRPr="009D7556">
              <w:rPr>
                <w:color w:val="000000"/>
                <w:sz w:val="20"/>
                <w:szCs w:val="20"/>
              </w:rPr>
              <w:t>No.</w:t>
            </w:r>
          </w:p>
        </w:tc>
        <w:tc>
          <w:tcPr>
            <w:tcW w:w="911" w:type="dxa"/>
            <w:shd w:val="clear" w:color="auto" w:fill="auto"/>
            <w:noWrap/>
            <w:vAlign w:val="bottom"/>
            <w:hideMark/>
          </w:tcPr>
          <w:p w:rsidR="00A15716" w:rsidRPr="009D7556" w:rsidP="00A15716" w14:paraId="1AC03843" w14:textId="519CE0FD">
            <w:pPr>
              <w:jc w:val="right"/>
              <w:rPr>
                <w:color w:val="000000"/>
                <w:sz w:val="20"/>
                <w:szCs w:val="20"/>
              </w:rPr>
            </w:pPr>
            <w:r w:rsidRPr="009D7556">
              <w:rPr>
                <w:color w:val="000000"/>
                <w:sz w:val="20"/>
                <w:szCs w:val="20"/>
              </w:rPr>
              <w:t>Pct.</w:t>
            </w:r>
          </w:p>
        </w:tc>
        <w:tc>
          <w:tcPr>
            <w:tcW w:w="1113" w:type="dxa"/>
            <w:shd w:val="clear" w:color="auto" w:fill="auto"/>
            <w:noWrap/>
            <w:vAlign w:val="bottom"/>
            <w:hideMark/>
          </w:tcPr>
          <w:p w:rsidR="00A15716" w:rsidRPr="009D7556" w:rsidP="00A15716" w14:paraId="5B3B1165" w14:textId="34A21FC5">
            <w:pPr>
              <w:jc w:val="right"/>
              <w:rPr>
                <w:color w:val="000000"/>
                <w:sz w:val="20"/>
                <w:szCs w:val="20"/>
              </w:rPr>
            </w:pPr>
            <w:r w:rsidRPr="009D7556">
              <w:rPr>
                <w:color w:val="000000"/>
                <w:sz w:val="20"/>
                <w:szCs w:val="20"/>
              </w:rPr>
              <w:t>No.</w:t>
            </w:r>
          </w:p>
        </w:tc>
      </w:tr>
      <w:tr w14:paraId="76269D03" w14:textId="77777777" w:rsidTr="00D8664F">
        <w:tblPrEx>
          <w:tblW w:w="9914" w:type="dxa"/>
          <w:tblLook w:val="04A0"/>
        </w:tblPrEx>
        <w:trPr>
          <w:trHeight w:val="318"/>
        </w:trPr>
        <w:tc>
          <w:tcPr>
            <w:tcW w:w="3136" w:type="dxa"/>
            <w:shd w:val="clear" w:color="auto" w:fill="BFBFBF" w:themeFill="background1" w:themeFillShade="BF"/>
            <w:noWrap/>
            <w:vAlign w:val="center"/>
          </w:tcPr>
          <w:p w:rsidR="00A15716" w:rsidRPr="009D7556" w:rsidP="00A15716" w14:paraId="4AE9D289" w14:textId="216E4E39">
            <w:pPr>
              <w:rPr>
                <w:color w:val="000000"/>
                <w:sz w:val="20"/>
                <w:szCs w:val="20"/>
              </w:rPr>
            </w:pPr>
            <w:r w:rsidRPr="009D7556">
              <w:rPr>
                <w:color w:val="000000"/>
                <w:sz w:val="20"/>
                <w:szCs w:val="20"/>
              </w:rPr>
              <w:t>National Survey</w:t>
            </w:r>
          </w:p>
        </w:tc>
        <w:tc>
          <w:tcPr>
            <w:tcW w:w="1649" w:type="dxa"/>
            <w:shd w:val="clear" w:color="auto" w:fill="BFBFBF" w:themeFill="background1" w:themeFillShade="BF"/>
            <w:noWrap/>
            <w:vAlign w:val="center"/>
          </w:tcPr>
          <w:p w:rsidR="00A15716" w:rsidRPr="009D7556" w:rsidP="00A15716" w14:paraId="073EB49B" w14:textId="77777777">
            <w:pPr>
              <w:rPr>
                <w:color w:val="000000"/>
                <w:sz w:val="20"/>
                <w:szCs w:val="20"/>
              </w:rPr>
            </w:pPr>
          </w:p>
        </w:tc>
        <w:tc>
          <w:tcPr>
            <w:tcW w:w="1082" w:type="dxa"/>
            <w:shd w:val="clear" w:color="auto" w:fill="BFBFBF" w:themeFill="background1" w:themeFillShade="BF"/>
            <w:noWrap/>
            <w:vAlign w:val="center"/>
          </w:tcPr>
          <w:p w:rsidR="00A15716" w:rsidRPr="009D7556" w:rsidP="00A15716" w14:paraId="0BA341D4" w14:textId="77777777">
            <w:pPr>
              <w:jc w:val="right"/>
              <w:rPr>
                <w:color w:val="000000"/>
                <w:sz w:val="20"/>
                <w:szCs w:val="20"/>
              </w:rPr>
            </w:pPr>
          </w:p>
        </w:tc>
        <w:tc>
          <w:tcPr>
            <w:tcW w:w="1012" w:type="dxa"/>
            <w:shd w:val="clear" w:color="auto" w:fill="BFBFBF" w:themeFill="background1" w:themeFillShade="BF"/>
            <w:noWrap/>
            <w:vAlign w:val="center"/>
          </w:tcPr>
          <w:p w:rsidR="00A15716" w:rsidRPr="009D7556" w:rsidP="00A15716" w14:paraId="1121193E" w14:textId="77777777">
            <w:pPr>
              <w:jc w:val="right"/>
              <w:rPr>
                <w:color w:val="000000"/>
                <w:sz w:val="20"/>
                <w:szCs w:val="20"/>
              </w:rPr>
            </w:pPr>
          </w:p>
        </w:tc>
        <w:tc>
          <w:tcPr>
            <w:tcW w:w="1011" w:type="dxa"/>
            <w:shd w:val="clear" w:color="auto" w:fill="BFBFBF" w:themeFill="background1" w:themeFillShade="BF"/>
            <w:noWrap/>
            <w:vAlign w:val="center"/>
          </w:tcPr>
          <w:p w:rsidR="00A15716" w:rsidRPr="009D7556" w:rsidP="00A15716" w14:paraId="3DD20DFB" w14:textId="77777777">
            <w:pPr>
              <w:jc w:val="right"/>
              <w:rPr>
                <w:color w:val="000000"/>
                <w:sz w:val="20"/>
                <w:szCs w:val="20"/>
              </w:rPr>
            </w:pPr>
          </w:p>
        </w:tc>
        <w:tc>
          <w:tcPr>
            <w:tcW w:w="911" w:type="dxa"/>
            <w:shd w:val="clear" w:color="auto" w:fill="BFBFBF" w:themeFill="background1" w:themeFillShade="BF"/>
            <w:noWrap/>
            <w:vAlign w:val="center"/>
          </w:tcPr>
          <w:p w:rsidR="00A15716" w:rsidRPr="009D7556" w:rsidP="00A15716" w14:paraId="3E6F2156" w14:textId="77777777">
            <w:pPr>
              <w:jc w:val="right"/>
              <w:rPr>
                <w:color w:val="000000"/>
                <w:sz w:val="20"/>
                <w:szCs w:val="20"/>
              </w:rPr>
            </w:pPr>
          </w:p>
        </w:tc>
        <w:tc>
          <w:tcPr>
            <w:tcW w:w="1113" w:type="dxa"/>
            <w:shd w:val="clear" w:color="auto" w:fill="BFBFBF" w:themeFill="background1" w:themeFillShade="BF"/>
            <w:noWrap/>
            <w:vAlign w:val="center"/>
          </w:tcPr>
          <w:p w:rsidR="00A15716" w:rsidRPr="009D7556" w:rsidP="00A15716" w14:paraId="485EC133" w14:textId="77777777">
            <w:pPr>
              <w:jc w:val="right"/>
              <w:rPr>
                <w:color w:val="000000"/>
                <w:sz w:val="20"/>
                <w:szCs w:val="20"/>
              </w:rPr>
            </w:pPr>
          </w:p>
        </w:tc>
      </w:tr>
      <w:tr w14:paraId="15FB29CD" w14:textId="77777777" w:rsidTr="00D8664F">
        <w:tblPrEx>
          <w:tblW w:w="9914" w:type="dxa"/>
          <w:tblLook w:val="04A0"/>
        </w:tblPrEx>
        <w:trPr>
          <w:trHeight w:val="318"/>
        </w:trPr>
        <w:tc>
          <w:tcPr>
            <w:tcW w:w="3136" w:type="dxa"/>
            <w:shd w:val="clear" w:color="auto" w:fill="auto"/>
            <w:noWrap/>
            <w:vAlign w:val="center"/>
          </w:tcPr>
          <w:p w:rsidR="005F6640" w:rsidRPr="009D7556" w:rsidP="005F6640" w14:paraId="2C9A61D1" w14:textId="76E881B3">
            <w:pPr>
              <w:rPr>
                <w:color w:val="000000"/>
                <w:sz w:val="20"/>
                <w:szCs w:val="20"/>
              </w:rPr>
            </w:pPr>
            <w:r w:rsidRPr="009D7556">
              <w:rPr>
                <w:color w:val="000000"/>
                <w:sz w:val="20"/>
                <w:szCs w:val="20"/>
              </w:rPr>
              <w:t>Available for response</w:t>
            </w:r>
          </w:p>
        </w:tc>
        <w:tc>
          <w:tcPr>
            <w:tcW w:w="1649" w:type="dxa"/>
            <w:shd w:val="clear" w:color="auto" w:fill="auto"/>
            <w:noWrap/>
            <w:vAlign w:val="center"/>
          </w:tcPr>
          <w:p w:rsidR="005F6640" w:rsidRPr="009D7556" w:rsidP="005F6640" w14:paraId="39A74CE4" w14:textId="77777777">
            <w:pPr>
              <w:rPr>
                <w:color w:val="000000"/>
                <w:sz w:val="20"/>
                <w:szCs w:val="20"/>
              </w:rPr>
            </w:pPr>
          </w:p>
        </w:tc>
        <w:tc>
          <w:tcPr>
            <w:tcW w:w="1082" w:type="dxa"/>
            <w:shd w:val="clear" w:color="auto" w:fill="auto"/>
            <w:noWrap/>
            <w:vAlign w:val="center"/>
          </w:tcPr>
          <w:p w:rsidR="005F6640" w:rsidRPr="009D7556" w:rsidP="005F6640" w14:paraId="623DA8FC" w14:textId="5B0E13FF">
            <w:pPr>
              <w:jc w:val="right"/>
              <w:rPr>
                <w:color w:val="000000"/>
                <w:sz w:val="20"/>
                <w:szCs w:val="20"/>
                <w:vertAlign w:val="superscript"/>
              </w:rPr>
            </w:pPr>
            <w:r w:rsidRPr="009D7556">
              <w:rPr>
                <w:color w:val="000000"/>
                <w:sz w:val="20"/>
                <w:szCs w:val="20"/>
              </w:rPr>
              <w:t>43,000</w:t>
            </w:r>
            <w:r w:rsidRPr="009D7556" w:rsidR="009D7556">
              <w:rPr>
                <w:color w:val="000000"/>
                <w:sz w:val="20"/>
                <w:szCs w:val="20"/>
                <w:vertAlign w:val="superscript"/>
              </w:rPr>
              <w:t>1</w:t>
            </w:r>
          </w:p>
        </w:tc>
        <w:tc>
          <w:tcPr>
            <w:tcW w:w="1012" w:type="dxa"/>
            <w:shd w:val="clear" w:color="auto" w:fill="auto"/>
            <w:noWrap/>
            <w:vAlign w:val="center"/>
          </w:tcPr>
          <w:p w:rsidR="005F6640" w:rsidRPr="009D7556" w:rsidP="005F6640" w14:paraId="7288A36F" w14:textId="77777777">
            <w:pPr>
              <w:jc w:val="right"/>
              <w:rPr>
                <w:color w:val="000000"/>
                <w:sz w:val="20"/>
                <w:szCs w:val="20"/>
              </w:rPr>
            </w:pPr>
          </w:p>
        </w:tc>
        <w:tc>
          <w:tcPr>
            <w:tcW w:w="1011" w:type="dxa"/>
            <w:shd w:val="clear" w:color="auto" w:fill="auto"/>
            <w:noWrap/>
            <w:vAlign w:val="center"/>
          </w:tcPr>
          <w:p w:rsidR="005F6640" w:rsidRPr="009D7556" w:rsidP="005F6640" w14:paraId="7EF2DBFF" w14:textId="260B295A">
            <w:pPr>
              <w:jc w:val="right"/>
              <w:rPr>
                <w:color w:val="000000"/>
                <w:sz w:val="20"/>
                <w:szCs w:val="20"/>
              </w:rPr>
            </w:pPr>
            <w:r w:rsidRPr="009D7556">
              <w:rPr>
                <w:color w:val="000000"/>
                <w:sz w:val="20"/>
                <w:szCs w:val="20"/>
              </w:rPr>
              <w:t>54,745</w:t>
            </w:r>
          </w:p>
        </w:tc>
        <w:tc>
          <w:tcPr>
            <w:tcW w:w="911" w:type="dxa"/>
            <w:shd w:val="clear" w:color="auto" w:fill="auto"/>
            <w:noWrap/>
            <w:vAlign w:val="center"/>
          </w:tcPr>
          <w:p w:rsidR="005F6640" w:rsidRPr="009D7556" w:rsidP="005F6640" w14:paraId="45EEBD72" w14:textId="77777777">
            <w:pPr>
              <w:jc w:val="right"/>
              <w:rPr>
                <w:color w:val="000000"/>
                <w:sz w:val="20"/>
                <w:szCs w:val="20"/>
              </w:rPr>
            </w:pPr>
          </w:p>
        </w:tc>
        <w:tc>
          <w:tcPr>
            <w:tcW w:w="1113" w:type="dxa"/>
            <w:shd w:val="clear" w:color="auto" w:fill="auto"/>
            <w:noWrap/>
            <w:vAlign w:val="center"/>
          </w:tcPr>
          <w:p w:rsidR="005F6640" w:rsidRPr="009D7556" w:rsidP="005F6640" w14:paraId="72E6A955" w14:textId="153E1A7E">
            <w:pPr>
              <w:jc w:val="right"/>
              <w:rPr>
                <w:color w:val="000000"/>
                <w:sz w:val="20"/>
                <w:szCs w:val="20"/>
              </w:rPr>
            </w:pPr>
            <w:r w:rsidRPr="009D7556">
              <w:rPr>
                <w:color w:val="000000"/>
                <w:sz w:val="20"/>
                <w:szCs w:val="20"/>
              </w:rPr>
              <w:t>97,745</w:t>
            </w:r>
          </w:p>
        </w:tc>
      </w:tr>
      <w:tr w14:paraId="6F246052"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366FBDAE" w14:textId="77777777">
            <w:pPr>
              <w:rPr>
                <w:color w:val="000000"/>
                <w:sz w:val="20"/>
                <w:szCs w:val="20"/>
              </w:rPr>
            </w:pPr>
            <w:r w:rsidRPr="009D7556">
              <w:rPr>
                <w:color w:val="000000"/>
                <w:sz w:val="20"/>
                <w:szCs w:val="20"/>
              </w:rPr>
              <w:t>Respondent</w:t>
            </w:r>
          </w:p>
        </w:tc>
        <w:tc>
          <w:tcPr>
            <w:tcW w:w="1649" w:type="dxa"/>
            <w:shd w:val="clear" w:color="auto" w:fill="auto"/>
            <w:noWrap/>
            <w:vAlign w:val="center"/>
            <w:hideMark/>
          </w:tcPr>
          <w:p w:rsidR="005F6640" w:rsidRPr="009D7556" w:rsidP="005F6640" w14:paraId="77CC7E72" w14:textId="77777777">
            <w:pPr>
              <w:rPr>
                <w:color w:val="000000"/>
                <w:sz w:val="20"/>
                <w:szCs w:val="20"/>
              </w:rPr>
            </w:pPr>
            <w:r w:rsidRPr="009D7556">
              <w:rPr>
                <w:color w:val="000000"/>
                <w:sz w:val="20"/>
                <w:szCs w:val="20"/>
              </w:rPr>
              <w:t>1.a</w:t>
            </w:r>
          </w:p>
        </w:tc>
        <w:tc>
          <w:tcPr>
            <w:tcW w:w="1082" w:type="dxa"/>
            <w:shd w:val="clear" w:color="auto" w:fill="auto"/>
            <w:noWrap/>
            <w:vAlign w:val="center"/>
            <w:hideMark/>
          </w:tcPr>
          <w:p w:rsidR="005F6640" w:rsidRPr="009D7556" w:rsidP="005F6640" w14:paraId="7B1BCB21" w14:textId="77777777">
            <w:pPr>
              <w:jc w:val="right"/>
              <w:rPr>
                <w:color w:val="000000"/>
                <w:sz w:val="20"/>
                <w:szCs w:val="20"/>
              </w:rPr>
            </w:pPr>
            <w:r w:rsidRPr="009D7556">
              <w:rPr>
                <w:color w:val="000000"/>
                <w:sz w:val="20"/>
                <w:szCs w:val="20"/>
              </w:rPr>
              <w:t>8,600</w:t>
            </w:r>
          </w:p>
        </w:tc>
        <w:tc>
          <w:tcPr>
            <w:tcW w:w="1012" w:type="dxa"/>
            <w:shd w:val="clear" w:color="auto" w:fill="auto"/>
            <w:noWrap/>
            <w:vAlign w:val="center"/>
            <w:hideMark/>
          </w:tcPr>
          <w:p w:rsidR="005F6640" w:rsidRPr="009D7556" w:rsidP="005F6640" w14:paraId="744CAA98" w14:textId="2247BC2A">
            <w:pPr>
              <w:jc w:val="right"/>
              <w:rPr>
                <w:color w:val="000000"/>
                <w:sz w:val="20"/>
                <w:szCs w:val="20"/>
                <w:vertAlign w:val="superscript"/>
              </w:rPr>
            </w:pPr>
            <w:r w:rsidRPr="009D7556">
              <w:rPr>
                <w:color w:val="000000"/>
                <w:sz w:val="20"/>
                <w:szCs w:val="20"/>
              </w:rPr>
              <w:t>20.0</w:t>
            </w:r>
            <w:r w:rsidRPr="009D7556" w:rsidR="009D7556">
              <w:rPr>
                <w:color w:val="000000"/>
                <w:sz w:val="20"/>
                <w:szCs w:val="20"/>
                <w:vertAlign w:val="superscript"/>
              </w:rPr>
              <w:t>2</w:t>
            </w:r>
          </w:p>
        </w:tc>
        <w:tc>
          <w:tcPr>
            <w:tcW w:w="1011" w:type="dxa"/>
            <w:shd w:val="clear" w:color="auto" w:fill="auto"/>
            <w:noWrap/>
            <w:vAlign w:val="center"/>
            <w:hideMark/>
          </w:tcPr>
          <w:p w:rsidR="005F6640" w:rsidRPr="009D7556" w:rsidP="005F6640" w14:paraId="3C3981EE" w14:textId="77777777">
            <w:pPr>
              <w:jc w:val="right"/>
              <w:rPr>
                <w:color w:val="000000"/>
                <w:sz w:val="20"/>
                <w:szCs w:val="20"/>
              </w:rPr>
            </w:pPr>
            <w:r w:rsidRPr="009D7556">
              <w:rPr>
                <w:color w:val="000000"/>
                <w:sz w:val="20"/>
                <w:szCs w:val="20"/>
              </w:rPr>
              <w:t>5,474</w:t>
            </w:r>
          </w:p>
        </w:tc>
        <w:tc>
          <w:tcPr>
            <w:tcW w:w="911" w:type="dxa"/>
            <w:shd w:val="clear" w:color="auto" w:fill="auto"/>
            <w:noWrap/>
            <w:vAlign w:val="center"/>
            <w:hideMark/>
          </w:tcPr>
          <w:p w:rsidR="005F6640" w:rsidRPr="009D7556" w:rsidP="005F6640" w14:paraId="053A52EB" w14:textId="53894FBE">
            <w:pPr>
              <w:jc w:val="right"/>
              <w:rPr>
                <w:color w:val="000000"/>
                <w:sz w:val="20"/>
                <w:szCs w:val="20"/>
                <w:vertAlign w:val="superscript"/>
              </w:rPr>
            </w:pPr>
            <w:r w:rsidRPr="009D7556">
              <w:rPr>
                <w:color w:val="000000"/>
                <w:sz w:val="20"/>
                <w:szCs w:val="20"/>
              </w:rPr>
              <w:t>10.0</w:t>
            </w:r>
            <w:r w:rsidRPr="009D7556" w:rsidR="009D7556">
              <w:rPr>
                <w:color w:val="000000"/>
                <w:sz w:val="20"/>
                <w:szCs w:val="20"/>
                <w:vertAlign w:val="superscript"/>
              </w:rPr>
              <w:t>3</w:t>
            </w:r>
          </w:p>
        </w:tc>
        <w:tc>
          <w:tcPr>
            <w:tcW w:w="1113" w:type="dxa"/>
            <w:shd w:val="clear" w:color="auto" w:fill="auto"/>
            <w:noWrap/>
            <w:vAlign w:val="center"/>
            <w:hideMark/>
          </w:tcPr>
          <w:p w:rsidR="005F6640" w:rsidRPr="009D7556" w:rsidP="005F6640" w14:paraId="298BB17A" w14:textId="77777777">
            <w:pPr>
              <w:jc w:val="right"/>
              <w:rPr>
                <w:color w:val="000000"/>
                <w:sz w:val="20"/>
                <w:szCs w:val="20"/>
              </w:rPr>
            </w:pPr>
            <w:r w:rsidRPr="009D7556">
              <w:rPr>
                <w:color w:val="000000"/>
                <w:sz w:val="20"/>
                <w:szCs w:val="20"/>
              </w:rPr>
              <w:t>14,074</w:t>
            </w:r>
          </w:p>
        </w:tc>
      </w:tr>
      <w:tr w14:paraId="66BA47EB"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6190232C" w14:textId="6E9A0381">
            <w:pPr>
              <w:rPr>
                <w:color w:val="000000"/>
                <w:sz w:val="20"/>
                <w:szCs w:val="20"/>
              </w:rPr>
            </w:pPr>
            <w:r w:rsidRPr="009D7556">
              <w:rPr>
                <w:color w:val="000000"/>
                <w:sz w:val="20"/>
                <w:szCs w:val="20"/>
              </w:rPr>
              <w:t>Respondent with any of the species</w:t>
            </w:r>
          </w:p>
        </w:tc>
        <w:tc>
          <w:tcPr>
            <w:tcW w:w="1649" w:type="dxa"/>
            <w:shd w:val="clear" w:color="auto" w:fill="auto"/>
            <w:noWrap/>
            <w:vAlign w:val="center"/>
            <w:hideMark/>
          </w:tcPr>
          <w:p w:rsidR="005F6640" w:rsidRPr="009D7556" w:rsidP="005F6640" w14:paraId="71A232B6" w14:textId="77777777">
            <w:pPr>
              <w:rPr>
                <w:color w:val="000000"/>
                <w:sz w:val="20"/>
                <w:szCs w:val="20"/>
              </w:rPr>
            </w:pPr>
            <w:r w:rsidRPr="009D7556">
              <w:rPr>
                <w:color w:val="000000"/>
                <w:sz w:val="20"/>
                <w:szCs w:val="20"/>
              </w:rPr>
              <w:t xml:space="preserve">1.a, </w:t>
            </w:r>
            <w:r w:rsidRPr="009D7556">
              <w:rPr>
                <w:color w:val="000000"/>
                <w:sz w:val="20"/>
                <w:szCs w:val="20"/>
              </w:rPr>
              <w:t>1.b</w:t>
            </w:r>
          </w:p>
        </w:tc>
        <w:tc>
          <w:tcPr>
            <w:tcW w:w="1082" w:type="dxa"/>
            <w:shd w:val="clear" w:color="auto" w:fill="auto"/>
            <w:noWrap/>
            <w:vAlign w:val="center"/>
            <w:hideMark/>
          </w:tcPr>
          <w:p w:rsidR="005F6640" w:rsidRPr="009D7556" w:rsidP="005F6640" w14:paraId="76806740" w14:textId="77777777">
            <w:pPr>
              <w:jc w:val="right"/>
              <w:rPr>
                <w:color w:val="000000"/>
                <w:sz w:val="20"/>
                <w:szCs w:val="20"/>
              </w:rPr>
            </w:pPr>
            <w:r w:rsidRPr="009D7556">
              <w:rPr>
                <w:color w:val="000000"/>
                <w:sz w:val="20"/>
                <w:szCs w:val="20"/>
              </w:rPr>
              <w:t>471</w:t>
            </w:r>
          </w:p>
        </w:tc>
        <w:tc>
          <w:tcPr>
            <w:tcW w:w="1012" w:type="dxa"/>
            <w:shd w:val="clear" w:color="auto" w:fill="auto"/>
            <w:noWrap/>
            <w:vAlign w:val="center"/>
            <w:hideMark/>
          </w:tcPr>
          <w:p w:rsidR="005F6640" w:rsidRPr="009D7556" w:rsidP="005F6640" w14:paraId="3705FB43" w14:textId="77777777">
            <w:pPr>
              <w:jc w:val="right"/>
              <w:rPr>
                <w:color w:val="000000"/>
                <w:sz w:val="20"/>
                <w:szCs w:val="20"/>
              </w:rPr>
            </w:pPr>
            <w:r w:rsidRPr="009D7556">
              <w:rPr>
                <w:color w:val="000000"/>
                <w:sz w:val="20"/>
                <w:szCs w:val="20"/>
              </w:rPr>
              <w:t>5.5</w:t>
            </w:r>
          </w:p>
        </w:tc>
        <w:tc>
          <w:tcPr>
            <w:tcW w:w="1011" w:type="dxa"/>
            <w:shd w:val="clear" w:color="auto" w:fill="auto"/>
            <w:noWrap/>
            <w:vAlign w:val="center"/>
            <w:hideMark/>
          </w:tcPr>
          <w:p w:rsidR="005F6640" w:rsidRPr="009D7556" w:rsidP="005F6640" w14:paraId="7B84FA4D" w14:textId="07EF3CF5">
            <w:pPr>
              <w:jc w:val="right"/>
              <w:rPr>
                <w:color w:val="000000"/>
                <w:sz w:val="20"/>
                <w:szCs w:val="20"/>
                <w:vertAlign w:val="superscript"/>
              </w:rPr>
            </w:pPr>
            <w:r w:rsidRPr="009D7556">
              <w:rPr>
                <w:color w:val="000000"/>
                <w:sz w:val="20"/>
                <w:szCs w:val="20"/>
              </w:rPr>
              <w:t>300</w:t>
            </w:r>
            <w:r w:rsidRPr="009D7556" w:rsidR="009D7556">
              <w:rPr>
                <w:color w:val="000000"/>
                <w:sz w:val="20"/>
                <w:szCs w:val="20"/>
                <w:vertAlign w:val="superscript"/>
              </w:rPr>
              <w:t>3</w:t>
            </w:r>
          </w:p>
        </w:tc>
        <w:tc>
          <w:tcPr>
            <w:tcW w:w="911" w:type="dxa"/>
            <w:shd w:val="clear" w:color="auto" w:fill="auto"/>
            <w:noWrap/>
            <w:vAlign w:val="center"/>
            <w:hideMark/>
          </w:tcPr>
          <w:p w:rsidR="005F6640" w:rsidRPr="009D7556" w:rsidP="005F6640" w14:paraId="37834852" w14:textId="77777777">
            <w:pPr>
              <w:jc w:val="right"/>
              <w:rPr>
                <w:color w:val="000000"/>
                <w:sz w:val="20"/>
                <w:szCs w:val="20"/>
              </w:rPr>
            </w:pPr>
            <w:r w:rsidRPr="009D7556">
              <w:rPr>
                <w:color w:val="000000"/>
                <w:sz w:val="20"/>
                <w:szCs w:val="20"/>
              </w:rPr>
              <w:t>5.5</w:t>
            </w:r>
          </w:p>
        </w:tc>
        <w:tc>
          <w:tcPr>
            <w:tcW w:w="1113" w:type="dxa"/>
            <w:shd w:val="clear" w:color="auto" w:fill="auto"/>
            <w:noWrap/>
            <w:vAlign w:val="center"/>
            <w:hideMark/>
          </w:tcPr>
          <w:p w:rsidR="005F6640" w:rsidRPr="009D7556" w:rsidP="005F6640" w14:paraId="427A3E71" w14:textId="77777777">
            <w:pPr>
              <w:jc w:val="right"/>
              <w:rPr>
                <w:color w:val="000000"/>
                <w:sz w:val="20"/>
                <w:szCs w:val="20"/>
              </w:rPr>
            </w:pPr>
            <w:r w:rsidRPr="009D7556">
              <w:rPr>
                <w:color w:val="000000"/>
                <w:sz w:val="20"/>
                <w:szCs w:val="20"/>
              </w:rPr>
              <w:t>771</w:t>
            </w:r>
          </w:p>
        </w:tc>
      </w:tr>
      <w:tr w14:paraId="6B4B469D" w14:textId="77777777" w:rsidTr="00D8664F">
        <w:tblPrEx>
          <w:tblW w:w="9914" w:type="dxa"/>
          <w:tblLook w:val="04A0"/>
        </w:tblPrEx>
        <w:trPr>
          <w:trHeight w:val="318"/>
        </w:trPr>
        <w:tc>
          <w:tcPr>
            <w:tcW w:w="3136" w:type="dxa"/>
            <w:shd w:val="clear" w:color="auto" w:fill="auto"/>
            <w:noWrap/>
            <w:vAlign w:val="center"/>
            <w:hideMark/>
          </w:tcPr>
          <w:p w:rsidR="005F6640" w:rsidRPr="00024CFF" w:rsidP="005F6640" w14:paraId="1365FE88" w14:textId="25855C68">
            <w:pPr>
              <w:rPr>
                <w:color w:val="000000"/>
                <w:sz w:val="20"/>
                <w:szCs w:val="20"/>
                <w:vertAlign w:val="superscript"/>
              </w:rPr>
            </w:pPr>
            <w:r w:rsidRPr="009D7556">
              <w:rPr>
                <w:color w:val="000000"/>
                <w:sz w:val="20"/>
                <w:szCs w:val="20"/>
              </w:rPr>
              <w:t xml:space="preserve">Respondent with </w:t>
            </w:r>
            <w:r w:rsidR="00972204">
              <w:rPr>
                <w:color w:val="000000"/>
                <w:sz w:val="20"/>
                <w:szCs w:val="20"/>
              </w:rPr>
              <w:t>poultry</w:t>
            </w:r>
            <w:r w:rsidR="00F77BE2">
              <w:rPr>
                <w:color w:val="000000"/>
                <w:sz w:val="20"/>
                <w:szCs w:val="20"/>
                <w:vertAlign w:val="superscript"/>
              </w:rPr>
              <w:t>5</w:t>
            </w:r>
          </w:p>
        </w:tc>
        <w:tc>
          <w:tcPr>
            <w:tcW w:w="1649" w:type="dxa"/>
            <w:shd w:val="clear" w:color="auto" w:fill="auto"/>
            <w:noWrap/>
            <w:vAlign w:val="center"/>
            <w:hideMark/>
          </w:tcPr>
          <w:p w:rsidR="005F6640" w:rsidRPr="009D7556" w:rsidP="005F6640" w14:paraId="4AE25A0F" w14:textId="77777777">
            <w:pPr>
              <w:rPr>
                <w:color w:val="000000"/>
                <w:sz w:val="20"/>
                <w:szCs w:val="20"/>
              </w:rPr>
            </w:pPr>
            <w:r w:rsidRPr="009D7556">
              <w:rPr>
                <w:color w:val="000000"/>
                <w:sz w:val="20"/>
                <w:szCs w:val="20"/>
              </w:rPr>
              <w:t xml:space="preserve">1.a, </w:t>
            </w:r>
            <w:r w:rsidRPr="009D7556">
              <w:rPr>
                <w:color w:val="000000"/>
                <w:sz w:val="20"/>
                <w:szCs w:val="20"/>
              </w:rPr>
              <w:t>1.b</w:t>
            </w:r>
          </w:p>
        </w:tc>
        <w:tc>
          <w:tcPr>
            <w:tcW w:w="1082" w:type="dxa"/>
            <w:shd w:val="clear" w:color="auto" w:fill="auto"/>
            <w:noWrap/>
            <w:vAlign w:val="center"/>
            <w:hideMark/>
          </w:tcPr>
          <w:p w:rsidR="005F6640" w:rsidRPr="009D7556" w:rsidP="005F6640" w14:paraId="68A5C332" w14:textId="77777777">
            <w:pPr>
              <w:jc w:val="right"/>
              <w:rPr>
                <w:color w:val="000000"/>
                <w:sz w:val="20"/>
                <w:szCs w:val="20"/>
              </w:rPr>
            </w:pPr>
            <w:r w:rsidRPr="009D7556">
              <w:rPr>
                <w:color w:val="000000"/>
                <w:sz w:val="20"/>
                <w:szCs w:val="20"/>
              </w:rPr>
              <w:t>342</w:t>
            </w:r>
          </w:p>
        </w:tc>
        <w:tc>
          <w:tcPr>
            <w:tcW w:w="1012" w:type="dxa"/>
            <w:shd w:val="clear" w:color="auto" w:fill="auto"/>
            <w:noWrap/>
            <w:vAlign w:val="center"/>
            <w:hideMark/>
          </w:tcPr>
          <w:p w:rsidR="005F6640" w:rsidRPr="009D7556" w:rsidP="005F6640" w14:paraId="3A3E3586" w14:textId="77777777">
            <w:pPr>
              <w:jc w:val="right"/>
              <w:rPr>
                <w:color w:val="000000"/>
                <w:sz w:val="20"/>
                <w:szCs w:val="20"/>
              </w:rPr>
            </w:pPr>
            <w:r w:rsidRPr="009D7556">
              <w:rPr>
                <w:color w:val="000000"/>
                <w:sz w:val="20"/>
                <w:szCs w:val="20"/>
              </w:rPr>
              <w:t>4.0</w:t>
            </w:r>
          </w:p>
        </w:tc>
        <w:tc>
          <w:tcPr>
            <w:tcW w:w="1011" w:type="dxa"/>
            <w:shd w:val="clear" w:color="auto" w:fill="auto"/>
            <w:noWrap/>
            <w:vAlign w:val="center"/>
            <w:hideMark/>
          </w:tcPr>
          <w:p w:rsidR="005F6640" w:rsidRPr="009D7556" w:rsidP="005F6640" w14:paraId="7F981FC8" w14:textId="77777777">
            <w:pPr>
              <w:jc w:val="right"/>
              <w:rPr>
                <w:color w:val="000000"/>
                <w:sz w:val="20"/>
                <w:szCs w:val="20"/>
              </w:rPr>
            </w:pPr>
            <w:r w:rsidRPr="009D7556">
              <w:rPr>
                <w:color w:val="000000"/>
                <w:sz w:val="20"/>
                <w:szCs w:val="20"/>
              </w:rPr>
              <w:t>218</w:t>
            </w:r>
          </w:p>
        </w:tc>
        <w:tc>
          <w:tcPr>
            <w:tcW w:w="911" w:type="dxa"/>
            <w:shd w:val="clear" w:color="auto" w:fill="auto"/>
            <w:noWrap/>
            <w:vAlign w:val="center"/>
            <w:hideMark/>
          </w:tcPr>
          <w:p w:rsidR="005F6640" w:rsidRPr="009D7556" w:rsidP="005F6640" w14:paraId="0A082E26" w14:textId="77777777">
            <w:pPr>
              <w:jc w:val="right"/>
              <w:rPr>
                <w:color w:val="000000"/>
                <w:sz w:val="20"/>
                <w:szCs w:val="20"/>
              </w:rPr>
            </w:pPr>
            <w:r w:rsidRPr="009D7556">
              <w:rPr>
                <w:color w:val="000000"/>
                <w:sz w:val="20"/>
                <w:szCs w:val="20"/>
              </w:rPr>
              <w:t>4.0</w:t>
            </w:r>
          </w:p>
        </w:tc>
        <w:tc>
          <w:tcPr>
            <w:tcW w:w="1113" w:type="dxa"/>
            <w:shd w:val="clear" w:color="auto" w:fill="auto"/>
            <w:noWrap/>
            <w:vAlign w:val="center"/>
            <w:hideMark/>
          </w:tcPr>
          <w:p w:rsidR="005F6640" w:rsidRPr="009D7556" w:rsidP="005F6640" w14:paraId="76DF3042" w14:textId="77777777">
            <w:pPr>
              <w:jc w:val="right"/>
              <w:rPr>
                <w:color w:val="000000"/>
                <w:sz w:val="20"/>
                <w:szCs w:val="20"/>
              </w:rPr>
            </w:pPr>
            <w:r w:rsidRPr="009D7556">
              <w:rPr>
                <w:color w:val="000000"/>
                <w:sz w:val="20"/>
                <w:szCs w:val="20"/>
              </w:rPr>
              <w:t>560</w:t>
            </w:r>
          </w:p>
        </w:tc>
      </w:tr>
      <w:tr w14:paraId="3236D4B0"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41E0F1F1" w14:textId="77777777">
            <w:pPr>
              <w:rPr>
                <w:color w:val="000000"/>
                <w:sz w:val="20"/>
                <w:szCs w:val="20"/>
              </w:rPr>
            </w:pPr>
            <w:r w:rsidRPr="009D7556">
              <w:rPr>
                <w:color w:val="000000"/>
                <w:sz w:val="20"/>
                <w:szCs w:val="20"/>
              </w:rPr>
              <w:t>Respondent with rabbits</w:t>
            </w:r>
          </w:p>
        </w:tc>
        <w:tc>
          <w:tcPr>
            <w:tcW w:w="1649" w:type="dxa"/>
            <w:shd w:val="clear" w:color="auto" w:fill="auto"/>
            <w:noWrap/>
            <w:vAlign w:val="center"/>
            <w:hideMark/>
          </w:tcPr>
          <w:p w:rsidR="005F6640" w:rsidRPr="009D7556" w:rsidP="005F6640" w14:paraId="6DAE7C98" w14:textId="77777777">
            <w:pPr>
              <w:rPr>
                <w:color w:val="000000"/>
                <w:sz w:val="20"/>
                <w:szCs w:val="20"/>
              </w:rPr>
            </w:pPr>
            <w:r w:rsidRPr="009D7556">
              <w:rPr>
                <w:color w:val="000000"/>
                <w:sz w:val="20"/>
                <w:szCs w:val="20"/>
              </w:rPr>
              <w:t xml:space="preserve">1.a, </w:t>
            </w:r>
            <w:r w:rsidRPr="009D7556">
              <w:rPr>
                <w:color w:val="000000"/>
                <w:sz w:val="20"/>
                <w:szCs w:val="20"/>
              </w:rPr>
              <w:t>1.b</w:t>
            </w:r>
          </w:p>
        </w:tc>
        <w:tc>
          <w:tcPr>
            <w:tcW w:w="1082" w:type="dxa"/>
            <w:shd w:val="clear" w:color="auto" w:fill="auto"/>
            <w:noWrap/>
            <w:vAlign w:val="center"/>
            <w:hideMark/>
          </w:tcPr>
          <w:p w:rsidR="005F6640" w:rsidRPr="009D7556" w:rsidP="005F6640" w14:paraId="59EECF73" w14:textId="77777777">
            <w:pPr>
              <w:jc w:val="right"/>
              <w:rPr>
                <w:color w:val="000000"/>
                <w:sz w:val="20"/>
                <w:szCs w:val="20"/>
              </w:rPr>
            </w:pPr>
            <w:r w:rsidRPr="009D7556">
              <w:rPr>
                <w:color w:val="000000"/>
                <w:sz w:val="20"/>
                <w:szCs w:val="20"/>
              </w:rPr>
              <w:t>145</w:t>
            </w:r>
          </w:p>
        </w:tc>
        <w:tc>
          <w:tcPr>
            <w:tcW w:w="1012" w:type="dxa"/>
            <w:shd w:val="clear" w:color="auto" w:fill="auto"/>
            <w:noWrap/>
            <w:vAlign w:val="center"/>
            <w:hideMark/>
          </w:tcPr>
          <w:p w:rsidR="005F6640" w:rsidRPr="009D7556" w:rsidP="005F6640" w14:paraId="39994EE9" w14:textId="77777777">
            <w:pPr>
              <w:jc w:val="right"/>
              <w:rPr>
                <w:color w:val="000000"/>
                <w:sz w:val="20"/>
                <w:szCs w:val="20"/>
              </w:rPr>
            </w:pPr>
            <w:r w:rsidRPr="009D7556">
              <w:rPr>
                <w:color w:val="000000"/>
                <w:sz w:val="20"/>
                <w:szCs w:val="20"/>
              </w:rPr>
              <w:t>1.7</w:t>
            </w:r>
          </w:p>
        </w:tc>
        <w:tc>
          <w:tcPr>
            <w:tcW w:w="1011" w:type="dxa"/>
            <w:shd w:val="clear" w:color="auto" w:fill="auto"/>
            <w:noWrap/>
            <w:vAlign w:val="center"/>
            <w:hideMark/>
          </w:tcPr>
          <w:p w:rsidR="005F6640" w:rsidRPr="009D7556" w:rsidP="005F6640" w14:paraId="49751C35" w14:textId="77777777">
            <w:pPr>
              <w:jc w:val="right"/>
              <w:rPr>
                <w:color w:val="000000"/>
                <w:sz w:val="20"/>
                <w:szCs w:val="20"/>
              </w:rPr>
            </w:pPr>
            <w:r w:rsidRPr="009D7556">
              <w:rPr>
                <w:color w:val="000000"/>
                <w:sz w:val="20"/>
                <w:szCs w:val="20"/>
              </w:rPr>
              <w:t>93</w:t>
            </w:r>
          </w:p>
        </w:tc>
        <w:tc>
          <w:tcPr>
            <w:tcW w:w="911" w:type="dxa"/>
            <w:shd w:val="clear" w:color="auto" w:fill="auto"/>
            <w:noWrap/>
            <w:vAlign w:val="center"/>
            <w:hideMark/>
          </w:tcPr>
          <w:p w:rsidR="005F6640" w:rsidRPr="009D7556" w:rsidP="005F6640" w14:paraId="2CC7F5BF" w14:textId="77777777">
            <w:pPr>
              <w:jc w:val="right"/>
              <w:rPr>
                <w:color w:val="000000"/>
                <w:sz w:val="20"/>
                <w:szCs w:val="20"/>
              </w:rPr>
            </w:pPr>
            <w:r w:rsidRPr="009D7556">
              <w:rPr>
                <w:color w:val="000000"/>
                <w:sz w:val="20"/>
                <w:szCs w:val="20"/>
              </w:rPr>
              <w:t>1.7</w:t>
            </w:r>
          </w:p>
        </w:tc>
        <w:tc>
          <w:tcPr>
            <w:tcW w:w="1113" w:type="dxa"/>
            <w:shd w:val="clear" w:color="auto" w:fill="auto"/>
            <w:noWrap/>
            <w:vAlign w:val="center"/>
            <w:hideMark/>
          </w:tcPr>
          <w:p w:rsidR="005F6640" w:rsidRPr="009D7556" w:rsidP="005F6640" w14:paraId="0E2B67B9" w14:textId="77777777">
            <w:pPr>
              <w:jc w:val="right"/>
              <w:rPr>
                <w:color w:val="000000"/>
                <w:sz w:val="20"/>
                <w:szCs w:val="20"/>
              </w:rPr>
            </w:pPr>
            <w:r w:rsidRPr="009D7556">
              <w:rPr>
                <w:color w:val="000000"/>
                <w:sz w:val="20"/>
                <w:szCs w:val="20"/>
              </w:rPr>
              <w:t>238</w:t>
            </w:r>
          </w:p>
        </w:tc>
      </w:tr>
      <w:tr w14:paraId="6F3D6C8C"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7C8A2B6A" w14:textId="77777777">
            <w:pPr>
              <w:rPr>
                <w:color w:val="000000"/>
                <w:sz w:val="20"/>
                <w:szCs w:val="20"/>
              </w:rPr>
            </w:pPr>
            <w:r w:rsidRPr="009D7556">
              <w:rPr>
                <w:color w:val="000000"/>
                <w:sz w:val="20"/>
                <w:szCs w:val="20"/>
              </w:rPr>
              <w:t>Respondent with goats</w:t>
            </w:r>
          </w:p>
        </w:tc>
        <w:tc>
          <w:tcPr>
            <w:tcW w:w="1649" w:type="dxa"/>
            <w:shd w:val="clear" w:color="auto" w:fill="auto"/>
            <w:noWrap/>
            <w:vAlign w:val="center"/>
            <w:hideMark/>
          </w:tcPr>
          <w:p w:rsidR="005F6640" w:rsidRPr="009D7556" w:rsidP="005F6640" w14:paraId="5BB08CA6" w14:textId="77777777">
            <w:pPr>
              <w:rPr>
                <w:color w:val="000000"/>
                <w:sz w:val="20"/>
                <w:szCs w:val="20"/>
              </w:rPr>
            </w:pPr>
            <w:r w:rsidRPr="009D7556">
              <w:rPr>
                <w:color w:val="000000"/>
                <w:sz w:val="20"/>
                <w:szCs w:val="20"/>
              </w:rPr>
              <w:t xml:space="preserve">1.a, </w:t>
            </w:r>
            <w:r w:rsidRPr="009D7556">
              <w:rPr>
                <w:color w:val="000000"/>
                <w:sz w:val="20"/>
                <w:szCs w:val="20"/>
              </w:rPr>
              <w:t>1.b</w:t>
            </w:r>
          </w:p>
        </w:tc>
        <w:tc>
          <w:tcPr>
            <w:tcW w:w="1082" w:type="dxa"/>
            <w:shd w:val="clear" w:color="auto" w:fill="auto"/>
            <w:noWrap/>
            <w:vAlign w:val="center"/>
            <w:hideMark/>
          </w:tcPr>
          <w:p w:rsidR="005F6640" w:rsidRPr="009D7556" w:rsidP="005F6640" w14:paraId="1F10A1FC" w14:textId="77777777">
            <w:pPr>
              <w:jc w:val="right"/>
              <w:rPr>
                <w:color w:val="000000"/>
                <w:sz w:val="20"/>
                <w:szCs w:val="20"/>
              </w:rPr>
            </w:pPr>
            <w:r w:rsidRPr="009D7556">
              <w:rPr>
                <w:color w:val="000000"/>
                <w:sz w:val="20"/>
                <w:szCs w:val="20"/>
              </w:rPr>
              <w:t>86</w:t>
            </w:r>
          </w:p>
        </w:tc>
        <w:tc>
          <w:tcPr>
            <w:tcW w:w="1012" w:type="dxa"/>
            <w:shd w:val="clear" w:color="auto" w:fill="auto"/>
            <w:noWrap/>
            <w:vAlign w:val="center"/>
            <w:hideMark/>
          </w:tcPr>
          <w:p w:rsidR="005F6640" w:rsidRPr="009D7556" w:rsidP="005F6640" w14:paraId="5C2306AE" w14:textId="77777777">
            <w:pPr>
              <w:jc w:val="right"/>
              <w:rPr>
                <w:color w:val="000000"/>
                <w:sz w:val="20"/>
                <w:szCs w:val="20"/>
              </w:rPr>
            </w:pPr>
            <w:r w:rsidRPr="009D7556">
              <w:rPr>
                <w:color w:val="000000"/>
                <w:sz w:val="20"/>
                <w:szCs w:val="20"/>
              </w:rPr>
              <w:t>1.0</w:t>
            </w:r>
          </w:p>
        </w:tc>
        <w:tc>
          <w:tcPr>
            <w:tcW w:w="1011" w:type="dxa"/>
            <w:shd w:val="clear" w:color="auto" w:fill="auto"/>
            <w:noWrap/>
            <w:vAlign w:val="center"/>
            <w:hideMark/>
          </w:tcPr>
          <w:p w:rsidR="005F6640" w:rsidRPr="009D7556" w:rsidP="005F6640" w14:paraId="46C41BA6" w14:textId="77777777">
            <w:pPr>
              <w:jc w:val="right"/>
              <w:rPr>
                <w:color w:val="000000"/>
                <w:sz w:val="20"/>
                <w:szCs w:val="20"/>
              </w:rPr>
            </w:pPr>
            <w:r w:rsidRPr="009D7556">
              <w:rPr>
                <w:color w:val="000000"/>
                <w:sz w:val="20"/>
                <w:szCs w:val="20"/>
              </w:rPr>
              <w:t>55</w:t>
            </w:r>
          </w:p>
        </w:tc>
        <w:tc>
          <w:tcPr>
            <w:tcW w:w="911" w:type="dxa"/>
            <w:shd w:val="clear" w:color="auto" w:fill="auto"/>
            <w:noWrap/>
            <w:vAlign w:val="center"/>
            <w:hideMark/>
          </w:tcPr>
          <w:p w:rsidR="005F6640" w:rsidRPr="009D7556" w:rsidP="005F6640" w14:paraId="6C65925C" w14:textId="77777777">
            <w:pPr>
              <w:jc w:val="right"/>
              <w:rPr>
                <w:color w:val="000000"/>
                <w:sz w:val="20"/>
                <w:szCs w:val="20"/>
              </w:rPr>
            </w:pPr>
            <w:r w:rsidRPr="009D7556">
              <w:rPr>
                <w:color w:val="000000"/>
                <w:sz w:val="20"/>
                <w:szCs w:val="20"/>
              </w:rPr>
              <w:t>1.0</w:t>
            </w:r>
          </w:p>
        </w:tc>
        <w:tc>
          <w:tcPr>
            <w:tcW w:w="1113" w:type="dxa"/>
            <w:shd w:val="clear" w:color="auto" w:fill="auto"/>
            <w:noWrap/>
            <w:vAlign w:val="center"/>
            <w:hideMark/>
          </w:tcPr>
          <w:p w:rsidR="005F6640" w:rsidRPr="009D7556" w:rsidP="005F6640" w14:paraId="0FACB236" w14:textId="77777777">
            <w:pPr>
              <w:jc w:val="right"/>
              <w:rPr>
                <w:color w:val="000000"/>
                <w:sz w:val="20"/>
                <w:szCs w:val="20"/>
              </w:rPr>
            </w:pPr>
            <w:r w:rsidRPr="009D7556">
              <w:rPr>
                <w:color w:val="000000"/>
                <w:sz w:val="20"/>
                <w:szCs w:val="20"/>
              </w:rPr>
              <w:t>141</w:t>
            </w:r>
          </w:p>
        </w:tc>
      </w:tr>
      <w:tr w14:paraId="027A3371"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227A3A23" w14:textId="77777777">
            <w:pPr>
              <w:rPr>
                <w:color w:val="000000"/>
                <w:sz w:val="20"/>
                <w:szCs w:val="20"/>
              </w:rPr>
            </w:pPr>
            <w:r w:rsidRPr="009D7556">
              <w:rPr>
                <w:color w:val="000000"/>
                <w:sz w:val="20"/>
                <w:szCs w:val="20"/>
              </w:rPr>
              <w:t>Respondent with pigs</w:t>
            </w:r>
          </w:p>
        </w:tc>
        <w:tc>
          <w:tcPr>
            <w:tcW w:w="1649" w:type="dxa"/>
            <w:shd w:val="clear" w:color="auto" w:fill="auto"/>
            <w:noWrap/>
            <w:vAlign w:val="center"/>
            <w:hideMark/>
          </w:tcPr>
          <w:p w:rsidR="005F6640" w:rsidRPr="009D7556" w:rsidP="005F6640" w14:paraId="46150D2F" w14:textId="77777777">
            <w:pPr>
              <w:rPr>
                <w:color w:val="000000"/>
                <w:sz w:val="20"/>
                <w:szCs w:val="20"/>
              </w:rPr>
            </w:pPr>
            <w:r w:rsidRPr="009D7556">
              <w:rPr>
                <w:color w:val="000000"/>
                <w:sz w:val="20"/>
                <w:szCs w:val="20"/>
              </w:rPr>
              <w:t xml:space="preserve">1.a, </w:t>
            </w:r>
            <w:r w:rsidRPr="009D7556">
              <w:rPr>
                <w:color w:val="000000"/>
                <w:sz w:val="20"/>
                <w:szCs w:val="20"/>
              </w:rPr>
              <w:t>1.b</w:t>
            </w:r>
          </w:p>
        </w:tc>
        <w:tc>
          <w:tcPr>
            <w:tcW w:w="1082" w:type="dxa"/>
            <w:shd w:val="clear" w:color="auto" w:fill="auto"/>
            <w:noWrap/>
            <w:vAlign w:val="center"/>
            <w:hideMark/>
          </w:tcPr>
          <w:p w:rsidR="005F6640" w:rsidRPr="009D7556" w:rsidP="005F6640" w14:paraId="30A78DF4" w14:textId="77777777">
            <w:pPr>
              <w:jc w:val="right"/>
              <w:rPr>
                <w:color w:val="000000"/>
                <w:sz w:val="20"/>
                <w:szCs w:val="20"/>
              </w:rPr>
            </w:pPr>
            <w:r w:rsidRPr="009D7556">
              <w:rPr>
                <w:color w:val="000000"/>
                <w:sz w:val="20"/>
                <w:szCs w:val="20"/>
              </w:rPr>
              <w:t>52</w:t>
            </w:r>
          </w:p>
        </w:tc>
        <w:tc>
          <w:tcPr>
            <w:tcW w:w="1012" w:type="dxa"/>
            <w:shd w:val="clear" w:color="auto" w:fill="auto"/>
            <w:noWrap/>
            <w:vAlign w:val="center"/>
            <w:hideMark/>
          </w:tcPr>
          <w:p w:rsidR="005F6640" w:rsidRPr="009D7556" w:rsidP="005F6640" w14:paraId="26FDA73A" w14:textId="77777777">
            <w:pPr>
              <w:jc w:val="right"/>
              <w:rPr>
                <w:color w:val="000000"/>
                <w:sz w:val="20"/>
                <w:szCs w:val="20"/>
              </w:rPr>
            </w:pPr>
            <w:r w:rsidRPr="009D7556">
              <w:rPr>
                <w:color w:val="000000"/>
                <w:sz w:val="20"/>
                <w:szCs w:val="20"/>
              </w:rPr>
              <w:t>0.6</w:t>
            </w:r>
          </w:p>
        </w:tc>
        <w:tc>
          <w:tcPr>
            <w:tcW w:w="1011" w:type="dxa"/>
            <w:shd w:val="clear" w:color="auto" w:fill="auto"/>
            <w:noWrap/>
            <w:vAlign w:val="center"/>
            <w:hideMark/>
          </w:tcPr>
          <w:p w:rsidR="005F6640" w:rsidRPr="009D7556" w:rsidP="005F6640" w14:paraId="6C0530E3" w14:textId="77777777">
            <w:pPr>
              <w:jc w:val="right"/>
              <w:rPr>
                <w:color w:val="000000"/>
                <w:sz w:val="20"/>
                <w:szCs w:val="20"/>
              </w:rPr>
            </w:pPr>
            <w:r w:rsidRPr="009D7556">
              <w:rPr>
                <w:color w:val="000000"/>
                <w:sz w:val="20"/>
                <w:szCs w:val="20"/>
              </w:rPr>
              <w:t>33</w:t>
            </w:r>
          </w:p>
        </w:tc>
        <w:tc>
          <w:tcPr>
            <w:tcW w:w="911" w:type="dxa"/>
            <w:shd w:val="clear" w:color="auto" w:fill="auto"/>
            <w:noWrap/>
            <w:vAlign w:val="center"/>
            <w:hideMark/>
          </w:tcPr>
          <w:p w:rsidR="005F6640" w:rsidRPr="009D7556" w:rsidP="005F6640" w14:paraId="1E3165FC" w14:textId="77777777">
            <w:pPr>
              <w:jc w:val="right"/>
              <w:rPr>
                <w:color w:val="000000"/>
                <w:sz w:val="20"/>
                <w:szCs w:val="20"/>
              </w:rPr>
            </w:pPr>
            <w:r w:rsidRPr="009D7556">
              <w:rPr>
                <w:color w:val="000000"/>
                <w:sz w:val="20"/>
                <w:szCs w:val="20"/>
              </w:rPr>
              <w:t>0.6</w:t>
            </w:r>
          </w:p>
        </w:tc>
        <w:tc>
          <w:tcPr>
            <w:tcW w:w="1113" w:type="dxa"/>
            <w:shd w:val="clear" w:color="auto" w:fill="auto"/>
            <w:noWrap/>
            <w:vAlign w:val="center"/>
            <w:hideMark/>
          </w:tcPr>
          <w:p w:rsidR="005F6640" w:rsidRPr="009D7556" w:rsidP="005F6640" w14:paraId="68222F37" w14:textId="77777777">
            <w:pPr>
              <w:jc w:val="right"/>
              <w:rPr>
                <w:color w:val="000000"/>
                <w:sz w:val="20"/>
                <w:szCs w:val="20"/>
              </w:rPr>
            </w:pPr>
            <w:r w:rsidRPr="009D7556">
              <w:rPr>
                <w:color w:val="000000"/>
                <w:sz w:val="20"/>
                <w:szCs w:val="20"/>
              </w:rPr>
              <w:t>84</w:t>
            </w:r>
          </w:p>
        </w:tc>
      </w:tr>
      <w:tr w14:paraId="29ACA9BB"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25141D17" w14:textId="0836D508">
            <w:pPr>
              <w:rPr>
                <w:color w:val="000000"/>
                <w:sz w:val="20"/>
                <w:szCs w:val="20"/>
              </w:rPr>
            </w:pPr>
            <w:r w:rsidRPr="009D7556">
              <w:rPr>
                <w:color w:val="000000"/>
                <w:sz w:val="20"/>
                <w:szCs w:val="20"/>
              </w:rPr>
              <w:t>Respondents with none of the species</w:t>
            </w:r>
          </w:p>
        </w:tc>
        <w:tc>
          <w:tcPr>
            <w:tcW w:w="1649" w:type="dxa"/>
            <w:shd w:val="clear" w:color="auto" w:fill="auto"/>
            <w:noWrap/>
            <w:vAlign w:val="center"/>
            <w:hideMark/>
          </w:tcPr>
          <w:p w:rsidR="005F6640" w:rsidRPr="009D7556" w:rsidP="005F6640" w14:paraId="0FACC730" w14:textId="77777777">
            <w:pPr>
              <w:rPr>
                <w:color w:val="000000"/>
                <w:sz w:val="20"/>
                <w:szCs w:val="20"/>
              </w:rPr>
            </w:pPr>
            <w:r w:rsidRPr="009D7556">
              <w:rPr>
                <w:color w:val="000000"/>
                <w:sz w:val="20"/>
                <w:szCs w:val="20"/>
              </w:rPr>
              <w:t>1.a</w:t>
            </w:r>
          </w:p>
        </w:tc>
        <w:tc>
          <w:tcPr>
            <w:tcW w:w="1082" w:type="dxa"/>
            <w:shd w:val="clear" w:color="auto" w:fill="auto"/>
            <w:noWrap/>
            <w:vAlign w:val="center"/>
            <w:hideMark/>
          </w:tcPr>
          <w:p w:rsidR="005F6640" w:rsidRPr="009D7556" w:rsidP="005F6640" w14:paraId="72624005" w14:textId="77777777">
            <w:pPr>
              <w:jc w:val="right"/>
              <w:rPr>
                <w:color w:val="000000"/>
                <w:sz w:val="20"/>
                <w:szCs w:val="20"/>
              </w:rPr>
            </w:pPr>
            <w:r w:rsidRPr="009D7556">
              <w:rPr>
                <w:color w:val="000000"/>
                <w:sz w:val="20"/>
                <w:szCs w:val="20"/>
              </w:rPr>
              <w:t>8,129</w:t>
            </w:r>
          </w:p>
        </w:tc>
        <w:tc>
          <w:tcPr>
            <w:tcW w:w="1012" w:type="dxa"/>
            <w:shd w:val="clear" w:color="auto" w:fill="auto"/>
            <w:noWrap/>
            <w:vAlign w:val="center"/>
            <w:hideMark/>
          </w:tcPr>
          <w:p w:rsidR="005F6640" w:rsidRPr="009D7556" w:rsidP="005F6640" w14:paraId="3E3EF9E0" w14:textId="77777777">
            <w:pPr>
              <w:jc w:val="right"/>
              <w:rPr>
                <w:color w:val="000000"/>
                <w:sz w:val="20"/>
                <w:szCs w:val="20"/>
              </w:rPr>
            </w:pPr>
            <w:r w:rsidRPr="009D7556">
              <w:rPr>
                <w:color w:val="000000"/>
                <w:sz w:val="20"/>
                <w:szCs w:val="20"/>
              </w:rPr>
              <w:t>94.5</w:t>
            </w:r>
          </w:p>
        </w:tc>
        <w:tc>
          <w:tcPr>
            <w:tcW w:w="1011" w:type="dxa"/>
            <w:shd w:val="clear" w:color="auto" w:fill="auto"/>
            <w:noWrap/>
            <w:vAlign w:val="center"/>
            <w:hideMark/>
          </w:tcPr>
          <w:p w:rsidR="005F6640" w:rsidRPr="009D7556" w:rsidP="005F6640" w14:paraId="1104DC2C" w14:textId="77777777">
            <w:pPr>
              <w:jc w:val="right"/>
              <w:rPr>
                <w:color w:val="000000"/>
                <w:sz w:val="20"/>
                <w:szCs w:val="20"/>
              </w:rPr>
            </w:pPr>
            <w:r w:rsidRPr="009D7556">
              <w:rPr>
                <w:color w:val="000000"/>
                <w:sz w:val="20"/>
                <w:szCs w:val="20"/>
              </w:rPr>
              <w:t>5,174</w:t>
            </w:r>
          </w:p>
        </w:tc>
        <w:tc>
          <w:tcPr>
            <w:tcW w:w="911" w:type="dxa"/>
            <w:shd w:val="clear" w:color="auto" w:fill="auto"/>
            <w:noWrap/>
            <w:vAlign w:val="center"/>
            <w:hideMark/>
          </w:tcPr>
          <w:p w:rsidR="005F6640" w:rsidRPr="009D7556" w:rsidP="005F6640" w14:paraId="027F36A4" w14:textId="77777777">
            <w:pPr>
              <w:jc w:val="right"/>
              <w:rPr>
                <w:color w:val="000000"/>
                <w:sz w:val="20"/>
                <w:szCs w:val="20"/>
              </w:rPr>
            </w:pPr>
            <w:r w:rsidRPr="009D7556">
              <w:rPr>
                <w:color w:val="000000"/>
                <w:sz w:val="20"/>
                <w:szCs w:val="20"/>
              </w:rPr>
              <w:t>94.5</w:t>
            </w:r>
          </w:p>
        </w:tc>
        <w:tc>
          <w:tcPr>
            <w:tcW w:w="1113" w:type="dxa"/>
            <w:shd w:val="clear" w:color="auto" w:fill="auto"/>
            <w:noWrap/>
            <w:vAlign w:val="center"/>
            <w:hideMark/>
          </w:tcPr>
          <w:p w:rsidR="005F6640" w:rsidRPr="009D7556" w:rsidP="005F6640" w14:paraId="655FDCF6" w14:textId="77777777">
            <w:pPr>
              <w:jc w:val="right"/>
              <w:rPr>
                <w:color w:val="000000"/>
                <w:sz w:val="20"/>
                <w:szCs w:val="20"/>
              </w:rPr>
            </w:pPr>
            <w:r w:rsidRPr="009D7556">
              <w:rPr>
                <w:color w:val="000000"/>
                <w:sz w:val="20"/>
                <w:szCs w:val="20"/>
              </w:rPr>
              <w:t>13,303</w:t>
            </w:r>
          </w:p>
        </w:tc>
      </w:tr>
      <w:tr w14:paraId="411D988F"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5FF825AD" w14:textId="3A973FD1">
            <w:pPr>
              <w:rPr>
                <w:color w:val="000000"/>
                <w:sz w:val="20"/>
                <w:szCs w:val="20"/>
              </w:rPr>
            </w:pPr>
            <w:r w:rsidRPr="009D7556">
              <w:rPr>
                <w:color w:val="000000"/>
                <w:sz w:val="20"/>
                <w:szCs w:val="20"/>
              </w:rPr>
              <w:t>Subset of respondents with none of the species</w:t>
            </w:r>
          </w:p>
        </w:tc>
        <w:tc>
          <w:tcPr>
            <w:tcW w:w="1649" w:type="dxa"/>
            <w:shd w:val="clear" w:color="auto" w:fill="auto"/>
            <w:noWrap/>
            <w:vAlign w:val="center"/>
            <w:hideMark/>
          </w:tcPr>
          <w:p w:rsidR="005F6640" w:rsidRPr="009D7556" w:rsidP="005F6640" w14:paraId="4DCA4745" w14:textId="77777777">
            <w:pPr>
              <w:rPr>
                <w:color w:val="000000"/>
                <w:sz w:val="20"/>
                <w:szCs w:val="20"/>
              </w:rPr>
            </w:pPr>
            <w:r w:rsidRPr="009D7556">
              <w:rPr>
                <w:color w:val="000000"/>
                <w:sz w:val="20"/>
                <w:szCs w:val="20"/>
              </w:rPr>
              <w:t>1.b, 1.c</w:t>
            </w:r>
          </w:p>
        </w:tc>
        <w:tc>
          <w:tcPr>
            <w:tcW w:w="1082" w:type="dxa"/>
            <w:shd w:val="clear" w:color="auto" w:fill="auto"/>
            <w:noWrap/>
            <w:vAlign w:val="center"/>
            <w:hideMark/>
          </w:tcPr>
          <w:p w:rsidR="005F6640" w:rsidRPr="009D7556" w:rsidP="005F6640" w14:paraId="641D11B5" w14:textId="77777777">
            <w:pPr>
              <w:jc w:val="right"/>
              <w:rPr>
                <w:color w:val="000000"/>
                <w:sz w:val="20"/>
                <w:szCs w:val="20"/>
              </w:rPr>
            </w:pPr>
            <w:r w:rsidRPr="009D7556">
              <w:rPr>
                <w:color w:val="000000"/>
                <w:sz w:val="20"/>
                <w:szCs w:val="20"/>
              </w:rPr>
              <w:t>800</w:t>
            </w:r>
          </w:p>
        </w:tc>
        <w:tc>
          <w:tcPr>
            <w:tcW w:w="1012" w:type="dxa"/>
            <w:shd w:val="clear" w:color="auto" w:fill="auto"/>
            <w:noWrap/>
            <w:vAlign w:val="center"/>
            <w:hideMark/>
          </w:tcPr>
          <w:p w:rsidR="005F6640" w:rsidRPr="009D7556" w:rsidP="005F6640" w14:paraId="4A3D3F52" w14:textId="77777777">
            <w:pPr>
              <w:jc w:val="right"/>
              <w:rPr>
                <w:color w:val="000000"/>
                <w:sz w:val="20"/>
                <w:szCs w:val="20"/>
              </w:rPr>
            </w:pPr>
          </w:p>
        </w:tc>
        <w:tc>
          <w:tcPr>
            <w:tcW w:w="1011" w:type="dxa"/>
            <w:shd w:val="clear" w:color="auto" w:fill="auto"/>
            <w:noWrap/>
            <w:vAlign w:val="center"/>
            <w:hideMark/>
          </w:tcPr>
          <w:p w:rsidR="005F6640" w:rsidRPr="009D7556" w:rsidP="005F6640" w14:paraId="2AB2FC37" w14:textId="77777777">
            <w:pPr>
              <w:jc w:val="right"/>
              <w:rPr>
                <w:color w:val="000000"/>
                <w:sz w:val="20"/>
                <w:szCs w:val="20"/>
              </w:rPr>
            </w:pPr>
            <w:r w:rsidRPr="009D7556">
              <w:rPr>
                <w:color w:val="000000"/>
                <w:sz w:val="20"/>
                <w:szCs w:val="20"/>
              </w:rPr>
              <w:t>0</w:t>
            </w:r>
          </w:p>
        </w:tc>
        <w:tc>
          <w:tcPr>
            <w:tcW w:w="911" w:type="dxa"/>
            <w:shd w:val="clear" w:color="auto" w:fill="auto"/>
            <w:noWrap/>
            <w:vAlign w:val="center"/>
            <w:hideMark/>
          </w:tcPr>
          <w:p w:rsidR="005F6640" w:rsidRPr="009D7556" w:rsidP="005F6640" w14:paraId="2F829223" w14:textId="77777777">
            <w:pPr>
              <w:jc w:val="right"/>
              <w:rPr>
                <w:color w:val="000000"/>
                <w:sz w:val="20"/>
                <w:szCs w:val="20"/>
              </w:rPr>
            </w:pPr>
          </w:p>
        </w:tc>
        <w:tc>
          <w:tcPr>
            <w:tcW w:w="1113" w:type="dxa"/>
            <w:shd w:val="clear" w:color="auto" w:fill="auto"/>
            <w:noWrap/>
            <w:vAlign w:val="center"/>
            <w:hideMark/>
          </w:tcPr>
          <w:p w:rsidR="005F6640" w:rsidRPr="009D7556" w:rsidP="005F6640" w14:paraId="3F2D1F7B" w14:textId="77777777">
            <w:pPr>
              <w:jc w:val="right"/>
              <w:rPr>
                <w:color w:val="000000"/>
                <w:sz w:val="20"/>
                <w:szCs w:val="20"/>
              </w:rPr>
            </w:pPr>
            <w:r w:rsidRPr="009D7556">
              <w:rPr>
                <w:color w:val="000000"/>
                <w:sz w:val="20"/>
                <w:szCs w:val="20"/>
              </w:rPr>
              <w:t>800</w:t>
            </w:r>
          </w:p>
        </w:tc>
      </w:tr>
      <w:tr w14:paraId="03E1470B" w14:textId="77777777" w:rsidTr="00D8664F">
        <w:tblPrEx>
          <w:tblW w:w="9914" w:type="dxa"/>
          <w:tblLook w:val="04A0"/>
        </w:tblPrEx>
        <w:trPr>
          <w:trHeight w:val="318"/>
        </w:trPr>
        <w:tc>
          <w:tcPr>
            <w:tcW w:w="3136" w:type="dxa"/>
            <w:shd w:val="clear" w:color="auto" w:fill="BFBFBF" w:themeFill="background1" w:themeFillShade="BF"/>
            <w:noWrap/>
            <w:vAlign w:val="center"/>
            <w:hideMark/>
          </w:tcPr>
          <w:p w:rsidR="005F6640" w:rsidRPr="009D7556" w:rsidP="005F6640" w14:paraId="27728EDA" w14:textId="6FC7A407">
            <w:pPr>
              <w:rPr>
                <w:color w:val="000000"/>
                <w:sz w:val="20"/>
                <w:szCs w:val="20"/>
              </w:rPr>
            </w:pPr>
            <w:r w:rsidRPr="009D7556">
              <w:rPr>
                <w:color w:val="000000"/>
                <w:sz w:val="20"/>
                <w:szCs w:val="20"/>
              </w:rPr>
              <w:t>City Survey - Denver</w:t>
            </w:r>
          </w:p>
        </w:tc>
        <w:tc>
          <w:tcPr>
            <w:tcW w:w="1649" w:type="dxa"/>
            <w:shd w:val="clear" w:color="auto" w:fill="BFBFBF" w:themeFill="background1" w:themeFillShade="BF"/>
            <w:noWrap/>
            <w:vAlign w:val="center"/>
            <w:hideMark/>
          </w:tcPr>
          <w:p w:rsidR="005F6640" w:rsidRPr="009D7556" w:rsidP="005F6640" w14:paraId="70DF000F" w14:textId="77777777">
            <w:pPr>
              <w:rPr>
                <w:sz w:val="20"/>
                <w:szCs w:val="20"/>
              </w:rPr>
            </w:pPr>
          </w:p>
        </w:tc>
        <w:tc>
          <w:tcPr>
            <w:tcW w:w="1082" w:type="dxa"/>
            <w:shd w:val="clear" w:color="auto" w:fill="BFBFBF" w:themeFill="background1" w:themeFillShade="BF"/>
            <w:noWrap/>
            <w:vAlign w:val="center"/>
            <w:hideMark/>
          </w:tcPr>
          <w:p w:rsidR="005F6640" w:rsidRPr="009D7556" w:rsidP="005F6640" w14:paraId="36122880" w14:textId="77777777">
            <w:pPr>
              <w:jc w:val="right"/>
              <w:rPr>
                <w:sz w:val="20"/>
                <w:szCs w:val="20"/>
              </w:rPr>
            </w:pPr>
          </w:p>
        </w:tc>
        <w:tc>
          <w:tcPr>
            <w:tcW w:w="1012" w:type="dxa"/>
            <w:shd w:val="clear" w:color="auto" w:fill="BFBFBF" w:themeFill="background1" w:themeFillShade="BF"/>
            <w:noWrap/>
            <w:vAlign w:val="center"/>
            <w:hideMark/>
          </w:tcPr>
          <w:p w:rsidR="005F6640" w:rsidRPr="009D7556" w:rsidP="005F6640" w14:paraId="71A88373" w14:textId="77777777">
            <w:pPr>
              <w:jc w:val="right"/>
              <w:rPr>
                <w:sz w:val="20"/>
                <w:szCs w:val="20"/>
              </w:rPr>
            </w:pPr>
          </w:p>
        </w:tc>
        <w:tc>
          <w:tcPr>
            <w:tcW w:w="1011" w:type="dxa"/>
            <w:shd w:val="clear" w:color="auto" w:fill="BFBFBF" w:themeFill="background1" w:themeFillShade="BF"/>
            <w:noWrap/>
            <w:vAlign w:val="center"/>
            <w:hideMark/>
          </w:tcPr>
          <w:p w:rsidR="005F6640" w:rsidRPr="009D7556" w:rsidP="005F6640" w14:paraId="68C7C185" w14:textId="77777777">
            <w:pPr>
              <w:jc w:val="right"/>
              <w:rPr>
                <w:sz w:val="20"/>
                <w:szCs w:val="20"/>
              </w:rPr>
            </w:pPr>
          </w:p>
        </w:tc>
        <w:tc>
          <w:tcPr>
            <w:tcW w:w="911" w:type="dxa"/>
            <w:shd w:val="clear" w:color="auto" w:fill="BFBFBF" w:themeFill="background1" w:themeFillShade="BF"/>
            <w:noWrap/>
            <w:vAlign w:val="center"/>
            <w:hideMark/>
          </w:tcPr>
          <w:p w:rsidR="005F6640" w:rsidRPr="009D7556" w:rsidP="005F6640" w14:paraId="5257F723" w14:textId="77777777">
            <w:pPr>
              <w:jc w:val="right"/>
              <w:rPr>
                <w:sz w:val="20"/>
                <w:szCs w:val="20"/>
              </w:rPr>
            </w:pPr>
          </w:p>
        </w:tc>
        <w:tc>
          <w:tcPr>
            <w:tcW w:w="1113" w:type="dxa"/>
            <w:shd w:val="clear" w:color="auto" w:fill="BFBFBF" w:themeFill="background1" w:themeFillShade="BF"/>
            <w:noWrap/>
            <w:vAlign w:val="center"/>
            <w:hideMark/>
          </w:tcPr>
          <w:p w:rsidR="005F6640" w:rsidRPr="009D7556" w:rsidP="005F6640" w14:paraId="13B0E22B" w14:textId="77777777">
            <w:pPr>
              <w:jc w:val="right"/>
              <w:rPr>
                <w:sz w:val="20"/>
                <w:szCs w:val="20"/>
              </w:rPr>
            </w:pPr>
          </w:p>
        </w:tc>
      </w:tr>
      <w:tr w14:paraId="365DFEEC"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746F260B" w14:textId="77777777">
            <w:pPr>
              <w:rPr>
                <w:color w:val="000000"/>
                <w:sz w:val="20"/>
                <w:szCs w:val="20"/>
              </w:rPr>
            </w:pPr>
            <w:r w:rsidRPr="009D7556">
              <w:rPr>
                <w:color w:val="000000"/>
                <w:sz w:val="20"/>
                <w:szCs w:val="20"/>
              </w:rPr>
              <w:t>Available for response</w:t>
            </w:r>
          </w:p>
        </w:tc>
        <w:tc>
          <w:tcPr>
            <w:tcW w:w="1649" w:type="dxa"/>
            <w:shd w:val="clear" w:color="auto" w:fill="auto"/>
            <w:noWrap/>
            <w:vAlign w:val="center"/>
            <w:hideMark/>
          </w:tcPr>
          <w:p w:rsidR="005F6640" w:rsidRPr="009D7556" w:rsidP="005F6640" w14:paraId="671364E9"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6E1334A7" w14:textId="77777777">
            <w:pPr>
              <w:jc w:val="right"/>
              <w:rPr>
                <w:color w:val="000000"/>
                <w:sz w:val="20"/>
                <w:szCs w:val="20"/>
              </w:rPr>
            </w:pPr>
            <w:r w:rsidRPr="009D7556">
              <w:rPr>
                <w:color w:val="000000"/>
                <w:sz w:val="20"/>
                <w:szCs w:val="20"/>
              </w:rPr>
              <w:t>7,500</w:t>
            </w:r>
          </w:p>
        </w:tc>
        <w:tc>
          <w:tcPr>
            <w:tcW w:w="1012" w:type="dxa"/>
            <w:shd w:val="clear" w:color="auto" w:fill="auto"/>
            <w:noWrap/>
            <w:vAlign w:val="center"/>
            <w:hideMark/>
          </w:tcPr>
          <w:p w:rsidR="005F6640" w:rsidRPr="009D7556" w:rsidP="005F6640" w14:paraId="71D7EE17" w14:textId="77777777">
            <w:pPr>
              <w:jc w:val="right"/>
              <w:rPr>
                <w:color w:val="000000"/>
                <w:sz w:val="20"/>
                <w:szCs w:val="20"/>
              </w:rPr>
            </w:pPr>
          </w:p>
        </w:tc>
        <w:tc>
          <w:tcPr>
            <w:tcW w:w="1011" w:type="dxa"/>
            <w:shd w:val="clear" w:color="auto" w:fill="auto"/>
            <w:noWrap/>
            <w:vAlign w:val="center"/>
            <w:hideMark/>
          </w:tcPr>
          <w:p w:rsidR="005F6640" w:rsidRPr="009D7556" w:rsidP="005F6640" w14:paraId="03D5D947" w14:textId="77777777">
            <w:pPr>
              <w:jc w:val="right"/>
              <w:rPr>
                <w:sz w:val="20"/>
                <w:szCs w:val="20"/>
              </w:rPr>
            </w:pPr>
          </w:p>
        </w:tc>
        <w:tc>
          <w:tcPr>
            <w:tcW w:w="911" w:type="dxa"/>
            <w:shd w:val="clear" w:color="auto" w:fill="auto"/>
            <w:noWrap/>
            <w:vAlign w:val="center"/>
            <w:hideMark/>
          </w:tcPr>
          <w:p w:rsidR="005F6640" w:rsidRPr="009D7556" w:rsidP="005F6640" w14:paraId="3DFD2214" w14:textId="77777777">
            <w:pPr>
              <w:jc w:val="right"/>
              <w:rPr>
                <w:sz w:val="20"/>
                <w:szCs w:val="20"/>
              </w:rPr>
            </w:pPr>
          </w:p>
        </w:tc>
        <w:tc>
          <w:tcPr>
            <w:tcW w:w="1113" w:type="dxa"/>
            <w:shd w:val="clear" w:color="auto" w:fill="auto"/>
            <w:noWrap/>
            <w:vAlign w:val="center"/>
            <w:hideMark/>
          </w:tcPr>
          <w:p w:rsidR="005F6640" w:rsidRPr="009D7556" w:rsidP="005F6640" w14:paraId="33113654" w14:textId="77777777">
            <w:pPr>
              <w:jc w:val="right"/>
              <w:rPr>
                <w:color w:val="000000"/>
                <w:sz w:val="20"/>
                <w:szCs w:val="20"/>
              </w:rPr>
            </w:pPr>
            <w:r w:rsidRPr="009D7556">
              <w:rPr>
                <w:color w:val="000000"/>
                <w:sz w:val="20"/>
                <w:szCs w:val="20"/>
              </w:rPr>
              <w:t>7,500</w:t>
            </w:r>
          </w:p>
        </w:tc>
      </w:tr>
      <w:tr w14:paraId="6330A94D"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4F09655F" w14:textId="77777777">
            <w:pPr>
              <w:rPr>
                <w:color w:val="000000"/>
                <w:sz w:val="20"/>
                <w:szCs w:val="20"/>
              </w:rPr>
            </w:pPr>
            <w:r w:rsidRPr="009D7556">
              <w:rPr>
                <w:color w:val="000000"/>
                <w:sz w:val="20"/>
                <w:szCs w:val="20"/>
              </w:rPr>
              <w:t>Respondent</w:t>
            </w:r>
          </w:p>
        </w:tc>
        <w:tc>
          <w:tcPr>
            <w:tcW w:w="1649" w:type="dxa"/>
            <w:shd w:val="clear" w:color="auto" w:fill="auto"/>
            <w:noWrap/>
            <w:vAlign w:val="center"/>
            <w:hideMark/>
          </w:tcPr>
          <w:p w:rsidR="005F6640" w:rsidRPr="009D7556" w:rsidP="005F6640" w14:paraId="3682CBD9"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52D3119B" w14:textId="77777777">
            <w:pPr>
              <w:jc w:val="right"/>
              <w:rPr>
                <w:color w:val="000000"/>
                <w:sz w:val="20"/>
                <w:szCs w:val="20"/>
              </w:rPr>
            </w:pPr>
            <w:r w:rsidRPr="009D7556">
              <w:rPr>
                <w:color w:val="000000"/>
                <w:sz w:val="20"/>
                <w:szCs w:val="20"/>
              </w:rPr>
              <w:t>2,933</w:t>
            </w:r>
          </w:p>
        </w:tc>
        <w:tc>
          <w:tcPr>
            <w:tcW w:w="1012" w:type="dxa"/>
            <w:shd w:val="clear" w:color="auto" w:fill="auto"/>
            <w:noWrap/>
            <w:vAlign w:val="center"/>
            <w:hideMark/>
          </w:tcPr>
          <w:p w:rsidR="005F6640" w:rsidRPr="009D7556" w:rsidP="005F6640" w14:paraId="065755FB" w14:textId="7543C27F">
            <w:pPr>
              <w:jc w:val="right"/>
              <w:rPr>
                <w:color w:val="000000"/>
                <w:sz w:val="20"/>
                <w:szCs w:val="20"/>
                <w:vertAlign w:val="superscript"/>
              </w:rPr>
            </w:pPr>
            <w:r w:rsidRPr="009D7556">
              <w:rPr>
                <w:color w:val="000000"/>
                <w:sz w:val="20"/>
                <w:szCs w:val="20"/>
              </w:rPr>
              <w:t>39.1</w:t>
            </w:r>
            <w:r w:rsidRPr="009D7556" w:rsidR="009D7556">
              <w:rPr>
                <w:color w:val="000000"/>
                <w:sz w:val="20"/>
                <w:szCs w:val="20"/>
                <w:vertAlign w:val="superscript"/>
              </w:rPr>
              <w:t>4</w:t>
            </w:r>
          </w:p>
        </w:tc>
        <w:tc>
          <w:tcPr>
            <w:tcW w:w="1011" w:type="dxa"/>
            <w:shd w:val="clear" w:color="auto" w:fill="auto"/>
            <w:noWrap/>
            <w:vAlign w:val="center"/>
            <w:hideMark/>
          </w:tcPr>
          <w:p w:rsidR="005F6640" w:rsidRPr="009D7556" w:rsidP="005F6640" w14:paraId="5F8A3C86" w14:textId="77777777">
            <w:pPr>
              <w:jc w:val="right"/>
              <w:rPr>
                <w:color w:val="000000"/>
                <w:sz w:val="20"/>
                <w:szCs w:val="20"/>
              </w:rPr>
            </w:pPr>
          </w:p>
        </w:tc>
        <w:tc>
          <w:tcPr>
            <w:tcW w:w="911" w:type="dxa"/>
            <w:shd w:val="clear" w:color="auto" w:fill="auto"/>
            <w:noWrap/>
            <w:vAlign w:val="center"/>
            <w:hideMark/>
          </w:tcPr>
          <w:p w:rsidR="005F6640" w:rsidRPr="009D7556" w:rsidP="005F6640" w14:paraId="5540BF50" w14:textId="77777777">
            <w:pPr>
              <w:jc w:val="right"/>
              <w:rPr>
                <w:sz w:val="20"/>
                <w:szCs w:val="20"/>
              </w:rPr>
            </w:pPr>
          </w:p>
        </w:tc>
        <w:tc>
          <w:tcPr>
            <w:tcW w:w="1113" w:type="dxa"/>
            <w:shd w:val="clear" w:color="auto" w:fill="auto"/>
            <w:noWrap/>
            <w:vAlign w:val="center"/>
            <w:hideMark/>
          </w:tcPr>
          <w:p w:rsidR="005F6640" w:rsidRPr="009D7556" w:rsidP="005F6640" w14:paraId="2FF849B6" w14:textId="77777777">
            <w:pPr>
              <w:jc w:val="right"/>
              <w:rPr>
                <w:color w:val="000000"/>
                <w:sz w:val="20"/>
                <w:szCs w:val="20"/>
              </w:rPr>
            </w:pPr>
            <w:r w:rsidRPr="009D7556">
              <w:rPr>
                <w:color w:val="000000"/>
                <w:sz w:val="20"/>
                <w:szCs w:val="20"/>
              </w:rPr>
              <w:t>2,933</w:t>
            </w:r>
          </w:p>
        </w:tc>
      </w:tr>
      <w:tr w14:paraId="749849B8"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5CDBD52C" w14:textId="6165C6C1">
            <w:pPr>
              <w:rPr>
                <w:color w:val="000000"/>
                <w:sz w:val="20"/>
                <w:szCs w:val="20"/>
              </w:rPr>
            </w:pPr>
            <w:r w:rsidRPr="009D7556">
              <w:rPr>
                <w:color w:val="000000"/>
                <w:sz w:val="20"/>
                <w:szCs w:val="20"/>
              </w:rPr>
              <w:t>Respondent with any of the four species</w:t>
            </w:r>
          </w:p>
        </w:tc>
        <w:tc>
          <w:tcPr>
            <w:tcW w:w="1649" w:type="dxa"/>
            <w:shd w:val="clear" w:color="auto" w:fill="auto"/>
            <w:noWrap/>
            <w:vAlign w:val="center"/>
            <w:hideMark/>
          </w:tcPr>
          <w:p w:rsidR="005F6640" w:rsidRPr="009D7556" w:rsidP="005F6640" w14:paraId="788DEFE4"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78390825" w14:textId="77777777">
            <w:pPr>
              <w:jc w:val="right"/>
              <w:rPr>
                <w:color w:val="000000"/>
                <w:sz w:val="20"/>
                <w:szCs w:val="20"/>
              </w:rPr>
            </w:pPr>
            <w:r w:rsidRPr="009D7556">
              <w:rPr>
                <w:color w:val="000000"/>
                <w:sz w:val="20"/>
                <w:szCs w:val="20"/>
              </w:rPr>
              <w:t>360</w:t>
            </w:r>
          </w:p>
        </w:tc>
        <w:tc>
          <w:tcPr>
            <w:tcW w:w="1012" w:type="dxa"/>
            <w:shd w:val="clear" w:color="auto" w:fill="auto"/>
            <w:noWrap/>
            <w:vAlign w:val="center"/>
            <w:hideMark/>
          </w:tcPr>
          <w:p w:rsidR="005F6640" w:rsidRPr="009D7556" w:rsidP="005F6640" w14:paraId="3EFA5945" w14:textId="77777777">
            <w:pPr>
              <w:jc w:val="right"/>
              <w:rPr>
                <w:color w:val="000000"/>
                <w:sz w:val="20"/>
                <w:szCs w:val="20"/>
              </w:rPr>
            </w:pPr>
            <w:r w:rsidRPr="009D7556">
              <w:rPr>
                <w:color w:val="000000"/>
                <w:sz w:val="20"/>
                <w:szCs w:val="20"/>
              </w:rPr>
              <w:t>4.8</w:t>
            </w:r>
          </w:p>
        </w:tc>
        <w:tc>
          <w:tcPr>
            <w:tcW w:w="1011" w:type="dxa"/>
            <w:shd w:val="clear" w:color="auto" w:fill="auto"/>
            <w:noWrap/>
            <w:vAlign w:val="center"/>
            <w:hideMark/>
          </w:tcPr>
          <w:p w:rsidR="005F6640" w:rsidRPr="009D7556" w:rsidP="005F6640" w14:paraId="253F8036" w14:textId="77777777">
            <w:pPr>
              <w:jc w:val="right"/>
              <w:rPr>
                <w:color w:val="000000"/>
                <w:sz w:val="20"/>
                <w:szCs w:val="20"/>
              </w:rPr>
            </w:pPr>
          </w:p>
        </w:tc>
        <w:tc>
          <w:tcPr>
            <w:tcW w:w="911" w:type="dxa"/>
            <w:shd w:val="clear" w:color="auto" w:fill="auto"/>
            <w:noWrap/>
            <w:vAlign w:val="center"/>
            <w:hideMark/>
          </w:tcPr>
          <w:p w:rsidR="005F6640" w:rsidRPr="009D7556" w:rsidP="005F6640" w14:paraId="102670C9" w14:textId="77777777">
            <w:pPr>
              <w:jc w:val="right"/>
              <w:rPr>
                <w:sz w:val="20"/>
                <w:szCs w:val="20"/>
              </w:rPr>
            </w:pPr>
          </w:p>
        </w:tc>
        <w:tc>
          <w:tcPr>
            <w:tcW w:w="1113" w:type="dxa"/>
            <w:shd w:val="clear" w:color="auto" w:fill="auto"/>
            <w:noWrap/>
            <w:vAlign w:val="center"/>
            <w:hideMark/>
          </w:tcPr>
          <w:p w:rsidR="005F6640" w:rsidRPr="009D7556" w:rsidP="005F6640" w14:paraId="2DC18857" w14:textId="77777777">
            <w:pPr>
              <w:jc w:val="right"/>
              <w:rPr>
                <w:color w:val="000000"/>
                <w:sz w:val="20"/>
                <w:szCs w:val="20"/>
              </w:rPr>
            </w:pPr>
            <w:r w:rsidRPr="009D7556">
              <w:rPr>
                <w:color w:val="000000"/>
                <w:sz w:val="20"/>
                <w:szCs w:val="20"/>
              </w:rPr>
              <w:t>360</w:t>
            </w:r>
          </w:p>
        </w:tc>
      </w:tr>
      <w:tr w14:paraId="221A30AA"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11510910" w14:textId="1BD43D8A">
            <w:pPr>
              <w:rPr>
                <w:color w:val="000000"/>
                <w:sz w:val="20"/>
                <w:szCs w:val="20"/>
              </w:rPr>
            </w:pPr>
            <w:r w:rsidRPr="009D7556">
              <w:rPr>
                <w:color w:val="000000"/>
                <w:sz w:val="20"/>
                <w:szCs w:val="20"/>
              </w:rPr>
              <w:t>Respondent with chickens</w:t>
            </w:r>
          </w:p>
        </w:tc>
        <w:tc>
          <w:tcPr>
            <w:tcW w:w="1649" w:type="dxa"/>
            <w:shd w:val="clear" w:color="auto" w:fill="auto"/>
            <w:noWrap/>
            <w:vAlign w:val="center"/>
            <w:hideMark/>
          </w:tcPr>
          <w:p w:rsidR="005F6640" w:rsidRPr="009D7556" w:rsidP="005F6640" w14:paraId="6CD56FF8"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53357008" w14:textId="77777777">
            <w:pPr>
              <w:jc w:val="right"/>
              <w:rPr>
                <w:color w:val="000000"/>
                <w:sz w:val="20"/>
                <w:szCs w:val="20"/>
              </w:rPr>
            </w:pPr>
            <w:r w:rsidRPr="009D7556">
              <w:rPr>
                <w:color w:val="000000"/>
                <w:sz w:val="20"/>
                <w:szCs w:val="20"/>
              </w:rPr>
              <w:t>261</w:t>
            </w:r>
          </w:p>
        </w:tc>
        <w:tc>
          <w:tcPr>
            <w:tcW w:w="1012" w:type="dxa"/>
            <w:shd w:val="clear" w:color="auto" w:fill="auto"/>
            <w:noWrap/>
            <w:vAlign w:val="center"/>
            <w:hideMark/>
          </w:tcPr>
          <w:p w:rsidR="005F6640" w:rsidRPr="009D7556" w:rsidP="005F6640" w14:paraId="4417D552" w14:textId="77777777">
            <w:pPr>
              <w:jc w:val="right"/>
              <w:rPr>
                <w:color w:val="000000"/>
                <w:sz w:val="20"/>
                <w:szCs w:val="20"/>
              </w:rPr>
            </w:pPr>
            <w:r w:rsidRPr="009D7556">
              <w:rPr>
                <w:color w:val="000000"/>
                <w:sz w:val="20"/>
                <w:szCs w:val="20"/>
              </w:rPr>
              <w:t>3.5</w:t>
            </w:r>
          </w:p>
        </w:tc>
        <w:tc>
          <w:tcPr>
            <w:tcW w:w="1011" w:type="dxa"/>
            <w:shd w:val="clear" w:color="auto" w:fill="auto"/>
            <w:noWrap/>
            <w:vAlign w:val="center"/>
            <w:hideMark/>
          </w:tcPr>
          <w:p w:rsidR="005F6640" w:rsidRPr="009D7556" w:rsidP="005F6640" w14:paraId="615F92A3" w14:textId="77777777">
            <w:pPr>
              <w:jc w:val="right"/>
              <w:rPr>
                <w:color w:val="000000"/>
                <w:sz w:val="20"/>
                <w:szCs w:val="20"/>
              </w:rPr>
            </w:pPr>
          </w:p>
        </w:tc>
        <w:tc>
          <w:tcPr>
            <w:tcW w:w="911" w:type="dxa"/>
            <w:shd w:val="clear" w:color="auto" w:fill="auto"/>
            <w:noWrap/>
            <w:vAlign w:val="center"/>
            <w:hideMark/>
          </w:tcPr>
          <w:p w:rsidR="005F6640" w:rsidRPr="009D7556" w:rsidP="005F6640" w14:paraId="2A896DFA" w14:textId="77777777">
            <w:pPr>
              <w:jc w:val="right"/>
              <w:rPr>
                <w:sz w:val="20"/>
                <w:szCs w:val="20"/>
              </w:rPr>
            </w:pPr>
          </w:p>
        </w:tc>
        <w:tc>
          <w:tcPr>
            <w:tcW w:w="1113" w:type="dxa"/>
            <w:shd w:val="clear" w:color="auto" w:fill="auto"/>
            <w:noWrap/>
            <w:vAlign w:val="center"/>
            <w:hideMark/>
          </w:tcPr>
          <w:p w:rsidR="005F6640" w:rsidRPr="009D7556" w:rsidP="005F6640" w14:paraId="754CE5D6" w14:textId="77777777">
            <w:pPr>
              <w:jc w:val="right"/>
              <w:rPr>
                <w:color w:val="000000"/>
                <w:sz w:val="20"/>
                <w:szCs w:val="20"/>
              </w:rPr>
            </w:pPr>
            <w:r w:rsidRPr="009D7556">
              <w:rPr>
                <w:color w:val="000000"/>
                <w:sz w:val="20"/>
                <w:szCs w:val="20"/>
              </w:rPr>
              <w:t>261</w:t>
            </w:r>
          </w:p>
        </w:tc>
      </w:tr>
      <w:tr w14:paraId="2FB1B4F3"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61C9AF37" w14:textId="77777777">
            <w:pPr>
              <w:rPr>
                <w:color w:val="000000"/>
                <w:sz w:val="20"/>
                <w:szCs w:val="20"/>
              </w:rPr>
            </w:pPr>
            <w:r w:rsidRPr="009D7556">
              <w:rPr>
                <w:color w:val="000000"/>
                <w:sz w:val="20"/>
                <w:szCs w:val="20"/>
              </w:rPr>
              <w:t>Respondent with rabbits</w:t>
            </w:r>
          </w:p>
        </w:tc>
        <w:tc>
          <w:tcPr>
            <w:tcW w:w="1649" w:type="dxa"/>
            <w:shd w:val="clear" w:color="auto" w:fill="auto"/>
            <w:noWrap/>
            <w:vAlign w:val="center"/>
            <w:hideMark/>
          </w:tcPr>
          <w:p w:rsidR="005F6640" w:rsidRPr="009D7556" w:rsidP="005F6640" w14:paraId="1153B96F"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53FD92BE" w14:textId="77777777">
            <w:pPr>
              <w:jc w:val="right"/>
              <w:rPr>
                <w:color w:val="000000"/>
                <w:sz w:val="20"/>
                <w:szCs w:val="20"/>
              </w:rPr>
            </w:pPr>
            <w:r w:rsidRPr="009D7556">
              <w:rPr>
                <w:color w:val="000000"/>
                <w:sz w:val="20"/>
                <w:szCs w:val="20"/>
              </w:rPr>
              <w:t>111</w:t>
            </w:r>
          </w:p>
        </w:tc>
        <w:tc>
          <w:tcPr>
            <w:tcW w:w="1012" w:type="dxa"/>
            <w:shd w:val="clear" w:color="auto" w:fill="auto"/>
            <w:noWrap/>
            <w:vAlign w:val="center"/>
            <w:hideMark/>
          </w:tcPr>
          <w:p w:rsidR="005F6640" w:rsidRPr="009D7556" w:rsidP="005F6640" w14:paraId="41F35E70" w14:textId="77777777">
            <w:pPr>
              <w:jc w:val="right"/>
              <w:rPr>
                <w:color w:val="000000"/>
                <w:sz w:val="20"/>
                <w:szCs w:val="20"/>
              </w:rPr>
            </w:pPr>
            <w:r w:rsidRPr="009D7556">
              <w:rPr>
                <w:color w:val="000000"/>
                <w:sz w:val="20"/>
                <w:szCs w:val="20"/>
              </w:rPr>
              <w:t>1.5</w:t>
            </w:r>
          </w:p>
        </w:tc>
        <w:tc>
          <w:tcPr>
            <w:tcW w:w="1011" w:type="dxa"/>
            <w:shd w:val="clear" w:color="auto" w:fill="auto"/>
            <w:noWrap/>
            <w:vAlign w:val="center"/>
            <w:hideMark/>
          </w:tcPr>
          <w:p w:rsidR="005F6640" w:rsidRPr="009D7556" w:rsidP="005F6640" w14:paraId="307AB93E" w14:textId="77777777">
            <w:pPr>
              <w:jc w:val="right"/>
              <w:rPr>
                <w:color w:val="000000"/>
                <w:sz w:val="20"/>
                <w:szCs w:val="20"/>
              </w:rPr>
            </w:pPr>
          </w:p>
        </w:tc>
        <w:tc>
          <w:tcPr>
            <w:tcW w:w="911" w:type="dxa"/>
            <w:shd w:val="clear" w:color="auto" w:fill="auto"/>
            <w:noWrap/>
            <w:vAlign w:val="center"/>
            <w:hideMark/>
          </w:tcPr>
          <w:p w:rsidR="005F6640" w:rsidRPr="009D7556" w:rsidP="005F6640" w14:paraId="6F214F18" w14:textId="77777777">
            <w:pPr>
              <w:jc w:val="right"/>
              <w:rPr>
                <w:sz w:val="20"/>
                <w:szCs w:val="20"/>
              </w:rPr>
            </w:pPr>
          </w:p>
        </w:tc>
        <w:tc>
          <w:tcPr>
            <w:tcW w:w="1113" w:type="dxa"/>
            <w:shd w:val="clear" w:color="auto" w:fill="auto"/>
            <w:noWrap/>
            <w:vAlign w:val="center"/>
            <w:hideMark/>
          </w:tcPr>
          <w:p w:rsidR="005F6640" w:rsidRPr="009D7556" w:rsidP="005F6640" w14:paraId="6BE4482C" w14:textId="77777777">
            <w:pPr>
              <w:jc w:val="right"/>
              <w:rPr>
                <w:color w:val="000000"/>
                <w:sz w:val="20"/>
                <w:szCs w:val="20"/>
              </w:rPr>
            </w:pPr>
            <w:r w:rsidRPr="009D7556">
              <w:rPr>
                <w:color w:val="000000"/>
                <w:sz w:val="20"/>
                <w:szCs w:val="20"/>
              </w:rPr>
              <w:t>111</w:t>
            </w:r>
          </w:p>
        </w:tc>
      </w:tr>
      <w:tr w14:paraId="0C4E29DD"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4F779695" w14:textId="77777777">
            <w:pPr>
              <w:rPr>
                <w:color w:val="000000"/>
                <w:sz w:val="20"/>
                <w:szCs w:val="20"/>
              </w:rPr>
            </w:pPr>
            <w:r w:rsidRPr="009D7556">
              <w:rPr>
                <w:color w:val="000000"/>
                <w:sz w:val="20"/>
                <w:szCs w:val="20"/>
              </w:rPr>
              <w:t>Respondent with goats</w:t>
            </w:r>
          </w:p>
        </w:tc>
        <w:tc>
          <w:tcPr>
            <w:tcW w:w="1649" w:type="dxa"/>
            <w:shd w:val="clear" w:color="auto" w:fill="auto"/>
            <w:noWrap/>
            <w:vAlign w:val="center"/>
            <w:hideMark/>
          </w:tcPr>
          <w:p w:rsidR="005F6640" w:rsidRPr="009D7556" w:rsidP="005F6640" w14:paraId="39D8B6D5"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49EAE803" w14:textId="77777777">
            <w:pPr>
              <w:jc w:val="right"/>
              <w:rPr>
                <w:color w:val="000000"/>
                <w:sz w:val="20"/>
                <w:szCs w:val="20"/>
              </w:rPr>
            </w:pPr>
            <w:r w:rsidRPr="009D7556">
              <w:rPr>
                <w:color w:val="000000"/>
                <w:sz w:val="20"/>
                <w:szCs w:val="20"/>
              </w:rPr>
              <w:t>66</w:t>
            </w:r>
          </w:p>
        </w:tc>
        <w:tc>
          <w:tcPr>
            <w:tcW w:w="1012" w:type="dxa"/>
            <w:shd w:val="clear" w:color="auto" w:fill="auto"/>
            <w:noWrap/>
            <w:vAlign w:val="center"/>
            <w:hideMark/>
          </w:tcPr>
          <w:p w:rsidR="005F6640" w:rsidRPr="009D7556" w:rsidP="005F6640" w14:paraId="53D3A4BD" w14:textId="77777777">
            <w:pPr>
              <w:jc w:val="right"/>
              <w:rPr>
                <w:color w:val="000000"/>
                <w:sz w:val="20"/>
                <w:szCs w:val="20"/>
              </w:rPr>
            </w:pPr>
            <w:r w:rsidRPr="009D7556">
              <w:rPr>
                <w:color w:val="000000"/>
                <w:sz w:val="20"/>
                <w:szCs w:val="20"/>
              </w:rPr>
              <w:t>0.9</w:t>
            </w:r>
          </w:p>
        </w:tc>
        <w:tc>
          <w:tcPr>
            <w:tcW w:w="1011" w:type="dxa"/>
            <w:shd w:val="clear" w:color="auto" w:fill="auto"/>
            <w:noWrap/>
            <w:vAlign w:val="center"/>
            <w:hideMark/>
          </w:tcPr>
          <w:p w:rsidR="005F6640" w:rsidRPr="009D7556" w:rsidP="005F6640" w14:paraId="7963C4D8" w14:textId="77777777">
            <w:pPr>
              <w:jc w:val="right"/>
              <w:rPr>
                <w:color w:val="000000"/>
                <w:sz w:val="20"/>
                <w:szCs w:val="20"/>
              </w:rPr>
            </w:pPr>
          </w:p>
        </w:tc>
        <w:tc>
          <w:tcPr>
            <w:tcW w:w="911" w:type="dxa"/>
            <w:shd w:val="clear" w:color="auto" w:fill="auto"/>
            <w:noWrap/>
            <w:vAlign w:val="center"/>
            <w:hideMark/>
          </w:tcPr>
          <w:p w:rsidR="005F6640" w:rsidRPr="009D7556" w:rsidP="005F6640" w14:paraId="038378AD" w14:textId="77777777">
            <w:pPr>
              <w:jc w:val="right"/>
              <w:rPr>
                <w:sz w:val="20"/>
                <w:szCs w:val="20"/>
              </w:rPr>
            </w:pPr>
          </w:p>
        </w:tc>
        <w:tc>
          <w:tcPr>
            <w:tcW w:w="1113" w:type="dxa"/>
            <w:shd w:val="clear" w:color="auto" w:fill="auto"/>
            <w:noWrap/>
            <w:vAlign w:val="center"/>
            <w:hideMark/>
          </w:tcPr>
          <w:p w:rsidR="005F6640" w:rsidRPr="009D7556" w:rsidP="005F6640" w14:paraId="65B92F08" w14:textId="77777777">
            <w:pPr>
              <w:jc w:val="right"/>
              <w:rPr>
                <w:color w:val="000000"/>
                <w:sz w:val="20"/>
                <w:szCs w:val="20"/>
              </w:rPr>
            </w:pPr>
            <w:r w:rsidRPr="009D7556">
              <w:rPr>
                <w:color w:val="000000"/>
                <w:sz w:val="20"/>
                <w:szCs w:val="20"/>
              </w:rPr>
              <w:t>66</w:t>
            </w:r>
          </w:p>
        </w:tc>
      </w:tr>
      <w:tr w14:paraId="1FF2B2BC"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2DA8C29A" w14:textId="77777777">
            <w:pPr>
              <w:rPr>
                <w:color w:val="000000"/>
                <w:sz w:val="20"/>
                <w:szCs w:val="20"/>
              </w:rPr>
            </w:pPr>
            <w:r w:rsidRPr="009D7556">
              <w:rPr>
                <w:color w:val="000000"/>
                <w:sz w:val="20"/>
                <w:szCs w:val="20"/>
              </w:rPr>
              <w:t>Respondent with pigs</w:t>
            </w:r>
          </w:p>
        </w:tc>
        <w:tc>
          <w:tcPr>
            <w:tcW w:w="1649" w:type="dxa"/>
            <w:shd w:val="clear" w:color="auto" w:fill="auto"/>
            <w:noWrap/>
            <w:vAlign w:val="center"/>
            <w:hideMark/>
          </w:tcPr>
          <w:p w:rsidR="005F6640" w:rsidRPr="009D7556" w:rsidP="005F6640" w14:paraId="3E3E5414"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782C5DB3" w14:textId="77777777">
            <w:pPr>
              <w:jc w:val="right"/>
              <w:rPr>
                <w:color w:val="000000"/>
                <w:sz w:val="20"/>
                <w:szCs w:val="20"/>
              </w:rPr>
            </w:pPr>
            <w:r w:rsidRPr="009D7556">
              <w:rPr>
                <w:color w:val="000000"/>
                <w:sz w:val="20"/>
                <w:szCs w:val="20"/>
              </w:rPr>
              <w:t>39</w:t>
            </w:r>
          </w:p>
        </w:tc>
        <w:tc>
          <w:tcPr>
            <w:tcW w:w="1012" w:type="dxa"/>
            <w:shd w:val="clear" w:color="auto" w:fill="auto"/>
            <w:noWrap/>
            <w:vAlign w:val="center"/>
            <w:hideMark/>
          </w:tcPr>
          <w:p w:rsidR="005F6640" w:rsidRPr="009D7556" w:rsidP="005F6640" w14:paraId="5913A572" w14:textId="77777777">
            <w:pPr>
              <w:jc w:val="right"/>
              <w:rPr>
                <w:color w:val="000000"/>
                <w:sz w:val="20"/>
                <w:szCs w:val="20"/>
              </w:rPr>
            </w:pPr>
            <w:r w:rsidRPr="009D7556">
              <w:rPr>
                <w:color w:val="000000"/>
                <w:sz w:val="20"/>
                <w:szCs w:val="20"/>
              </w:rPr>
              <w:t>0.5</w:t>
            </w:r>
          </w:p>
        </w:tc>
        <w:tc>
          <w:tcPr>
            <w:tcW w:w="1011" w:type="dxa"/>
            <w:shd w:val="clear" w:color="auto" w:fill="auto"/>
            <w:noWrap/>
            <w:vAlign w:val="center"/>
            <w:hideMark/>
          </w:tcPr>
          <w:p w:rsidR="005F6640" w:rsidRPr="009D7556" w:rsidP="005F6640" w14:paraId="61BEE559" w14:textId="77777777">
            <w:pPr>
              <w:jc w:val="right"/>
              <w:rPr>
                <w:color w:val="000000"/>
                <w:sz w:val="20"/>
                <w:szCs w:val="20"/>
              </w:rPr>
            </w:pPr>
          </w:p>
        </w:tc>
        <w:tc>
          <w:tcPr>
            <w:tcW w:w="911" w:type="dxa"/>
            <w:shd w:val="clear" w:color="auto" w:fill="auto"/>
            <w:noWrap/>
            <w:vAlign w:val="center"/>
            <w:hideMark/>
          </w:tcPr>
          <w:p w:rsidR="005F6640" w:rsidRPr="009D7556" w:rsidP="005F6640" w14:paraId="7371667D" w14:textId="77777777">
            <w:pPr>
              <w:jc w:val="right"/>
              <w:rPr>
                <w:sz w:val="20"/>
                <w:szCs w:val="20"/>
              </w:rPr>
            </w:pPr>
          </w:p>
        </w:tc>
        <w:tc>
          <w:tcPr>
            <w:tcW w:w="1113" w:type="dxa"/>
            <w:shd w:val="clear" w:color="auto" w:fill="auto"/>
            <w:noWrap/>
            <w:vAlign w:val="center"/>
            <w:hideMark/>
          </w:tcPr>
          <w:p w:rsidR="005F6640" w:rsidRPr="009D7556" w:rsidP="005F6640" w14:paraId="6075BD79" w14:textId="77777777">
            <w:pPr>
              <w:jc w:val="right"/>
              <w:rPr>
                <w:color w:val="000000"/>
                <w:sz w:val="20"/>
                <w:szCs w:val="20"/>
              </w:rPr>
            </w:pPr>
            <w:r w:rsidRPr="009D7556">
              <w:rPr>
                <w:color w:val="000000"/>
                <w:sz w:val="20"/>
                <w:szCs w:val="20"/>
              </w:rPr>
              <w:t>39</w:t>
            </w:r>
          </w:p>
        </w:tc>
      </w:tr>
      <w:tr w14:paraId="731B7F1D"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3CBF9FBA" w14:textId="758744C2">
            <w:pPr>
              <w:rPr>
                <w:color w:val="000000"/>
                <w:sz w:val="20"/>
                <w:szCs w:val="20"/>
              </w:rPr>
            </w:pPr>
            <w:r w:rsidRPr="009D7556">
              <w:rPr>
                <w:color w:val="000000"/>
                <w:sz w:val="20"/>
                <w:szCs w:val="20"/>
              </w:rPr>
              <w:t>Respondents with none of the four species</w:t>
            </w:r>
          </w:p>
        </w:tc>
        <w:tc>
          <w:tcPr>
            <w:tcW w:w="1649" w:type="dxa"/>
            <w:shd w:val="clear" w:color="auto" w:fill="auto"/>
            <w:noWrap/>
            <w:vAlign w:val="center"/>
            <w:hideMark/>
          </w:tcPr>
          <w:p w:rsidR="005F6640" w:rsidRPr="009D7556" w:rsidP="005F6640" w14:paraId="1E5F7CB6"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5040194C" w14:textId="77777777">
            <w:pPr>
              <w:jc w:val="right"/>
              <w:rPr>
                <w:color w:val="000000"/>
                <w:sz w:val="20"/>
                <w:szCs w:val="20"/>
              </w:rPr>
            </w:pPr>
            <w:r w:rsidRPr="009D7556">
              <w:rPr>
                <w:color w:val="000000"/>
                <w:sz w:val="20"/>
                <w:szCs w:val="20"/>
              </w:rPr>
              <w:t>7,140</w:t>
            </w:r>
          </w:p>
        </w:tc>
        <w:tc>
          <w:tcPr>
            <w:tcW w:w="1012" w:type="dxa"/>
            <w:shd w:val="clear" w:color="auto" w:fill="auto"/>
            <w:noWrap/>
            <w:vAlign w:val="center"/>
            <w:hideMark/>
          </w:tcPr>
          <w:p w:rsidR="005F6640" w:rsidRPr="009D7556" w:rsidP="005F6640" w14:paraId="461767E1" w14:textId="77777777">
            <w:pPr>
              <w:jc w:val="right"/>
              <w:rPr>
                <w:color w:val="000000"/>
                <w:sz w:val="20"/>
                <w:szCs w:val="20"/>
              </w:rPr>
            </w:pPr>
            <w:r w:rsidRPr="009D7556">
              <w:rPr>
                <w:color w:val="000000"/>
                <w:sz w:val="20"/>
                <w:szCs w:val="20"/>
              </w:rPr>
              <w:t>95.2</w:t>
            </w:r>
          </w:p>
        </w:tc>
        <w:tc>
          <w:tcPr>
            <w:tcW w:w="1011" w:type="dxa"/>
            <w:shd w:val="clear" w:color="auto" w:fill="auto"/>
            <w:noWrap/>
            <w:vAlign w:val="center"/>
            <w:hideMark/>
          </w:tcPr>
          <w:p w:rsidR="005F6640" w:rsidRPr="009D7556" w:rsidP="005F6640" w14:paraId="0AF8F277" w14:textId="77777777">
            <w:pPr>
              <w:jc w:val="right"/>
              <w:rPr>
                <w:color w:val="000000"/>
                <w:sz w:val="20"/>
                <w:szCs w:val="20"/>
              </w:rPr>
            </w:pPr>
          </w:p>
        </w:tc>
        <w:tc>
          <w:tcPr>
            <w:tcW w:w="911" w:type="dxa"/>
            <w:shd w:val="clear" w:color="auto" w:fill="auto"/>
            <w:noWrap/>
            <w:vAlign w:val="center"/>
            <w:hideMark/>
          </w:tcPr>
          <w:p w:rsidR="005F6640" w:rsidRPr="009D7556" w:rsidP="005F6640" w14:paraId="0B7A7CE6" w14:textId="77777777">
            <w:pPr>
              <w:jc w:val="right"/>
              <w:rPr>
                <w:sz w:val="20"/>
                <w:szCs w:val="20"/>
              </w:rPr>
            </w:pPr>
          </w:p>
        </w:tc>
        <w:tc>
          <w:tcPr>
            <w:tcW w:w="1113" w:type="dxa"/>
            <w:shd w:val="clear" w:color="auto" w:fill="auto"/>
            <w:noWrap/>
            <w:vAlign w:val="center"/>
            <w:hideMark/>
          </w:tcPr>
          <w:p w:rsidR="005F6640" w:rsidRPr="009D7556" w:rsidP="005F6640" w14:paraId="751649D6" w14:textId="77777777">
            <w:pPr>
              <w:jc w:val="right"/>
              <w:rPr>
                <w:color w:val="000000"/>
                <w:sz w:val="20"/>
                <w:szCs w:val="20"/>
              </w:rPr>
            </w:pPr>
            <w:r w:rsidRPr="009D7556">
              <w:rPr>
                <w:color w:val="000000"/>
                <w:sz w:val="20"/>
                <w:szCs w:val="20"/>
              </w:rPr>
              <w:t>7,140</w:t>
            </w:r>
          </w:p>
        </w:tc>
      </w:tr>
      <w:tr w14:paraId="61636AD0" w14:textId="77777777" w:rsidTr="00D8664F">
        <w:tblPrEx>
          <w:tblW w:w="9914" w:type="dxa"/>
          <w:tblLook w:val="04A0"/>
        </w:tblPrEx>
        <w:trPr>
          <w:trHeight w:val="318"/>
        </w:trPr>
        <w:tc>
          <w:tcPr>
            <w:tcW w:w="3136" w:type="dxa"/>
            <w:shd w:val="clear" w:color="auto" w:fill="BFBFBF" w:themeFill="background1" w:themeFillShade="BF"/>
            <w:noWrap/>
            <w:vAlign w:val="center"/>
            <w:hideMark/>
          </w:tcPr>
          <w:p w:rsidR="005F6640" w:rsidRPr="009D7556" w:rsidP="005F6640" w14:paraId="00E87CCA" w14:textId="0D6B4768">
            <w:pPr>
              <w:rPr>
                <w:color w:val="000000"/>
                <w:sz w:val="20"/>
                <w:szCs w:val="20"/>
              </w:rPr>
            </w:pPr>
            <w:r w:rsidRPr="009D7556">
              <w:rPr>
                <w:color w:val="000000"/>
                <w:sz w:val="20"/>
                <w:szCs w:val="20"/>
              </w:rPr>
              <w:t>City Survey - Miami</w:t>
            </w:r>
          </w:p>
        </w:tc>
        <w:tc>
          <w:tcPr>
            <w:tcW w:w="1649" w:type="dxa"/>
            <w:shd w:val="clear" w:color="auto" w:fill="BFBFBF" w:themeFill="background1" w:themeFillShade="BF"/>
            <w:noWrap/>
            <w:vAlign w:val="center"/>
            <w:hideMark/>
          </w:tcPr>
          <w:p w:rsidR="005F6640" w:rsidRPr="009D7556" w:rsidP="005F6640" w14:paraId="72081198" w14:textId="77777777">
            <w:pPr>
              <w:rPr>
                <w:sz w:val="20"/>
                <w:szCs w:val="20"/>
              </w:rPr>
            </w:pPr>
          </w:p>
        </w:tc>
        <w:tc>
          <w:tcPr>
            <w:tcW w:w="1082" w:type="dxa"/>
            <w:shd w:val="clear" w:color="auto" w:fill="BFBFBF" w:themeFill="background1" w:themeFillShade="BF"/>
            <w:noWrap/>
            <w:vAlign w:val="center"/>
            <w:hideMark/>
          </w:tcPr>
          <w:p w:rsidR="005F6640" w:rsidRPr="009D7556" w:rsidP="005F6640" w14:paraId="3A97E79C" w14:textId="77777777">
            <w:pPr>
              <w:jc w:val="right"/>
              <w:rPr>
                <w:sz w:val="20"/>
                <w:szCs w:val="20"/>
              </w:rPr>
            </w:pPr>
          </w:p>
        </w:tc>
        <w:tc>
          <w:tcPr>
            <w:tcW w:w="1012" w:type="dxa"/>
            <w:shd w:val="clear" w:color="auto" w:fill="BFBFBF" w:themeFill="background1" w:themeFillShade="BF"/>
            <w:noWrap/>
            <w:vAlign w:val="center"/>
            <w:hideMark/>
          </w:tcPr>
          <w:p w:rsidR="005F6640" w:rsidRPr="009D7556" w:rsidP="005F6640" w14:paraId="709D268F" w14:textId="77777777">
            <w:pPr>
              <w:jc w:val="right"/>
              <w:rPr>
                <w:sz w:val="20"/>
                <w:szCs w:val="20"/>
              </w:rPr>
            </w:pPr>
          </w:p>
        </w:tc>
        <w:tc>
          <w:tcPr>
            <w:tcW w:w="1011" w:type="dxa"/>
            <w:shd w:val="clear" w:color="auto" w:fill="BFBFBF" w:themeFill="background1" w:themeFillShade="BF"/>
            <w:noWrap/>
            <w:vAlign w:val="center"/>
            <w:hideMark/>
          </w:tcPr>
          <w:p w:rsidR="005F6640" w:rsidRPr="009D7556" w:rsidP="005F6640" w14:paraId="57DD2273" w14:textId="77777777">
            <w:pPr>
              <w:jc w:val="right"/>
              <w:rPr>
                <w:sz w:val="20"/>
                <w:szCs w:val="20"/>
              </w:rPr>
            </w:pPr>
          </w:p>
        </w:tc>
        <w:tc>
          <w:tcPr>
            <w:tcW w:w="911" w:type="dxa"/>
            <w:shd w:val="clear" w:color="auto" w:fill="BFBFBF" w:themeFill="background1" w:themeFillShade="BF"/>
            <w:noWrap/>
            <w:vAlign w:val="center"/>
            <w:hideMark/>
          </w:tcPr>
          <w:p w:rsidR="005F6640" w:rsidRPr="009D7556" w:rsidP="005F6640" w14:paraId="597F8233" w14:textId="77777777">
            <w:pPr>
              <w:jc w:val="right"/>
              <w:rPr>
                <w:sz w:val="20"/>
                <w:szCs w:val="20"/>
              </w:rPr>
            </w:pPr>
          </w:p>
        </w:tc>
        <w:tc>
          <w:tcPr>
            <w:tcW w:w="1113" w:type="dxa"/>
            <w:shd w:val="clear" w:color="auto" w:fill="BFBFBF" w:themeFill="background1" w:themeFillShade="BF"/>
            <w:noWrap/>
            <w:vAlign w:val="center"/>
            <w:hideMark/>
          </w:tcPr>
          <w:p w:rsidR="005F6640" w:rsidRPr="009D7556" w:rsidP="005F6640" w14:paraId="0BB2B200" w14:textId="77777777">
            <w:pPr>
              <w:jc w:val="right"/>
              <w:rPr>
                <w:sz w:val="20"/>
                <w:szCs w:val="20"/>
              </w:rPr>
            </w:pPr>
          </w:p>
        </w:tc>
      </w:tr>
      <w:tr w14:paraId="4AF7451B"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3E058BF9" w14:textId="77777777">
            <w:pPr>
              <w:rPr>
                <w:color w:val="000000"/>
                <w:sz w:val="20"/>
                <w:szCs w:val="20"/>
              </w:rPr>
            </w:pPr>
            <w:r w:rsidRPr="009D7556">
              <w:rPr>
                <w:color w:val="000000"/>
                <w:sz w:val="20"/>
                <w:szCs w:val="20"/>
              </w:rPr>
              <w:t>Available for response</w:t>
            </w:r>
          </w:p>
        </w:tc>
        <w:tc>
          <w:tcPr>
            <w:tcW w:w="1649" w:type="dxa"/>
            <w:shd w:val="clear" w:color="auto" w:fill="auto"/>
            <w:noWrap/>
            <w:vAlign w:val="center"/>
            <w:hideMark/>
          </w:tcPr>
          <w:p w:rsidR="005F6640" w:rsidRPr="009D7556" w:rsidP="005F6640" w14:paraId="75D7A433"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6CC32313" w14:textId="77777777">
            <w:pPr>
              <w:jc w:val="right"/>
              <w:rPr>
                <w:color w:val="000000"/>
                <w:sz w:val="20"/>
                <w:szCs w:val="20"/>
              </w:rPr>
            </w:pPr>
            <w:r w:rsidRPr="009D7556">
              <w:rPr>
                <w:color w:val="000000"/>
                <w:sz w:val="20"/>
                <w:szCs w:val="20"/>
              </w:rPr>
              <w:t>7,500</w:t>
            </w:r>
          </w:p>
        </w:tc>
        <w:tc>
          <w:tcPr>
            <w:tcW w:w="1012" w:type="dxa"/>
            <w:shd w:val="clear" w:color="auto" w:fill="auto"/>
            <w:noWrap/>
            <w:vAlign w:val="center"/>
            <w:hideMark/>
          </w:tcPr>
          <w:p w:rsidR="005F6640" w:rsidRPr="009D7556" w:rsidP="005F6640" w14:paraId="15257522" w14:textId="77777777">
            <w:pPr>
              <w:jc w:val="right"/>
              <w:rPr>
                <w:color w:val="000000"/>
                <w:sz w:val="20"/>
                <w:szCs w:val="20"/>
              </w:rPr>
            </w:pPr>
          </w:p>
        </w:tc>
        <w:tc>
          <w:tcPr>
            <w:tcW w:w="1011" w:type="dxa"/>
            <w:shd w:val="clear" w:color="auto" w:fill="auto"/>
            <w:noWrap/>
            <w:vAlign w:val="center"/>
            <w:hideMark/>
          </w:tcPr>
          <w:p w:rsidR="005F6640" w:rsidRPr="009D7556" w:rsidP="005F6640" w14:paraId="590B5C1D" w14:textId="77777777">
            <w:pPr>
              <w:jc w:val="right"/>
              <w:rPr>
                <w:sz w:val="20"/>
                <w:szCs w:val="20"/>
              </w:rPr>
            </w:pPr>
          </w:p>
        </w:tc>
        <w:tc>
          <w:tcPr>
            <w:tcW w:w="911" w:type="dxa"/>
            <w:shd w:val="clear" w:color="auto" w:fill="auto"/>
            <w:noWrap/>
            <w:vAlign w:val="center"/>
            <w:hideMark/>
          </w:tcPr>
          <w:p w:rsidR="005F6640" w:rsidRPr="009D7556" w:rsidP="005F6640" w14:paraId="23D9984F" w14:textId="77777777">
            <w:pPr>
              <w:jc w:val="right"/>
              <w:rPr>
                <w:sz w:val="20"/>
                <w:szCs w:val="20"/>
              </w:rPr>
            </w:pPr>
          </w:p>
        </w:tc>
        <w:tc>
          <w:tcPr>
            <w:tcW w:w="1113" w:type="dxa"/>
            <w:shd w:val="clear" w:color="auto" w:fill="auto"/>
            <w:noWrap/>
            <w:vAlign w:val="center"/>
            <w:hideMark/>
          </w:tcPr>
          <w:p w:rsidR="005F6640" w:rsidRPr="009D7556" w:rsidP="005F6640" w14:paraId="6DB4C505" w14:textId="77777777">
            <w:pPr>
              <w:jc w:val="right"/>
              <w:rPr>
                <w:color w:val="000000"/>
                <w:sz w:val="20"/>
                <w:szCs w:val="20"/>
              </w:rPr>
            </w:pPr>
            <w:r w:rsidRPr="009D7556">
              <w:rPr>
                <w:color w:val="000000"/>
                <w:sz w:val="20"/>
                <w:szCs w:val="20"/>
              </w:rPr>
              <w:t>7,500</w:t>
            </w:r>
          </w:p>
        </w:tc>
      </w:tr>
      <w:tr w14:paraId="63FB36B6"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0B22F30E" w14:textId="77777777">
            <w:pPr>
              <w:rPr>
                <w:color w:val="000000"/>
                <w:sz w:val="20"/>
                <w:szCs w:val="20"/>
              </w:rPr>
            </w:pPr>
            <w:r w:rsidRPr="009D7556">
              <w:rPr>
                <w:color w:val="000000"/>
                <w:sz w:val="20"/>
                <w:szCs w:val="20"/>
              </w:rPr>
              <w:t>Respondent</w:t>
            </w:r>
          </w:p>
        </w:tc>
        <w:tc>
          <w:tcPr>
            <w:tcW w:w="1649" w:type="dxa"/>
            <w:shd w:val="clear" w:color="auto" w:fill="auto"/>
            <w:noWrap/>
            <w:vAlign w:val="center"/>
            <w:hideMark/>
          </w:tcPr>
          <w:p w:rsidR="005F6640" w:rsidRPr="009D7556" w:rsidP="005F6640" w14:paraId="56D3162F"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7B06E874" w14:textId="77777777">
            <w:pPr>
              <w:jc w:val="right"/>
              <w:rPr>
                <w:color w:val="000000"/>
                <w:sz w:val="20"/>
                <w:szCs w:val="20"/>
              </w:rPr>
            </w:pPr>
            <w:r w:rsidRPr="009D7556">
              <w:rPr>
                <w:color w:val="000000"/>
                <w:sz w:val="20"/>
                <w:szCs w:val="20"/>
              </w:rPr>
              <w:t>1,755</w:t>
            </w:r>
          </w:p>
        </w:tc>
        <w:tc>
          <w:tcPr>
            <w:tcW w:w="1012" w:type="dxa"/>
            <w:shd w:val="clear" w:color="auto" w:fill="auto"/>
            <w:noWrap/>
            <w:vAlign w:val="center"/>
            <w:hideMark/>
          </w:tcPr>
          <w:p w:rsidR="005F6640" w:rsidRPr="009D7556" w:rsidP="005F6640" w14:paraId="5310B31C" w14:textId="3FF495B0">
            <w:pPr>
              <w:jc w:val="right"/>
              <w:rPr>
                <w:color w:val="000000"/>
                <w:sz w:val="20"/>
                <w:szCs w:val="20"/>
                <w:vertAlign w:val="superscript"/>
              </w:rPr>
            </w:pPr>
            <w:r w:rsidRPr="009D7556">
              <w:rPr>
                <w:color w:val="000000"/>
                <w:sz w:val="20"/>
                <w:szCs w:val="20"/>
              </w:rPr>
              <w:t>23.4</w:t>
            </w:r>
            <w:r w:rsidRPr="009D7556" w:rsidR="009D7556">
              <w:rPr>
                <w:color w:val="000000"/>
                <w:sz w:val="20"/>
                <w:szCs w:val="20"/>
                <w:vertAlign w:val="superscript"/>
              </w:rPr>
              <w:t>4</w:t>
            </w:r>
          </w:p>
        </w:tc>
        <w:tc>
          <w:tcPr>
            <w:tcW w:w="1011" w:type="dxa"/>
            <w:shd w:val="clear" w:color="auto" w:fill="auto"/>
            <w:noWrap/>
            <w:vAlign w:val="center"/>
            <w:hideMark/>
          </w:tcPr>
          <w:p w:rsidR="005F6640" w:rsidRPr="009D7556" w:rsidP="005F6640" w14:paraId="42B41482" w14:textId="77777777">
            <w:pPr>
              <w:jc w:val="right"/>
              <w:rPr>
                <w:color w:val="000000"/>
                <w:sz w:val="20"/>
                <w:szCs w:val="20"/>
              </w:rPr>
            </w:pPr>
          </w:p>
        </w:tc>
        <w:tc>
          <w:tcPr>
            <w:tcW w:w="911" w:type="dxa"/>
            <w:shd w:val="clear" w:color="auto" w:fill="auto"/>
            <w:noWrap/>
            <w:vAlign w:val="center"/>
            <w:hideMark/>
          </w:tcPr>
          <w:p w:rsidR="005F6640" w:rsidRPr="009D7556" w:rsidP="005F6640" w14:paraId="1183A92E" w14:textId="77777777">
            <w:pPr>
              <w:jc w:val="right"/>
              <w:rPr>
                <w:sz w:val="20"/>
                <w:szCs w:val="20"/>
              </w:rPr>
            </w:pPr>
          </w:p>
        </w:tc>
        <w:tc>
          <w:tcPr>
            <w:tcW w:w="1113" w:type="dxa"/>
            <w:shd w:val="clear" w:color="auto" w:fill="auto"/>
            <w:noWrap/>
            <w:vAlign w:val="center"/>
            <w:hideMark/>
          </w:tcPr>
          <w:p w:rsidR="005F6640" w:rsidRPr="009D7556" w:rsidP="005F6640" w14:paraId="02FDF70C" w14:textId="77777777">
            <w:pPr>
              <w:jc w:val="right"/>
              <w:rPr>
                <w:color w:val="000000"/>
                <w:sz w:val="20"/>
                <w:szCs w:val="20"/>
              </w:rPr>
            </w:pPr>
            <w:r w:rsidRPr="009D7556">
              <w:rPr>
                <w:color w:val="000000"/>
                <w:sz w:val="20"/>
                <w:szCs w:val="20"/>
              </w:rPr>
              <w:t>1,755</w:t>
            </w:r>
          </w:p>
        </w:tc>
      </w:tr>
      <w:tr w14:paraId="618F3954"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376EDC88" w14:textId="1886B2C2">
            <w:pPr>
              <w:rPr>
                <w:color w:val="000000"/>
                <w:sz w:val="20"/>
                <w:szCs w:val="20"/>
              </w:rPr>
            </w:pPr>
            <w:r w:rsidRPr="009D7556">
              <w:rPr>
                <w:color w:val="000000"/>
                <w:sz w:val="20"/>
                <w:szCs w:val="20"/>
              </w:rPr>
              <w:t>Respondent with any of the four species</w:t>
            </w:r>
          </w:p>
        </w:tc>
        <w:tc>
          <w:tcPr>
            <w:tcW w:w="1649" w:type="dxa"/>
            <w:shd w:val="clear" w:color="auto" w:fill="auto"/>
            <w:noWrap/>
            <w:vAlign w:val="center"/>
            <w:hideMark/>
          </w:tcPr>
          <w:p w:rsidR="005F6640" w:rsidRPr="009D7556" w:rsidP="005F6640" w14:paraId="330F13EA"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647BCEEC" w14:textId="77777777">
            <w:pPr>
              <w:jc w:val="right"/>
              <w:rPr>
                <w:color w:val="000000"/>
                <w:sz w:val="20"/>
                <w:szCs w:val="20"/>
              </w:rPr>
            </w:pPr>
            <w:r w:rsidRPr="009D7556">
              <w:rPr>
                <w:color w:val="000000"/>
                <w:sz w:val="20"/>
                <w:szCs w:val="20"/>
              </w:rPr>
              <w:t>873</w:t>
            </w:r>
          </w:p>
        </w:tc>
        <w:tc>
          <w:tcPr>
            <w:tcW w:w="1012" w:type="dxa"/>
            <w:shd w:val="clear" w:color="auto" w:fill="auto"/>
            <w:noWrap/>
            <w:vAlign w:val="center"/>
            <w:hideMark/>
          </w:tcPr>
          <w:p w:rsidR="005F6640" w:rsidRPr="009D7556" w:rsidP="005F6640" w14:paraId="7CBE288B" w14:textId="77777777">
            <w:pPr>
              <w:jc w:val="right"/>
              <w:rPr>
                <w:color w:val="000000"/>
                <w:sz w:val="20"/>
                <w:szCs w:val="20"/>
              </w:rPr>
            </w:pPr>
            <w:r w:rsidRPr="009D7556">
              <w:rPr>
                <w:color w:val="000000"/>
                <w:sz w:val="20"/>
                <w:szCs w:val="20"/>
              </w:rPr>
              <w:t>11.6</w:t>
            </w:r>
          </w:p>
        </w:tc>
        <w:tc>
          <w:tcPr>
            <w:tcW w:w="1011" w:type="dxa"/>
            <w:shd w:val="clear" w:color="auto" w:fill="auto"/>
            <w:noWrap/>
            <w:vAlign w:val="center"/>
            <w:hideMark/>
          </w:tcPr>
          <w:p w:rsidR="005F6640" w:rsidRPr="009D7556" w:rsidP="005F6640" w14:paraId="26266385" w14:textId="77777777">
            <w:pPr>
              <w:jc w:val="right"/>
              <w:rPr>
                <w:color w:val="000000"/>
                <w:sz w:val="20"/>
                <w:szCs w:val="20"/>
              </w:rPr>
            </w:pPr>
          </w:p>
        </w:tc>
        <w:tc>
          <w:tcPr>
            <w:tcW w:w="911" w:type="dxa"/>
            <w:shd w:val="clear" w:color="auto" w:fill="auto"/>
            <w:noWrap/>
            <w:vAlign w:val="center"/>
            <w:hideMark/>
          </w:tcPr>
          <w:p w:rsidR="005F6640" w:rsidRPr="009D7556" w:rsidP="005F6640" w14:paraId="29C4A515" w14:textId="77777777">
            <w:pPr>
              <w:jc w:val="right"/>
              <w:rPr>
                <w:sz w:val="20"/>
                <w:szCs w:val="20"/>
              </w:rPr>
            </w:pPr>
          </w:p>
        </w:tc>
        <w:tc>
          <w:tcPr>
            <w:tcW w:w="1113" w:type="dxa"/>
            <w:shd w:val="clear" w:color="auto" w:fill="auto"/>
            <w:noWrap/>
            <w:vAlign w:val="center"/>
            <w:hideMark/>
          </w:tcPr>
          <w:p w:rsidR="005F6640" w:rsidRPr="009D7556" w:rsidP="005F6640" w14:paraId="77FDE035" w14:textId="77777777">
            <w:pPr>
              <w:jc w:val="right"/>
              <w:rPr>
                <w:color w:val="000000"/>
                <w:sz w:val="20"/>
                <w:szCs w:val="20"/>
              </w:rPr>
            </w:pPr>
            <w:r w:rsidRPr="009D7556">
              <w:rPr>
                <w:color w:val="000000"/>
                <w:sz w:val="20"/>
                <w:szCs w:val="20"/>
              </w:rPr>
              <w:t>873</w:t>
            </w:r>
          </w:p>
        </w:tc>
      </w:tr>
      <w:tr w14:paraId="4714A2CA"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4E9730E5" w14:textId="384993D3">
            <w:pPr>
              <w:rPr>
                <w:color w:val="000000"/>
                <w:sz w:val="20"/>
                <w:szCs w:val="20"/>
              </w:rPr>
            </w:pPr>
            <w:r w:rsidRPr="009D7556">
              <w:rPr>
                <w:color w:val="000000"/>
                <w:sz w:val="20"/>
                <w:szCs w:val="20"/>
              </w:rPr>
              <w:t>Respondent with chickens</w:t>
            </w:r>
          </w:p>
        </w:tc>
        <w:tc>
          <w:tcPr>
            <w:tcW w:w="1649" w:type="dxa"/>
            <w:shd w:val="clear" w:color="auto" w:fill="auto"/>
            <w:noWrap/>
            <w:vAlign w:val="center"/>
            <w:hideMark/>
          </w:tcPr>
          <w:p w:rsidR="005F6640" w:rsidRPr="009D7556" w:rsidP="005F6640" w14:paraId="193B91D1"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1D55C37D" w14:textId="77777777">
            <w:pPr>
              <w:jc w:val="right"/>
              <w:rPr>
                <w:color w:val="000000"/>
                <w:sz w:val="20"/>
                <w:szCs w:val="20"/>
              </w:rPr>
            </w:pPr>
            <w:r w:rsidRPr="009D7556">
              <w:rPr>
                <w:color w:val="000000"/>
                <w:sz w:val="20"/>
                <w:szCs w:val="20"/>
              </w:rPr>
              <w:t>634</w:t>
            </w:r>
          </w:p>
        </w:tc>
        <w:tc>
          <w:tcPr>
            <w:tcW w:w="1012" w:type="dxa"/>
            <w:shd w:val="clear" w:color="auto" w:fill="auto"/>
            <w:noWrap/>
            <w:vAlign w:val="center"/>
            <w:hideMark/>
          </w:tcPr>
          <w:p w:rsidR="005F6640" w:rsidRPr="009D7556" w:rsidP="005F6640" w14:paraId="7E394D9A" w14:textId="77777777">
            <w:pPr>
              <w:jc w:val="right"/>
              <w:rPr>
                <w:color w:val="000000"/>
                <w:sz w:val="20"/>
                <w:szCs w:val="20"/>
              </w:rPr>
            </w:pPr>
            <w:r w:rsidRPr="009D7556">
              <w:rPr>
                <w:color w:val="000000"/>
                <w:sz w:val="20"/>
                <w:szCs w:val="20"/>
              </w:rPr>
              <w:t>8.5</w:t>
            </w:r>
          </w:p>
        </w:tc>
        <w:tc>
          <w:tcPr>
            <w:tcW w:w="1011" w:type="dxa"/>
            <w:shd w:val="clear" w:color="auto" w:fill="auto"/>
            <w:noWrap/>
            <w:vAlign w:val="center"/>
            <w:hideMark/>
          </w:tcPr>
          <w:p w:rsidR="005F6640" w:rsidRPr="009D7556" w:rsidP="005F6640" w14:paraId="7762F9D0" w14:textId="77777777">
            <w:pPr>
              <w:jc w:val="right"/>
              <w:rPr>
                <w:color w:val="000000"/>
                <w:sz w:val="20"/>
                <w:szCs w:val="20"/>
              </w:rPr>
            </w:pPr>
          </w:p>
        </w:tc>
        <w:tc>
          <w:tcPr>
            <w:tcW w:w="911" w:type="dxa"/>
            <w:shd w:val="clear" w:color="auto" w:fill="auto"/>
            <w:noWrap/>
            <w:vAlign w:val="center"/>
            <w:hideMark/>
          </w:tcPr>
          <w:p w:rsidR="005F6640" w:rsidRPr="009D7556" w:rsidP="005F6640" w14:paraId="2B169DEB" w14:textId="77777777">
            <w:pPr>
              <w:jc w:val="right"/>
              <w:rPr>
                <w:sz w:val="20"/>
                <w:szCs w:val="20"/>
              </w:rPr>
            </w:pPr>
          </w:p>
        </w:tc>
        <w:tc>
          <w:tcPr>
            <w:tcW w:w="1113" w:type="dxa"/>
            <w:shd w:val="clear" w:color="auto" w:fill="auto"/>
            <w:noWrap/>
            <w:vAlign w:val="center"/>
            <w:hideMark/>
          </w:tcPr>
          <w:p w:rsidR="005F6640" w:rsidRPr="009D7556" w:rsidP="005F6640" w14:paraId="1DB515DE" w14:textId="77777777">
            <w:pPr>
              <w:jc w:val="right"/>
              <w:rPr>
                <w:color w:val="000000"/>
                <w:sz w:val="20"/>
                <w:szCs w:val="20"/>
              </w:rPr>
            </w:pPr>
            <w:r w:rsidRPr="009D7556">
              <w:rPr>
                <w:color w:val="000000"/>
                <w:sz w:val="20"/>
                <w:szCs w:val="20"/>
              </w:rPr>
              <w:t>634</w:t>
            </w:r>
          </w:p>
        </w:tc>
      </w:tr>
      <w:tr w14:paraId="6534CD2C"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7DB6019C" w14:textId="77777777">
            <w:pPr>
              <w:rPr>
                <w:color w:val="000000"/>
                <w:sz w:val="20"/>
                <w:szCs w:val="20"/>
              </w:rPr>
            </w:pPr>
            <w:r w:rsidRPr="009D7556">
              <w:rPr>
                <w:color w:val="000000"/>
                <w:sz w:val="20"/>
                <w:szCs w:val="20"/>
              </w:rPr>
              <w:t>Respondent with rabbits</w:t>
            </w:r>
          </w:p>
        </w:tc>
        <w:tc>
          <w:tcPr>
            <w:tcW w:w="1649" w:type="dxa"/>
            <w:shd w:val="clear" w:color="auto" w:fill="auto"/>
            <w:noWrap/>
            <w:vAlign w:val="center"/>
            <w:hideMark/>
          </w:tcPr>
          <w:p w:rsidR="005F6640" w:rsidRPr="009D7556" w:rsidP="005F6640" w14:paraId="4A68C2E5"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3009A388" w14:textId="77777777">
            <w:pPr>
              <w:jc w:val="right"/>
              <w:rPr>
                <w:color w:val="000000"/>
                <w:sz w:val="20"/>
                <w:szCs w:val="20"/>
              </w:rPr>
            </w:pPr>
            <w:r w:rsidRPr="009D7556">
              <w:rPr>
                <w:color w:val="000000"/>
                <w:sz w:val="20"/>
                <w:szCs w:val="20"/>
              </w:rPr>
              <w:t>269</w:t>
            </w:r>
          </w:p>
        </w:tc>
        <w:tc>
          <w:tcPr>
            <w:tcW w:w="1012" w:type="dxa"/>
            <w:shd w:val="clear" w:color="auto" w:fill="auto"/>
            <w:noWrap/>
            <w:vAlign w:val="center"/>
            <w:hideMark/>
          </w:tcPr>
          <w:p w:rsidR="005F6640" w:rsidRPr="009D7556" w:rsidP="005F6640" w14:paraId="7CD37829" w14:textId="77777777">
            <w:pPr>
              <w:jc w:val="right"/>
              <w:rPr>
                <w:color w:val="000000"/>
                <w:sz w:val="20"/>
                <w:szCs w:val="20"/>
              </w:rPr>
            </w:pPr>
            <w:r w:rsidRPr="009D7556">
              <w:rPr>
                <w:color w:val="000000"/>
                <w:sz w:val="20"/>
                <w:szCs w:val="20"/>
              </w:rPr>
              <w:t>3.6</w:t>
            </w:r>
          </w:p>
        </w:tc>
        <w:tc>
          <w:tcPr>
            <w:tcW w:w="1011" w:type="dxa"/>
            <w:shd w:val="clear" w:color="auto" w:fill="auto"/>
            <w:noWrap/>
            <w:vAlign w:val="center"/>
            <w:hideMark/>
          </w:tcPr>
          <w:p w:rsidR="005F6640" w:rsidRPr="009D7556" w:rsidP="005F6640" w14:paraId="57B5C257" w14:textId="77777777">
            <w:pPr>
              <w:jc w:val="right"/>
              <w:rPr>
                <w:color w:val="000000"/>
                <w:sz w:val="20"/>
                <w:szCs w:val="20"/>
              </w:rPr>
            </w:pPr>
          </w:p>
        </w:tc>
        <w:tc>
          <w:tcPr>
            <w:tcW w:w="911" w:type="dxa"/>
            <w:shd w:val="clear" w:color="auto" w:fill="auto"/>
            <w:noWrap/>
            <w:vAlign w:val="center"/>
            <w:hideMark/>
          </w:tcPr>
          <w:p w:rsidR="005F6640" w:rsidRPr="009D7556" w:rsidP="005F6640" w14:paraId="72ED70C6" w14:textId="77777777">
            <w:pPr>
              <w:jc w:val="right"/>
              <w:rPr>
                <w:sz w:val="20"/>
                <w:szCs w:val="20"/>
              </w:rPr>
            </w:pPr>
          </w:p>
        </w:tc>
        <w:tc>
          <w:tcPr>
            <w:tcW w:w="1113" w:type="dxa"/>
            <w:shd w:val="clear" w:color="auto" w:fill="auto"/>
            <w:noWrap/>
            <w:vAlign w:val="center"/>
            <w:hideMark/>
          </w:tcPr>
          <w:p w:rsidR="005F6640" w:rsidRPr="009D7556" w:rsidP="005F6640" w14:paraId="1A0C4EB9" w14:textId="77777777">
            <w:pPr>
              <w:jc w:val="right"/>
              <w:rPr>
                <w:color w:val="000000"/>
                <w:sz w:val="20"/>
                <w:szCs w:val="20"/>
              </w:rPr>
            </w:pPr>
            <w:r w:rsidRPr="009D7556">
              <w:rPr>
                <w:color w:val="000000"/>
                <w:sz w:val="20"/>
                <w:szCs w:val="20"/>
              </w:rPr>
              <w:t>269</w:t>
            </w:r>
          </w:p>
        </w:tc>
      </w:tr>
      <w:tr w14:paraId="7FF0F32F"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35AFF324" w14:textId="77777777">
            <w:pPr>
              <w:rPr>
                <w:color w:val="000000"/>
                <w:sz w:val="20"/>
                <w:szCs w:val="20"/>
              </w:rPr>
            </w:pPr>
            <w:r w:rsidRPr="009D7556">
              <w:rPr>
                <w:color w:val="000000"/>
                <w:sz w:val="20"/>
                <w:szCs w:val="20"/>
              </w:rPr>
              <w:t>Respondent with goats</w:t>
            </w:r>
          </w:p>
        </w:tc>
        <w:tc>
          <w:tcPr>
            <w:tcW w:w="1649" w:type="dxa"/>
            <w:shd w:val="clear" w:color="auto" w:fill="auto"/>
            <w:noWrap/>
            <w:vAlign w:val="center"/>
            <w:hideMark/>
          </w:tcPr>
          <w:p w:rsidR="005F6640" w:rsidRPr="009D7556" w:rsidP="005F6640" w14:paraId="3A0F83F8"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00469D69" w14:textId="77777777">
            <w:pPr>
              <w:jc w:val="right"/>
              <w:rPr>
                <w:color w:val="000000"/>
                <w:sz w:val="20"/>
                <w:szCs w:val="20"/>
              </w:rPr>
            </w:pPr>
            <w:r w:rsidRPr="009D7556">
              <w:rPr>
                <w:color w:val="000000"/>
                <w:sz w:val="20"/>
                <w:szCs w:val="20"/>
              </w:rPr>
              <w:t>159</w:t>
            </w:r>
          </w:p>
        </w:tc>
        <w:tc>
          <w:tcPr>
            <w:tcW w:w="1012" w:type="dxa"/>
            <w:shd w:val="clear" w:color="auto" w:fill="auto"/>
            <w:noWrap/>
            <w:vAlign w:val="center"/>
            <w:hideMark/>
          </w:tcPr>
          <w:p w:rsidR="005F6640" w:rsidRPr="009D7556" w:rsidP="005F6640" w14:paraId="3011703B" w14:textId="77777777">
            <w:pPr>
              <w:jc w:val="right"/>
              <w:rPr>
                <w:color w:val="000000"/>
                <w:sz w:val="20"/>
                <w:szCs w:val="20"/>
              </w:rPr>
            </w:pPr>
            <w:r w:rsidRPr="009D7556">
              <w:rPr>
                <w:color w:val="000000"/>
                <w:sz w:val="20"/>
                <w:szCs w:val="20"/>
              </w:rPr>
              <w:t>2.1</w:t>
            </w:r>
          </w:p>
        </w:tc>
        <w:tc>
          <w:tcPr>
            <w:tcW w:w="1011" w:type="dxa"/>
            <w:shd w:val="clear" w:color="auto" w:fill="auto"/>
            <w:noWrap/>
            <w:vAlign w:val="center"/>
            <w:hideMark/>
          </w:tcPr>
          <w:p w:rsidR="005F6640" w:rsidRPr="009D7556" w:rsidP="005F6640" w14:paraId="280B4BEC" w14:textId="77777777">
            <w:pPr>
              <w:jc w:val="right"/>
              <w:rPr>
                <w:color w:val="000000"/>
                <w:sz w:val="20"/>
                <w:szCs w:val="20"/>
              </w:rPr>
            </w:pPr>
          </w:p>
        </w:tc>
        <w:tc>
          <w:tcPr>
            <w:tcW w:w="911" w:type="dxa"/>
            <w:shd w:val="clear" w:color="auto" w:fill="auto"/>
            <w:noWrap/>
            <w:vAlign w:val="center"/>
            <w:hideMark/>
          </w:tcPr>
          <w:p w:rsidR="005F6640" w:rsidRPr="009D7556" w:rsidP="005F6640" w14:paraId="546C5F58" w14:textId="77777777">
            <w:pPr>
              <w:jc w:val="right"/>
              <w:rPr>
                <w:sz w:val="20"/>
                <w:szCs w:val="20"/>
              </w:rPr>
            </w:pPr>
          </w:p>
        </w:tc>
        <w:tc>
          <w:tcPr>
            <w:tcW w:w="1113" w:type="dxa"/>
            <w:shd w:val="clear" w:color="auto" w:fill="auto"/>
            <w:noWrap/>
            <w:vAlign w:val="center"/>
            <w:hideMark/>
          </w:tcPr>
          <w:p w:rsidR="005F6640" w:rsidRPr="009D7556" w:rsidP="005F6640" w14:paraId="5C929F2A" w14:textId="77777777">
            <w:pPr>
              <w:jc w:val="right"/>
              <w:rPr>
                <w:color w:val="000000"/>
                <w:sz w:val="20"/>
                <w:szCs w:val="20"/>
              </w:rPr>
            </w:pPr>
            <w:r w:rsidRPr="009D7556">
              <w:rPr>
                <w:color w:val="000000"/>
                <w:sz w:val="20"/>
                <w:szCs w:val="20"/>
              </w:rPr>
              <w:t>159</w:t>
            </w:r>
          </w:p>
        </w:tc>
      </w:tr>
      <w:tr w14:paraId="6F3D7EBC" w14:textId="77777777" w:rsidTr="00D8664F">
        <w:tblPrEx>
          <w:tblW w:w="9914" w:type="dxa"/>
          <w:tblLook w:val="04A0"/>
        </w:tblPrEx>
        <w:trPr>
          <w:trHeight w:val="318"/>
        </w:trPr>
        <w:tc>
          <w:tcPr>
            <w:tcW w:w="3136" w:type="dxa"/>
            <w:shd w:val="clear" w:color="auto" w:fill="auto"/>
            <w:noWrap/>
            <w:vAlign w:val="center"/>
            <w:hideMark/>
          </w:tcPr>
          <w:p w:rsidR="005F6640" w:rsidRPr="009D7556" w:rsidP="005F6640" w14:paraId="59AE459D" w14:textId="77777777">
            <w:pPr>
              <w:rPr>
                <w:color w:val="000000"/>
                <w:sz w:val="20"/>
                <w:szCs w:val="20"/>
              </w:rPr>
            </w:pPr>
            <w:r w:rsidRPr="009D7556">
              <w:rPr>
                <w:color w:val="000000"/>
                <w:sz w:val="20"/>
                <w:szCs w:val="20"/>
              </w:rPr>
              <w:t>Respondent with pigs</w:t>
            </w:r>
          </w:p>
        </w:tc>
        <w:tc>
          <w:tcPr>
            <w:tcW w:w="1649" w:type="dxa"/>
            <w:shd w:val="clear" w:color="auto" w:fill="auto"/>
            <w:noWrap/>
            <w:vAlign w:val="center"/>
            <w:hideMark/>
          </w:tcPr>
          <w:p w:rsidR="005F6640" w:rsidRPr="009D7556" w:rsidP="005F6640" w14:paraId="0DB17579" w14:textId="77777777">
            <w:pPr>
              <w:rPr>
                <w:color w:val="000000"/>
                <w:sz w:val="20"/>
                <w:szCs w:val="20"/>
              </w:rPr>
            </w:pPr>
            <w:r w:rsidRPr="009D7556">
              <w:rPr>
                <w:color w:val="000000"/>
                <w:sz w:val="20"/>
                <w:szCs w:val="20"/>
              </w:rPr>
              <w:t>2.a</w:t>
            </w:r>
          </w:p>
        </w:tc>
        <w:tc>
          <w:tcPr>
            <w:tcW w:w="1082" w:type="dxa"/>
            <w:shd w:val="clear" w:color="auto" w:fill="auto"/>
            <w:noWrap/>
            <w:vAlign w:val="center"/>
            <w:hideMark/>
          </w:tcPr>
          <w:p w:rsidR="005F6640" w:rsidRPr="009D7556" w:rsidP="005F6640" w14:paraId="6BF469D6" w14:textId="77777777">
            <w:pPr>
              <w:jc w:val="right"/>
              <w:rPr>
                <w:color w:val="000000"/>
                <w:sz w:val="20"/>
                <w:szCs w:val="20"/>
              </w:rPr>
            </w:pPr>
            <w:r w:rsidRPr="009D7556">
              <w:rPr>
                <w:color w:val="000000"/>
                <w:sz w:val="20"/>
                <w:szCs w:val="20"/>
              </w:rPr>
              <w:t>96</w:t>
            </w:r>
          </w:p>
        </w:tc>
        <w:tc>
          <w:tcPr>
            <w:tcW w:w="1012" w:type="dxa"/>
            <w:shd w:val="clear" w:color="auto" w:fill="auto"/>
            <w:noWrap/>
            <w:vAlign w:val="center"/>
            <w:hideMark/>
          </w:tcPr>
          <w:p w:rsidR="005F6640" w:rsidRPr="009D7556" w:rsidP="005F6640" w14:paraId="1A8D3081" w14:textId="77777777">
            <w:pPr>
              <w:jc w:val="right"/>
              <w:rPr>
                <w:color w:val="000000"/>
                <w:sz w:val="20"/>
                <w:szCs w:val="20"/>
              </w:rPr>
            </w:pPr>
            <w:r w:rsidRPr="009D7556">
              <w:rPr>
                <w:color w:val="000000"/>
                <w:sz w:val="20"/>
                <w:szCs w:val="20"/>
              </w:rPr>
              <w:t>1.3</w:t>
            </w:r>
          </w:p>
        </w:tc>
        <w:tc>
          <w:tcPr>
            <w:tcW w:w="1011" w:type="dxa"/>
            <w:shd w:val="clear" w:color="auto" w:fill="auto"/>
            <w:noWrap/>
            <w:vAlign w:val="center"/>
            <w:hideMark/>
          </w:tcPr>
          <w:p w:rsidR="005F6640" w:rsidRPr="009D7556" w:rsidP="005F6640" w14:paraId="358A7EC9" w14:textId="77777777">
            <w:pPr>
              <w:jc w:val="right"/>
              <w:rPr>
                <w:color w:val="000000"/>
                <w:sz w:val="20"/>
                <w:szCs w:val="20"/>
              </w:rPr>
            </w:pPr>
          </w:p>
        </w:tc>
        <w:tc>
          <w:tcPr>
            <w:tcW w:w="911" w:type="dxa"/>
            <w:shd w:val="clear" w:color="auto" w:fill="auto"/>
            <w:noWrap/>
            <w:vAlign w:val="center"/>
            <w:hideMark/>
          </w:tcPr>
          <w:p w:rsidR="005F6640" w:rsidRPr="009D7556" w:rsidP="005F6640" w14:paraId="1D2EA828" w14:textId="77777777">
            <w:pPr>
              <w:jc w:val="right"/>
              <w:rPr>
                <w:sz w:val="20"/>
                <w:szCs w:val="20"/>
              </w:rPr>
            </w:pPr>
          </w:p>
        </w:tc>
        <w:tc>
          <w:tcPr>
            <w:tcW w:w="1113" w:type="dxa"/>
            <w:shd w:val="clear" w:color="auto" w:fill="auto"/>
            <w:noWrap/>
            <w:vAlign w:val="center"/>
            <w:hideMark/>
          </w:tcPr>
          <w:p w:rsidR="005F6640" w:rsidRPr="009D7556" w:rsidP="005F6640" w14:paraId="21F5D6C8" w14:textId="77777777">
            <w:pPr>
              <w:jc w:val="right"/>
              <w:rPr>
                <w:color w:val="000000"/>
                <w:sz w:val="20"/>
                <w:szCs w:val="20"/>
              </w:rPr>
            </w:pPr>
            <w:r w:rsidRPr="009D7556">
              <w:rPr>
                <w:color w:val="000000"/>
                <w:sz w:val="20"/>
                <w:szCs w:val="20"/>
              </w:rPr>
              <w:t>96</w:t>
            </w:r>
          </w:p>
        </w:tc>
      </w:tr>
      <w:tr w14:paraId="5FE8D9D4" w14:textId="77777777" w:rsidTr="009D7556">
        <w:tblPrEx>
          <w:tblW w:w="9914" w:type="dxa"/>
          <w:tblLook w:val="04A0"/>
        </w:tblPrEx>
        <w:trPr>
          <w:trHeight w:val="318"/>
        </w:trPr>
        <w:tc>
          <w:tcPr>
            <w:tcW w:w="3136" w:type="dxa"/>
            <w:tcBorders>
              <w:bottom w:val="single" w:sz="4" w:space="0" w:color="auto"/>
            </w:tcBorders>
            <w:shd w:val="clear" w:color="auto" w:fill="auto"/>
            <w:noWrap/>
            <w:vAlign w:val="center"/>
            <w:hideMark/>
          </w:tcPr>
          <w:p w:rsidR="005F6640" w:rsidRPr="009D7556" w:rsidP="005F6640" w14:paraId="2533E876" w14:textId="02846B63">
            <w:pPr>
              <w:rPr>
                <w:color w:val="000000"/>
                <w:sz w:val="20"/>
                <w:szCs w:val="20"/>
              </w:rPr>
            </w:pPr>
            <w:r w:rsidRPr="009D7556">
              <w:rPr>
                <w:color w:val="000000"/>
                <w:sz w:val="20"/>
                <w:szCs w:val="20"/>
              </w:rPr>
              <w:t>Respondents with none of the four species</w:t>
            </w:r>
          </w:p>
        </w:tc>
        <w:tc>
          <w:tcPr>
            <w:tcW w:w="1649" w:type="dxa"/>
            <w:tcBorders>
              <w:bottom w:val="single" w:sz="4" w:space="0" w:color="auto"/>
            </w:tcBorders>
            <w:shd w:val="clear" w:color="auto" w:fill="auto"/>
            <w:noWrap/>
            <w:vAlign w:val="center"/>
            <w:hideMark/>
          </w:tcPr>
          <w:p w:rsidR="005F6640" w:rsidRPr="009D7556" w:rsidP="005F6640" w14:paraId="5369BB93" w14:textId="77777777">
            <w:pPr>
              <w:rPr>
                <w:color w:val="000000"/>
                <w:sz w:val="20"/>
                <w:szCs w:val="20"/>
              </w:rPr>
            </w:pPr>
            <w:r w:rsidRPr="009D7556">
              <w:rPr>
                <w:color w:val="000000"/>
                <w:sz w:val="20"/>
                <w:szCs w:val="20"/>
              </w:rPr>
              <w:t>2.a</w:t>
            </w:r>
          </w:p>
        </w:tc>
        <w:tc>
          <w:tcPr>
            <w:tcW w:w="1082" w:type="dxa"/>
            <w:tcBorders>
              <w:bottom w:val="single" w:sz="4" w:space="0" w:color="auto"/>
            </w:tcBorders>
            <w:shd w:val="clear" w:color="auto" w:fill="auto"/>
            <w:noWrap/>
            <w:vAlign w:val="center"/>
            <w:hideMark/>
          </w:tcPr>
          <w:p w:rsidR="005F6640" w:rsidRPr="009D7556" w:rsidP="005F6640" w14:paraId="1A4DE5E6" w14:textId="77777777">
            <w:pPr>
              <w:jc w:val="right"/>
              <w:rPr>
                <w:color w:val="000000"/>
                <w:sz w:val="20"/>
                <w:szCs w:val="20"/>
              </w:rPr>
            </w:pPr>
            <w:r w:rsidRPr="009D7556">
              <w:rPr>
                <w:color w:val="000000"/>
                <w:sz w:val="20"/>
                <w:szCs w:val="20"/>
              </w:rPr>
              <w:t>6,627</w:t>
            </w:r>
          </w:p>
        </w:tc>
        <w:tc>
          <w:tcPr>
            <w:tcW w:w="1012" w:type="dxa"/>
            <w:tcBorders>
              <w:bottom w:val="single" w:sz="4" w:space="0" w:color="auto"/>
            </w:tcBorders>
            <w:shd w:val="clear" w:color="auto" w:fill="auto"/>
            <w:noWrap/>
            <w:vAlign w:val="center"/>
            <w:hideMark/>
          </w:tcPr>
          <w:p w:rsidR="005F6640" w:rsidRPr="009D7556" w:rsidP="005F6640" w14:paraId="397966D2" w14:textId="77777777">
            <w:pPr>
              <w:jc w:val="right"/>
              <w:rPr>
                <w:color w:val="000000"/>
                <w:sz w:val="20"/>
                <w:szCs w:val="20"/>
              </w:rPr>
            </w:pPr>
            <w:r w:rsidRPr="009D7556">
              <w:rPr>
                <w:color w:val="000000"/>
                <w:sz w:val="20"/>
                <w:szCs w:val="20"/>
              </w:rPr>
              <w:t>88.4</w:t>
            </w:r>
          </w:p>
        </w:tc>
        <w:tc>
          <w:tcPr>
            <w:tcW w:w="1011" w:type="dxa"/>
            <w:tcBorders>
              <w:bottom w:val="single" w:sz="4" w:space="0" w:color="auto"/>
            </w:tcBorders>
            <w:shd w:val="clear" w:color="auto" w:fill="auto"/>
            <w:noWrap/>
            <w:vAlign w:val="center"/>
            <w:hideMark/>
          </w:tcPr>
          <w:p w:rsidR="005F6640" w:rsidRPr="009D7556" w:rsidP="005F6640" w14:paraId="016A5DF6" w14:textId="77777777">
            <w:pPr>
              <w:jc w:val="right"/>
              <w:rPr>
                <w:color w:val="000000"/>
                <w:sz w:val="20"/>
                <w:szCs w:val="20"/>
              </w:rPr>
            </w:pPr>
          </w:p>
        </w:tc>
        <w:tc>
          <w:tcPr>
            <w:tcW w:w="911" w:type="dxa"/>
            <w:tcBorders>
              <w:bottom w:val="single" w:sz="4" w:space="0" w:color="auto"/>
            </w:tcBorders>
            <w:shd w:val="clear" w:color="auto" w:fill="auto"/>
            <w:noWrap/>
            <w:vAlign w:val="center"/>
            <w:hideMark/>
          </w:tcPr>
          <w:p w:rsidR="005F6640" w:rsidRPr="009D7556" w:rsidP="005F6640" w14:paraId="68A34769" w14:textId="77777777">
            <w:pPr>
              <w:jc w:val="right"/>
              <w:rPr>
                <w:sz w:val="20"/>
                <w:szCs w:val="20"/>
              </w:rPr>
            </w:pPr>
          </w:p>
        </w:tc>
        <w:tc>
          <w:tcPr>
            <w:tcW w:w="1113" w:type="dxa"/>
            <w:tcBorders>
              <w:bottom w:val="single" w:sz="4" w:space="0" w:color="auto"/>
            </w:tcBorders>
            <w:shd w:val="clear" w:color="auto" w:fill="auto"/>
            <w:noWrap/>
            <w:vAlign w:val="center"/>
            <w:hideMark/>
          </w:tcPr>
          <w:p w:rsidR="005F6640" w:rsidRPr="009D7556" w:rsidP="005F6640" w14:paraId="5AF764F4" w14:textId="77777777">
            <w:pPr>
              <w:jc w:val="right"/>
              <w:rPr>
                <w:color w:val="000000"/>
                <w:sz w:val="20"/>
                <w:szCs w:val="20"/>
              </w:rPr>
            </w:pPr>
            <w:r w:rsidRPr="009D7556">
              <w:rPr>
                <w:color w:val="000000"/>
                <w:sz w:val="20"/>
                <w:szCs w:val="20"/>
              </w:rPr>
              <w:t>6,627</w:t>
            </w:r>
          </w:p>
        </w:tc>
      </w:tr>
      <w:tr w14:paraId="6727319A" w14:textId="77777777" w:rsidTr="009D7556">
        <w:tblPrEx>
          <w:tblW w:w="9914" w:type="dxa"/>
          <w:tblLook w:val="04A0"/>
        </w:tblPrEx>
        <w:trPr>
          <w:trHeight w:val="318"/>
        </w:trPr>
        <w:tc>
          <w:tcPr>
            <w:tcW w:w="9914" w:type="dxa"/>
            <w:gridSpan w:val="7"/>
            <w:tcBorders>
              <w:top w:val="single" w:sz="4" w:space="0" w:color="auto"/>
              <w:bottom w:val="nil"/>
            </w:tcBorders>
            <w:shd w:val="clear" w:color="auto" w:fill="auto"/>
            <w:noWrap/>
          </w:tcPr>
          <w:p w:rsidR="009D7556" w:rsidRPr="009D7556" w:rsidP="009D7556" w14:paraId="1A7F7458" w14:textId="77777777">
            <w:pPr>
              <w:rPr>
                <w:color w:val="000000"/>
                <w:sz w:val="16"/>
                <w:szCs w:val="16"/>
              </w:rPr>
            </w:pPr>
            <w:r w:rsidRPr="009D7556">
              <w:rPr>
                <w:color w:val="000000"/>
                <w:sz w:val="16"/>
                <w:szCs w:val="16"/>
                <w:vertAlign w:val="superscript"/>
              </w:rPr>
              <w:t>1</w:t>
            </w:r>
            <w:r w:rsidRPr="009D7556">
              <w:rPr>
                <w:color w:val="000000"/>
                <w:sz w:val="16"/>
                <w:szCs w:val="16"/>
              </w:rPr>
              <w:t xml:space="preserve">Estimated size of the </w:t>
            </w:r>
            <w:r w:rsidRPr="009D7556">
              <w:rPr>
                <w:color w:val="000000"/>
                <w:sz w:val="16"/>
                <w:szCs w:val="16"/>
              </w:rPr>
              <w:t>AmeriSpeak</w:t>
            </w:r>
            <w:r w:rsidRPr="009D7556">
              <w:rPr>
                <w:color w:val="000000"/>
                <w:sz w:val="16"/>
                <w:szCs w:val="16"/>
              </w:rPr>
              <w:t xml:space="preserve"> probability-based survey panel (NORC, 2022).</w:t>
            </w:r>
          </w:p>
          <w:p w:rsidR="009D7556" w:rsidRPr="009D7556" w:rsidP="009D7556" w14:paraId="4B73CD86" w14:textId="77777777">
            <w:pPr>
              <w:rPr>
                <w:color w:val="000000"/>
                <w:sz w:val="16"/>
                <w:szCs w:val="16"/>
              </w:rPr>
            </w:pPr>
            <w:r w:rsidRPr="009D7556">
              <w:rPr>
                <w:color w:val="000000"/>
                <w:sz w:val="16"/>
                <w:szCs w:val="16"/>
                <w:vertAlign w:val="superscript"/>
              </w:rPr>
              <w:t>2</w:t>
            </w:r>
            <w:r w:rsidRPr="009D7556">
              <w:rPr>
                <w:color w:val="000000"/>
                <w:sz w:val="16"/>
                <w:szCs w:val="16"/>
              </w:rPr>
              <w:t>Estimated percentage of panelists that respond in a given survey (NORC, 2022, conversations with private survey companies).</w:t>
            </w:r>
          </w:p>
          <w:p w:rsidR="009D7556" w:rsidRPr="009D7556" w:rsidP="009D7556" w14:paraId="3EADF8AE" w14:textId="77777777">
            <w:pPr>
              <w:rPr>
                <w:color w:val="000000"/>
                <w:sz w:val="16"/>
                <w:szCs w:val="16"/>
              </w:rPr>
            </w:pPr>
            <w:r w:rsidRPr="009D7556">
              <w:rPr>
                <w:color w:val="000000"/>
                <w:sz w:val="16"/>
                <w:szCs w:val="16"/>
                <w:vertAlign w:val="superscript"/>
              </w:rPr>
              <w:t>3</w:t>
            </w:r>
            <w:r w:rsidRPr="009D7556">
              <w:rPr>
                <w:color w:val="000000"/>
                <w:sz w:val="16"/>
                <w:szCs w:val="16"/>
              </w:rPr>
              <w:t>Estimated response rate for a general, web-based nonprobability sample survey of the U.S. population and the count of owners that respond was estimated to be 300 in conversations with private survey companies, though that number could fluctuate.</w:t>
            </w:r>
          </w:p>
          <w:p w:rsidR="009D7556" w:rsidP="009D7556" w14:paraId="1FEF2217" w14:textId="77777777">
            <w:pPr>
              <w:rPr>
                <w:color w:val="000000"/>
                <w:sz w:val="16"/>
                <w:szCs w:val="16"/>
              </w:rPr>
            </w:pPr>
            <w:r w:rsidRPr="009D7556">
              <w:rPr>
                <w:color w:val="000000"/>
                <w:sz w:val="16"/>
                <w:szCs w:val="16"/>
                <w:vertAlign w:val="superscript"/>
              </w:rPr>
              <w:t>4</w:t>
            </w:r>
            <w:r w:rsidRPr="009D7556">
              <w:rPr>
                <w:color w:val="000000"/>
                <w:sz w:val="16"/>
                <w:szCs w:val="16"/>
              </w:rPr>
              <w:t>City Survey response rates are expected to be similar to those observed in the NAHMS Poultry 2010 study (Table B.1).</w:t>
            </w:r>
          </w:p>
          <w:p w:rsidR="000E6C7D" w:rsidRPr="009D7556" w:rsidP="009D7556" w14:paraId="3F88335C" w14:textId="33FB9DBB">
            <w:pPr>
              <w:rPr>
                <w:color w:val="000000"/>
                <w:sz w:val="16"/>
                <w:szCs w:val="16"/>
              </w:rPr>
            </w:pPr>
            <w:r>
              <w:rPr>
                <w:sz w:val="16"/>
                <w:szCs w:val="16"/>
                <w:vertAlign w:val="superscript"/>
              </w:rPr>
              <w:t>5</w:t>
            </w:r>
            <w:r>
              <w:rPr>
                <w:sz w:val="16"/>
                <w:szCs w:val="16"/>
              </w:rPr>
              <w:t>Projection information from Table B.2 are based on respondents owning chickens only. That information is used here to project the proportion of households with backyard poultry (including chickens, turkeys, ducks, and other poultry species).</w:t>
            </w:r>
          </w:p>
        </w:tc>
      </w:tr>
    </w:tbl>
    <w:p w:rsidR="00F452E3" w:rsidP="008F2F42" w14:paraId="269CC645" w14:textId="77777777">
      <w:pPr>
        <w:pStyle w:val="paragraph"/>
        <w:spacing w:before="0" w:beforeAutospacing="0" w:after="0" w:afterAutospacing="0"/>
        <w:textAlignment w:val="baseline"/>
        <w:rPr>
          <w:rStyle w:val="normaltextrun"/>
          <w:color w:val="0078D4"/>
          <w:u w:val="single"/>
        </w:rPr>
      </w:pPr>
    </w:p>
    <w:p w:rsidR="008F2F42" w:rsidRPr="00F452E3" w:rsidP="008F2F42" w14:paraId="41252AE1" w14:textId="4F4756F1">
      <w:pPr>
        <w:pStyle w:val="paragraph"/>
        <w:spacing w:before="0" w:beforeAutospacing="0" w:after="0" w:afterAutospacing="0"/>
        <w:textAlignment w:val="baseline"/>
        <w:rPr>
          <w:rFonts w:ascii="Segoe UI" w:hAnsi="Segoe UI" w:cs="Segoe UI"/>
          <w:sz w:val="18"/>
          <w:szCs w:val="18"/>
        </w:rPr>
      </w:pPr>
      <w:r w:rsidRPr="004D12D9">
        <w:rPr>
          <w:rStyle w:val="normaltextrun"/>
        </w:rPr>
        <w:t xml:space="preserve">Table B.4: Expected response times for the NAHMS Backyard Animal Keeping 2024 </w:t>
      </w:r>
      <w:r w:rsidR="00F466C1">
        <w:rPr>
          <w:rStyle w:val="normaltextrun"/>
        </w:rPr>
        <w:t>S</w:t>
      </w:r>
      <w:r w:rsidRPr="004D12D9">
        <w:rPr>
          <w:rStyle w:val="normaltextrun"/>
        </w:rPr>
        <w:t>tudy.</w:t>
      </w:r>
      <w:r w:rsidRPr="00F452E3">
        <w:rPr>
          <w:rStyle w:val="eop"/>
        </w:rPr>
        <w:t> </w:t>
      </w:r>
    </w:p>
    <w:p w:rsidR="008F2F42" w:rsidRPr="00F452E3" w:rsidP="008F2F42" w14:paraId="49EAC51E" w14:textId="77777777">
      <w:pPr>
        <w:pStyle w:val="paragraph"/>
        <w:spacing w:before="0" w:beforeAutospacing="0" w:after="0" w:afterAutospacing="0"/>
        <w:textAlignment w:val="baseline"/>
        <w:rPr>
          <w:rFonts w:ascii="Segoe UI" w:hAnsi="Segoe UI" w:cs="Segoe UI"/>
          <w:sz w:val="18"/>
          <w:szCs w:val="18"/>
        </w:rPr>
      </w:pPr>
      <w:r w:rsidRPr="00F452E3">
        <w:rPr>
          <w:rStyle w:val="eop"/>
        </w:rPr>
        <w:t> </w:t>
      </w:r>
    </w:p>
    <w:tbl>
      <w:tblPr>
        <w:tblW w:w="9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46"/>
        <w:gridCol w:w="1662"/>
        <w:gridCol w:w="1748"/>
        <w:gridCol w:w="24"/>
        <w:gridCol w:w="1196"/>
        <w:gridCol w:w="1604"/>
      </w:tblGrid>
      <w:tr w14:paraId="40E913E4" w14:textId="77777777" w:rsidTr="004D12D9">
        <w:tblPrEx>
          <w:tblW w:w="9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52"/>
        </w:trPr>
        <w:tc>
          <w:tcPr>
            <w:tcW w:w="3646" w:type="dxa"/>
            <w:tcBorders>
              <w:top w:val="single" w:sz="6" w:space="0" w:color="auto"/>
              <w:left w:val="nil"/>
              <w:bottom w:val="single" w:sz="6" w:space="0" w:color="BFBFBF"/>
              <w:right w:val="nil"/>
            </w:tcBorders>
            <w:shd w:val="clear" w:color="auto" w:fill="auto"/>
            <w:vAlign w:val="bottom"/>
            <w:hideMark/>
          </w:tcPr>
          <w:p w:rsidR="008F2F42" w:rsidRPr="00F452E3" w:rsidP="008F2F42" w14:paraId="4E98DF66" w14:textId="77777777">
            <w:pPr>
              <w:pStyle w:val="paragraph"/>
              <w:spacing w:before="0" w:beforeAutospacing="0" w:after="0" w:afterAutospacing="0"/>
              <w:textAlignment w:val="baseline"/>
            </w:pPr>
            <w:r w:rsidRPr="004D12D9">
              <w:rPr>
                <w:rStyle w:val="normaltextrun"/>
                <w:sz w:val="20"/>
                <w:szCs w:val="20"/>
              </w:rPr>
              <w:t>Respondent type</w:t>
            </w:r>
            <w:r w:rsidRPr="004D12D9">
              <w:rPr>
                <w:rStyle w:val="eop"/>
                <w:sz w:val="20"/>
                <w:szCs w:val="20"/>
              </w:rPr>
              <w:t> </w:t>
            </w:r>
          </w:p>
        </w:tc>
        <w:tc>
          <w:tcPr>
            <w:tcW w:w="1662" w:type="dxa"/>
            <w:tcBorders>
              <w:top w:val="single" w:sz="6" w:space="0" w:color="auto"/>
              <w:left w:val="nil"/>
              <w:bottom w:val="single" w:sz="6" w:space="0" w:color="BFBFBF"/>
              <w:right w:val="nil"/>
            </w:tcBorders>
            <w:shd w:val="clear" w:color="auto" w:fill="auto"/>
            <w:vAlign w:val="bottom"/>
            <w:hideMark/>
          </w:tcPr>
          <w:p w:rsidR="008F2F42" w:rsidRPr="00F452E3" w:rsidP="008F2F42" w14:paraId="59BF1B2D" w14:textId="77777777">
            <w:pPr>
              <w:pStyle w:val="paragraph"/>
              <w:spacing w:before="0" w:beforeAutospacing="0" w:after="0" w:afterAutospacing="0"/>
              <w:textAlignment w:val="baseline"/>
            </w:pPr>
            <w:r w:rsidRPr="004D12D9">
              <w:rPr>
                <w:rStyle w:val="normaltextrun"/>
                <w:sz w:val="20"/>
                <w:szCs w:val="20"/>
              </w:rPr>
              <w:t>Study sub-component(s)</w:t>
            </w:r>
            <w:r w:rsidRPr="004D12D9">
              <w:rPr>
                <w:rStyle w:val="eop"/>
                <w:sz w:val="20"/>
                <w:szCs w:val="20"/>
              </w:rPr>
              <w:t> </w:t>
            </w:r>
          </w:p>
        </w:tc>
        <w:tc>
          <w:tcPr>
            <w:tcW w:w="1748" w:type="dxa"/>
            <w:tcBorders>
              <w:top w:val="single" w:sz="6" w:space="0" w:color="auto"/>
              <w:left w:val="nil"/>
              <w:bottom w:val="single" w:sz="6" w:space="0" w:color="BFBFBF"/>
              <w:right w:val="nil"/>
            </w:tcBorders>
            <w:shd w:val="clear" w:color="auto" w:fill="auto"/>
            <w:vAlign w:val="bottom"/>
            <w:hideMark/>
          </w:tcPr>
          <w:p w:rsidR="008F2F42" w:rsidRPr="00F452E3" w:rsidP="008F2F42" w14:paraId="1382865C" w14:textId="77777777">
            <w:pPr>
              <w:pStyle w:val="paragraph"/>
              <w:spacing w:before="0" w:beforeAutospacing="0" w:after="0" w:afterAutospacing="0"/>
              <w:jc w:val="center"/>
              <w:textAlignment w:val="baseline"/>
            </w:pPr>
            <w:r w:rsidRPr="004D12D9">
              <w:rPr>
                <w:rStyle w:val="normaltextrun"/>
                <w:sz w:val="20"/>
                <w:szCs w:val="20"/>
              </w:rPr>
              <w:t>Response burden average (in hours)</w:t>
            </w:r>
            <w:r w:rsidRPr="004D12D9">
              <w:rPr>
                <w:rStyle w:val="eop"/>
                <w:sz w:val="20"/>
                <w:szCs w:val="20"/>
              </w:rPr>
              <w:t> </w:t>
            </w:r>
          </w:p>
        </w:tc>
        <w:tc>
          <w:tcPr>
            <w:tcW w:w="1220" w:type="dxa"/>
            <w:gridSpan w:val="2"/>
            <w:tcBorders>
              <w:top w:val="single" w:sz="6" w:space="0" w:color="auto"/>
              <w:left w:val="nil"/>
              <w:bottom w:val="single" w:sz="6" w:space="0" w:color="BFBFBF"/>
              <w:right w:val="nil"/>
            </w:tcBorders>
            <w:shd w:val="clear" w:color="auto" w:fill="auto"/>
            <w:vAlign w:val="bottom"/>
            <w:hideMark/>
          </w:tcPr>
          <w:p w:rsidR="008F2F42" w:rsidRPr="00F452E3" w:rsidP="008F2F42" w14:paraId="11693850" w14:textId="77777777">
            <w:pPr>
              <w:pStyle w:val="paragraph"/>
              <w:spacing w:before="0" w:beforeAutospacing="0" w:after="0" w:afterAutospacing="0"/>
              <w:jc w:val="center"/>
              <w:textAlignment w:val="baseline"/>
            </w:pPr>
            <w:r w:rsidRPr="004D12D9">
              <w:rPr>
                <w:rStyle w:val="normaltextrun"/>
                <w:sz w:val="20"/>
                <w:szCs w:val="20"/>
              </w:rPr>
              <w:t>Number of respondents</w:t>
            </w:r>
            <w:r w:rsidRPr="004D12D9">
              <w:rPr>
                <w:rStyle w:val="normaltextrun"/>
                <w:sz w:val="16"/>
                <w:szCs w:val="16"/>
                <w:vertAlign w:val="superscript"/>
              </w:rPr>
              <w:t>1</w:t>
            </w:r>
            <w:r w:rsidRPr="004D12D9">
              <w:rPr>
                <w:rStyle w:val="eop"/>
                <w:sz w:val="16"/>
                <w:szCs w:val="16"/>
              </w:rPr>
              <w:t> </w:t>
            </w:r>
          </w:p>
        </w:tc>
        <w:tc>
          <w:tcPr>
            <w:tcW w:w="1602" w:type="dxa"/>
            <w:tcBorders>
              <w:top w:val="single" w:sz="6" w:space="0" w:color="auto"/>
              <w:left w:val="nil"/>
              <w:bottom w:val="single" w:sz="6" w:space="0" w:color="BFBFBF"/>
              <w:right w:val="nil"/>
            </w:tcBorders>
            <w:shd w:val="clear" w:color="auto" w:fill="auto"/>
            <w:vAlign w:val="bottom"/>
            <w:hideMark/>
          </w:tcPr>
          <w:p w:rsidR="008F2F42" w:rsidRPr="00F452E3" w:rsidP="008F2F42" w14:paraId="0CA21415" w14:textId="77777777">
            <w:pPr>
              <w:pStyle w:val="paragraph"/>
              <w:spacing w:before="0" w:beforeAutospacing="0" w:after="0" w:afterAutospacing="0"/>
              <w:jc w:val="center"/>
              <w:textAlignment w:val="baseline"/>
            </w:pPr>
            <w:r w:rsidRPr="004D12D9">
              <w:rPr>
                <w:rStyle w:val="normaltextrun"/>
                <w:sz w:val="20"/>
                <w:szCs w:val="20"/>
              </w:rPr>
              <w:t>Total response burden (in hours)</w:t>
            </w:r>
            <w:r w:rsidRPr="004D12D9">
              <w:rPr>
                <w:rStyle w:val="eop"/>
                <w:sz w:val="20"/>
                <w:szCs w:val="20"/>
              </w:rPr>
              <w:t> </w:t>
            </w:r>
          </w:p>
        </w:tc>
      </w:tr>
      <w:tr w14:paraId="6A4B7CF5"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48ACD663" w14:textId="77777777">
            <w:pPr>
              <w:pStyle w:val="paragraph"/>
              <w:spacing w:before="0" w:beforeAutospacing="0" w:after="0" w:afterAutospacing="0"/>
              <w:textAlignment w:val="baseline"/>
            </w:pPr>
            <w:r w:rsidRPr="004D12D9">
              <w:rPr>
                <w:rStyle w:val="normaltextrun"/>
                <w:sz w:val="20"/>
                <w:szCs w:val="20"/>
              </w:rPr>
              <w:t>National Survey – Probability panel</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29A97586" w14:textId="77777777">
            <w:pPr>
              <w:pStyle w:val="paragraph"/>
              <w:spacing w:before="0" w:beforeAutospacing="0" w:after="0" w:afterAutospacing="0"/>
              <w:textAlignment w:val="baseline"/>
            </w:pP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650E5C2F" w14:textId="77777777">
            <w:pPr>
              <w:pStyle w:val="paragraph"/>
              <w:spacing w:before="0" w:beforeAutospacing="0" w:after="0" w:afterAutospacing="0"/>
              <w:jc w:val="right"/>
              <w:textAlignment w:val="baseline"/>
            </w:pP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72F3745A" w14:textId="77777777">
            <w:pPr>
              <w:pStyle w:val="paragraph"/>
              <w:spacing w:before="0" w:beforeAutospacing="0" w:after="0" w:afterAutospacing="0"/>
              <w:jc w:val="right"/>
              <w:textAlignment w:val="baseline"/>
            </w:pP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00C39583" w14:textId="77777777">
            <w:pPr>
              <w:pStyle w:val="paragraph"/>
              <w:spacing w:before="0" w:beforeAutospacing="0" w:after="0" w:afterAutospacing="0"/>
              <w:jc w:val="right"/>
              <w:textAlignment w:val="baseline"/>
            </w:pPr>
            <w:r w:rsidRPr="004D12D9">
              <w:rPr>
                <w:rStyle w:val="eop"/>
                <w:sz w:val="20"/>
                <w:szCs w:val="20"/>
              </w:rPr>
              <w:t> </w:t>
            </w:r>
          </w:p>
        </w:tc>
      </w:tr>
      <w:tr w14:paraId="7822C60D"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6D05AFF3" w14:textId="77777777">
            <w:pPr>
              <w:pStyle w:val="paragraph"/>
              <w:spacing w:before="0" w:beforeAutospacing="0" w:after="0" w:afterAutospacing="0"/>
              <w:textAlignment w:val="baseline"/>
            </w:pPr>
            <w:r w:rsidRPr="004D12D9">
              <w:rPr>
                <w:rStyle w:val="normaltextrun"/>
                <w:sz w:val="20"/>
                <w:szCs w:val="20"/>
              </w:rPr>
              <w:t>Nonrespondent</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0E3BE6A1" w14:textId="77777777">
            <w:pPr>
              <w:pStyle w:val="paragraph"/>
              <w:spacing w:before="0" w:beforeAutospacing="0" w:after="0" w:afterAutospacing="0"/>
              <w:textAlignment w:val="baseline"/>
            </w:pP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2B0B70F4" w14:textId="77777777">
            <w:pPr>
              <w:pStyle w:val="paragraph"/>
              <w:spacing w:before="0" w:beforeAutospacing="0" w:after="0" w:afterAutospacing="0"/>
              <w:jc w:val="right"/>
              <w:textAlignment w:val="baseline"/>
            </w:pPr>
            <w:r w:rsidRPr="004D12D9">
              <w:rPr>
                <w:rStyle w:val="normaltextrun"/>
                <w:sz w:val="20"/>
                <w:szCs w:val="20"/>
              </w:rPr>
              <w:t>0.033</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70F8F889" w14:textId="77777777">
            <w:pPr>
              <w:pStyle w:val="paragraph"/>
              <w:spacing w:before="0" w:beforeAutospacing="0" w:after="0" w:afterAutospacing="0"/>
              <w:jc w:val="right"/>
              <w:textAlignment w:val="baseline"/>
            </w:pPr>
            <w:r w:rsidRPr="004D12D9">
              <w:rPr>
                <w:rStyle w:val="normaltextrun"/>
                <w:sz w:val="20"/>
                <w:szCs w:val="20"/>
              </w:rPr>
              <w:t>34,400</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1A638CF1" w14:textId="77777777">
            <w:pPr>
              <w:pStyle w:val="paragraph"/>
              <w:spacing w:before="0" w:beforeAutospacing="0" w:after="0" w:afterAutospacing="0"/>
              <w:jc w:val="right"/>
              <w:textAlignment w:val="baseline"/>
            </w:pPr>
            <w:r w:rsidRPr="004D12D9">
              <w:rPr>
                <w:rStyle w:val="normaltextrun"/>
                <w:sz w:val="20"/>
                <w:szCs w:val="20"/>
              </w:rPr>
              <w:t>1,135.2</w:t>
            </w:r>
            <w:r w:rsidRPr="004D12D9">
              <w:rPr>
                <w:rStyle w:val="eop"/>
                <w:sz w:val="20"/>
                <w:szCs w:val="20"/>
              </w:rPr>
              <w:t> </w:t>
            </w:r>
          </w:p>
        </w:tc>
      </w:tr>
      <w:tr w14:paraId="21815185"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6914CC05" w14:textId="77777777">
            <w:pPr>
              <w:pStyle w:val="paragraph"/>
              <w:spacing w:before="0" w:beforeAutospacing="0" w:after="0" w:afterAutospacing="0"/>
              <w:textAlignment w:val="baseline"/>
            </w:pPr>
            <w:r w:rsidRPr="004D12D9">
              <w:rPr>
                <w:rStyle w:val="normaltextrun"/>
                <w:sz w:val="20"/>
                <w:szCs w:val="20"/>
              </w:rPr>
              <w:t>Respondent with poultry</w:t>
            </w:r>
            <w:r w:rsidRPr="004D12D9">
              <w:rPr>
                <w:rStyle w:val="normaltextrun"/>
                <w:sz w:val="16"/>
                <w:szCs w:val="16"/>
                <w:vertAlign w:val="superscript"/>
              </w:rPr>
              <w:t xml:space="preserve">2 </w:t>
            </w:r>
            <w:r w:rsidRPr="004D12D9">
              <w:rPr>
                <w:rStyle w:val="normaltextrun"/>
                <w:sz w:val="20"/>
                <w:szCs w:val="20"/>
              </w:rPr>
              <w:t>only</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5DE3B9DA"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045DB877" w14:textId="77777777">
            <w:pPr>
              <w:pStyle w:val="paragraph"/>
              <w:spacing w:before="0" w:beforeAutospacing="0" w:after="0" w:afterAutospacing="0"/>
              <w:jc w:val="right"/>
              <w:textAlignment w:val="baseline"/>
            </w:pPr>
            <w:r w:rsidRPr="004D12D9">
              <w:rPr>
                <w:rStyle w:val="normaltextrun"/>
                <w:sz w:val="20"/>
                <w:szCs w:val="20"/>
              </w:rPr>
              <w:t>0.110</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1A7A5FA9" w14:textId="77777777">
            <w:pPr>
              <w:pStyle w:val="paragraph"/>
              <w:spacing w:before="0" w:beforeAutospacing="0" w:after="0" w:afterAutospacing="0"/>
              <w:jc w:val="right"/>
              <w:textAlignment w:val="baseline"/>
            </w:pPr>
            <w:r w:rsidRPr="004D12D9">
              <w:rPr>
                <w:rStyle w:val="normaltextrun"/>
                <w:sz w:val="20"/>
                <w:szCs w:val="20"/>
              </w:rPr>
              <w:t>173</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63B4933C" w14:textId="77777777">
            <w:pPr>
              <w:pStyle w:val="paragraph"/>
              <w:spacing w:before="0" w:beforeAutospacing="0" w:after="0" w:afterAutospacing="0"/>
              <w:jc w:val="right"/>
              <w:textAlignment w:val="baseline"/>
            </w:pPr>
            <w:r w:rsidRPr="004D12D9">
              <w:rPr>
                <w:rStyle w:val="normaltextrun"/>
                <w:sz w:val="20"/>
                <w:szCs w:val="20"/>
              </w:rPr>
              <w:t>19.1</w:t>
            </w:r>
            <w:r w:rsidRPr="004D12D9">
              <w:rPr>
                <w:rStyle w:val="eop"/>
                <w:sz w:val="20"/>
                <w:szCs w:val="20"/>
              </w:rPr>
              <w:t> </w:t>
            </w:r>
          </w:p>
        </w:tc>
      </w:tr>
      <w:tr w14:paraId="0EBF0D5E"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7921244B" w14:textId="77777777">
            <w:pPr>
              <w:pStyle w:val="paragraph"/>
              <w:spacing w:before="0" w:beforeAutospacing="0" w:after="0" w:afterAutospacing="0"/>
              <w:textAlignment w:val="baseline"/>
            </w:pPr>
            <w:r w:rsidRPr="004D12D9">
              <w:rPr>
                <w:rStyle w:val="normaltextrun"/>
                <w:sz w:val="20"/>
                <w:szCs w:val="20"/>
              </w:rPr>
              <w:t>Respondent with rabbits only</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077A4E4E"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7A1ABFF4" w14:textId="77777777">
            <w:pPr>
              <w:pStyle w:val="paragraph"/>
              <w:spacing w:before="0" w:beforeAutospacing="0" w:after="0" w:afterAutospacing="0"/>
              <w:jc w:val="right"/>
              <w:textAlignment w:val="baseline"/>
            </w:pPr>
            <w:r w:rsidRPr="004D12D9">
              <w:rPr>
                <w:rStyle w:val="normaltextrun"/>
                <w:sz w:val="20"/>
                <w:szCs w:val="20"/>
              </w:rPr>
              <w:t>0.110</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6F42E7A1" w14:textId="77777777">
            <w:pPr>
              <w:pStyle w:val="paragraph"/>
              <w:spacing w:before="0" w:beforeAutospacing="0" w:after="0" w:afterAutospacing="0"/>
              <w:jc w:val="right"/>
              <w:textAlignment w:val="baseline"/>
            </w:pPr>
            <w:r w:rsidRPr="004D12D9">
              <w:rPr>
                <w:rStyle w:val="normaltextrun"/>
                <w:sz w:val="20"/>
                <w:szCs w:val="20"/>
              </w:rPr>
              <w:t>74</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74BCEC38" w14:textId="77777777">
            <w:pPr>
              <w:pStyle w:val="paragraph"/>
              <w:spacing w:before="0" w:beforeAutospacing="0" w:after="0" w:afterAutospacing="0"/>
              <w:jc w:val="right"/>
              <w:textAlignment w:val="baseline"/>
            </w:pPr>
            <w:r w:rsidRPr="004D12D9">
              <w:rPr>
                <w:rStyle w:val="normaltextrun"/>
                <w:sz w:val="20"/>
                <w:szCs w:val="20"/>
              </w:rPr>
              <w:t>8.1</w:t>
            </w:r>
            <w:r w:rsidRPr="004D12D9">
              <w:rPr>
                <w:rStyle w:val="eop"/>
                <w:sz w:val="20"/>
                <w:szCs w:val="20"/>
              </w:rPr>
              <w:t> </w:t>
            </w:r>
          </w:p>
        </w:tc>
      </w:tr>
      <w:tr w14:paraId="13511149"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52708DB6" w14:textId="77777777">
            <w:pPr>
              <w:pStyle w:val="paragraph"/>
              <w:spacing w:before="0" w:beforeAutospacing="0" w:after="0" w:afterAutospacing="0"/>
              <w:textAlignment w:val="baseline"/>
            </w:pPr>
            <w:r w:rsidRPr="004D12D9">
              <w:rPr>
                <w:rStyle w:val="normaltextrun"/>
                <w:sz w:val="20"/>
                <w:szCs w:val="20"/>
              </w:rPr>
              <w:t>Respondent with goats only</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42F972A8"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76B07450" w14:textId="77777777">
            <w:pPr>
              <w:pStyle w:val="paragraph"/>
              <w:spacing w:before="0" w:beforeAutospacing="0" w:after="0" w:afterAutospacing="0"/>
              <w:jc w:val="right"/>
              <w:textAlignment w:val="baseline"/>
            </w:pPr>
            <w:r w:rsidRPr="004D12D9">
              <w:rPr>
                <w:rStyle w:val="normaltextrun"/>
                <w:sz w:val="20"/>
                <w:szCs w:val="20"/>
              </w:rPr>
              <w:t>0.110</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6A6B26BB" w14:textId="77777777">
            <w:pPr>
              <w:pStyle w:val="paragraph"/>
              <w:spacing w:before="0" w:beforeAutospacing="0" w:after="0" w:afterAutospacing="0"/>
              <w:jc w:val="right"/>
              <w:textAlignment w:val="baseline"/>
            </w:pPr>
            <w:r w:rsidRPr="004D12D9">
              <w:rPr>
                <w:rStyle w:val="normaltextrun"/>
                <w:sz w:val="20"/>
                <w:szCs w:val="20"/>
              </w:rPr>
              <w:t>44</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2BB9D5F0" w14:textId="77777777">
            <w:pPr>
              <w:pStyle w:val="paragraph"/>
              <w:spacing w:before="0" w:beforeAutospacing="0" w:after="0" w:afterAutospacing="0"/>
              <w:jc w:val="right"/>
              <w:textAlignment w:val="baseline"/>
            </w:pPr>
            <w:r w:rsidRPr="004D12D9">
              <w:rPr>
                <w:rStyle w:val="normaltextrun"/>
                <w:sz w:val="20"/>
                <w:szCs w:val="20"/>
              </w:rPr>
              <w:t>4.8</w:t>
            </w:r>
            <w:r w:rsidRPr="004D12D9">
              <w:rPr>
                <w:rStyle w:val="eop"/>
                <w:sz w:val="20"/>
                <w:szCs w:val="20"/>
              </w:rPr>
              <w:t> </w:t>
            </w:r>
          </w:p>
        </w:tc>
      </w:tr>
      <w:tr w14:paraId="7E9D976E"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2810E0BB" w14:textId="77777777">
            <w:pPr>
              <w:pStyle w:val="paragraph"/>
              <w:spacing w:before="0" w:beforeAutospacing="0" w:after="0" w:afterAutospacing="0"/>
              <w:textAlignment w:val="baseline"/>
            </w:pPr>
            <w:r w:rsidRPr="004D12D9">
              <w:rPr>
                <w:rStyle w:val="normaltextrun"/>
                <w:sz w:val="20"/>
                <w:szCs w:val="20"/>
              </w:rPr>
              <w:t>Respondent with pigs only</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2A8A3D27"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1458C522" w14:textId="77777777">
            <w:pPr>
              <w:pStyle w:val="paragraph"/>
              <w:spacing w:before="0" w:beforeAutospacing="0" w:after="0" w:afterAutospacing="0"/>
              <w:jc w:val="right"/>
              <w:textAlignment w:val="baseline"/>
            </w:pPr>
            <w:r w:rsidRPr="004D12D9">
              <w:rPr>
                <w:rStyle w:val="normaltextrun"/>
                <w:sz w:val="20"/>
                <w:szCs w:val="20"/>
              </w:rPr>
              <w:t>0.110</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2C8F532A" w14:textId="77777777">
            <w:pPr>
              <w:pStyle w:val="paragraph"/>
              <w:spacing w:before="0" w:beforeAutospacing="0" w:after="0" w:afterAutospacing="0"/>
              <w:jc w:val="right"/>
              <w:textAlignment w:val="baseline"/>
            </w:pPr>
            <w:r w:rsidRPr="004D12D9">
              <w:rPr>
                <w:rStyle w:val="normaltextrun"/>
                <w:sz w:val="20"/>
                <w:szCs w:val="20"/>
              </w:rPr>
              <w:t>26</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11763360" w14:textId="77777777">
            <w:pPr>
              <w:pStyle w:val="paragraph"/>
              <w:spacing w:before="0" w:beforeAutospacing="0" w:after="0" w:afterAutospacing="0"/>
              <w:jc w:val="right"/>
              <w:textAlignment w:val="baseline"/>
            </w:pPr>
            <w:r w:rsidRPr="004D12D9">
              <w:rPr>
                <w:rStyle w:val="normaltextrun"/>
                <w:sz w:val="20"/>
                <w:szCs w:val="20"/>
              </w:rPr>
              <w:t>2.9</w:t>
            </w:r>
            <w:r w:rsidRPr="004D12D9">
              <w:rPr>
                <w:rStyle w:val="eop"/>
                <w:sz w:val="20"/>
                <w:szCs w:val="20"/>
              </w:rPr>
              <w:t> </w:t>
            </w:r>
          </w:p>
        </w:tc>
      </w:tr>
      <w:tr w14:paraId="1F586168"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7EC74195" w14:textId="77777777">
            <w:pPr>
              <w:pStyle w:val="paragraph"/>
              <w:spacing w:before="0" w:beforeAutospacing="0" w:after="0" w:afterAutospacing="0"/>
              <w:textAlignment w:val="baseline"/>
            </w:pPr>
            <w:r w:rsidRPr="004D12D9">
              <w:rPr>
                <w:rStyle w:val="normaltextrun"/>
                <w:sz w:val="20"/>
                <w:szCs w:val="20"/>
              </w:rPr>
              <w:t>Respondent with 2 species</w:t>
            </w:r>
            <w:r w:rsidRPr="004D12D9">
              <w:rPr>
                <w:rStyle w:val="normaltextrun"/>
                <w:sz w:val="16"/>
                <w:szCs w:val="16"/>
                <w:vertAlign w:val="superscript"/>
              </w:rPr>
              <w:t>3</w:t>
            </w:r>
            <w:r w:rsidRPr="004D12D9">
              <w:rPr>
                <w:rStyle w:val="eop"/>
                <w:sz w:val="16"/>
                <w:szCs w:val="16"/>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3D2BDD40"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56D3BE49" w14:textId="77777777">
            <w:pPr>
              <w:pStyle w:val="paragraph"/>
              <w:spacing w:before="0" w:beforeAutospacing="0" w:after="0" w:afterAutospacing="0"/>
              <w:jc w:val="right"/>
              <w:textAlignment w:val="baseline"/>
            </w:pPr>
            <w:r w:rsidRPr="004D12D9">
              <w:rPr>
                <w:rStyle w:val="normaltextrun"/>
                <w:sz w:val="20"/>
                <w:szCs w:val="20"/>
              </w:rPr>
              <w:t>0.165</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1437CECA" w14:textId="77777777">
            <w:pPr>
              <w:pStyle w:val="paragraph"/>
              <w:spacing w:before="0" w:beforeAutospacing="0" w:after="0" w:afterAutospacing="0"/>
              <w:jc w:val="right"/>
              <w:textAlignment w:val="baseline"/>
            </w:pPr>
            <w:r w:rsidRPr="004D12D9">
              <w:rPr>
                <w:rStyle w:val="normaltextrun"/>
                <w:sz w:val="20"/>
                <w:szCs w:val="20"/>
              </w:rPr>
              <w:t>108</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3C04CDCF" w14:textId="77777777">
            <w:pPr>
              <w:pStyle w:val="paragraph"/>
              <w:spacing w:before="0" w:beforeAutospacing="0" w:after="0" w:afterAutospacing="0"/>
              <w:jc w:val="right"/>
              <w:textAlignment w:val="baseline"/>
            </w:pPr>
            <w:r w:rsidRPr="004D12D9">
              <w:rPr>
                <w:rStyle w:val="normaltextrun"/>
                <w:sz w:val="20"/>
                <w:szCs w:val="20"/>
              </w:rPr>
              <w:t>17.9</w:t>
            </w:r>
            <w:r w:rsidRPr="004D12D9">
              <w:rPr>
                <w:rStyle w:val="eop"/>
                <w:sz w:val="20"/>
                <w:szCs w:val="20"/>
              </w:rPr>
              <w:t> </w:t>
            </w:r>
          </w:p>
        </w:tc>
      </w:tr>
      <w:tr w14:paraId="514F949A"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1C9D9924" w14:textId="77777777">
            <w:pPr>
              <w:pStyle w:val="paragraph"/>
              <w:spacing w:before="0" w:beforeAutospacing="0" w:after="0" w:afterAutospacing="0"/>
              <w:textAlignment w:val="baseline"/>
            </w:pPr>
            <w:r w:rsidRPr="004D12D9">
              <w:rPr>
                <w:rStyle w:val="normaltextrun"/>
                <w:sz w:val="20"/>
                <w:szCs w:val="20"/>
              </w:rPr>
              <w:t>Respondent with 3 species</w:t>
            </w:r>
            <w:r w:rsidRPr="004D12D9">
              <w:rPr>
                <w:rStyle w:val="normaltextrun"/>
                <w:sz w:val="16"/>
                <w:szCs w:val="16"/>
                <w:vertAlign w:val="superscript"/>
              </w:rPr>
              <w:t>3</w:t>
            </w:r>
            <w:r w:rsidRPr="004D12D9">
              <w:rPr>
                <w:rStyle w:val="eop"/>
                <w:sz w:val="16"/>
                <w:szCs w:val="16"/>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6508C30E"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1C2FED25" w14:textId="77777777">
            <w:pPr>
              <w:pStyle w:val="paragraph"/>
              <w:spacing w:before="0" w:beforeAutospacing="0" w:after="0" w:afterAutospacing="0"/>
              <w:jc w:val="right"/>
              <w:textAlignment w:val="baseline"/>
            </w:pPr>
            <w:r w:rsidRPr="004D12D9">
              <w:rPr>
                <w:rStyle w:val="normaltextrun"/>
                <w:sz w:val="20"/>
                <w:szCs w:val="20"/>
              </w:rPr>
              <w:t>0.220</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75A95DFC" w14:textId="77777777">
            <w:pPr>
              <w:pStyle w:val="paragraph"/>
              <w:spacing w:before="0" w:beforeAutospacing="0" w:after="0" w:afterAutospacing="0"/>
              <w:jc w:val="right"/>
              <w:textAlignment w:val="baseline"/>
            </w:pPr>
            <w:r w:rsidRPr="004D12D9">
              <w:rPr>
                <w:rStyle w:val="normaltextrun"/>
                <w:sz w:val="20"/>
                <w:szCs w:val="20"/>
              </w:rPr>
              <w:t>31</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7D877990" w14:textId="77777777">
            <w:pPr>
              <w:pStyle w:val="paragraph"/>
              <w:spacing w:before="0" w:beforeAutospacing="0" w:after="0" w:afterAutospacing="0"/>
              <w:jc w:val="right"/>
              <w:textAlignment w:val="baseline"/>
            </w:pPr>
            <w:r w:rsidRPr="004D12D9">
              <w:rPr>
                <w:rStyle w:val="normaltextrun"/>
                <w:sz w:val="20"/>
                <w:szCs w:val="20"/>
              </w:rPr>
              <w:t>6.8</w:t>
            </w:r>
            <w:r w:rsidRPr="004D12D9">
              <w:rPr>
                <w:rStyle w:val="eop"/>
                <w:sz w:val="20"/>
                <w:szCs w:val="20"/>
              </w:rPr>
              <w:t> </w:t>
            </w:r>
          </w:p>
        </w:tc>
      </w:tr>
      <w:tr w14:paraId="54EA700C"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7504CB8F" w14:textId="77777777">
            <w:pPr>
              <w:pStyle w:val="paragraph"/>
              <w:spacing w:before="0" w:beforeAutospacing="0" w:after="0" w:afterAutospacing="0"/>
              <w:textAlignment w:val="baseline"/>
            </w:pPr>
            <w:r w:rsidRPr="004D12D9">
              <w:rPr>
                <w:rStyle w:val="normaltextrun"/>
                <w:sz w:val="20"/>
                <w:szCs w:val="20"/>
              </w:rPr>
              <w:t>Respondent with all 4 species</w:t>
            </w:r>
            <w:r w:rsidRPr="004D12D9">
              <w:rPr>
                <w:rStyle w:val="normaltextrun"/>
                <w:sz w:val="16"/>
                <w:szCs w:val="16"/>
                <w:vertAlign w:val="superscript"/>
              </w:rPr>
              <w:t>3</w:t>
            </w:r>
            <w:r w:rsidRPr="004D12D9">
              <w:rPr>
                <w:rStyle w:val="eop"/>
                <w:sz w:val="16"/>
                <w:szCs w:val="16"/>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54021134"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6E5AD33A" w14:textId="77777777">
            <w:pPr>
              <w:pStyle w:val="paragraph"/>
              <w:spacing w:before="0" w:beforeAutospacing="0" w:after="0" w:afterAutospacing="0"/>
              <w:jc w:val="right"/>
              <w:textAlignment w:val="baseline"/>
            </w:pPr>
            <w:r w:rsidRPr="004D12D9">
              <w:rPr>
                <w:rStyle w:val="normaltextrun"/>
                <w:sz w:val="20"/>
                <w:szCs w:val="20"/>
              </w:rPr>
              <w:t>0.275</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2D664205" w14:textId="77777777">
            <w:pPr>
              <w:pStyle w:val="paragraph"/>
              <w:spacing w:before="0" w:beforeAutospacing="0" w:after="0" w:afterAutospacing="0"/>
              <w:jc w:val="right"/>
              <w:textAlignment w:val="baseline"/>
            </w:pPr>
            <w:r w:rsidRPr="004D12D9">
              <w:rPr>
                <w:rStyle w:val="normaltextrun"/>
                <w:sz w:val="20"/>
                <w:szCs w:val="20"/>
              </w:rPr>
              <w:t>15</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46FF8DA9" w14:textId="77777777">
            <w:pPr>
              <w:pStyle w:val="paragraph"/>
              <w:spacing w:before="0" w:beforeAutospacing="0" w:after="0" w:afterAutospacing="0"/>
              <w:jc w:val="right"/>
              <w:textAlignment w:val="baseline"/>
            </w:pPr>
            <w:r w:rsidRPr="004D12D9">
              <w:rPr>
                <w:rStyle w:val="normaltextrun"/>
                <w:sz w:val="20"/>
                <w:szCs w:val="20"/>
              </w:rPr>
              <w:t>4.3</w:t>
            </w:r>
            <w:r w:rsidRPr="004D12D9">
              <w:rPr>
                <w:rStyle w:val="eop"/>
                <w:sz w:val="20"/>
                <w:szCs w:val="20"/>
              </w:rPr>
              <w:t> </w:t>
            </w:r>
          </w:p>
        </w:tc>
      </w:tr>
      <w:tr w14:paraId="40D8823B"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40D96C87" w14:textId="77777777">
            <w:pPr>
              <w:pStyle w:val="paragraph"/>
              <w:spacing w:before="0" w:beforeAutospacing="0" w:after="0" w:afterAutospacing="0"/>
              <w:textAlignment w:val="baseline"/>
            </w:pPr>
            <w:r w:rsidRPr="004D12D9">
              <w:rPr>
                <w:rStyle w:val="normaltextrun"/>
                <w:sz w:val="20"/>
                <w:szCs w:val="20"/>
              </w:rPr>
              <w:t>Respondents with none of the species that answer the questions for non-owners</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70254DA8" w14:textId="77777777">
            <w:pPr>
              <w:pStyle w:val="paragraph"/>
              <w:spacing w:before="0" w:beforeAutospacing="0" w:after="0" w:afterAutospacing="0"/>
              <w:textAlignment w:val="baseline"/>
            </w:pPr>
            <w:r w:rsidRPr="004D12D9">
              <w:rPr>
                <w:rStyle w:val="normaltextrun"/>
                <w:sz w:val="20"/>
                <w:szCs w:val="20"/>
              </w:rPr>
              <w:t>1.a</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62212555" w14:textId="77777777">
            <w:pPr>
              <w:pStyle w:val="paragraph"/>
              <w:spacing w:before="0" w:beforeAutospacing="0" w:after="0" w:afterAutospacing="0"/>
              <w:jc w:val="right"/>
              <w:textAlignment w:val="baseline"/>
            </w:pPr>
            <w:r w:rsidRPr="004D12D9">
              <w:rPr>
                <w:rStyle w:val="normaltextrun"/>
                <w:sz w:val="20"/>
                <w:szCs w:val="20"/>
              </w:rPr>
              <w:t>0.050</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2CA21F19" w14:textId="77777777">
            <w:pPr>
              <w:pStyle w:val="paragraph"/>
              <w:spacing w:before="0" w:beforeAutospacing="0" w:after="0" w:afterAutospacing="0"/>
              <w:jc w:val="right"/>
              <w:textAlignment w:val="baseline"/>
            </w:pPr>
            <w:r w:rsidRPr="004D12D9">
              <w:rPr>
                <w:rStyle w:val="normaltextrun"/>
                <w:sz w:val="20"/>
                <w:szCs w:val="20"/>
              </w:rPr>
              <w:t>800</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628FC72A" w14:textId="77777777">
            <w:pPr>
              <w:pStyle w:val="paragraph"/>
              <w:spacing w:before="0" w:beforeAutospacing="0" w:after="0" w:afterAutospacing="0"/>
              <w:jc w:val="right"/>
              <w:textAlignment w:val="baseline"/>
            </w:pPr>
            <w:r w:rsidRPr="004D12D9">
              <w:rPr>
                <w:rStyle w:val="normaltextrun"/>
                <w:sz w:val="20"/>
                <w:szCs w:val="20"/>
              </w:rPr>
              <w:t>40.0</w:t>
            </w:r>
            <w:r w:rsidRPr="004D12D9">
              <w:rPr>
                <w:rStyle w:val="eop"/>
                <w:sz w:val="20"/>
                <w:szCs w:val="20"/>
              </w:rPr>
              <w:t> </w:t>
            </w:r>
          </w:p>
        </w:tc>
      </w:tr>
      <w:tr w14:paraId="5EA4F010"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auto"/>
              <w:right w:val="nil"/>
            </w:tcBorders>
            <w:shd w:val="clear" w:color="auto" w:fill="auto"/>
            <w:vAlign w:val="center"/>
            <w:hideMark/>
          </w:tcPr>
          <w:p w:rsidR="008F2F42" w:rsidRPr="00F452E3" w:rsidP="008F2F42" w14:paraId="4D08E175" w14:textId="77777777">
            <w:pPr>
              <w:pStyle w:val="paragraph"/>
              <w:spacing w:before="0" w:beforeAutospacing="0" w:after="0" w:afterAutospacing="0"/>
              <w:textAlignment w:val="baseline"/>
            </w:pPr>
            <w:r w:rsidRPr="004D12D9">
              <w:rPr>
                <w:rStyle w:val="normaltextrun"/>
                <w:sz w:val="20"/>
                <w:szCs w:val="20"/>
              </w:rPr>
              <w:t>Respondents with none of the species that don’t answer the questions for non-owners</w:t>
            </w:r>
            <w:r w:rsidRPr="004D12D9">
              <w:rPr>
                <w:rStyle w:val="eop"/>
                <w:sz w:val="20"/>
                <w:szCs w:val="20"/>
              </w:rPr>
              <w:t> </w:t>
            </w:r>
          </w:p>
        </w:tc>
        <w:tc>
          <w:tcPr>
            <w:tcW w:w="1662" w:type="dxa"/>
            <w:tcBorders>
              <w:top w:val="single" w:sz="6" w:space="0" w:color="BFBFBF"/>
              <w:left w:val="nil"/>
              <w:bottom w:val="single" w:sz="6" w:space="0" w:color="auto"/>
              <w:right w:val="nil"/>
            </w:tcBorders>
            <w:shd w:val="clear" w:color="auto" w:fill="auto"/>
            <w:vAlign w:val="center"/>
            <w:hideMark/>
          </w:tcPr>
          <w:p w:rsidR="008F2F42" w:rsidRPr="00F452E3" w:rsidP="008F2F42" w14:paraId="68BE1F0B" w14:textId="77777777">
            <w:pPr>
              <w:pStyle w:val="paragraph"/>
              <w:spacing w:before="0" w:beforeAutospacing="0" w:after="0" w:afterAutospacing="0"/>
              <w:textAlignment w:val="baseline"/>
            </w:pPr>
            <w:r w:rsidRPr="004D12D9">
              <w:rPr>
                <w:rStyle w:val="normaltextrun"/>
                <w:sz w:val="20"/>
                <w:szCs w:val="20"/>
              </w:rPr>
              <w:t>1.b, 1.c</w:t>
            </w:r>
            <w:r w:rsidRPr="004D12D9">
              <w:rPr>
                <w:rStyle w:val="eop"/>
                <w:sz w:val="20"/>
                <w:szCs w:val="20"/>
              </w:rPr>
              <w:t> </w:t>
            </w:r>
          </w:p>
        </w:tc>
        <w:tc>
          <w:tcPr>
            <w:tcW w:w="1772" w:type="dxa"/>
            <w:gridSpan w:val="2"/>
            <w:tcBorders>
              <w:top w:val="single" w:sz="6" w:space="0" w:color="BFBFBF"/>
              <w:left w:val="nil"/>
              <w:bottom w:val="single" w:sz="6" w:space="0" w:color="auto"/>
              <w:right w:val="nil"/>
            </w:tcBorders>
            <w:shd w:val="clear" w:color="auto" w:fill="auto"/>
            <w:vAlign w:val="center"/>
            <w:hideMark/>
          </w:tcPr>
          <w:p w:rsidR="008F2F42" w:rsidRPr="00F452E3" w:rsidP="008F2F42" w14:paraId="60B9C528" w14:textId="77777777">
            <w:pPr>
              <w:pStyle w:val="paragraph"/>
              <w:spacing w:before="0" w:beforeAutospacing="0" w:after="0" w:afterAutospacing="0"/>
              <w:jc w:val="right"/>
              <w:textAlignment w:val="baseline"/>
            </w:pPr>
            <w:r w:rsidRPr="004D12D9">
              <w:rPr>
                <w:rStyle w:val="normaltextrun"/>
                <w:sz w:val="20"/>
                <w:szCs w:val="20"/>
              </w:rPr>
              <w:t>0.042</w:t>
            </w:r>
            <w:r w:rsidRPr="004D12D9">
              <w:rPr>
                <w:rStyle w:val="eop"/>
                <w:sz w:val="20"/>
                <w:szCs w:val="20"/>
              </w:rPr>
              <w:t> </w:t>
            </w:r>
          </w:p>
        </w:tc>
        <w:tc>
          <w:tcPr>
            <w:tcW w:w="1196" w:type="dxa"/>
            <w:tcBorders>
              <w:top w:val="single" w:sz="6" w:space="0" w:color="BFBFBF"/>
              <w:left w:val="nil"/>
              <w:bottom w:val="single" w:sz="6" w:space="0" w:color="auto"/>
              <w:right w:val="nil"/>
            </w:tcBorders>
            <w:shd w:val="clear" w:color="auto" w:fill="auto"/>
            <w:vAlign w:val="center"/>
            <w:hideMark/>
          </w:tcPr>
          <w:p w:rsidR="008F2F42" w:rsidRPr="00F452E3" w:rsidP="008F2F42" w14:paraId="51CD7967" w14:textId="77777777">
            <w:pPr>
              <w:pStyle w:val="paragraph"/>
              <w:spacing w:before="0" w:beforeAutospacing="0" w:after="0" w:afterAutospacing="0"/>
              <w:jc w:val="right"/>
              <w:textAlignment w:val="baseline"/>
            </w:pPr>
            <w:r w:rsidRPr="004D12D9">
              <w:rPr>
                <w:rStyle w:val="normaltextrun"/>
                <w:sz w:val="20"/>
                <w:szCs w:val="20"/>
              </w:rPr>
              <w:t>7,329</w:t>
            </w:r>
            <w:r w:rsidRPr="004D12D9">
              <w:rPr>
                <w:rStyle w:val="eop"/>
                <w:sz w:val="20"/>
                <w:szCs w:val="20"/>
              </w:rPr>
              <w:t> </w:t>
            </w:r>
          </w:p>
        </w:tc>
        <w:tc>
          <w:tcPr>
            <w:tcW w:w="1602" w:type="dxa"/>
            <w:tcBorders>
              <w:top w:val="single" w:sz="6" w:space="0" w:color="BFBFBF"/>
              <w:left w:val="nil"/>
              <w:bottom w:val="single" w:sz="6" w:space="0" w:color="auto"/>
              <w:right w:val="nil"/>
            </w:tcBorders>
            <w:shd w:val="clear" w:color="auto" w:fill="auto"/>
            <w:vAlign w:val="center"/>
            <w:hideMark/>
          </w:tcPr>
          <w:p w:rsidR="008F2F42" w:rsidRPr="00F452E3" w:rsidP="008F2F42" w14:paraId="52B75782" w14:textId="77777777">
            <w:pPr>
              <w:pStyle w:val="paragraph"/>
              <w:spacing w:before="0" w:beforeAutospacing="0" w:after="0" w:afterAutospacing="0"/>
              <w:jc w:val="right"/>
              <w:textAlignment w:val="baseline"/>
            </w:pPr>
            <w:r w:rsidRPr="004D12D9">
              <w:rPr>
                <w:rStyle w:val="normaltextrun"/>
                <w:sz w:val="20"/>
                <w:szCs w:val="20"/>
              </w:rPr>
              <w:t>307.8</w:t>
            </w:r>
            <w:r w:rsidRPr="004D12D9">
              <w:rPr>
                <w:rStyle w:val="eop"/>
                <w:sz w:val="20"/>
                <w:szCs w:val="20"/>
              </w:rPr>
              <w:t> </w:t>
            </w:r>
          </w:p>
        </w:tc>
      </w:tr>
      <w:tr w14:paraId="351D9A1C" w14:textId="77777777" w:rsidTr="004D12D9">
        <w:tblPrEx>
          <w:tblW w:w="9880" w:type="dxa"/>
          <w:tblCellMar>
            <w:left w:w="0" w:type="dxa"/>
            <w:right w:w="0" w:type="dxa"/>
          </w:tblCellMar>
          <w:tblLook w:val="04A0"/>
        </w:tblPrEx>
        <w:trPr>
          <w:trHeight w:val="288"/>
        </w:trPr>
        <w:tc>
          <w:tcPr>
            <w:tcW w:w="3646" w:type="dxa"/>
            <w:tcBorders>
              <w:top w:val="single" w:sz="6" w:space="0" w:color="auto"/>
              <w:left w:val="nil"/>
              <w:bottom w:val="single" w:sz="6" w:space="0" w:color="auto"/>
              <w:right w:val="nil"/>
            </w:tcBorders>
            <w:shd w:val="clear" w:color="auto" w:fill="auto"/>
            <w:vAlign w:val="center"/>
            <w:hideMark/>
          </w:tcPr>
          <w:p w:rsidR="008F2F42" w:rsidRPr="00F452E3" w:rsidP="008F2F42" w14:paraId="789A8DD8" w14:textId="77777777">
            <w:pPr>
              <w:pStyle w:val="paragraph"/>
              <w:spacing w:before="0" w:beforeAutospacing="0" w:after="0" w:afterAutospacing="0"/>
              <w:textAlignment w:val="baseline"/>
            </w:pPr>
            <w:r w:rsidRPr="004D12D9">
              <w:rPr>
                <w:rStyle w:val="normaltextrun"/>
                <w:b/>
                <w:bCs/>
                <w:sz w:val="20"/>
                <w:szCs w:val="20"/>
              </w:rPr>
              <w:t>Any respondent (weighted average response)</w:t>
            </w:r>
            <w:r w:rsidRPr="004D12D9">
              <w:rPr>
                <w:rStyle w:val="eop"/>
                <w:sz w:val="20"/>
                <w:szCs w:val="20"/>
              </w:rPr>
              <w:t> </w:t>
            </w:r>
          </w:p>
        </w:tc>
        <w:tc>
          <w:tcPr>
            <w:tcW w:w="1662" w:type="dxa"/>
            <w:tcBorders>
              <w:top w:val="single" w:sz="6" w:space="0" w:color="auto"/>
              <w:left w:val="nil"/>
              <w:bottom w:val="single" w:sz="6" w:space="0" w:color="auto"/>
              <w:right w:val="nil"/>
            </w:tcBorders>
            <w:shd w:val="clear" w:color="auto" w:fill="auto"/>
            <w:vAlign w:val="center"/>
            <w:hideMark/>
          </w:tcPr>
          <w:p w:rsidR="008F2F42" w:rsidRPr="00F452E3" w:rsidP="008F2F42" w14:paraId="5C409738" w14:textId="77777777">
            <w:pPr>
              <w:pStyle w:val="paragraph"/>
              <w:spacing w:before="0" w:beforeAutospacing="0" w:after="0" w:afterAutospacing="0"/>
              <w:textAlignment w:val="baseline"/>
            </w:pPr>
            <w:r w:rsidRPr="004D12D9">
              <w:rPr>
                <w:rStyle w:val="eop"/>
                <w:sz w:val="20"/>
                <w:szCs w:val="20"/>
              </w:rPr>
              <w:t> </w:t>
            </w:r>
          </w:p>
        </w:tc>
        <w:tc>
          <w:tcPr>
            <w:tcW w:w="1772" w:type="dxa"/>
            <w:gridSpan w:val="2"/>
            <w:tcBorders>
              <w:top w:val="single" w:sz="6" w:space="0" w:color="auto"/>
              <w:left w:val="nil"/>
              <w:bottom w:val="single" w:sz="6" w:space="0" w:color="auto"/>
              <w:right w:val="nil"/>
            </w:tcBorders>
            <w:shd w:val="clear" w:color="auto" w:fill="auto"/>
            <w:vAlign w:val="center"/>
            <w:hideMark/>
          </w:tcPr>
          <w:p w:rsidR="008F2F42" w:rsidRPr="00F452E3" w:rsidP="008F2F42" w14:paraId="34F63402" w14:textId="77777777">
            <w:pPr>
              <w:pStyle w:val="paragraph"/>
              <w:spacing w:before="0" w:beforeAutospacing="0" w:after="0" w:afterAutospacing="0"/>
              <w:jc w:val="right"/>
              <w:textAlignment w:val="baseline"/>
            </w:pPr>
            <w:r w:rsidRPr="004D12D9">
              <w:rPr>
                <w:rStyle w:val="normaltextrun"/>
                <w:b/>
                <w:bCs/>
                <w:sz w:val="20"/>
                <w:szCs w:val="20"/>
              </w:rPr>
              <w:t>0.048</w:t>
            </w:r>
            <w:r w:rsidRPr="004D12D9">
              <w:rPr>
                <w:rStyle w:val="eop"/>
                <w:sz w:val="20"/>
                <w:szCs w:val="20"/>
              </w:rPr>
              <w:t> </w:t>
            </w:r>
          </w:p>
        </w:tc>
        <w:tc>
          <w:tcPr>
            <w:tcW w:w="1196" w:type="dxa"/>
            <w:tcBorders>
              <w:top w:val="single" w:sz="6" w:space="0" w:color="auto"/>
              <w:left w:val="nil"/>
              <w:bottom w:val="single" w:sz="6" w:space="0" w:color="auto"/>
              <w:right w:val="nil"/>
            </w:tcBorders>
            <w:shd w:val="clear" w:color="auto" w:fill="auto"/>
            <w:vAlign w:val="center"/>
            <w:hideMark/>
          </w:tcPr>
          <w:p w:rsidR="008F2F42" w:rsidRPr="00F452E3" w:rsidP="008F2F42" w14:paraId="64360372" w14:textId="77777777">
            <w:pPr>
              <w:pStyle w:val="paragraph"/>
              <w:spacing w:before="0" w:beforeAutospacing="0" w:after="0" w:afterAutospacing="0"/>
              <w:jc w:val="right"/>
              <w:textAlignment w:val="baseline"/>
            </w:pPr>
            <w:r w:rsidRPr="004D12D9">
              <w:rPr>
                <w:rStyle w:val="eop"/>
                <w:sz w:val="20"/>
                <w:szCs w:val="20"/>
              </w:rPr>
              <w:t> </w:t>
            </w:r>
          </w:p>
        </w:tc>
        <w:tc>
          <w:tcPr>
            <w:tcW w:w="1602" w:type="dxa"/>
            <w:tcBorders>
              <w:top w:val="single" w:sz="6" w:space="0" w:color="auto"/>
              <w:left w:val="nil"/>
              <w:bottom w:val="single" w:sz="6" w:space="0" w:color="auto"/>
              <w:right w:val="nil"/>
            </w:tcBorders>
            <w:shd w:val="clear" w:color="auto" w:fill="auto"/>
            <w:vAlign w:val="center"/>
            <w:hideMark/>
          </w:tcPr>
          <w:p w:rsidR="008F2F42" w:rsidRPr="00F452E3" w:rsidP="008F2F42" w14:paraId="072F1AA3" w14:textId="77777777">
            <w:pPr>
              <w:pStyle w:val="paragraph"/>
              <w:spacing w:before="0" w:beforeAutospacing="0" w:after="0" w:afterAutospacing="0"/>
              <w:jc w:val="right"/>
              <w:textAlignment w:val="baseline"/>
            </w:pPr>
            <w:r w:rsidRPr="004D12D9">
              <w:rPr>
                <w:rStyle w:val="eop"/>
                <w:sz w:val="20"/>
                <w:szCs w:val="20"/>
              </w:rPr>
              <w:t> </w:t>
            </w:r>
          </w:p>
        </w:tc>
      </w:tr>
      <w:tr w14:paraId="2C2AC496" w14:textId="77777777" w:rsidTr="004D12D9">
        <w:tblPrEx>
          <w:tblW w:w="9880" w:type="dxa"/>
          <w:tblCellMar>
            <w:left w:w="0" w:type="dxa"/>
            <w:right w:w="0" w:type="dxa"/>
          </w:tblCellMar>
          <w:tblLook w:val="04A0"/>
        </w:tblPrEx>
        <w:trPr>
          <w:trHeight w:val="288"/>
        </w:trPr>
        <w:tc>
          <w:tcPr>
            <w:tcW w:w="3646" w:type="dxa"/>
            <w:tcBorders>
              <w:top w:val="single" w:sz="6" w:space="0" w:color="auto"/>
              <w:left w:val="nil"/>
              <w:bottom w:val="single" w:sz="6" w:space="0" w:color="BFBFBF"/>
              <w:right w:val="nil"/>
            </w:tcBorders>
            <w:shd w:val="clear" w:color="auto" w:fill="auto"/>
            <w:vAlign w:val="center"/>
            <w:hideMark/>
          </w:tcPr>
          <w:p w:rsidR="008F2F42" w:rsidRPr="00F452E3" w:rsidP="008F2F42" w14:paraId="4BADF52B" w14:textId="77777777">
            <w:pPr>
              <w:pStyle w:val="paragraph"/>
              <w:spacing w:before="0" w:beforeAutospacing="0" w:after="0" w:afterAutospacing="0"/>
              <w:textAlignment w:val="baseline"/>
            </w:pPr>
            <w:r w:rsidRPr="004D12D9">
              <w:rPr>
                <w:rStyle w:val="normaltextrun"/>
                <w:sz w:val="20"/>
                <w:szCs w:val="20"/>
              </w:rPr>
              <w:t>National Survey – Nonprobability panel</w:t>
            </w:r>
            <w:r w:rsidRPr="004D12D9">
              <w:rPr>
                <w:rStyle w:val="eop"/>
                <w:sz w:val="20"/>
                <w:szCs w:val="20"/>
              </w:rPr>
              <w:t> </w:t>
            </w:r>
          </w:p>
        </w:tc>
        <w:tc>
          <w:tcPr>
            <w:tcW w:w="1662" w:type="dxa"/>
            <w:tcBorders>
              <w:top w:val="single" w:sz="6" w:space="0" w:color="auto"/>
              <w:left w:val="nil"/>
              <w:bottom w:val="single" w:sz="6" w:space="0" w:color="BFBFBF"/>
              <w:right w:val="nil"/>
            </w:tcBorders>
            <w:shd w:val="clear" w:color="auto" w:fill="auto"/>
            <w:vAlign w:val="center"/>
            <w:hideMark/>
          </w:tcPr>
          <w:p w:rsidR="008F2F42" w:rsidRPr="00F452E3" w:rsidP="008F2F42" w14:paraId="6BA35A05" w14:textId="77777777">
            <w:pPr>
              <w:pStyle w:val="paragraph"/>
              <w:spacing w:before="0" w:beforeAutospacing="0" w:after="0" w:afterAutospacing="0"/>
              <w:textAlignment w:val="baseline"/>
            </w:pPr>
            <w:r w:rsidRPr="004D12D9">
              <w:rPr>
                <w:rStyle w:val="eop"/>
                <w:sz w:val="20"/>
                <w:szCs w:val="20"/>
              </w:rPr>
              <w:t> </w:t>
            </w:r>
          </w:p>
        </w:tc>
        <w:tc>
          <w:tcPr>
            <w:tcW w:w="1772" w:type="dxa"/>
            <w:gridSpan w:val="2"/>
            <w:tcBorders>
              <w:top w:val="single" w:sz="6" w:space="0" w:color="auto"/>
              <w:left w:val="nil"/>
              <w:bottom w:val="single" w:sz="6" w:space="0" w:color="BFBFBF"/>
              <w:right w:val="nil"/>
            </w:tcBorders>
            <w:shd w:val="clear" w:color="auto" w:fill="auto"/>
            <w:vAlign w:val="center"/>
            <w:hideMark/>
          </w:tcPr>
          <w:p w:rsidR="008F2F42" w:rsidRPr="00F452E3" w:rsidP="008F2F42" w14:paraId="74C16521" w14:textId="77777777">
            <w:pPr>
              <w:pStyle w:val="paragraph"/>
              <w:spacing w:before="0" w:beforeAutospacing="0" w:after="0" w:afterAutospacing="0"/>
              <w:jc w:val="right"/>
              <w:textAlignment w:val="baseline"/>
            </w:pPr>
            <w:r w:rsidRPr="004D12D9">
              <w:rPr>
                <w:rStyle w:val="eop"/>
                <w:sz w:val="20"/>
                <w:szCs w:val="20"/>
              </w:rPr>
              <w:t> </w:t>
            </w:r>
          </w:p>
        </w:tc>
        <w:tc>
          <w:tcPr>
            <w:tcW w:w="1196" w:type="dxa"/>
            <w:tcBorders>
              <w:top w:val="single" w:sz="6" w:space="0" w:color="auto"/>
              <w:left w:val="nil"/>
              <w:bottom w:val="single" w:sz="6" w:space="0" w:color="BFBFBF"/>
              <w:right w:val="nil"/>
            </w:tcBorders>
            <w:shd w:val="clear" w:color="auto" w:fill="auto"/>
            <w:vAlign w:val="center"/>
            <w:hideMark/>
          </w:tcPr>
          <w:p w:rsidR="008F2F42" w:rsidRPr="00F452E3" w:rsidP="008F2F42" w14:paraId="3A5191CF" w14:textId="77777777">
            <w:pPr>
              <w:pStyle w:val="paragraph"/>
              <w:spacing w:before="0" w:beforeAutospacing="0" w:after="0" w:afterAutospacing="0"/>
              <w:jc w:val="right"/>
              <w:textAlignment w:val="baseline"/>
            </w:pPr>
            <w:r w:rsidRPr="004D12D9">
              <w:rPr>
                <w:rStyle w:val="eop"/>
                <w:sz w:val="20"/>
                <w:szCs w:val="20"/>
              </w:rPr>
              <w:t> </w:t>
            </w:r>
          </w:p>
        </w:tc>
        <w:tc>
          <w:tcPr>
            <w:tcW w:w="1602" w:type="dxa"/>
            <w:tcBorders>
              <w:top w:val="single" w:sz="6" w:space="0" w:color="auto"/>
              <w:left w:val="nil"/>
              <w:bottom w:val="single" w:sz="6" w:space="0" w:color="BFBFBF"/>
              <w:right w:val="nil"/>
            </w:tcBorders>
            <w:shd w:val="clear" w:color="auto" w:fill="auto"/>
            <w:vAlign w:val="center"/>
            <w:hideMark/>
          </w:tcPr>
          <w:p w:rsidR="008F2F42" w:rsidRPr="00F452E3" w:rsidP="008F2F42" w14:paraId="66537E8D" w14:textId="77777777">
            <w:pPr>
              <w:pStyle w:val="paragraph"/>
              <w:spacing w:before="0" w:beforeAutospacing="0" w:after="0" w:afterAutospacing="0"/>
              <w:jc w:val="right"/>
              <w:textAlignment w:val="baseline"/>
            </w:pPr>
            <w:r w:rsidRPr="004D12D9">
              <w:rPr>
                <w:rStyle w:val="eop"/>
                <w:sz w:val="20"/>
                <w:szCs w:val="20"/>
              </w:rPr>
              <w:t> </w:t>
            </w:r>
          </w:p>
        </w:tc>
      </w:tr>
      <w:tr w14:paraId="5EFC2A11"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7FC46E67" w14:textId="77777777">
            <w:pPr>
              <w:pStyle w:val="paragraph"/>
              <w:spacing w:before="0" w:beforeAutospacing="0" w:after="0" w:afterAutospacing="0"/>
              <w:textAlignment w:val="baseline"/>
            </w:pPr>
            <w:r w:rsidRPr="004D12D9">
              <w:rPr>
                <w:rStyle w:val="normaltextrun"/>
                <w:sz w:val="20"/>
                <w:szCs w:val="20"/>
              </w:rPr>
              <w:t>Nonrespondent</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2DCC634D" w14:textId="77777777">
            <w:pPr>
              <w:pStyle w:val="paragraph"/>
              <w:spacing w:before="0" w:beforeAutospacing="0" w:after="0" w:afterAutospacing="0"/>
              <w:textAlignment w:val="baseline"/>
            </w:pP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150A3A72" w14:textId="77777777">
            <w:pPr>
              <w:pStyle w:val="paragraph"/>
              <w:spacing w:before="0" w:beforeAutospacing="0" w:after="0" w:afterAutospacing="0"/>
              <w:jc w:val="right"/>
              <w:textAlignment w:val="baseline"/>
            </w:pPr>
            <w:r w:rsidRPr="004D12D9">
              <w:rPr>
                <w:rStyle w:val="normaltextrun"/>
                <w:sz w:val="20"/>
                <w:szCs w:val="20"/>
              </w:rPr>
              <w:t>0.033</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4470E71A" w14:textId="77777777">
            <w:pPr>
              <w:pStyle w:val="paragraph"/>
              <w:spacing w:before="0" w:beforeAutospacing="0" w:after="0" w:afterAutospacing="0"/>
              <w:jc w:val="right"/>
              <w:textAlignment w:val="baseline"/>
            </w:pP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3A5EB96C" w14:textId="77777777">
            <w:pPr>
              <w:pStyle w:val="paragraph"/>
              <w:spacing w:before="0" w:beforeAutospacing="0" w:after="0" w:afterAutospacing="0"/>
              <w:jc w:val="right"/>
              <w:textAlignment w:val="baseline"/>
            </w:pPr>
            <w:r w:rsidRPr="004D12D9">
              <w:rPr>
                <w:rStyle w:val="eop"/>
                <w:sz w:val="20"/>
                <w:szCs w:val="20"/>
              </w:rPr>
              <w:t> </w:t>
            </w:r>
          </w:p>
        </w:tc>
      </w:tr>
      <w:tr w14:paraId="6A1F1EDC"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0AE6B31C" w14:textId="77777777">
            <w:pPr>
              <w:pStyle w:val="paragraph"/>
              <w:spacing w:before="0" w:beforeAutospacing="0" w:after="0" w:afterAutospacing="0"/>
              <w:textAlignment w:val="baseline"/>
            </w:pPr>
            <w:r w:rsidRPr="004D12D9">
              <w:rPr>
                <w:rStyle w:val="normaltextrun"/>
                <w:sz w:val="20"/>
                <w:szCs w:val="20"/>
              </w:rPr>
              <w:t>Respondent with poultry</w:t>
            </w:r>
            <w:r w:rsidRPr="004D12D9">
              <w:rPr>
                <w:rStyle w:val="normaltextrun"/>
                <w:sz w:val="16"/>
                <w:szCs w:val="16"/>
                <w:vertAlign w:val="superscript"/>
              </w:rPr>
              <w:t xml:space="preserve">2 </w:t>
            </w:r>
            <w:r w:rsidRPr="004D12D9">
              <w:rPr>
                <w:rStyle w:val="normaltextrun"/>
                <w:sz w:val="20"/>
                <w:szCs w:val="20"/>
              </w:rPr>
              <w:t>only</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4F71DFFC"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5EAAA3D5" w14:textId="77777777">
            <w:pPr>
              <w:pStyle w:val="paragraph"/>
              <w:spacing w:before="0" w:beforeAutospacing="0" w:after="0" w:afterAutospacing="0"/>
              <w:jc w:val="right"/>
              <w:textAlignment w:val="baseline"/>
            </w:pPr>
            <w:r w:rsidRPr="004D12D9">
              <w:rPr>
                <w:rStyle w:val="normaltextrun"/>
                <w:sz w:val="20"/>
                <w:szCs w:val="20"/>
              </w:rPr>
              <w:t>0.123</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535C01B0" w14:textId="77777777">
            <w:pPr>
              <w:pStyle w:val="paragraph"/>
              <w:spacing w:before="0" w:beforeAutospacing="0" w:after="0" w:afterAutospacing="0"/>
              <w:jc w:val="right"/>
              <w:textAlignment w:val="baseline"/>
            </w:pPr>
            <w:r w:rsidRPr="004D12D9">
              <w:rPr>
                <w:rStyle w:val="normaltextrun"/>
                <w:sz w:val="20"/>
                <w:szCs w:val="20"/>
              </w:rPr>
              <w:t>110</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0BB99894" w14:textId="77777777">
            <w:pPr>
              <w:pStyle w:val="paragraph"/>
              <w:spacing w:before="0" w:beforeAutospacing="0" w:after="0" w:afterAutospacing="0"/>
              <w:jc w:val="right"/>
              <w:textAlignment w:val="baseline"/>
            </w:pPr>
            <w:r w:rsidRPr="004D12D9">
              <w:rPr>
                <w:rStyle w:val="normaltextrun"/>
                <w:sz w:val="20"/>
                <w:szCs w:val="20"/>
              </w:rPr>
              <w:t>13.5</w:t>
            </w:r>
            <w:r w:rsidRPr="004D12D9">
              <w:rPr>
                <w:rStyle w:val="eop"/>
                <w:sz w:val="20"/>
                <w:szCs w:val="20"/>
              </w:rPr>
              <w:t> </w:t>
            </w:r>
          </w:p>
        </w:tc>
      </w:tr>
      <w:tr w14:paraId="4FEF94C6"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46EFC77F" w14:textId="77777777">
            <w:pPr>
              <w:pStyle w:val="paragraph"/>
              <w:spacing w:before="0" w:beforeAutospacing="0" w:after="0" w:afterAutospacing="0"/>
              <w:textAlignment w:val="baseline"/>
            </w:pPr>
            <w:r w:rsidRPr="004D12D9">
              <w:rPr>
                <w:rStyle w:val="normaltextrun"/>
                <w:sz w:val="20"/>
                <w:szCs w:val="20"/>
              </w:rPr>
              <w:t>Respondent with rabbits only</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77C52A5A"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61F6A904" w14:textId="77777777">
            <w:pPr>
              <w:pStyle w:val="paragraph"/>
              <w:spacing w:before="0" w:beforeAutospacing="0" w:after="0" w:afterAutospacing="0"/>
              <w:jc w:val="right"/>
              <w:textAlignment w:val="baseline"/>
            </w:pPr>
            <w:r w:rsidRPr="004D12D9">
              <w:rPr>
                <w:rStyle w:val="normaltextrun"/>
                <w:sz w:val="20"/>
                <w:szCs w:val="20"/>
              </w:rPr>
              <w:t>0.123</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4EBEF510" w14:textId="77777777">
            <w:pPr>
              <w:pStyle w:val="paragraph"/>
              <w:spacing w:before="0" w:beforeAutospacing="0" w:after="0" w:afterAutospacing="0"/>
              <w:jc w:val="right"/>
              <w:textAlignment w:val="baseline"/>
            </w:pPr>
            <w:r w:rsidRPr="004D12D9">
              <w:rPr>
                <w:rStyle w:val="normaltextrun"/>
                <w:sz w:val="20"/>
                <w:szCs w:val="20"/>
              </w:rPr>
              <w:t>47</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0ECC5543" w14:textId="77777777">
            <w:pPr>
              <w:pStyle w:val="paragraph"/>
              <w:spacing w:before="0" w:beforeAutospacing="0" w:after="0" w:afterAutospacing="0"/>
              <w:jc w:val="right"/>
              <w:textAlignment w:val="baseline"/>
            </w:pPr>
            <w:r w:rsidRPr="004D12D9">
              <w:rPr>
                <w:rStyle w:val="normaltextrun"/>
                <w:sz w:val="20"/>
                <w:szCs w:val="20"/>
              </w:rPr>
              <w:t>5.7</w:t>
            </w:r>
            <w:r w:rsidRPr="004D12D9">
              <w:rPr>
                <w:rStyle w:val="eop"/>
                <w:sz w:val="20"/>
                <w:szCs w:val="20"/>
              </w:rPr>
              <w:t> </w:t>
            </w:r>
          </w:p>
        </w:tc>
      </w:tr>
      <w:tr w14:paraId="4CFBC5F5"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352B5AEE" w14:textId="77777777">
            <w:pPr>
              <w:pStyle w:val="paragraph"/>
              <w:spacing w:before="0" w:beforeAutospacing="0" w:after="0" w:afterAutospacing="0"/>
              <w:textAlignment w:val="baseline"/>
            </w:pPr>
            <w:r w:rsidRPr="004D12D9">
              <w:rPr>
                <w:rStyle w:val="normaltextrun"/>
                <w:sz w:val="20"/>
                <w:szCs w:val="20"/>
              </w:rPr>
              <w:t>Respondent with goats only</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5B4C1E9F"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123FA284" w14:textId="77777777">
            <w:pPr>
              <w:pStyle w:val="paragraph"/>
              <w:spacing w:before="0" w:beforeAutospacing="0" w:after="0" w:afterAutospacing="0"/>
              <w:jc w:val="right"/>
              <w:textAlignment w:val="baseline"/>
            </w:pPr>
            <w:r w:rsidRPr="004D12D9">
              <w:rPr>
                <w:rStyle w:val="normaltextrun"/>
                <w:sz w:val="20"/>
                <w:szCs w:val="20"/>
              </w:rPr>
              <w:t>0.123</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2E4A52E2" w14:textId="77777777">
            <w:pPr>
              <w:pStyle w:val="paragraph"/>
              <w:spacing w:before="0" w:beforeAutospacing="0" w:after="0" w:afterAutospacing="0"/>
              <w:jc w:val="right"/>
              <w:textAlignment w:val="baseline"/>
            </w:pPr>
            <w:r w:rsidRPr="004D12D9">
              <w:rPr>
                <w:rStyle w:val="normaltextrun"/>
                <w:sz w:val="20"/>
                <w:szCs w:val="20"/>
              </w:rPr>
              <w:t>28</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745A7307" w14:textId="77777777">
            <w:pPr>
              <w:pStyle w:val="paragraph"/>
              <w:spacing w:before="0" w:beforeAutospacing="0" w:after="0" w:afterAutospacing="0"/>
              <w:jc w:val="right"/>
              <w:textAlignment w:val="baseline"/>
            </w:pPr>
            <w:r w:rsidRPr="004D12D9">
              <w:rPr>
                <w:rStyle w:val="normaltextrun"/>
                <w:sz w:val="20"/>
                <w:szCs w:val="20"/>
              </w:rPr>
              <w:t>3.4</w:t>
            </w:r>
            <w:r w:rsidRPr="004D12D9">
              <w:rPr>
                <w:rStyle w:val="eop"/>
                <w:sz w:val="20"/>
                <w:szCs w:val="20"/>
              </w:rPr>
              <w:t> </w:t>
            </w:r>
          </w:p>
        </w:tc>
      </w:tr>
      <w:tr w14:paraId="5AC5ACCA"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71E62FED" w14:textId="77777777">
            <w:pPr>
              <w:pStyle w:val="paragraph"/>
              <w:spacing w:before="0" w:beforeAutospacing="0" w:after="0" w:afterAutospacing="0"/>
              <w:textAlignment w:val="baseline"/>
            </w:pPr>
            <w:r w:rsidRPr="004D12D9">
              <w:rPr>
                <w:rStyle w:val="normaltextrun"/>
                <w:sz w:val="20"/>
                <w:szCs w:val="20"/>
              </w:rPr>
              <w:t>Respondent with pigs only</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26C994D4"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1E5F5B11" w14:textId="77777777">
            <w:pPr>
              <w:pStyle w:val="paragraph"/>
              <w:spacing w:before="0" w:beforeAutospacing="0" w:after="0" w:afterAutospacing="0"/>
              <w:jc w:val="right"/>
              <w:textAlignment w:val="baseline"/>
            </w:pPr>
            <w:r w:rsidRPr="004D12D9">
              <w:rPr>
                <w:rStyle w:val="normaltextrun"/>
                <w:sz w:val="20"/>
                <w:szCs w:val="20"/>
              </w:rPr>
              <w:t>0.123</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4B354AAE" w14:textId="77777777">
            <w:pPr>
              <w:pStyle w:val="paragraph"/>
              <w:spacing w:before="0" w:beforeAutospacing="0" w:after="0" w:afterAutospacing="0"/>
              <w:jc w:val="right"/>
              <w:textAlignment w:val="baseline"/>
            </w:pPr>
            <w:r w:rsidRPr="004D12D9">
              <w:rPr>
                <w:rStyle w:val="normaltextrun"/>
                <w:sz w:val="20"/>
                <w:szCs w:val="20"/>
              </w:rPr>
              <w:t>17</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567ED531" w14:textId="77777777">
            <w:pPr>
              <w:pStyle w:val="paragraph"/>
              <w:spacing w:before="0" w:beforeAutospacing="0" w:after="0" w:afterAutospacing="0"/>
              <w:jc w:val="right"/>
              <w:textAlignment w:val="baseline"/>
            </w:pPr>
            <w:r w:rsidRPr="004D12D9">
              <w:rPr>
                <w:rStyle w:val="normaltextrun"/>
                <w:sz w:val="20"/>
                <w:szCs w:val="20"/>
              </w:rPr>
              <w:t>2.0</w:t>
            </w:r>
            <w:r w:rsidRPr="004D12D9">
              <w:rPr>
                <w:rStyle w:val="eop"/>
                <w:sz w:val="20"/>
                <w:szCs w:val="20"/>
              </w:rPr>
              <w:t> </w:t>
            </w:r>
          </w:p>
        </w:tc>
      </w:tr>
      <w:tr w14:paraId="415A4793"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6C82A21D" w14:textId="77777777">
            <w:pPr>
              <w:pStyle w:val="paragraph"/>
              <w:spacing w:before="0" w:beforeAutospacing="0" w:after="0" w:afterAutospacing="0"/>
              <w:textAlignment w:val="baseline"/>
            </w:pPr>
            <w:r w:rsidRPr="004D12D9">
              <w:rPr>
                <w:rStyle w:val="normaltextrun"/>
                <w:sz w:val="20"/>
                <w:szCs w:val="20"/>
              </w:rPr>
              <w:t>Respondent with 2 species</w:t>
            </w:r>
            <w:r w:rsidRPr="004D12D9">
              <w:rPr>
                <w:rStyle w:val="normaltextrun"/>
                <w:sz w:val="16"/>
                <w:szCs w:val="16"/>
                <w:vertAlign w:val="superscript"/>
              </w:rPr>
              <w:t>3</w:t>
            </w:r>
            <w:r w:rsidRPr="004D12D9">
              <w:rPr>
                <w:rStyle w:val="eop"/>
                <w:sz w:val="16"/>
                <w:szCs w:val="16"/>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6A921F7B"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02CE8FB9" w14:textId="77777777">
            <w:pPr>
              <w:pStyle w:val="paragraph"/>
              <w:spacing w:before="0" w:beforeAutospacing="0" w:after="0" w:afterAutospacing="0"/>
              <w:jc w:val="right"/>
              <w:textAlignment w:val="baseline"/>
            </w:pPr>
            <w:r w:rsidRPr="004D12D9">
              <w:rPr>
                <w:rStyle w:val="normaltextrun"/>
                <w:sz w:val="20"/>
                <w:szCs w:val="20"/>
              </w:rPr>
              <w:t>0.178</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496C5E1C" w14:textId="77777777">
            <w:pPr>
              <w:pStyle w:val="paragraph"/>
              <w:spacing w:before="0" w:beforeAutospacing="0" w:after="0" w:afterAutospacing="0"/>
              <w:jc w:val="right"/>
              <w:textAlignment w:val="baseline"/>
            </w:pPr>
            <w:r w:rsidRPr="004D12D9">
              <w:rPr>
                <w:rStyle w:val="normaltextrun"/>
                <w:sz w:val="20"/>
                <w:szCs w:val="20"/>
              </w:rPr>
              <w:t>69</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5D6330F6" w14:textId="77777777">
            <w:pPr>
              <w:pStyle w:val="paragraph"/>
              <w:spacing w:before="0" w:beforeAutospacing="0" w:after="0" w:afterAutospacing="0"/>
              <w:jc w:val="right"/>
              <w:textAlignment w:val="baseline"/>
            </w:pPr>
            <w:r w:rsidRPr="004D12D9">
              <w:rPr>
                <w:rStyle w:val="normaltextrun"/>
                <w:sz w:val="20"/>
                <w:szCs w:val="20"/>
              </w:rPr>
              <w:t>12.2</w:t>
            </w:r>
            <w:r w:rsidRPr="004D12D9">
              <w:rPr>
                <w:rStyle w:val="eop"/>
                <w:sz w:val="20"/>
                <w:szCs w:val="20"/>
              </w:rPr>
              <w:t> </w:t>
            </w:r>
          </w:p>
        </w:tc>
      </w:tr>
      <w:tr w14:paraId="1B092F26"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3F78B60F" w14:textId="77777777">
            <w:pPr>
              <w:pStyle w:val="paragraph"/>
              <w:spacing w:before="0" w:beforeAutospacing="0" w:after="0" w:afterAutospacing="0"/>
              <w:textAlignment w:val="baseline"/>
            </w:pPr>
            <w:r w:rsidRPr="004D12D9">
              <w:rPr>
                <w:rStyle w:val="normaltextrun"/>
                <w:sz w:val="20"/>
                <w:szCs w:val="20"/>
              </w:rPr>
              <w:t>Respondent with 3 species</w:t>
            </w:r>
            <w:r w:rsidRPr="004D12D9">
              <w:rPr>
                <w:rStyle w:val="normaltextrun"/>
                <w:sz w:val="16"/>
                <w:szCs w:val="16"/>
                <w:vertAlign w:val="superscript"/>
              </w:rPr>
              <w:t>3</w:t>
            </w:r>
            <w:r w:rsidRPr="004D12D9">
              <w:rPr>
                <w:rStyle w:val="eop"/>
                <w:sz w:val="16"/>
                <w:szCs w:val="16"/>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14ED2742"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6907BF3A" w14:textId="77777777">
            <w:pPr>
              <w:pStyle w:val="paragraph"/>
              <w:spacing w:before="0" w:beforeAutospacing="0" w:after="0" w:afterAutospacing="0"/>
              <w:jc w:val="right"/>
              <w:textAlignment w:val="baseline"/>
            </w:pPr>
            <w:r w:rsidRPr="004D12D9">
              <w:rPr>
                <w:rStyle w:val="normaltextrun"/>
                <w:sz w:val="20"/>
                <w:szCs w:val="20"/>
              </w:rPr>
              <w:t>0.233</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6940135F" w14:textId="77777777">
            <w:pPr>
              <w:pStyle w:val="paragraph"/>
              <w:spacing w:before="0" w:beforeAutospacing="0" w:after="0" w:afterAutospacing="0"/>
              <w:jc w:val="right"/>
              <w:textAlignment w:val="baseline"/>
            </w:pPr>
            <w:r w:rsidRPr="004D12D9">
              <w:rPr>
                <w:rStyle w:val="normaltextrun"/>
                <w:sz w:val="20"/>
                <w:szCs w:val="20"/>
              </w:rPr>
              <w:t>20</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5A3414A7" w14:textId="77777777">
            <w:pPr>
              <w:pStyle w:val="paragraph"/>
              <w:spacing w:before="0" w:beforeAutospacing="0" w:after="0" w:afterAutospacing="0"/>
              <w:jc w:val="right"/>
              <w:textAlignment w:val="baseline"/>
            </w:pPr>
            <w:r w:rsidRPr="004D12D9">
              <w:rPr>
                <w:rStyle w:val="normaltextrun"/>
                <w:sz w:val="20"/>
                <w:szCs w:val="20"/>
              </w:rPr>
              <w:t>4.6</w:t>
            </w:r>
            <w:r w:rsidRPr="004D12D9">
              <w:rPr>
                <w:rStyle w:val="eop"/>
                <w:sz w:val="20"/>
                <w:szCs w:val="20"/>
              </w:rPr>
              <w:t> </w:t>
            </w:r>
          </w:p>
        </w:tc>
      </w:tr>
      <w:tr w14:paraId="126DCEE0"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4A628E89" w14:textId="77777777">
            <w:pPr>
              <w:pStyle w:val="paragraph"/>
              <w:spacing w:before="0" w:beforeAutospacing="0" w:after="0" w:afterAutospacing="0"/>
              <w:textAlignment w:val="baseline"/>
            </w:pPr>
            <w:r w:rsidRPr="004D12D9">
              <w:rPr>
                <w:rStyle w:val="normaltextrun"/>
                <w:sz w:val="20"/>
                <w:szCs w:val="20"/>
              </w:rPr>
              <w:t>Respondent with all 4 species</w:t>
            </w:r>
            <w:r w:rsidRPr="004D12D9">
              <w:rPr>
                <w:rStyle w:val="normaltextrun"/>
                <w:sz w:val="16"/>
                <w:szCs w:val="16"/>
                <w:vertAlign w:val="superscript"/>
              </w:rPr>
              <w:t>3</w:t>
            </w:r>
            <w:r w:rsidRPr="004D12D9">
              <w:rPr>
                <w:rStyle w:val="eop"/>
                <w:sz w:val="16"/>
                <w:szCs w:val="16"/>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4202ED6B" w14:textId="77777777">
            <w:pPr>
              <w:pStyle w:val="paragraph"/>
              <w:spacing w:before="0" w:beforeAutospacing="0" w:after="0" w:afterAutospacing="0"/>
              <w:textAlignment w:val="baseline"/>
            </w:pPr>
            <w:r w:rsidRPr="004D12D9">
              <w:rPr>
                <w:rStyle w:val="normaltextrun"/>
                <w:sz w:val="20"/>
                <w:szCs w:val="20"/>
              </w:rPr>
              <w:t>1.a, 1.b</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055AFEF0" w14:textId="77777777">
            <w:pPr>
              <w:pStyle w:val="paragraph"/>
              <w:spacing w:before="0" w:beforeAutospacing="0" w:after="0" w:afterAutospacing="0"/>
              <w:jc w:val="right"/>
              <w:textAlignment w:val="baseline"/>
            </w:pPr>
            <w:r w:rsidRPr="004D12D9">
              <w:rPr>
                <w:rStyle w:val="normaltextrun"/>
                <w:sz w:val="20"/>
                <w:szCs w:val="20"/>
              </w:rPr>
              <w:t>0.288</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0EF2E13B" w14:textId="77777777">
            <w:pPr>
              <w:pStyle w:val="paragraph"/>
              <w:spacing w:before="0" w:beforeAutospacing="0" w:after="0" w:afterAutospacing="0"/>
              <w:jc w:val="right"/>
              <w:textAlignment w:val="baseline"/>
            </w:pPr>
            <w:r w:rsidRPr="004D12D9">
              <w:rPr>
                <w:rStyle w:val="normaltextrun"/>
                <w:sz w:val="20"/>
                <w:szCs w:val="20"/>
              </w:rPr>
              <w:t>10</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16B75613" w14:textId="77777777">
            <w:pPr>
              <w:pStyle w:val="paragraph"/>
              <w:spacing w:before="0" w:beforeAutospacing="0" w:after="0" w:afterAutospacing="0"/>
              <w:jc w:val="right"/>
              <w:textAlignment w:val="baseline"/>
            </w:pPr>
            <w:r w:rsidRPr="004D12D9">
              <w:rPr>
                <w:rStyle w:val="normaltextrun"/>
                <w:sz w:val="20"/>
                <w:szCs w:val="20"/>
              </w:rPr>
              <w:t>2.8</w:t>
            </w:r>
            <w:r w:rsidRPr="004D12D9">
              <w:rPr>
                <w:rStyle w:val="eop"/>
                <w:sz w:val="20"/>
                <w:szCs w:val="20"/>
              </w:rPr>
              <w:t> </w:t>
            </w:r>
          </w:p>
        </w:tc>
      </w:tr>
      <w:tr w14:paraId="763CA522"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19A63527" w14:textId="77777777">
            <w:pPr>
              <w:pStyle w:val="paragraph"/>
              <w:spacing w:before="0" w:beforeAutospacing="0" w:after="0" w:afterAutospacing="0"/>
              <w:textAlignment w:val="baseline"/>
            </w:pPr>
            <w:r w:rsidRPr="004D12D9">
              <w:rPr>
                <w:rStyle w:val="normaltextrun"/>
                <w:sz w:val="20"/>
                <w:szCs w:val="20"/>
              </w:rPr>
              <w:t>Respondents with none of the species that answer the questions for non-owners</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1851E17A" w14:textId="77777777">
            <w:pPr>
              <w:pStyle w:val="paragraph"/>
              <w:spacing w:before="0" w:beforeAutospacing="0" w:after="0" w:afterAutospacing="0"/>
              <w:textAlignment w:val="baseline"/>
            </w:pPr>
            <w:r w:rsidRPr="004D12D9">
              <w:rPr>
                <w:rStyle w:val="normaltextrun"/>
                <w:sz w:val="20"/>
                <w:szCs w:val="20"/>
              </w:rPr>
              <w:t>1.a</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1843C3AA" w14:textId="77777777">
            <w:pPr>
              <w:pStyle w:val="paragraph"/>
              <w:spacing w:before="0" w:beforeAutospacing="0" w:after="0" w:afterAutospacing="0"/>
              <w:jc w:val="right"/>
              <w:textAlignment w:val="baseline"/>
            </w:pPr>
            <w:r w:rsidRPr="004D12D9">
              <w:rPr>
                <w:rStyle w:val="normaltextrun"/>
                <w:sz w:val="20"/>
                <w:szCs w:val="20"/>
              </w:rPr>
              <w:t>0.063</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7AB60907" w14:textId="77777777">
            <w:pPr>
              <w:pStyle w:val="paragraph"/>
              <w:spacing w:before="0" w:beforeAutospacing="0" w:after="0" w:afterAutospacing="0"/>
              <w:jc w:val="right"/>
              <w:textAlignment w:val="baseline"/>
            </w:pPr>
            <w:r w:rsidRPr="004D12D9">
              <w:rPr>
                <w:rStyle w:val="normaltextrun"/>
                <w:sz w:val="20"/>
                <w:szCs w:val="20"/>
              </w:rPr>
              <w:t>0</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F452E3" w:rsidP="008F2F42" w14:paraId="34853B31" w14:textId="77777777">
            <w:pPr>
              <w:pStyle w:val="paragraph"/>
              <w:spacing w:before="0" w:beforeAutospacing="0" w:after="0" w:afterAutospacing="0"/>
              <w:jc w:val="right"/>
              <w:textAlignment w:val="baseline"/>
            </w:pPr>
            <w:r w:rsidRPr="004D12D9">
              <w:rPr>
                <w:rStyle w:val="normaltextrun"/>
                <w:sz w:val="20"/>
                <w:szCs w:val="20"/>
              </w:rPr>
              <w:t>0.0</w:t>
            </w:r>
            <w:r w:rsidRPr="004D12D9">
              <w:rPr>
                <w:rStyle w:val="eop"/>
                <w:sz w:val="20"/>
                <w:szCs w:val="20"/>
              </w:rPr>
              <w:t> </w:t>
            </w:r>
          </w:p>
        </w:tc>
      </w:tr>
      <w:tr w14:paraId="0596B045"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auto"/>
              <w:right w:val="nil"/>
            </w:tcBorders>
            <w:shd w:val="clear" w:color="auto" w:fill="auto"/>
            <w:vAlign w:val="center"/>
            <w:hideMark/>
          </w:tcPr>
          <w:p w:rsidR="008F2F42" w:rsidRPr="00F452E3" w:rsidP="008F2F42" w14:paraId="0F97FD7E" w14:textId="77777777">
            <w:pPr>
              <w:pStyle w:val="paragraph"/>
              <w:spacing w:before="0" w:beforeAutospacing="0" w:after="0" w:afterAutospacing="0"/>
              <w:textAlignment w:val="baseline"/>
            </w:pPr>
            <w:r w:rsidRPr="004D12D9">
              <w:rPr>
                <w:rStyle w:val="normaltextrun"/>
                <w:sz w:val="20"/>
                <w:szCs w:val="20"/>
              </w:rPr>
              <w:t>Respondents with none of the species that don’t answer the questions for non-owners</w:t>
            </w:r>
            <w:r w:rsidRPr="004D12D9">
              <w:rPr>
                <w:rStyle w:val="eop"/>
                <w:sz w:val="20"/>
                <w:szCs w:val="20"/>
              </w:rPr>
              <w:t> </w:t>
            </w:r>
          </w:p>
        </w:tc>
        <w:tc>
          <w:tcPr>
            <w:tcW w:w="1662" w:type="dxa"/>
            <w:tcBorders>
              <w:top w:val="single" w:sz="6" w:space="0" w:color="BFBFBF"/>
              <w:left w:val="nil"/>
              <w:bottom w:val="single" w:sz="6" w:space="0" w:color="auto"/>
              <w:right w:val="nil"/>
            </w:tcBorders>
            <w:shd w:val="clear" w:color="auto" w:fill="auto"/>
            <w:vAlign w:val="center"/>
            <w:hideMark/>
          </w:tcPr>
          <w:p w:rsidR="008F2F42" w:rsidRPr="00F452E3" w:rsidP="008F2F42" w14:paraId="54E4933A" w14:textId="77777777">
            <w:pPr>
              <w:pStyle w:val="paragraph"/>
              <w:spacing w:before="0" w:beforeAutospacing="0" w:after="0" w:afterAutospacing="0"/>
              <w:textAlignment w:val="baseline"/>
            </w:pPr>
            <w:r w:rsidRPr="004D12D9">
              <w:rPr>
                <w:rStyle w:val="normaltextrun"/>
                <w:sz w:val="20"/>
                <w:szCs w:val="20"/>
              </w:rPr>
              <w:t>1.b, 1.c</w:t>
            </w:r>
            <w:r w:rsidRPr="004D12D9">
              <w:rPr>
                <w:rStyle w:val="eop"/>
                <w:sz w:val="20"/>
                <w:szCs w:val="20"/>
              </w:rPr>
              <w:t> </w:t>
            </w:r>
          </w:p>
        </w:tc>
        <w:tc>
          <w:tcPr>
            <w:tcW w:w="1772" w:type="dxa"/>
            <w:gridSpan w:val="2"/>
            <w:tcBorders>
              <w:top w:val="single" w:sz="6" w:space="0" w:color="BFBFBF"/>
              <w:left w:val="nil"/>
              <w:bottom w:val="single" w:sz="6" w:space="0" w:color="auto"/>
              <w:right w:val="nil"/>
            </w:tcBorders>
            <w:shd w:val="clear" w:color="auto" w:fill="auto"/>
            <w:vAlign w:val="center"/>
            <w:hideMark/>
          </w:tcPr>
          <w:p w:rsidR="008F2F42" w:rsidRPr="00F452E3" w:rsidP="008F2F42" w14:paraId="5FF10AB5" w14:textId="77777777">
            <w:pPr>
              <w:pStyle w:val="paragraph"/>
              <w:spacing w:before="0" w:beforeAutospacing="0" w:after="0" w:afterAutospacing="0"/>
              <w:jc w:val="right"/>
              <w:textAlignment w:val="baseline"/>
            </w:pPr>
            <w:r w:rsidRPr="004D12D9">
              <w:rPr>
                <w:rStyle w:val="normaltextrun"/>
                <w:sz w:val="20"/>
                <w:szCs w:val="20"/>
              </w:rPr>
              <w:t>0.055</w:t>
            </w:r>
            <w:r w:rsidRPr="004D12D9">
              <w:rPr>
                <w:rStyle w:val="eop"/>
                <w:sz w:val="20"/>
                <w:szCs w:val="20"/>
              </w:rPr>
              <w:t> </w:t>
            </w:r>
          </w:p>
        </w:tc>
        <w:tc>
          <w:tcPr>
            <w:tcW w:w="1196" w:type="dxa"/>
            <w:tcBorders>
              <w:top w:val="single" w:sz="6" w:space="0" w:color="BFBFBF"/>
              <w:left w:val="nil"/>
              <w:bottom w:val="single" w:sz="6" w:space="0" w:color="auto"/>
              <w:right w:val="nil"/>
            </w:tcBorders>
            <w:shd w:val="clear" w:color="auto" w:fill="auto"/>
            <w:vAlign w:val="center"/>
            <w:hideMark/>
          </w:tcPr>
          <w:p w:rsidR="008F2F42" w:rsidRPr="00F452E3" w:rsidP="008F2F42" w14:paraId="3D34BE83" w14:textId="77777777">
            <w:pPr>
              <w:pStyle w:val="paragraph"/>
              <w:spacing w:before="0" w:beforeAutospacing="0" w:after="0" w:afterAutospacing="0"/>
              <w:jc w:val="right"/>
              <w:textAlignment w:val="baseline"/>
            </w:pPr>
            <w:r w:rsidRPr="004D12D9">
              <w:rPr>
                <w:rStyle w:val="normaltextrun"/>
                <w:sz w:val="20"/>
                <w:szCs w:val="20"/>
              </w:rPr>
              <w:t>5,174</w:t>
            </w:r>
            <w:r w:rsidRPr="004D12D9">
              <w:rPr>
                <w:rStyle w:val="eop"/>
                <w:sz w:val="20"/>
                <w:szCs w:val="20"/>
              </w:rPr>
              <w:t> </w:t>
            </w:r>
          </w:p>
        </w:tc>
        <w:tc>
          <w:tcPr>
            <w:tcW w:w="1602" w:type="dxa"/>
            <w:tcBorders>
              <w:top w:val="single" w:sz="6" w:space="0" w:color="BFBFBF"/>
              <w:left w:val="nil"/>
              <w:bottom w:val="single" w:sz="6" w:space="0" w:color="auto"/>
              <w:right w:val="nil"/>
            </w:tcBorders>
            <w:shd w:val="clear" w:color="auto" w:fill="auto"/>
            <w:vAlign w:val="center"/>
            <w:hideMark/>
          </w:tcPr>
          <w:p w:rsidR="008F2F42" w:rsidRPr="00F452E3" w:rsidP="008F2F42" w14:paraId="2B7D6BA0" w14:textId="77777777">
            <w:pPr>
              <w:pStyle w:val="paragraph"/>
              <w:spacing w:before="0" w:beforeAutospacing="0" w:after="0" w:afterAutospacing="0"/>
              <w:jc w:val="right"/>
              <w:textAlignment w:val="baseline"/>
            </w:pPr>
            <w:r w:rsidRPr="004D12D9">
              <w:rPr>
                <w:rStyle w:val="normaltextrun"/>
                <w:sz w:val="20"/>
                <w:szCs w:val="20"/>
              </w:rPr>
              <w:t>282.0</w:t>
            </w:r>
            <w:r w:rsidRPr="004D12D9">
              <w:rPr>
                <w:rStyle w:val="eop"/>
                <w:sz w:val="20"/>
                <w:szCs w:val="20"/>
              </w:rPr>
              <w:t> </w:t>
            </w:r>
          </w:p>
        </w:tc>
      </w:tr>
      <w:tr w14:paraId="10707615" w14:textId="77777777" w:rsidTr="004D12D9">
        <w:tblPrEx>
          <w:tblW w:w="9880" w:type="dxa"/>
          <w:tblCellMar>
            <w:left w:w="0" w:type="dxa"/>
            <w:right w:w="0" w:type="dxa"/>
          </w:tblCellMar>
          <w:tblLook w:val="04A0"/>
        </w:tblPrEx>
        <w:trPr>
          <w:trHeight w:val="288"/>
        </w:trPr>
        <w:tc>
          <w:tcPr>
            <w:tcW w:w="3646" w:type="dxa"/>
            <w:tcBorders>
              <w:top w:val="single" w:sz="6" w:space="0" w:color="auto"/>
              <w:left w:val="nil"/>
              <w:bottom w:val="single" w:sz="6" w:space="0" w:color="auto"/>
              <w:right w:val="nil"/>
            </w:tcBorders>
            <w:shd w:val="clear" w:color="auto" w:fill="auto"/>
            <w:vAlign w:val="center"/>
            <w:hideMark/>
          </w:tcPr>
          <w:p w:rsidR="008F2F42" w:rsidRPr="00F452E3" w:rsidP="008F2F42" w14:paraId="00F50410" w14:textId="77777777">
            <w:pPr>
              <w:pStyle w:val="paragraph"/>
              <w:spacing w:before="0" w:beforeAutospacing="0" w:after="0" w:afterAutospacing="0"/>
              <w:textAlignment w:val="baseline"/>
            </w:pPr>
            <w:r w:rsidRPr="004D12D9">
              <w:rPr>
                <w:rStyle w:val="normaltextrun"/>
                <w:b/>
                <w:bCs/>
                <w:sz w:val="20"/>
                <w:szCs w:val="20"/>
              </w:rPr>
              <w:t>Any respondent (weighted average response)</w:t>
            </w:r>
            <w:r w:rsidRPr="004D12D9">
              <w:rPr>
                <w:rStyle w:val="eop"/>
                <w:sz w:val="20"/>
                <w:szCs w:val="20"/>
              </w:rPr>
              <w:t> </w:t>
            </w:r>
          </w:p>
        </w:tc>
        <w:tc>
          <w:tcPr>
            <w:tcW w:w="1662" w:type="dxa"/>
            <w:tcBorders>
              <w:top w:val="single" w:sz="6" w:space="0" w:color="auto"/>
              <w:left w:val="nil"/>
              <w:bottom w:val="single" w:sz="6" w:space="0" w:color="auto"/>
              <w:right w:val="nil"/>
            </w:tcBorders>
            <w:shd w:val="clear" w:color="auto" w:fill="auto"/>
            <w:vAlign w:val="center"/>
            <w:hideMark/>
          </w:tcPr>
          <w:p w:rsidR="008F2F42" w:rsidRPr="00F452E3" w:rsidP="008F2F42" w14:paraId="52A987BE" w14:textId="77777777">
            <w:pPr>
              <w:pStyle w:val="paragraph"/>
              <w:spacing w:before="0" w:beforeAutospacing="0" w:after="0" w:afterAutospacing="0"/>
              <w:textAlignment w:val="baseline"/>
            </w:pPr>
            <w:r w:rsidRPr="004D12D9">
              <w:rPr>
                <w:rStyle w:val="eop"/>
                <w:sz w:val="20"/>
                <w:szCs w:val="20"/>
              </w:rPr>
              <w:t> </w:t>
            </w:r>
          </w:p>
        </w:tc>
        <w:tc>
          <w:tcPr>
            <w:tcW w:w="1772" w:type="dxa"/>
            <w:gridSpan w:val="2"/>
            <w:tcBorders>
              <w:top w:val="single" w:sz="6" w:space="0" w:color="auto"/>
              <w:left w:val="nil"/>
              <w:bottom w:val="single" w:sz="6" w:space="0" w:color="auto"/>
              <w:right w:val="nil"/>
            </w:tcBorders>
            <w:shd w:val="clear" w:color="auto" w:fill="auto"/>
            <w:vAlign w:val="center"/>
            <w:hideMark/>
          </w:tcPr>
          <w:p w:rsidR="008F2F42" w:rsidRPr="00F452E3" w:rsidP="008F2F42" w14:paraId="4CC96B20" w14:textId="77777777">
            <w:pPr>
              <w:pStyle w:val="paragraph"/>
              <w:spacing w:before="0" w:beforeAutospacing="0" w:after="0" w:afterAutospacing="0"/>
              <w:jc w:val="right"/>
              <w:textAlignment w:val="baseline"/>
            </w:pPr>
            <w:r w:rsidRPr="004D12D9">
              <w:rPr>
                <w:rStyle w:val="normaltextrun"/>
                <w:b/>
                <w:bCs/>
                <w:sz w:val="20"/>
                <w:szCs w:val="20"/>
              </w:rPr>
              <w:t>0.060</w:t>
            </w:r>
            <w:r w:rsidRPr="004D12D9">
              <w:rPr>
                <w:rStyle w:val="eop"/>
                <w:sz w:val="20"/>
                <w:szCs w:val="20"/>
              </w:rPr>
              <w:t> </w:t>
            </w:r>
          </w:p>
        </w:tc>
        <w:tc>
          <w:tcPr>
            <w:tcW w:w="1196" w:type="dxa"/>
            <w:tcBorders>
              <w:top w:val="single" w:sz="6" w:space="0" w:color="auto"/>
              <w:left w:val="nil"/>
              <w:bottom w:val="single" w:sz="6" w:space="0" w:color="auto"/>
              <w:right w:val="nil"/>
            </w:tcBorders>
            <w:shd w:val="clear" w:color="auto" w:fill="auto"/>
            <w:vAlign w:val="center"/>
            <w:hideMark/>
          </w:tcPr>
          <w:p w:rsidR="008F2F42" w:rsidRPr="00F452E3" w:rsidP="008F2F42" w14:paraId="661F8D87" w14:textId="77777777">
            <w:pPr>
              <w:pStyle w:val="paragraph"/>
              <w:spacing w:before="0" w:beforeAutospacing="0" w:after="0" w:afterAutospacing="0"/>
              <w:jc w:val="right"/>
              <w:textAlignment w:val="baseline"/>
            </w:pPr>
            <w:r w:rsidRPr="004D12D9">
              <w:rPr>
                <w:rStyle w:val="eop"/>
                <w:sz w:val="20"/>
                <w:szCs w:val="20"/>
              </w:rPr>
              <w:t> </w:t>
            </w:r>
          </w:p>
        </w:tc>
        <w:tc>
          <w:tcPr>
            <w:tcW w:w="1602" w:type="dxa"/>
            <w:tcBorders>
              <w:top w:val="single" w:sz="6" w:space="0" w:color="auto"/>
              <w:left w:val="nil"/>
              <w:bottom w:val="single" w:sz="6" w:space="0" w:color="auto"/>
              <w:right w:val="nil"/>
            </w:tcBorders>
            <w:shd w:val="clear" w:color="auto" w:fill="auto"/>
            <w:vAlign w:val="center"/>
            <w:hideMark/>
          </w:tcPr>
          <w:p w:rsidR="008F2F42" w:rsidRPr="00F452E3" w:rsidP="008F2F42" w14:paraId="63856B41" w14:textId="77777777">
            <w:pPr>
              <w:pStyle w:val="paragraph"/>
              <w:spacing w:before="0" w:beforeAutospacing="0" w:after="0" w:afterAutospacing="0"/>
              <w:jc w:val="right"/>
              <w:textAlignment w:val="baseline"/>
            </w:pPr>
            <w:r w:rsidRPr="004D12D9">
              <w:rPr>
                <w:rStyle w:val="eop"/>
                <w:sz w:val="20"/>
                <w:szCs w:val="20"/>
              </w:rPr>
              <w:t> </w:t>
            </w:r>
          </w:p>
        </w:tc>
      </w:tr>
      <w:tr w14:paraId="39E918CD" w14:textId="77777777" w:rsidTr="004D12D9">
        <w:tblPrEx>
          <w:tblW w:w="9880" w:type="dxa"/>
          <w:tblCellMar>
            <w:left w:w="0" w:type="dxa"/>
            <w:right w:w="0" w:type="dxa"/>
          </w:tblCellMar>
          <w:tblLook w:val="04A0"/>
        </w:tblPrEx>
        <w:trPr>
          <w:trHeight w:val="288"/>
        </w:trPr>
        <w:tc>
          <w:tcPr>
            <w:tcW w:w="3646" w:type="dxa"/>
            <w:tcBorders>
              <w:top w:val="single" w:sz="6" w:space="0" w:color="auto"/>
              <w:left w:val="nil"/>
              <w:bottom w:val="single" w:sz="6" w:space="0" w:color="BFBFBF"/>
              <w:right w:val="nil"/>
            </w:tcBorders>
            <w:shd w:val="clear" w:color="auto" w:fill="auto"/>
            <w:vAlign w:val="center"/>
            <w:hideMark/>
          </w:tcPr>
          <w:p w:rsidR="008F2F42" w:rsidRPr="00F452E3" w:rsidP="008F2F42" w14:paraId="456EB276" w14:textId="77777777">
            <w:pPr>
              <w:pStyle w:val="paragraph"/>
              <w:spacing w:before="0" w:beforeAutospacing="0" w:after="0" w:afterAutospacing="0"/>
              <w:textAlignment w:val="baseline"/>
            </w:pPr>
            <w:r w:rsidRPr="004D12D9">
              <w:rPr>
                <w:rStyle w:val="normaltextrun"/>
                <w:sz w:val="20"/>
                <w:szCs w:val="20"/>
              </w:rPr>
              <w:t>City Survey </w:t>
            </w:r>
            <w:r w:rsidRPr="004D12D9">
              <w:rPr>
                <w:rStyle w:val="eop"/>
                <w:sz w:val="20"/>
                <w:szCs w:val="20"/>
              </w:rPr>
              <w:t> </w:t>
            </w:r>
          </w:p>
        </w:tc>
        <w:tc>
          <w:tcPr>
            <w:tcW w:w="1662" w:type="dxa"/>
            <w:tcBorders>
              <w:top w:val="single" w:sz="6" w:space="0" w:color="auto"/>
              <w:left w:val="nil"/>
              <w:bottom w:val="single" w:sz="6" w:space="0" w:color="BFBFBF"/>
              <w:right w:val="nil"/>
            </w:tcBorders>
            <w:shd w:val="clear" w:color="auto" w:fill="auto"/>
            <w:vAlign w:val="center"/>
            <w:hideMark/>
          </w:tcPr>
          <w:p w:rsidR="008F2F42" w:rsidRPr="00F452E3" w:rsidP="008F2F42" w14:paraId="42C12080" w14:textId="77777777">
            <w:pPr>
              <w:pStyle w:val="paragraph"/>
              <w:spacing w:before="0" w:beforeAutospacing="0" w:after="0" w:afterAutospacing="0"/>
              <w:textAlignment w:val="baseline"/>
            </w:pPr>
            <w:r w:rsidRPr="00F452E3">
              <w:rPr>
                <w:rStyle w:val="eop"/>
                <w:sz w:val="20"/>
                <w:szCs w:val="20"/>
              </w:rPr>
              <w:t> </w:t>
            </w:r>
          </w:p>
        </w:tc>
        <w:tc>
          <w:tcPr>
            <w:tcW w:w="1772" w:type="dxa"/>
            <w:gridSpan w:val="2"/>
            <w:tcBorders>
              <w:top w:val="single" w:sz="6" w:space="0" w:color="auto"/>
              <w:left w:val="nil"/>
              <w:bottom w:val="single" w:sz="6" w:space="0" w:color="BFBFBF"/>
              <w:right w:val="nil"/>
            </w:tcBorders>
            <w:shd w:val="clear" w:color="auto" w:fill="auto"/>
            <w:vAlign w:val="center"/>
            <w:hideMark/>
          </w:tcPr>
          <w:p w:rsidR="008F2F42" w:rsidRPr="00F452E3" w:rsidP="008F2F42" w14:paraId="06089ADB" w14:textId="77777777">
            <w:pPr>
              <w:pStyle w:val="paragraph"/>
              <w:spacing w:before="0" w:beforeAutospacing="0" w:after="0" w:afterAutospacing="0"/>
              <w:jc w:val="right"/>
              <w:textAlignment w:val="baseline"/>
            </w:pPr>
            <w:r w:rsidRPr="00F452E3">
              <w:rPr>
                <w:rStyle w:val="eop"/>
                <w:sz w:val="20"/>
                <w:szCs w:val="20"/>
              </w:rPr>
              <w:t> </w:t>
            </w:r>
          </w:p>
        </w:tc>
        <w:tc>
          <w:tcPr>
            <w:tcW w:w="1196" w:type="dxa"/>
            <w:tcBorders>
              <w:top w:val="single" w:sz="6" w:space="0" w:color="auto"/>
              <w:left w:val="nil"/>
              <w:bottom w:val="single" w:sz="6" w:space="0" w:color="BFBFBF"/>
              <w:right w:val="nil"/>
            </w:tcBorders>
            <w:shd w:val="clear" w:color="auto" w:fill="auto"/>
            <w:vAlign w:val="center"/>
            <w:hideMark/>
          </w:tcPr>
          <w:p w:rsidR="008F2F42" w:rsidRPr="00F452E3" w:rsidP="008F2F42" w14:paraId="13297A8F" w14:textId="77777777">
            <w:pPr>
              <w:pStyle w:val="paragraph"/>
              <w:spacing w:before="0" w:beforeAutospacing="0" w:after="0" w:afterAutospacing="0"/>
              <w:jc w:val="right"/>
              <w:textAlignment w:val="baseline"/>
            </w:pPr>
            <w:r w:rsidRPr="00F452E3">
              <w:rPr>
                <w:rStyle w:val="eop"/>
                <w:sz w:val="20"/>
                <w:szCs w:val="20"/>
              </w:rPr>
              <w:t> </w:t>
            </w:r>
          </w:p>
        </w:tc>
        <w:tc>
          <w:tcPr>
            <w:tcW w:w="1602" w:type="dxa"/>
            <w:tcBorders>
              <w:top w:val="single" w:sz="6" w:space="0" w:color="auto"/>
              <w:left w:val="nil"/>
              <w:bottom w:val="single" w:sz="6" w:space="0" w:color="BFBFBF"/>
              <w:right w:val="nil"/>
            </w:tcBorders>
            <w:shd w:val="clear" w:color="auto" w:fill="auto"/>
            <w:vAlign w:val="center"/>
            <w:hideMark/>
          </w:tcPr>
          <w:p w:rsidR="008F2F42" w:rsidRPr="00F452E3" w:rsidP="008F2F42" w14:paraId="394F7FDD" w14:textId="77777777">
            <w:pPr>
              <w:pStyle w:val="paragraph"/>
              <w:spacing w:before="0" w:beforeAutospacing="0" w:after="0" w:afterAutospacing="0"/>
              <w:jc w:val="right"/>
              <w:textAlignment w:val="baseline"/>
            </w:pPr>
            <w:r w:rsidRPr="00F452E3">
              <w:rPr>
                <w:rStyle w:val="eop"/>
                <w:sz w:val="20"/>
                <w:szCs w:val="20"/>
              </w:rPr>
              <w:t> </w:t>
            </w:r>
          </w:p>
        </w:tc>
      </w:tr>
      <w:tr w14:paraId="69BD6995"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BFBFBF"/>
              <w:right w:val="nil"/>
            </w:tcBorders>
            <w:shd w:val="clear" w:color="auto" w:fill="auto"/>
            <w:vAlign w:val="center"/>
            <w:hideMark/>
          </w:tcPr>
          <w:p w:rsidR="008F2F42" w:rsidRPr="00F452E3" w:rsidP="008F2F42" w14:paraId="3E69504E" w14:textId="77777777">
            <w:pPr>
              <w:pStyle w:val="paragraph"/>
              <w:spacing w:before="0" w:beforeAutospacing="0" w:after="0" w:afterAutospacing="0"/>
              <w:textAlignment w:val="baseline"/>
            </w:pPr>
            <w:r w:rsidRPr="004D12D9">
              <w:rPr>
                <w:rStyle w:val="normaltextrun"/>
                <w:sz w:val="20"/>
                <w:szCs w:val="20"/>
              </w:rPr>
              <w:t>Nonrespondent</w:t>
            </w:r>
            <w:r w:rsidRPr="004D12D9">
              <w:rPr>
                <w:rStyle w:val="eop"/>
                <w:sz w:val="20"/>
                <w:szCs w:val="20"/>
              </w:rPr>
              <w:t> </w:t>
            </w:r>
          </w:p>
        </w:tc>
        <w:tc>
          <w:tcPr>
            <w:tcW w:w="1662" w:type="dxa"/>
            <w:tcBorders>
              <w:top w:val="single" w:sz="6" w:space="0" w:color="BFBFBF"/>
              <w:left w:val="nil"/>
              <w:bottom w:val="single" w:sz="6" w:space="0" w:color="BFBFBF"/>
              <w:right w:val="nil"/>
            </w:tcBorders>
            <w:shd w:val="clear" w:color="auto" w:fill="auto"/>
            <w:vAlign w:val="center"/>
            <w:hideMark/>
          </w:tcPr>
          <w:p w:rsidR="008F2F42" w:rsidRPr="00F452E3" w:rsidP="008F2F42" w14:paraId="693AA663" w14:textId="77777777">
            <w:pPr>
              <w:pStyle w:val="paragraph"/>
              <w:spacing w:before="0" w:beforeAutospacing="0" w:after="0" w:afterAutospacing="0"/>
              <w:textAlignment w:val="baseline"/>
            </w:pPr>
            <w:r w:rsidRPr="004D12D9">
              <w:rPr>
                <w:rStyle w:val="normaltextrun"/>
                <w:sz w:val="20"/>
                <w:szCs w:val="20"/>
              </w:rPr>
              <w:t>2.a</w:t>
            </w:r>
            <w:r w:rsidRPr="004D12D9">
              <w:rPr>
                <w:rStyle w:val="eop"/>
                <w:sz w:val="20"/>
                <w:szCs w:val="20"/>
              </w:rPr>
              <w:t> </w:t>
            </w:r>
          </w:p>
        </w:tc>
        <w:tc>
          <w:tcPr>
            <w:tcW w:w="1772" w:type="dxa"/>
            <w:gridSpan w:val="2"/>
            <w:tcBorders>
              <w:top w:val="single" w:sz="6" w:space="0" w:color="BFBFBF"/>
              <w:left w:val="nil"/>
              <w:bottom w:val="single" w:sz="6" w:space="0" w:color="BFBFBF"/>
              <w:right w:val="nil"/>
            </w:tcBorders>
            <w:shd w:val="clear" w:color="auto" w:fill="auto"/>
            <w:vAlign w:val="center"/>
            <w:hideMark/>
          </w:tcPr>
          <w:p w:rsidR="008F2F42" w:rsidRPr="00F452E3" w:rsidP="008F2F42" w14:paraId="0A0E0CF1" w14:textId="77777777">
            <w:pPr>
              <w:pStyle w:val="paragraph"/>
              <w:spacing w:before="0" w:beforeAutospacing="0" w:after="0" w:afterAutospacing="0"/>
              <w:jc w:val="right"/>
              <w:textAlignment w:val="baseline"/>
            </w:pPr>
            <w:r w:rsidRPr="004D12D9">
              <w:rPr>
                <w:rStyle w:val="normaltextrun"/>
                <w:sz w:val="20"/>
                <w:szCs w:val="20"/>
              </w:rPr>
              <w:t>0.017</w:t>
            </w:r>
            <w:r w:rsidRPr="004D12D9">
              <w:rPr>
                <w:rStyle w:val="eop"/>
                <w:sz w:val="20"/>
                <w:szCs w:val="20"/>
              </w:rPr>
              <w:t> </w:t>
            </w:r>
          </w:p>
        </w:tc>
        <w:tc>
          <w:tcPr>
            <w:tcW w:w="1196" w:type="dxa"/>
            <w:tcBorders>
              <w:top w:val="single" w:sz="6" w:space="0" w:color="BFBFBF"/>
              <w:left w:val="nil"/>
              <w:bottom w:val="single" w:sz="6" w:space="0" w:color="BFBFBF"/>
              <w:right w:val="nil"/>
            </w:tcBorders>
            <w:shd w:val="clear" w:color="auto" w:fill="auto"/>
            <w:vAlign w:val="center"/>
            <w:hideMark/>
          </w:tcPr>
          <w:p w:rsidR="008F2F42" w:rsidRPr="00F452E3" w:rsidP="008F2F42" w14:paraId="58133F62" w14:textId="77777777">
            <w:pPr>
              <w:pStyle w:val="paragraph"/>
              <w:spacing w:before="0" w:beforeAutospacing="0" w:after="0" w:afterAutospacing="0"/>
              <w:jc w:val="right"/>
              <w:textAlignment w:val="baseline"/>
            </w:pPr>
            <w:r w:rsidRPr="004D12D9">
              <w:rPr>
                <w:rStyle w:val="normaltextrun"/>
                <w:sz w:val="20"/>
                <w:szCs w:val="20"/>
              </w:rPr>
              <w:t>10,313</w:t>
            </w:r>
            <w:r w:rsidRPr="004D12D9">
              <w:rPr>
                <w:rStyle w:val="eop"/>
                <w:sz w:val="20"/>
                <w:szCs w:val="20"/>
              </w:rPr>
              <w:t> </w:t>
            </w:r>
          </w:p>
        </w:tc>
        <w:tc>
          <w:tcPr>
            <w:tcW w:w="1602" w:type="dxa"/>
            <w:tcBorders>
              <w:top w:val="single" w:sz="6" w:space="0" w:color="BFBFBF"/>
              <w:left w:val="nil"/>
              <w:bottom w:val="single" w:sz="6" w:space="0" w:color="BFBFBF"/>
              <w:right w:val="nil"/>
            </w:tcBorders>
            <w:shd w:val="clear" w:color="auto" w:fill="auto"/>
            <w:vAlign w:val="center"/>
            <w:hideMark/>
          </w:tcPr>
          <w:p w:rsidR="008F2F42" w:rsidRPr="00C0525F" w:rsidP="008F2F42" w14:paraId="75737787" w14:textId="43D71C24">
            <w:pPr>
              <w:pStyle w:val="paragraph"/>
              <w:spacing w:before="0" w:beforeAutospacing="0" w:after="0" w:afterAutospacing="0"/>
              <w:jc w:val="right"/>
              <w:textAlignment w:val="baseline"/>
              <w:rPr>
                <w:sz w:val="20"/>
                <w:szCs w:val="20"/>
              </w:rPr>
            </w:pPr>
            <w:r w:rsidRPr="00C0525F">
              <w:rPr>
                <w:rStyle w:val="eop"/>
                <w:sz w:val="20"/>
                <w:szCs w:val="20"/>
              </w:rPr>
              <w:t>340.3</w:t>
            </w:r>
            <w:r w:rsidRPr="00C0525F">
              <w:rPr>
                <w:rStyle w:val="eop"/>
                <w:sz w:val="20"/>
                <w:szCs w:val="20"/>
              </w:rPr>
              <w:t> </w:t>
            </w:r>
          </w:p>
        </w:tc>
      </w:tr>
      <w:tr w14:paraId="623B701B"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auto"/>
              <w:right w:val="nil"/>
            </w:tcBorders>
            <w:shd w:val="clear" w:color="auto" w:fill="auto"/>
            <w:vAlign w:val="center"/>
            <w:hideMark/>
          </w:tcPr>
          <w:p w:rsidR="008F2F42" w:rsidRPr="00F452E3" w:rsidP="008F2F42" w14:paraId="22885691" w14:textId="77777777">
            <w:pPr>
              <w:pStyle w:val="paragraph"/>
              <w:spacing w:before="0" w:beforeAutospacing="0" w:after="0" w:afterAutospacing="0"/>
              <w:textAlignment w:val="baseline"/>
            </w:pPr>
            <w:r w:rsidRPr="004D12D9">
              <w:rPr>
                <w:rStyle w:val="normaltextrun"/>
                <w:sz w:val="20"/>
                <w:szCs w:val="20"/>
              </w:rPr>
              <w:t>Respondent</w:t>
            </w:r>
            <w:r w:rsidRPr="004D12D9">
              <w:rPr>
                <w:rStyle w:val="eop"/>
                <w:sz w:val="20"/>
                <w:szCs w:val="20"/>
              </w:rPr>
              <w:t> </w:t>
            </w:r>
          </w:p>
        </w:tc>
        <w:tc>
          <w:tcPr>
            <w:tcW w:w="1662" w:type="dxa"/>
            <w:tcBorders>
              <w:top w:val="single" w:sz="6" w:space="0" w:color="BFBFBF"/>
              <w:left w:val="nil"/>
              <w:bottom w:val="single" w:sz="6" w:space="0" w:color="auto"/>
              <w:right w:val="nil"/>
            </w:tcBorders>
            <w:shd w:val="clear" w:color="auto" w:fill="auto"/>
            <w:vAlign w:val="center"/>
            <w:hideMark/>
          </w:tcPr>
          <w:p w:rsidR="008F2F42" w:rsidRPr="00F452E3" w:rsidP="008F2F42" w14:paraId="636DBF8E" w14:textId="77777777">
            <w:pPr>
              <w:pStyle w:val="paragraph"/>
              <w:spacing w:before="0" w:beforeAutospacing="0" w:after="0" w:afterAutospacing="0"/>
              <w:textAlignment w:val="baseline"/>
            </w:pPr>
            <w:r w:rsidRPr="004D12D9">
              <w:rPr>
                <w:rStyle w:val="normaltextrun"/>
                <w:sz w:val="20"/>
                <w:szCs w:val="20"/>
              </w:rPr>
              <w:t>2.a</w:t>
            </w:r>
            <w:r w:rsidRPr="004D12D9">
              <w:rPr>
                <w:rStyle w:val="eop"/>
                <w:sz w:val="20"/>
                <w:szCs w:val="20"/>
              </w:rPr>
              <w:t> </w:t>
            </w:r>
          </w:p>
        </w:tc>
        <w:tc>
          <w:tcPr>
            <w:tcW w:w="1772" w:type="dxa"/>
            <w:gridSpan w:val="2"/>
            <w:tcBorders>
              <w:top w:val="single" w:sz="6" w:space="0" w:color="BFBFBF"/>
              <w:left w:val="nil"/>
              <w:bottom w:val="single" w:sz="6" w:space="0" w:color="auto"/>
              <w:right w:val="nil"/>
            </w:tcBorders>
            <w:shd w:val="clear" w:color="auto" w:fill="auto"/>
            <w:vAlign w:val="center"/>
            <w:hideMark/>
          </w:tcPr>
          <w:p w:rsidR="008F2F42" w:rsidRPr="00F452E3" w:rsidP="008F2F42" w14:paraId="045AA459" w14:textId="15BE4726">
            <w:pPr>
              <w:pStyle w:val="paragraph"/>
              <w:spacing w:before="0" w:beforeAutospacing="0" w:after="0" w:afterAutospacing="0"/>
              <w:jc w:val="right"/>
              <w:textAlignment w:val="baseline"/>
            </w:pPr>
            <w:r w:rsidRPr="004D12D9">
              <w:rPr>
                <w:rStyle w:val="normaltextrun"/>
                <w:sz w:val="20"/>
                <w:szCs w:val="20"/>
              </w:rPr>
              <w:t>0.0</w:t>
            </w:r>
            <w:r w:rsidR="00C50802">
              <w:rPr>
                <w:rStyle w:val="normaltextrun"/>
                <w:sz w:val="20"/>
                <w:szCs w:val="20"/>
              </w:rPr>
              <w:t>50</w:t>
            </w:r>
            <w:r w:rsidRPr="004D12D9">
              <w:rPr>
                <w:rStyle w:val="eop"/>
                <w:sz w:val="20"/>
                <w:szCs w:val="20"/>
              </w:rPr>
              <w:t> </w:t>
            </w:r>
          </w:p>
        </w:tc>
        <w:tc>
          <w:tcPr>
            <w:tcW w:w="1196" w:type="dxa"/>
            <w:tcBorders>
              <w:top w:val="single" w:sz="6" w:space="0" w:color="BFBFBF"/>
              <w:left w:val="nil"/>
              <w:bottom w:val="single" w:sz="6" w:space="0" w:color="auto"/>
              <w:right w:val="nil"/>
            </w:tcBorders>
            <w:shd w:val="clear" w:color="auto" w:fill="auto"/>
            <w:vAlign w:val="center"/>
            <w:hideMark/>
          </w:tcPr>
          <w:p w:rsidR="008F2F42" w:rsidRPr="00F452E3" w:rsidP="008F2F42" w14:paraId="245FA42E" w14:textId="77777777">
            <w:pPr>
              <w:pStyle w:val="paragraph"/>
              <w:spacing w:before="0" w:beforeAutospacing="0" w:after="0" w:afterAutospacing="0"/>
              <w:jc w:val="right"/>
              <w:textAlignment w:val="baseline"/>
            </w:pPr>
            <w:r w:rsidRPr="004D12D9">
              <w:rPr>
                <w:rStyle w:val="normaltextrun"/>
                <w:sz w:val="20"/>
                <w:szCs w:val="20"/>
              </w:rPr>
              <w:t>4,688</w:t>
            </w:r>
            <w:r w:rsidRPr="004D12D9">
              <w:rPr>
                <w:rStyle w:val="eop"/>
                <w:sz w:val="20"/>
                <w:szCs w:val="20"/>
              </w:rPr>
              <w:t> </w:t>
            </w:r>
          </w:p>
        </w:tc>
        <w:tc>
          <w:tcPr>
            <w:tcW w:w="1602" w:type="dxa"/>
            <w:tcBorders>
              <w:top w:val="single" w:sz="6" w:space="0" w:color="BFBFBF"/>
              <w:left w:val="nil"/>
              <w:bottom w:val="single" w:sz="6" w:space="0" w:color="auto"/>
              <w:right w:val="nil"/>
            </w:tcBorders>
            <w:shd w:val="clear" w:color="auto" w:fill="auto"/>
            <w:vAlign w:val="center"/>
            <w:hideMark/>
          </w:tcPr>
          <w:p w:rsidR="008F2F42" w:rsidRPr="00C0525F" w:rsidP="008F2F42" w14:paraId="042A34E2" w14:textId="5DA09FFB">
            <w:pPr>
              <w:pStyle w:val="paragraph"/>
              <w:spacing w:before="0" w:beforeAutospacing="0" w:after="0" w:afterAutospacing="0"/>
              <w:jc w:val="right"/>
              <w:textAlignment w:val="baseline"/>
              <w:rPr>
                <w:sz w:val="20"/>
                <w:szCs w:val="20"/>
              </w:rPr>
            </w:pPr>
            <w:r w:rsidRPr="00C0525F">
              <w:rPr>
                <w:rStyle w:val="eop"/>
                <w:sz w:val="20"/>
                <w:szCs w:val="20"/>
              </w:rPr>
              <w:t>234.4</w:t>
            </w:r>
            <w:r w:rsidRPr="00C0525F">
              <w:rPr>
                <w:rStyle w:val="eop"/>
                <w:sz w:val="20"/>
                <w:szCs w:val="20"/>
              </w:rPr>
              <w:t> </w:t>
            </w:r>
          </w:p>
        </w:tc>
      </w:tr>
      <w:tr w14:paraId="0022F86D" w14:textId="77777777" w:rsidTr="004D12D9">
        <w:tblPrEx>
          <w:tblW w:w="9880" w:type="dxa"/>
          <w:tblCellMar>
            <w:left w:w="0" w:type="dxa"/>
            <w:right w:w="0" w:type="dxa"/>
          </w:tblCellMar>
          <w:tblLook w:val="04A0"/>
        </w:tblPrEx>
        <w:trPr>
          <w:trHeight w:val="288"/>
        </w:trPr>
        <w:tc>
          <w:tcPr>
            <w:tcW w:w="3646" w:type="dxa"/>
            <w:tcBorders>
              <w:top w:val="single" w:sz="6" w:space="0" w:color="BFBFBF"/>
              <w:left w:val="nil"/>
              <w:bottom w:val="single" w:sz="6" w:space="0" w:color="auto"/>
              <w:right w:val="nil"/>
            </w:tcBorders>
            <w:shd w:val="clear" w:color="auto" w:fill="auto"/>
            <w:vAlign w:val="center"/>
            <w:hideMark/>
          </w:tcPr>
          <w:p w:rsidR="008F2F42" w:rsidRPr="00F452E3" w:rsidP="008F2F42" w14:paraId="1D48A9E1" w14:textId="77777777">
            <w:pPr>
              <w:pStyle w:val="paragraph"/>
              <w:spacing w:before="0" w:beforeAutospacing="0" w:after="0" w:afterAutospacing="0"/>
              <w:textAlignment w:val="baseline"/>
            </w:pPr>
            <w:r w:rsidRPr="004D12D9">
              <w:rPr>
                <w:rStyle w:val="normaltextrun"/>
                <w:b/>
                <w:bCs/>
                <w:sz w:val="20"/>
                <w:szCs w:val="20"/>
              </w:rPr>
              <w:t>Any respondent (weighted average response)</w:t>
            </w:r>
            <w:r w:rsidRPr="004D12D9">
              <w:rPr>
                <w:rStyle w:val="eop"/>
                <w:sz w:val="20"/>
                <w:szCs w:val="20"/>
              </w:rPr>
              <w:t> </w:t>
            </w:r>
          </w:p>
        </w:tc>
        <w:tc>
          <w:tcPr>
            <w:tcW w:w="1662" w:type="dxa"/>
            <w:tcBorders>
              <w:top w:val="single" w:sz="6" w:space="0" w:color="BFBFBF"/>
              <w:left w:val="nil"/>
              <w:bottom w:val="single" w:sz="6" w:space="0" w:color="auto"/>
              <w:right w:val="nil"/>
            </w:tcBorders>
            <w:shd w:val="clear" w:color="auto" w:fill="auto"/>
            <w:vAlign w:val="center"/>
            <w:hideMark/>
          </w:tcPr>
          <w:p w:rsidR="008F2F42" w:rsidRPr="00F452E3" w:rsidP="008F2F42" w14:paraId="07A9F010" w14:textId="77777777">
            <w:pPr>
              <w:pStyle w:val="paragraph"/>
              <w:spacing w:before="0" w:beforeAutospacing="0" w:after="0" w:afterAutospacing="0"/>
              <w:textAlignment w:val="baseline"/>
            </w:pPr>
            <w:r w:rsidRPr="004D12D9">
              <w:rPr>
                <w:rStyle w:val="eop"/>
                <w:sz w:val="20"/>
                <w:szCs w:val="20"/>
              </w:rPr>
              <w:t> </w:t>
            </w:r>
          </w:p>
        </w:tc>
        <w:tc>
          <w:tcPr>
            <w:tcW w:w="1772" w:type="dxa"/>
            <w:gridSpan w:val="2"/>
            <w:tcBorders>
              <w:top w:val="single" w:sz="6" w:space="0" w:color="BFBFBF"/>
              <w:left w:val="nil"/>
              <w:bottom w:val="single" w:sz="6" w:space="0" w:color="auto"/>
              <w:right w:val="nil"/>
            </w:tcBorders>
            <w:shd w:val="clear" w:color="auto" w:fill="auto"/>
            <w:vAlign w:val="center"/>
            <w:hideMark/>
          </w:tcPr>
          <w:p w:rsidR="008F2F42" w:rsidRPr="00F452E3" w:rsidP="008F2F42" w14:paraId="1D6B48B1" w14:textId="75ADFB2C">
            <w:pPr>
              <w:pStyle w:val="paragraph"/>
              <w:spacing w:before="0" w:beforeAutospacing="0" w:after="0" w:afterAutospacing="0"/>
              <w:jc w:val="right"/>
              <w:textAlignment w:val="baseline"/>
            </w:pPr>
            <w:r w:rsidRPr="004D12D9">
              <w:rPr>
                <w:rStyle w:val="normaltextrun"/>
                <w:b/>
                <w:bCs/>
                <w:sz w:val="20"/>
                <w:szCs w:val="20"/>
              </w:rPr>
              <w:t>0.0</w:t>
            </w:r>
            <w:r w:rsidR="00C50802">
              <w:rPr>
                <w:rStyle w:val="normaltextrun"/>
                <w:b/>
                <w:bCs/>
                <w:sz w:val="20"/>
                <w:szCs w:val="20"/>
              </w:rPr>
              <w:t>50</w:t>
            </w:r>
            <w:r w:rsidRPr="004D12D9">
              <w:rPr>
                <w:rStyle w:val="eop"/>
                <w:sz w:val="20"/>
                <w:szCs w:val="20"/>
              </w:rPr>
              <w:t> </w:t>
            </w:r>
          </w:p>
        </w:tc>
        <w:tc>
          <w:tcPr>
            <w:tcW w:w="1196" w:type="dxa"/>
            <w:tcBorders>
              <w:top w:val="single" w:sz="6" w:space="0" w:color="BFBFBF"/>
              <w:left w:val="nil"/>
              <w:bottom w:val="single" w:sz="6" w:space="0" w:color="auto"/>
              <w:right w:val="nil"/>
            </w:tcBorders>
            <w:shd w:val="clear" w:color="auto" w:fill="auto"/>
            <w:vAlign w:val="center"/>
            <w:hideMark/>
          </w:tcPr>
          <w:p w:rsidR="008F2F42" w:rsidRPr="00F452E3" w:rsidP="008F2F42" w14:paraId="37D06E97" w14:textId="77777777">
            <w:pPr>
              <w:pStyle w:val="paragraph"/>
              <w:spacing w:before="0" w:beforeAutospacing="0" w:after="0" w:afterAutospacing="0"/>
              <w:jc w:val="right"/>
              <w:textAlignment w:val="baseline"/>
            </w:pPr>
            <w:r w:rsidRPr="004D12D9">
              <w:rPr>
                <w:rStyle w:val="eop"/>
                <w:sz w:val="20"/>
                <w:szCs w:val="20"/>
              </w:rPr>
              <w:t> </w:t>
            </w:r>
          </w:p>
        </w:tc>
        <w:tc>
          <w:tcPr>
            <w:tcW w:w="1602" w:type="dxa"/>
            <w:tcBorders>
              <w:top w:val="single" w:sz="6" w:space="0" w:color="BFBFBF"/>
              <w:left w:val="nil"/>
              <w:bottom w:val="single" w:sz="6" w:space="0" w:color="auto"/>
              <w:right w:val="nil"/>
            </w:tcBorders>
            <w:shd w:val="clear" w:color="auto" w:fill="auto"/>
            <w:vAlign w:val="center"/>
            <w:hideMark/>
          </w:tcPr>
          <w:p w:rsidR="008F2F42" w:rsidRPr="00F452E3" w:rsidP="008F2F42" w14:paraId="522F6AD9" w14:textId="77777777">
            <w:pPr>
              <w:pStyle w:val="paragraph"/>
              <w:spacing w:before="0" w:beforeAutospacing="0" w:after="0" w:afterAutospacing="0"/>
              <w:jc w:val="right"/>
              <w:textAlignment w:val="baseline"/>
            </w:pPr>
            <w:r w:rsidRPr="004D12D9">
              <w:rPr>
                <w:rStyle w:val="eop"/>
                <w:sz w:val="20"/>
                <w:szCs w:val="20"/>
              </w:rPr>
              <w:t> </w:t>
            </w:r>
          </w:p>
        </w:tc>
      </w:tr>
      <w:tr w14:paraId="08058644" w14:textId="77777777" w:rsidTr="004D12D9">
        <w:tblPrEx>
          <w:tblW w:w="9880" w:type="dxa"/>
          <w:tblCellMar>
            <w:left w:w="0" w:type="dxa"/>
            <w:right w:w="0" w:type="dxa"/>
          </w:tblCellMar>
          <w:tblLook w:val="04A0"/>
        </w:tblPrEx>
        <w:trPr>
          <w:trHeight w:val="288"/>
        </w:trPr>
        <w:tc>
          <w:tcPr>
            <w:tcW w:w="9880" w:type="dxa"/>
            <w:gridSpan w:val="6"/>
            <w:tcBorders>
              <w:top w:val="single" w:sz="6" w:space="0" w:color="auto"/>
              <w:left w:val="nil"/>
              <w:bottom w:val="nil"/>
              <w:right w:val="nil"/>
            </w:tcBorders>
            <w:shd w:val="clear" w:color="auto" w:fill="auto"/>
            <w:hideMark/>
          </w:tcPr>
          <w:p w:rsidR="008F2F42" w:rsidRPr="00F452E3" w:rsidP="008F2F42" w14:paraId="58A12F29" w14:textId="77777777">
            <w:pPr>
              <w:pStyle w:val="paragraph"/>
              <w:spacing w:before="0" w:beforeAutospacing="0" w:after="0" w:afterAutospacing="0"/>
              <w:textAlignment w:val="baseline"/>
            </w:pPr>
            <w:r w:rsidRPr="004D12D9">
              <w:rPr>
                <w:rStyle w:val="normaltextrun"/>
                <w:sz w:val="12"/>
                <w:szCs w:val="12"/>
                <w:vertAlign w:val="superscript"/>
              </w:rPr>
              <w:t>1</w:t>
            </w:r>
            <w:r w:rsidRPr="004D12D9">
              <w:rPr>
                <w:rStyle w:val="normaltextrun"/>
                <w:sz w:val="16"/>
                <w:szCs w:val="16"/>
              </w:rPr>
              <w:t>Projected number from calculations in Table B.3.</w:t>
            </w:r>
            <w:r w:rsidRPr="00F452E3">
              <w:rPr>
                <w:rStyle w:val="eop"/>
                <w:sz w:val="16"/>
                <w:szCs w:val="16"/>
              </w:rPr>
              <w:t> </w:t>
            </w:r>
          </w:p>
          <w:p w:rsidR="008F2F42" w:rsidRPr="00F452E3" w:rsidP="008F2F42" w14:paraId="3A9B0F43" w14:textId="77777777">
            <w:pPr>
              <w:pStyle w:val="paragraph"/>
              <w:spacing w:before="0" w:beforeAutospacing="0" w:after="0" w:afterAutospacing="0"/>
              <w:textAlignment w:val="baseline"/>
            </w:pPr>
            <w:r w:rsidRPr="004D12D9">
              <w:rPr>
                <w:rStyle w:val="normaltextrun"/>
                <w:sz w:val="12"/>
                <w:szCs w:val="12"/>
                <w:vertAlign w:val="superscript"/>
              </w:rPr>
              <w:t>3</w:t>
            </w:r>
            <w:r w:rsidRPr="004D12D9">
              <w:rPr>
                <w:rStyle w:val="normaltextrun"/>
                <w:sz w:val="16"/>
                <w:szCs w:val="16"/>
              </w:rPr>
              <w:t>Estimated using an estimate of 1.8 percent of respondents owning multiple species from the NAHMS Poultry 2010 data and, of those, 70.0 percent owning 2 species, 20.0 percent owning 3, and 10.0 percent owning all 4 species.</w:t>
            </w:r>
            <w:r w:rsidRPr="00F452E3">
              <w:rPr>
                <w:rStyle w:val="eop"/>
                <w:sz w:val="16"/>
                <w:szCs w:val="16"/>
              </w:rPr>
              <w:t> </w:t>
            </w:r>
          </w:p>
          <w:p w:rsidR="008F2F42" w:rsidRPr="00F452E3" w:rsidP="008F2F42" w14:paraId="69A55D9F" w14:textId="77777777">
            <w:pPr>
              <w:pStyle w:val="paragraph"/>
              <w:spacing w:before="0" w:beforeAutospacing="0" w:after="0" w:afterAutospacing="0"/>
              <w:textAlignment w:val="baseline"/>
            </w:pPr>
            <w:r w:rsidRPr="004D12D9">
              <w:rPr>
                <w:rStyle w:val="normaltextrun"/>
                <w:sz w:val="12"/>
                <w:szCs w:val="12"/>
                <w:vertAlign w:val="superscript"/>
              </w:rPr>
              <w:t>5</w:t>
            </w:r>
            <w:r w:rsidRPr="004D12D9">
              <w:rPr>
                <w:rStyle w:val="normaltextrun"/>
                <w:sz w:val="16"/>
                <w:szCs w:val="16"/>
              </w:rPr>
              <w:t>Projection information from Table B.2 are based on respondents owning chickens only. That information is used here to project the proportion of households with backyard poultry (including chickens, turkeys, ducks, and other poultry species).</w:t>
            </w:r>
            <w:r w:rsidRPr="00F452E3">
              <w:rPr>
                <w:rStyle w:val="eop"/>
                <w:sz w:val="16"/>
                <w:szCs w:val="16"/>
              </w:rPr>
              <w:t> </w:t>
            </w:r>
          </w:p>
        </w:tc>
      </w:tr>
    </w:tbl>
    <w:p w:rsidR="00A3649E" w:rsidRPr="005F6640" w:rsidP="0B500832" w14:paraId="21919966" w14:textId="77777777">
      <w:pPr>
        <w:autoSpaceDE w:val="0"/>
        <w:autoSpaceDN w:val="0"/>
        <w:adjustRightInd w:val="0"/>
        <w:spacing w:line="259" w:lineRule="auto"/>
        <w:rPr>
          <w:b/>
        </w:rPr>
      </w:pPr>
    </w:p>
    <w:p w:rsidR="0B500832" w14:paraId="2BF42739" w14:textId="7DEDE785"/>
    <w:p w:rsidR="0B500832" w14:paraId="0A45D87C" w14:textId="505AA3B2"/>
    <w:p w:rsidR="0B500832" w14:paraId="549A4ECC" w14:textId="31BC79F6"/>
    <w:p w:rsidR="00A15641" w:rsidRPr="0067576E" w:rsidP="00E57E91" w14:paraId="783EC8CA" w14:textId="5F100ADC">
      <w:pPr>
        <w:spacing w:line="259" w:lineRule="auto"/>
        <w:rPr>
          <w:b/>
          <w:sz w:val="20"/>
          <w:szCs w:val="20"/>
        </w:rPr>
      </w:pPr>
      <w:r w:rsidRPr="0067576E">
        <w:rPr>
          <w:b/>
          <w:sz w:val="20"/>
          <w:szCs w:val="20"/>
        </w:rPr>
        <w:t xml:space="preserve">Appendix </w:t>
      </w:r>
      <w:r w:rsidRPr="0067576E" w:rsidR="00403F62">
        <w:rPr>
          <w:b/>
          <w:sz w:val="20"/>
          <w:szCs w:val="20"/>
        </w:rPr>
        <w:t>C</w:t>
      </w:r>
      <w:r w:rsidRPr="0067576E">
        <w:rPr>
          <w:b/>
          <w:sz w:val="20"/>
          <w:szCs w:val="20"/>
        </w:rPr>
        <w:t xml:space="preserve">: </w:t>
      </w:r>
      <w:r w:rsidRPr="0067576E" w:rsidR="00403F62">
        <w:rPr>
          <w:b/>
          <w:sz w:val="20"/>
          <w:szCs w:val="20"/>
        </w:rPr>
        <w:t>Expected p</w:t>
      </w:r>
      <w:r w:rsidRPr="0067576E">
        <w:rPr>
          <w:b/>
          <w:sz w:val="20"/>
          <w:szCs w:val="20"/>
        </w:rPr>
        <w:t xml:space="preserve">recision of </w:t>
      </w:r>
      <w:r w:rsidRPr="0067576E" w:rsidR="00403F62">
        <w:rPr>
          <w:b/>
          <w:sz w:val="20"/>
          <w:szCs w:val="20"/>
        </w:rPr>
        <w:t>e</w:t>
      </w:r>
      <w:r w:rsidRPr="0067576E">
        <w:rPr>
          <w:b/>
          <w:sz w:val="20"/>
          <w:szCs w:val="20"/>
        </w:rPr>
        <w:t>stimates</w:t>
      </w:r>
    </w:p>
    <w:p w:rsidR="00A15641" w:rsidRPr="001B2909" w:rsidP="00A15716" w14:paraId="34D3CDB3" w14:textId="057D81DA">
      <w:pPr>
        <w:rPr>
          <w:sz w:val="16"/>
          <w:szCs w:val="16"/>
        </w:rPr>
      </w:pPr>
      <w:r w:rsidRPr="001B2909">
        <w:rPr>
          <w:color w:val="000000"/>
          <w:sz w:val="16"/>
          <w:szCs w:val="16"/>
        </w:rPr>
        <w:t xml:space="preserve">Estimates of precision for </w:t>
      </w:r>
      <w:r w:rsidRPr="001B2909" w:rsidR="004B4486">
        <w:rPr>
          <w:color w:val="000000"/>
          <w:sz w:val="16"/>
          <w:szCs w:val="16"/>
        </w:rPr>
        <w:t>percentages ranging from 50.0 down to 0.</w:t>
      </w:r>
      <w:r w:rsidRPr="001B2909" w:rsidR="008131B7">
        <w:rPr>
          <w:color w:val="000000"/>
          <w:sz w:val="16"/>
          <w:szCs w:val="16"/>
        </w:rPr>
        <w:t>6</w:t>
      </w:r>
      <w:r w:rsidRPr="001B2909">
        <w:rPr>
          <w:color w:val="000000"/>
          <w:sz w:val="16"/>
          <w:szCs w:val="16"/>
        </w:rPr>
        <w:t xml:space="preserve"> are shown in </w:t>
      </w:r>
      <w:r w:rsidRPr="001B2909">
        <w:rPr>
          <w:color w:val="000000"/>
          <w:sz w:val="16"/>
          <w:szCs w:val="16"/>
        </w:rPr>
        <w:t xml:space="preserve">Table </w:t>
      </w:r>
      <w:r w:rsidRPr="001B2909" w:rsidR="004B4486">
        <w:rPr>
          <w:color w:val="000000"/>
          <w:sz w:val="16"/>
          <w:szCs w:val="16"/>
        </w:rPr>
        <w:t xml:space="preserve"> </w:t>
      </w:r>
      <w:r w:rsidRPr="001B2909" w:rsidR="00403F62">
        <w:rPr>
          <w:color w:val="000000"/>
          <w:sz w:val="16"/>
          <w:szCs w:val="16"/>
        </w:rPr>
        <w:t>C</w:t>
      </w:r>
      <w:r w:rsidRPr="001B2909">
        <w:rPr>
          <w:color w:val="000000"/>
          <w:sz w:val="16"/>
          <w:szCs w:val="16"/>
        </w:rPr>
        <w:t>.1</w:t>
      </w:r>
      <w:r w:rsidRPr="001B2909">
        <w:rPr>
          <w:color w:val="000000"/>
          <w:sz w:val="16"/>
          <w:szCs w:val="16"/>
        </w:rPr>
        <w:t xml:space="preserve"> </w:t>
      </w:r>
      <w:r w:rsidRPr="001B2909" w:rsidR="004B4486">
        <w:rPr>
          <w:color w:val="000000"/>
          <w:sz w:val="16"/>
          <w:szCs w:val="16"/>
        </w:rPr>
        <w:t>for each component and subcomponent of the NAHMS Backyard Animal Keeping 202</w:t>
      </w:r>
      <w:r w:rsidR="00F2798E">
        <w:rPr>
          <w:color w:val="000000"/>
          <w:sz w:val="16"/>
          <w:szCs w:val="16"/>
        </w:rPr>
        <w:t>4</w:t>
      </w:r>
      <w:r w:rsidRPr="001B2909" w:rsidR="004B4486">
        <w:rPr>
          <w:color w:val="000000"/>
          <w:sz w:val="16"/>
          <w:szCs w:val="16"/>
        </w:rPr>
        <w:t xml:space="preserve"> study. The estimates are generated assuming a 95 percent confidence level, finite population corrections according to the Expected Population Size and Expected Sample Size columns, and design effect according to the Expected Design Effect column. Some</w:t>
      </w:r>
      <w:r w:rsidRPr="001B2909">
        <w:rPr>
          <w:sz w:val="16"/>
          <w:szCs w:val="16"/>
        </w:rPr>
        <w:t xml:space="preserve"> components exceed the precision criteria </w:t>
      </w:r>
      <w:r w:rsidRPr="001B2909" w:rsidR="004B4486">
        <w:rPr>
          <w:sz w:val="16"/>
          <w:szCs w:val="16"/>
        </w:rPr>
        <w:t>of a coefficient of variation (CV) equal to 20 percent or less</w:t>
      </w:r>
      <w:r w:rsidRPr="001B2909" w:rsidR="009E19B1">
        <w:rPr>
          <w:sz w:val="16"/>
          <w:szCs w:val="16"/>
        </w:rPr>
        <w:t xml:space="preserve"> (the cells colored red)</w:t>
      </w:r>
      <w:r w:rsidRPr="001B2909" w:rsidR="004B4486">
        <w:rPr>
          <w:sz w:val="16"/>
          <w:szCs w:val="16"/>
        </w:rPr>
        <w:t xml:space="preserve"> </w:t>
      </w:r>
      <w:r w:rsidRPr="001B2909">
        <w:rPr>
          <w:sz w:val="16"/>
          <w:szCs w:val="16"/>
        </w:rPr>
        <w:t xml:space="preserve">and so </w:t>
      </w:r>
      <w:r w:rsidRPr="001B2909" w:rsidR="009E19B1">
        <w:rPr>
          <w:sz w:val="16"/>
          <w:szCs w:val="16"/>
        </w:rPr>
        <w:t xml:space="preserve">reporting strata will be </w:t>
      </w:r>
      <w:r w:rsidRPr="001B2909">
        <w:rPr>
          <w:sz w:val="16"/>
          <w:szCs w:val="16"/>
        </w:rPr>
        <w:t>collaps</w:t>
      </w:r>
      <w:r w:rsidRPr="001B2909" w:rsidR="009E19B1">
        <w:rPr>
          <w:sz w:val="16"/>
          <w:szCs w:val="16"/>
        </w:rPr>
        <w:t>ed</w:t>
      </w:r>
      <w:r w:rsidRPr="001B2909">
        <w:rPr>
          <w:sz w:val="16"/>
          <w:szCs w:val="16"/>
        </w:rPr>
        <w:t xml:space="preserve"> to maintain average CV estimates. </w:t>
      </w:r>
    </w:p>
    <w:p w:rsidR="009E19B1" w:rsidRPr="001B2909" w:rsidP="00A15641" w14:paraId="13CE5EDE" w14:textId="4D67C6F6">
      <w:pPr>
        <w:rPr>
          <w:sz w:val="16"/>
          <w:szCs w:val="16"/>
        </w:rPr>
      </w:pPr>
      <w:r w:rsidRPr="001B2909">
        <w:rPr>
          <w:sz w:val="16"/>
          <w:szCs w:val="16"/>
        </w:rPr>
        <w:t xml:space="preserve">Table </w:t>
      </w:r>
      <w:r w:rsidRPr="001B2909" w:rsidR="00A15716">
        <w:rPr>
          <w:sz w:val="16"/>
          <w:szCs w:val="16"/>
        </w:rPr>
        <w:t>C</w:t>
      </w:r>
      <w:r w:rsidRPr="001B2909">
        <w:rPr>
          <w:sz w:val="16"/>
          <w:szCs w:val="16"/>
        </w:rPr>
        <w:t xml:space="preserve">.1: Precision of estimates by study component and sub-component at various estimates of percentages, at 95% confidence. </w:t>
      </w:r>
    </w:p>
    <w:tbl>
      <w:tblPr>
        <w:tblW w:w="10620" w:type="dxa"/>
        <w:tblInd w:w="-360" w:type="dxa"/>
        <w:tblBorders>
          <w:top w:val="single" w:sz="4" w:space="0" w:color="auto"/>
          <w:bottom w:val="single" w:sz="4" w:space="0" w:color="auto"/>
          <w:insideH w:val="single" w:sz="4" w:space="0" w:color="BFBFBF" w:themeColor="background1" w:themeShade="BF"/>
        </w:tblBorders>
        <w:tblLook w:val="04A0"/>
      </w:tblPr>
      <w:tblGrid>
        <w:gridCol w:w="1695"/>
        <w:gridCol w:w="1800"/>
        <w:gridCol w:w="1726"/>
        <w:gridCol w:w="1823"/>
        <w:gridCol w:w="1408"/>
        <w:gridCol w:w="1210"/>
        <w:gridCol w:w="958"/>
      </w:tblGrid>
      <w:tr w14:paraId="46D64A12" w14:textId="77777777" w:rsidTr="0067576E">
        <w:tblPrEx>
          <w:tblW w:w="10620" w:type="dxa"/>
          <w:tblInd w:w="-360" w:type="dxa"/>
          <w:tblBorders>
            <w:top w:val="single" w:sz="4" w:space="0" w:color="auto"/>
            <w:bottom w:val="single" w:sz="4" w:space="0" w:color="auto"/>
            <w:insideH w:val="single" w:sz="4" w:space="0" w:color="BFBFBF" w:themeColor="background1" w:themeShade="BF"/>
          </w:tblBorders>
          <w:tblLook w:val="04A0"/>
        </w:tblPrEx>
        <w:trPr>
          <w:trHeight w:val="20"/>
        </w:trPr>
        <w:tc>
          <w:tcPr>
            <w:tcW w:w="1695" w:type="dxa"/>
            <w:shd w:val="clear" w:color="auto" w:fill="auto"/>
            <w:noWrap/>
            <w:vAlign w:val="bottom"/>
            <w:hideMark/>
          </w:tcPr>
          <w:p w:rsidR="00A15716" w:rsidRPr="00661696" w:rsidP="00A15716" w14:paraId="2EBF910F" w14:textId="77777777">
            <w:pPr>
              <w:rPr>
                <w:color w:val="000000"/>
                <w:sz w:val="16"/>
                <w:szCs w:val="16"/>
              </w:rPr>
            </w:pPr>
            <w:bookmarkStart w:id="18" w:name="_Toc142106621"/>
            <w:r w:rsidRPr="00661696">
              <w:rPr>
                <w:color w:val="000000"/>
                <w:sz w:val="16"/>
                <w:szCs w:val="16"/>
              </w:rPr>
              <w:t>Study Sub-component</w:t>
            </w:r>
          </w:p>
        </w:tc>
        <w:tc>
          <w:tcPr>
            <w:tcW w:w="1800" w:type="dxa"/>
            <w:shd w:val="clear" w:color="auto" w:fill="auto"/>
            <w:noWrap/>
            <w:vAlign w:val="bottom"/>
            <w:hideMark/>
          </w:tcPr>
          <w:p w:rsidR="00A15716" w:rsidRPr="009D7556" w:rsidP="009E19B1" w14:paraId="062CCB63" w14:textId="4B595473">
            <w:pPr>
              <w:jc w:val="right"/>
              <w:rPr>
                <w:color w:val="000000"/>
                <w:sz w:val="16"/>
                <w:szCs w:val="16"/>
                <w:vertAlign w:val="superscript"/>
              </w:rPr>
            </w:pPr>
            <w:r w:rsidRPr="00661696">
              <w:rPr>
                <w:color w:val="000000"/>
                <w:sz w:val="16"/>
                <w:szCs w:val="16"/>
              </w:rPr>
              <w:t>Expected Population Size</w:t>
            </w:r>
            <w:r w:rsidR="009D7556">
              <w:rPr>
                <w:color w:val="000000"/>
                <w:sz w:val="16"/>
                <w:szCs w:val="16"/>
                <w:vertAlign w:val="superscript"/>
              </w:rPr>
              <w:t>1</w:t>
            </w:r>
          </w:p>
        </w:tc>
        <w:tc>
          <w:tcPr>
            <w:tcW w:w="1726" w:type="dxa"/>
            <w:shd w:val="clear" w:color="auto" w:fill="auto"/>
            <w:noWrap/>
            <w:vAlign w:val="bottom"/>
            <w:hideMark/>
          </w:tcPr>
          <w:p w:rsidR="00A15716" w:rsidRPr="009D7556" w:rsidP="009E19B1" w14:paraId="7F834DC2" w14:textId="3D099FC3">
            <w:pPr>
              <w:jc w:val="right"/>
              <w:rPr>
                <w:color w:val="000000"/>
                <w:sz w:val="16"/>
                <w:szCs w:val="16"/>
                <w:vertAlign w:val="superscript"/>
              </w:rPr>
            </w:pPr>
            <w:r w:rsidRPr="00661696">
              <w:rPr>
                <w:color w:val="000000"/>
                <w:sz w:val="16"/>
                <w:szCs w:val="16"/>
              </w:rPr>
              <w:t>Expected Sample Size</w:t>
            </w:r>
            <w:r w:rsidR="009D7556">
              <w:rPr>
                <w:color w:val="000000"/>
                <w:sz w:val="16"/>
                <w:szCs w:val="16"/>
                <w:vertAlign w:val="superscript"/>
              </w:rPr>
              <w:t>2</w:t>
            </w:r>
          </w:p>
        </w:tc>
        <w:tc>
          <w:tcPr>
            <w:tcW w:w="1823" w:type="dxa"/>
            <w:shd w:val="clear" w:color="auto" w:fill="auto"/>
            <w:noWrap/>
            <w:vAlign w:val="bottom"/>
            <w:hideMark/>
          </w:tcPr>
          <w:p w:rsidR="00A15716" w:rsidRPr="009D7556" w:rsidP="009E19B1" w14:paraId="6B4AFF8A" w14:textId="3542C977">
            <w:pPr>
              <w:jc w:val="right"/>
              <w:rPr>
                <w:color w:val="000000"/>
                <w:sz w:val="16"/>
                <w:szCs w:val="16"/>
                <w:vertAlign w:val="superscript"/>
              </w:rPr>
            </w:pPr>
            <w:r w:rsidRPr="00661696">
              <w:rPr>
                <w:color w:val="000000"/>
                <w:sz w:val="16"/>
                <w:szCs w:val="16"/>
              </w:rPr>
              <w:t>Expected Design Effect</w:t>
            </w:r>
            <w:r w:rsidR="009D7556">
              <w:rPr>
                <w:color w:val="000000"/>
                <w:sz w:val="16"/>
                <w:szCs w:val="16"/>
                <w:vertAlign w:val="superscript"/>
              </w:rPr>
              <w:t>3</w:t>
            </w:r>
          </w:p>
        </w:tc>
        <w:tc>
          <w:tcPr>
            <w:tcW w:w="1408" w:type="dxa"/>
            <w:shd w:val="clear" w:color="auto" w:fill="auto"/>
            <w:noWrap/>
            <w:vAlign w:val="bottom"/>
            <w:hideMark/>
          </w:tcPr>
          <w:p w:rsidR="00A15716" w:rsidRPr="00661696" w:rsidP="009E19B1" w14:paraId="373A38E9" w14:textId="6BBF63A0">
            <w:pPr>
              <w:jc w:val="right"/>
              <w:rPr>
                <w:color w:val="000000"/>
                <w:sz w:val="16"/>
                <w:szCs w:val="16"/>
              </w:rPr>
            </w:pPr>
            <w:r w:rsidRPr="00661696">
              <w:rPr>
                <w:color w:val="000000"/>
                <w:sz w:val="16"/>
                <w:szCs w:val="16"/>
              </w:rPr>
              <w:t>Estimated Percentage</w:t>
            </w:r>
          </w:p>
        </w:tc>
        <w:tc>
          <w:tcPr>
            <w:tcW w:w="1210" w:type="dxa"/>
            <w:shd w:val="clear" w:color="auto" w:fill="auto"/>
            <w:noWrap/>
            <w:vAlign w:val="bottom"/>
            <w:hideMark/>
          </w:tcPr>
          <w:p w:rsidR="00A15716" w:rsidRPr="00661696" w:rsidP="009E19B1" w14:paraId="4FA60C26" w14:textId="77777777">
            <w:pPr>
              <w:jc w:val="right"/>
              <w:rPr>
                <w:color w:val="000000"/>
                <w:sz w:val="16"/>
                <w:szCs w:val="16"/>
              </w:rPr>
            </w:pPr>
            <w:r w:rsidRPr="00661696">
              <w:rPr>
                <w:color w:val="000000"/>
                <w:sz w:val="16"/>
                <w:szCs w:val="16"/>
              </w:rPr>
              <w:t>Margin of Error</w:t>
            </w:r>
          </w:p>
        </w:tc>
        <w:tc>
          <w:tcPr>
            <w:tcW w:w="958" w:type="dxa"/>
            <w:shd w:val="clear" w:color="auto" w:fill="auto"/>
            <w:noWrap/>
            <w:vAlign w:val="bottom"/>
            <w:hideMark/>
          </w:tcPr>
          <w:p w:rsidR="00A15716" w:rsidRPr="009D7556" w:rsidP="009E19B1" w14:paraId="302CEEEA" w14:textId="5E37BAF6">
            <w:pPr>
              <w:jc w:val="right"/>
              <w:rPr>
                <w:color w:val="000000"/>
                <w:sz w:val="16"/>
                <w:szCs w:val="16"/>
                <w:vertAlign w:val="superscript"/>
              </w:rPr>
            </w:pPr>
            <w:r w:rsidRPr="00661696">
              <w:rPr>
                <w:color w:val="000000"/>
                <w:sz w:val="16"/>
                <w:szCs w:val="16"/>
              </w:rPr>
              <w:t>CV</w:t>
            </w:r>
            <w:r w:rsidR="009D7556">
              <w:rPr>
                <w:color w:val="000000"/>
                <w:sz w:val="16"/>
                <w:szCs w:val="16"/>
                <w:vertAlign w:val="superscript"/>
              </w:rPr>
              <w:t>4</w:t>
            </w:r>
          </w:p>
        </w:tc>
      </w:tr>
      <w:tr w14:paraId="0E9BE726" w14:textId="77777777" w:rsidTr="0067576E">
        <w:tblPrEx>
          <w:tblW w:w="10620" w:type="dxa"/>
          <w:tblInd w:w="-360" w:type="dxa"/>
          <w:tblLook w:val="04A0"/>
        </w:tblPrEx>
        <w:trPr>
          <w:trHeight w:val="20"/>
        </w:trPr>
        <w:tc>
          <w:tcPr>
            <w:tcW w:w="10620" w:type="dxa"/>
            <w:gridSpan w:val="7"/>
            <w:shd w:val="clear" w:color="auto" w:fill="BFBFBF" w:themeFill="background1" w:themeFillShade="BF"/>
            <w:noWrap/>
            <w:vAlign w:val="center"/>
          </w:tcPr>
          <w:p w:rsidR="00A15716" w:rsidRPr="00661696" w:rsidP="00A15716" w14:paraId="06BCA894" w14:textId="1AAD8B6C">
            <w:pPr>
              <w:rPr>
                <w:color w:val="000000"/>
                <w:sz w:val="16"/>
                <w:szCs w:val="16"/>
              </w:rPr>
            </w:pPr>
            <w:r>
              <w:rPr>
                <w:color w:val="000000"/>
                <w:sz w:val="16"/>
                <w:szCs w:val="16"/>
              </w:rPr>
              <w:t>National Survey</w:t>
            </w:r>
          </w:p>
        </w:tc>
      </w:tr>
      <w:tr w14:paraId="165CA61C" w14:textId="77777777" w:rsidTr="0067576E">
        <w:tblPrEx>
          <w:tblW w:w="10620" w:type="dxa"/>
          <w:tblInd w:w="-360" w:type="dxa"/>
          <w:tblLook w:val="04A0"/>
        </w:tblPrEx>
        <w:trPr>
          <w:trHeight w:val="20"/>
        </w:trPr>
        <w:tc>
          <w:tcPr>
            <w:tcW w:w="1695" w:type="dxa"/>
            <w:vMerge w:val="restart"/>
            <w:shd w:val="clear" w:color="auto" w:fill="auto"/>
            <w:noWrap/>
            <w:vAlign w:val="center"/>
            <w:hideMark/>
          </w:tcPr>
          <w:p w:rsidR="00A15716" w:rsidRPr="00661696" w:rsidP="009E19B1" w14:paraId="44F00D7E" w14:textId="77777777">
            <w:pPr>
              <w:rPr>
                <w:color w:val="000000"/>
                <w:sz w:val="16"/>
                <w:szCs w:val="16"/>
              </w:rPr>
            </w:pPr>
            <w:r w:rsidRPr="00661696">
              <w:rPr>
                <w:color w:val="000000"/>
                <w:sz w:val="16"/>
                <w:szCs w:val="16"/>
              </w:rPr>
              <w:t>1.a</w:t>
            </w:r>
          </w:p>
        </w:tc>
        <w:tc>
          <w:tcPr>
            <w:tcW w:w="1800" w:type="dxa"/>
            <w:vMerge w:val="restart"/>
            <w:shd w:val="clear" w:color="auto" w:fill="auto"/>
            <w:noWrap/>
            <w:vAlign w:val="center"/>
            <w:hideMark/>
          </w:tcPr>
          <w:p w:rsidR="00A15716" w:rsidRPr="00661696" w:rsidP="009E19B1" w14:paraId="48426A32" w14:textId="77777777">
            <w:pPr>
              <w:jc w:val="right"/>
              <w:rPr>
                <w:color w:val="000000"/>
                <w:sz w:val="16"/>
                <w:szCs w:val="16"/>
              </w:rPr>
            </w:pPr>
            <w:r w:rsidRPr="00661696">
              <w:rPr>
                <w:color w:val="000000"/>
                <w:sz w:val="16"/>
                <w:szCs w:val="16"/>
              </w:rPr>
              <w:t>122,354,219</w:t>
            </w:r>
          </w:p>
        </w:tc>
        <w:tc>
          <w:tcPr>
            <w:tcW w:w="1726" w:type="dxa"/>
            <w:vMerge w:val="restart"/>
            <w:shd w:val="clear" w:color="auto" w:fill="auto"/>
            <w:noWrap/>
            <w:vAlign w:val="center"/>
            <w:hideMark/>
          </w:tcPr>
          <w:p w:rsidR="00A15716" w:rsidRPr="00661696" w:rsidP="009E19B1" w14:paraId="36F0EEAF" w14:textId="77777777">
            <w:pPr>
              <w:jc w:val="right"/>
              <w:rPr>
                <w:color w:val="000000"/>
                <w:sz w:val="16"/>
                <w:szCs w:val="16"/>
              </w:rPr>
            </w:pPr>
            <w:r w:rsidRPr="00661696">
              <w:rPr>
                <w:color w:val="000000"/>
                <w:sz w:val="16"/>
                <w:szCs w:val="16"/>
              </w:rPr>
              <w:t>8,600</w:t>
            </w:r>
          </w:p>
        </w:tc>
        <w:tc>
          <w:tcPr>
            <w:tcW w:w="1823" w:type="dxa"/>
            <w:vMerge w:val="restart"/>
            <w:shd w:val="clear" w:color="auto" w:fill="auto"/>
            <w:noWrap/>
            <w:vAlign w:val="center"/>
            <w:hideMark/>
          </w:tcPr>
          <w:p w:rsidR="00A15716" w:rsidRPr="00661696" w:rsidP="009E19B1" w14:paraId="54018657" w14:textId="77777777">
            <w:pPr>
              <w:jc w:val="right"/>
              <w:rPr>
                <w:color w:val="000000"/>
                <w:sz w:val="16"/>
                <w:szCs w:val="16"/>
              </w:rPr>
            </w:pPr>
            <w:r w:rsidRPr="00661696">
              <w:rPr>
                <w:color w:val="000000"/>
                <w:sz w:val="16"/>
                <w:szCs w:val="16"/>
              </w:rPr>
              <w:t>2.0</w:t>
            </w:r>
          </w:p>
        </w:tc>
        <w:tc>
          <w:tcPr>
            <w:tcW w:w="1408" w:type="dxa"/>
            <w:shd w:val="clear" w:color="auto" w:fill="auto"/>
            <w:noWrap/>
            <w:vAlign w:val="center"/>
            <w:hideMark/>
          </w:tcPr>
          <w:p w:rsidR="00A15716" w:rsidRPr="00661696" w:rsidP="009E19B1" w14:paraId="598B9E7B" w14:textId="77777777">
            <w:pPr>
              <w:jc w:val="right"/>
              <w:rPr>
                <w:color w:val="000000"/>
                <w:sz w:val="16"/>
                <w:szCs w:val="16"/>
              </w:rPr>
            </w:pPr>
            <w:r w:rsidRPr="00661696">
              <w:rPr>
                <w:color w:val="000000"/>
                <w:sz w:val="16"/>
                <w:szCs w:val="16"/>
              </w:rPr>
              <w:t>10.0</w:t>
            </w:r>
          </w:p>
        </w:tc>
        <w:tc>
          <w:tcPr>
            <w:tcW w:w="1210" w:type="dxa"/>
            <w:shd w:val="clear" w:color="auto" w:fill="auto"/>
            <w:noWrap/>
            <w:vAlign w:val="center"/>
            <w:hideMark/>
          </w:tcPr>
          <w:p w:rsidR="00A15716" w:rsidRPr="00661696" w:rsidP="009E19B1" w14:paraId="5C4BBD95" w14:textId="77777777">
            <w:pPr>
              <w:jc w:val="right"/>
              <w:rPr>
                <w:color w:val="000000"/>
                <w:sz w:val="16"/>
                <w:szCs w:val="16"/>
              </w:rPr>
            </w:pPr>
            <w:r w:rsidRPr="00661696">
              <w:rPr>
                <w:color w:val="000000"/>
                <w:sz w:val="16"/>
                <w:szCs w:val="16"/>
              </w:rPr>
              <w:t>0.9</w:t>
            </w:r>
          </w:p>
        </w:tc>
        <w:tc>
          <w:tcPr>
            <w:tcW w:w="958" w:type="dxa"/>
            <w:shd w:val="clear" w:color="auto" w:fill="auto"/>
            <w:noWrap/>
            <w:vAlign w:val="center"/>
            <w:hideMark/>
          </w:tcPr>
          <w:p w:rsidR="00A15716" w:rsidRPr="00661696" w:rsidP="009E19B1" w14:paraId="60B4E25B" w14:textId="77777777">
            <w:pPr>
              <w:jc w:val="right"/>
              <w:rPr>
                <w:color w:val="000000"/>
                <w:sz w:val="16"/>
                <w:szCs w:val="16"/>
              </w:rPr>
            </w:pPr>
            <w:r w:rsidRPr="00661696">
              <w:rPr>
                <w:color w:val="000000"/>
                <w:sz w:val="16"/>
                <w:szCs w:val="16"/>
              </w:rPr>
              <w:t>4.6</w:t>
            </w:r>
          </w:p>
        </w:tc>
      </w:tr>
      <w:tr w14:paraId="6099B77D"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455ECD44" w14:textId="77777777">
            <w:pPr>
              <w:rPr>
                <w:sz w:val="16"/>
                <w:szCs w:val="16"/>
              </w:rPr>
            </w:pPr>
          </w:p>
        </w:tc>
        <w:tc>
          <w:tcPr>
            <w:tcW w:w="1800" w:type="dxa"/>
            <w:vMerge/>
            <w:shd w:val="clear" w:color="auto" w:fill="auto"/>
            <w:noWrap/>
            <w:vAlign w:val="center"/>
          </w:tcPr>
          <w:p w:rsidR="00A15716" w:rsidRPr="00661696" w:rsidP="009E19B1" w14:paraId="60F57741" w14:textId="7A71FE0B">
            <w:pPr>
              <w:jc w:val="right"/>
              <w:rPr>
                <w:color w:val="000000"/>
                <w:sz w:val="16"/>
                <w:szCs w:val="16"/>
              </w:rPr>
            </w:pPr>
          </w:p>
        </w:tc>
        <w:tc>
          <w:tcPr>
            <w:tcW w:w="1726" w:type="dxa"/>
            <w:vMerge/>
            <w:shd w:val="clear" w:color="auto" w:fill="auto"/>
            <w:noWrap/>
            <w:vAlign w:val="center"/>
          </w:tcPr>
          <w:p w:rsidR="00A15716" w:rsidRPr="00661696" w:rsidP="009E19B1" w14:paraId="43ECD261" w14:textId="09723734">
            <w:pPr>
              <w:jc w:val="right"/>
              <w:rPr>
                <w:color w:val="000000"/>
                <w:sz w:val="16"/>
                <w:szCs w:val="16"/>
              </w:rPr>
            </w:pPr>
          </w:p>
        </w:tc>
        <w:tc>
          <w:tcPr>
            <w:tcW w:w="1823" w:type="dxa"/>
            <w:vMerge/>
            <w:shd w:val="clear" w:color="auto" w:fill="auto"/>
            <w:noWrap/>
            <w:vAlign w:val="center"/>
          </w:tcPr>
          <w:p w:rsidR="00A15716" w:rsidRPr="00661696" w:rsidP="009E19B1" w14:paraId="6F4F9DF0" w14:textId="6594684D">
            <w:pPr>
              <w:jc w:val="right"/>
              <w:rPr>
                <w:color w:val="000000"/>
                <w:sz w:val="16"/>
                <w:szCs w:val="16"/>
              </w:rPr>
            </w:pPr>
          </w:p>
        </w:tc>
        <w:tc>
          <w:tcPr>
            <w:tcW w:w="1408" w:type="dxa"/>
            <w:shd w:val="clear" w:color="auto" w:fill="auto"/>
            <w:noWrap/>
            <w:vAlign w:val="center"/>
            <w:hideMark/>
          </w:tcPr>
          <w:p w:rsidR="00A15716" w:rsidRPr="00661696" w:rsidP="009E19B1" w14:paraId="5C6B040F" w14:textId="77777777">
            <w:pPr>
              <w:jc w:val="right"/>
              <w:rPr>
                <w:color w:val="000000"/>
                <w:sz w:val="16"/>
                <w:szCs w:val="16"/>
              </w:rPr>
            </w:pPr>
            <w:r w:rsidRPr="00661696">
              <w:rPr>
                <w:color w:val="000000"/>
                <w:sz w:val="16"/>
                <w:szCs w:val="16"/>
              </w:rPr>
              <w:t>5.0</w:t>
            </w:r>
          </w:p>
        </w:tc>
        <w:tc>
          <w:tcPr>
            <w:tcW w:w="1210" w:type="dxa"/>
            <w:shd w:val="clear" w:color="auto" w:fill="auto"/>
            <w:noWrap/>
            <w:vAlign w:val="center"/>
            <w:hideMark/>
          </w:tcPr>
          <w:p w:rsidR="00A15716" w:rsidRPr="00661696" w:rsidP="009E19B1" w14:paraId="1087A7AB" w14:textId="77777777">
            <w:pPr>
              <w:jc w:val="right"/>
              <w:rPr>
                <w:color w:val="000000"/>
                <w:sz w:val="16"/>
                <w:szCs w:val="16"/>
              </w:rPr>
            </w:pPr>
            <w:r w:rsidRPr="00661696">
              <w:rPr>
                <w:color w:val="000000"/>
                <w:sz w:val="16"/>
                <w:szCs w:val="16"/>
              </w:rPr>
              <w:t>0.7</w:t>
            </w:r>
          </w:p>
        </w:tc>
        <w:tc>
          <w:tcPr>
            <w:tcW w:w="958" w:type="dxa"/>
            <w:shd w:val="clear" w:color="auto" w:fill="auto"/>
            <w:noWrap/>
            <w:vAlign w:val="center"/>
            <w:hideMark/>
          </w:tcPr>
          <w:p w:rsidR="00A15716" w:rsidRPr="00661696" w:rsidP="009E19B1" w14:paraId="3F37F408" w14:textId="77777777">
            <w:pPr>
              <w:jc w:val="right"/>
              <w:rPr>
                <w:color w:val="000000"/>
                <w:sz w:val="16"/>
                <w:szCs w:val="16"/>
              </w:rPr>
            </w:pPr>
            <w:r w:rsidRPr="00661696">
              <w:rPr>
                <w:color w:val="000000"/>
                <w:sz w:val="16"/>
                <w:szCs w:val="16"/>
              </w:rPr>
              <w:t>6.6</w:t>
            </w:r>
          </w:p>
        </w:tc>
      </w:tr>
      <w:tr w14:paraId="63D5ECB9"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043F9001" w14:textId="77777777">
            <w:pPr>
              <w:rPr>
                <w:sz w:val="16"/>
                <w:szCs w:val="16"/>
              </w:rPr>
            </w:pPr>
          </w:p>
        </w:tc>
        <w:tc>
          <w:tcPr>
            <w:tcW w:w="1800" w:type="dxa"/>
            <w:vMerge/>
            <w:shd w:val="clear" w:color="auto" w:fill="auto"/>
            <w:noWrap/>
            <w:vAlign w:val="center"/>
          </w:tcPr>
          <w:p w:rsidR="00A15716" w:rsidRPr="00661696" w:rsidP="009E19B1" w14:paraId="15841995" w14:textId="022BDF3D">
            <w:pPr>
              <w:jc w:val="right"/>
              <w:rPr>
                <w:color w:val="000000"/>
                <w:sz w:val="16"/>
                <w:szCs w:val="16"/>
              </w:rPr>
            </w:pPr>
          </w:p>
        </w:tc>
        <w:tc>
          <w:tcPr>
            <w:tcW w:w="1726" w:type="dxa"/>
            <w:vMerge/>
            <w:shd w:val="clear" w:color="auto" w:fill="auto"/>
            <w:noWrap/>
            <w:vAlign w:val="center"/>
          </w:tcPr>
          <w:p w:rsidR="00A15716" w:rsidRPr="00661696" w:rsidP="009E19B1" w14:paraId="07D62AD8" w14:textId="44D06291">
            <w:pPr>
              <w:jc w:val="right"/>
              <w:rPr>
                <w:color w:val="000000"/>
                <w:sz w:val="16"/>
                <w:szCs w:val="16"/>
              </w:rPr>
            </w:pPr>
          </w:p>
        </w:tc>
        <w:tc>
          <w:tcPr>
            <w:tcW w:w="1823" w:type="dxa"/>
            <w:vMerge/>
            <w:shd w:val="clear" w:color="auto" w:fill="auto"/>
            <w:noWrap/>
            <w:vAlign w:val="center"/>
          </w:tcPr>
          <w:p w:rsidR="00A15716" w:rsidRPr="00661696" w:rsidP="009E19B1" w14:paraId="3E365F69" w14:textId="7DBC8893">
            <w:pPr>
              <w:jc w:val="right"/>
              <w:rPr>
                <w:color w:val="000000"/>
                <w:sz w:val="16"/>
                <w:szCs w:val="16"/>
              </w:rPr>
            </w:pPr>
          </w:p>
        </w:tc>
        <w:tc>
          <w:tcPr>
            <w:tcW w:w="1408" w:type="dxa"/>
            <w:shd w:val="clear" w:color="auto" w:fill="auto"/>
            <w:noWrap/>
            <w:vAlign w:val="center"/>
            <w:hideMark/>
          </w:tcPr>
          <w:p w:rsidR="00A15716" w:rsidRPr="00661696" w:rsidP="009E19B1" w14:paraId="46F708CD" w14:textId="77777777">
            <w:pPr>
              <w:jc w:val="right"/>
              <w:rPr>
                <w:color w:val="000000"/>
                <w:sz w:val="16"/>
                <w:szCs w:val="16"/>
              </w:rPr>
            </w:pPr>
            <w:r w:rsidRPr="00661696">
              <w:rPr>
                <w:color w:val="000000"/>
                <w:sz w:val="16"/>
                <w:szCs w:val="16"/>
              </w:rPr>
              <w:t>2.5</w:t>
            </w:r>
          </w:p>
        </w:tc>
        <w:tc>
          <w:tcPr>
            <w:tcW w:w="1210" w:type="dxa"/>
            <w:shd w:val="clear" w:color="auto" w:fill="auto"/>
            <w:noWrap/>
            <w:vAlign w:val="center"/>
            <w:hideMark/>
          </w:tcPr>
          <w:p w:rsidR="00A15716" w:rsidRPr="00661696" w:rsidP="009E19B1" w14:paraId="0E196928" w14:textId="77777777">
            <w:pPr>
              <w:jc w:val="right"/>
              <w:rPr>
                <w:color w:val="000000"/>
                <w:sz w:val="16"/>
                <w:szCs w:val="16"/>
              </w:rPr>
            </w:pPr>
            <w:r w:rsidRPr="00661696">
              <w:rPr>
                <w:color w:val="000000"/>
                <w:sz w:val="16"/>
                <w:szCs w:val="16"/>
              </w:rPr>
              <w:t>0.5</w:t>
            </w:r>
          </w:p>
        </w:tc>
        <w:tc>
          <w:tcPr>
            <w:tcW w:w="958" w:type="dxa"/>
            <w:shd w:val="clear" w:color="auto" w:fill="auto"/>
            <w:noWrap/>
            <w:vAlign w:val="center"/>
            <w:hideMark/>
          </w:tcPr>
          <w:p w:rsidR="00A15716" w:rsidRPr="00661696" w:rsidP="009E19B1" w14:paraId="7FE3DE59" w14:textId="77777777">
            <w:pPr>
              <w:jc w:val="right"/>
              <w:rPr>
                <w:color w:val="000000"/>
                <w:sz w:val="16"/>
                <w:szCs w:val="16"/>
              </w:rPr>
            </w:pPr>
            <w:r w:rsidRPr="00661696">
              <w:rPr>
                <w:color w:val="000000"/>
                <w:sz w:val="16"/>
                <w:szCs w:val="16"/>
              </w:rPr>
              <w:t>9.5</w:t>
            </w:r>
          </w:p>
        </w:tc>
      </w:tr>
      <w:tr w14:paraId="3251C38A"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6776B282" w14:textId="77777777">
            <w:pPr>
              <w:rPr>
                <w:sz w:val="16"/>
                <w:szCs w:val="16"/>
              </w:rPr>
            </w:pPr>
          </w:p>
        </w:tc>
        <w:tc>
          <w:tcPr>
            <w:tcW w:w="1800" w:type="dxa"/>
            <w:vMerge/>
            <w:shd w:val="clear" w:color="auto" w:fill="auto"/>
            <w:noWrap/>
            <w:vAlign w:val="center"/>
          </w:tcPr>
          <w:p w:rsidR="00A15716" w:rsidRPr="00661696" w:rsidP="009E19B1" w14:paraId="4FAB177E" w14:textId="681FE8B8">
            <w:pPr>
              <w:jc w:val="right"/>
              <w:rPr>
                <w:color w:val="000000"/>
                <w:sz w:val="16"/>
                <w:szCs w:val="16"/>
              </w:rPr>
            </w:pPr>
          </w:p>
        </w:tc>
        <w:tc>
          <w:tcPr>
            <w:tcW w:w="1726" w:type="dxa"/>
            <w:vMerge/>
            <w:shd w:val="clear" w:color="auto" w:fill="auto"/>
            <w:noWrap/>
            <w:vAlign w:val="center"/>
          </w:tcPr>
          <w:p w:rsidR="00A15716" w:rsidRPr="00661696" w:rsidP="009E19B1" w14:paraId="71B116AF" w14:textId="17AD8379">
            <w:pPr>
              <w:jc w:val="right"/>
              <w:rPr>
                <w:color w:val="000000"/>
                <w:sz w:val="16"/>
                <w:szCs w:val="16"/>
              </w:rPr>
            </w:pPr>
          </w:p>
        </w:tc>
        <w:tc>
          <w:tcPr>
            <w:tcW w:w="1823" w:type="dxa"/>
            <w:vMerge/>
            <w:shd w:val="clear" w:color="auto" w:fill="auto"/>
            <w:noWrap/>
            <w:vAlign w:val="center"/>
          </w:tcPr>
          <w:p w:rsidR="00A15716" w:rsidRPr="00661696" w:rsidP="009E19B1" w14:paraId="31C03694" w14:textId="09623590">
            <w:pPr>
              <w:jc w:val="right"/>
              <w:rPr>
                <w:color w:val="000000"/>
                <w:sz w:val="16"/>
                <w:szCs w:val="16"/>
              </w:rPr>
            </w:pPr>
          </w:p>
        </w:tc>
        <w:tc>
          <w:tcPr>
            <w:tcW w:w="1408" w:type="dxa"/>
            <w:shd w:val="clear" w:color="auto" w:fill="auto"/>
            <w:noWrap/>
            <w:vAlign w:val="center"/>
            <w:hideMark/>
          </w:tcPr>
          <w:p w:rsidR="00A15716" w:rsidRPr="00661696" w:rsidP="009E19B1" w14:paraId="35FAA11C" w14:textId="77777777">
            <w:pPr>
              <w:jc w:val="right"/>
              <w:rPr>
                <w:color w:val="000000"/>
                <w:sz w:val="16"/>
                <w:szCs w:val="16"/>
              </w:rPr>
            </w:pPr>
            <w:r w:rsidRPr="00661696">
              <w:rPr>
                <w:color w:val="000000"/>
                <w:sz w:val="16"/>
                <w:szCs w:val="16"/>
              </w:rPr>
              <w:t>1.0</w:t>
            </w:r>
          </w:p>
        </w:tc>
        <w:tc>
          <w:tcPr>
            <w:tcW w:w="1210" w:type="dxa"/>
            <w:shd w:val="clear" w:color="auto" w:fill="auto"/>
            <w:noWrap/>
            <w:vAlign w:val="center"/>
            <w:hideMark/>
          </w:tcPr>
          <w:p w:rsidR="00A15716" w:rsidRPr="00661696" w:rsidP="009E19B1" w14:paraId="6B0384BD" w14:textId="77777777">
            <w:pPr>
              <w:jc w:val="right"/>
              <w:rPr>
                <w:color w:val="000000"/>
                <w:sz w:val="16"/>
                <w:szCs w:val="16"/>
              </w:rPr>
            </w:pPr>
            <w:r w:rsidRPr="00661696">
              <w:rPr>
                <w:color w:val="000000"/>
                <w:sz w:val="16"/>
                <w:szCs w:val="16"/>
              </w:rPr>
              <w:t>0.3</w:t>
            </w:r>
          </w:p>
        </w:tc>
        <w:tc>
          <w:tcPr>
            <w:tcW w:w="958" w:type="dxa"/>
            <w:shd w:val="clear" w:color="auto" w:fill="auto"/>
            <w:noWrap/>
            <w:vAlign w:val="center"/>
            <w:hideMark/>
          </w:tcPr>
          <w:p w:rsidR="00A15716" w:rsidRPr="00661696" w:rsidP="009E19B1" w14:paraId="01083123" w14:textId="77777777">
            <w:pPr>
              <w:jc w:val="right"/>
              <w:rPr>
                <w:color w:val="000000"/>
                <w:sz w:val="16"/>
                <w:szCs w:val="16"/>
              </w:rPr>
            </w:pPr>
            <w:r w:rsidRPr="00661696">
              <w:rPr>
                <w:color w:val="000000"/>
                <w:sz w:val="16"/>
                <w:szCs w:val="16"/>
              </w:rPr>
              <w:t>15.2</w:t>
            </w:r>
          </w:p>
        </w:tc>
      </w:tr>
      <w:tr w14:paraId="0DA1379A"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48ADE082" w14:textId="77777777">
            <w:pPr>
              <w:rPr>
                <w:sz w:val="16"/>
                <w:szCs w:val="16"/>
              </w:rPr>
            </w:pPr>
          </w:p>
        </w:tc>
        <w:tc>
          <w:tcPr>
            <w:tcW w:w="1800" w:type="dxa"/>
            <w:vMerge/>
            <w:shd w:val="clear" w:color="auto" w:fill="auto"/>
            <w:noWrap/>
            <w:vAlign w:val="center"/>
          </w:tcPr>
          <w:p w:rsidR="00A15716" w:rsidRPr="00661696" w:rsidP="009E19B1" w14:paraId="518AA777" w14:textId="2B2FD894">
            <w:pPr>
              <w:jc w:val="right"/>
              <w:rPr>
                <w:color w:val="000000"/>
                <w:sz w:val="16"/>
                <w:szCs w:val="16"/>
              </w:rPr>
            </w:pPr>
          </w:p>
        </w:tc>
        <w:tc>
          <w:tcPr>
            <w:tcW w:w="1726" w:type="dxa"/>
            <w:vMerge/>
            <w:shd w:val="clear" w:color="auto" w:fill="auto"/>
            <w:noWrap/>
            <w:vAlign w:val="center"/>
          </w:tcPr>
          <w:p w:rsidR="00A15716" w:rsidRPr="00661696" w:rsidP="009E19B1" w14:paraId="4F476648" w14:textId="7640B73C">
            <w:pPr>
              <w:jc w:val="right"/>
              <w:rPr>
                <w:color w:val="000000"/>
                <w:sz w:val="16"/>
                <w:szCs w:val="16"/>
              </w:rPr>
            </w:pPr>
          </w:p>
        </w:tc>
        <w:tc>
          <w:tcPr>
            <w:tcW w:w="1823" w:type="dxa"/>
            <w:vMerge/>
            <w:shd w:val="clear" w:color="auto" w:fill="auto"/>
            <w:noWrap/>
            <w:vAlign w:val="center"/>
          </w:tcPr>
          <w:p w:rsidR="00A15716" w:rsidRPr="00661696" w:rsidP="009E19B1" w14:paraId="012BC123" w14:textId="7699683C">
            <w:pPr>
              <w:jc w:val="right"/>
              <w:rPr>
                <w:color w:val="000000"/>
                <w:sz w:val="16"/>
                <w:szCs w:val="16"/>
              </w:rPr>
            </w:pPr>
          </w:p>
        </w:tc>
        <w:tc>
          <w:tcPr>
            <w:tcW w:w="1408" w:type="dxa"/>
            <w:shd w:val="clear" w:color="auto" w:fill="auto"/>
            <w:noWrap/>
            <w:vAlign w:val="center"/>
            <w:hideMark/>
          </w:tcPr>
          <w:p w:rsidR="00A15716" w:rsidRPr="00661696" w:rsidP="009E19B1" w14:paraId="069CFB30" w14:textId="08F69D3F">
            <w:pPr>
              <w:jc w:val="right"/>
              <w:rPr>
                <w:color w:val="000000"/>
                <w:sz w:val="16"/>
                <w:szCs w:val="16"/>
              </w:rPr>
            </w:pPr>
            <w:r w:rsidRPr="00661696">
              <w:rPr>
                <w:color w:val="000000"/>
                <w:sz w:val="16"/>
                <w:szCs w:val="16"/>
              </w:rPr>
              <w:t>0.</w:t>
            </w:r>
            <w:r w:rsidRPr="00661696" w:rsidR="008131B7">
              <w:rPr>
                <w:color w:val="000000"/>
                <w:sz w:val="16"/>
                <w:szCs w:val="16"/>
              </w:rPr>
              <w:t>6</w:t>
            </w:r>
          </w:p>
        </w:tc>
        <w:tc>
          <w:tcPr>
            <w:tcW w:w="1210" w:type="dxa"/>
            <w:shd w:val="clear" w:color="auto" w:fill="auto"/>
            <w:noWrap/>
            <w:vAlign w:val="center"/>
            <w:hideMark/>
          </w:tcPr>
          <w:p w:rsidR="00A15716" w:rsidRPr="00661696" w:rsidP="009E19B1" w14:paraId="4F5D1F01" w14:textId="77777777">
            <w:pPr>
              <w:jc w:val="right"/>
              <w:rPr>
                <w:color w:val="000000"/>
                <w:sz w:val="16"/>
                <w:szCs w:val="16"/>
              </w:rPr>
            </w:pPr>
            <w:r w:rsidRPr="00661696">
              <w:rPr>
                <w:color w:val="000000"/>
                <w:sz w:val="16"/>
                <w:szCs w:val="16"/>
              </w:rPr>
              <w:t>0.2</w:t>
            </w:r>
          </w:p>
        </w:tc>
        <w:tc>
          <w:tcPr>
            <w:tcW w:w="958" w:type="dxa"/>
            <w:shd w:val="clear" w:color="auto" w:fill="auto"/>
            <w:noWrap/>
            <w:vAlign w:val="center"/>
            <w:hideMark/>
          </w:tcPr>
          <w:p w:rsidR="00A15716" w:rsidRPr="00661696" w:rsidP="009E19B1" w14:paraId="427B4209" w14:textId="0F047A8C">
            <w:pPr>
              <w:jc w:val="right"/>
              <w:rPr>
                <w:color w:val="000000"/>
                <w:sz w:val="16"/>
                <w:szCs w:val="16"/>
              </w:rPr>
            </w:pPr>
            <w:r w:rsidRPr="00661696">
              <w:rPr>
                <w:color w:val="000000"/>
                <w:sz w:val="16"/>
                <w:szCs w:val="16"/>
              </w:rPr>
              <w:t>19.6</w:t>
            </w:r>
          </w:p>
        </w:tc>
      </w:tr>
      <w:tr w14:paraId="21168E10" w14:textId="77777777" w:rsidTr="0067576E">
        <w:tblPrEx>
          <w:tblW w:w="10620" w:type="dxa"/>
          <w:tblInd w:w="-360" w:type="dxa"/>
          <w:tblLook w:val="04A0"/>
        </w:tblPrEx>
        <w:trPr>
          <w:trHeight w:val="20"/>
        </w:trPr>
        <w:tc>
          <w:tcPr>
            <w:tcW w:w="1695" w:type="dxa"/>
            <w:vMerge w:val="restart"/>
            <w:shd w:val="clear" w:color="auto" w:fill="auto"/>
            <w:noWrap/>
            <w:vAlign w:val="center"/>
            <w:hideMark/>
          </w:tcPr>
          <w:p w:rsidR="00A15716" w:rsidRPr="00661696" w:rsidP="009E19B1" w14:paraId="0A148C8E" w14:textId="77777777">
            <w:pPr>
              <w:rPr>
                <w:color w:val="000000"/>
                <w:sz w:val="16"/>
                <w:szCs w:val="16"/>
              </w:rPr>
            </w:pPr>
            <w:r w:rsidRPr="00661696">
              <w:rPr>
                <w:color w:val="000000"/>
                <w:sz w:val="16"/>
                <w:szCs w:val="16"/>
              </w:rPr>
              <w:t>1.b - any</w:t>
            </w:r>
          </w:p>
        </w:tc>
        <w:tc>
          <w:tcPr>
            <w:tcW w:w="1800" w:type="dxa"/>
            <w:vMerge w:val="restart"/>
            <w:shd w:val="clear" w:color="auto" w:fill="auto"/>
            <w:noWrap/>
            <w:vAlign w:val="center"/>
            <w:hideMark/>
          </w:tcPr>
          <w:p w:rsidR="00A15716" w:rsidRPr="00661696" w:rsidP="009E19B1" w14:paraId="5160D99C" w14:textId="77777777">
            <w:pPr>
              <w:jc w:val="right"/>
              <w:rPr>
                <w:color w:val="000000"/>
                <w:sz w:val="16"/>
                <w:szCs w:val="16"/>
              </w:rPr>
            </w:pPr>
            <w:r w:rsidRPr="00661696">
              <w:rPr>
                <w:color w:val="000000"/>
                <w:sz w:val="16"/>
                <w:szCs w:val="16"/>
              </w:rPr>
              <w:t>6,729,482</w:t>
            </w:r>
          </w:p>
        </w:tc>
        <w:tc>
          <w:tcPr>
            <w:tcW w:w="1726" w:type="dxa"/>
            <w:vMerge w:val="restart"/>
            <w:shd w:val="clear" w:color="auto" w:fill="auto"/>
            <w:noWrap/>
            <w:vAlign w:val="center"/>
            <w:hideMark/>
          </w:tcPr>
          <w:p w:rsidR="00A15716" w:rsidRPr="00661696" w:rsidP="009E19B1" w14:paraId="0B890E17" w14:textId="77777777">
            <w:pPr>
              <w:jc w:val="right"/>
              <w:rPr>
                <w:color w:val="000000"/>
                <w:sz w:val="16"/>
                <w:szCs w:val="16"/>
              </w:rPr>
            </w:pPr>
            <w:r w:rsidRPr="00661696">
              <w:rPr>
                <w:color w:val="000000"/>
                <w:sz w:val="16"/>
                <w:szCs w:val="16"/>
              </w:rPr>
              <w:t>771</w:t>
            </w:r>
          </w:p>
        </w:tc>
        <w:tc>
          <w:tcPr>
            <w:tcW w:w="1823" w:type="dxa"/>
            <w:vMerge w:val="restart"/>
            <w:shd w:val="clear" w:color="auto" w:fill="auto"/>
            <w:noWrap/>
            <w:vAlign w:val="center"/>
            <w:hideMark/>
          </w:tcPr>
          <w:p w:rsidR="00A15716" w:rsidRPr="00661696" w:rsidP="009E19B1" w14:paraId="23EE48B9" w14:textId="77777777">
            <w:pPr>
              <w:jc w:val="right"/>
              <w:rPr>
                <w:color w:val="000000"/>
                <w:sz w:val="16"/>
                <w:szCs w:val="16"/>
              </w:rPr>
            </w:pPr>
            <w:r w:rsidRPr="00661696">
              <w:rPr>
                <w:color w:val="000000"/>
                <w:sz w:val="16"/>
                <w:szCs w:val="16"/>
              </w:rPr>
              <w:t>3.0</w:t>
            </w:r>
          </w:p>
        </w:tc>
        <w:tc>
          <w:tcPr>
            <w:tcW w:w="1408" w:type="dxa"/>
            <w:shd w:val="clear" w:color="auto" w:fill="auto"/>
            <w:noWrap/>
            <w:vAlign w:val="center"/>
            <w:hideMark/>
          </w:tcPr>
          <w:p w:rsidR="00A15716" w:rsidRPr="00661696" w:rsidP="009E19B1" w14:paraId="076895CF" w14:textId="77777777">
            <w:pPr>
              <w:jc w:val="right"/>
              <w:rPr>
                <w:color w:val="000000"/>
                <w:sz w:val="16"/>
                <w:szCs w:val="16"/>
              </w:rPr>
            </w:pPr>
            <w:r w:rsidRPr="00661696">
              <w:rPr>
                <w:color w:val="000000"/>
                <w:sz w:val="16"/>
                <w:szCs w:val="16"/>
              </w:rPr>
              <w:t>50.0</w:t>
            </w:r>
          </w:p>
        </w:tc>
        <w:tc>
          <w:tcPr>
            <w:tcW w:w="1210" w:type="dxa"/>
            <w:shd w:val="clear" w:color="auto" w:fill="auto"/>
            <w:noWrap/>
            <w:vAlign w:val="center"/>
            <w:hideMark/>
          </w:tcPr>
          <w:p w:rsidR="00A15716" w:rsidRPr="00661696" w:rsidP="009E19B1" w14:paraId="5247ED4E" w14:textId="77777777">
            <w:pPr>
              <w:jc w:val="right"/>
              <w:rPr>
                <w:color w:val="000000"/>
                <w:sz w:val="16"/>
                <w:szCs w:val="16"/>
              </w:rPr>
            </w:pPr>
            <w:r w:rsidRPr="00661696">
              <w:rPr>
                <w:color w:val="000000"/>
                <w:sz w:val="16"/>
                <w:szCs w:val="16"/>
              </w:rPr>
              <w:t>6.1</w:t>
            </w:r>
          </w:p>
        </w:tc>
        <w:tc>
          <w:tcPr>
            <w:tcW w:w="958" w:type="dxa"/>
            <w:shd w:val="clear" w:color="auto" w:fill="auto"/>
            <w:noWrap/>
            <w:vAlign w:val="center"/>
            <w:hideMark/>
          </w:tcPr>
          <w:p w:rsidR="00A15716" w:rsidRPr="00661696" w:rsidP="009E19B1" w14:paraId="2C67B1A3" w14:textId="77777777">
            <w:pPr>
              <w:jc w:val="right"/>
              <w:rPr>
                <w:color w:val="000000"/>
                <w:sz w:val="16"/>
                <w:szCs w:val="16"/>
              </w:rPr>
            </w:pPr>
            <w:r w:rsidRPr="00661696">
              <w:rPr>
                <w:color w:val="000000"/>
                <w:sz w:val="16"/>
                <w:szCs w:val="16"/>
              </w:rPr>
              <w:t>6.2</w:t>
            </w:r>
          </w:p>
        </w:tc>
      </w:tr>
      <w:tr w14:paraId="0CD819D7"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424E0A9D" w14:textId="77777777">
            <w:pPr>
              <w:rPr>
                <w:sz w:val="16"/>
                <w:szCs w:val="16"/>
              </w:rPr>
            </w:pPr>
          </w:p>
        </w:tc>
        <w:tc>
          <w:tcPr>
            <w:tcW w:w="1800" w:type="dxa"/>
            <w:vMerge/>
            <w:shd w:val="clear" w:color="auto" w:fill="auto"/>
            <w:noWrap/>
            <w:vAlign w:val="center"/>
          </w:tcPr>
          <w:p w:rsidR="00A15716" w:rsidRPr="00661696" w:rsidP="009E19B1" w14:paraId="46F9FFBA" w14:textId="213ACCF1">
            <w:pPr>
              <w:jc w:val="right"/>
              <w:rPr>
                <w:color w:val="000000"/>
                <w:sz w:val="16"/>
                <w:szCs w:val="16"/>
              </w:rPr>
            </w:pPr>
          </w:p>
        </w:tc>
        <w:tc>
          <w:tcPr>
            <w:tcW w:w="1726" w:type="dxa"/>
            <w:vMerge/>
            <w:shd w:val="clear" w:color="auto" w:fill="auto"/>
            <w:noWrap/>
            <w:vAlign w:val="center"/>
          </w:tcPr>
          <w:p w:rsidR="00A15716" w:rsidRPr="00661696" w:rsidP="009E19B1" w14:paraId="7FD4627A" w14:textId="5EB4463A">
            <w:pPr>
              <w:jc w:val="right"/>
              <w:rPr>
                <w:color w:val="000000"/>
                <w:sz w:val="16"/>
                <w:szCs w:val="16"/>
              </w:rPr>
            </w:pPr>
          </w:p>
        </w:tc>
        <w:tc>
          <w:tcPr>
            <w:tcW w:w="1823" w:type="dxa"/>
            <w:vMerge/>
            <w:shd w:val="clear" w:color="auto" w:fill="auto"/>
            <w:noWrap/>
            <w:vAlign w:val="center"/>
          </w:tcPr>
          <w:p w:rsidR="00A15716" w:rsidRPr="00661696" w:rsidP="009E19B1" w14:paraId="11D2CF58" w14:textId="2BC2794D">
            <w:pPr>
              <w:jc w:val="right"/>
              <w:rPr>
                <w:color w:val="000000"/>
                <w:sz w:val="16"/>
                <w:szCs w:val="16"/>
              </w:rPr>
            </w:pPr>
          </w:p>
        </w:tc>
        <w:tc>
          <w:tcPr>
            <w:tcW w:w="1408" w:type="dxa"/>
            <w:shd w:val="clear" w:color="auto" w:fill="auto"/>
            <w:noWrap/>
            <w:vAlign w:val="center"/>
            <w:hideMark/>
          </w:tcPr>
          <w:p w:rsidR="00A15716" w:rsidRPr="00661696" w:rsidP="009E19B1" w14:paraId="5F692188" w14:textId="77777777">
            <w:pPr>
              <w:jc w:val="right"/>
              <w:rPr>
                <w:color w:val="000000"/>
                <w:sz w:val="16"/>
                <w:szCs w:val="16"/>
              </w:rPr>
            </w:pPr>
            <w:r w:rsidRPr="00661696">
              <w:rPr>
                <w:color w:val="000000"/>
                <w:sz w:val="16"/>
                <w:szCs w:val="16"/>
              </w:rPr>
              <w:t>25.0</w:t>
            </w:r>
          </w:p>
        </w:tc>
        <w:tc>
          <w:tcPr>
            <w:tcW w:w="1210" w:type="dxa"/>
            <w:shd w:val="clear" w:color="auto" w:fill="auto"/>
            <w:noWrap/>
            <w:vAlign w:val="center"/>
            <w:hideMark/>
          </w:tcPr>
          <w:p w:rsidR="00A15716" w:rsidRPr="00661696" w:rsidP="009E19B1" w14:paraId="5F3851F2" w14:textId="77777777">
            <w:pPr>
              <w:jc w:val="right"/>
              <w:rPr>
                <w:color w:val="000000"/>
                <w:sz w:val="16"/>
                <w:szCs w:val="16"/>
              </w:rPr>
            </w:pPr>
            <w:r w:rsidRPr="00661696">
              <w:rPr>
                <w:color w:val="000000"/>
                <w:sz w:val="16"/>
                <w:szCs w:val="16"/>
              </w:rPr>
              <w:t>5.3</w:t>
            </w:r>
          </w:p>
        </w:tc>
        <w:tc>
          <w:tcPr>
            <w:tcW w:w="958" w:type="dxa"/>
            <w:shd w:val="clear" w:color="auto" w:fill="auto"/>
            <w:noWrap/>
            <w:vAlign w:val="center"/>
            <w:hideMark/>
          </w:tcPr>
          <w:p w:rsidR="00A15716" w:rsidRPr="00661696" w:rsidP="009E19B1" w14:paraId="0EAC8E34" w14:textId="77777777">
            <w:pPr>
              <w:jc w:val="right"/>
              <w:rPr>
                <w:color w:val="000000"/>
                <w:sz w:val="16"/>
                <w:szCs w:val="16"/>
              </w:rPr>
            </w:pPr>
            <w:r w:rsidRPr="00661696">
              <w:rPr>
                <w:color w:val="000000"/>
                <w:sz w:val="16"/>
                <w:szCs w:val="16"/>
              </w:rPr>
              <w:t>10.8</w:t>
            </w:r>
          </w:p>
        </w:tc>
      </w:tr>
      <w:tr w14:paraId="5655B3A6"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6CBC22B2" w14:textId="77777777">
            <w:pPr>
              <w:rPr>
                <w:sz w:val="16"/>
                <w:szCs w:val="16"/>
              </w:rPr>
            </w:pPr>
          </w:p>
        </w:tc>
        <w:tc>
          <w:tcPr>
            <w:tcW w:w="1800" w:type="dxa"/>
            <w:vMerge/>
            <w:shd w:val="clear" w:color="auto" w:fill="auto"/>
            <w:noWrap/>
            <w:vAlign w:val="center"/>
          </w:tcPr>
          <w:p w:rsidR="00A15716" w:rsidRPr="00661696" w:rsidP="009E19B1" w14:paraId="088BF03E" w14:textId="67D4EA8D">
            <w:pPr>
              <w:jc w:val="right"/>
              <w:rPr>
                <w:color w:val="000000"/>
                <w:sz w:val="16"/>
                <w:szCs w:val="16"/>
              </w:rPr>
            </w:pPr>
          </w:p>
        </w:tc>
        <w:tc>
          <w:tcPr>
            <w:tcW w:w="1726" w:type="dxa"/>
            <w:vMerge/>
            <w:shd w:val="clear" w:color="auto" w:fill="auto"/>
            <w:noWrap/>
            <w:vAlign w:val="center"/>
          </w:tcPr>
          <w:p w:rsidR="00A15716" w:rsidRPr="00661696" w:rsidP="009E19B1" w14:paraId="7B8C2B73" w14:textId="55F9434D">
            <w:pPr>
              <w:jc w:val="right"/>
              <w:rPr>
                <w:color w:val="000000"/>
                <w:sz w:val="16"/>
                <w:szCs w:val="16"/>
              </w:rPr>
            </w:pPr>
          </w:p>
        </w:tc>
        <w:tc>
          <w:tcPr>
            <w:tcW w:w="1823" w:type="dxa"/>
            <w:vMerge/>
            <w:shd w:val="clear" w:color="auto" w:fill="auto"/>
            <w:noWrap/>
            <w:vAlign w:val="center"/>
          </w:tcPr>
          <w:p w:rsidR="00A15716" w:rsidRPr="00661696" w:rsidP="009E19B1" w14:paraId="4B6BCC12" w14:textId="44F7154F">
            <w:pPr>
              <w:jc w:val="right"/>
              <w:rPr>
                <w:color w:val="000000"/>
                <w:sz w:val="16"/>
                <w:szCs w:val="16"/>
              </w:rPr>
            </w:pPr>
          </w:p>
        </w:tc>
        <w:tc>
          <w:tcPr>
            <w:tcW w:w="1408" w:type="dxa"/>
            <w:shd w:val="clear" w:color="auto" w:fill="auto"/>
            <w:noWrap/>
            <w:vAlign w:val="center"/>
            <w:hideMark/>
          </w:tcPr>
          <w:p w:rsidR="00A15716" w:rsidRPr="00661696" w:rsidP="009E19B1" w14:paraId="01809A98" w14:textId="77777777">
            <w:pPr>
              <w:jc w:val="right"/>
              <w:rPr>
                <w:color w:val="000000"/>
                <w:sz w:val="16"/>
                <w:szCs w:val="16"/>
              </w:rPr>
            </w:pPr>
            <w:r w:rsidRPr="00661696">
              <w:rPr>
                <w:color w:val="000000"/>
                <w:sz w:val="16"/>
                <w:szCs w:val="16"/>
              </w:rPr>
              <w:t>10.0</w:t>
            </w:r>
          </w:p>
        </w:tc>
        <w:tc>
          <w:tcPr>
            <w:tcW w:w="1210" w:type="dxa"/>
            <w:shd w:val="clear" w:color="auto" w:fill="auto"/>
            <w:noWrap/>
            <w:vAlign w:val="center"/>
            <w:hideMark/>
          </w:tcPr>
          <w:p w:rsidR="00A15716" w:rsidRPr="00661696" w:rsidP="009E19B1" w14:paraId="3DB77AB5" w14:textId="77777777">
            <w:pPr>
              <w:jc w:val="right"/>
              <w:rPr>
                <w:color w:val="000000"/>
                <w:sz w:val="16"/>
                <w:szCs w:val="16"/>
              </w:rPr>
            </w:pPr>
            <w:r w:rsidRPr="00661696">
              <w:rPr>
                <w:color w:val="000000"/>
                <w:sz w:val="16"/>
                <w:szCs w:val="16"/>
              </w:rPr>
              <w:t>3.7</w:t>
            </w:r>
          </w:p>
        </w:tc>
        <w:tc>
          <w:tcPr>
            <w:tcW w:w="958" w:type="dxa"/>
            <w:shd w:val="clear" w:color="auto" w:fill="auto"/>
            <w:noWrap/>
            <w:vAlign w:val="center"/>
            <w:hideMark/>
          </w:tcPr>
          <w:p w:rsidR="00A15716" w:rsidRPr="00661696" w:rsidP="009E19B1" w14:paraId="42EB4227" w14:textId="77777777">
            <w:pPr>
              <w:jc w:val="right"/>
              <w:rPr>
                <w:color w:val="000000"/>
                <w:sz w:val="16"/>
                <w:szCs w:val="16"/>
              </w:rPr>
            </w:pPr>
            <w:r w:rsidRPr="00661696">
              <w:rPr>
                <w:color w:val="000000"/>
                <w:sz w:val="16"/>
                <w:szCs w:val="16"/>
              </w:rPr>
              <w:t>18.7</w:t>
            </w:r>
          </w:p>
        </w:tc>
      </w:tr>
      <w:tr w14:paraId="43846409"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2EA2454B" w14:textId="77777777">
            <w:pPr>
              <w:rPr>
                <w:sz w:val="16"/>
                <w:szCs w:val="16"/>
              </w:rPr>
            </w:pPr>
          </w:p>
        </w:tc>
        <w:tc>
          <w:tcPr>
            <w:tcW w:w="1800" w:type="dxa"/>
            <w:vMerge/>
            <w:shd w:val="clear" w:color="auto" w:fill="auto"/>
            <w:noWrap/>
            <w:vAlign w:val="center"/>
          </w:tcPr>
          <w:p w:rsidR="00A15716" w:rsidRPr="00661696" w:rsidP="009E19B1" w14:paraId="22491C53" w14:textId="6E371B7B">
            <w:pPr>
              <w:jc w:val="right"/>
              <w:rPr>
                <w:color w:val="000000"/>
                <w:sz w:val="16"/>
                <w:szCs w:val="16"/>
              </w:rPr>
            </w:pPr>
          </w:p>
        </w:tc>
        <w:tc>
          <w:tcPr>
            <w:tcW w:w="1726" w:type="dxa"/>
            <w:vMerge/>
            <w:shd w:val="clear" w:color="auto" w:fill="auto"/>
            <w:noWrap/>
            <w:vAlign w:val="center"/>
          </w:tcPr>
          <w:p w:rsidR="00A15716" w:rsidRPr="00661696" w:rsidP="009E19B1" w14:paraId="69D059F7" w14:textId="177BDD01">
            <w:pPr>
              <w:jc w:val="right"/>
              <w:rPr>
                <w:color w:val="000000"/>
                <w:sz w:val="16"/>
                <w:szCs w:val="16"/>
              </w:rPr>
            </w:pPr>
          </w:p>
        </w:tc>
        <w:tc>
          <w:tcPr>
            <w:tcW w:w="1823" w:type="dxa"/>
            <w:vMerge/>
            <w:shd w:val="clear" w:color="auto" w:fill="auto"/>
            <w:noWrap/>
            <w:vAlign w:val="center"/>
          </w:tcPr>
          <w:p w:rsidR="00A15716" w:rsidRPr="00661696" w:rsidP="009E19B1" w14:paraId="7918534F" w14:textId="5697C560">
            <w:pPr>
              <w:jc w:val="right"/>
              <w:rPr>
                <w:color w:val="000000"/>
                <w:sz w:val="16"/>
                <w:szCs w:val="16"/>
              </w:rPr>
            </w:pPr>
          </w:p>
        </w:tc>
        <w:tc>
          <w:tcPr>
            <w:tcW w:w="1408" w:type="dxa"/>
            <w:shd w:val="clear" w:color="auto" w:fill="auto"/>
            <w:noWrap/>
            <w:vAlign w:val="center"/>
            <w:hideMark/>
          </w:tcPr>
          <w:p w:rsidR="00A15716" w:rsidRPr="00661696" w:rsidP="009E19B1" w14:paraId="35410432" w14:textId="77777777">
            <w:pPr>
              <w:jc w:val="right"/>
              <w:rPr>
                <w:color w:val="000000"/>
                <w:sz w:val="16"/>
                <w:szCs w:val="16"/>
              </w:rPr>
            </w:pPr>
            <w:r w:rsidRPr="00661696">
              <w:rPr>
                <w:color w:val="000000"/>
                <w:sz w:val="16"/>
                <w:szCs w:val="16"/>
              </w:rPr>
              <w:t>5.0</w:t>
            </w:r>
          </w:p>
        </w:tc>
        <w:tc>
          <w:tcPr>
            <w:tcW w:w="1210" w:type="dxa"/>
            <w:shd w:val="clear" w:color="auto" w:fill="auto"/>
            <w:noWrap/>
            <w:vAlign w:val="center"/>
            <w:hideMark/>
          </w:tcPr>
          <w:p w:rsidR="00A15716" w:rsidRPr="00661696" w:rsidP="009E19B1" w14:paraId="1A4ACDCE" w14:textId="77777777">
            <w:pPr>
              <w:jc w:val="right"/>
              <w:rPr>
                <w:color w:val="000000"/>
                <w:sz w:val="16"/>
                <w:szCs w:val="16"/>
              </w:rPr>
            </w:pPr>
            <w:r w:rsidRPr="00661696">
              <w:rPr>
                <w:color w:val="000000"/>
                <w:sz w:val="16"/>
                <w:szCs w:val="16"/>
              </w:rPr>
              <w:t>2.7</w:t>
            </w:r>
          </w:p>
        </w:tc>
        <w:tc>
          <w:tcPr>
            <w:tcW w:w="958" w:type="dxa"/>
            <w:shd w:val="clear" w:color="000000" w:fill="FFC7CE"/>
            <w:noWrap/>
            <w:vAlign w:val="center"/>
            <w:hideMark/>
          </w:tcPr>
          <w:p w:rsidR="00A15716" w:rsidRPr="00661696" w:rsidP="009E19B1" w14:paraId="42C610EE" w14:textId="77777777">
            <w:pPr>
              <w:jc w:val="right"/>
              <w:rPr>
                <w:color w:val="9C0006"/>
                <w:sz w:val="16"/>
                <w:szCs w:val="16"/>
              </w:rPr>
            </w:pPr>
            <w:r w:rsidRPr="00661696">
              <w:rPr>
                <w:color w:val="9C0006"/>
                <w:sz w:val="16"/>
                <w:szCs w:val="16"/>
              </w:rPr>
              <w:t>27.2</w:t>
            </w:r>
          </w:p>
        </w:tc>
      </w:tr>
      <w:tr w14:paraId="73EFD448" w14:textId="77777777" w:rsidTr="0067576E">
        <w:tblPrEx>
          <w:tblW w:w="10620" w:type="dxa"/>
          <w:tblInd w:w="-360" w:type="dxa"/>
          <w:tblLook w:val="04A0"/>
        </w:tblPrEx>
        <w:trPr>
          <w:trHeight w:val="20"/>
        </w:trPr>
        <w:tc>
          <w:tcPr>
            <w:tcW w:w="1695" w:type="dxa"/>
            <w:vMerge w:val="restart"/>
            <w:shd w:val="clear" w:color="auto" w:fill="auto"/>
            <w:noWrap/>
            <w:vAlign w:val="center"/>
            <w:hideMark/>
          </w:tcPr>
          <w:p w:rsidR="00A15716" w:rsidRPr="00E57E91" w:rsidP="009E19B1" w14:paraId="47E31E1B" w14:textId="7D08146E">
            <w:pPr>
              <w:rPr>
                <w:color w:val="000000"/>
                <w:sz w:val="16"/>
                <w:szCs w:val="16"/>
                <w:vertAlign w:val="superscript"/>
              </w:rPr>
            </w:pPr>
            <w:r w:rsidRPr="00661696">
              <w:rPr>
                <w:color w:val="000000"/>
                <w:sz w:val="16"/>
                <w:szCs w:val="16"/>
              </w:rPr>
              <w:t xml:space="preserve">1.b </w:t>
            </w:r>
            <w:r w:rsidR="00C47A81">
              <w:rPr>
                <w:color w:val="000000"/>
                <w:sz w:val="16"/>
                <w:szCs w:val="16"/>
              </w:rPr>
              <w:t>–</w:t>
            </w:r>
            <w:r w:rsidRPr="00661696">
              <w:rPr>
                <w:color w:val="000000"/>
                <w:sz w:val="16"/>
                <w:szCs w:val="16"/>
              </w:rPr>
              <w:t xml:space="preserve"> </w:t>
            </w:r>
            <w:r w:rsidR="00972204">
              <w:rPr>
                <w:color w:val="000000"/>
                <w:sz w:val="16"/>
                <w:szCs w:val="16"/>
              </w:rPr>
              <w:t>poultry</w:t>
            </w:r>
            <w:r w:rsidR="00C47A81">
              <w:rPr>
                <w:color w:val="000000"/>
                <w:sz w:val="16"/>
                <w:szCs w:val="16"/>
                <w:vertAlign w:val="superscript"/>
              </w:rPr>
              <w:t>5</w:t>
            </w:r>
          </w:p>
        </w:tc>
        <w:tc>
          <w:tcPr>
            <w:tcW w:w="1800" w:type="dxa"/>
            <w:vMerge w:val="restart"/>
            <w:shd w:val="clear" w:color="auto" w:fill="auto"/>
            <w:noWrap/>
            <w:vAlign w:val="center"/>
            <w:hideMark/>
          </w:tcPr>
          <w:p w:rsidR="00A15716" w:rsidRPr="00661696" w:rsidP="009E19B1" w14:paraId="6F06D071" w14:textId="77777777">
            <w:pPr>
              <w:jc w:val="right"/>
              <w:rPr>
                <w:color w:val="000000"/>
                <w:sz w:val="16"/>
                <w:szCs w:val="16"/>
              </w:rPr>
            </w:pPr>
            <w:r w:rsidRPr="00661696">
              <w:rPr>
                <w:color w:val="000000"/>
                <w:sz w:val="16"/>
                <w:szCs w:val="16"/>
              </w:rPr>
              <w:t>4,869,698</w:t>
            </w:r>
          </w:p>
        </w:tc>
        <w:tc>
          <w:tcPr>
            <w:tcW w:w="1726" w:type="dxa"/>
            <w:vMerge w:val="restart"/>
            <w:shd w:val="clear" w:color="auto" w:fill="auto"/>
            <w:noWrap/>
            <w:vAlign w:val="center"/>
            <w:hideMark/>
          </w:tcPr>
          <w:p w:rsidR="00A15716" w:rsidRPr="00661696" w:rsidP="009E19B1" w14:paraId="737768B2" w14:textId="77777777">
            <w:pPr>
              <w:jc w:val="right"/>
              <w:rPr>
                <w:color w:val="000000"/>
                <w:sz w:val="16"/>
                <w:szCs w:val="16"/>
              </w:rPr>
            </w:pPr>
            <w:r w:rsidRPr="00661696">
              <w:rPr>
                <w:color w:val="000000"/>
                <w:sz w:val="16"/>
                <w:szCs w:val="16"/>
              </w:rPr>
              <w:t>560</w:t>
            </w:r>
          </w:p>
        </w:tc>
        <w:tc>
          <w:tcPr>
            <w:tcW w:w="1823" w:type="dxa"/>
            <w:vMerge w:val="restart"/>
            <w:shd w:val="clear" w:color="auto" w:fill="auto"/>
            <w:noWrap/>
            <w:vAlign w:val="center"/>
            <w:hideMark/>
          </w:tcPr>
          <w:p w:rsidR="00A15716" w:rsidRPr="00661696" w:rsidP="009E19B1" w14:paraId="46F8795D" w14:textId="77777777">
            <w:pPr>
              <w:jc w:val="right"/>
              <w:rPr>
                <w:color w:val="000000"/>
                <w:sz w:val="16"/>
                <w:szCs w:val="16"/>
              </w:rPr>
            </w:pPr>
            <w:r w:rsidRPr="00661696">
              <w:rPr>
                <w:color w:val="000000"/>
                <w:sz w:val="16"/>
                <w:szCs w:val="16"/>
              </w:rPr>
              <w:t>3.0</w:t>
            </w:r>
          </w:p>
        </w:tc>
        <w:tc>
          <w:tcPr>
            <w:tcW w:w="1408" w:type="dxa"/>
            <w:shd w:val="clear" w:color="auto" w:fill="auto"/>
            <w:noWrap/>
            <w:vAlign w:val="center"/>
            <w:hideMark/>
          </w:tcPr>
          <w:p w:rsidR="00A15716" w:rsidRPr="00661696" w:rsidP="009E19B1" w14:paraId="4554B2A3" w14:textId="77777777">
            <w:pPr>
              <w:jc w:val="right"/>
              <w:rPr>
                <w:color w:val="000000"/>
                <w:sz w:val="16"/>
                <w:szCs w:val="16"/>
              </w:rPr>
            </w:pPr>
            <w:r w:rsidRPr="00661696">
              <w:rPr>
                <w:color w:val="000000"/>
                <w:sz w:val="16"/>
                <w:szCs w:val="16"/>
              </w:rPr>
              <w:t>50.0</w:t>
            </w:r>
          </w:p>
        </w:tc>
        <w:tc>
          <w:tcPr>
            <w:tcW w:w="1210" w:type="dxa"/>
            <w:shd w:val="clear" w:color="auto" w:fill="auto"/>
            <w:noWrap/>
            <w:vAlign w:val="center"/>
            <w:hideMark/>
          </w:tcPr>
          <w:p w:rsidR="00A15716" w:rsidRPr="00661696" w:rsidP="009E19B1" w14:paraId="5D55E67D" w14:textId="77777777">
            <w:pPr>
              <w:jc w:val="right"/>
              <w:rPr>
                <w:color w:val="000000"/>
                <w:sz w:val="16"/>
                <w:szCs w:val="16"/>
              </w:rPr>
            </w:pPr>
            <w:r w:rsidRPr="00661696">
              <w:rPr>
                <w:color w:val="000000"/>
                <w:sz w:val="16"/>
                <w:szCs w:val="16"/>
              </w:rPr>
              <w:t>7.2</w:t>
            </w:r>
          </w:p>
        </w:tc>
        <w:tc>
          <w:tcPr>
            <w:tcW w:w="958" w:type="dxa"/>
            <w:shd w:val="clear" w:color="auto" w:fill="auto"/>
            <w:noWrap/>
            <w:vAlign w:val="center"/>
            <w:hideMark/>
          </w:tcPr>
          <w:p w:rsidR="00A15716" w:rsidRPr="00661696" w:rsidP="009E19B1" w14:paraId="437829FE" w14:textId="77777777">
            <w:pPr>
              <w:jc w:val="right"/>
              <w:rPr>
                <w:color w:val="000000"/>
                <w:sz w:val="16"/>
                <w:szCs w:val="16"/>
              </w:rPr>
            </w:pPr>
            <w:r w:rsidRPr="00661696">
              <w:rPr>
                <w:color w:val="000000"/>
                <w:sz w:val="16"/>
                <w:szCs w:val="16"/>
              </w:rPr>
              <w:t>7.3</w:t>
            </w:r>
          </w:p>
        </w:tc>
      </w:tr>
      <w:tr w14:paraId="41C2E174"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39A41E2D" w14:textId="77777777">
            <w:pPr>
              <w:rPr>
                <w:sz w:val="16"/>
                <w:szCs w:val="16"/>
              </w:rPr>
            </w:pPr>
          </w:p>
        </w:tc>
        <w:tc>
          <w:tcPr>
            <w:tcW w:w="1800" w:type="dxa"/>
            <w:vMerge/>
            <w:shd w:val="clear" w:color="auto" w:fill="auto"/>
            <w:noWrap/>
            <w:vAlign w:val="center"/>
          </w:tcPr>
          <w:p w:rsidR="00A15716" w:rsidRPr="00661696" w:rsidP="009E19B1" w14:paraId="68266D07" w14:textId="3E1372C7">
            <w:pPr>
              <w:jc w:val="right"/>
              <w:rPr>
                <w:color w:val="000000"/>
                <w:sz w:val="16"/>
                <w:szCs w:val="16"/>
              </w:rPr>
            </w:pPr>
          </w:p>
        </w:tc>
        <w:tc>
          <w:tcPr>
            <w:tcW w:w="1726" w:type="dxa"/>
            <w:vMerge/>
            <w:shd w:val="clear" w:color="auto" w:fill="auto"/>
            <w:noWrap/>
            <w:vAlign w:val="center"/>
          </w:tcPr>
          <w:p w:rsidR="00A15716" w:rsidRPr="00661696" w:rsidP="009E19B1" w14:paraId="253186BA" w14:textId="1EB78161">
            <w:pPr>
              <w:jc w:val="right"/>
              <w:rPr>
                <w:color w:val="000000"/>
                <w:sz w:val="16"/>
                <w:szCs w:val="16"/>
              </w:rPr>
            </w:pPr>
          </w:p>
        </w:tc>
        <w:tc>
          <w:tcPr>
            <w:tcW w:w="1823" w:type="dxa"/>
            <w:vMerge/>
            <w:shd w:val="clear" w:color="auto" w:fill="auto"/>
            <w:noWrap/>
            <w:vAlign w:val="center"/>
          </w:tcPr>
          <w:p w:rsidR="00A15716" w:rsidRPr="00661696" w:rsidP="009E19B1" w14:paraId="780A5799" w14:textId="46F4218A">
            <w:pPr>
              <w:jc w:val="right"/>
              <w:rPr>
                <w:color w:val="000000"/>
                <w:sz w:val="16"/>
                <w:szCs w:val="16"/>
              </w:rPr>
            </w:pPr>
          </w:p>
        </w:tc>
        <w:tc>
          <w:tcPr>
            <w:tcW w:w="1408" w:type="dxa"/>
            <w:shd w:val="clear" w:color="auto" w:fill="auto"/>
            <w:noWrap/>
            <w:vAlign w:val="center"/>
            <w:hideMark/>
          </w:tcPr>
          <w:p w:rsidR="00A15716" w:rsidRPr="00661696" w:rsidP="009E19B1" w14:paraId="3FCF741B" w14:textId="77777777">
            <w:pPr>
              <w:jc w:val="right"/>
              <w:rPr>
                <w:color w:val="000000"/>
                <w:sz w:val="16"/>
                <w:szCs w:val="16"/>
              </w:rPr>
            </w:pPr>
            <w:r w:rsidRPr="00661696">
              <w:rPr>
                <w:color w:val="000000"/>
                <w:sz w:val="16"/>
                <w:szCs w:val="16"/>
              </w:rPr>
              <w:t>25.0</w:t>
            </w:r>
          </w:p>
        </w:tc>
        <w:tc>
          <w:tcPr>
            <w:tcW w:w="1210" w:type="dxa"/>
            <w:shd w:val="clear" w:color="auto" w:fill="auto"/>
            <w:noWrap/>
            <w:vAlign w:val="center"/>
            <w:hideMark/>
          </w:tcPr>
          <w:p w:rsidR="00A15716" w:rsidRPr="00661696" w:rsidP="009E19B1" w14:paraId="14A5FC77" w14:textId="77777777">
            <w:pPr>
              <w:jc w:val="right"/>
              <w:rPr>
                <w:color w:val="000000"/>
                <w:sz w:val="16"/>
                <w:szCs w:val="16"/>
              </w:rPr>
            </w:pPr>
            <w:r w:rsidRPr="00661696">
              <w:rPr>
                <w:color w:val="000000"/>
                <w:sz w:val="16"/>
                <w:szCs w:val="16"/>
              </w:rPr>
              <w:t>6.2</w:t>
            </w:r>
          </w:p>
        </w:tc>
        <w:tc>
          <w:tcPr>
            <w:tcW w:w="958" w:type="dxa"/>
            <w:shd w:val="clear" w:color="auto" w:fill="auto"/>
            <w:noWrap/>
            <w:vAlign w:val="center"/>
            <w:hideMark/>
          </w:tcPr>
          <w:p w:rsidR="00A15716" w:rsidRPr="00661696" w:rsidP="009E19B1" w14:paraId="3ED30DBD" w14:textId="77777777">
            <w:pPr>
              <w:jc w:val="right"/>
              <w:rPr>
                <w:color w:val="000000"/>
                <w:sz w:val="16"/>
                <w:szCs w:val="16"/>
              </w:rPr>
            </w:pPr>
            <w:r w:rsidRPr="00661696">
              <w:rPr>
                <w:color w:val="000000"/>
                <w:sz w:val="16"/>
                <w:szCs w:val="16"/>
              </w:rPr>
              <w:t>12.7</w:t>
            </w:r>
          </w:p>
        </w:tc>
      </w:tr>
      <w:tr w14:paraId="69C402A8"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52EFE847" w14:textId="77777777">
            <w:pPr>
              <w:rPr>
                <w:sz w:val="16"/>
                <w:szCs w:val="16"/>
              </w:rPr>
            </w:pPr>
          </w:p>
        </w:tc>
        <w:tc>
          <w:tcPr>
            <w:tcW w:w="1800" w:type="dxa"/>
            <w:vMerge/>
            <w:shd w:val="clear" w:color="auto" w:fill="auto"/>
            <w:noWrap/>
            <w:vAlign w:val="center"/>
          </w:tcPr>
          <w:p w:rsidR="00A15716" w:rsidRPr="00661696" w:rsidP="009E19B1" w14:paraId="58AECC39" w14:textId="0B2722F3">
            <w:pPr>
              <w:jc w:val="right"/>
              <w:rPr>
                <w:color w:val="000000"/>
                <w:sz w:val="16"/>
                <w:szCs w:val="16"/>
              </w:rPr>
            </w:pPr>
          </w:p>
        </w:tc>
        <w:tc>
          <w:tcPr>
            <w:tcW w:w="1726" w:type="dxa"/>
            <w:vMerge/>
            <w:shd w:val="clear" w:color="auto" w:fill="auto"/>
            <w:noWrap/>
            <w:vAlign w:val="center"/>
          </w:tcPr>
          <w:p w:rsidR="00A15716" w:rsidRPr="00661696" w:rsidP="009E19B1" w14:paraId="44DD9E25" w14:textId="56AAEEA0">
            <w:pPr>
              <w:jc w:val="right"/>
              <w:rPr>
                <w:color w:val="000000"/>
                <w:sz w:val="16"/>
                <w:szCs w:val="16"/>
              </w:rPr>
            </w:pPr>
          </w:p>
        </w:tc>
        <w:tc>
          <w:tcPr>
            <w:tcW w:w="1823" w:type="dxa"/>
            <w:vMerge/>
            <w:shd w:val="clear" w:color="auto" w:fill="auto"/>
            <w:noWrap/>
            <w:vAlign w:val="center"/>
          </w:tcPr>
          <w:p w:rsidR="00A15716" w:rsidRPr="00661696" w:rsidP="009E19B1" w14:paraId="0508B974" w14:textId="00EB1C57">
            <w:pPr>
              <w:jc w:val="right"/>
              <w:rPr>
                <w:color w:val="000000"/>
                <w:sz w:val="16"/>
                <w:szCs w:val="16"/>
              </w:rPr>
            </w:pPr>
          </w:p>
        </w:tc>
        <w:tc>
          <w:tcPr>
            <w:tcW w:w="1408" w:type="dxa"/>
            <w:shd w:val="clear" w:color="auto" w:fill="auto"/>
            <w:noWrap/>
            <w:vAlign w:val="center"/>
            <w:hideMark/>
          </w:tcPr>
          <w:p w:rsidR="00A15716" w:rsidRPr="00661696" w:rsidP="009E19B1" w14:paraId="3ABF399C" w14:textId="77777777">
            <w:pPr>
              <w:jc w:val="right"/>
              <w:rPr>
                <w:color w:val="000000"/>
                <w:sz w:val="16"/>
                <w:szCs w:val="16"/>
              </w:rPr>
            </w:pPr>
            <w:r w:rsidRPr="00661696">
              <w:rPr>
                <w:color w:val="000000"/>
                <w:sz w:val="16"/>
                <w:szCs w:val="16"/>
              </w:rPr>
              <w:t>10.0</w:t>
            </w:r>
          </w:p>
        </w:tc>
        <w:tc>
          <w:tcPr>
            <w:tcW w:w="1210" w:type="dxa"/>
            <w:shd w:val="clear" w:color="auto" w:fill="auto"/>
            <w:noWrap/>
            <w:vAlign w:val="center"/>
            <w:hideMark/>
          </w:tcPr>
          <w:p w:rsidR="00A15716" w:rsidRPr="00661696" w:rsidP="009E19B1" w14:paraId="5511DE6D" w14:textId="77777777">
            <w:pPr>
              <w:jc w:val="right"/>
              <w:rPr>
                <w:color w:val="000000"/>
                <w:sz w:val="16"/>
                <w:szCs w:val="16"/>
              </w:rPr>
            </w:pPr>
            <w:r w:rsidRPr="00661696">
              <w:rPr>
                <w:color w:val="000000"/>
                <w:sz w:val="16"/>
                <w:szCs w:val="16"/>
              </w:rPr>
              <w:t>4.3</w:t>
            </w:r>
          </w:p>
        </w:tc>
        <w:tc>
          <w:tcPr>
            <w:tcW w:w="958" w:type="dxa"/>
            <w:shd w:val="clear" w:color="000000" w:fill="FFC7CE"/>
            <w:noWrap/>
            <w:vAlign w:val="center"/>
            <w:hideMark/>
          </w:tcPr>
          <w:p w:rsidR="00A15716" w:rsidRPr="00661696" w:rsidP="009E19B1" w14:paraId="298EE3C0" w14:textId="77777777">
            <w:pPr>
              <w:jc w:val="right"/>
              <w:rPr>
                <w:color w:val="9C0006"/>
                <w:sz w:val="16"/>
                <w:szCs w:val="16"/>
              </w:rPr>
            </w:pPr>
            <w:r w:rsidRPr="00661696">
              <w:rPr>
                <w:color w:val="9C0006"/>
                <w:sz w:val="16"/>
                <w:szCs w:val="16"/>
              </w:rPr>
              <w:t>22.0</w:t>
            </w:r>
          </w:p>
        </w:tc>
      </w:tr>
      <w:tr w14:paraId="06A74DB1"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5DF6BD84" w14:textId="77777777">
            <w:pPr>
              <w:rPr>
                <w:sz w:val="16"/>
                <w:szCs w:val="16"/>
              </w:rPr>
            </w:pPr>
          </w:p>
        </w:tc>
        <w:tc>
          <w:tcPr>
            <w:tcW w:w="1800" w:type="dxa"/>
            <w:vMerge/>
            <w:shd w:val="clear" w:color="auto" w:fill="auto"/>
            <w:noWrap/>
            <w:vAlign w:val="center"/>
          </w:tcPr>
          <w:p w:rsidR="00A15716" w:rsidRPr="00661696" w:rsidP="009E19B1" w14:paraId="5DD14E9D" w14:textId="777471E8">
            <w:pPr>
              <w:jc w:val="right"/>
              <w:rPr>
                <w:color w:val="000000"/>
                <w:sz w:val="16"/>
                <w:szCs w:val="16"/>
              </w:rPr>
            </w:pPr>
          </w:p>
        </w:tc>
        <w:tc>
          <w:tcPr>
            <w:tcW w:w="1726" w:type="dxa"/>
            <w:vMerge/>
            <w:shd w:val="clear" w:color="auto" w:fill="auto"/>
            <w:noWrap/>
            <w:vAlign w:val="center"/>
          </w:tcPr>
          <w:p w:rsidR="00A15716" w:rsidRPr="00661696" w:rsidP="009E19B1" w14:paraId="41C1B8D3" w14:textId="401FB6BC">
            <w:pPr>
              <w:jc w:val="right"/>
              <w:rPr>
                <w:color w:val="000000"/>
                <w:sz w:val="16"/>
                <w:szCs w:val="16"/>
              </w:rPr>
            </w:pPr>
          </w:p>
        </w:tc>
        <w:tc>
          <w:tcPr>
            <w:tcW w:w="1823" w:type="dxa"/>
            <w:vMerge/>
            <w:shd w:val="clear" w:color="auto" w:fill="auto"/>
            <w:noWrap/>
            <w:vAlign w:val="center"/>
          </w:tcPr>
          <w:p w:rsidR="00A15716" w:rsidRPr="00661696" w:rsidP="009E19B1" w14:paraId="3FDC3DAF" w14:textId="769152BB">
            <w:pPr>
              <w:jc w:val="right"/>
              <w:rPr>
                <w:color w:val="000000"/>
                <w:sz w:val="16"/>
                <w:szCs w:val="16"/>
              </w:rPr>
            </w:pPr>
          </w:p>
        </w:tc>
        <w:tc>
          <w:tcPr>
            <w:tcW w:w="1408" w:type="dxa"/>
            <w:shd w:val="clear" w:color="auto" w:fill="auto"/>
            <w:noWrap/>
            <w:vAlign w:val="center"/>
            <w:hideMark/>
          </w:tcPr>
          <w:p w:rsidR="00A15716" w:rsidRPr="00661696" w:rsidP="009E19B1" w14:paraId="7F3743E7" w14:textId="77777777">
            <w:pPr>
              <w:jc w:val="right"/>
              <w:rPr>
                <w:color w:val="000000"/>
                <w:sz w:val="16"/>
                <w:szCs w:val="16"/>
              </w:rPr>
            </w:pPr>
            <w:r w:rsidRPr="00661696">
              <w:rPr>
                <w:color w:val="000000"/>
                <w:sz w:val="16"/>
                <w:szCs w:val="16"/>
              </w:rPr>
              <w:t>5.0</w:t>
            </w:r>
          </w:p>
        </w:tc>
        <w:tc>
          <w:tcPr>
            <w:tcW w:w="1210" w:type="dxa"/>
            <w:shd w:val="clear" w:color="auto" w:fill="auto"/>
            <w:noWrap/>
            <w:vAlign w:val="center"/>
            <w:hideMark/>
          </w:tcPr>
          <w:p w:rsidR="00A15716" w:rsidRPr="00661696" w:rsidP="009E19B1" w14:paraId="0634F340" w14:textId="77777777">
            <w:pPr>
              <w:jc w:val="right"/>
              <w:rPr>
                <w:color w:val="000000"/>
                <w:sz w:val="16"/>
                <w:szCs w:val="16"/>
              </w:rPr>
            </w:pPr>
            <w:r w:rsidRPr="00661696">
              <w:rPr>
                <w:color w:val="000000"/>
                <w:sz w:val="16"/>
                <w:szCs w:val="16"/>
              </w:rPr>
              <w:t>3.1</w:t>
            </w:r>
          </w:p>
        </w:tc>
        <w:tc>
          <w:tcPr>
            <w:tcW w:w="958" w:type="dxa"/>
            <w:shd w:val="clear" w:color="000000" w:fill="FFC7CE"/>
            <w:noWrap/>
            <w:vAlign w:val="center"/>
            <w:hideMark/>
          </w:tcPr>
          <w:p w:rsidR="00A15716" w:rsidRPr="00661696" w:rsidP="009E19B1" w14:paraId="38649B51" w14:textId="77777777">
            <w:pPr>
              <w:jc w:val="right"/>
              <w:rPr>
                <w:color w:val="9C0006"/>
                <w:sz w:val="16"/>
                <w:szCs w:val="16"/>
              </w:rPr>
            </w:pPr>
            <w:r w:rsidRPr="00661696">
              <w:rPr>
                <w:color w:val="9C0006"/>
                <w:sz w:val="16"/>
                <w:szCs w:val="16"/>
              </w:rPr>
              <w:t>31.9</w:t>
            </w:r>
          </w:p>
        </w:tc>
      </w:tr>
      <w:tr w14:paraId="6E11AE6B" w14:textId="77777777" w:rsidTr="0067576E">
        <w:tblPrEx>
          <w:tblW w:w="10620" w:type="dxa"/>
          <w:tblInd w:w="-360" w:type="dxa"/>
          <w:tblLook w:val="04A0"/>
        </w:tblPrEx>
        <w:trPr>
          <w:trHeight w:val="20"/>
        </w:trPr>
        <w:tc>
          <w:tcPr>
            <w:tcW w:w="1695" w:type="dxa"/>
            <w:vMerge w:val="restart"/>
            <w:shd w:val="clear" w:color="auto" w:fill="auto"/>
            <w:noWrap/>
            <w:vAlign w:val="center"/>
            <w:hideMark/>
          </w:tcPr>
          <w:p w:rsidR="00A15716" w:rsidRPr="00661696" w:rsidP="009E19B1" w14:paraId="356BDB49" w14:textId="77777777">
            <w:pPr>
              <w:rPr>
                <w:color w:val="000000"/>
                <w:sz w:val="16"/>
                <w:szCs w:val="16"/>
              </w:rPr>
            </w:pPr>
            <w:r w:rsidRPr="00661696">
              <w:rPr>
                <w:color w:val="000000"/>
                <w:sz w:val="16"/>
                <w:szCs w:val="16"/>
              </w:rPr>
              <w:t>1.b - rabbits</w:t>
            </w:r>
          </w:p>
        </w:tc>
        <w:tc>
          <w:tcPr>
            <w:tcW w:w="1800" w:type="dxa"/>
            <w:vMerge w:val="restart"/>
            <w:shd w:val="clear" w:color="auto" w:fill="auto"/>
            <w:noWrap/>
            <w:vAlign w:val="center"/>
            <w:hideMark/>
          </w:tcPr>
          <w:p w:rsidR="00A15716" w:rsidRPr="00661696" w:rsidP="009E19B1" w14:paraId="05C8529E" w14:textId="77777777">
            <w:pPr>
              <w:jc w:val="right"/>
              <w:rPr>
                <w:color w:val="000000"/>
                <w:sz w:val="16"/>
                <w:szCs w:val="16"/>
              </w:rPr>
            </w:pPr>
            <w:r w:rsidRPr="00661696">
              <w:rPr>
                <w:color w:val="000000"/>
                <w:sz w:val="16"/>
                <w:szCs w:val="16"/>
              </w:rPr>
              <w:t>2,067,786</w:t>
            </w:r>
          </w:p>
        </w:tc>
        <w:tc>
          <w:tcPr>
            <w:tcW w:w="1726" w:type="dxa"/>
            <w:vMerge w:val="restart"/>
            <w:shd w:val="clear" w:color="auto" w:fill="auto"/>
            <w:noWrap/>
            <w:vAlign w:val="center"/>
            <w:hideMark/>
          </w:tcPr>
          <w:p w:rsidR="00A15716" w:rsidRPr="00661696" w:rsidP="009E19B1" w14:paraId="71163BBB" w14:textId="77777777">
            <w:pPr>
              <w:jc w:val="right"/>
              <w:rPr>
                <w:color w:val="000000"/>
                <w:sz w:val="16"/>
                <w:szCs w:val="16"/>
              </w:rPr>
            </w:pPr>
            <w:r w:rsidRPr="00661696">
              <w:rPr>
                <w:color w:val="000000"/>
                <w:sz w:val="16"/>
                <w:szCs w:val="16"/>
              </w:rPr>
              <w:t>238</w:t>
            </w:r>
          </w:p>
        </w:tc>
        <w:tc>
          <w:tcPr>
            <w:tcW w:w="1823" w:type="dxa"/>
            <w:vMerge w:val="restart"/>
            <w:shd w:val="clear" w:color="auto" w:fill="auto"/>
            <w:noWrap/>
            <w:vAlign w:val="center"/>
            <w:hideMark/>
          </w:tcPr>
          <w:p w:rsidR="00A15716" w:rsidRPr="00661696" w:rsidP="009E19B1" w14:paraId="7CFE67F2" w14:textId="77777777">
            <w:pPr>
              <w:jc w:val="right"/>
              <w:rPr>
                <w:color w:val="000000"/>
                <w:sz w:val="16"/>
                <w:szCs w:val="16"/>
              </w:rPr>
            </w:pPr>
            <w:r w:rsidRPr="00661696">
              <w:rPr>
                <w:color w:val="000000"/>
                <w:sz w:val="16"/>
                <w:szCs w:val="16"/>
              </w:rPr>
              <w:t>3.0</w:t>
            </w:r>
          </w:p>
        </w:tc>
        <w:tc>
          <w:tcPr>
            <w:tcW w:w="1408" w:type="dxa"/>
            <w:shd w:val="clear" w:color="auto" w:fill="auto"/>
            <w:noWrap/>
            <w:vAlign w:val="center"/>
            <w:hideMark/>
          </w:tcPr>
          <w:p w:rsidR="00A15716" w:rsidRPr="00661696" w:rsidP="009E19B1" w14:paraId="46E6A839" w14:textId="77777777">
            <w:pPr>
              <w:jc w:val="right"/>
              <w:rPr>
                <w:color w:val="000000"/>
                <w:sz w:val="16"/>
                <w:szCs w:val="16"/>
              </w:rPr>
            </w:pPr>
            <w:r w:rsidRPr="00661696">
              <w:rPr>
                <w:color w:val="000000"/>
                <w:sz w:val="16"/>
                <w:szCs w:val="16"/>
              </w:rPr>
              <w:t>50.0</w:t>
            </w:r>
          </w:p>
        </w:tc>
        <w:tc>
          <w:tcPr>
            <w:tcW w:w="1210" w:type="dxa"/>
            <w:shd w:val="clear" w:color="auto" w:fill="auto"/>
            <w:noWrap/>
            <w:vAlign w:val="center"/>
            <w:hideMark/>
          </w:tcPr>
          <w:p w:rsidR="00A15716" w:rsidRPr="00661696" w:rsidP="009E19B1" w14:paraId="19D06F8C" w14:textId="77777777">
            <w:pPr>
              <w:jc w:val="right"/>
              <w:rPr>
                <w:color w:val="000000"/>
                <w:sz w:val="16"/>
                <w:szCs w:val="16"/>
              </w:rPr>
            </w:pPr>
            <w:r w:rsidRPr="00661696">
              <w:rPr>
                <w:color w:val="000000"/>
                <w:sz w:val="16"/>
                <w:szCs w:val="16"/>
              </w:rPr>
              <w:t>11.0</w:t>
            </w:r>
          </w:p>
        </w:tc>
        <w:tc>
          <w:tcPr>
            <w:tcW w:w="958" w:type="dxa"/>
            <w:shd w:val="clear" w:color="auto" w:fill="auto"/>
            <w:noWrap/>
            <w:vAlign w:val="center"/>
            <w:hideMark/>
          </w:tcPr>
          <w:p w:rsidR="00A15716" w:rsidRPr="00661696" w:rsidP="009E19B1" w14:paraId="6C54035B" w14:textId="77777777">
            <w:pPr>
              <w:jc w:val="right"/>
              <w:rPr>
                <w:color w:val="000000"/>
                <w:sz w:val="16"/>
                <w:szCs w:val="16"/>
              </w:rPr>
            </w:pPr>
            <w:r w:rsidRPr="00661696">
              <w:rPr>
                <w:color w:val="000000"/>
                <w:sz w:val="16"/>
                <w:szCs w:val="16"/>
              </w:rPr>
              <w:t>11.2</w:t>
            </w:r>
          </w:p>
        </w:tc>
      </w:tr>
      <w:tr w14:paraId="53436EFF"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0FCDC7B4" w14:textId="77777777">
            <w:pPr>
              <w:rPr>
                <w:sz w:val="16"/>
                <w:szCs w:val="16"/>
              </w:rPr>
            </w:pPr>
          </w:p>
        </w:tc>
        <w:tc>
          <w:tcPr>
            <w:tcW w:w="1800" w:type="dxa"/>
            <w:vMerge/>
            <w:shd w:val="clear" w:color="auto" w:fill="auto"/>
            <w:noWrap/>
            <w:vAlign w:val="center"/>
          </w:tcPr>
          <w:p w:rsidR="00A15716" w:rsidRPr="00661696" w:rsidP="009E19B1" w14:paraId="647300A2" w14:textId="6BC69958">
            <w:pPr>
              <w:jc w:val="right"/>
              <w:rPr>
                <w:color w:val="000000"/>
                <w:sz w:val="16"/>
                <w:szCs w:val="16"/>
              </w:rPr>
            </w:pPr>
          </w:p>
        </w:tc>
        <w:tc>
          <w:tcPr>
            <w:tcW w:w="1726" w:type="dxa"/>
            <w:vMerge/>
            <w:shd w:val="clear" w:color="auto" w:fill="auto"/>
            <w:noWrap/>
            <w:vAlign w:val="center"/>
          </w:tcPr>
          <w:p w:rsidR="00A15716" w:rsidRPr="00661696" w:rsidP="009E19B1" w14:paraId="2AEC2231" w14:textId="5DEE1E2E">
            <w:pPr>
              <w:jc w:val="right"/>
              <w:rPr>
                <w:color w:val="000000"/>
                <w:sz w:val="16"/>
                <w:szCs w:val="16"/>
              </w:rPr>
            </w:pPr>
          </w:p>
        </w:tc>
        <w:tc>
          <w:tcPr>
            <w:tcW w:w="1823" w:type="dxa"/>
            <w:vMerge/>
            <w:shd w:val="clear" w:color="auto" w:fill="auto"/>
            <w:noWrap/>
            <w:vAlign w:val="center"/>
          </w:tcPr>
          <w:p w:rsidR="00A15716" w:rsidRPr="00661696" w:rsidP="009E19B1" w14:paraId="3FE87563" w14:textId="44326F8C">
            <w:pPr>
              <w:jc w:val="right"/>
              <w:rPr>
                <w:color w:val="000000"/>
                <w:sz w:val="16"/>
                <w:szCs w:val="16"/>
              </w:rPr>
            </w:pPr>
          </w:p>
        </w:tc>
        <w:tc>
          <w:tcPr>
            <w:tcW w:w="1408" w:type="dxa"/>
            <w:shd w:val="clear" w:color="auto" w:fill="auto"/>
            <w:noWrap/>
            <w:vAlign w:val="center"/>
            <w:hideMark/>
          </w:tcPr>
          <w:p w:rsidR="00A15716" w:rsidRPr="00661696" w:rsidP="009E19B1" w14:paraId="53EC2AA9" w14:textId="77777777">
            <w:pPr>
              <w:jc w:val="right"/>
              <w:rPr>
                <w:color w:val="000000"/>
                <w:sz w:val="16"/>
                <w:szCs w:val="16"/>
              </w:rPr>
            </w:pPr>
            <w:r w:rsidRPr="00661696">
              <w:rPr>
                <w:color w:val="000000"/>
                <w:sz w:val="16"/>
                <w:szCs w:val="16"/>
              </w:rPr>
              <w:t>25.0</w:t>
            </w:r>
          </w:p>
        </w:tc>
        <w:tc>
          <w:tcPr>
            <w:tcW w:w="1210" w:type="dxa"/>
            <w:shd w:val="clear" w:color="auto" w:fill="auto"/>
            <w:noWrap/>
            <w:vAlign w:val="center"/>
            <w:hideMark/>
          </w:tcPr>
          <w:p w:rsidR="00A15716" w:rsidRPr="00661696" w:rsidP="009E19B1" w14:paraId="262D6B1D" w14:textId="77777777">
            <w:pPr>
              <w:jc w:val="right"/>
              <w:rPr>
                <w:color w:val="000000"/>
                <w:sz w:val="16"/>
                <w:szCs w:val="16"/>
              </w:rPr>
            </w:pPr>
            <w:r w:rsidRPr="00661696">
              <w:rPr>
                <w:color w:val="000000"/>
                <w:sz w:val="16"/>
                <w:szCs w:val="16"/>
              </w:rPr>
              <w:t>9.5</w:t>
            </w:r>
          </w:p>
        </w:tc>
        <w:tc>
          <w:tcPr>
            <w:tcW w:w="958" w:type="dxa"/>
            <w:shd w:val="clear" w:color="auto" w:fill="auto"/>
            <w:noWrap/>
            <w:vAlign w:val="center"/>
            <w:hideMark/>
          </w:tcPr>
          <w:p w:rsidR="00A15716" w:rsidRPr="00661696" w:rsidP="009E19B1" w14:paraId="37730995" w14:textId="77777777">
            <w:pPr>
              <w:jc w:val="right"/>
              <w:rPr>
                <w:color w:val="000000"/>
                <w:sz w:val="16"/>
                <w:szCs w:val="16"/>
              </w:rPr>
            </w:pPr>
            <w:r w:rsidRPr="00661696">
              <w:rPr>
                <w:color w:val="000000"/>
                <w:sz w:val="16"/>
                <w:szCs w:val="16"/>
              </w:rPr>
              <w:t>19.5</w:t>
            </w:r>
          </w:p>
        </w:tc>
      </w:tr>
      <w:tr w14:paraId="5BC3B2C6"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4C1EFD63" w14:textId="77777777">
            <w:pPr>
              <w:rPr>
                <w:sz w:val="16"/>
                <w:szCs w:val="16"/>
              </w:rPr>
            </w:pPr>
          </w:p>
        </w:tc>
        <w:tc>
          <w:tcPr>
            <w:tcW w:w="1800" w:type="dxa"/>
            <w:vMerge/>
            <w:shd w:val="clear" w:color="auto" w:fill="auto"/>
            <w:noWrap/>
            <w:vAlign w:val="center"/>
          </w:tcPr>
          <w:p w:rsidR="00A15716" w:rsidRPr="00661696" w:rsidP="009E19B1" w14:paraId="5BEB9FB2" w14:textId="3CF5C087">
            <w:pPr>
              <w:jc w:val="right"/>
              <w:rPr>
                <w:color w:val="000000"/>
                <w:sz w:val="16"/>
                <w:szCs w:val="16"/>
              </w:rPr>
            </w:pPr>
          </w:p>
        </w:tc>
        <w:tc>
          <w:tcPr>
            <w:tcW w:w="1726" w:type="dxa"/>
            <w:vMerge/>
            <w:shd w:val="clear" w:color="auto" w:fill="auto"/>
            <w:noWrap/>
            <w:vAlign w:val="center"/>
          </w:tcPr>
          <w:p w:rsidR="00A15716" w:rsidRPr="00661696" w:rsidP="009E19B1" w14:paraId="795A5C9B" w14:textId="51BF574D">
            <w:pPr>
              <w:jc w:val="right"/>
              <w:rPr>
                <w:color w:val="000000"/>
                <w:sz w:val="16"/>
                <w:szCs w:val="16"/>
              </w:rPr>
            </w:pPr>
          </w:p>
        </w:tc>
        <w:tc>
          <w:tcPr>
            <w:tcW w:w="1823" w:type="dxa"/>
            <w:vMerge/>
            <w:shd w:val="clear" w:color="auto" w:fill="auto"/>
            <w:noWrap/>
            <w:vAlign w:val="center"/>
          </w:tcPr>
          <w:p w:rsidR="00A15716" w:rsidRPr="00661696" w:rsidP="009E19B1" w14:paraId="1A9FAA8F" w14:textId="1308C020">
            <w:pPr>
              <w:jc w:val="right"/>
              <w:rPr>
                <w:color w:val="000000"/>
                <w:sz w:val="16"/>
                <w:szCs w:val="16"/>
              </w:rPr>
            </w:pPr>
          </w:p>
        </w:tc>
        <w:tc>
          <w:tcPr>
            <w:tcW w:w="1408" w:type="dxa"/>
            <w:shd w:val="clear" w:color="auto" w:fill="auto"/>
            <w:noWrap/>
            <w:vAlign w:val="center"/>
            <w:hideMark/>
          </w:tcPr>
          <w:p w:rsidR="00A15716" w:rsidRPr="00661696" w:rsidP="009E19B1" w14:paraId="7A5EFA5A" w14:textId="77777777">
            <w:pPr>
              <w:jc w:val="right"/>
              <w:rPr>
                <w:color w:val="000000"/>
                <w:sz w:val="16"/>
                <w:szCs w:val="16"/>
              </w:rPr>
            </w:pPr>
            <w:r w:rsidRPr="00661696">
              <w:rPr>
                <w:color w:val="000000"/>
                <w:sz w:val="16"/>
                <w:szCs w:val="16"/>
              </w:rPr>
              <w:t>10.0</w:t>
            </w:r>
          </w:p>
        </w:tc>
        <w:tc>
          <w:tcPr>
            <w:tcW w:w="1210" w:type="dxa"/>
            <w:shd w:val="clear" w:color="auto" w:fill="auto"/>
            <w:noWrap/>
            <w:vAlign w:val="center"/>
            <w:hideMark/>
          </w:tcPr>
          <w:p w:rsidR="00A15716" w:rsidRPr="00661696" w:rsidP="009E19B1" w14:paraId="28B736B3" w14:textId="77777777">
            <w:pPr>
              <w:jc w:val="right"/>
              <w:rPr>
                <w:color w:val="000000"/>
                <w:sz w:val="16"/>
                <w:szCs w:val="16"/>
              </w:rPr>
            </w:pPr>
            <w:r w:rsidRPr="00661696">
              <w:rPr>
                <w:color w:val="000000"/>
                <w:sz w:val="16"/>
                <w:szCs w:val="16"/>
              </w:rPr>
              <w:t>6.6</w:t>
            </w:r>
          </w:p>
        </w:tc>
        <w:tc>
          <w:tcPr>
            <w:tcW w:w="958" w:type="dxa"/>
            <w:shd w:val="clear" w:color="000000" w:fill="FFC7CE"/>
            <w:noWrap/>
            <w:vAlign w:val="center"/>
            <w:hideMark/>
          </w:tcPr>
          <w:p w:rsidR="00A15716" w:rsidRPr="00661696" w:rsidP="009E19B1" w14:paraId="17BA2900" w14:textId="77777777">
            <w:pPr>
              <w:jc w:val="right"/>
              <w:rPr>
                <w:color w:val="9C0006"/>
                <w:sz w:val="16"/>
                <w:szCs w:val="16"/>
              </w:rPr>
            </w:pPr>
            <w:r w:rsidRPr="00661696">
              <w:rPr>
                <w:color w:val="9C0006"/>
                <w:sz w:val="16"/>
                <w:szCs w:val="16"/>
              </w:rPr>
              <w:t>33.7</w:t>
            </w:r>
          </w:p>
        </w:tc>
      </w:tr>
      <w:tr w14:paraId="5C439343"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218A864A" w14:textId="77777777">
            <w:pPr>
              <w:rPr>
                <w:sz w:val="16"/>
                <w:szCs w:val="16"/>
              </w:rPr>
            </w:pPr>
          </w:p>
        </w:tc>
        <w:tc>
          <w:tcPr>
            <w:tcW w:w="1800" w:type="dxa"/>
            <w:vMerge/>
            <w:shd w:val="clear" w:color="auto" w:fill="auto"/>
            <w:noWrap/>
            <w:vAlign w:val="center"/>
          </w:tcPr>
          <w:p w:rsidR="00A15716" w:rsidRPr="00661696" w:rsidP="009E19B1" w14:paraId="5A4E7D27" w14:textId="3AE7C2C0">
            <w:pPr>
              <w:jc w:val="right"/>
              <w:rPr>
                <w:color w:val="000000"/>
                <w:sz w:val="16"/>
                <w:szCs w:val="16"/>
              </w:rPr>
            </w:pPr>
          </w:p>
        </w:tc>
        <w:tc>
          <w:tcPr>
            <w:tcW w:w="1726" w:type="dxa"/>
            <w:vMerge/>
            <w:shd w:val="clear" w:color="auto" w:fill="auto"/>
            <w:noWrap/>
            <w:vAlign w:val="center"/>
          </w:tcPr>
          <w:p w:rsidR="00A15716" w:rsidRPr="00661696" w:rsidP="009E19B1" w14:paraId="10242AD2" w14:textId="6FD0E4F8">
            <w:pPr>
              <w:jc w:val="right"/>
              <w:rPr>
                <w:color w:val="000000"/>
                <w:sz w:val="16"/>
                <w:szCs w:val="16"/>
              </w:rPr>
            </w:pPr>
          </w:p>
        </w:tc>
        <w:tc>
          <w:tcPr>
            <w:tcW w:w="1823" w:type="dxa"/>
            <w:vMerge/>
            <w:shd w:val="clear" w:color="auto" w:fill="auto"/>
            <w:noWrap/>
            <w:vAlign w:val="center"/>
          </w:tcPr>
          <w:p w:rsidR="00A15716" w:rsidRPr="00661696" w:rsidP="009E19B1" w14:paraId="568B721C" w14:textId="34851059">
            <w:pPr>
              <w:jc w:val="right"/>
              <w:rPr>
                <w:color w:val="000000"/>
                <w:sz w:val="16"/>
                <w:szCs w:val="16"/>
              </w:rPr>
            </w:pPr>
          </w:p>
        </w:tc>
        <w:tc>
          <w:tcPr>
            <w:tcW w:w="1408" w:type="dxa"/>
            <w:shd w:val="clear" w:color="auto" w:fill="auto"/>
            <w:noWrap/>
            <w:vAlign w:val="center"/>
            <w:hideMark/>
          </w:tcPr>
          <w:p w:rsidR="00A15716" w:rsidRPr="00661696" w:rsidP="009E19B1" w14:paraId="3EA58260" w14:textId="77777777">
            <w:pPr>
              <w:jc w:val="right"/>
              <w:rPr>
                <w:color w:val="000000"/>
                <w:sz w:val="16"/>
                <w:szCs w:val="16"/>
              </w:rPr>
            </w:pPr>
            <w:r w:rsidRPr="00661696">
              <w:rPr>
                <w:color w:val="000000"/>
                <w:sz w:val="16"/>
                <w:szCs w:val="16"/>
              </w:rPr>
              <w:t>5.0</w:t>
            </w:r>
          </w:p>
        </w:tc>
        <w:tc>
          <w:tcPr>
            <w:tcW w:w="1210" w:type="dxa"/>
            <w:shd w:val="clear" w:color="auto" w:fill="auto"/>
            <w:noWrap/>
            <w:vAlign w:val="center"/>
            <w:hideMark/>
          </w:tcPr>
          <w:p w:rsidR="00A15716" w:rsidRPr="00661696" w:rsidP="009E19B1" w14:paraId="6E876D6C" w14:textId="77777777">
            <w:pPr>
              <w:jc w:val="right"/>
              <w:rPr>
                <w:color w:val="000000"/>
                <w:sz w:val="16"/>
                <w:szCs w:val="16"/>
              </w:rPr>
            </w:pPr>
            <w:r w:rsidRPr="00661696">
              <w:rPr>
                <w:color w:val="000000"/>
                <w:sz w:val="16"/>
                <w:szCs w:val="16"/>
              </w:rPr>
              <w:t>4.8</w:t>
            </w:r>
          </w:p>
        </w:tc>
        <w:tc>
          <w:tcPr>
            <w:tcW w:w="958" w:type="dxa"/>
            <w:shd w:val="clear" w:color="000000" w:fill="FFC7CE"/>
            <w:noWrap/>
            <w:vAlign w:val="center"/>
            <w:hideMark/>
          </w:tcPr>
          <w:p w:rsidR="00A15716" w:rsidRPr="00661696" w:rsidP="009E19B1" w14:paraId="5C7DAC30" w14:textId="77777777">
            <w:pPr>
              <w:jc w:val="right"/>
              <w:rPr>
                <w:color w:val="9C0006"/>
                <w:sz w:val="16"/>
                <w:szCs w:val="16"/>
              </w:rPr>
            </w:pPr>
            <w:r w:rsidRPr="00661696">
              <w:rPr>
                <w:color w:val="9C0006"/>
                <w:sz w:val="16"/>
                <w:szCs w:val="16"/>
              </w:rPr>
              <w:t>49.0</w:t>
            </w:r>
          </w:p>
        </w:tc>
      </w:tr>
      <w:tr w14:paraId="23E085F3" w14:textId="77777777" w:rsidTr="0067576E">
        <w:tblPrEx>
          <w:tblW w:w="10620" w:type="dxa"/>
          <w:tblInd w:w="-360" w:type="dxa"/>
          <w:tblLook w:val="04A0"/>
        </w:tblPrEx>
        <w:trPr>
          <w:trHeight w:val="20"/>
        </w:trPr>
        <w:tc>
          <w:tcPr>
            <w:tcW w:w="1695" w:type="dxa"/>
            <w:vMerge w:val="restart"/>
            <w:shd w:val="clear" w:color="auto" w:fill="auto"/>
            <w:noWrap/>
            <w:vAlign w:val="center"/>
            <w:hideMark/>
          </w:tcPr>
          <w:p w:rsidR="00A15716" w:rsidRPr="00661696" w:rsidP="009E19B1" w14:paraId="14788E31" w14:textId="77777777">
            <w:pPr>
              <w:rPr>
                <w:color w:val="000000"/>
                <w:sz w:val="16"/>
                <w:szCs w:val="16"/>
              </w:rPr>
            </w:pPr>
            <w:r w:rsidRPr="00661696">
              <w:rPr>
                <w:color w:val="000000"/>
                <w:sz w:val="16"/>
                <w:szCs w:val="16"/>
              </w:rPr>
              <w:t>1.b - goats</w:t>
            </w:r>
          </w:p>
        </w:tc>
        <w:tc>
          <w:tcPr>
            <w:tcW w:w="1800" w:type="dxa"/>
            <w:vMerge w:val="restart"/>
            <w:shd w:val="clear" w:color="auto" w:fill="auto"/>
            <w:noWrap/>
            <w:vAlign w:val="center"/>
            <w:hideMark/>
          </w:tcPr>
          <w:p w:rsidR="00A15716" w:rsidRPr="00661696" w:rsidP="009E19B1" w14:paraId="6FF3A878" w14:textId="77777777">
            <w:pPr>
              <w:jc w:val="right"/>
              <w:rPr>
                <w:color w:val="000000"/>
                <w:sz w:val="16"/>
                <w:szCs w:val="16"/>
              </w:rPr>
            </w:pPr>
            <w:r w:rsidRPr="00661696">
              <w:rPr>
                <w:color w:val="000000"/>
                <w:sz w:val="16"/>
                <w:szCs w:val="16"/>
              </w:rPr>
              <w:t>1,223,542</w:t>
            </w:r>
          </w:p>
        </w:tc>
        <w:tc>
          <w:tcPr>
            <w:tcW w:w="1726" w:type="dxa"/>
            <w:vMerge w:val="restart"/>
            <w:shd w:val="clear" w:color="auto" w:fill="auto"/>
            <w:noWrap/>
            <w:vAlign w:val="center"/>
            <w:hideMark/>
          </w:tcPr>
          <w:p w:rsidR="00A15716" w:rsidRPr="00661696" w:rsidP="009E19B1" w14:paraId="7192E60C" w14:textId="77777777">
            <w:pPr>
              <w:jc w:val="right"/>
              <w:rPr>
                <w:color w:val="000000"/>
                <w:sz w:val="16"/>
                <w:szCs w:val="16"/>
              </w:rPr>
            </w:pPr>
            <w:r w:rsidRPr="00661696">
              <w:rPr>
                <w:color w:val="000000"/>
                <w:sz w:val="16"/>
                <w:szCs w:val="16"/>
              </w:rPr>
              <w:t>141</w:t>
            </w:r>
          </w:p>
        </w:tc>
        <w:tc>
          <w:tcPr>
            <w:tcW w:w="1823" w:type="dxa"/>
            <w:vMerge w:val="restart"/>
            <w:shd w:val="clear" w:color="auto" w:fill="auto"/>
            <w:noWrap/>
            <w:vAlign w:val="center"/>
            <w:hideMark/>
          </w:tcPr>
          <w:p w:rsidR="00A15716" w:rsidRPr="00661696" w:rsidP="009E19B1" w14:paraId="2B904E46" w14:textId="77777777">
            <w:pPr>
              <w:jc w:val="right"/>
              <w:rPr>
                <w:color w:val="000000"/>
                <w:sz w:val="16"/>
                <w:szCs w:val="16"/>
              </w:rPr>
            </w:pPr>
            <w:r w:rsidRPr="00661696">
              <w:rPr>
                <w:color w:val="000000"/>
                <w:sz w:val="16"/>
                <w:szCs w:val="16"/>
              </w:rPr>
              <w:t>3.0</w:t>
            </w:r>
          </w:p>
        </w:tc>
        <w:tc>
          <w:tcPr>
            <w:tcW w:w="1408" w:type="dxa"/>
            <w:shd w:val="clear" w:color="auto" w:fill="auto"/>
            <w:noWrap/>
            <w:vAlign w:val="center"/>
            <w:hideMark/>
          </w:tcPr>
          <w:p w:rsidR="00A15716" w:rsidRPr="00661696" w:rsidP="009E19B1" w14:paraId="5A17AD44" w14:textId="77777777">
            <w:pPr>
              <w:jc w:val="right"/>
              <w:rPr>
                <w:color w:val="000000"/>
                <w:sz w:val="16"/>
                <w:szCs w:val="16"/>
              </w:rPr>
            </w:pPr>
            <w:r w:rsidRPr="00661696">
              <w:rPr>
                <w:color w:val="000000"/>
                <w:sz w:val="16"/>
                <w:szCs w:val="16"/>
              </w:rPr>
              <w:t>50.0</w:t>
            </w:r>
          </w:p>
        </w:tc>
        <w:tc>
          <w:tcPr>
            <w:tcW w:w="1210" w:type="dxa"/>
            <w:shd w:val="clear" w:color="auto" w:fill="auto"/>
            <w:noWrap/>
            <w:vAlign w:val="center"/>
            <w:hideMark/>
          </w:tcPr>
          <w:p w:rsidR="00A15716" w:rsidRPr="00661696" w:rsidP="009E19B1" w14:paraId="595F01BD" w14:textId="77777777">
            <w:pPr>
              <w:jc w:val="right"/>
              <w:rPr>
                <w:color w:val="000000"/>
                <w:sz w:val="16"/>
                <w:szCs w:val="16"/>
              </w:rPr>
            </w:pPr>
            <w:r w:rsidRPr="00661696">
              <w:rPr>
                <w:color w:val="000000"/>
                <w:sz w:val="16"/>
                <w:szCs w:val="16"/>
              </w:rPr>
              <w:t>14.3</w:t>
            </w:r>
          </w:p>
        </w:tc>
        <w:tc>
          <w:tcPr>
            <w:tcW w:w="958" w:type="dxa"/>
            <w:shd w:val="clear" w:color="auto" w:fill="auto"/>
            <w:noWrap/>
            <w:vAlign w:val="center"/>
            <w:hideMark/>
          </w:tcPr>
          <w:p w:rsidR="00A15716" w:rsidRPr="00661696" w:rsidP="009E19B1" w14:paraId="2CD2890D" w14:textId="77777777">
            <w:pPr>
              <w:jc w:val="right"/>
              <w:rPr>
                <w:color w:val="000000"/>
                <w:sz w:val="16"/>
                <w:szCs w:val="16"/>
              </w:rPr>
            </w:pPr>
            <w:r w:rsidRPr="00661696">
              <w:rPr>
                <w:color w:val="000000"/>
                <w:sz w:val="16"/>
                <w:szCs w:val="16"/>
              </w:rPr>
              <w:t>14.6</w:t>
            </w:r>
          </w:p>
        </w:tc>
      </w:tr>
      <w:tr w14:paraId="0EDDDD85"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726C09E1" w14:textId="77777777">
            <w:pPr>
              <w:rPr>
                <w:sz w:val="16"/>
                <w:szCs w:val="16"/>
              </w:rPr>
            </w:pPr>
          </w:p>
        </w:tc>
        <w:tc>
          <w:tcPr>
            <w:tcW w:w="1800" w:type="dxa"/>
            <w:vMerge/>
            <w:shd w:val="clear" w:color="auto" w:fill="auto"/>
            <w:noWrap/>
            <w:vAlign w:val="center"/>
          </w:tcPr>
          <w:p w:rsidR="00A15716" w:rsidRPr="00661696" w:rsidP="009E19B1" w14:paraId="35C40422" w14:textId="422F1BC7">
            <w:pPr>
              <w:jc w:val="right"/>
              <w:rPr>
                <w:color w:val="000000"/>
                <w:sz w:val="16"/>
                <w:szCs w:val="16"/>
              </w:rPr>
            </w:pPr>
          </w:p>
        </w:tc>
        <w:tc>
          <w:tcPr>
            <w:tcW w:w="1726" w:type="dxa"/>
            <w:vMerge/>
            <w:shd w:val="clear" w:color="auto" w:fill="auto"/>
            <w:noWrap/>
            <w:vAlign w:val="center"/>
          </w:tcPr>
          <w:p w:rsidR="00A15716" w:rsidRPr="00661696" w:rsidP="009E19B1" w14:paraId="3BDF6EE2" w14:textId="44BC2D91">
            <w:pPr>
              <w:jc w:val="right"/>
              <w:rPr>
                <w:color w:val="000000"/>
                <w:sz w:val="16"/>
                <w:szCs w:val="16"/>
              </w:rPr>
            </w:pPr>
          </w:p>
        </w:tc>
        <w:tc>
          <w:tcPr>
            <w:tcW w:w="1823" w:type="dxa"/>
            <w:vMerge/>
            <w:shd w:val="clear" w:color="auto" w:fill="auto"/>
            <w:noWrap/>
            <w:vAlign w:val="center"/>
          </w:tcPr>
          <w:p w:rsidR="00A15716" w:rsidRPr="00661696" w:rsidP="009E19B1" w14:paraId="05ADA87A" w14:textId="5475C2BA">
            <w:pPr>
              <w:jc w:val="right"/>
              <w:rPr>
                <w:color w:val="000000"/>
                <w:sz w:val="16"/>
                <w:szCs w:val="16"/>
              </w:rPr>
            </w:pPr>
          </w:p>
        </w:tc>
        <w:tc>
          <w:tcPr>
            <w:tcW w:w="1408" w:type="dxa"/>
            <w:shd w:val="clear" w:color="auto" w:fill="auto"/>
            <w:noWrap/>
            <w:vAlign w:val="center"/>
            <w:hideMark/>
          </w:tcPr>
          <w:p w:rsidR="00A15716" w:rsidRPr="00661696" w:rsidP="009E19B1" w14:paraId="7224F1A9" w14:textId="77777777">
            <w:pPr>
              <w:jc w:val="right"/>
              <w:rPr>
                <w:color w:val="000000"/>
                <w:sz w:val="16"/>
                <w:szCs w:val="16"/>
              </w:rPr>
            </w:pPr>
            <w:r w:rsidRPr="00661696">
              <w:rPr>
                <w:color w:val="000000"/>
                <w:sz w:val="16"/>
                <w:szCs w:val="16"/>
              </w:rPr>
              <w:t>25.0</w:t>
            </w:r>
          </w:p>
        </w:tc>
        <w:tc>
          <w:tcPr>
            <w:tcW w:w="1210" w:type="dxa"/>
            <w:shd w:val="clear" w:color="auto" w:fill="auto"/>
            <w:noWrap/>
            <w:vAlign w:val="center"/>
            <w:hideMark/>
          </w:tcPr>
          <w:p w:rsidR="00A15716" w:rsidRPr="00661696" w:rsidP="009E19B1" w14:paraId="0E57DA15" w14:textId="77777777">
            <w:pPr>
              <w:jc w:val="right"/>
              <w:rPr>
                <w:color w:val="000000"/>
                <w:sz w:val="16"/>
                <w:szCs w:val="16"/>
              </w:rPr>
            </w:pPr>
            <w:r w:rsidRPr="00661696">
              <w:rPr>
                <w:color w:val="000000"/>
                <w:sz w:val="16"/>
                <w:szCs w:val="16"/>
              </w:rPr>
              <w:t>12.4</w:t>
            </w:r>
          </w:p>
        </w:tc>
        <w:tc>
          <w:tcPr>
            <w:tcW w:w="958" w:type="dxa"/>
            <w:shd w:val="clear" w:color="000000" w:fill="FFC7CE"/>
            <w:noWrap/>
            <w:vAlign w:val="center"/>
            <w:hideMark/>
          </w:tcPr>
          <w:p w:rsidR="00A15716" w:rsidRPr="00661696" w:rsidP="009E19B1" w14:paraId="5B560A81" w14:textId="77777777">
            <w:pPr>
              <w:jc w:val="right"/>
              <w:rPr>
                <w:color w:val="9C0006"/>
                <w:sz w:val="16"/>
                <w:szCs w:val="16"/>
              </w:rPr>
            </w:pPr>
            <w:r w:rsidRPr="00661696">
              <w:rPr>
                <w:color w:val="9C0006"/>
                <w:sz w:val="16"/>
                <w:szCs w:val="16"/>
              </w:rPr>
              <w:t>25.3</w:t>
            </w:r>
          </w:p>
        </w:tc>
      </w:tr>
      <w:tr w14:paraId="2AE891BC"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28670982" w14:textId="77777777">
            <w:pPr>
              <w:rPr>
                <w:sz w:val="16"/>
                <w:szCs w:val="16"/>
              </w:rPr>
            </w:pPr>
          </w:p>
        </w:tc>
        <w:tc>
          <w:tcPr>
            <w:tcW w:w="1800" w:type="dxa"/>
            <w:vMerge/>
            <w:shd w:val="clear" w:color="auto" w:fill="auto"/>
            <w:noWrap/>
            <w:vAlign w:val="center"/>
          </w:tcPr>
          <w:p w:rsidR="00A15716" w:rsidRPr="00661696" w:rsidP="009E19B1" w14:paraId="13E481CB" w14:textId="24497D62">
            <w:pPr>
              <w:jc w:val="right"/>
              <w:rPr>
                <w:color w:val="000000"/>
                <w:sz w:val="16"/>
                <w:szCs w:val="16"/>
              </w:rPr>
            </w:pPr>
          </w:p>
        </w:tc>
        <w:tc>
          <w:tcPr>
            <w:tcW w:w="1726" w:type="dxa"/>
            <w:vMerge/>
            <w:shd w:val="clear" w:color="auto" w:fill="auto"/>
            <w:noWrap/>
            <w:vAlign w:val="center"/>
          </w:tcPr>
          <w:p w:rsidR="00A15716" w:rsidRPr="00661696" w:rsidP="009E19B1" w14:paraId="4053F9C0" w14:textId="0E702BD9">
            <w:pPr>
              <w:jc w:val="right"/>
              <w:rPr>
                <w:color w:val="000000"/>
                <w:sz w:val="16"/>
                <w:szCs w:val="16"/>
              </w:rPr>
            </w:pPr>
          </w:p>
        </w:tc>
        <w:tc>
          <w:tcPr>
            <w:tcW w:w="1823" w:type="dxa"/>
            <w:vMerge/>
            <w:shd w:val="clear" w:color="auto" w:fill="auto"/>
            <w:noWrap/>
            <w:vAlign w:val="center"/>
          </w:tcPr>
          <w:p w:rsidR="00A15716" w:rsidRPr="00661696" w:rsidP="009E19B1" w14:paraId="70A10CA5" w14:textId="022CDEE8">
            <w:pPr>
              <w:jc w:val="right"/>
              <w:rPr>
                <w:color w:val="000000"/>
                <w:sz w:val="16"/>
                <w:szCs w:val="16"/>
              </w:rPr>
            </w:pPr>
          </w:p>
        </w:tc>
        <w:tc>
          <w:tcPr>
            <w:tcW w:w="1408" w:type="dxa"/>
            <w:shd w:val="clear" w:color="auto" w:fill="auto"/>
            <w:noWrap/>
            <w:vAlign w:val="center"/>
            <w:hideMark/>
          </w:tcPr>
          <w:p w:rsidR="00A15716" w:rsidRPr="00661696" w:rsidP="009E19B1" w14:paraId="6D6F043C" w14:textId="77777777">
            <w:pPr>
              <w:jc w:val="right"/>
              <w:rPr>
                <w:color w:val="000000"/>
                <w:sz w:val="16"/>
                <w:szCs w:val="16"/>
              </w:rPr>
            </w:pPr>
            <w:r w:rsidRPr="00661696">
              <w:rPr>
                <w:color w:val="000000"/>
                <w:sz w:val="16"/>
                <w:szCs w:val="16"/>
              </w:rPr>
              <w:t>10.0</w:t>
            </w:r>
          </w:p>
        </w:tc>
        <w:tc>
          <w:tcPr>
            <w:tcW w:w="1210" w:type="dxa"/>
            <w:shd w:val="clear" w:color="auto" w:fill="auto"/>
            <w:noWrap/>
            <w:vAlign w:val="center"/>
            <w:hideMark/>
          </w:tcPr>
          <w:p w:rsidR="00A15716" w:rsidRPr="00661696" w:rsidP="009E19B1" w14:paraId="57025A05" w14:textId="77777777">
            <w:pPr>
              <w:jc w:val="right"/>
              <w:rPr>
                <w:color w:val="000000"/>
                <w:sz w:val="16"/>
                <w:szCs w:val="16"/>
              </w:rPr>
            </w:pPr>
            <w:r w:rsidRPr="00661696">
              <w:rPr>
                <w:color w:val="000000"/>
                <w:sz w:val="16"/>
                <w:szCs w:val="16"/>
              </w:rPr>
              <w:t>8.6</w:t>
            </w:r>
          </w:p>
        </w:tc>
        <w:tc>
          <w:tcPr>
            <w:tcW w:w="958" w:type="dxa"/>
            <w:shd w:val="clear" w:color="000000" w:fill="FFC7CE"/>
            <w:noWrap/>
            <w:vAlign w:val="center"/>
            <w:hideMark/>
          </w:tcPr>
          <w:p w:rsidR="00A15716" w:rsidRPr="00661696" w:rsidP="009E19B1" w14:paraId="10446522" w14:textId="77777777">
            <w:pPr>
              <w:jc w:val="right"/>
              <w:rPr>
                <w:color w:val="9C0006"/>
                <w:sz w:val="16"/>
                <w:szCs w:val="16"/>
              </w:rPr>
            </w:pPr>
            <w:r w:rsidRPr="00661696">
              <w:rPr>
                <w:color w:val="9C0006"/>
                <w:sz w:val="16"/>
                <w:szCs w:val="16"/>
              </w:rPr>
              <w:t>43.8</w:t>
            </w:r>
          </w:p>
        </w:tc>
      </w:tr>
      <w:tr w14:paraId="706900D4"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1F707AD3" w14:textId="77777777">
            <w:pPr>
              <w:rPr>
                <w:sz w:val="16"/>
                <w:szCs w:val="16"/>
              </w:rPr>
            </w:pPr>
          </w:p>
        </w:tc>
        <w:tc>
          <w:tcPr>
            <w:tcW w:w="1800" w:type="dxa"/>
            <w:vMerge/>
            <w:shd w:val="clear" w:color="auto" w:fill="auto"/>
            <w:noWrap/>
            <w:vAlign w:val="center"/>
          </w:tcPr>
          <w:p w:rsidR="00A15716" w:rsidRPr="00661696" w:rsidP="009E19B1" w14:paraId="3924B450" w14:textId="325BD525">
            <w:pPr>
              <w:jc w:val="right"/>
              <w:rPr>
                <w:color w:val="000000"/>
                <w:sz w:val="16"/>
                <w:szCs w:val="16"/>
              </w:rPr>
            </w:pPr>
          </w:p>
        </w:tc>
        <w:tc>
          <w:tcPr>
            <w:tcW w:w="1726" w:type="dxa"/>
            <w:vMerge/>
            <w:shd w:val="clear" w:color="auto" w:fill="auto"/>
            <w:noWrap/>
            <w:vAlign w:val="center"/>
          </w:tcPr>
          <w:p w:rsidR="00A15716" w:rsidRPr="00661696" w:rsidP="009E19B1" w14:paraId="50263BBA" w14:textId="6B47FEA4">
            <w:pPr>
              <w:jc w:val="right"/>
              <w:rPr>
                <w:color w:val="000000"/>
                <w:sz w:val="16"/>
                <w:szCs w:val="16"/>
              </w:rPr>
            </w:pPr>
          </w:p>
        </w:tc>
        <w:tc>
          <w:tcPr>
            <w:tcW w:w="1823" w:type="dxa"/>
            <w:vMerge/>
            <w:shd w:val="clear" w:color="auto" w:fill="auto"/>
            <w:noWrap/>
            <w:vAlign w:val="center"/>
          </w:tcPr>
          <w:p w:rsidR="00A15716" w:rsidRPr="00661696" w:rsidP="009E19B1" w14:paraId="65CE202A" w14:textId="004ED4D7">
            <w:pPr>
              <w:jc w:val="right"/>
              <w:rPr>
                <w:color w:val="000000"/>
                <w:sz w:val="16"/>
                <w:szCs w:val="16"/>
              </w:rPr>
            </w:pPr>
          </w:p>
        </w:tc>
        <w:tc>
          <w:tcPr>
            <w:tcW w:w="1408" w:type="dxa"/>
            <w:shd w:val="clear" w:color="auto" w:fill="auto"/>
            <w:noWrap/>
            <w:vAlign w:val="center"/>
            <w:hideMark/>
          </w:tcPr>
          <w:p w:rsidR="00A15716" w:rsidRPr="00661696" w:rsidP="009E19B1" w14:paraId="2FB4E40B" w14:textId="77777777">
            <w:pPr>
              <w:jc w:val="right"/>
              <w:rPr>
                <w:color w:val="000000"/>
                <w:sz w:val="16"/>
                <w:szCs w:val="16"/>
              </w:rPr>
            </w:pPr>
            <w:r w:rsidRPr="00661696">
              <w:rPr>
                <w:color w:val="000000"/>
                <w:sz w:val="16"/>
                <w:szCs w:val="16"/>
              </w:rPr>
              <w:t>5.0</w:t>
            </w:r>
          </w:p>
        </w:tc>
        <w:tc>
          <w:tcPr>
            <w:tcW w:w="1210" w:type="dxa"/>
            <w:shd w:val="clear" w:color="auto" w:fill="auto"/>
            <w:noWrap/>
            <w:vAlign w:val="center"/>
            <w:hideMark/>
          </w:tcPr>
          <w:p w:rsidR="00A15716" w:rsidRPr="00661696" w:rsidP="009E19B1" w14:paraId="499D4C58" w14:textId="77777777">
            <w:pPr>
              <w:jc w:val="right"/>
              <w:rPr>
                <w:color w:val="000000"/>
                <w:sz w:val="16"/>
                <w:szCs w:val="16"/>
              </w:rPr>
            </w:pPr>
            <w:r w:rsidRPr="00661696">
              <w:rPr>
                <w:color w:val="000000"/>
                <w:sz w:val="16"/>
                <w:szCs w:val="16"/>
              </w:rPr>
              <w:t>6.2</w:t>
            </w:r>
          </w:p>
        </w:tc>
        <w:tc>
          <w:tcPr>
            <w:tcW w:w="958" w:type="dxa"/>
            <w:shd w:val="clear" w:color="000000" w:fill="FFC7CE"/>
            <w:noWrap/>
            <w:vAlign w:val="center"/>
            <w:hideMark/>
          </w:tcPr>
          <w:p w:rsidR="00A15716" w:rsidRPr="00661696" w:rsidP="009E19B1" w14:paraId="32869759" w14:textId="77777777">
            <w:pPr>
              <w:jc w:val="right"/>
              <w:rPr>
                <w:color w:val="9C0006"/>
                <w:sz w:val="16"/>
                <w:szCs w:val="16"/>
              </w:rPr>
            </w:pPr>
            <w:r w:rsidRPr="00661696">
              <w:rPr>
                <w:color w:val="9C0006"/>
                <w:sz w:val="16"/>
                <w:szCs w:val="16"/>
              </w:rPr>
              <w:t>63.6</w:t>
            </w:r>
          </w:p>
        </w:tc>
      </w:tr>
      <w:tr w14:paraId="7159C3B4" w14:textId="77777777" w:rsidTr="0067576E">
        <w:tblPrEx>
          <w:tblW w:w="10620" w:type="dxa"/>
          <w:tblInd w:w="-360" w:type="dxa"/>
          <w:tblLook w:val="04A0"/>
        </w:tblPrEx>
        <w:trPr>
          <w:trHeight w:val="20"/>
        </w:trPr>
        <w:tc>
          <w:tcPr>
            <w:tcW w:w="1695" w:type="dxa"/>
            <w:vMerge w:val="restart"/>
            <w:shd w:val="clear" w:color="auto" w:fill="auto"/>
            <w:noWrap/>
            <w:vAlign w:val="center"/>
            <w:hideMark/>
          </w:tcPr>
          <w:p w:rsidR="00A15716" w:rsidRPr="00661696" w:rsidP="009E19B1" w14:paraId="36F29EEE" w14:textId="77777777">
            <w:pPr>
              <w:rPr>
                <w:color w:val="000000"/>
                <w:sz w:val="16"/>
                <w:szCs w:val="16"/>
              </w:rPr>
            </w:pPr>
            <w:r w:rsidRPr="00661696">
              <w:rPr>
                <w:color w:val="000000"/>
                <w:sz w:val="16"/>
                <w:szCs w:val="16"/>
              </w:rPr>
              <w:t>1.b - pigs</w:t>
            </w:r>
          </w:p>
        </w:tc>
        <w:tc>
          <w:tcPr>
            <w:tcW w:w="1800" w:type="dxa"/>
            <w:vMerge w:val="restart"/>
            <w:shd w:val="clear" w:color="auto" w:fill="auto"/>
            <w:noWrap/>
            <w:vAlign w:val="center"/>
            <w:hideMark/>
          </w:tcPr>
          <w:p w:rsidR="00A15716" w:rsidRPr="00661696" w:rsidP="009E19B1" w14:paraId="14C7D014" w14:textId="77777777">
            <w:pPr>
              <w:jc w:val="right"/>
              <w:rPr>
                <w:color w:val="000000"/>
                <w:sz w:val="16"/>
                <w:szCs w:val="16"/>
              </w:rPr>
            </w:pPr>
            <w:r w:rsidRPr="00661696">
              <w:rPr>
                <w:color w:val="000000"/>
                <w:sz w:val="16"/>
                <w:szCs w:val="16"/>
              </w:rPr>
              <w:t>734,125</w:t>
            </w:r>
          </w:p>
        </w:tc>
        <w:tc>
          <w:tcPr>
            <w:tcW w:w="1726" w:type="dxa"/>
            <w:vMerge w:val="restart"/>
            <w:shd w:val="clear" w:color="auto" w:fill="auto"/>
            <w:noWrap/>
            <w:vAlign w:val="center"/>
            <w:hideMark/>
          </w:tcPr>
          <w:p w:rsidR="00A15716" w:rsidRPr="00661696" w:rsidP="009E19B1" w14:paraId="50864AE8" w14:textId="77777777">
            <w:pPr>
              <w:jc w:val="right"/>
              <w:rPr>
                <w:color w:val="000000"/>
                <w:sz w:val="16"/>
                <w:szCs w:val="16"/>
              </w:rPr>
            </w:pPr>
            <w:r w:rsidRPr="00661696">
              <w:rPr>
                <w:color w:val="000000"/>
                <w:sz w:val="16"/>
                <w:szCs w:val="16"/>
              </w:rPr>
              <w:t>84</w:t>
            </w:r>
          </w:p>
        </w:tc>
        <w:tc>
          <w:tcPr>
            <w:tcW w:w="1823" w:type="dxa"/>
            <w:vMerge w:val="restart"/>
            <w:shd w:val="clear" w:color="auto" w:fill="auto"/>
            <w:noWrap/>
            <w:vAlign w:val="center"/>
            <w:hideMark/>
          </w:tcPr>
          <w:p w:rsidR="00A15716" w:rsidRPr="00661696" w:rsidP="009E19B1" w14:paraId="4AF49699" w14:textId="77777777">
            <w:pPr>
              <w:jc w:val="right"/>
              <w:rPr>
                <w:color w:val="000000"/>
                <w:sz w:val="16"/>
                <w:szCs w:val="16"/>
              </w:rPr>
            </w:pPr>
            <w:r w:rsidRPr="00661696">
              <w:rPr>
                <w:color w:val="000000"/>
                <w:sz w:val="16"/>
                <w:szCs w:val="16"/>
              </w:rPr>
              <w:t>3.0</w:t>
            </w:r>
          </w:p>
        </w:tc>
        <w:tc>
          <w:tcPr>
            <w:tcW w:w="1408" w:type="dxa"/>
            <w:shd w:val="clear" w:color="auto" w:fill="auto"/>
            <w:noWrap/>
            <w:vAlign w:val="center"/>
            <w:hideMark/>
          </w:tcPr>
          <w:p w:rsidR="00A15716" w:rsidRPr="00661696" w:rsidP="009E19B1" w14:paraId="24425023" w14:textId="77777777">
            <w:pPr>
              <w:jc w:val="right"/>
              <w:rPr>
                <w:color w:val="000000"/>
                <w:sz w:val="16"/>
                <w:szCs w:val="16"/>
              </w:rPr>
            </w:pPr>
            <w:r w:rsidRPr="00661696">
              <w:rPr>
                <w:color w:val="000000"/>
                <w:sz w:val="16"/>
                <w:szCs w:val="16"/>
              </w:rPr>
              <w:t>50.0</w:t>
            </w:r>
          </w:p>
        </w:tc>
        <w:tc>
          <w:tcPr>
            <w:tcW w:w="1210" w:type="dxa"/>
            <w:shd w:val="clear" w:color="auto" w:fill="auto"/>
            <w:noWrap/>
            <w:vAlign w:val="center"/>
            <w:hideMark/>
          </w:tcPr>
          <w:p w:rsidR="00A15716" w:rsidRPr="00661696" w:rsidP="009E19B1" w14:paraId="1F091F6A" w14:textId="77777777">
            <w:pPr>
              <w:jc w:val="right"/>
              <w:rPr>
                <w:color w:val="000000"/>
                <w:sz w:val="16"/>
                <w:szCs w:val="16"/>
              </w:rPr>
            </w:pPr>
            <w:r w:rsidRPr="00661696">
              <w:rPr>
                <w:color w:val="000000"/>
                <w:sz w:val="16"/>
                <w:szCs w:val="16"/>
              </w:rPr>
              <w:t>18.5</w:t>
            </w:r>
          </w:p>
        </w:tc>
        <w:tc>
          <w:tcPr>
            <w:tcW w:w="958" w:type="dxa"/>
            <w:shd w:val="clear" w:color="auto" w:fill="auto"/>
            <w:noWrap/>
            <w:vAlign w:val="center"/>
            <w:hideMark/>
          </w:tcPr>
          <w:p w:rsidR="00A15716" w:rsidRPr="00661696" w:rsidP="009E19B1" w14:paraId="3C06F109" w14:textId="77777777">
            <w:pPr>
              <w:jc w:val="right"/>
              <w:rPr>
                <w:color w:val="000000"/>
                <w:sz w:val="16"/>
                <w:szCs w:val="16"/>
              </w:rPr>
            </w:pPr>
            <w:r w:rsidRPr="00661696">
              <w:rPr>
                <w:color w:val="000000"/>
                <w:sz w:val="16"/>
                <w:szCs w:val="16"/>
              </w:rPr>
              <w:t>18.8</w:t>
            </w:r>
          </w:p>
        </w:tc>
      </w:tr>
      <w:tr w14:paraId="392C4A88"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2638E9C3" w14:textId="77777777">
            <w:pPr>
              <w:rPr>
                <w:sz w:val="16"/>
                <w:szCs w:val="16"/>
              </w:rPr>
            </w:pPr>
          </w:p>
        </w:tc>
        <w:tc>
          <w:tcPr>
            <w:tcW w:w="1800" w:type="dxa"/>
            <w:vMerge/>
            <w:shd w:val="clear" w:color="auto" w:fill="auto"/>
            <w:noWrap/>
            <w:vAlign w:val="center"/>
          </w:tcPr>
          <w:p w:rsidR="00A15716" w:rsidRPr="00661696" w:rsidP="009E19B1" w14:paraId="706CA59E" w14:textId="4C5C09EB">
            <w:pPr>
              <w:jc w:val="right"/>
              <w:rPr>
                <w:color w:val="000000"/>
                <w:sz w:val="16"/>
                <w:szCs w:val="16"/>
              </w:rPr>
            </w:pPr>
          </w:p>
        </w:tc>
        <w:tc>
          <w:tcPr>
            <w:tcW w:w="1726" w:type="dxa"/>
            <w:vMerge/>
            <w:shd w:val="clear" w:color="auto" w:fill="auto"/>
            <w:noWrap/>
            <w:vAlign w:val="center"/>
          </w:tcPr>
          <w:p w:rsidR="00A15716" w:rsidRPr="00661696" w:rsidP="009E19B1" w14:paraId="131A9F0E" w14:textId="33F2C88F">
            <w:pPr>
              <w:jc w:val="right"/>
              <w:rPr>
                <w:color w:val="000000"/>
                <w:sz w:val="16"/>
                <w:szCs w:val="16"/>
              </w:rPr>
            </w:pPr>
          </w:p>
        </w:tc>
        <w:tc>
          <w:tcPr>
            <w:tcW w:w="1823" w:type="dxa"/>
            <w:vMerge/>
            <w:shd w:val="clear" w:color="auto" w:fill="auto"/>
            <w:noWrap/>
            <w:vAlign w:val="center"/>
          </w:tcPr>
          <w:p w:rsidR="00A15716" w:rsidRPr="00661696" w:rsidP="009E19B1" w14:paraId="7F548AEA" w14:textId="2EA6114F">
            <w:pPr>
              <w:jc w:val="right"/>
              <w:rPr>
                <w:color w:val="000000"/>
                <w:sz w:val="16"/>
                <w:szCs w:val="16"/>
              </w:rPr>
            </w:pPr>
          </w:p>
        </w:tc>
        <w:tc>
          <w:tcPr>
            <w:tcW w:w="1408" w:type="dxa"/>
            <w:shd w:val="clear" w:color="auto" w:fill="auto"/>
            <w:noWrap/>
            <w:vAlign w:val="center"/>
            <w:hideMark/>
          </w:tcPr>
          <w:p w:rsidR="00A15716" w:rsidRPr="00661696" w:rsidP="009E19B1" w14:paraId="69622100" w14:textId="77777777">
            <w:pPr>
              <w:jc w:val="right"/>
              <w:rPr>
                <w:color w:val="000000"/>
                <w:sz w:val="16"/>
                <w:szCs w:val="16"/>
              </w:rPr>
            </w:pPr>
            <w:r w:rsidRPr="00661696">
              <w:rPr>
                <w:color w:val="000000"/>
                <w:sz w:val="16"/>
                <w:szCs w:val="16"/>
              </w:rPr>
              <w:t>25.0</w:t>
            </w:r>
          </w:p>
        </w:tc>
        <w:tc>
          <w:tcPr>
            <w:tcW w:w="1210" w:type="dxa"/>
            <w:shd w:val="clear" w:color="auto" w:fill="auto"/>
            <w:noWrap/>
            <w:vAlign w:val="center"/>
            <w:hideMark/>
          </w:tcPr>
          <w:p w:rsidR="00A15716" w:rsidRPr="00661696" w:rsidP="009E19B1" w14:paraId="7498EFB6" w14:textId="77777777">
            <w:pPr>
              <w:jc w:val="right"/>
              <w:rPr>
                <w:color w:val="000000"/>
                <w:sz w:val="16"/>
                <w:szCs w:val="16"/>
              </w:rPr>
            </w:pPr>
            <w:r w:rsidRPr="00661696">
              <w:rPr>
                <w:color w:val="000000"/>
                <w:sz w:val="16"/>
                <w:szCs w:val="16"/>
              </w:rPr>
              <w:t>16.0</w:t>
            </w:r>
          </w:p>
        </w:tc>
        <w:tc>
          <w:tcPr>
            <w:tcW w:w="958" w:type="dxa"/>
            <w:shd w:val="clear" w:color="000000" w:fill="FFC7CE"/>
            <w:noWrap/>
            <w:vAlign w:val="center"/>
            <w:hideMark/>
          </w:tcPr>
          <w:p w:rsidR="00A15716" w:rsidRPr="00661696" w:rsidP="009E19B1" w14:paraId="2A311CD8" w14:textId="77777777">
            <w:pPr>
              <w:jc w:val="right"/>
              <w:rPr>
                <w:color w:val="9C0006"/>
                <w:sz w:val="16"/>
                <w:szCs w:val="16"/>
              </w:rPr>
            </w:pPr>
            <w:r w:rsidRPr="00661696">
              <w:rPr>
                <w:color w:val="9C0006"/>
                <w:sz w:val="16"/>
                <w:szCs w:val="16"/>
              </w:rPr>
              <w:t>32.6</w:t>
            </w:r>
          </w:p>
        </w:tc>
      </w:tr>
      <w:tr w14:paraId="61B94ADD"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33105784" w14:textId="77777777">
            <w:pPr>
              <w:rPr>
                <w:sz w:val="16"/>
                <w:szCs w:val="16"/>
              </w:rPr>
            </w:pPr>
          </w:p>
        </w:tc>
        <w:tc>
          <w:tcPr>
            <w:tcW w:w="1800" w:type="dxa"/>
            <w:vMerge/>
            <w:shd w:val="clear" w:color="auto" w:fill="auto"/>
            <w:noWrap/>
            <w:vAlign w:val="center"/>
          </w:tcPr>
          <w:p w:rsidR="00A15716" w:rsidRPr="00661696" w:rsidP="009E19B1" w14:paraId="14FA2378" w14:textId="01F5540B">
            <w:pPr>
              <w:jc w:val="right"/>
              <w:rPr>
                <w:color w:val="000000"/>
                <w:sz w:val="16"/>
                <w:szCs w:val="16"/>
              </w:rPr>
            </w:pPr>
          </w:p>
        </w:tc>
        <w:tc>
          <w:tcPr>
            <w:tcW w:w="1726" w:type="dxa"/>
            <w:vMerge/>
            <w:shd w:val="clear" w:color="auto" w:fill="auto"/>
            <w:noWrap/>
            <w:vAlign w:val="center"/>
          </w:tcPr>
          <w:p w:rsidR="00A15716" w:rsidRPr="00661696" w:rsidP="009E19B1" w14:paraId="5B2F7521" w14:textId="4C058ED7">
            <w:pPr>
              <w:jc w:val="right"/>
              <w:rPr>
                <w:color w:val="000000"/>
                <w:sz w:val="16"/>
                <w:szCs w:val="16"/>
              </w:rPr>
            </w:pPr>
          </w:p>
        </w:tc>
        <w:tc>
          <w:tcPr>
            <w:tcW w:w="1823" w:type="dxa"/>
            <w:vMerge/>
            <w:shd w:val="clear" w:color="auto" w:fill="auto"/>
            <w:noWrap/>
            <w:vAlign w:val="center"/>
          </w:tcPr>
          <w:p w:rsidR="00A15716" w:rsidRPr="00661696" w:rsidP="009E19B1" w14:paraId="46AD5837" w14:textId="0404ED05">
            <w:pPr>
              <w:jc w:val="right"/>
              <w:rPr>
                <w:color w:val="000000"/>
                <w:sz w:val="16"/>
                <w:szCs w:val="16"/>
              </w:rPr>
            </w:pPr>
          </w:p>
        </w:tc>
        <w:tc>
          <w:tcPr>
            <w:tcW w:w="1408" w:type="dxa"/>
            <w:shd w:val="clear" w:color="auto" w:fill="auto"/>
            <w:noWrap/>
            <w:vAlign w:val="center"/>
            <w:hideMark/>
          </w:tcPr>
          <w:p w:rsidR="00A15716" w:rsidRPr="00661696" w:rsidP="009E19B1" w14:paraId="031E1F09" w14:textId="77777777">
            <w:pPr>
              <w:jc w:val="right"/>
              <w:rPr>
                <w:color w:val="000000"/>
                <w:sz w:val="16"/>
                <w:szCs w:val="16"/>
              </w:rPr>
            </w:pPr>
            <w:r w:rsidRPr="00661696">
              <w:rPr>
                <w:color w:val="000000"/>
                <w:sz w:val="16"/>
                <w:szCs w:val="16"/>
              </w:rPr>
              <w:t>10.0</w:t>
            </w:r>
          </w:p>
        </w:tc>
        <w:tc>
          <w:tcPr>
            <w:tcW w:w="1210" w:type="dxa"/>
            <w:shd w:val="clear" w:color="auto" w:fill="auto"/>
            <w:noWrap/>
            <w:vAlign w:val="center"/>
            <w:hideMark/>
          </w:tcPr>
          <w:p w:rsidR="00A15716" w:rsidRPr="00661696" w:rsidP="009E19B1" w14:paraId="359942B5" w14:textId="77777777">
            <w:pPr>
              <w:jc w:val="right"/>
              <w:rPr>
                <w:color w:val="000000"/>
                <w:sz w:val="16"/>
                <w:szCs w:val="16"/>
              </w:rPr>
            </w:pPr>
            <w:r w:rsidRPr="00661696">
              <w:rPr>
                <w:color w:val="000000"/>
                <w:sz w:val="16"/>
                <w:szCs w:val="16"/>
              </w:rPr>
              <w:t>11.1</w:t>
            </w:r>
          </w:p>
        </w:tc>
        <w:tc>
          <w:tcPr>
            <w:tcW w:w="958" w:type="dxa"/>
            <w:shd w:val="clear" w:color="000000" w:fill="FFC7CE"/>
            <w:noWrap/>
            <w:vAlign w:val="center"/>
            <w:hideMark/>
          </w:tcPr>
          <w:p w:rsidR="00A15716" w:rsidRPr="00661696" w:rsidP="009E19B1" w14:paraId="53A0FA90" w14:textId="77777777">
            <w:pPr>
              <w:jc w:val="right"/>
              <w:rPr>
                <w:color w:val="9C0006"/>
                <w:sz w:val="16"/>
                <w:szCs w:val="16"/>
              </w:rPr>
            </w:pPr>
            <w:r w:rsidRPr="00661696">
              <w:rPr>
                <w:color w:val="9C0006"/>
                <w:sz w:val="16"/>
                <w:szCs w:val="16"/>
              </w:rPr>
              <w:t>56.5</w:t>
            </w:r>
          </w:p>
        </w:tc>
      </w:tr>
      <w:tr w14:paraId="795E07B3"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0E12DCDD" w14:textId="77777777">
            <w:pPr>
              <w:rPr>
                <w:sz w:val="16"/>
                <w:szCs w:val="16"/>
              </w:rPr>
            </w:pPr>
          </w:p>
        </w:tc>
        <w:tc>
          <w:tcPr>
            <w:tcW w:w="1800" w:type="dxa"/>
            <w:vMerge/>
            <w:shd w:val="clear" w:color="auto" w:fill="auto"/>
            <w:noWrap/>
            <w:vAlign w:val="center"/>
          </w:tcPr>
          <w:p w:rsidR="00A15716" w:rsidRPr="00661696" w:rsidP="009E19B1" w14:paraId="04AFC15D" w14:textId="3BA5CB0A">
            <w:pPr>
              <w:jc w:val="right"/>
              <w:rPr>
                <w:color w:val="000000"/>
                <w:sz w:val="16"/>
                <w:szCs w:val="16"/>
              </w:rPr>
            </w:pPr>
          </w:p>
        </w:tc>
        <w:tc>
          <w:tcPr>
            <w:tcW w:w="1726" w:type="dxa"/>
            <w:vMerge/>
            <w:shd w:val="clear" w:color="auto" w:fill="auto"/>
            <w:noWrap/>
            <w:vAlign w:val="center"/>
          </w:tcPr>
          <w:p w:rsidR="00A15716" w:rsidRPr="00661696" w:rsidP="009E19B1" w14:paraId="6599AD4D" w14:textId="6712230B">
            <w:pPr>
              <w:jc w:val="right"/>
              <w:rPr>
                <w:color w:val="000000"/>
                <w:sz w:val="16"/>
                <w:szCs w:val="16"/>
              </w:rPr>
            </w:pPr>
          </w:p>
        </w:tc>
        <w:tc>
          <w:tcPr>
            <w:tcW w:w="1823" w:type="dxa"/>
            <w:vMerge/>
            <w:shd w:val="clear" w:color="auto" w:fill="auto"/>
            <w:noWrap/>
            <w:vAlign w:val="center"/>
          </w:tcPr>
          <w:p w:rsidR="00A15716" w:rsidRPr="00661696" w:rsidP="009E19B1" w14:paraId="539A5CBB" w14:textId="0C45A686">
            <w:pPr>
              <w:jc w:val="right"/>
              <w:rPr>
                <w:color w:val="000000"/>
                <w:sz w:val="16"/>
                <w:szCs w:val="16"/>
              </w:rPr>
            </w:pPr>
          </w:p>
        </w:tc>
        <w:tc>
          <w:tcPr>
            <w:tcW w:w="1408" w:type="dxa"/>
            <w:shd w:val="clear" w:color="auto" w:fill="auto"/>
            <w:noWrap/>
            <w:vAlign w:val="center"/>
            <w:hideMark/>
          </w:tcPr>
          <w:p w:rsidR="00A15716" w:rsidRPr="00661696" w:rsidP="009E19B1" w14:paraId="63E45224" w14:textId="77777777">
            <w:pPr>
              <w:jc w:val="right"/>
              <w:rPr>
                <w:color w:val="000000"/>
                <w:sz w:val="16"/>
                <w:szCs w:val="16"/>
              </w:rPr>
            </w:pPr>
            <w:r w:rsidRPr="00661696">
              <w:rPr>
                <w:color w:val="000000"/>
                <w:sz w:val="16"/>
                <w:szCs w:val="16"/>
              </w:rPr>
              <w:t>5.0</w:t>
            </w:r>
          </w:p>
        </w:tc>
        <w:tc>
          <w:tcPr>
            <w:tcW w:w="1210" w:type="dxa"/>
            <w:shd w:val="clear" w:color="auto" w:fill="auto"/>
            <w:noWrap/>
            <w:vAlign w:val="center"/>
            <w:hideMark/>
          </w:tcPr>
          <w:p w:rsidR="00A15716" w:rsidRPr="00661696" w:rsidP="009E19B1" w14:paraId="4930119C" w14:textId="77777777">
            <w:pPr>
              <w:jc w:val="right"/>
              <w:rPr>
                <w:color w:val="000000"/>
                <w:sz w:val="16"/>
                <w:szCs w:val="16"/>
              </w:rPr>
            </w:pPr>
            <w:r w:rsidRPr="00661696">
              <w:rPr>
                <w:color w:val="000000"/>
                <w:sz w:val="16"/>
                <w:szCs w:val="16"/>
              </w:rPr>
              <w:t>8.1</w:t>
            </w:r>
          </w:p>
        </w:tc>
        <w:tc>
          <w:tcPr>
            <w:tcW w:w="958" w:type="dxa"/>
            <w:shd w:val="clear" w:color="000000" w:fill="FFC7CE"/>
            <w:noWrap/>
            <w:vAlign w:val="center"/>
            <w:hideMark/>
          </w:tcPr>
          <w:p w:rsidR="00A15716" w:rsidRPr="00661696" w:rsidP="009E19B1" w14:paraId="5420620A" w14:textId="77777777">
            <w:pPr>
              <w:jc w:val="right"/>
              <w:rPr>
                <w:color w:val="9C0006"/>
                <w:sz w:val="16"/>
                <w:szCs w:val="16"/>
              </w:rPr>
            </w:pPr>
            <w:r w:rsidRPr="00661696">
              <w:rPr>
                <w:color w:val="9C0006"/>
                <w:sz w:val="16"/>
                <w:szCs w:val="16"/>
              </w:rPr>
              <w:t>82.2</w:t>
            </w:r>
          </w:p>
        </w:tc>
      </w:tr>
      <w:tr w14:paraId="7639C7A7" w14:textId="77777777" w:rsidTr="0067576E">
        <w:tblPrEx>
          <w:tblW w:w="10620" w:type="dxa"/>
          <w:tblInd w:w="-360" w:type="dxa"/>
          <w:tblLook w:val="04A0"/>
        </w:tblPrEx>
        <w:trPr>
          <w:trHeight w:val="20"/>
        </w:trPr>
        <w:tc>
          <w:tcPr>
            <w:tcW w:w="1695" w:type="dxa"/>
            <w:vMerge w:val="restart"/>
            <w:shd w:val="clear" w:color="auto" w:fill="auto"/>
            <w:noWrap/>
            <w:vAlign w:val="center"/>
            <w:hideMark/>
          </w:tcPr>
          <w:p w:rsidR="00A15716" w:rsidRPr="00661696" w:rsidP="009E19B1" w14:paraId="14418EFB" w14:textId="77777777">
            <w:pPr>
              <w:rPr>
                <w:color w:val="000000"/>
                <w:sz w:val="16"/>
                <w:szCs w:val="16"/>
              </w:rPr>
            </w:pPr>
            <w:r w:rsidRPr="00661696">
              <w:rPr>
                <w:color w:val="000000"/>
                <w:sz w:val="16"/>
                <w:szCs w:val="16"/>
              </w:rPr>
              <w:t>1.c</w:t>
            </w:r>
          </w:p>
        </w:tc>
        <w:tc>
          <w:tcPr>
            <w:tcW w:w="1800" w:type="dxa"/>
            <w:vMerge w:val="restart"/>
            <w:shd w:val="clear" w:color="auto" w:fill="auto"/>
            <w:noWrap/>
            <w:vAlign w:val="center"/>
            <w:hideMark/>
          </w:tcPr>
          <w:p w:rsidR="00A15716" w:rsidRPr="00661696" w:rsidP="009E19B1" w14:paraId="3216F862" w14:textId="77777777">
            <w:pPr>
              <w:jc w:val="right"/>
              <w:rPr>
                <w:color w:val="000000"/>
                <w:sz w:val="16"/>
                <w:szCs w:val="16"/>
              </w:rPr>
            </w:pPr>
            <w:r w:rsidRPr="00661696">
              <w:rPr>
                <w:color w:val="000000"/>
                <w:sz w:val="16"/>
                <w:szCs w:val="16"/>
              </w:rPr>
              <w:t>115,624,737</w:t>
            </w:r>
          </w:p>
        </w:tc>
        <w:tc>
          <w:tcPr>
            <w:tcW w:w="1726" w:type="dxa"/>
            <w:vMerge w:val="restart"/>
            <w:shd w:val="clear" w:color="auto" w:fill="auto"/>
            <w:noWrap/>
            <w:vAlign w:val="center"/>
            <w:hideMark/>
          </w:tcPr>
          <w:p w:rsidR="00A15716" w:rsidRPr="00661696" w:rsidP="009E19B1" w14:paraId="36439B7C" w14:textId="77777777">
            <w:pPr>
              <w:jc w:val="right"/>
              <w:rPr>
                <w:color w:val="000000"/>
                <w:sz w:val="16"/>
                <w:szCs w:val="16"/>
              </w:rPr>
            </w:pPr>
            <w:r w:rsidRPr="00661696">
              <w:rPr>
                <w:color w:val="000000"/>
                <w:sz w:val="16"/>
                <w:szCs w:val="16"/>
              </w:rPr>
              <w:t>800</w:t>
            </w:r>
          </w:p>
        </w:tc>
        <w:tc>
          <w:tcPr>
            <w:tcW w:w="1823" w:type="dxa"/>
            <w:vMerge w:val="restart"/>
            <w:shd w:val="clear" w:color="auto" w:fill="auto"/>
            <w:noWrap/>
            <w:vAlign w:val="center"/>
            <w:hideMark/>
          </w:tcPr>
          <w:p w:rsidR="00A15716" w:rsidRPr="00661696" w:rsidP="009E19B1" w14:paraId="5AB0B801" w14:textId="77777777">
            <w:pPr>
              <w:jc w:val="right"/>
              <w:rPr>
                <w:color w:val="000000"/>
                <w:sz w:val="16"/>
                <w:szCs w:val="16"/>
              </w:rPr>
            </w:pPr>
            <w:r w:rsidRPr="00661696">
              <w:rPr>
                <w:color w:val="000000"/>
                <w:sz w:val="16"/>
                <w:szCs w:val="16"/>
              </w:rPr>
              <w:t>2.0</w:t>
            </w:r>
          </w:p>
        </w:tc>
        <w:tc>
          <w:tcPr>
            <w:tcW w:w="1408" w:type="dxa"/>
            <w:shd w:val="clear" w:color="auto" w:fill="auto"/>
            <w:noWrap/>
            <w:vAlign w:val="center"/>
            <w:hideMark/>
          </w:tcPr>
          <w:p w:rsidR="00A15716" w:rsidRPr="00661696" w:rsidP="009E19B1" w14:paraId="488FD953" w14:textId="77777777">
            <w:pPr>
              <w:jc w:val="right"/>
              <w:rPr>
                <w:color w:val="000000"/>
                <w:sz w:val="16"/>
                <w:szCs w:val="16"/>
              </w:rPr>
            </w:pPr>
            <w:r w:rsidRPr="00661696">
              <w:rPr>
                <w:color w:val="000000"/>
                <w:sz w:val="16"/>
                <w:szCs w:val="16"/>
              </w:rPr>
              <w:t>50.0</w:t>
            </w:r>
          </w:p>
        </w:tc>
        <w:tc>
          <w:tcPr>
            <w:tcW w:w="1210" w:type="dxa"/>
            <w:shd w:val="clear" w:color="auto" w:fill="auto"/>
            <w:noWrap/>
            <w:vAlign w:val="center"/>
            <w:hideMark/>
          </w:tcPr>
          <w:p w:rsidR="00A15716" w:rsidRPr="00661696" w:rsidP="009E19B1" w14:paraId="5191329F" w14:textId="77777777">
            <w:pPr>
              <w:jc w:val="right"/>
              <w:rPr>
                <w:color w:val="000000"/>
                <w:sz w:val="16"/>
                <w:szCs w:val="16"/>
              </w:rPr>
            </w:pPr>
            <w:r w:rsidRPr="00661696">
              <w:rPr>
                <w:color w:val="000000"/>
                <w:sz w:val="16"/>
                <w:szCs w:val="16"/>
              </w:rPr>
              <w:t>4.9</w:t>
            </w:r>
          </w:p>
        </w:tc>
        <w:tc>
          <w:tcPr>
            <w:tcW w:w="958" w:type="dxa"/>
            <w:shd w:val="clear" w:color="auto" w:fill="auto"/>
            <w:noWrap/>
            <w:vAlign w:val="center"/>
            <w:hideMark/>
          </w:tcPr>
          <w:p w:rsidR="00A15716" w:rsidRPr="00661696" w:rsidP="009E19B1" w14:paraId="4A4FE610" w14:textId="77777777">
            <w:pPr>
              <w:jc w:val="right"/>
              <w:rPr>
                <w:color w:val="000000"/>
                <w:sz w:val="16"/>
                <w:szCs w:val="16"/>
              </w:rPr>
            </w:pPr>
            <w:r w:rsidRPr="00661696">
              <w:rPr>
                <w:color w:val="000000"/>
                <w:sz w:val="16"/>
                <w:szCs w:val="16"/>
              </w:rPr>
              <w:t>5.0</w:t>
            </w:r>
          </w:p>
        </w:tc>
      </w:tr>
      <w:tr w14:paraId="5E4F5B08"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12A338E5" w14:textId="77777777">
            <w:pPr>
              <w:rPr>
                <w:sz w:val="16"/>
                <w:szCs w:val="16"/>
              </w:rPr>
            </w:pPr>
          </w:p>
        </w:tc>
        <w:tc>
          <w:tcPr>
            <w:tcW w:w="1800" w:type="dxa"/>
            <w:vMerge/>
            <w:shd w:val="clear" w:color="auto" w:fill="auto"/>
            <w:noWrap/>
            <w:vAlign w:val="center"/>
          </w:tcPr>
          <w:p w:rsidR="00A15716" w:rsidRPr="00661696" w:rsidP="009E19B1" w14:paraId="1ACA6762" w14:textId="67AE9074">
            <w:pPr>
              <w:jc w:val="right"/>
              <w:rPr>
                <w:color w:val="000000"/>
                <w:sz w:val="16"/>
                <w:szCs w:val="16"/>
              </w:rPr>
            </w:pPr>
          </w:p>
        </w:tc>
        <w:tc>
          <w:tcPr>
            <w:tcW w:w="1726" w:type="dxa"/>
            <w:vMerge/>
            <w:shd w:val="clear" w:color="auto" w:fill="auto"/>
            <w:noWrap/>
            <w:vAlign w:val="center"/>
          </w:tcPr>
          <w:p w:rsidR="00A15716" w:rsidRPr="00661696" w:rsidP="009E19B1" w14:paraId="61ECEB4C" w14:textId="1A1330D3">
            <w:pPr>
              <w:jc w:val="right"/>
              <w:rPr>
                <w:color w:val="000000"/>
                <w:sz w:val="16"/>
                <w:szCs w:val="16"/>
              </w:rPr>
            </w:pPr>
          </w:p>
        </w:tc>
        <w:tc>
          <w:tcPr>
            <w:tcW w:w="1823" w:type="dxa"/>
            <w:vMerge/>
            <w:shd w:val="clear" w:color="auto" w:fill="auto"/>
            <w:noWrap/>
            <w:vAlign w:val="center"/>
          </w:tcPr>
          <w:p w:rsidR="00A15716" w:rsidRPr="00661696" w:rsidP="009E19B1" w14:paraId="590BB480" w14:textId="5514CD42">
            <w:pPr>
              <w:jc w:val="right"/>
              <w:rPr>
                <w:color w:val="000000"/>
                <w:sz w:val="16"/>
                <w:szCs w:val="16"/>
              </w:rPr>
            </w:pPr>
          </w:p>
        </w:tc>
        <w:tc>
          <w:tcPr>
            <w:tcW w:w="1408" w:type="dxa"/>
            <w:shd w:val="clear" w:color="auto" w:fill="auto"/>
            <w:noWrap/>
            <w:vAlign w:val="center"/>
            <w:hideMark/>
          </w:tcPr>
          <w:p w:rsidR="00A15716" w:rsidRPr="00661696" w:rsidP="009E19B1" w14:paraId="31186FF0" w14:textId="77777777">
            <w:pPr>
              <w:jc w:val="right"/>
              <w:rPr>
                <w:color w:val="000000"/>
                <w:sz w:val="16"/>
                <w:szCs w:val="16"/>
              </w:rPr>
            </w:pPr>
            <w:r w:rsidRPr="00661696">
              <w:rPr>
                <w:color w:val="000000"/>
                <w:sz w:val="16"/>
                <w:szCs w:val="16"/>
              </w:rPr>
              <w:t>25.0</w:t>
            </w:r>
          </w:p>
        </w:tc>
        <w:tc>
          <w:tcPr>
            <w:tcW w:w="1210" w:type="dxa"/>
            <w:shd w:val="clear" w:color="auto" w:fill="auto"/>
            <w:noWrap/>
            <w:vAlign w:val="center"/>
            <w:hideMark/>
          </w:tcPr>
          <w:p w:rsidR="00A15716" w:rsidRPr="00661696" w:rsidP="009E19B1" w14:paraId="118B1113" w14:textId="77777777">
            <w:pPr>
              <w:jc w:val="right"/>
              <w:rPr>
                <w:color w:val="000000"/>
                <w:sz w:val="16"/>
                <w:szCs w:val="16"/>
              </w:rPr>
            </w:pPr>
            <w:r w:rsidRPr="00661696">
              <w:rPr>
                <w:color w:val="000000"/>
                <w:sz w:val="16"/>
                <w:szCs w:val="16"/>
              </w:rPr>
              <w:t>4.2</w:t>
            </w:r>
          </w:p>
        </w:tc>
        <w:tc>
          <w:tcPr>
            <w:tcW w:w="958" w:type="dxa"/>
            <w:shd w:val="clear" w:color="auto" w:fill="auto"/>
            <w:noWrap/>
            <w:vAlign w:val="center"/>
            <w:hideMark/>
          </w:tcPr>
          <w:p w:rsidR="00A15716" w:rsidRPr="00661696" w:rsidP="009E19B1" w14:paraId="1F1AB2F0" w14:textId="77777777">
            <w:pPr>
              <w:jc w:val="right"/>
              <w:rPr>
                <w:color w:val="000000"/>
                <w:sz w:val="16"/>
                <w:szCs w:val="16"/>
              </w:rPr>
            </w:pPr>
            <w:r w:rsidRPr="00661696">
              <w:rPr>
                <w:color w:val="000000"/>
                <w:sz w:val="16"/>
                <w:szCs w:val="16"/>
              </w:rPr>
              <w:t>8.7</w:t>
            </w:r>
          </w:p>
        </w:tc>
      </w:tr>
      <w:tr w14:paraId="2DE32D73"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0DD6B10F" w14:textId="77777777">
            <w:pPr>
              <w:rPr>
                <w:sz w:val="16"/>
                <w:szCs w:val="16"/>
              </w:rPr>
            </w:pPr>
          </w:p>
        </w:tc>
        <w:tc>
          <w:tcPr>
            <w:tcW w:w="1800" w:type="dxa"/>
            <w:vMerge/>
            <w:shd w:val="clear" w:color="auto" w:fill="auto"/>
            <w:noWrap/>
            <w:vAlign w:val="center"/>
          </w:tcPr>
          <w:p w:rsidR="00A15716" w:rsidRPr="00661696" w:rsidP="009E19B1" w14:paraId="00535429" w14:textId="2EE8A77B">
            <w:pPr>
              <w:jc w:val="right"/>
              <w:rPr>
                <w:color w:val="000000"/>
                <w:sz w:val="16"/>
                <w:szCs w:val="16"/>
              </w:rPr>
            </w:pPr>
          </w:p>
        </w:tc>
        <w:tc>
          <w:tcPr>
            <w:tcW w:w="1726" w:type="dxa"/>
            <w:vMerge/>
            <w:shd w:val="clear" w:color="auto" w:fill="auto"/>
            <w:noWrap/>
            <w:vAlign w:val="center"/>
          </w:tcPr>
          <w:p w:rsidR="00A15716" w:rsidRPr="00661696" w:rsidP="009E19B1" w14:paraId="17D055DB" w14:textId="0350CCB9">
            <w:pPr>
              <w:jc w:val="right"/>
              <w:rPr>
                <w:color w:val="000000"/>
                <w:sz w:val="16"/>
                <w:szCs w:val="16"/>
              </w:rPr>
            </w:pPr>
          </w:p>
        </w:tc>
        <w:tc>
          <w:tcPr>
            <w:tcW w:w="1823" w:type="dxa"/>
            <w:vMerge/>
            <w:shd w:val="clear" w:color="auto" w:fill="auto"/>
            <w:noWrap/>
            <w:vAlign w:val="center"/>
          </w:tcPr>
          <w:p w:rsidR="00A15716" w:rsidRPr="00661696" w:rsidP="009E19B1" w14:paraId="2E7A6570" w14:textId="6D44CBF1">
            <w:pPr>
              <w:jc w:val="right"/>
              <w:rPr>
                <w:color w:val="000000"/>
                <w:sz w:val="16"/>
                <w:szCs w:val="16"/>
              </w:rPr>
            </w:pPr>
          </w:p>
        </w:tc>
        <w:tc>
          <w:tcPr>
            <w:tcW w:w="1408" w:type="dxa"/>
            <w:shd w:val="clear" w:color="auto" w:fill="auto"/>
            <w:noWrap/>
            <w:vAlign w:val="center"/>
            <w:hideMark/>
          </w:tcPr>
          <w:p w:rsidR="00A15716" w:rsidRPr="00661696" w:rsidP="009E19B1" w14:paraId="28924858" w14:textId="77777777">
            <w:pPr>
              <w:jc w:val="right"/>
              <w:rPr>
                <w:color w:val="000000"/>
                <w:sz w:val="16"/>
                <w:szCs w:val="16"/>
              </w:rPr>
            </w:pPr>
            <w:r w:rsidRPr="00661696">
              <w:rPr>
                <w:color w:val="000000"/>
                <w:sz w:val="16"/>
                <w:szCs w:val="16"/>
              </w:rPr>
              <w:t>10.0</w:t>
            </w:r>
          </w:p>
        </w:tc>
        <w:tc>
          <w:tcPr>
            <w:tcW w:w="1210" w:type="dxa"/>
            <w:shd w:val="clear" w:color="auto" w:fill="auto"/>
            <w:noWrap/>
            <w:vAlign w:val="center"/>
            <w:hideMark/>
          </w:tcPr>
          <w:p w:rsidR="00A15716" w:rsidRPr="00661696" w:rsidP="009E19B1" w14:paraId="0EEE2F0A" w14:textId="77777777">
            <w:pPr>
              <w:jc w:val="right"/>
              <w:rPr>
                <w:color w:val="000000"/>
                <w:sz w:val="16"/>
                <w:szCs w:val="16"/>
              </w:rPr>
            </w:pPr>
            <w:r w:rsidRPr="00661696">
              <w:rPr>
                <w:color w:val="000000"/>
                <w:sz w:val="16"/>
                <w:szCs w:val="16"/>
              </w:rPr>
              <w:t>2.9</w:t>
            </w:r>
          </w:p>
        </w:tc>
        <w:tc>
          <w:tcPr>
            <w:tcW w:w="958" w:type="dxa"/>
            <w:shd w:val="clear" w:color="auto" w:fill="auto"/>
            <w:noWrap/>
            <w:vAlign w:val="center"/>
            <w:hideMark/>
          </w:tcPr>
          <w:p w:rsidR="00A15716" w:rsidRPr="00661696" w:rsidP="009E19B1" w14:paraId="628F48A8" w14:textId="77777777">
            <w:pPr>
              <w:jc w:val="right"/>
              <w:rPr>
                <w:color w:val="000000"/>
                <w:sz w:val="16"/>
                <w:szCs w:val="16"/>
              </w:rPr>
            </w:pPr>
            <w:r w:rsidRPr="00661696">
              <w:rPr>
                <w:color w:val="000000"/>
                <w:sz w:val="16"/>
                <w:szCs w:val="16"/>
              </w:rPr>
              <w:t>15.0</w:t>
            </w:r>
          </w:p>
        </w:tc>
      </w:tr>
      <w:tr w14:paraId="188EF2D7"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3AF6210B" w14:textId="77777777">
            <w:pPr>
              <w:rPr>
                <w:sz w:val="16"/>
                <w:szCs w:val="16"/>
              </w:rPr>
            </w:pPr>
          </w:p>
        </w:tc>
        <w:tc>
          <w:tcPr>
            <w:tcW w:w="1800" w:type="dxa"/>
            <w:vMerge/>
            <w:shd w:val="clear" w:color="auto" w:fill="auto"/>
            <w:noWrap/>
            <w:vAlign w:val="center"/>
          </w:tcPr>
          <w:p w:rsidR="00A15716" w:rsidRPr="00661696" w:rsidP="009E19B1" w14:paraId="0F5E6A42" w14:textId="2E6DDE65">
            <w:pPr>
              <w:jc w:val="right"/>
              <w:rPr>
                <w:color w:val="000000"/>
                <w:sz w:val="16"/>
                <w:szCs w:val="16"/>
              </w:rPr>
            </w:pPr>
          </w:p>
        </w:tc>
        <w:tc>
          <w:tcPr>
            <w:tcW w:w="1726" w:type="dxa"/>
            <w:vMerge/>
            <w:shd w:val="clear" w:color="auto" w:fill="auto"/>
            <w:noWrap/>
            <w:vAlign w:val="center"/>
          </w:tcPr>
          <w:p w:rsidR="00A15716" w:rsidRPr="00661696" w:rsidP="009E19B1" w14:paraId="341F0F7D" w14:textId="6D71B8AD">
            <w:pPr>
              <w:jc w:val="right"/>
              <w:rPr>
                <w:color w:val="000000"/>
                <w:sz w:val="16"/>
                <w:szCs w:val="16"/>
              </w:rPr>
            </w:pPr>
          </w:p>
        </w:tc>
        <w:tc>
          <w:tcPr>
            <w:tcW w:w="1823" w:type="dxa"/>
            <w:vMerge/>
            <w:shd w:val="clear" w:color="auto" w:fill="auto"/>
            <w:noWrap/>
            <w:vAlign w:val="center"/>
          </w:tcPr>
          <w:p w:rsidR="00A15716" w:rsidRPr="00661696" w:rsidP="009E19B1" w14:paraId="26A1FA04" w14:textId="4DCA8589">
            <w:pPr>
              <w:jc w:val="right"/>
              <w:rPr>
                <w:color w:val="000000"/>
                <w:sz w:val="16"/>
                <w:szCs w:val="16"/>
              </w:rPr>
            </w:pPr>
          </w:p>
        </w:tc>
        <w:tc>
          <w:tcPr>
            <w:tcW w:w="1408" w:type="dxa"/>
            <w:shd w:val="clear" w:color="auto" w:fill="auto"/>
            <w:noWrap/>
            <w:vAlign w:val="center"/>
            <w:hideMark/>
          </w:tcPr>
          <w:p w:rsidR="00A15716" w:rsidRPr="00661696" w:rsidP="009E19B1" w14:paraId="2F01297F" w14:textId="77777777">
            <w:pPr>
              <w:jc w:val="right"/>
              <w:rPr>
                <w:color w:val="000000"/>
                <w:sz w:val="16"/>
                <w:szCs w:val="16"/>
              </w:rPr>
            </w:pPr>
            <w:r w:rsidRPr="00661696">
              <w:rPr>
                <w:color w:val="000000"/>
                <w:sz w:val="16"/>
                <w:szCs w:val="16"/>
              </w:rPr>
              <w:t>5.0</w:t>
            </w:r>
          </w:p>
        </w:tc>
        <w:tc>
          <w:tcPr>
            <w:tcW w:w="1210" w:type="dxa"/>
            <w:shd w:val="clear" w:color="auto" w:fill="auto"/>
            <w:noWrap/>
            <w:vAlign w:val="center"/>
            <w:hideMark/>
          </w:tcPr>
          <w:p w:rsidR="00A15716" w:rsidRPr="00661696" w:rsidP="009E19B1" w14:paraId="5AA1AFE6" w14:textId="77777777">
            <w:pPr>
              <w:jc w:val="right"/>
              <w:rPr>
                <w:color w:val="000000"/>
                <w:sz w:val="16"/>
                <w:szCs w:val="16"/>
              </w:rPr>
            </w:pPr>
            <w:r w:rsidRPr="00661696">
              <w:rPr>
                <w:color w:val="000000"/>
                <w:sz w:val="16"/>
                <w:szCs w:val="16"/>
              </w:rPr>
              <w:t>2.1</w:t>
            </w:r>
          </w:p>
        </w:tc>
        <w:tc>
          <w:tcPr>
            <w:tcW w:w="958" w:type="dxa"/>
            <w:shd w:val="clear" w:color="000000" w:fill="FFC7CE"/>
            <w:noWrap/>
            <w:vAlign w:val="center"/>
            <w:hideMark/>
          </w:tcPr>
          <w:p w:rsidR="00A15716" w:rsidRPr="00661696" w:rsidP="009E19B1" w14:paraId="07E5DE54" w14:textId="77777777">
            <w:pPr>
              <w:jc w:val="right"/>
              <w:rPr>
                <w:color w:val="9C0006"/>
                <w:sz w:val="16"/>
                <w:szCs w:val="16"/>
              </w:rPr>
            </w:pPr>
            <w:r w:rsidRPr="00661696">
              <w:rPr>
                <w:color w:val="9C0006"/>
                <w:sz w:val="16"/>
                <w:szCs w:val="16"/>
              </w:rPr>
              <w:t>21.8</w:t>
            </w:r>
          </w:p>
        </w:tc>
      </w:tr>
      <w:tr w14:paraId="5DA9E8E8" w14:textId="77777777" w:rsidTr="0067576E">
        <w:tblPrEx>
          <w:tblW w:w="10620" w:type="dxa"/>
          <w:tblInd w:w="-360" w:type="dxa"/>
          <w:tblLook w:val="04A0"/>
        </w:tblPrEx>
        <w:trPr>
          <w:trHeight w:val="20"/>
        </w:trPr>
        <w:tc>
          <w:tcPr>
            <w:tcW w:w="10620" w:type="dxa"/>
            <w:gridSpan w:val="7"/>
            <w:shd w:val="clear" w:color="auto" w:fill="BFBFBF" w:themeFill="background1" w:themeFillShade="BF"/>
            <w:noWrap/>
            <w:vAlign w:val="center"/>
          </w:tcPr>
          <w:p w:rsidR="00A15716" w:rsidRPr="00661696" w:rsidP="00A15716" w14:paraId="0A258D49" w14:textId="5495DE4E">
            <w:pPr>
              <w:rPr>
                <w:color w:val="9C0006"/>
                <w:sz w:val="16"/>
                <w:szCs w:val="16"/>
              </w:rPr>
            </w:pPr>
            <w:r w:rsidRPr="00661696">
              <w:rPr>
                <w:sz w:val="16"/>
                <w:szCs w:val="16"/>
              </w:rPr>
              <w:t>City Survey - Denver</w:t>
            </w:r>
          </w:p>
        </w:tc>
      </w:tr>
      <w:tr w14:paraId="04D39CD5" w14:textId="77777777" w:rsidTr="0067576E">
        <w:tblPrEx>
          <w:tblW w:w="10620" w:type="dxa"/>
          <w:tblInd w:w="-360" w:type="dxa"/>
          <w:tblLook w:val="04A0"/>
        </w:tblPrEx>
        <w:trPr>
          <w:trHeight w:val="20"/>
        </w:trPr>
        <w:tc>
          <w:tcPr>
            <w:tcW w:w="1695" w:type="dxa"/>
            <w:vMerge w:val="restart"/>
            <w:shd w:val="clear" w:color="auto" w:fill="auto"/>
            <w:noWrap/>
            <w:vAlign w:val="center"/>
            <w:hideMark/>
          </w:tcPr>
          <w:p w:rsidR="00A15716" w:rsidRPr="00661696" w:rsidP="009E19B1" w14:paraId="57201016" w14:textId="77777777">
            <w:pPr>
              <w:rPr>
                <w:color w:val="000000"/>
                <w:sz w:val="16"/>
                <w:szCs w:val="16"/>
              </w:rPr>
            </w:pPr>
            <w:r w:rsidRPr="00661696">
              <w:rPr>
                <w:color w:val="000000"/>
                <w:sz w:val="16"/>
                <w:szCs w:val="16"/>
              </w:rPr>
              <w:t>2.a</w:t>
            </w:r>
          </w:p>
        </w:tc>
        <w:tc>
          <w:tcPr>
            <w:tcW w:w="1800" w:type="dxa"/>
            <w:vMerge w:val="restart"/>
            <w:shd w:val="clear" w:color="auto" w:fill="auto"/>
            <w:noWrap/>
            <w:vAlign w:val="center"/>
            <w:hideMark/>
          </w:tcPr>
          <w:p w:rsidR="00A15716" w:rsidRPr="00661696" w:rsidP="009E19B1" w14:paraId="0415F72F" w14:textId="77777777">
            <w:pPr>
              <w:jc w:val="right"/>
              <w:rPr>
                <w:color w:val="000000"/>
                <w:sz w:val="16"/>
                <w:szCs w:val="16"/>
              </w:rPr>
            </w:pPr>
            <w:r w:rsidRPr="00661696">
              <w:rPr>
                <w:color w:val="000000"/>
                <w:sz w:val="16"/>
                <w:szCs w:val="16"/>
              </w:rPr>
              <w:t>771,717</w:t>
            </w:r>
          </w:p>
        </w:tc>
        <w:tc>
          <w:tcPr>
            <w:tcW w:w="1726" w:type="dxa"/>
            <w:vMerge w:val="restart"/>
            <w:shd w:val="clear" w:color="auto" w:fill="auto"/>
            <w:noWrap/>
            <w:vAlign w:val="center"/>
            <w:hideMark/>
          </w:tcPr>
          <w:p w:rsidR="00A15716" w:rsidRPr="00661696" w:rsidP="009E19B1" w14:paraId="59B87BB9" w14:textId="77777777">
            <w:pPr>
              <w:jc w:val="right"/>
              <w:rPr>
                <w:color w:val="000000"/>
                <w:sz w:val="16"/>
                <w:szCs w:val="16"/>
              </w:rPr>
            </w:pPr>
            <w:r w:rsidRPr="00661696">
              <w:rPr>
                <w:color w:val="000000"/>
                <w:sz w:val="16"/>
                <w:szCs w:val="16"/>
              </w:rPr>
              <w:t>2,933</w:t>
            </w:r>
          </w:p>
        </w:tc>
        <w:tc>
          <w:tcPr>
            <w:tcW w:w="1823" w:type="dxa"/>
            <w:vMerge w:val="restart"/>
            <w:shd w:val="clear" w:color="auto" w:fill="auto"/>
            <w:noWrap/>
            <w:vAlign w:val="center"/>
            <w:hideMark/>
          </w:tcPr>
          <w:p w:rsidR="00A15716" w:rsidRPr="00661696" w:rsidP="009E19B1" w14:paraId="156F4426" w14:textId="77777777">
            <w:pPr>
              <w:jc w:val="right"/>
              <w:rPr>
                <w:color w:val="000000"/>
                <w:sz w:val="16"/>
                <w:szCs w:val="16"/>
              </w:rPr>
            </w:pPr>
            <w:r w:rsidRPr="00661696">
              <w:rPr>
                <w:color w:val="000000"/>
                <w:sz w:val="16"/>
                <w:szCs w:val="16"/>
              </w:rPr>
              <w:t>1.0</w:t>
            </w:r>
          </w:p>
        </w:tc>
        <w:tc>
          <w:tcPr>
            <w:tcW w:w="1408" w:type="dxa"/>
            <w:shd w:val="clear" w:color="auto" w:fill="auto"/>
            <w:noWrap/>
            <w:vAlign w:val="center"/>
            <w:hideMark/>
          </w:tcPr>
          <w:p w:rsidR="00A15716" w:rsidRPr="00661696" w:rsidP="009E19B1" w14:paraId="68961468" w14:textId="77777777">
            <w:pPr>
              <w:jc w:val="right"/>
              <w:rPr>
                <w:color w:val="000000"/>
                <w:sz w:val="16"/>
                <w:szCs w:val="16"/>
              </w:rPr>
            </w:pPr>
            <w:r w:rsidRPr="00661696">
              <w:rPr>
                <w:color w:val="000000"/>
                <w:sz w:val="16"/>
                <w:szCs w:val="16"/>
              </w:rPr>
              <w:t>50.0</w:t>
            </w:r>
          </w:p>
        </w:tc>
        <w:tc>
          <w:tcPr>
            <w:tcW w:w="1210" w:type="dxa"/>
            <w:shd w:val="clear" w:color="auto" w:fill="auto"/>
            <w:noWrap/>
            <w:vAlign w:val="center"/>
            <w:hideMark/>
          </w:tcPr>
          <w:p w:rsidR="00A15716" w:rsidRPr="00661696" w:rsidP="009E19B1" w14:paraId="6099D93C" w14:textId="77777777">
            <w:pPr>
              <w:jc w:val="right"/>
              <w:rPr>
                <w:color w:val="000000"/>
                <w:sz w:val="16"/>
                <w:szCs w:val="16"/>
              </w:rPr>
            </w:pPr>
            <w:r w:rsidRPr="00661696">
              <w:rPr>
                <w:color w:val="000000"/>
                <w:sz w:val="16"/>
                <w:szCs w:val="16"/>
              </w:rPr>
              <w:t>1.8</w:t>
            </w:r>
          </w:p>
        </w:tc>
        <w:tc>
          <w:tcPr>
            <w:tcW w:w="958" w:type="dxa"/>
            <w:shd w:val="clear" w:color="auto" w:fill="auto"/>
            <w:noWrap/>
            <w:vAlign w:val="center"/>
            <w:hideMark/>
          </w:tcPr>
          <w:p w:rsidR="00A15716" w:rsidRPr="00661696" w:rsidP="009E19B1" w14:paraId="092FAB84" w14:textId="77777777">
            <w:pPr>
              <w:jc w:val="right"/>
              <w:rPr>
                <w:color w:val="000000"/>
                <w:sz w:val="16"/>
                <w:szCs w:val="16"/>
              </w:rPr>
            </w:pPr>
            <w:r w:rsidRPr="00661696">
              <w:rPr>
                <w:color w:val="000000"/>
                <w:sz w:val="16"/>
                <w:szCs w:val="16"/>
              </w:rPr>
              <w:t>1.8</w:t>
            </w:r>
          </w:p>
        </w:tc>
      </w:tr>
      <w:tr w14:paraId="1BD59B9A"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7FDB3FBD" w14:textId="77777777">
            <w:pPr>
              <w:rPr>
                <w:sz w:val="16"/>
                <w:szCs w:val="16"/>
              </w:rPr>
            </w:pPr>
          </w:p>
        </w:tc>
        <w:tc>
          <w:tcPr>
            <w:tcW w:w="1800" w:type="dxa"/>
            <w:vMerge/>
            <w:shd w:val="clear" w:color="auto" w:fill="auto"/>
            <w:noWrap/>
            <w:vAlign w:val="center"/>
          </w:tcPr>
          <w:p w:rsidR="00A15716" w:rsidRPr="00661696" w:rsidP="009E19B1" w14:paraId="1929363D" w14:textId="6CEE5F87">
            <w:pPr>
              <w:jc w:val="right"/>
              <w:rPr>
                <w:color w:val="000000"/>
                <w:sz w:val="16"/>
                <w:szCs w:val="16"/>
              </w:rPr>
            </w:pPr>
          </w:p>
        </w:tc>
        <w:tc>
          <w:tcPr>
            <w:tcW w:w="1726" w:type="dxa"/>
            <w:vMerge/>
            <w:shd w:val="clear" w:color="auto" w:fill="auto"/>
            <w:noWrap/>
            <w:vAlign w:val="center"/>
          </w:tcPr>
          <w:p w:rsidR="00A15716" w:rsidRPr="00661696" w:rsidP="009E19B1" w14:paraId="5D12904F" w14:textId="64790B20">
            <w:pPr>
              <w:jc w:val="right"/>
              <w:rPr>
                <w:color w:val="000000"/>
                <w:sz w:val="16"/>
                <w:szCs w:val="16"/>
              </w:rPr>
            </w:pPr>
          </w:p>
        </w:tc>
        <w:tc>
          <w:tcPr>
            <w:tcW w:w="1823" w:type="dxa"/>
            <w:vMerge/>
            <w:shd w:val="clear" w:color="auto" w:fill="auto"/>
            <w:noWrap/>
            <w:vAlign w:val="center"/>
          </w:tcPr>
          <w:p w:rsidR="00A15716" w:rsidRPr="00661696" w:rsidP="009E19B1" w14:paraId="2C3711D9" w14:textId="1D1FB540">
            <w:pPr>
              <w:jc w:val="right"/>
              <w:rPr>
                <w:color w:val="000000"/>
                <w:sz w:val="16"/>
                <w:szCs w:val="16"/>
              </w:rPr>
            </w:pPr>
          </w:p>
        </w:tc>
        <w:tc>
          <w:tcPr>
            <w:tcW w:w="1408" w:type="dxa"/>
            <w:shd w:val="clear" w:color="auto" w:fill="auto"/>
            <w:noWrap/>
            <w:vAlign w:val="center"/>
            <w:hideMark/>
          </w:tcPr>
          <w:p w:rsidR="00A15716" w:rsidRPr="00661696" w:rsidP="009E19B1" w14:paraId="57B481EE" w14:textId="77777777">
            <w:pPr>
              <w:jc w:val="right"/>
              <w:rPr>
                <w:color w:val="000000"/>
                <w:sz w:val="16"/>
                <w:szCs w:val="16"/>
              </w:rPr>
            </w:pPr>
            <w:r w:rsidRPr="00661696">
              <w:rPr>
                <w:color w:val="000000"/>
                <w:sz w:val="16"/>
                <w:szCs w:val="16"/>
              </w:rPr>
              <w:t>25.0</w:t>
            </w:r>
          </w:p>
        </w:tc>
        <w:tc>
          <w:tcPr>
            <w:tcW w:w="1210" w:type="dxa"/>
            <w:shd w:val="clear" w:color="auto" w:fill="auto"/>
            <w:noWrap/>
            <w:vAlign w:val="center"/>
            <w:hideMark/>
          </w:tcPr>
          <w:p w:rsidR="00A15716" w:rsidRPr="00661696" w:rsidP="009E19B1" w14:paraId="42E967F8" w14:textId="77777777">
            <w:pPr>
              <w:jc w:val="right"/>
              <w:rPr>
                <w:color w:val="000000"/>
                <w:sz w:val="16"/>
                <w:szCs w:val="16"/>
              </w:rPr>
            </w:pPr>
            <w:r w:rsidRPr="00661696">
              <w:rPr>
                <w:color w:val="000000"/>
                <w:sz w:val="16"/>
                <w:szCs w:val="16"/>
              </w:rPr>
              <w:t>1.6</w:t>
            </w:r>
          </w:p>
        </w:tc>
        <w:tc>
          <w:tcPr>
            <w:tcW w:w="958" w:type="dxa"/>
            <w:shd w:val="clear" w:color="auto" w:fill="auto"/>
            <w:noWrap/>
            <w:vAlign w:val="center"/>
            <w:hideMark/>
          </w:tcPr>
          <w:p w:rsidR="00A15716" w:rsidRPr="00661696" w:rsidP="009E19B1" w14:paraId="0F466D23" w14:textId="77777777">
            <w:pPr>
              <w:jc w:val="right"/>
              <w:rPr>
                <w:color w:val="000000"/>
                <w:sz w:val="16"/>
                <w:szCs w:val="16"/>
              </w:rPr>
            </w:pPr>
            <w:r w:rsidRPr="00661696">
              <w:rPr>
                <w:color w:val="000000"/>
                <w:sz w:val="16"/>
                <w:szCs w:val="16"/>
              </w:rPr>
              <w:t>3.2</w:t>
            </w:r>
          </w:p>
        </w:tc>
      </w:tr>
      <w:tr w14:paraId="3C9ADC63"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7D0D9966" w14:textId="77777777">
            <w:pPr>
              <w:rPr>
                <w:sz w:val="16"/>
                <w:szCs w:val="16"/>
              </w:rPr>
            </w:pPr>
          </w:p>
        </w:tc>
        <w:tc>
          <w:tcPr>
            <w:tcW w:w="1800" w:type="dxa"/>
            <w:vMerge/>
            <w:shd w:val="clear" w:color="auto" w:fill="auto"/>
            <w:noWrap/>
            <w:vAlign w:val="center"/>
          </w:tcPr>
          <w:p w:rsidR="00A15716" w:rsidRPr="00661696" w:rsidP="009E19B1" w14:paraId="0DC2D7F7" w14:textId="0FD3A6DF">
            <w:pPr>
              <w:jc w:val="right"/>
              <w:rPr>
                <w:color w:val="000000"/>
                <w:sz w:val="16"/>
                <w:szCs w:val="16"/>
              </w:rPr>
            </w:pPr>
          </w:p>
        </w:tc>
        <w:tc>
          <w:tcPr>
            <w:tcW w:w="1726" w:type="dxa"/>
            <w:vMerge/>
            <w:shd w:val="clear" w:color="auto" w:fill="auto"/>
            <w:noWrap/>
            <w:vAlign w:val="center"/>
          </w:tcPr>
          <w:p w:rsidR="00A15716" w:rsidRPr="00661696" w:rsidP="009E19B1" w14:paraId="06E3E697" w14:textId="0619C4CB">
            <w:pPr>
              <w:jc w:val="right"/>
              <w:rPr>
                <w:color w:val="000000"/>
                <w:sz w:val="16"/>
                <w:szCs w:val="16"/>
              </w:rPr>
            </w:pPr>
          </w:p>
        </w:tc>
        <w:tc>
          <w:tcPr>
            <w:tcW w:w="1823" w:type="dxa"/>
            <w:vMerge/>
            <w:shd w:val="clear" w:color="auto" w:fill="auto"/>
            <w:noWrap/>
            <w:vAlign w:val="center"/>
          </w:tcPr>
          <w:p w:rsidR="00A15716" w:rsidRPr="00661696" w:rsidP="009E19B1" w14:paraId="7011E9BF" w14:textId="12ACB148">
            <w:pPr>
              <w:jc w:val="right"/>
              <w:rPr>
                <w:color w:val="000000"/>
                <w:sz w:val="16"/>
                <w:szCs w:val="16"/>
              </w:rPr>
            </w:pPr>
          </w:p>
        </w:tc>
        <w:tc>
          <w:tcPr>
            <w:tcW w:w="1408" w:type="dxa"/>
            <w:shd w:val="clear" w:color="auto" w:fill="auto"/>
            <w:noWrap/>
            <w:vAlign w:val="center"/>
            <w:hideMark/>
          </w:tcPr>
          <w:p w:rsidR="00A15716" w:rsidRPr="00661696" w:rsidP="009E19B1" w14:paraId="7A413BBF" w14:textId="77777777">
            <w:pPr>
              <w:jc w:val="right"/>
              <w:rPr>
                <w:color w:val="000000"/>
                <w:sz w:val="16"/>
                <w:szCs w:val="16"/>
              </w:rPr>
            </w:pPr>
            <w:r w:rsidRPr="00661696">
              <w:rPr>
                <w:color w:val="000000"/>
                <w:sz w:val="16"/>
                <w:szCs w:val="16"/>
              </w:rPr>
              <w:t>10.0</w:t>
            </w:r>
          </w:p>
        </w:tc>
        <w:tc>
          <w:tcPr>
            <w:tcW w:w="1210" w:type="dxa"/>
            <w:shd w:val="clear" w:color="auto" w:fill="auto"/>
            <w:noWrap/>
            <w:vAlign w:val="center"/>
            <w:hideMark/>
          </w:tcPr>
          <w:p w:rsidR="00A15716" w:rsidRPr="00661696" w:rsidP="009E19B1" w14:paraId="339DF5DD" w14:textId="77777777">
            <w:pPr>
              <w:jc w:val="right"/>
              <w:rPr>
                <w:color w:val="000000"/>
                <w:sz w:val="16"/>
                <w:szCs w:val="16"/>
              </w:rPr>
            </w:pPr>
            <w:r w:rsidRPr="00661696">
              <w:rPr>
                <w:color w:val="000000"/>
                <w:sz w:val="16"/>
                <w:szCs w:val="16"/>
              </w:rPr>
              <w:t>1.1</w:t>
            </w:r>
          </w:p>
        </w:tc>
        <w:tc>
          <w:tcPr>
            <w:tcW w:w="958" w:type="dxa"/>
            <w:shd w:val="clear" w:color="auto" w:fill="auto"/>
            <w:noWrap/>
            <w:vAlign w:val="center"/>
            <w:hideMark/>
          </w:tcPr>
          <w:p w:rsidR="00A15716" w:rsidRPr="00661696" w:rsidP="009E19B1" w14:paraId="4DEDF347" w14:textId="77777777">
            <w:pPr>
              <w:jc w:val="right"/>
              <w:rPr>
                <w:color w:val="000000"/>
                <w:sz w:val="16"/>
                <w:szCs w:val="16"/>
              </w:rPr>
            </w:pPr>
            <w:r w:rsidRPr="00661696">
              <w:rPr>
                <w:color w:val="000000"/>
                <w:sz w:val="16"/>
                <w:szCs w:val="16"/>
              </w:rPr>
              <w:t>5.5</w:t>
            </w:r>
          </w:p>
        </w:tc>
      </w:tr>
      <w:tr w14:paraId="10159A5B"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1A93A969" w14:textId="77777777">
            <w:pPr>
              <w:rPr>
                <w:sz w:val="16"/>
                <w:szCs w:val="16"/>
              </w:rPr>
            </w:pPr>
          </w:p>
        </w:tc>
        <w:tc>
          <w:tcPr>
            <w:tcW w:w="1800" w:type="dxa"/>
            <w:vMerge/>
            <w:shd w:val="clear" w:color="auto" w:fill="auto"/>
            <w:noWrap/>
            <w:vAlign w:val="center"/>
          </w:tcPr>
          <w:p w:rsidR="00A15716" w:rsidRPr="00661696" w:rsidP="009E19B1" w14:paraId="2DD6F30B" w14:textId="45B570FC">
            <w:pPr>
              <w:jc w:val="right"/>
              <w:rPr>
                <w:color w:val="000000"/>
                <w:sz w:val="16"/>
                <w:szCs w:val="16"/>
              </w:rPr>
            </w:pPr>
          </w:p>
        </w:tc>
        <w:tc>
          <w:tcPr>
            <w:tcW w:w="1726" w:type="dxa"/>
            <w:vMerge/>
            <w:shd w:val="clear" w:color="auto" w:fill="auto"/>
            <w:noWrap/>
            <w:vAlign w:val="center"/>
          </w:tcPr>
          <w:p w:rsidR="00A15716" w:rsidRPr="00661696" w:rsidP="009E19B1" w14:paraId="2A36B4EE" w14:textId="6A17FC98">
            <w:pPr>
              <w:jc w:val="right"/>
              <w:rPr>
                <w:color w:val="000000"/>
                <w:sz w:val="16"/>
                <w:szCs w:val="16"/>
              </w:rPr>
            </w:pPr>
          </w:p>
        </w:tc>
        <w:tc>
          <w:tcPr>
            <w:tcW w:w="1823" w:type="dxa"/>
            <w:vMerge/>
            <w:shd w:val="clear" w:color="auto" w:fill="auto"/>
            <w:noWrap/>
            <w:vAlign w:val="center"/>
          </w:tcPr>
          <w:p w:rsidR="00A15716" w:rsidRPr="00661696" w:rsidP="009E19B1" w14:paraId="0FC7D054" w14:textId="259F449D">
            <w:pPr>
              <w:jc w:val="right"/>
              <w:rPr>
                <w:color w:val="000000"/>
                <w:sz w:val="16"/>
                <w:szCs w:val="16"/>
              </w:rPr>
            </w:pPr>
          </w:p>
        </w:tc>
        <w:tc>
          <w:tcPr>
            <w:tcW w:w="1408" w:type="dxa"/>
            <w:shd w:val="clear" w:color="auto" w:fill="auto"/>
            <w:noWrap/>
            <w:vAlign w:val="center"/>
            <w:hideMark/>
          </w:tcPr>
          <w:p w:rsidR="00A15716" w:rsidRPr="00661696" w:rsidP="009E19B1" w14:paraId="7F8FCD06" w14:textId="77777777">
            <w:pPr>
              <w:jc w:val="right"/>
              <w:rPr>
                <w:color w:val="000000"/>
                <w:sz w:val="16"/>
                <w:szCs w:val="16"/>
              </w:rPr>
            </w:pPr>
            <w:r w:rsidRPr="00661696">
              <w:rPr>
                <w:color w:val="000000"/>
                <w:sz w:val="16"/>
                <w:szCs w:val="16"/>
              </w:rPr>
              <w:t>5.0</w:t>
            </w:r>
          </w:p>
        </w:tc>
        <w:tc>
          <w:tcPr>
            <w:tcW w:w="1210" w:type="dxa"/>
            <w:shd w:val="clear" w:color="auto" w:fill="auto"/>
            <w:noWrap/>
            <w:vAlign w:val="center"/>
            <w:hideMark/>
          </w:tcPr>
          <w:p w:rsidR="00A15716" w:rsidRPr="00661696" w:rsidP="009E19B1" w14:paraId="4AB96D51" w14:textId="77777777">
            <w:pPr>
              <w:jc w:val="right"/>
              <w:rPr>
                <w:color w:val="000000"/>
                <w:sz w:val="16"/>
                <w:szCs w:val="16"/>
              </w:rPr>
            </w:pPr>
            <w:r w:rsidRPr="00661696">
              <w:rPr>
                <w:color w:val="000000"/>
                <w:sz w:val="16"/>
                <w:szCs w:val="16"/>
              </w:rPr>
              <w:t>0.8</w:t>
            </w:r>
          </w:p>
        </w:tc>
        <w:tc>
          <w:tcPr>
            <w:tcW w:w="958" w:type="dxa"/>
            <w:shd w:val="clear" w:color="auto" w:fill="auto"/>
            <w:noWrap/>
            <w:vAlign w:val="center"/>
            <w:hideMark/>
          </w:tcPr>
          <w:p w:rsidR="00A15716" w:rsidRPr="00661696" w:rsidP="009E19B1" w14:paraId="46A3AC4B" w14:textId="77777777">
            <w:pPr>
              <w:jc w:val="right"/>
              <w:rPr>
                <w:color w:val="000000"/>
                <w:sz w:val="16"/>
                <w:szCs w:val="16"/>
              </w:rPr>
            </w:pPr>
            <w:r w:rsidRPr="00661696">
              <w:rPr>
                <w:color w:val="000000"/>
                <w:sz w:val="16"/>
                <w:szCs w:val="16"/>
              </w:rPr>
              <w:t>8.0</w:t>
            </w:r>
          </w:p>
        </w:tc>
      </w:tr>
      <w:tr w14:paraId="7A0300BB"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5874668A" w14:textId="77777777">
            <w:pPr>
              <w:rPr>
                <w:sz w:val="16"/>
                <w:szCs w:val="16"/>
              </w:rPr>
            </w:pPr>
          </w:p>
        </w:tc>
        <w:tc>
          <w:tcPr>
            <w:tcW w:w="1800" w:type="dxa"/>
            <w:vMerge/>
            <w:shd w:val="clear" w:color="auto" w:fill="auto"/>
            <w:noWrap/>
            <w:vAlign w:val="center"/>
          </w:tcPr>
          <w:p w:rsidR="00A15716" w:rsidRPr="00661696" w:rsidP="009E19B1" w14:paraId="048EAEB4" w14:textId="5CBC4152">
            <w:pPr>
              <w:jc w:val="right"/>
              <w:rPr>
                <w:color w:val="000000"/>
                <w:sz w:val="16"/>
                <w:szCs w:val="16"/>
              </w:rPr>
            </w:pPr>
          </w:p>
        </w:tc>
        <w:tc>
          <w:tcPr>
            <w:tcW w:w="1726" w:type="dxa"/>
            <w:vMerge/>
            <w:shd w:val="clear" w:color="auto" w:fill="auto"/>
            <w:noWrap/>
            <w:vAlign w:val="center"/>
          </w:tcPr>
          <w:p w:rsidR="00A15716" w:rsidRPr="00661696" w:rsidP="009E19B1" w14:paraId="70D0D873" w14:textId="4C284C2C">
            <w:pPr>
              <w:jc w:val="right"/>
              <w:rPr>
                <w:color w:val="000000"/>
                <w:sz w:val="16"/>
                <w:szCs w:val="16"/>
              </w:rPr>
            </w:pPr>
          </w:p>
        </w:tc>
        <w:tc>
          <w:tcPr>
            <w:tcW w:w="1823" w:type="dxa"/>
            <w:vMerge/>
            <w:shd w:val="clear" w:color="auto" w:fill="auto"/>
            <w:noWrap/>
            <w:vAlign w:val="center"/>
          </w:tcPr>
          <w:p w:rsidR="00A15716" w:rsidRPr="00661696" w:rsidP="009E19B1" w14:paraId="170CA24D" w14:textId="354250F3">
            <w:pPr>
              <w:jc w:val="right"/>
              <w:rPr>
                <w:color w:val="000000"/>
                <w:sz w:val="16"/>
                <w:szCs w:val="16"/>
              </w:rPr>
            </w:pPr>
          </w:p>
        </w:tc>
        <w:tc>
          <w:tcPr>
            <w:tcW w:w="1408" w:type="dxa"/>
            <w:shd w:val="clear" w:color="auto" w:fill="auto"/>
            <w:noWrap/>
            <w:vAlign w:val="center"/>
            <w:hideMark/>
          </w:tcPr>
          <w:p w:rsidR="00A15716" w:rsidRPr="00661696" w:rsidP="009E19B1" w14:paraId="5ABB1473" w14:textId="77777777">
            <w:pPr>
              <w:jc w:val="right"/>
              <w:rPr>
                <w:color w:val="000000"/>
                <w:sz w:val="16"/>
                <w:szCs w:val="16"/>
              </w:rPr>
            </w:pPr>
            <w:r w:rsidRPr="00661696">
              <w:rPr>
                <w:color w:val="000000"/>
                <w:sz w:val="16"/>
                <w:szCs w:val="16"/>
              </w:rPr>
              <w:t>2.5</w:t>
            </w:r>
          </w:p>
        </w:tc>
        <w:tc>
          <w:tcPr>
            <w:tcW w:w="1210" w:type="dxa"/>
            <w:shd w:val="clear" w:color="auto" w:fill="auto"/>
            <w:noWrap/>
            <w:vAlign w:val="center"/>
            <w:hideMark/>
          </w:tcPr>
          <w:p w:rsidR="00A15716" w:rsidRPr="00661696" w:rsidP="009E19B1" w14:paraId="560C6D9F" w14:textId="77777777">
            <w:pPr>
              <w:jc w:val="right"/>
              <w:rPr>
                <w:color w:val="000000"/>
                <w:sz w:val="16"/>
                <w:szCs w:val="16"/>
              </w:rPr>
            </w:pPr>
            <w:r w:rsidRPr="00661696">
              <w:rPr>
                <w:color w:val="000000"/>
                <w:sz w:val="16"/>
                <w:szCs w:val="16"/>
              </w:rPr>
              <w:t>0.6</w:t>
            </w:r>
          </w:p>
        </w:tc>
        <w:tc>
          <w:tcPr>
            <w:tcW w:w="958" w:type="dxa"/>
            <w:shd w:val="clear" w:color="auto" w:fill="auto"/>
            <w:noWrap/>
            <w:vAlign w:val="center"/>
            <w:hideMark/>
          </w:tcPr>
          <w:p w:rsidR="00A15716" w:rsidRPr="00661696" w:rsidP="009E19B1" w14:paraId="35D6518B" w14:textId="77777777">
            <w:pPr>
              <w:jc w:val="right"/>
              <w:rPr>
                <w:color w:val="000000"/>
                <w:sz w:val="16"/>
                <w:szCs w:val="16"/>
              </w:rPr>
            </w:pPr>
            <w:r w:rsidRPr="00661696">
              <w:rPr>
                <w:color w:val="000000"/>
                <w:sz w:val="16"/>
                <w:szCs w:val="16"/>
              </w:rPr>
              <w:t>11.5</w:t>
            </w:r>
          </w:p>
        </w:tc>
      </w:tr>
      <w:tr w14:paraId="7E52DDE4"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14F8AA4A" w14:textId="77777777">
            <w:pPr>
              <w:rPr>
                <w:sz w:val="16"/>
                <w:szCs w:val="16"/>
              </w:rPr>
            </w:pPr>
          </w:p>
        </w:tc>
        <w:tc>
          <w:tcPr>
            <w:tcW w:w="1800" w:type="dxa"/>
            <w:vMerge/>
            <w:shd w:val="clear" w:color="auto" w:fill="auto"/>
            <w:noWrap/>
            <w:vAlign w:val="center"/>
          </w:tcPr>
          <w:p w:rsidR="00A15716" w:rsidRPr="00661696" w:rsidP="009E19B1" w14:paraId="22A99C2C" w14:textId="3D22D575">
            <w:pPr>
              <w:jc w:val="right"/>
              <w:rPr>
                <w:color w:val="000000"/>
                <w:sz w:val="16"/>
                <w:szCs w:val="16"/>
              </w:rPr>
            </w:pPr>
          </w:p>
        </w:tc>
        <w:tc>
          <w:tcPr>
            <w:tcW w:w="1726" w:type="dxa"/>
            <w:vMerge/>
            <w:shd w:val="clear" w:color="auto" w:fill="auto"/>
            <w:noWrap/>
            <w:vAlign w:val="center"/>
          </w:tcPr>
          <w:p w:rsidR="00A15716" w:rsidRPr="00661696" w:rsidP="009E19B1" w14:paraId="5FD8FBCE" w14:textId="16D2E605">
            <w:pPr>
              <w:jc w:val="right"/>
              <w:rPr>
                <w:color w:val="000000"/>
                <w:sz w:val="16"/>
                <w:szCs w:val="16"/>
              </w:rPr>
            </w:pPr>
          </w:p>
        </w:tc>
        <w:tc>
          <w:tcPr>
            <w:tcW w:w="1823" w:type="dxa"/>
            <w:vMerge/>
            <w:shd w:val="clear" w:color="auto" w:fill="auto"/>
            <w:noWrap/>
            <w:vAlign w:val="center"/>
          </w:tcPr>
          <w:p w:rsidR="00A15716" w:rsidRPr="00661696" w:rsidP="009E19B1" w14:paraId="2240F40A" w14:textId="40FF2247">
            <w:pPr>
              <w:jc w:val="right"/>
              <w:rPr>
                <w:color w:val="000000"/>
                <w:sz w:val="16"/>
                <w:szCs w:val="16"/>
              </w:rPr>
            </w:pPr>
          </w:p>
        </w:tc>
        <w:tc>
          <w:tcPr>
            <w:tcW w:w="1408" w:type="dxa"/>
            <w:shd w:val="clear" w:color="auto" w:fill="auto"/>
            <w:noWrap/>
            <w:vAlign w:val="center"/>
            <w:hideMark/>
          </w:tcPr>
          <w:p w:rsidR="00A15716" w:rsidRPr="00661696" w:rsidP="009E19B1" w14:paraId="30DEF42F" w14:textId="77777777">
            <w:pPr>
              <w:jc w:val="right"/>
              <w:rPr>
                <w:color w:val="000000"/>
                <w:sz w:val="16"/>
                <w:szCs w:val="16"/>
              </w:rPr>
            </w:pPr>
            <w:r w:rsidRPr="00661696">
              <w:rPr>
                <w:color w:val="000000"/>
                <w:sz w:val="16"/>
                <w:szCs w:val="16"/>
              </w:rPr>
              <w:t>1.0</w:t>
            </w:r>
          </w:p>
        </w:tc>
        <w:tc>
          <w:tcPr>
            <w:tcW w:w="1210" w:type="dxa"/>
            <w:shd w:val="clear" w:color="auto" w:fill="auto"/>
            <w:noWrap/>
            <w:vAlign w:val="center"/>
            <w:hideMark/>
          </w:tcPr>
          <w:p w:rsidR="00A15716" w:rsidRPr="00661696" w:rsidP="009E19B1" w14:paraId="744A6CAA" w14:textId="77777777">
            <w:pPr>
              <w:jc w:val="right"/>
              <w:rPr>
                <w:color w:val="000000"/>
                <w:sz w:val="16"/>
                <w:szCs w:val="16"/>
              </w:rPr>
            </w:pPr>
            <w:r w:rsidRPr="00661696">
              <w:rPr>
                <w:color w:val="000000"/>
                <w:sz w:val="16"/>
                <w:szCs w:val="16"/>
              </w:rPr>
              <w:t>0.4</w:t>
            </w:r>
          </w:p>
        </w:tc>
        <w:tc>
          <w:tcPr>
            <w:tcW w:w="958" w:type="dxa"/>
            <w:shd w:val="clear" w:color="auto" w:fill="auto"/>
            <w:noWrap/>
            <w:vAlign w:val="center"/>
            <w:hideMark/>
          </w:tcPr>
          <w:p w:rsidR="00A15716" w:rsidRPr="00661696" w:rsidP="009E19B1" w14:paraId="66379B6F" w14:textId="77777777">
            <w:pPr>
              <w:jc w:val="right"/>
              <w:rPr>
                <w:color w:val="000000"/>
                <w:sz w:val="16"/>
                <w:szCs w:val="16"/>
              </w:rPr>
            </w:pPr>
            <w:r w:rsidRPr="00661696">
              <w:rPr>
                <w:color w:val="000000"/>
                <w:sz w:val="16"/>
                <w:szCs w:val="16"/>
              </w:rPr>
              <w:t>18.3</w:t>
            </w:r>
          </w:p>
        </w:tc>
      </w:tr>
      <w:tr w14:paraId="7E25E6C6" w14:textId="77777777" w:rsidTr="0067576E">
        <w:tblPrEx>
          <w:tblW w:w="10620" w:type="dxa"/>
          <w:tblInd w:w="-360" w:type="dxa"/>
          <w:tblLook w:val="04A0"/>
        </w:tblPrEx>
        <w:trPr>
          <w:trHeight w:val="20"/>
        </w:trPr>
        <w:tc>
          <w:tcPr>
            <w:tcW w:w="1695" w:type="dxa"/>
            <w:vMerge/>
            <w:shd w:val="clear" w:color="auto" w:fill="auto"/>
            <w:noWrap/>
            <w:vAlign w:val="center"/>
            <w:hideMark/>
          </w:tcPr>
          <w:p w:rsidR="00A15716" w:rsidRPr="00661696" w:rsidP="009E19B1" w14:paraId="3BED7B84" w14:textId="77777777">
            <w:pPr>
              <w:rPr>
                <w:sz w:val="16"/>
                <w:szCs w:val="16"/>
              </w:rPr>
            </w:pPr>
          </w:p>
        </w:tc>
        <w:tc>
          <w:tcPr>
            <w:tcW w:w="1800" w:type="dxa"/>
            <w:vMerge/>
            <w:shd w:val="clear" w:color="auto" w:fill="auto"/>
            <w:noWrap/>
            <w:vAlign w:val="center"/>
          </w:tcPr>
          <w:p w:rsidR="00A15716" w:rsidRPr="00661696" w:rsidP="009E19B1" w14:paraId="20A8561D" w14:textId="7C63CE34">
            <w:pPr>
              <w:jc w:val="right"/>
              <w:rPr>
                <w:color w:val="000000"/>
                <w:sz w:val="16"/>
                <w:szCs w:val="16"/>
              </w:rPr>
            </w:pPr>
          </w:p>
        </w:tc>
        <w:tc>
          <w:tcPr>
            <w:tcW w:w="1726" w:type="dxa"/>
            <w:vMerge/>
            <w:shd w:val="clear" w:color="auto" w:fill="auto"/>
            <w:noWrap/>
            <w:vAlign w:val="center"/>
          </w:tcPr>
          <w:p w:rsidR="00A15716" w:rsidRPr="00661696" w:rsidP="009E19B1" w14:paraId="74FC643C" w14:textId="2B3FE014">
            <w:pPr>
              <w:jc w:val="right"/>
              <w:rPr>
                <w:color w:val="000000"/>
                <w:sz w:val="16"/>
                <w:szCs w:val="16"/>
              </w:rPr>
            </w:pPr>
          </w:p>
        </w:tc>
        <w:tc>
          <w:tcPr>
            <w:tcW w:w="1823" w:type="dxa"/>
            <w:vMerge/>
            <w:shd w:val="clear" w:color="auto" w:fill="auto"/>
            <w:noWrap/>
            <w:vAlign w:val="center"/>
          </w:tcPr>
          <w:p w:rsidR="00A15716" w:rsidRPr="00661696" w:rsidP="009E19B1" w14:paraId="119E3980" w14:textId="33CF1AB2">
            <w:pPr>
              <w:jc w:val="right"/>
              <w:rPr>
                <w:color w:val="000000"/>
                <w:sz w:val="16"/>
                <w:szCs w:val="16"/>
              </w:rPr>
            </w:pPr>
          </w:p>
        </w:tc>
        <w:tc>
          <w:tcPr>
            <w:tcW w:w="1408" w:type="dxa"/>
            <w:shd w:val="clear" w:color="auto" w:fill="auto"/>
            <w:noWrap/>
            <w:vAlign w:val="center"/>
            <w:hideMark/>
          </w:tcPr>
          <w:p w:rsidR="00A15716" w:rsidRPr="00661696" w:rsidP="009E19B1" w14:paraId="7E10A5F5" w14:textId="7CB15BCE">
            <w:pPr>
              <w:jc w:val="right"/>
              <w:rPr>
                <w:color w:val="000000"/>
                <w:sz w:val="16"/>
                <w:szCs w:val="16"/>
              </w:rPr>
            </w:pPr>
            <w:r w:rsidRPr="00661696">
              <w:rPr>
                <w:color w:val="000000"/>
                <w:sz w:val="16"/>
                <w:szCs w:val="16"/>
              </w:rPr>
              <w:t>0.</w:t>
            </w:r>
            <w:r w:rsidRPr="00661696" w:rsidR="008131B7">
              <w:rPr>
                <w:color w:val="000000"/>
                <w:sz w:val="16"/>
                <w:szCs w:val="16"/>
              </w:rPr>
              <w:t>6</w:t>
            </w:r>
          </w:p>
        </w:tc>
        <w:tc>
          <w:tcPr>
            <w:tcW w:w="1210" w:type="dxa"/>
            <w:shd w:val="clear" w:color="auto" w:fill="auto"/>
            <w:noWrap/>
            <w:vAlign w:val="center"/>
            <w:hideMark/>
          </w:tcPr>
          <w:p w:rsidR="00A15716" w:rsidRPr="00661696" w:rsidP="009E19B1" w14:paraId="5FBBACA0" w14:textId="77777777">
            <w:pPr>
              <w:jc w:val="right"/>
              <w:rPr>
                <w:color w:val="000000"/>
                <w:sz w:val="16"/>
                <w:szCs w:val="16"/>
              </w:rPr>
            </w:pPr>
            <w:r w:rsidRPr="00661696">
              <w:rPr>
                <w:color w:val="000000"/>
                <w:sz w:val="16"/>
                <w:szCs w:val="16"/>
              </w:rPr>
              <w:t>0.3</w:t>
            </w:r>
          </w:p>
        </w:tc>
        <w:tc>
          <w:tcPr>
            <w:tcW w:w="958" w:type="dxa"/>
            <w:shd w:val="clear" w:color="000000" w:fill="FFC7CE"/>
            <w:noWrap/>
            <w:vAlign w:val="center"/>
            <w:hideMark/>
          </w:tcPr>
          <w:p w:rsidR="00A15716" w:rsidRPr="00661696" w:rsidP="009E19B1" w14:paraId="3DDA6372" w14:textId="74BD75A8">
            <w:pPr>
              <w:jc w:val="right"/>
              <w:rPr>
                <w:color w:val="9C0006"/>
                <w:sz w:val="16"/>
                <w:szCs w:val="16"/>
              </w:rPr>
            </w:pPr>
            <w:r w:rsidRPr="00661696">
              <w:rPr>
                <w:color w:val="9C0006"/>
                <w:sz w:val="16"/>
                <w:szCs w:val="16"/>
              </w:rPr>
              <w:t>23.7</w:t>
            </w:r>
          </w:p>
        </w:tc>
      </w:tr>
      <w:tr w14:paraId="4A0DBED1" w14:textId="77777777" w:rsidTr="0067576E">
        <w:tblPrEx>
          <w:tblW w:w="10620" w:type="dxa"/>
          <w:tblInd w:w="-360" w:type="dxa"/>
          <w:tblLook w:val="04A0"/>
        </w:tblPrEx>
        <w:trPr>
          <w:trHeight w:val="20"/>
        </w:trPr>
        <w:tc>
          <w:tcPr>
            <w:tcW w:w="10620" w:type="dxa"/>
            <w:gridSpan w:val="7"/>
            <w:shd w:val="clear" w:color="auto" w:fill="BFBFBF" w:themeFill="background1" w:themeFillShade="BF"/>
            <w:noWrap/>
            <w:vAlign w:val="center"/>
          </w:tcPr>
          <w:p w:rsidR="00A15716" w:rsidRPr="00661696" w:rsidP="00A15716" w14:paraId="433B03CE" w14:textId="204363A1">
            <w:pPr>
              <w:rPr>
                <w:color w:val="9C0006"/>
                <w:sz w:val="16"/>
                <w:szCs w:val="16"/>
              </w:rPr>
            </w:pPr>
            <w:r w:rsidRPr="00661696">
              <w:rPr>
                <w:sz w:val="16"/>
                <w:szCs w:val="16"/>
              </w:rPr>
              <w:t>City Survey - Miami</w:t>
            </w:r>
          </w:p>
        </w:tc>
      </w:tr>
      <w:tr w14:paraId="10D2A8F7" w14:textId="77777777" w:rsidTr="0067576E">
        <w:tblPrEx>
          <w:tblW w:w="10620" w:type="dxa"/>
          <w:tblInd w:w="-360" w:type="dxa"/>
          <w:tblLook w:val="04A0"/>
        </w:tblPrEx>
        <w:trPr>
          <w:trHeight w:val="20"/>
        </w:trPr>
        <w:tc>
          <w:tcPr>
            <w:tcW w:w="1695" w:type="dxa"/>
            <w:vMerge w:val="restart"/>
            <w:shd w:val="clear" w:color="auto" w:fill="auto"/>
            <w:noWrap/>
            <w:vAlign w:val="center"/>
            <w:hideMark/>
          </w:tcPr>
          <w:p w:rsidR="00A15716" w:rsidRPr="00661696" w:rsidP="009E19B1" w14:paraId="70003837" w14:textId="77777777">
            <w:pPr>
              <w:rPr>
                <w:color w:val="000000"/>
                <w:sz w:val="16"/>
                <w:szCs w:val="16"/>
              </w:rPr>
            </w:pPr>
            <w:r w:rsidRPr="00661696">
              <w:rPr>
                <w:color w:val="000000"/>
                <w:sz w:val="16"/>
                <w:szCs w:val="16"/>
              </w:rPr>
              <w:t>2.a</w:t>
            </w:r>
          </w:p>
        </w:tc>
        <w:tc>
          <w:tcPr>
            <w:tcW w:w="1800" w:type="dxa"/>
            <w:vMerge w:val="restart"/>
            <w:shd w:val="clear" w:color="auto" w:fill="auto"/>
            <w:noWrap/>
            <w:vAlign w:val="center"/>
            <w:hideMark/>
          </w:tcPr>
          <w:p w:rsidR="00A15716" w:rsidRPr="00661696" w:rsidP="009E19B1" w14:paraId="53799429" w14:textId="77777777">
            <w:pPr>
              <w:jc w:val="right"/>
              <w:rPr>
                <w:color w:val="000000"/>
                <w:sz w:val="16"/>
                <w:szCs w:val="16"/>
              </w:rPr>
            </w:pPr>
            <w:r w:rsidRPr="00661696">
              <w:rPr>
                <w:color w:val="000000"/>
                <w:sz w:val="16"/>
                <w:szCs w:val="16"/>
              </w:rPr>
              <w:t>697,807</w:t>
            </w:r>
          </w:p>
        </w:tc>
        <w:tc>
          <w:tcPr>
            <w:tcW w:w="1726" w:type="dxa"/>
            <w:vMerge w:val="restart"/>
            <w:shd w:val="clear" w:color="auto" w:fill="auto"/>
            <w:noWrap/>
            <w:vAlign w:val="center"/>
            <w:hideMark/>
          </w:tcPr>
          <w:p w:rsidR="00A15716" w:rsidRPr="00661696" w:rsidP="009E19B1" w14:paraId="7A35BE3C" w14:textId="77777777">
            <w:pPr>
              <w:jc w:val="right"/>
              <w:rPr>
                <w:color w:val="000000"/>
                <w:sz w:val="16"/>
                <w:szCs w:val="16"/>
              </w:rPr>
            </w:pPr>
            <w:r w:rsidRPr="00661696">
              <w:rPr>
                <w:color w:val="000000"/>
                <w:sz w:val="16"/>
                <w:szCs w:val="16"/>
              </w:rPr>
              <w:t>1,755</w:t>
            </w:r>
          </w:p>
        </w:tc>
        <w:tc>
          <w:tcPr>
            <w:tcW w:w="1823" w:type="dxa"/>
            <w:vMerge w:val="restart"/>
            <w:shd w:val="clear" w:color="auto" w:fill="auto"/>
            <w:noWrap/>
            <w:vAlign w:val="center"/>
            <w:hideMark/>
          </w:tcPr>
          <w:p w:rsidR="00A15716" w:rsidRPr="00661696" w:rsidP="009E19B1" w14:paraId="7ACFFFBA" w14:textId="77777777">
            <w:pPr>
              <w:jc w:val="right"/>
              <w:rPr>
                <w:color w:val="000000"/>
                <w:sz w:val="16"/>
                <w:szCs w:val="16"/>
              </w:rPr>
            </w:pPr>
            <w:r w:rsidRPr="00661696">
              <w:rPr>
                <w:color w:val="000000"/>
                <w:sz w:val="16"/>
                <w:szCs w:val="16"/>
              </w:rPr>
              <w:t>1.0</w:t>
            </w:r>
          </w:p>
        </w:tc>
        <w:tc>
          <w:tcPr>
            <w:tcW w:w="1408" w:type="dxa"/>
            <w:shd w:val="clear" w:color="auto" w:fill="auto"/>
            <w:noWrap/>
            <w:vAlign w:val="center"/>
            <w:hideMark/>
          </w:tcPr>
          <w:p w:rsidR="00A15716" w:rsidRPr="00661696" w:rsidP="009E19B1" w14:paraId="18926D32" w14:textId="77777777">
            <w:pPr>
              <w:jc w:val="right"/>
              <w:rPr>
                <w:color w:val="000000"/>
                <w:sz w:val="16"/>
                <w:szCs w:val="16"/>
              </w:rPr>
            </w:pPr>
            <w:r w:rsidRPr="00661696">
              <w:rPr>
                <w:color w:val="000000"/>
                <w:sz w:val="16"/>
                <w:szCs w:val="16"/>
              </w:rPr>
              <w:t>50.0</w:t>
            </w:r>
          </w:p>
        </w:tc>
        <w:tc>
          <w:tcPr>
            <w:tcW w:w="1210" w:type="dxa"/>
            <w:shd w:val="clear" w:color="auto" w:fill="auto"/>
            <w:noWrap/>
            <w:vAlign w:val="center"/>
            <w:hideMark/>
          </w:tcPr>
          <w:p w:rsidR="00A15716" w:rsidRPr="00661696" w:rsidP="009E19B1" w14:paraId="4473DCEC" w14:textId="77777777">
            <w:pPr>
              <w:jc w:val="right"/>
              <w:rPr>
                <w:color w:val="000000"/>
                <w:sz w:val="16"/>
                <w:szCs w:val="16"/>
              </w:rPr>
            </w:pPr>
            <w:r w:rsidRPr="00661696">
              <w:rPr>
                <w:color w:val="000000"/>
                <w:sz w:val="16"/>
                <w:szCs w:val="16"/>
              </w:rPr>
              <w:t>2.3</w:t>
            </w:r>
          </w:p>
        </w:tc>
        <w:tc>
          <w:tcPr>
            <w:tcW w:w="958" w:type="dxa"/>
            <w:shd w:val="clear" w:color="auto" w:fill="auto"/>
            <w:noWrap/>
            <w:vAlign w:val="center"/>
            <w:hideMark/>
          </w:tcPr>
          <w:p w:rsidR="00A15716" w:rsidRPr="00661696" w:rsidP="009E19B1" w14:paraId="2BEF27B2" w14:textId="77777777">
            <w:pPr>
              <w:jc w:val="right"/>
              <w:rPr>
                <w:color w:val="000000"/>
                <w:sz w:val="16"/>
                <w:szCs w:val="16"/>
              </w:rPr>
            </w:pPr>
            <w:r w:rsidRPr="00661696">
              <w:rPr>
                <w:color w:val="000000"/>
                <w:sz w:val="16"/>
                <w:szCs w:val="16"/>
              </w:rPr>
              <w:t>2.4</w:t>
            </w:r>
          </w:p>
        </w:tc>
      </w:tr>
      <w:tr w14:paraId="44488D87" w14:textId="77777777" w:rsidTr="0067576E">
        <w:tblPrEx>
          <w:tblW w:w="10620" w:type="dxa"/>
          <w:tblInd w:w="-360" w:type="dxa"/>
          <w:tblLook w:val="04A0"/>
        </w:tblPrEx>
        <w:trPr>
          <w:trHeight w:val="20"/>
        </w:trPr>
        <w:tc>
          <w:tcPr>
            <w:tcW w:w="1695" w:type="dxa"/>
            <w:vMerge/>
            <w:shd w:val="clear" w:color="auto" w:fill="auto"/>
            <w:noWrap/>
            <w:vAlign w:val="bottom"/>
            <w:hideMark/>
          </w:tcPr>
          <w:p w:rsidR="00A15716" w:rsidRPr="00661696" w:rsidP="009E19B1" w14:paraId="7132009F" w14:textId="77777777">
            <w:pPr>
              <w:rPr>
                <w:sz w:val="16"/>
                <w:szCs w:val="16"/>
              </w:rPr>
            </w:pPr>
          </w:p>
        </w:tc>
        <w:tc>
          <w:tcPr>
            <w:tcW w:w="1800" w:type="dxa"/>
            <w:vMerge/>
            <w:shd w:val="clear" w:color="auto" w:fill="auto"/>
            <w:noWrap/>
            <w:vAlign w:val="bottom"/>
          </w:tcPr>
          <w:p w:rsidR="00A15716" w:rsidRPr="00661696" w:rsidP="009E19B1" w14:paraId="264EC415" w14:textId="1BEAA5E4">
            <w:pPr>
              <w:jc w:val="right"/>
              <w:rPr>
                <w:color w:val="000000"/>
                <w:sz w:val="16"/>
                <w:szCs w:val="16"/>
              </w:rPr>
            </w:pPr>
          </w:p>
        </w:tc>
        <w:tc>
          <w:tcPr>
            <w:tcW w:w="1726" w:type="dxa"/>
            <w:vMerge/>
            <w:shd w:val="clear" w:color="auto" w:fill="auto"/>
            <w:noWrap/>
            <w:vAlign w:val="bottom"/>
          </w:tcPr>
          <w:p w:rsidR="00A15716" w:rsidRPr="00661696" w:rsidP="009E19B1" w14:paraId="36C517E5" w14:textId="051A0ECF">
            <w:pPr>
              <w:jc w:val="right"/>
              <w:rPr>
                <w:color w:val="000000"/>
                <w:sz w:val="16"/>
                <w:szCs w:val="16"/>
              </w:rPr>
            </w:pPr>
          </w:p>
        </w:tc>
        <w:tc>
          <w:tcPr>
            <w:tcW w:w="1823" w:type="dxa"/>
            <w:vMerge/>
            <w:shd w:val="clear" w:color="auto" w:fill="auto"/>
            <w:noWrap/>
            <w:vAlign w:val="bottom"/>
          </w:tcPr>
          <w:p w:rsidR="00A15716" w:rsidRPr="00661696" w:rsidP="009E19B1" w14:paraId="423283DC" w14:textId="4C8428B2">
            <w:pPr>
              <w:jc w:val="right"/>
              <w:rPr>
                <w:color w:val="000000"/>
                <w:sz w:val="16"/>
                <w:szCs w:val="16"/>
              </w:rPr>
            </w:pPr>
          </w:p>
        </w:tc>
        <w:tc>
          <w:tcPr>
            <w:tcW w:w="1408" w:type="dxa"/>
            <w:shd w:val="clear" w:color="auto" w:fill="auto"/>
            <w:noWrap/>
            <w:vAlign w:val="bottom"/>
            <w:hideMark/>
          </w:tcPr>
          <w:p w:rsidR="00A15716" w:rsidRPr="00661696" w:rsidP="009E19B1" w14:paraId="26F95655" w14:textId="77777777">
            <w:pPr>
              <w:jc w:val="right"/>
              <w:rPr>
                <w:color w:val="000000"/>
                <w:sz w:val="16"/>
                <w:szCs w:val="16"/>
              </w:rPr>
            </w:pPr>
            <w:r w:rsidRPr="00661696">
              <w:rPr>
                <w:color w:val="000000"/>
                <w:sz w:val="16"/>
                <w:szCs w:val="16"/>
              </w:rPr>
              <w:t>25.0</w:t>
            </w:r>
          </w:p>
        </w:tc>
        <w:tc>
          <w:tcPr>
            <w:tcW w:w="1210" w:type="dxa"/>
            <w:shd w:val="clear" w:color="auto" w:fill="auto"/>
            <w:noWrap/>
            <w:vAlign w:val="bottom"/>
            <w:hideMark/>
          </w:tcPr>
          <w:p w:rsidR="00A15716" w:rsidRPr="00661696" w:rsidP="009E19B1" w14:paraId="4671B253" w14:textId="77777777">
            <w:pPr>
              <w:jc w:val="right"/>
              <w:rPr>
                <w:color w:val="000000"/>
                <w:sz w:val="16"/>
                <w:szCs w:val="16"/>
              </w:rPr>
            </w:pPr>
            <w:r w:rsidRPr="00661696">
              <w:rPr>
                <w:color w:val="000000"/>
                <w:sz w:val="16"/>
                <w:szCs w:val="16"/>
              </w:rPr>
              <w:t>2.0</w:t>
            </w:r>
          </w:p>
        </w:tc>
        <w:tc>
          <w:tcPr>
            <w:tcW w:w="958" w:type="dxa"/>
            <w:shd w:val="clear" w:color="auto" w:fill="auto"/>
            <w:noWrap/>
            <w:vAlign w:val="bottom"/>
            <w:hideMark/>
          </w:tcPr>
          <w:p w:rsidR="00A15716" w:rsidRPr="00661696" w:rsidP="009E19B1" w14:paraId="12D303E1" w14:textId="77777777">
            <w:pPr>
              <w:jc w:val="right"/>
              <w:rPr>
                <w:color w:val="000000"/>
                <w:sz w:val="16"/>
                <w:szCs w:val="16"/>
              </w:rPr>
            </w:pPr>
            <w:r w:rsidRPr="00661696">
              <w:rPr>
                <w:color w:val="000000"/>
                <w:sz w:val="16"/>
                <w:szCs w:val="16"/>
              </w:rPr>
              <w:t>4.1</w:t>
            </w:r>
          </w:p>
        </w:tc>
      </w:tr>
      <w:tr w14:paraId="3F1D49BC" w14:textId="77777777" w:rsidTr="0067576E">
        <w:tblPrEx>
          <w:tblW w:w="10620" w:type="dxa"/>
          <w:tblInd w:w="-360" w:type="dxa"/>
          <w:tblLook w:val="04A0"/>
        </w:tblPrEx>
        <w:trPr>
          <w:trHeight w:val="20"/>
        </w:trPr>
        <w:tc>
          <w:tcPr>
            <w:tcW w:w="1695" w:type="dxa"/>
            <w:vMerge/>
            <w:shd w:val="clear" w:color="auto" w:fill="auto"/>
            <w:noWrap/>
            <w:vAlign w:val="bottom"/>
            <w:hideMark/>
          </w:tcPr>
          <w:p w:rsidR="00A15716" w:rsidRPr="00661696" w:rsidP="009E19B1" w14:paraId="4076DA8C" w14:textId="77777777">
            <w:pPr>
              <w:rPr>
                <w:sz w:val="16"/>
                <w:szCs w:val="16"/>
              </w:rPr>
            </w:pPr>
          </w:p>
        </w:tc>
        <w:tc>
          <w:tcPr>
            <w:tcW w:w="1800" w:type="dxa"/>
            <w:vMerge/>
            <w:shd w:val="clear" w:color="auto" w:fill="auto"/>
            <w:noWrap/>
            <w:vAlign w:val="bottom"/>
          </w:tcPr>
          <w:p w:rsidR="00A15716" w:rsidRPr="00661696" w:rsidP="009E19B1" w14:paraId="2AAB0D4B" w14:textId="13EADF31">
            <w:pPr>
              <w:jc w:val="right"/>
              <w:rPr>
                <w:color w:val="000000"/>
                <w:sz w:val="16"/>
                <w:szCs w:val="16"/>
              </w:rPr>
            </w:pPr>
          </w:p>
        </w:tc>
        <w:tc>
          <w:tcPr>
            <w:tcW w:w="1726" w:type="dxa"/>
            <w:vMerge/>
            <w:shd w:val="clear" w:color="auto" w:fill="auto"/>
            <w:noWrap/>
            <w:vAlign w:val="bottom"/>
          </w:tcPr>
          <w:p w:rsidR="00A15716" w:rsidRPr="00661696" w:rsidP="009E19B1" w14:paraId="7F29C751" w14:textId="2457D4B9">
            <w:pPr>
              <w:jc w:val="right"/>
              <w:rPr>
                <w:color w:val="000000"/>
                <w:sz w:val="16"/>
                <w:szCs w:val="16"/>
              </w:rPr>
            </w:pPr>
          </w:p>
        </w:tc>
        <w:tc>
          <w:tcPr>
            <w:tcW w:w="1823" w:type="dxa"/>
            <w:vMerge/>
            <w:shd w:val="clear" w:color="auto" w:fill="auto"/>
            <w:noWrap/>
            <w:vAlign w:val="bottom"/>
          </w:tcPr>
          <w:p w:rsidR="00A15716" w:rsidRPr="00661696" w:rsidP="009E19B1" w14:paraId="00D05CCD" w14:textId="53B6BC04">
            <w:pPr>
              <w:jc w:val="right"/>
              <w:rPr>
                <w:color w:val="000000"/>
                <w:sz w:val="16"/>
                <w:szCs w:val="16"/>
              </w:rPr>
            </w:pPr>
          </w:p>
        </w:tc>
        <w:tc>
          <w:tcPr>
            <w:tcW w:w="1408" w:type="dxa"/>
            <w:shd w:val="clear" w:color="auto" w:fill="auto"/>
            <w:noWrap/>
            <w:vAlign w:val="bottom"/>
            <w:hideMark/>
          </w:tcPr>
          <w:p w:rsidR="00A15716" w:rsidRPr="00661696" w:rsidP="009E19B1" w14:paraId="5484C704" w14:textId="77777777">
            <w:pPr>
              <w:jc w:val="right"/>
              <w:rPr>
                <w:color w:val="000000"/>
                <w:sz w:val="16"/>
                <w:szCs w:val="16"/>
              </w:rPr>
            </w:pPr>
            <w:r w:rsidRPr="00661696">
              <w:rPr>
                <w:color w:val="000000"/>
                <w:sz w:val="16"/>
                <w:szCs w:val="16"/>
              </w:rPr>
              <w:t>10.0</w:t>
            </w:r>
          </w:p>
        </w:tc>
        <w:tc>
          <w:tcPr>
            <w:tcW w:w="1210" w:type="dxa"/>
            <w:shd w:val="clear" w:color="auto" w:fill="auto"/>
            <w:noWrap/>
            <w:vAlign w:val="bottom"/>
            <w:hideMark/>
          </w:tcPr>
          <w:p w:rsidR="00A15716" w:rsidRPr="00661696" w:rsidP="009E19B1" w14:paraId="04D3B42F" w14:textId="77777777">
            <w:pPr>
              <w:jc w:val="right"/>
              <w:rPr>
                <w:color w:val="000000"/>
                <w:sz w:val="16"/>
                <w:szCs w:val="16"/>
              </w:rPr>
            </w:pPr>
            <w:r w:rsidRPr="00661696">
              <w:rPr>
                <w:color w:val="000000"/>
                <w:sz w:val="16"/>
                <w:szCs w:val="16"/>
              </w:rPr>
              <w:t>1.4</w:t>
            </w:r>
          </w:p>
        </w:tc>
        <w:tc>
          <w:tcPr>
            <w:tcW w:w="958" w:type="dxa"/>
            <w:shd w:val="clear" w:color="auto" w:fill="auto"/>
            <w:noWrap/>
            <w:vAlign w:val="bottom"/>
            <w:hideMark/>
          </w:tcPr>
          <w:p w:rsidR="00A15716" w:rsidRPr="00661696" w:rsidP="009E19B1" w14:paraId="48B411D7" w14:textId="77777777">
            <w:pPr>
              <w:jc w:val="right"/>
              <w:rPr>
                <w:color w:val="000000"/>
                <w:sz w:val="16"/>
                <w:szCs w:val="16"/>
              </w:rPr>
            </w:pPr>
            <w:r w:rsidRPr="00661696">
              <w:rPr>
                <w:color w:val="000000"/>
                <w:sz w:val="16"/>
                <w:szCs w:val="16"/>
              </w:rPr>
              <w:t>7.2</w:t>
            </w:r>
          </w:p>
        </w:tc>
      </w:tr>
      <w:tr w14:paraId="5AEF9CAB" w14:textId="77777777" w:rsidTr="0067576E">
        <w:tblPrEx>
          <w:tblW w:w="10620" w:type="dxa"/>
          <w:tblInd w:w="-360" w:type="dxa"/>
          <w:tblLook w:val="04A0"/>
        </w:tblPrEx>
        <w:trPr>
          <w:trHeight w:val="20"/>
        </w:trPr>
        <w:tc>
          <w:tcPr>
            <w:tcW w:w="1695" w:type="dxa"/>
            <w:vMerge/>
            <w:shd w:val="clear" w:color="auto" w:fill="auto"/>
            <w:noWrap/>
            <w:vAlign w:val="bottom"/>
            <w:hideMark/>
          </w:tcPr>
          <w:p w:rsidR="00A15716" w:rsidRPr="00661696" w:rsidP="009E19B1" w14:paraId="336D3323" w14:textId="77777777">
            <w:pPr>
              <w:rPr>
                <w:sz w:val="16"/>
                <w:szCs w:val="16"/>
              </w:rPr>
            </w:pPr>
          </w:p>
        </w:tc>
        <w:tc>
          <w:tcPr>
            <w:tcW w:w="1800" w:type="dxa"/>
            <w:vMerge/>
            <w:shd w:val="clear" w:color="auto" w:fill="auto"/>
            <w:noWrap/>
            <w:vAlign w:val="bottom"/>
          </w:tcPr>
          <w:p w:rsidR="00A15716" w:rsidRPr="00661696" w:rsidP="009E19B1" w14:paraId="7F4FA386" w14:textId="34811997">
            <w:pPr>
              <w:jc w:val="right"/>
              <w:rPr>
                <w:color w:val="000000"/>
                <w:sz w:val="16"/>
                <w:szCs w:val="16"/>
              </w:rPr>
            </w:pPr>
          </w:p>
        </w:tc>
        <w:tc>
          <w:tcPr>
            <w:tcW w:w="1726" w:type="dxa"/>
            <w:vMerge/>
            <w:shd w:val="clear" w:color="auto" w:fill="auto"/>
            <w:noWrap/>
            <w:vAlign w:val="bottom"/>
          </w:tcPr>
          <w:p w:rsidR="00A15716" w:rsidRPr="00661696" w:rsidP="009E19B1" w14:paraId="2D413568" w14:textId="09936A7E">
            <w:pPr>
              <w:jc w:val="right"/>
              <w:rPr>
                <w:color w:val="000000"/>
                <w:sz w:val="16"/>
                <w:szCs w:val="16"/>
              </w:rPr>
            </w:pPr>
          </w:p>
        </w:tc>
        <w:tc>
          <w:tcPr>
            <w:tcW w:w="1823" w:type="dxa"/>
            <w:vMerge/>
            <w:shd w:val="clear" w:color="auto" w:fill="auto"/>
            <w:noWrap/>
            <w:vAlign w:val="bottom"/>
          </w:tcPr>
          <w:p w:rsidR="00A15716" w:rsidRPr="00661696" w:rsidP="009E19B1" w14:paraId="39AA95A6" w14:textId="58888CEE">
            <w:pPr>
              <w:jc w:val="right"/>
              <w:rPr>
                <w:color w:val="000000"/>
                <w:sz w:val="16"/>
                <w:szCs w:val="16"/>
              </w:rPr>
            </w:pPr>
          </w:p>
        </w:tc>
        <w:tc>
          <w:tcPr>
            <w:tcW w:w="1408" w:type="dxa"/>
            <w:shd w:val="clear" w:color="auto" w:fill="auto"/>
            <w:noWrap/>
            <w:vAlign w:val="bottom"/>
            <w:hideMark/>
          </w:tcPr>
          <w:p w:rsidR="00A15716" w:rsidRPr="00661696" w:rsidP="009E19B1" w14:paraId="603BC3FD" w14:textId="77777777">
            <w:pPr>
              <w:jc w:val="right"/>
              <w:rPr>
                <w:color w:val="000000"/>
                <w:sz w:val="16"/>
                <w:szCs w:val="16"/>
              </w:rPr>
            </w:pPr>
            <w:r w:rsidRPr="00661696">
              <w:rPr>
                <w:color w:val="000000"/>
                <w:sz w:val="16"/>
                <w:szCs w:val="16"/>
              </w:rPr>
              <w:t>5.0</w:t>
            </w:r>
          </w:p>
        </w:tc>
        <w:tc>
          <w:tcPr>
            <w:tcW w:w="1210" w:type="dxa"/>
            <w:shd w:val="clear" w:color="auto" w:fill="auto"/>
            <w:noWrap/>
            <w:vAlign w:val="bottom"/>
            <w:hideMark/>
          </w:tcPr>
          <w:p w:rsidR="00A15716" w:rsidRPr="00661696" w:rsidP="009E19B1" w14:paraId="6FDAB413" w14:textId="77777777">
            <w:pPr>
              <w:jc w:val="right"/>
              <w:rPr>
                <w:color w:val="000000"/>
                <w:sz w:val="16"/>
                <w:szCs w:val="16"/>
              </w:rPr>
            </w:pPr>
            <w:r w:rsidRPr="00661696">
              <w:rPr>
                <w:color w:val="000000"/>
                <w:sz w:val="16"/>
                <w:szCs w:val="16"/>
              </w:rPr>
              <w:t>1.0</w:t>
            </w:r>
          </w:p>
        </w:tc>
        <w:tc>
          <w:tcPr>
            <w:tcW w:w="958" w:type="dxa"/>
            <w:shd w:val="clear" w:color="auto" w:fill="auto"/>
            <w:noWrap/>
            <w:vAlign w:val="bottom"/>
            <w:hideMark/>
          </w:tcPr>
          <w:p w:rsidR="00A15716" w:rsidRPr="00661696" w:rsidP="009E19B1" w14:paraId="343B1DB6" w14:textId="77777777">
            <w:pPr>
              <w:jc w:val="right"/>
              <w:rPr>
                <w:color w:val="000000"/>
                <w:sz w:val="16"/>
                <w:szCs w:val="16"/>
              </w:rPr>
            </w:pPr>
            <w:r w:rsidRPr="00661696">
              <w:rPr>
                <w:color w:val="000000"/>
                <w:sz w:val="16"/>
                <w:szCs w:val="16"/>
              </w:rPr>
              <w:t>10.4</w:t>
            </w:r>
          </w:p>
        </w:tc>
      </w:tr>
      <w:tr w14:paraId="76910593" w14:textId="77777777" w:rsidTr="0067576E">
        <w:tblPrEx>
          <w:tblW w:w="10620" w:type="dxa"/>
          <w:tblInd w:w="-360" w:type="dxa"/>
          <w:tblLook w:val="04A0"/>
        </w:tblPrEx>
        <w:trPr>
          <w:trHeight w:val="20"/>
        </w:trPr>
        <w:tc>
          <w:tcPr>
            <w:tcW w:w="1695" w:type="dxa"/>
            <w:vMerge/>
            <w:shd w:val="clear" w:color="auto" w:fill="auto"/>
            <w:noWrap/>
            <w:vAlign w:val="bottom"/>
            <w:hideMark/>
          </w:tcPr>
          <w:p w:rsidR="00A15716" w:rsidRPr="00661696" w:rsidP="009E19B1" w14:paraId="5E6C402B" w14:textId="77777777">
            <w:pPr>
              <w:rPr>
                <w:sz w:val="16"/>
                <w:szCs w:val="16"/>
              </w:rPr>
            </w:pPr>
          </w:p>
        </w:tc>
        <w:tc>
          <w:tcPr>
            <w:tcW w:w="1800" w:type="dxa"/>
            <w:vMerge/>
            <w:shd w:val="clear" w:color="auto" w:fill="auto"/>
            <w:noWrap/>
            <w:vAlign w:val="bottom"/>
          </w:tcPr>
          <w:p w:rsidR="00A15716" w:rsidRPr="00661696" w:rsidP="009E19B1" w14:paraId="79E68F21" w14:textId="57BF97EF">
            <w:pPr>
              <w:jc w:val="right"/>
              <w:rPr>
                <w:color w:val="000000"/>
                <w:sz w:val="16"/>
                <w:szCs w:val="16"/>
              </w:rPr>
            </w:pPr>
          </w:p>
        </w:tc>
        <w:tc>
          <w:tcPr>
            <w:tcW w:w="1726" w:type="dxa"/>
            <w:vMerge/>
            <w:shd w:val="clear" w:color="auto" w:fill="auto"/>
            <w:noWrap/>
            <w:vAlign w:val="bottom"/>
          </w:tcPr>
          <w:p w:rsidR="00A15716" w:rsidRPr="00661696" w:rsidP="009E19B1" w14:paraId="1D0DD934" w14:textId="187F4377">
            <w:pPr>
              <w:jc w:val="right"/>
              <w:rPr>
                <w:color w:val="000000"/>
                <w:sz w:val="16"/>
                <w:szCs w:val="16"/>
              </w:rPr>
            </w:pPr>
          </w:p>
        </w:tc>
        <w:tc>
          <w:tcPr>
            <w:tcW w:w="1823" w:type="dxa"/>
            <w:vMerge/>
            <w:shd w:val="clear" w:color="auto" w:fill="auto"/>
            <w:noWrap/>
            <w:vAlign w:val="bottom"/>
          </w:tcPr>
          <w:p w:rsidR="00A15716" w:rsidRPr="00661696" w:rsidP="009E19B1" w14:paraId="37526F3E" w14:textId="77692A0E">
            <w:pPr>
              <w:jc w:val="right"/>
              <w:rPr>
                <w:color w:val="000000"/>
                <w:sz w:val="16"/>
                <w:szCs w:val="16"/>
              </w:rPr>
            </w:pPr>
          </w:p>
        </w:tc>
        <w:tc>
          <w:tcPr>
            <w:tcW w:w="1408" w:type="dxa"/>
            <w:shd w:val="clear" w:color="auto" w:fill="auto"/>
            <w:noWrap/>
            <w:vAlign w:val="bottom"/>
            <w:hideMark/>
          </w:tcPr>
          <w:p w:rsidR="00A15716" w:rsidRPr="00661696" w:rsidP="009E19B1" w14:paraId="70825EB5" w14:textId="77777777">
            <w:pPr>
              <w:jc w:val="right"/>
              <w:rPr>
                <w:color w:val="000000"/>
                <w:sz w:val="16"/>
                <w:szCs w:val="16"/>
              </w:rPr>
            </w:pPr>
            <w:r w:rsidRPr="00661696">
              <w:rPr>
                <w:color w:val="000000"/>
                <w:sz w:val="16"/>
                <w:szCs w:val="16"/>
              </w:rPr>
              <w:t>2.5</w:t>
            </w:r>
          </w:p>
        </w:tc>
        <w:tc>
          <w:tcPr>
            <w:tcW w:w="1210" w:type="dxa"/>
            <w:shd w:val="clear" w:color="auto" w:fill="auto"/>
            <w:noWrap/>
            <w:vAlign w:val="bottom"/>
            <w:hideMark/>
          </w:tcPr>
          <w:p w:rsidR="00A15716" w:rsidRPr="00661696" w:rsidP="009E19B1" w14:paraId="54784701" w14:textId="77777777">
            <w:pPr>
              <w:jc w:val="right"/>
              <w:rPr>
                <w:color w:val="000000"/>
                <w:sz w:val="16"/>
                <w:szCs w:val="16"/>
              </w:rPr>
            </w:pPr>
            <w:r w:rsidRPr="00661696">
              <w:rPr>
                <w:color w:val="000000"/>
                <w:sz w:val="16"/>
                <w:szCs w:val="16"/>
              </w:rPr>
              <w:t>0.7</w:t>
            </w:r>
          </w:p>
        </w:tc>
        <w:tc>
          <w:tcPr>
            <w:tcW w:w="958" w:type="dxa"/>
            <w:shd w:val="clear" w:color="auto" w:fill="auto"/>
            <w:noWrap/>
            <w:vAlign w:val="bottom"/>
            <w:hideMark/>
          </w:tcPr>
          <w:p w:rsidR="00A15716" w:rsidRPr="00661696" w:rsidP="009E19B1" w14:paraId="2548D7F1" w14:textId="77777777">
            <w:pPr>
              <w:jc w:val="right"/>
              <w:rPr>
                <w:color w:val="000000"/>
                <w:sz w:val="16"/>
                <w:szCs w:val="16"/>
              </w:rPr>
            </w:pPr>
            <w:r w:rsidRPr="00661696">
              <w:rPr>
                <w:color w:val="000000"/>
                <w:sz w:val="16"/>
                <w:szCs w:val="16"/>
              </w:rPr>
              <w:t>14.9</w:t>
            </w:r>
          </w:p>
        </w:tc>
      </w:tr>
      <w:tr w14:paraId="6669C721" w14:textId="77777777" w:rsidTr="0067576E">
        <w:tblPrEx>
          <w:tblW w:w="10620" w:type="dxa"/>
          <w:tblInd w:w="-360" w:type="dxa"/>
          <w:tblLook w:val="04A0"/>
        </w:tblPrEx>
        <w:trPr>
          <w:trHeight w:val="20"/>
        </w:trPr>
        <w:tc>
          <w:tcPr>
            <w:tcW w:w="1695" w:type="dxa"/>
            <w:vMerge/>
            <w:shd w:val="clear" w:color="auto" w:fill="auto"/>
            <w:noWrap/>
            <w:vAlign w:val="bottom"/>
            <w:hideMark/>
          </w:tcPr>
          <w:p w:rsidR="00A15716" w:rsidRPr="00661696" w:rsidP="009E19B1" w14:paraId="0BE3162A" w14:textId="77777777">
            <w:pPr>
              <w:rPr>
                <w:sz w:val="16"/>
                <w:szCs w:val="16"/>
              </w:rPr>
            </w:pPr>
          </w:p>
        </w:tc>
        <w:tc>
          <w:tcPr>
            <w:tcW w:w="1800" w:type="dxa"/>
            <w:vMerge/>
            <w:shd w:val="clear" w:color="auto" w:fill="auto"/>
            <w:noWrap/>
            <w:vAlign w:val="bottom"/>
          </w:tcPr>
          <w:p w:rsidR="00A15716" w:rsidRPr="00661696" w:rsidP="009E19B1" w14:paraId="21D604C1" w14:textId="6C34A31C">
            <w:pPr>
              <w:jc w:val="right"/>
              <w:rPr>
                <w:color w:val="000000"/>
                <w:sz w:val="16"/>
                <w:szCs w:val="16"/>
              </w:rPr>
            </w:pPr>
          </w:p>
        </w:tc>
        <w:tc>
          <w:tcPr>
            <w:tcW w:w="1726" w:type="dxa"/>
            <w:vMerge/>
            <w:shd w:val="clear" w:color="auto" w:fill="auto"/>
            <w:noWrap/>
            <w:vAlign w:val="bottom"/>
          </w:tcPr>
          <w:p w:rsidR="00A15716" w:rsidRPr="00661696" w:rsidP="009E19B1" w14:paraId="2A811C22" w14:textId="2AFA329E">
            <w:pPr>
              <w:jc w:val="right"/>
              <w:rPr>
                <w:color w:val="000000"/>
                <w:sz w:val="16"/>
                <w:szCs w:val="16"/>
              </w:rPr>
            </w:pPr>
          </w:p>
        </w:tc>
        <w:tc>
          <w:tcPr>
            <w:tcW w:w="1823" w:type="dxa"/>
            <w:vMerge/>
            <w:shd w:val="clear" w:color="auto" w:fill="auto"/>
            <w:noWrap/>
            <w:vAlign w:val="bottom"/>
          </w:tcPr>
          <w:p w:rsidR="00A15716" w:rsidRPr="00661696" w:rsidP="009E19B1" w14:paraId="36210AC9" w14:textId="654BE0C1">
            <w:pPr>
              <w:jc w:val="right"/>
              <w:rPr>
                <w:color w:val="000000"/>
                <w:sz w:val="16"/>
                <w:szCs w:val="16"/>
              </w:rPr>
            </w:pPr>
          </w:p>
        </w:tc>
        <w:tc>
          <w:tcPr>
            <w:tcW w:w="1408" w:type="dxa"/>
            <w:shd w:val="clear" w:color="auto" w:fill="auto"/>
            <w:noWrap/>
            <w:vAlign w:val="bottom"/>
            <w:hideMark/>
          </w:tcPr>
          <w:p w:rsidR="00A15716" w:rsidRPr="00661696" w:rsidP="009E19B1" w14:paraId="2CA790F8" w14:textId="77777777">
            <w:pPr>
              <w:jc w:val="right"/>
              <w:rPr>
                <w:color w:val="000000"/>
                <w:sz w:val="16"/>
                <w:szCs w:val="16"/>
              </w:rPr>
            </w:pPr>
            <w:r w:rsidRPr="00661696">
              <w:rPr>
                <w:color w:val="000000"/>
                <w:sz w:val="16"/>
                <w:szCs w:val="16"/>
              </w:rPr>
              <w:t>1.0</w:t>
            </w:r>
          </w:p>
        </w:tc>
        <w:tc>
          <w:tcPr>
            <w:tcW w:w="1210" w:type="dxa"/>
            <w:shd w:val="clear" w:color="auto" w:fill="auto"/>
            <w:noWrap/>
            <w:vAlign w:val="bottom"/>
            <w:hideMark/>
          </w:tcPr>
          <w:p w:rsidR="00A15716" w:rsidRPr="00661696" w:rsidP="009E19B1" w14:paraId="33714CAA" w14:textId="77777777">
            <w:pPr>
              <w:jc w:val="right"/>
              <w:rPr>
                <w:color w:val="000000"/>
                <w:sz w:val="16"/>
                <w:szCs w:val="16"/>
              </w:rPr>
            </w:pPr>
            <w:r w:rsidRPr="00661696">
              <w:rPr>
                <w:color w:val="000000"/>
                <w:sz w:val="16"/>
                <w:szCs w:val="16"/>
              </w:rPr>
              <w:t>0.5</w:t>
            </w:r>
          </w:p>
        </w:tc>
        <w:tc>
          <w:tcPr>
            <w:tcW w:w="958" w:type="dxa"/>
            <w:shd w:val="clear" w:color="000000" w:fill="FFC7CE"/>
            <w:noWrap/>
            <w:vAlign w:val="bottom"/>
            <w:hideMark/>
          </w:tcPr>
          <w:p w:rsidR="00A15716" w:rsidRPr="00661696" w:rsidP="009E19B1" w14:paraId="1C96F60B" w14:textId="77777777">
            <w:pPr>
              <w:jc w:val="right"/>
              <w:rPr>
                <w:color w:val="9C0006"/>
                <w:sz w:val="16"/>
                <w:szCs w:val="16"/>
              </w:rPr>
            </w:pPr>
            <w:r w:rsidRPr="00661696">
              <w:rPr>
                <w:color w:val="9C0006"/>
                <w:sz w:val="16"/>
                <w:szCs w:val="16"/>
              </w:rPr>
              <w:t>23.7</w:t>
            </w:r>
          </w:p>
        </w:tc>
      </w:tr>
      <w:tr w14:paraId="7BB3EE65" w14:textId="77777777" w:rsidTr="0067576E">
        <w:tblPrEx>
          <w:tblW w:w="10620" w:type="dxa"/>
          <w:tblInd w:w="-360" w:type="dxa"/>
          <w:tblLook w:val="04A0"/>
        </w:tblPrEx>
        <w:trPr>
          <w:trHeight w:val="20"/>
        </w:trPr>
        <w:tc>
          <w:tcPr>
            <w:tcW w:w="1695" w:type="dxa"/>
            <w:vMerge/>
            <w:tcBorders>
              <w:bottom w:val="single" w:sz="4" w:space="0" w:color="auto"/>
            </w:tcBorders>
            <w:shd w:val="clear" w:color="auto" w:fill="auto"/>
            <w:noWrap/>
            <w:vAlign w:val="bottom"/>
            <w:hideMark/>
          </w:tcPr>
          <w:p w:rsidR="00A15716" w:rsidRPr="00661696" w:rsidP="009E19B1" w14:paraId="130D6308" w14:textId="77777777">
            <w:pPr>
              <w:rPr>
                <w:sz w:val="16"/>
                <w:szCs w:val="16"/>
              </w:rPr>
            </w:pPr>
          </w:p>
        </w:tc>
        <w:tc>
          <w:tcPr>
            <w:tcW w:w="1800" w:type="dxa"/>
            <w:vMerge/>
            <w:tcBorders>
              <w:bottom w:val="single" w:sz="4" w:space="0" w:color="auto"/>
            </w:tcBorders>
            <w:shd w:val="clear" w:color="auto" w:fill="auto"/>
            <w:noWrap/>
            <w:vAlign w:val="bottom"/>
          </w:tcPr>
          <w:p w:rsidR="00A15716" w:rsidRPr="00661696" w:rsidP="009E19B1" w14:paraId="039CD359" w14:textId="3A62499B">
            <w:pPr>
              <w:jc w:val="right"/>
              <w:rPr>
                <w:color w:val="000000"/>
                <w:sz w:val="16"/>
                <w:szCs w:val="16"/>
              </w:rPr>
            </w:pPr>
          </w:p>
        </w:tc>
        <w:tc>
          <w:tcPr>
            <w:tcW w:w="1726" w:type="dxa"/>
            <w:vMerge/>
            <w:tcBorders>
              <w:bottom w:val="single" w:sz="4" w:space="0" w:color="auto"/>
            </w:tcBorders>
            <w:shd w:val="clear" w:color="auto" w:fill="auto"/>
            <w:noWrap/>
            <w:vAlign w:val="bottom"/>
          </w:tcPr>
          <w:p w:rsidR="00A15716" w:rsidRPr="00661696" w:rsidP="009E19B1" w14:paraId="3264B29B" w14:textId="23C964FA">
            <w:pPr>
              <w:jc w:val="right"/>
              <w:rPr>
                <w:color w:val="000000"/>
                <w:sz w:val="16"/>
                <w:szCs w:val="16"/>
              </w:rPr>
            </w:pPr>
          </w:p>
        </w:tc>
        <w:tc>
          <w:tcPr>
            <w:tcW w:w="1823" w:type="dxa"/>
            <w:vMerge/>
            <w:tcBorders>
              <w:bottom w:val="single" w:sz="4" w:space="0" w:color="auto"/>
            </w:tcBorders>
            <w:shd w:val="clear" w:color="auto" w:fill="auto"/>
            <w:noWrap/>
            <w:vAlign w:val="bottom"/>
          </w:tcPr>
          <w:p w:rsidR="00A15716" w:rsidRPr="00661696" w:rsidP="009E19B1" w14:paraId="5C24C3C4" w14:textId="5B749D74">
            <w:pPr>
              <w:jc w:val="right"/>
              <w:rPr>
                <w:color w:val="000000"/>
                <w:sz w:val="16"/>
                <w:szCs w:val="16"/>
              </w:rPr>
            </w:pPr>
          </w:p>
        </w:tc>
        <w:tc>
          <w:tcPr>
            <w:tcW w:w="1408" w:type="dxa"/>
            <w:tcBorders>
              <w:bottom w:val="single" w:sz="4" w:space="0" w:color="auto"/>
            </w:tcBorders>
            <w:shd w:val="clear" w:color="auto" w:fill="auto"/>
            <w:noWrap/>
            <w:vAlign w:val="bottom"/>
            <w:hideMark/>
          </w:tcPr>
          <w:p w:rsidR="00A15716" w:rsidRPr="00661696" w:rsidP="009E19B1" w14:paraId="09771FC8" w14:textId="36D5E66B">
            <w:pPr>
              <w:jc w:val="right"/>
              <w:rPr>
                <w:color w:val="000000"/>
                <w:sz w:val="16"/>
                <w:szCs w:val="16"/>
              </w:rPr>
            </w:pPr>
            <w:r w:rsidRPr="00661696">
              <w:rPr>
                <w:color w:val="000000"/>
                <w:sz w:val="16"/>
                <w:szCs w:val="16"/>
              </w:rPr>
              <w:t>0.</w:t>
            </w:r>
            <w:r w:rsidRPr="00661696" w:rsidR="008131B7">
              <w:rPr>
                <w:color w:val="000000"/>
                <w:sz w:val="16"/>
                <w:szCs w:val="16"/>
              </w:rPr>
              <w:t>6</w:t>
            </w:r>
          </w:p>
        </w:tc>
        <w:tc>
          <w:tcPr>
            <w:tcW w:w="1210" w:type="dxa"/>
            <w:tcBorders>
              <w:bottom w:val="single" w:sz="4" w:space="0" w:color="auto"/>
            </w:tcBorders>
            <w:shd w:val="clear" w:color="auto" w:fill="auto"/>
            <w:noWrap/>
            <w:vAlign w:val="bottom"/>
            <w:hideMark/>
          </w:tcPr>
          <w:p w:rsidR="00A15716" w:rsidRPr="00661696" w:rsidP="009E19B1" w14:paraId="3A0AEC83" w14:textId="77777777">
            <w:pPr>
              <w:jc w:val="right"/>
              <w:rPr>
                <w:color w:val="000000"/>
                <w:sz w:val="16"/>
                <w:szCs w:val="16"/>
              </w:rPr>
            </w:pPr>
            <w:r w:rsidRPr="00661696">
              <w:rPr>
                <w:color w:val="000000"/>
                <w:sz w:val="16"/>
                <w:szCs w:val="16"/>
              </w:rPr>
              <w:t>0.3</w:t>
            </w:r>
          </w:p>
        </w:tc>
        <w:tc>
          <w:tcPr>
            <w:tcW w:w="958" w:type="dxa"/>
            <w:tcBorders>
              <w:bottom w:val="single" w:sz="4" w:space="0" w:color="auto"/>
            </w:tcBorders>
            <w:shd w:val="clear" w:color="000000" w:fill="FFC7CE"/>
            <w:noWrap/>
            <w:vAlign w:val="bottom"/>
            <w:hideMark/>
          </w:tcPr>
          <w:p w:rsidR="00A15716" w:rsidRPr="00661696" w:rsidP="009E19B1" w14:paraId="5020218D" w14:textId="2B19850F">
            <w:pPr>
              <w:jc w:val="right"/>
              <w:rPr>
                <w:color w:val="9C0006"/>
                <w:sz w:val="16"/>
                <w:szCs w:val="16"/>
              </w:rPr>
            </w:pPr>
            <w:r w:rsidRPr="00661696">
              <w:rPr>
                <w:color w:val="9C0006"/>
                <w:sz w:val="16"/>
                <w:szCs w:val="16"/>
              </w:rPr>
              <w:t>30.7</w:t>
            </w:r>
          </w:p>
        </w:tc>
      </w:tr>
      <w:tr w14:paraId="593CE661" w14:textId="77777777" w:rsidTr="0067576E">
        <w:tblPrEx>
          <w:tblW w:w="10620" w:type="dxa"/>
          <w:tblInd w:w="-360" w:type="dxa"/>
          <w:tblLook w:val="04A0"/>
        </w:tblPrEx>
        <w:trPr>
          <w:trHeight w:val="20"/>
        </w:trPr>
        <w:tc>
          <w:tcPr>
            <w:tcW w:w="10620" w:type="dxa"/>
            <w:gridSpan w:val="7"/>
            <w:tcBorders>
              <w:top w:val="single" w:sz="4" w:space="0" w:color="auto"/>
              <w:bottom w:val="nil"/>
            </w:tcBorders>
            <w:shd w:val="clear" w:color="auto" w:fill="auto"/>
            <w:noWrap/>
          </w:tcPr>
          <w:p w:rsidR="009D7556" w:rsidP="009D7556" w14:paraId="72E13531" w14:textId="77777777">
            <w:pPr>
              <w:rPr>
                <w:sz w:val="16"/>
                <w:szCs w:val="16"/>
              </w:rPr>
            </w:pPr>
            <w:r w:rsidRPr="009D7556">
              <w:rPr>
                <w:sz w:val="16"/>
                <w:szCs w:val="16"/>
                <w:vertAlign w:val="superscript"/>
              </w:rPr>
              <w:t>1</w:t>
            </w:r>
            <w:r>
              <w:rPr>
                <w:sz w:val="16"/>
                <w:szCs w:val="16"/>
              </w:rPr>
              <w:t>Population sizes are estimated counts of U.S. households in the population of interest from the American Community Survey (Table A.1).</w:t>
            </w:r>
          </w:p>
          <w:p w:rsidR="009D7556" w:rsidP="009D7556" w14:paraId="1CE2A472" w14:textId="77777777">
            <w:pPr>
              <w:rPr>
                <w:sz w:val="16"/>
                <w:szCs w:val="16"/>
              </w:rPr>
            </w:pPr>
            <w:r w:rsidRPr="009D7556">
              <w:rPr>
                <w:sz w:val="16"/>
                <w:szCs w:val="16"/>
                <w:vertAlign w:val="superscript"/>
              </w:rPr>
              <w:t>2</w:t>
            </w:r>
            <w:r>
              <w:rPr>
                <w:sz w:val="16"/>
                <w:szCs w:val="16"/>
              </w:rPr>
              <w:t>Expected sample sizes are from Table B.3.</w:t>
            </w:r>
          </w:p>
          <w:p w:rsidR="009A17B4" w:rsidP="009D7556" w14:paraId="238C0B86" w14:textId="7C5D0542">
            <w:pPr>
              <w:rPr>
                <w:sz w:val="16"/>
                <w:szCs w:val="16"/>
              </w:rPr>
            </w:pPr>
            <w:r w:rsidRPr="009D7556">
              <w:rPr>
                <w:sz w:val="16"/>
                <w:szCs w:val="16"/>
                <w:vertAlign w:val="superscript"/>
              </w:rPr>
              <w:t>3</w:t>
            </w:r>
            <w:r>
              <w:rPr>
                <w:sz w:val="16"/>
                <w:szCs w:val="16"/>
              </w:rPr>
              <w:t xml:space="preserve">Design effects for </w:t>
            </w:r>
            <w:r>
              <w:rPr>
                <w:sz w:val="16"/>
                <w:szCs w:val="16"/>
              </w:rPr>
              <w:t>components 1.a and 1.c are based on design effects from similar probability panel-based surveys based on conversations with private survey companies and that for component 2.a is based on the fact that it uses a simple random sampling scheme from an ABS. The estimated design effect for the nonprobability sample component is unknown but expected to exceed that for the other components.</w:t>
            </w:r>
          </w:p>
          <w:p w:rsidR="009A17B4" w:rsidP="009D7556" w14:paraId="3ACFD232" w14:textId="77777777">
            <w:pPr>
              <w:rPr>
                <w:sz w:val="16"/>
                <w:szCs w:val="16"/>
              </w:rPr>
            </w:pPr>
            <w:r>
              <w:rPr>
                <w:sz w:val="16"/>
                <w:szCs w:val="16"/>
                <w:vertAlign w:val="superscript"/>
              </w:rPr>
              <w:t>4</w:t>
            </w:r>
            <w:r>
              <w:rPr>
                <w:sz w:val="16"/>
                <w:szCs w:val="16"/>
              </w:rPr>
              <w:t>Coefficients of variation (CV) estimates are computed as the ratio of the standard error to the point estimate. CV estimates exceeding 20 percent are colored red.</w:t>
            </w:r>
          </w:p>
          <w:p w:rsidR="001D6EC6" w:rsidRPr="001D6EC6" w:rsidP="009D7556" w14:paraId="7CF189B5" w14:textId="4BD5918F">
            <w:pPr>
              <w:rPr>
                <w:sz w:val="16"/>
                <w:szCs w:val="16"/>
              </w:rPr>
            </w:pPr>
            <w:r>
              <w:rPr>
                <w:sz w:val="16"/>
                <w:szCs w:val="16"/>
                <w:vertAlign w:val="superscript"/>
              </w:rPr>
              <w:t>5</w:t>
            </w:r>
            <w:r w:rsidR="005F057C">
              <w:rPr>
                <w:sz w:val="16"/>
                <w:szCs w:val="16"/>
              </w:rPr>
              <w:t xml:space="preserve">Projection information from </w:t>
            </w:r>
            <w:r w:rsidR="00AE1730">
              <w:rPr>
                <w:sz w:val="16"/>
                <w:szCs w:val="16"/>
              </w:rPr>
              <w:t>Table B.2 are based on respondents owning chickens only</w:t>
            </w:r>
            <w:r w:rsidR="007352E2">
              <w:rPr>
                <w:sz w:val="16"/>
                <w:szCs w:val="16"/>
              </w:rPr>
              <w:t>. Th</w:t>
            </w:r>
            <w:r w:rsidR="00804ECD">
              <w:rPr>
                <w:sz w:val="16"/>
                <w:szCs w:val="16"/>
              </w:rPr>
              <w:t>at information is used</w:t>
            </w:r>
            <w:r w:rsidR="000E6C7D">
              <w:rPr>
                <w:sz w:val="16"/>
                <w:szCs w:val="16"/>
              </w:rPr>
              <w:t xml:space="preserve"> here</w:t>
            </w:r>
            <w:r w:rsidR="00804ECD">
              <w:rPr>
                <w:sz w:val="16"/>
                <w:szCs w:val="16"/>
              </w:rPr>
              <w:t xml:space="preserve"> </w:t>
            </w:r>
            <w:r w:rsidR="00E1364A">
              <w:rPr>
                <w:sz w:val="16"/>
                <w:szCs w:val="16"/>
              </w:rPr>
              <w:t xml:space="preserve">to project the proportion of households with </w:t>
            </w:r>
            <w:r w:rsidR="00A82A79">
              <w:rPr>
                <w:sz w:val="16"/>
                <w:szCs w:val="16"/>
              </w:rPr>
              <w:t>backyard po</w:t>
            </w:r>
            <w:r w:rsidR="005E7738">
              <w:rPr>
                <w:sz w:val="16"/>
                <w:szCs w:val="16"/>
              </w:rPr>
              <w:t>ultry (including chickens, turkeys, ducks, and other poultry species)</w:t>
            </w:r>
            <w:r w:rsidR="000E6C7D">
              <w:rPr>
                <w:sz w:val="16"/>
                <w:szCs w:val="16"/>
              </w:rPr>
              <w:t>.</w:t>
            </w:r>
          </w:p>
        </w:tc>
      </w:tr>
      <w:bookmarkEnd w:id="18"/>
    </w:tbl>
    <w:p w:rsidR="006E3FD7" w:rsidRPr="005F6640" w:rsidP="001B2909" w14:paraId="6F914D3B" w14:textId="77777777">
      <w:pPr>
        <w:rPr>
          <w:b/>
          <w:bCs/>
          <w:kern w:val="32"/>
        </w:rPr>
      </w:pPr>
    </w:p>
    <w:sectPr w:rsidSect="00916E9F">
      <w:footerReference w:type="even" r:id="rId26"/>
      <w:footerReference w:type="default" r:id="rId27"/>
      <w:pgSz w:w="12240" w:h="15840" w:code="1"/>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E9F" w:rsidP="00916E9F" w14:paraId="0ACC0D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6E9F" w14:paraId="513653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E9F" w:rsidP="00916E9F" w14:paraId="21B7AD1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916E9F" w:rsidP="00732CCA" w14:paraId="1E77970F" w14:textId="6902D83E">
    <w:pPr>
      <w:pStyle w:val="Footer"/>
      <w:tabs>
        <w:tab w:val="left" w:pos="916"/>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50DC" w14:paraId="5ACA0977" w14:textId="77777777">
      <w:r>
        <w:separator/>
      </w:r>
    </w:p>
  </w:footnote>
  <w:footnote w:type="continuationSeparator" w:id="1">
    <w:p w:rsidR="006250DC" w14:paraId="2F3DDCA1" w14:textId="77777777">
      <w:r>
        <w:continuationSeparator/>
      </w:r>
    </w:p>
  </w:footnote>
  <w:footnote w:type="continuationNotice" w:id="2">
    <w:p w:rsidR="006250DC" w14:paraId="5A68A448" w14:textId="77777777"/>
  </w:footnote>
  <w:footnote w:id="3">
    <w:p w:rsidR="004D0932" w:rsidRPr="004D0932" w:rsidP="004D0932" w14:paraId="428B6A2E" w14:textId="5AAE2006">
      <w:pPr>
        <w:rPr>
          <w:sz w:val="20"/>
          <w:szCs w:val="20"/>
        </w:rPr>
      </w:pPr>
      <w:r>
        <w:rPr>
          <w:rStyle w:val="FootnoteReference"/>
        </w:rPr>
        <w:footnoteRef/>
      </w:r>
      <w:r>
        <w:rPr>
          <w:sz w:val="20"/>
          <w:szCs w:val="20"/>
        </w:rPr>
        <w:t xml:space="preserve">The National Survey asks about poultry, including chickens, ducks, geese, turkeys, and gamebirds. The City Survey focuses on chickens since this was the species asked about in the NAHMS Poultry 2010 study.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F4D"/>
    <w:multiLevelType w:val="hybridMultilevel"/>
    <w:tmpl w:val="2E3E6ECC"/>
    <w:lvl w:ilvl="0">
      <w:start w:val="0"/>
      <w:numFmt w:val="none"/>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6065151"/>
    <w:multiLevelType w:val="hybridMultilevel"/>
    <w:tmpl w:val="C3182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
    <w:nsid w:val="151F7E51"/>
    <w:multiLevelType w:val="hybridMultilevel"/>
    <w:tmpl w:val="73F87F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3D2DED"/>
    <w:multiLevelType w:val="hybridMultilevel"/>
    <w:tmpl w:val="D3C60F4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6856FB"/>
    <w:multiLevelType w:val="hybridMultilevel"/>
    <w:tmpl w:val="279257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623B7A"/>
    <w:multiLevelType w:val="hybridMultilevel"/>
    <w:tmpl w:val="FA22B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206457"/>
    <w:multiLevelType w:val="hybridMultilevel"/>
    <w:tmpl w:val="48B238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7AC1F57"/>
    <w:multiLevelType w:val="hybridMultilevel"/>
    <w:tmpl w:val="23D4D06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10">
    <w:nsid w:val="350407F4"/>
    <w:multiLevelType w:val="hybridMultilevel"/>
    <w:tmpl w:val="73ECC742"/>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355D6188"/>
    <w:multiLevelType w:val="hybridMultilevel"/>
    <w:tmpl w:val="D220D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F900DA"/>
    <w:multiLevelType w:val="hybridMultilevel"/>
    <w:tmpl w:val="C5CA71A4"/>
    <w:lvl w:ilvl="0">
      <w:start w:val="1"/>
      <w:numFmt w:val="decimal"/>
      <w:lvlText w:val="%1."/>
      <w:lvlJc w:val="left"/>
      <w:pPr>
        <w:ind w:left="1080" w:hanging="360"/>
      </w:pPr>
    </w:lvl>
    <w:lvl w:ilvl="1">
      <w:start w:val="1"/>
      <w:numFmt w:val="lowerLetter"/>
      <w:lvlText w:val="%2."/>
      <w:lvlJc w:val="left"/>
      <w:pPr>
        <w:ind w:left="1800" w:hanging="360"/>
      </w:pPr>
      <w:rPr>
        <w:rFonts w:ascii="Times New Roman"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0A07C80"/>
    <w:multiLevelType w:val="hybridMultilevel"/>
    <w:tmpl w:val="FD5AE874"/>
    <w:lvl w:ilvl="0">
      <w:start w:val="1"/>
      <w:numFmt w:val="lowerLetter"/>
      <w:lvlText w:val="%1."/>
      <w:lvlJc w:val="left"/>
      <w:pPr>
        <w:ind w:left="72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DB3052"/>
    <w:multiLevelType w:val="hybridMultilevel"/>
    <w:tmpl w:val="E66662EA"/>
    <w:lvl w:ilvl="0">
      <w:start w:val="1"/>
      <w:numFmt w:val="bullet"/>
      <w:lvlText w:val=""/>
      <w:lvlJc w:val="left"/>
      <w:pPr>
        <w:ind w:left="1080" w:hanging="360"/>
      </w:pPr>
      <w:rPr>
        <w:rFonts w:ascii="Symbol" w:hAnsi="Symbol" w:hint="default"/>
        <w:sz w:val="24"/>
      </w:rPr>
    </w:lvl>
    <w:lvl w:ilvl="1">
      <w:start w:val="1"/>
      <w:numFmt w:val="lowerLetter"/>
      <w:lvlText w:val="%2."/>
      <w:lvlJc w:val="left"/>
      <w:pPr>
        <w:ind w:left="1800" w:hanging="360"/>
      </w:p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57F51D0"/>
    <w:multiLevelType w:val="multilevel"/>
    <w:tmpl w:val="9B64B1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92D6692"/>
    <w:multiLevelType w:val="hybridMultilevel"/>
    <w:tmpl w:val="EC9E0CC8"/>
    <w:lvl w:ilvl="0">
      <w:start w:val="0"/>
      <w:numFmt w:val="none"/>
      <w:lvlText w:val=""/>
      <w:lvlJc w:val="left"/>
      <w:pPr>
        <w:tabs>
          <w:tab w:val="num" w:pos="0"/>
        </w:tabs>
        <w:ind w:left="360" w:hanging="360"/>
      </w:pPr>
      <w:rPr>
        <w:rFonts w:ascii="Wingdings" w:hAnsi="Wingdings" w:hint="default"/>
        <w:sz w:val="24"/>
      </w:rPr>
    </w:lvl>
    <w:lvl w:ilvl="1">
      <w:start w:val="1"/>
      <w:numFmt w:val="bullet"/>
      <w:lvlText w:val=""/>
      <w:lvlJc w:val="left"/>
      <w:pPr>
        <w:tabs>
          <w:tab w:val="num" w:pos="1440"/>
        </w:tabs>
        <w:ind w:left="1440" w:hanging="360"/>
      </w:pPr>
      <w:rPr>
        <w:rFonts w:ascii="Symbol" w:hAnsi="Symbol" w:hint="default"/>
        <w:sz w:val="24"/>
      </w:rPr>
    </w:lvl>
    <w:lvl w:ilvl="2">
      <w:start w:val="0"/>
      <w:numFmt w:val="bullet"/>
      <w:lvlText w:val="-"/>
      <w:lvlJc w:val="left"/>
      <w:pPr>
        <w:ind w:left="2700" w:hanging="72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CD21CF0"/>
    <w:multiLevelType w:val="hybridMultilevel"/>
    <w:tmpl w:val="A8984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066794"/>
    <w:multiLevelType w:val="hybridMultilevel"/>
    <w:tmpl w:val="E0A6C876"/>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1426BF8"/>
    <w:multiLevelType w:val="hybridMultilevel"/>
    <w:tmpl w:val="9CB67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921377"/>
    <w:multiLevelType w:val="hybridMultilevel"/>
    <w:tmpl w:val="402C427A"/>
    <w:lvl w:ilvl="0">
      <w:start w:val="9"/>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91E6000"/>
    <w:multiLevelType w:val="hybridMultilevel"/>
    <w:tmpl w:val="67A2349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3">
    <w:nsid w:val="6F991689"/>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4">
    <w:nsid w:val="72D530D5"/>
    <w:multiLevelType w:val="hybridMultilevel"/>
    <w:tmpl w:val="3556B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216AD1"/>
    <w:multiLevelType w:val="hybridMultilevel"/>
    <w:tmpl w:val="9914340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4199143">
    <w:abstractNumId w:val="23"/>
  </w:num>
  <w:num w:numId="2" w16cid:durableId="1980498872">
    <w:abstractNumId w:val="2"/>
  </w:num>
  <w:num w:numId="3" w16cid:durableId="526674443">
    <w:abstractNumId w:val="9"/>
  </w:num>
  <w:num w:numId="4" w16cid:durableId="1564951923">
    <w:abstractNumId w:val="16"/>
  </w:num>
  <w:num w:numId="5" w16cid:durableId="364990686">
    <w:abstractNumId w:val="21"/>
  </w:num>
  <w:num w:numId="6" w16cid:durableId="1422097513">
    <w:abstractNumId w:val="15"/>
  </w:num>
  <w:num w:numId="7" w16cid:durableId="1459758787">
    <w:abstractNumId w:val="18"/>
  </w:num>
  <w:num w:numId="8" w16cid:durableId="940644365">
    <w:abstractNumId w:val="10"/>
  </w:num>
  <w:num w:numId="9" w16cid:durableId="1627619187">
    <w:abstractNumId w:val="22"/>
  </w:num>
  <w:num w:numId="10" w16cid:durableId="604191674">
    <w:abstractNumId w:val="0"/>
  </w:num>
  <w:num w:numId="11" w16cid:durableId="934292485">
    <w:abstractNumId w:val="11"/>
  </w:num>
  <w:num w:numId="12" w16cid:durableId="1527251860">
    <w:abstractNumId w:val="6"/>
  </w:num>
  <w:num w:numId="13" w16cid:durableId="1632397839">
    <w:abstractNumId w:val="12"/>
  </w:num>
  <w:num w:numId="14" w16cid:durableId="1510176919">
    <w:abstractNumId w:val="25"/>
  </w:num>
  <w:num w:numId="15" w16cid:durableId="1035079477">
    <w:abstractNumId w:val="19"/>
  </w:num>
  <w:num w:numId="16" w16cid:durableId="823474838">
    <w:abstractNumId w:val="17"/>
  </w:num>
  <w:num w:numId="17" w16cid:durableId="1256473975">
    <w:abstractNumId w:val="24"/>
  </w:num>
  <w:num w:numId="18" w16cid:durableId="1235967451">
    <w:abstractNumId w:val="20"/>
  </w:num>
  <w:num w:numId="19" w16cid:durableId="1301884415">
    <w:abstractNumId w:val="1"/>
  </w:num>
  <w:num w:numId="20" w16cid:durableId="1561555615">
    <w:abstractNumId w:val="5"/>
  </w:num>
  <w:num w:numId="21" w16cid:durableId="124585493">
    <w:abstractNumId w:val="13"/>
  </w:num>
  <w:num w:numId="22" w16cid:durableId="523861947">
    <w:abstractNumId w:val="8"/>
  </w:num>
  <w:num w:numId="23" w16cid:durableId="1425490885">
    <w:abstractNumId w:val="4"/>
  </w:num>
  <w:num w:numId="24" w16cid:durableId="1463227290">
    <w:abstractNumId w:val="14"/>
  </w:num>
  <w:num w:numId="25" w16cid:durableId="87044211">
    <w:abstractNumId w:val="3"/>
  </w:num>
  <w:num w:numId="26" w16cid:durableId="618489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41"/>
    <w:rsid w:val="00000E88"/>
    <w:rsid w:val="00004AE1"/>
    <w:rsid w:val="00005B04"/>
    <w:rsid w:val="00006428"/>
    <w:rsid w:val="00006CF0"/>
    <w:rsid w:val="00013D57"/>
    <w:rsid w:val="000206ED"/>
    <w:rsid w:val="000213A5"/>
    <w:rsid w:val="00024CFF"/>
    <w:rsid w:val="00025A18"/>
    <w:rsid w:val="00033570"/>
    <w:rsid w:val="000340C0"/>
    <w:rsid w:val="00037950"/>
    <w:rsid w:val="000437E5"/>
    <w:rsid w:val="00044527"/>
    <w:rsid w:val="000469F8"/>
    <w:rsid w:val="000534DB"/>
    <w:rsid w:val="00054EB2"/>
    <w:rsid w:val="00055CE9"/>
    <w:rsid w:val="00057C7A"/>
    <w:rsid w:val="00071E79"/>
    <w:rsid w:val="00076700"/>
    <w:rsid w:val="0008444D"/>
    <w:rsid w:val="000872C3"/>
    <w:rsid w:val="00087635"/>
    <w:rsid w:val="00090B94"/>
    <w:rsid w:val="00092E13"/>
    <w:rsid w:val="00095A1F"/>
    <w:rsid w:val="000961E0"/>
    <w:rsid w:val="00097912"/>
    <w:rsid w:val="000A0BB5"/>
    <w:rsid w:val="000A20F1"/>
    <w:rsid w:val="000A5DBD"/>
    <w:rsid w:val="000A71E4"/>
    <w:rsid w:val="000C5728"/>
    <w:rsid w:val="000C590E"/>
    <w:rsid w:val="000C6D52"/>
    <w:rsid w:val="000D0E54"/>
    <w:rsid w:val="000E6C7D"/>
    <w:rsid w:val="000F112E"/>
    <w:rsid w:val="000F56B8"/>
    <w:rsid w:val="000F7F09"/>
    <w:rsid w:val="0010166F"/>
    <w:rsid w:val="00114FA3"/>
    <w:rsid w:val="0011626D"/>
    <w:rsid w:val="00124436"/>
    <w:rsid w:val="00144335"/>
    <w:rsid w:val="00171D83"/>
    <w:rsid w:val="00175C83"/>
    <w:rsid w:val="00175D6E"/>
    <w:rsid w:val="00176E15"/>
    <w:rsid w:val="0018417B"/>
    <w:rsid w:val="0018647C"/>
    <w:rsid w:val="00186653"/>
    <w:rsid w:val="0019002D"/>
    <w:rsid w:val="001907B1"/>
    <w:rsid w:val="00194699"/>
    <w:rsid w:val="001B2909"/>
    <w:rsid w:val="001B4360"/>
    <w:rsid w:val="001B593E"/>
    <w:rsid w:val="001B760B"/>
    <w:rsid w:val="001D15E2"/>
    <w:rsid w:val="001D442D"/>
    <w:rsid w:val="001D6EC6"/>
    <w:rsid w:val="001D7FEA"/>
    <w:rsid w:val="001E3D09"/>
    <w:rsid w:val="001E48EB"/>
    <w:rsid w:val="001E6743"/>
    <w:rsid w:val="001F29D9"/>
    <w:rsid w:val="001F31C0"/>
    <w:rsid w:val="001F60DC"/>
    <w:rsid w:val="00201108"/>
    <w:rsid w:val="00202C95"/>
    <w:rsid w:val="00203E50"/>
    <w:rsid w:val="0020693B"/>
    <w:rsid w:val="00215E71"/>
    <w:rsid w:val="002168B2"/>
    <w:rsid w:val="002201F0"/>
    <w:rsid w:val="0022026C"/>
    <w:rsid w:val="00225203"/>
    <w:rsid w:val="00225E2A"/>
    <w:rsid w:val="00232068"/>
    <w:rsid w:val="002460C2"/>
    <w:rsid w:val="0024717E"/>
    <w:rsid w:val="00252F75"/>
    <w:rsid w:val="00254515"/>
    <w:rsid w:val="00254C13"/>
    <w:rsid w:val="002646C2"/>
    <w:rsid w:val="002648B4"/>
    <w:rsid w:val="0027206A"/>
    <w:rsid w:val="00272FE4"/>
    <w:rsid w:val="00274BCB"/>
    <w:rsid w:val="002800AE"/>
    <w:rsid w:val="002801FA"/>
    <w:rsid w:val="00281609"/>
    <w:rsid w:val="002858AD"/>
    <w:rsid w:val="00285C17"/>
    <w:rsid w:val="0028782A"/>
    <w:rsid w:val="00290245"/>
    <w:rsid w:val="002B2086"/>
    <w:rsid w:val="002B2EF6"/>
    <w:rsid w:val="002B7E1B"/>
    <w:rsid w:val="002C24D8"/>
    <w:rsid w:val="002C307A"/>
    <w:rsid w:val="002C33CD"/>
    <w:rsid w:val="002C48A8"/>
    <w:rsid w:val="002C7A4D"/>
    <w:rsid w:val="002D19BE"/>
    <w:rsid w:val="002D2E60"/>
    <w:rsid w:val="002D7CAE"/>
    <w:rsid w:val="002E019E"/>
    <w:rsid w:val="002E3682"/>
    <w:rsid w:val="002F2BC9"/>
    <w:rsid w:val="00304E83"/>
    <w:rsid w:val="0030511E"/>
    <w:rsid w:val="00311264"/>
    <w:rsid w:val="00315A09"/>
    <w:rsid w:val="00326CE3"/>
    <w:rsid w:val="00341F31"/>
    <w:rsid w:val="00351438"/>
    <w:rsid w:val="00357091"/>
    <w:rsid w:val="00361965"/>
    <w:rsid w:val="00363435"/>
    <w:rsid w:val="00366C0A"/>
    <w:rsid w:val="00371BDB"/>
    <w:rsid w:val="00383EE9"/>
    <w:rsid w:val="00391A0C"/>
    <w:rsid w:val="00396156"/>
    <w:rsid w:val="0039680D"/>
    <w:rsid w:val="003970F0"/>
    <w:rsid w:val="003A12AF"/>
    <w:rsid w:val="003A2843"/>
    <w:rsid w:val="003A4D87"/>
    <w:rsid w:val="003B2CCF"/>
    <w:rsid w:val="003B5C77"/>
    <w:rsid w:val="003B7EF3"/>
    <w:rsid w:val="003C246F"/>
    <w:rsid w:val="003C2E39"/>
    <w:rsid w:val="003C70BF"/>
    <w:rsid w:val="003C790F"/>
    <w:rsid w:val="003C7EA7"/>
    <w:rsid w:val="003D5DC7"/>
    <w:rsid w:val="003E5610"/>
    <w:rsid w:val="003F08BD"/>
    <w:rsid w:val="003F2E0B"/>
    <w:rsid w:val="003F4782"/>
    <w:rsid w:val="00400571"/>
    <w:rsid w:val="004037B0"/>
    <w:rsid w:val="00403F62"/>
    <w:rsid w:val="004126F8"/>
    <w:rsid w:val="00425FF3"/>
    <w:rsid w:val="00436F55"/>
    <w:rsid w:val="004455D0"/>
    <w:rsid w:val="00457004"/>
    <w:rsid w:val="00465531"/>
    <w:rsid w:val="004728DE"/>
    <w:rsid w:val="004758B8"/>
    <w:rsid w:val="00480797"/>
    <w:rsid w:val="00480A8E"/>
    <w:rsid w:val="00481AE3"/>
    <w:rsid w:val="00483E35"/>
    <w:rsid w:val="00483FE6"/>
    <w:rsid w:val="00485C2F"/>
    <w:rsid w:val="00486451"/>
    <w:rsid w:val="004918DE"/>
    <w:rsid w:val="00496DFE"/>
    <w:rsid w:val="004A4987"/>
    <w:rsid w:val="004B4486"/>
    <w:rsid w:val="004B770F"/>
    <w:rsid w:val="004B7C7C"/>
    <w:rsid w:val="004C001E"/>
    <w:rsid w:val="004C04DD"/>
    <w:rsid w:val="004C41FD"/>
    <w:rsid w:val="004C7C3C"/>
    <w:rsid w:val="004C7DAB"/>
    <w:rsid w:val="004D0932"/>
    <w:rsid w:val="004D12D9"/>
    <w:rsid w:val="004D27E0"/>
    <w:rsid w:val="004D2B45"/>
    <w:rsid w:val="004E64F7"/>
    <w:rsid w:val="004E7DD4"/>
    <w:rsid w:val="004F728E"/>
    <w:rsid w:val="00501328"/>
    <w:rsid w:val="00510FA1"/>
    <w:rsid w:val="00511245"/>
    <w:rsid w:val="00513CE6"/>
    <w:rsid w:val="00514B87"/>
    <w:rsid w:val="00515058"/>
    <w:rsid w:val="005160C9"/>
    <w:rsid w:val="00517613"/>
    <w:rsid w:val="005260A4"/>
    <w:rsid w:val="005372B0"/>
    <w:rsid w:val="00541374"/>
    <w:rsid w:val="0054217C"/>
    <w:rsid w:val="005433AC"/>
    <w:rsid w:val="005447A3"/>
    <w:rsid w:val="005470F3"/>
    <w:rsid w:val="00555CEB"/>
    <w:rsid w:val="00556256"/>
    <w:rsid w:val="00560D32"/>
    <w:rsid w:val="0056582C"/>
    <w:rsid w:val="005716B3"/>
    <w:rsid w:val="00574923"/>
    <w:rsid w:val="00575003"/>
    <w:rsid w:val="00576A03"/>
    <w:rsid w:val="00587120"/>
    <w:rsid w:val="005A4E43"/>
    <w:rsid w:val="005A5534"/>
    <w:rsid w:val="005A5D8B"/>
    <w:rsid w:val="005A77E9"/>
    <w:rsid w:val="005B33DB"/>
    <w:rsid w:val="005B3730"/>
    <w:rsid w:val="005B7DBC"/>
    <w:rsid w:val="005D586D"/>
    <w:rsid w:val="005E1B57"/>
    <w:rsid w:val="005E5E8C"/>
    <w:rsid w:val="005E7738"/>
    <w:rsid w:val="005F057C"/>
    <w:rsid w:val="005F5DA5"/>
    <w:rsid w:val="005F6640"/>
    <w:rsid w:val="005F66AF"/>
    <w:rsid w:val="006000EB"/>
    <w:rsid w:val="00601F09"/>
    <w:rsid w:val="0060200D"/>
    <w:rsid w:val="00602558"/>
    <w:rsid w:val="00603195"/>
    <w:rsid w:val="006064E6"/>
    <w:rsid w:val="006158E1"/>
    <w:rsid w:val="00620410"/>
    <w:rsid w:val="00624843"/>
    <w:rsid w:val="006250DC"/>
    <w:rsid w:val="00630878"/>
    <w:rsid w:val="0063443F"/>
    <w:rsid w:val="00636092"/>
    <w:rsid w:val="00636C24"/>
    <w:rsid w:val="0064091B"/>
    <w:rsid w:val="0064461B"/>
    <w:rsid w:val="00645384"/>
    <w:rsid w:val="00645A67"/>
    <w:rsid w:val="006547FB"/>
    <w:rsid w:val="00654839"/>
    <w:rsid w:val="00655CCD"/>
    <w:rsid w:val="00661696"/>
    <w:rsid w:val="00666820"/>
    <w:rsid w:val="0067529D"/>
    <w:rsid w:val="0067576E"/>
    <w:rsid w:val="0067740E"/>
    <w:rsid w:val="00691526"/>
    <w:rsid w:val="006935B1"/>
    <w:rsid w:val="00695C5F"/>
    <w:rsid w:val="006972EC"/>
    <w:rsid w:val="006A19BB"/>
    <w:rsid w:val="006B1493"/>
    <w:rsid w:val="006B1C6A"/>
    <w:rsid w:val="006B203E"/>
    <w:rsid w:val="006B3E59"/>
    <w:rsid w:val="006B733B"/>
    <w:rsid w:val="006D1C13"/>
    <w:rsid w:val="006D3E3B"/>
    <w:rsid w:val="006E1906"/>
    <w:rsid w:val="006E3DF2"/>
    <w:rsid w:val="006E3FD7"/>
    <w:rsid w:val="006E5A39"/>
    <w:rsid w:val="006E6C92"/>
    <w:rsid w:val="006E6DB9"/>
    <w:rsid w:val="006E7445"/>
    <w:rsid w:val="006E792F"/>
    <w:rsid w:val="006F1FC9"/>
    <w:rsid w:val="006F67B7"/>
    <w:rsid w:val="00700777"/>
    <w:rsid w:val="00701195"/>
    <w:rsid w:val="00703146"/>
    <w:rsid w:val="00704787"/>
    <w:rsid w:val="00710357"/>
    <w:rsid w:val="0071082C"/>
    <w:rsid w:val="007152B6"/>
    <w:rsid w:val="00721915"/>
    <w:rsid w:val="007270F8"/>
    <w:rsid w:val="007313CD"/>
    <w:rsid w:val="00732A8F"/>
    <w:rsid w:val="00732CCA"/>
    <w:rsid w:val="007352E2"/>
    <w:rsid w:val="0074336B"/>
    <w:rsid w:val="007477FE"/>
    <w:rsid w:val="007650AF"/>
    <w:rsid w:val="00773BB3"/>
    <w:rsid w:val="00782D8F"/>
    <w:rsid w:val="00783252"/>
    <w:rsid w:val="00785A27"/>
    <w:rsid w:val="007863AD"/>
    <w:rsid w:val="007956F9"/>
    <w:rsid w:val="00795799"/>
    <w:rsid w:val="00796848"/>
    <w:rsid w:val="007A3250"/>
    <w:rsid w:val="007A7B14"/>
    <w:rsid w:val="007B21B6"/>
    <w:rsid w:val="007B3CEF"/>
    <w:rsid w:val="007C036D"/>
    <w:rsid w:val="007C04F2"/>
    <w:rsid w:val="007C24F2"/>
    <w:rsid w:val="007C642F"/>
    <w:rsid w:val="007D09CF"/>
    <w:rsid w:val="007D28CA"/>
    <w:rsid w:val="007D393C"/>
    <w:rsid w:val="007E38E3"/>
    <w:rsid w:val="007E4094"/>
    <w:rsid w:val="007F25F8"/>
    <w:rsid w:val="007F31EB"/>
    <w:rsid w:val="007F4322"/>
    <w:rsid w:val="007F4C89"/>
    <w:rsid w:val="007F5001"/>
    <w:rsid w:val="00803DF9"/>
    <w:rsid w:val="008045FB"/>
    <w:rsid w:val="00804ECD"/>
    <w:rsid w:val="00807574"/>
    <w:rsid w:val="00810C09"/>
    <w:rsid w:val="00811676"/>
    <w:rsid w:val="008131B7"/>
    <w:rsid w:val="008144AB"/>
    <w:rsid w:val="0081717A"/>
    <w:rsid w:val="00817F90"/>
    <w:rsid w:val="00820E13"/>
    <w:rsid w:val="00824566"/>
    <w:rsid w:val="0083303A"/>
    <w:rsid w:val="00835EBE"/>
    <w:rsid w:val="008370F9"/>
    <w:rsid w:val="008412BD"/>
    <w:rsid w:val="0084297D"/>
    <w:rsid w:val="00843877"/>
    <w:rsid w:val="00843DE3"/>
    <w:rsid w:val="00844C4A"/>
    <w:rsid w:val="008531DA"/>
    <w:rsid w:val="0086255F"/>
    <w:rsid w:val="0087066A"/>
    <w:rsid w:val="00873284"/>
    <w:rsid w:val="00881901"/>
    <w:rsid w:val="0088231C"/>
    <w:rsid w:val="008B1C0B"/>
    <w:rsid w:val="008B2638"/>
    <w:rsid w:val="008B67A3"/>
    <w:rsid w:val="008B6CC6"/>
    <w:rsid w:val="008C5887"/>
    <w:rsid w:val="008C6E26"/>
    <w:rsid w:val="008D03CC"/>
    <w:rsid w:val="008D445B"/>
    <w:rsid w:val="008D5F5B"/>
    <w:rsid w:val="008E452E"/>
    <w:rsid w:val="008F2F42"/>
    <w:rsid w:val="00902C9D"/>
    <w:rsid w:val="009115FF"/>
    <w:rsid w:val="00916E9F"/>
    <w:rsid w:val="0092324C"/>
    <w:rsid w:val="0093043E"/>
    <w:rsid w:val="00930AD0"/>
    <w:rsid w:val="00935C84"/>
    <w:rsid w:val="009370B3"/>
    <w:rsid w:val="00940D13"/>
    <w:rsid w:val="00942D57"/>
    <w:rsid w:val="0094667A"/>
    <w:rsid w:val="009528D3"/>
    <w:rsid w:val="00953985"/>
    <w:rsid w:val="00954DD2"/>
    <w:rsid w:val="00956DEE"/>
    <w:rsid w:val="009621EB"/>
    <w:rsid w:val="00972204"/>
    <w:rsid w:val="00973702"/>
    <w:rsid w:val="00974E44"/>
    <w:rsid w:val="00982199"/>
    <w:rsid w:val="00982454"/>
    <w:rsid w:val="00983D00"/>
    <w:rsid w:val="009878D0"/>
    <w:rsid w:val="00996C5D"/>
    <w:rsid w:val="009A17B4"/>
    <w:rsid w:val="009A64F5"/>
    <w:rsid w:val="009A6C78"/>
    <w:rsid w:val="009A774C"/>
    <w:rsid w:val="009B02C7"/>
    <w:rsid w:val="009B3282"/>
    <w:rsid w:val="009B3D2F"/>
    <w:rsid w:val="009D0B96"/>
    <w:rsid w:val="009D6689"/>
    <w:rsid w:val="009D7556"/>
    <w:rsid w:val="009E19B1"/>
    <w:rsid w:val="009E57CA"/>
    <w:rsid w:val="009F7AB4"/>
    <w:rsid w:val="00A05637"/>
    <w:rsid w:val="00A07433"/>
    <w:rsid w:val="00A13850"/>
    <w:rsid w:val="00A15641"/>
    <w:rsid w:val="00A15716"/>
    <w:rsid w:val="00A248D6"/>
    <w:rsid w:val="00A24B3B"/>
    <w:rsid w:val="00A269F6"/>
    <w:rsid w:val="00A30C59"/>
    <w:rsid w:val="00A31596"/>
    <w:rsid w:val="00A326C1"/>
    <w:rsid w:val="00A343FA"/>
    <w:rsid w:val="00A346CE"/>
    <w:rsid w:val="00A355BA"/>
    <w:rsid w:val="00A3649E"/>
    <w:rsid w:val="00A4248A"/>
    <w:rsid w:val="00A45C31"/>
    <w:rsid w:val="00A50950"/>
    <w:rsid w:val="00A71095"/>
    <w:rsid w:val="00A72E62"/>
    <w:rsid w:val="00A81423"/>
    <w:rsid w:val="00A81D9A"/>
    <w:rsid w:val="00A82A79"/>
    <w:rsid w:val="00A90A95"/>
    <w:rsid w:val="00A90E44"/>
    <w:rsid w:val="00A94431"/>
    <w:rsid w:val="00A9480C"/>
    <w:rsid w:val="00AA12BE"/>
    <w:rsid w:val="00AA19F7"/>
    <w:rsid w:val="00AA36AD"/>
    <w:rsid w:val="00AA4353"/>
    <w:rsid w:val="00AA540E"/>
    <w:rsid w:val="00AB7245"/>
    <w:rsid w:val="00AC2FC5"/>
    <w:rsid w:val="00AD1013"/>
    <w:rsid w:val="00AD281C"/>
    <w:rsid w:val="00AE1730"/>
    <w:rsid w:val="00AE6339"/>
    <w:rsid w:val="00AE65B8"/>
    <w:rsid w:val="00AF559B"/>
    <w:rsid w:val="00AF5863"/>
    <w:rsid w:val="00AF79B3"/>
    <w:rsid w:val="00B075E3"/>
    <w:rsid w:val="00B07C96"/>
    <w:rsid w:val="00B22EA4"/>
    <w:rsid w:val="00B309E1"/>
    <w:rsid w:val="00B30B4F"/>
    <w:rsid w:val="00B31B06"/>
    <w:rsid w:val="00B32BF9"/>
    <w:rsid w:val="00B356E9"/>
    <w:rsid w:val="00B40AB7"/>
    <w:rsid w:val="00B40B6D"/>
    <w:rsid w:val="00B462FB"/>
    <w:rsid w:val="00B47007"/>
    <w:rsid w:val="00B61EA2"/>
    <w:rsid w:val="00B71D92"/>
    <w:rsid w:val="00B731B6"/>
    <w:rsid w:val="00B7352C"/>
    <w:rsid w:val="00B76D5D"/>
    <w:rsid w:val="00B83F94"/>
    <w:rsid w:val="00B903D7"/>
    <w:rsid w:val="00B957F0"/>
    <w:rsid w:val="00BA0AAE"/>
    <w:rsid w:val="00BA52DA"/>
    <w:rsid w:val="00BA71F3"/>
    <w:rsid w:val="00BB3A09"/>
    <w:rsid w:val="00BC21FB"/>
    <w:rsid w:val="00BC2B08"/>
    <w:rsid w:val="00BC3FB4"/>
    <w:rsid w:val="00BC4664"/>
    <w:rsid w:val="00BC6824"/>
    <w:rsid w:val="00BC7C97"/>
    <w:rsid w:val="00BD5DAC"/>
    <w:rsid w:val="00BE77C7"/>
    <w:rsid w:val="00BF1421"/>
    <w:rsid w:val="00BF6683"/>
    <w:rsid w:val="00BF6DE5"/>
    <w:rsid w:val="00C0525F"/>
    <w:rsid w:val="00C25FB2"/>
    <w:rsid w:val="00C3061D"/>
    <w:rsid w:val="00C31A26"/>
    <w:rsid w:val="00C3769C"/>
    <w:rsid w:val="00C4095D"/>
    <w:rsid w:val="00C43DE2"/>
    <w:rsid w:val="00C45AAC"/>
    <w:rsid w:val="00C47A81"/>
    <w:rsid w:val="00C50802"/>
    <w:rsid w:val="00C508AD"/>
    <w:rsid w:val="00C50CA3"/>
    <w:rsid w:val="00C551DE"/>
    <w:rsid w:val="00C86CDD"/>
    <w:rsid w:val="00C93D88"/>
    <w:rsid w:val="00CB62A5"/>
    <w:rsid w:val="00CC3399"/>
    <w:rsid w:val="00CC47BA"/>
    <w:rsid w:val="00CC5F72"/>
    <w:rsid w:val="00CD1B5A"/>
    <w:rsid w:val="00CD47BA"/>
    <w:rsid w:val="00CD50D5"/>
    <w:rsid w:val="00CD5D5E"/>
    <w:rsid w:val="00CE51E7"/>
    <w:rsid w:val="00CF10A3"/>
    <w:rsid w:val="00CF38B8"/>
    <w:rsid w:val="00CF4442"/>
    <w:rsid w:val="00D04D4C"/>
    <w:rsid w:val="00D05044"/>
    <w:rsid w:val="00D06F54"/>
    <w:rsid w:val="00D10953"/>
    <w:rsid w:val="00D11357"/>
    <w:rsid w:val="00D117C2"/>
    <w:rsid w:val="00D131E6"/>
    <w:rsid w:val="00D30ECC"/>
    <w:rsid w:val="00D325C3"/>
    <w:rsid w:val="00D41D33"/>
    <w:rsid w:val="00D4345F"/>
    <w:rsid w:val="00D52072"/>
    <w:rsid w:val="00D57137"/>
    <w:rsid w:val="00D6429B"/>
    <w:rsid w:val="00D672D5"/>
    <w:rsid w:val="00D72172"/>
    <w:rsid w:val="00D72D20"/>
    <w:rsid w:val="00D74B30"/>
    <w:rsid w:val="00D76930"/>
    <w:rsid w:val="00D8079C"/>
    <w:rsid w:val="00D8664F"/>
    <w:rsid w:val="00D870F0"/>
    <w:rsid w:val="00D874D4"/>
    <w:rsid w:val="00DB17A1"/>
    <w:rsid w:val="00DC328C"/>
    <w:rsid w:val="00DD307B"/>
    <w:rsid w:val="00DD7848"/>
    <w:rsid w:val="00DD7F0A"/>
    <w:rsid w:val="00DE559F"/>
    <w:rsid w:val="00DF147F"/>
    <w:rsid w:val="00DF1DEC"/>
    <w:rsid w:val="00DF28BF"/>
    <w:rsid w:val="00DF3074"/>
    <w:rsid w:val="00DF3321"/>
    <w:rsid w:val="00DF7B46"/>
    <w:rsid w:val="00E00B12"/>
    <w:rsid w:val="00E011A9"/>
    <w:rsid w:val="00E01B17"/>
    <w:rsid w:val="00E04ED9"/>
    <w:rsid w:val="00E1142E"/>
    <w:rsid w:val="00E1364A"/>
    <w:rsid w:val="00E154FD"/>
    <w:rsid w:val="00E231A2"/>
    <w:rsid w:val="00E26D47"/>
    <w:rsid w:val="00E27B93"/>
    <w:rsid w:val="00E30E56"/>
    <w:rsid w:val="00E345EC"/>
    <w:rsid w:val="00E45E16"/>
    <w:rsid w:val="00E47C10"/>
    <w:rsid w:val="00E52D20"/>
    <w:rsid w:val="00E52E9E"/>
    <w:rsid w:val="00E57E91"/>
    <w:rsid w:val="00E57E9E"/>
    <w:rsid w:val="00E771BC"/>
    <w:rsid w:val="00E805ED"/>
    <w:rsid w:val="00E81CAD"/>
    <w:rsid w:val="00E82CCF"/>
    <w:rsid w:val="00E87B88"/>
    <w:rsid w:val="00E925D0"/>
    <w:rsid w:val="00EA38CB"/>
    <w:rsid w:val="00EA6B80"/>
    <w:rsid w:val="00EB108F"/>
    <w:rsid w:val="00EB4BE1"/>
    <w:rsid w:val="00EB6F90"/>
    <w:rsid w:val="00EB7667"/>
    <w:rsid w:val="00EC0FF4"/>
    <w:rsid w:val="00EC3494"/>
    <w:rsid w:val="00EC58F3"/>
    <w:rsid w:val="00ED2F21"/>
    <w:rsid w:val="00ED4850"/>
    <w:rsid w:val="00ED53B3"/>
    <w:rsid w:val="00EE17AE"/>
    <w:rsid w:val="00EE265D"/>
    <w:rsid w:val="00EE40CE"/>
    <w:rsid w:val="00EF0443"/>
    <w:rsid w:val="00EF064B"/>
    <w:rsid w:val="00EF3680"/>
    <w:rsid w:val="00F12CDD"/>
    <w:rsid w:val="00F14671"/>
    <w:rsid w:val="00F2307A"/>
    <w:rsid w:val="00F23B16"/>
    <w:rsid w:val="00F26F18"/>
    <w:rsid w:val="00F2798E"/>
    <w:rsid w:val="00F35273"/>
    <w:rsid w:val="00F35B52"/>
    <w:rsid w:val="00F40186"/>
    <w:rsid w:val="00F452E3"/>
    <w:rsid w:val="00F466C1"/>
    <w:rsid w:val="00F60DFB"/>
    <w:rsid w:val="00F63787"/>
    <w:rsid w:val="00F63E7A"/>
    <w:rsid w:val="00F70DD3"/>
    <w:rsid w:val="00F735F7"/>
    <w:rsid w:val="00F74398"/>
    <w:rsid w:val="00F77BE2"/>
    <w:rsid w:val="00F81396"/>
    <w:rsid w:val="00F81537"/>
    <w:rsid w:val="00F83AF2"/>
    <w:rsid w:val="00F85422"/>
    <w:rsid w:val="00F85D1B"/>
    <w:rsid w:val="00F971F3"/>
    <w:rsid w:val="00FA5F7D"/>
    <w:rsid w:val="00FB2C9A"/>
    <w:rsid w:val="00FB307E"/>
    <w:rsid w:val="00FB4082"/>
    <w:rsid w:val="00FC02B9"/>
    <w:rsid w:val="00FC2A0A"/>
    <w:rsid w:val="00FC30A2"/>
    <w:rsid w:val="00FC60D2"/>
    <w:rsid w:val="00FD2545"/>
    <w:rsid w:val="00FE139F"/>
    <w:rsid w:val="00FE54D4"/>
    <w:rsid w:val="00FE72C5"/>
    <w:rsid w:val="00FF1EAA"/>
    <w:rsid w:val="00FF2F9B"/>
    <w:rsid w:val="00FF3689"/>
    <w:rsid w:val="00FF49EF"/>
    <w:rsid w:val="00FF5AC5"/>
    <w:rsid w:val="00FF65A3"/>
    <w:rsid w:val="077258D1"/>
    <w:rsid w:val="0B500832"/>
    <w:rsid w:val="0BB32FBC"/>
    <w:rsid w:val="0E5EA37A"/>
    <w:rsid w:val="0EECF113"/>
    <w:rsid w:val="114F223E"/>
    <w:rsid w:val="137B06A0"/>
    <w:rsid w:val="161BFFA4"/>
    <w:rsid w:val="16D68969"/>
    <w:rsid w:val="18B7642E"/>
    <w:rsid w:val="1FD478F1"/>
    <w:rsid w:val="20142E12"/>
    <w:rsid w:val="20799D17"/>
    <w:rsid w:val="2E8BF1C5"/>
    <w:rsid w:val="2F4D2790"/>
    <w:rsid w:val="3144B95D"/>
    <w:rsid w:val="39A36D52"/>
    <w:rsid w:val="3B54E293"/>
    <w:rsid w:val="3DADA2EC"/>
    <w:rsid w:val="3E653DFC"/>
    <w:rsid w:val="47AC940C"/>
    <w:rsid w:val="50E3EBE5"/>
    <w:rsid w:val="52721FE2"/>
    <w:rsid w:val="53F61709"/>
    <w:rsid w:val="5660629A"/>
    <w:rsid w:val="5D1C5619"/>
    <w:rsid w:val="5E3CB58B"/>
    <w:rsid w:val="61B75403"/>
    <w:rsid w:val="63C647C5"/>
    <w:rsid w:val="662F368B"/>
    <w:rsid w:val="76188044"/>
    <w:rsid w:val="778A6178"/>
    <w:rsid w:val="7FA48325"/>
    <w:rsid w:val="7FC66C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37F093"/>
  <w15:chartTrackingRefBased/>
  <w15:docId w15:val="{44917707-4FBE-4BCA-A9EA-E103187B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1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A1564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156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641"/>
    <w:rPr>
      <w:rFonts w:ascii="Arial" w:eastAsia="Times New Roman" w:hAnsi="Arial" w:cs="Arial"/>
      <w:b/>
      <w:bCs/>
      <w:kern w:val="32"/>
      <w:sz w:val="32"/>
      <w:szCs w:val="32"/>
    </w:rPr>
  </w:style>
  <w:style w:type="character" w:customStyle="1" w:styleId="Heading2Char">
    <w:name w:val="Heading 2 Char"/>
    <w:basedOn w:val="DefaultParagraphFont"/>
    <w:uiPriority w:val="9"/>
    <w:semiHidden/>
    <w:rsid w:val="00A156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15641"/>
    <w:rPr>
      <w:rFonts w:ascii="Arial" w:eastAsia="Times New Roman" w:hAnsi="Arial" w:cs="Arial"/>
      <w:b/>
      <w:bCs/>
      <w:sz w:val="26"/>
      <w:szCs w:val="26"/>
    </w:rPr>
  </w:style>
  <w:style w:type="paragraph" w:customStyle="1" w:styleId="DefaultText">
    <w:name w:val="Default Text"/>
    <w:basedOn w:val="Normal"/>
    <w:link w:val="DefaultTextChar"/>
    <w:rsid w:val="00A15641"/>
    <w:pPr>
      <w:autoSpaceDE w:val="0"/>
      <w:autoSpaceDN w:val="0"/>
      <w:adjustRightInd w:val="0"/>
    </w:pPr>
  </w:style>
  <w:style w:type="character" w:customStyle="1" w:styleId="InitialStyle">
    <w:name w:val="InitialStyle"/>
    <w:rsid w:val="00A15641"/>
  </w:style>
  <w:style w:type="character" w:customStyle="1" w:styleId="Heading2Char1">
    <w:name w:val="Heading 2 Char1"/>
    <w:link w:val="Heading2"/>
    <w:rsid w:val="00A15641"/>
    <w:rPr>
      <w:rFonts w:ascii="Arial" w:eastAsia="Times New Roman" w:hAnsi="Arial" w:cs="Arial"/>
      <w:b/>
      <w:bCs/>
      <w:i/>
      <w:iCs/>
      <w:sz w:val="28"/>
      <w:szCs w:val="28"/>
    </w:rPr>
  </w:style>
  <w:style w:type="table" w:styleId="TableGrid">
    <w:name w:val="Table Grid"/>
    <w:basedOn w:val="TableNormal"/>
    <w:uiPriority w:val="39"/>
    <w:rsid w:val="00A156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rsid w:val="00A15641"/>
    <w:rPr>
      <w:rFonts w:ascii="Times New Roman" w:eastAsia="Times New Roman" w:hAnsi="Times New Roman" w:cs="Times New Roman"/>
      <w:sz w:val="24"/>
      <w:szCs w:val="24"/>
    </w:rPr>
  </w:style>
  <w:style w:type="paragraph" w:styleId="Footer">
    <w:name w:val="footer"/>
    <w:basedOn w:val="Normal"/>
    <w:link w:val="FooterChar"/>
    <w:uiPriority w:val="99"/>
    <w:rsid w:val="00A15641"/>
    <w:pPr>
      <w:tabs>
        <w:tab w:val="center" w:pos="4320"/>
        <w:tab w:val="right" w:pos="8640"/>
      </w:tabs>
    </w:pPr>
  </w:style>
  <w:style w:type="character" w:customStyle="1" w:styleId="FooterChar">
    <w:name w:val="Footer Char"/>
    <w:basedOn w:val="DefaultParagraphFont"/>
    <w:link w:val="Footer"/>
    <w:uiPriority w:val="99"/>
    <w:rsid w:val="00A15641"/>
    <w:rPr>
      <w:rFonts w:ascii="Times New Roman" w:eastAsia="Times New Roman" w:hAnsi="Times New Roman" w:cs="Times New Roman"/>
      <w:sz w:val="24"/>
      <w:szCs w:val="24"/>
    </w:rPr>
  </w:style>
  <w:style w:type="character" w:styleId="PageNumber">
    <w:name w:val="page number"/>
    <w:basedOn w:val="DefaultParagraphFont"/>
    <w:rsid w:val="00A15641"/>
  </w:style>
  <w:style w:type="paragraph" w:styleId="ListParagraph">
    <w:name w:val="List Paragraph"/>
    <w:basedOn w:val="Normal"/>
    <w:uiPriority w:val="34"/>
    <w:qFormat/>
    <w:rsid w:val="00A15641"/>
    <w:pPr>
      <w:widowControl w:val="0"/>
      <w:ind w:left="720"/>
      <w:contextualSpacing/>
    </w:pPr>
    <w:rPr>
      <w:rFonts w:ascii="Courier" w:hAnsi="Courier"/>
      <w:snapToGrid w:val="0"/>
      <w:szCs w:val="20"/>
    </w:rPr>
  </w:style>
  <w:style w:type="character" w:styleId="Hyperlink">
    <w:name w:val="Hyperlink"/>
    <w:basedOn w:val="DefaultParagraphFont"/>
    <w:rsid w:val="00A15641"/>
    <w:rPr>
      <w:color w:val="0563C1" w:themeColor="hyperlink"/>
      <w:u w:val="single"/>
    </w:rPr>
  </w:style>
  <w:style w:type="paragraph" w:customStyle="1" w:styleId="BODY11Indent">
    <w:name w:val="BODY 11 Indent"/>
    <w:basedOn w:val="Normal"/>
    <w:rsid w:val="00A15641"/>
    <w:pPr>
      <w:ind w:left="720"/>
    </w:pPr>
    <w:rPr>
      <w:bCs/>
      <w:sz w:val="22"/>
    </w:rPr>
  </w:style>
  <w:style w:type="character" w:styleId="CommentReference">
    <w:name w:val="annotation reference"/>
    <w:basedOn w:val="DefaultParagraphFont"/>
    <w:uiPriority w:val="99"/>
    <w:semiHidden/>
    <w:unhideWhenUsed/>
    <w:rsid w:val="00B47007"/>
    <w:rPr>
      <w:sz w:val="16"/>
      <w:szCs w:val="16"/>
    </w:rPr>
  </w:style>
  <w:style w:type="paragraph" w:styleId="CommentText">
    <w:name w:val="annotation text"/>
    <w:basedOn w:val="Normal"/>
    <w:link w:val="CommentTextChar"/>
    <w:uiPriority w:val="99"/>
    <w:unhideWhenUsed/>
    <w:rsid w:val="00B47007"/>
    <w:rPr>
      <w:sz w:val="20"/>
      <w:szCs w:val="20"/>
    </w:rPr>
  </w:style>
  <w:style w:type="character" w:customStyle="1" w:styleId="CommentTextChar">
    <w:name w:val="Comment Text Char"/>
    <w:basedOn w:val="DefaultParagraphFont"/>
    <w:link w:val="CommentText"/>
    <w:uiPriority w:val="99"/>
    <w:rsid w:val="00B470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007"/>
    <w:rPr>
      <w:b/>
      <w:bCs/>
    </w:rPr>
  </w:style>
  <w:style w:type="character" w:customStyle="1" w:styleId="CommentSubjectChar">
    <w:name w:val="Comment Subject Char"/>
    <w:basedOn w:val="CommentTextChar"/>
    <w:link w:val="CommentSubject"/>
    <w:uiPriority w:val="99"/>
    <w:semiHidden/>
    <w:rsid w:val="00B47007"/>
    <w:rPr>
      <w:rFonts w:ascii="Times New Roman" w:eastAsia="Times New Roman" w:hAnsi="Times New Roman" w:cs="Times New Roman"/>
      <w:b/>
      <w:bCs/>
      <w:sz w:val="20"/>
      <w:szCs w:val="20"/>
    </w:rPr>
  </w:style>
  <w:style w:type="character" w:customStyle="1" w:styleId="normaltextrun">
    <w:name w:val="normaltextrun"/>
    <w:basedOn w:val="DefaultParagraphFont"/>
    <w:rsid w:val="00025A18"/>
  </w:style>
  <w:style w:type="character" w:styleId="UnresolvedMention">
    <w:name w:val="Unresolved Mention"/>
    <w:basedOn w:val="DefaultParagraphFont"/>
    <w:uiPriority w:val="99"/>
    <w:semiHidden/>
    <w:unhideWhenUsed/>
    <w:rsid w:val="009115FF"/>
    <w:rPr>
      <w:color w:val="605E5C"/>
      <w:shd w:val="clear" w:color="auto" w:fill="E1DFDD"/>
    </w:rPr>
  </w:style>
  <w:style w:type="paragraph" w:styleId="Header">
    <w:name w:val="header"/>
    <w:basedOn w:val="Normal"/>
    <w:link w:val="HeaderChar"/>
    <w:uiPriority w:val="99"/>
    <w:unhideWhenUsed/>
    <w:rsid w:val="004D27E0"/>
    <w:pPr>
      <w:tabs>
        <w:tab w:val="center" w:pos="4680"/>
        <w:tab w:val="right" w:pos="9360"/>
      </w:tabs>
    </w:pPr>
  </w:style>
  <w:style w:type="character" w:customStyle="1" w:styleId="HeaderChar">
    <w:name w:val="Header Char"/>
    <w:basedOn w:val="DefaultParagraphFont"/>
    <w:link w:val="Header"/>
    <w:uiPriority w:val="99"/>
    <w:rsid w:val="004D27E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1676"/>
    <w:rPr>
      <w:color w:val="954F72" w:themeColor="followedHyperlink"/>
      <w:u w:val="single"/>
    </w:rPr>
  </w:style>
  <w:style w:type="paragraph" w:styleId="Revision">
    <w:name w:val="Revision"/>
    <w:hidden/>
    <w:uiPriority w:val="99"/>
    <w:semiHidden/>
    <w:rsid w:val="00A72E62"/>
    <w:pPr>
      <w:spacing w:after="0"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940D13"/>
  </w:style>
  <w:style w:type="paragraph" w:customStyle="1" w:styleId="paragraph">
    <w:name w:val="paragraph"/>
    <w:basedOn w:val="Normal"/>
    <w:rsid w:val="008F2F42"/>
    <w:pPr>
      <w:spacing w:before="100" w:beforeAutospacing="1" w:after="100" w:afterAutospacing="1"/>
    </w:pPr>
  </w:style>
  <w:style w:type="character" w:customStyle="1" w:styleId="eop">
    <w:name w:val="eop"/>
    <w:basedOn w:val="DefaultParagraphFont"/>
    <w:rsid w:val="008F2F42"/>
  </w:style>
  <w:style w:type="paragraph" w:styleId="FootnoteText">
    <w:name w:val="footnote text"/>
    <w:basedOn w:val="Normal"/>
    <w:link w:val="FootnoteTextChar"/>
    <w:uiPriority w:val="99"/>
    <w:semiHidden/>
    <w:unhideWhenUsed/>
    <w:rsid w:val="004D0932"/>
    <w:rPr>
      <w:sz w:val="20"/>
      <w:szCs w:val="20"/>
    </w:rPr>
  </w:style>
  <w:style w:type="character" w:customStyle="1" w:styleId="FootnoteTextChar">
    <w:name w:val="Footnote Text Char"/>
    <w:basedOn w:val="DefaultParagraphFont"/>
    <w:link w:val="FootnoteText"/>
    <w:uiPriority w:val="99"/>
    <w:semiHidden/>
    <w:rsid w:val="004D09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D0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merispeak.norc.org/content/dam/amerispeak/research/pdf/AmeriSpeak%20Technical%20Overview%202019%2002%2018.pdf" TargetMode="External" /><Relationship Id="rId11" Type="http://schemas.openxmlformats.org/officeDocument/2006/relationships/hyperlink" Target="https://www.norc.org/Research/Projects/Pages/2010-national-sample-frame.aspx" TargetMode="External" /><Relationship Id="rId12" Type="http://schemas.openxmlformats.org/officeDocument/2006/relationships/hyperlink" Target="https://amerispeak.norc.org/content/dam/amerispeak/research/pdf/AmeriSpeak%20Panel%20Demographic%20Report.pdf" TargetMode="External" /><Relationship Id="rId13" Type="http://schemas.openxmlformats.org/officeDocument/2006/relationships/hyperlink" Target="https://amerispeak.norc.org/content/dam/amerispeak/research/pdf/NORC%20-%20White%20Paper%20-%20TrueNorth%20Calibration%20tool%20for%20probability%20and%20nonprobability%20samples%20-%20March%202020.pdf" TargetMode="External" /><Relationship Id="rId14" Type="http://schemas.openxmlformats.org/officeDocument/2006/relationships/hyperlink" Target="mailto:matthew.a.branan@usda.gov" TargetMode="External" /><Relationship Id="rId15" Type="http://schemas.openxmlformats.org/officeDocument/2006/relationships/hyperlink" Target="mailto:dan.beckler@usda.gov" TargetMode="External" /><Relationship Id="rId16" Type="http://schemas.openxmlformats.org/officeDocument/2006/relationships/hyperlink" Target="mailto:victoria.fields@usda.gov" TargetMode="External" /><Relationship Id="rId17" Type="http://schemas.openxmlformats.org/officeDocument/2006/relationships/hyperlink" Target="mailto:becca.jablonski@colostate.edu" TargetMode="External" /><Relationship Id="rId18" Type="http://schemas.openxmlformats.org/officeDocument/2006/relationships/hyperlink" Target="mailto:matt@coronainsights.com" TargetMode="External" /><Relationship Id="rId19" Type="http://schemas.openxmlformats.org/officeDocument/2006/relationships/hyperlink" Target="mailto:AmeriSpeak-BD@norc.org" TargetMode="External" /><Relationship Id="rId2" Type="http://schemas.openxmlformats.org/officeDocument/2006/relationships/settings" Target="settings.xml" /><Relationship Id="rId20" Type="http://schemas.openxmlformats.org/officeDocument/2006/relationships/hyperlink" Target="mailto:amy.h.delgado@usda.gov" TargetMode="External" /><Relationship Id="rId21" Type="http://schemas.openxmlformats.org/officeDocument/2006/relationships/hyperlink" Target="https://www.aapor.org/AAPOR_Main/media/MainSiteFiles/NPS_TF_Report_Final_7_revised_FNL_6_22_13.pdf" TargetMode="External" /><Relationship Id="rId22" Type="http://schemas.openxmlformats.org/officeDocument/2006/relationships/hyperlink" Target="https://copafs.org/wp-content/uploads/2020/05/COPAFS-A4_Dever_2018FCSM.pdf" TargetMode="External" /><Relationship Id="rId23" Type="http://schemas.openxmlformats.org/officeDocument/2006/relationships/hyperlink" Target="https://www.cdc.gov/nchs/rands/files/RANDS_COVID_2_np_technical_documentation.pdf" TargetMode="External" /><Relationship Id="rId24" Type="http://schemas.openxmlformats.org/officeDocument/2006/relationships/image" Target="media/image1.png" /><Relationship Id="rId25" Type="http://schemas.openxmlformats.org/officeDocument/2006/relationships/image" Target="media/image2.png"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phis.usda.gov/animal_health/nahms/poultry/downloads/poultry10/Poultry10_dr_Urban_Chicken_Four_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bf16fb3d-d0d4-4082-b9e1-5e252a4ca607">
      <Terms xmlns="http://schemas.microsoft.com/office/infopath/2007/PartnerControls"/>
    </lcf76f155ced4ddcb4097134ff3c332f>
    <SharedWithUsers xmlns="87e9aed0-1cfc-4d5c-8ce4-ea64804a7109">
      <UserInfo>
        <DisplayName/>
        <AccountId xsi:nil="true"/>
        <AccountType/>
      </UserInfo>
    </SharedWithUsers>
    <Notes xmlns="bf16fb3d-d0d4-4082-b9e1-5e252a4ca607" xsi:nil="true"/>
  </documentManagement>
</p:properties>
</file>

<file path=customXml/itemProps1.xml><?xml version="1.0" encoding="utf-8"?>
<ds:datastoreItem xmlns:ds="http://schemas.openxmlformats.org/officeDocument/2006/customXml" ds:itemID="{1481CCAA-0DCB-4E83-94DA-B18B43DF88DC}">
  <ds:schemaRefs>
    <ds:schemaRef ds:uri="http://schemas.openxmlformats.org/officeDocument/2006/bibliography"/>
  </ds:schemaRefs>
</ds:datastoreItem>
</file>

<file path=customXml/itemProps2.xml><?xml version="1.0" encoding="utf-8"?>
<ds:datastoreItem xmlns:ds="http://schemas.openxmlformats.org/officeDocument/2006/customXml" ds:itemID="{3F2DB28F-2BDF-4396-AD50-8AE5268D88C4}">
  <ds:schemaRefs>
    <ds:schemaRef ds:uri="http://schemas.microsoft.com/sharepoint/v3/contenttype/forms"/>
  </ds:schemaRefs>
</ds:datastoreItem>
</file>

<file path=customXml/itemProps3.xml><?xml version="1.0" encoding="utf-8"?>
<ds:datastoreItem xmlns:ds="http://schemas.openxmlformats.org/officeDocument/2006/customXml" ds:itemID="{8EFD455E-1622-4921-B9F3-574DA268A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5F03D-1EBA-44AB-9543-C1D21D1EA6CD}">
  <ds:schemaRefs>
    <ds:schemaRef ds:uri="http://schemas.microsoft.com/office/2006/metadata/properties"/>
    <ds:schemaRef ds:uri="http://schemas.microsoft.com/office/infopath/2007/PartnerControls"/>
    <ds:schemaRef ds:uri="73fb875a-8af9-4255-b008-0995492d31cd"/>
    <ds:schemaRef ds:uri="bf16fb3d-d0d4-4082-b9e1-5e252a4ca607"/>
    <ds:schemaRef ds:uri="87e9aed0-1cfc-4d5c-8ce4-ea64804a71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7333</Words>
  <Characters>41803</Characters>
  <Application>Microsoft Office Word</Application>
  <DocSecurity>0</DocSecurity>
  <Lines>348</Lines>
  <Paragraphs>98</Paragraphs>
  <ScaleCrop>false</ScaleCrop>
  <Company/>
  <LinksUpToDate>false</LinksUpToDate>
  <CharactersWithSpaces>49038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Victoria - MRP-APHIS-VS, Fort Collins, CO</dc:creator>
  <cp:lastModifiedBy>Moxey, Joseph - MRP-APHIS</cp:lastModifiedBy>
  <cp:revision>2</cp:revision>
  <dcterms:created xsi:type="dcterms:W3CDTF">2023-10-03T17:08:00Z</dcterms:created>
  <dcterms:modified xsi:type="dcterms:W3CDTF">2023-10-03T17:08:00Z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0x01010063DA0D774ED8204789FBA44AA44E220C</vt:lpwstr>
  </property>
  <property fmtid="{D5CDD505-2E9C-101B-9397-08002B2CF9AE}" pid="4" name="MediaServiceImageTags">
    <vt:lpwstr/>
  </property>
  <property fmtid="{D5CDD505-2E9C-101B-9397-08002B2CF9AE}" pid="5" name="Order">
    <vt:r8>36700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