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975336"/>
    <w:p w:rsidR="00222863" w:rsidRPr="0084317B" w:rsidP="00222863" w14:paraId="52EE3419" w14:textId="7B57B873">
      <w:pPr>
        <w:widowControl w:val="0"/>
        <w:tabs>
          <w:tab w:val="center" w:pos="4680"/>
        </w:tabs>
        <w:jc w:val="center"/>
        <w:rPr>
          <w:b/>
          <w:sz w:val="24"/>
          <w:szCs w:val="24"/>
        </w:rPr>
      </w:pPr>
      <w:r w:rsidRPr="0084317B">
        <w:rPr>
          <w:b/>
          <w:sz w:val="24"/>
          <w:szCs w:val="24"/>
        </w:rPr>
        <w:fldChar w:fldCharType="begin"/>
      </w:r>
      <w:r w:rsidRPr="0084317B">
        <w:rPr>
          <w:b/>
          <w:sz w:val="24"/>
          <w:szCs w:val="24"/>
        </w:rPr>
        <w:instrText xml:space="preserve"> SEQ CHAPTER \h \r 1</w:instrText>
      </w:r>
      <w:r w:rsidRPr="0084317B">
        <w:rPr>
          <w:b/>
          <w:sz w:val="24"/>
          <w:szCs w:val="24"/>
        </w:rPr>
        <w:fldChar w:fldCharType="separate"/>
      </w:r>
      <w:r w:rsidRPr="0084317B">
        <w:rPr>
          <w:b/>
          <w:sz w:val="24"/>
          <w:szCs w:val="24"/>
        </w:rPr>
        <w:fldChar w:fldCharType="end"/>
      </w:r>
      <w:r w:rsidRPr="0084317B">
        <w:rPr>
          <w:b/>
          <w:sz w:val="24"/>
          <w:szCs w:val="24"/>
        </w:rPr>
        <w:t>SUPPORTING STATEMENT</w:t>
      </w:r>
    </w:p>
    <w:p w:rsidR="00222863" w:rsidRPr="0084317B" w:rsidP="00222863" w14:paraId="17518684" w14:textId="77777777">
      <w:pPr>
        <w:widowControl w:val="0"/>
        <w:tabs>
          <w:tab w:val="center" w:pos="4680"/>
        </w:tabs>
        <w:jc w:val="center"/>
        <w:rPr>
          <w:b/>
          <w:sz w:val="24"/>
          <w:szCs w:val="24"/>
        </w:rPr>
      </w:pPr>
      <w:r w:rsidRPr="0084317B">
        <w:rPr>
          <w:b/>
          <w:sz w:val="24"/>
          <w:szCs w:val="24"/>
        </w:rPr>
        <w:t>U.S. Department of Commerce</w:t>
      </w:r>
    </w:p>
    <w:p w:rsidR="00222863" w:rsidRPr="0084317B" w:rsidP="00222863" w14:paraId="2DA22ADB" w14:textId="77777777">
      <w:pPr>
        <w:widowControl w:val="0"/>
        <w:tabs>
          <w:tab w:val="center" w:pos="4680"/>
        </w:tabs>
        <w:jc w:val="center"/>
        <w:rPr>
          <w:b/>
          <w:sz w:val="24"/>
          <w:szCs w:val="24"/>
        </w:rPr>
      </w:pPr>
      <w:r w:rsidRPr="0084317B">
        <w:rPr>
          <w:b/>
          <w:sz w:val="24"/>
          <w:szCs w:val="24"/>
        </w:rPr>
        <w:t>U.S. Census Bureau</w:t>
      </w:r>
    </w:p>
    <w:p w:rsidR="00222863" w:rsidRPr="0084317B" w:rsidP="00222863" w14:paraId="4152D02D" w14:textId="256A3703">
      <w:pPr>
        <w:widowControl w:val="0"/>
        <w:tabs>
          <w:tab w:val="center" w:pos="4680"/>
        </w:tabs>
        <w:jc w:val="center"/>
        <w:rPr>
          <w:b/>
          <w:sz w:val="24"/>
          <w:szCs w:val="24"/>
        </w:rPr>
      </w:pPr>
      <w:bookmarkStart w:id="1" w:name="_Hlk120514675"/>
      <w:r>
        <w:rPr>
          <w:b/>
          <w:sz w:val="24"/>
          <w:szCs w:val="24"/>
        </w:rPr>
        <w:t>Annual Integrated Economic Survey (AIES)</w:t>
      </w:r>
    </w:p>
    <w:bookmarkEnd w:id="1"/>
    <w:p w:rsidR="00222863" w:rsidRPr="0084317B" w:rsidP="2F9AFDAB" w14:paraId="2109262A" w14:textId="7B2EF62A">
      <w:pPr>
        <w:widowControl w:val="0"/>
        <w:tabs>
          <w:tab w:val="center" w:pos="4680"/>
        </w:tabs>
        <w:jc w:val="center"/>
        <w:rPr>
          <w:b/>
          <w:bCs/>
          <w:sz w:val="24"/>
          <w:szCs w:val="24"/>
        </w:rPr>
      </w:pPr>
      <w:r w:rsidRPr="2F9AFDAB">
        <w:rPr>
          <w:b/>
          <w:bCs/>
          <w:sz w:val="24"/>
          <w:szCs w:val="24"/>
        </w:rPr>
        <w:t>OMB Control No. 0607-</w:t>
      </w:r>
      <w:r w:rsidR="00DD2BF5">
        <w:rPr>
          <w:b/>
          <w:bCs/>
          <w:sz w:val="24"/>
          <w:szCs w:val="24"/>
        </w:rPr>
        <w:t>1024</w:t>
      </w:r>
    </w:p>
    <w:p w:rsidR="00AE44F4" w:rsidRPr="0084317B" w:rsidP="00222863" w14:paraId="29D9641E" w14:textId="77777777">
      <w:pPr>
        <w:widowControl w:val="0"/>
        <w:tabs>
          <w:tab w:val="center" w:pos="4680"/>
        </w:tabs>
        <w:jc w:val="center"/>
        <w:rPr>
          <w:b/>
          <w:sz w:val="24"/>
          <w:szCs w:val="24"/>
        </w:rPr>
      </w:pPr>
    </w:p>
    <w:p w:rsidR="00A33C69" w:rsidP="00B544BB" w14:paraId="752C0084" w14:textId="668A0C59">
      <w:pPr>
        <w:pStyle w:val="Body1"/>
        <w:rPr>
          <w:b/>
          <w:szCs w:val="24"/>
        </w:rPr>
      </w:pPr>
      <w:r w:rsidRPr="0084317B">
        <w:rPr>
          <w:b/>
          <w:szCs w:val="24"/>
        </w:rPr>
        <w:t>PART A</w:t>
      </w:r>
      <w:r w:rsidRPr="0084317B" w:rsidR="00AE44F4">
        <w:rPr>
          <w:b/>
          <w:szCs w:val="24"/>
        </w:rPr>
        <w:t>:</w:t>
      </w:r>
      <w:r w:rsidRPr="0084317B">
        <w:rPr>
          <w:b/>
          <w:szCs w:val="24"/>
        </w:rPr>
        <w:t xml:space="preserve"> </w:t>
      </w:r>
      <w:r w:rsidRPr="0084317B" w:rsidR="00AE44F4">
        <w:rPr>
          <w:b/>
          <w:szCs w:val="24"/>
        </w:rPr>
        <w:t>Justification</w:t>
      </w:r>
    </w:p>
    <w:p w:rsidR="00BF05E6" w:rsidP="00B544BB" w14:paraId="5908AEA3" w14:textId="3D208A2B">
      <w:pPr>
        <w:pStyle w:val="Body1"/>
        <w:rPr>
          <w:b/>
          <w:szCs w:val="24"/>
        </w:rPr>
      </w:pPr>
    </w:p>
    <w:p w:rsidR="00BF05E6" w:rsidRPr="00BF05E6" w:rsidP="00B544BB" w14:paraId="24615D21" w14:textId="204E2784">
      <w:pPr>
        <w:pStyle w:val="Body1"/>
        <w:rPr>
          <w:bCs/>
          <w:szCs w:val="24"/>
        </w:rPr>
      </w:pPr>
      <w:bookmarkStart w:id="2" w:name="_Hlk147242295"/>
      <w:bookmarkStart w:id="3" w:name="_Hlk148079278"/>
      <w:r w:rsidRPr="00AA0445">
        <w:rPr>
          <w:bCs/>
          <w:szCs w:val="24"/>
          <w:highlight w:val="darkGray"/>
        </w:rPr>
        <w:t xml:space="preserve">This revision request documents </w:t>
      </w:r>
      <w:r w:rsidR="000E6E2E">
        <w:rPr>
          <w:bCs/>
          <w:szCs w:val="24"/>
          <w:highlight w:val="darkGray"/>
        </w:rPr>
        <w:t>the modifications that transpired between the</w:t>
      </w:r>
      <w:r w:rsidRPr="00AA0445">
        <w:rPr>
          <w:bCs/>
          <w:szCs w:val="24"/>
          <w:highlight w:val="darkGray"/>
        </w:rPr>
        <w:t xml:space="preserve"> </w:t>
      </w:r>
      <w:r w:rsidR="000F3B98">
        <w:rPr>
          <w:bCs/>
          <w:szCs w:val="24"/>
          <w:highlight w:val="darkGray"/>
        </w:rPr>
        <w:t xml:space="preserve">U.S. </w:t>
      </w:r>
      <w:r w:rsidRPr="00AA0445">
        <w:rPr>
          <w:bCs/>
          <w:szCs w:val="24"/>
          <w:highlight w:val="darkGray"/>
        </w:rPr>
        <w:t xml:space="preserve">Census Bureau </w:t>
      </w:r>
      <w:r w:rsidR="000E6E2E">
        <w:rPr>
          <w:bCs/>
          <w:szCs w:val="24"/>
          <w:highlight w:val="darkGray"/>
        </w:rPr>
        <w:t>obtaining</w:t>
      </w:r>
      <w:r w:rsidRPr="00AA0445">
        <w:rPr>
          <w:bCs/>
          <w:szCs w:val="24"/>
          <w:highlight w:val="darkGray"/>
        </w:rPr>
        <w:t xml:space="preserve"> OMB clearance and </w:t>
      </w:r>
      <w:r w:rsidR="000E6E2E">
        <w:rPr>
          <w:bCs/>
          <w:szCs w:val="24"/>
          <w:highlight w:val="darkGray"/>
        </w:rPr>
        <w:t>the present moment</w:t>
      </w:r>
      <w:r w:rsidRPr="00AA0445">
        <w:rPr>
          <w:bCs/>
          <w:szCs w:val="24"/>
          <w:highlight w:val="darkGray"/>
        </w:rPr>
        <w:t>.  The revised portions of this document are highlighted in gray</w:t>
      </w:r>
      <w:bookmarkEnd w:id="2"/>
      <w:r w:rsidRPr="00AA0445">
        <w:rPr>
          <w:bCs/>
          <w:szCs w:val="24"/>
          <w:highlight w:val="darkGray"/>
        </w:rPr>
        <w:t>.</w:t>
      </w:r>
    </w:p>
    <w:bookmarkEnd w:id="3"/>
    <w:p w:rsidR="00B544BB" w:rsidRPr="0084317B" w:rsidP="00B544BB" w14:paraId="6561E594" w14:textId="77777777">
      <w:pPr>
        <w:pStyle w:val="Body1"/>
        <w:rPr>
          <w:b/>
          <w:szCs w:val="24"/>
        </w:rPr>
      </w:pPr>
    </w:p>
    <w:p w:rsidR="008D7C72" w:rsidRPr="0084317B" w:rsidP="00CE103F" w14:paraId="19517265" w14:textId="118B0D76">
      <w:pPr>
        <w:pStyle w:val="Body1"/>
        <w:numPr>
          <w:ilvl w:val="0"/>
          <w:numId w:val="2"/>
        </w:numPr>
        <w:tabs>
          <w:tab w:val="num" w:pos="0"/>
        </w:tabs>
        <w:rPr>
          <w:b/>
          <w:szCs w:val="24"/>
        </w:rPr>
      </w:pPr>
      <w:r w:rsidRPr="0084317B">
        <w:rPr>
          <w:b/>
          <w:szCs w:val="24"/>
        </w:rPr>
        <w:t xml:space="preserve">1. </w:t>
      </w:r>
      <w:r w:rsidRPr="0084317B">
        <w:rPr>
          <w:b/>
          <w:szCs w:val="24"/>
        </w:rPr>
        <w:t>Circumstances Making the Collection of Information Necessary</w:t>
      </w:r>
    </w:p>
    <w:p w:rsidR="008D7C72" w:rsidRPr="0084317B" w:rsidP="008D7C72" w14:paraId="649E55E5" w14:textId="3F2835F5">
      <w:pPr>
        <w:pStyle w:val="Body1"/>
        <w:rPr>
          <w:szCs w:val="24"/>
        </w:rPr>
      </w:pPr>
    </w:p>
    <w:p w:rsidR="00733849" w:rsidP="00733849" w14:paraId="24AD7D46" w14:textId="01C586C1">
      <w:pPr>
        <w:pStyle w:val="Body1"/>
        <w:rPr>
          <w:szCs w:val="24"/>
        </w:rPr>
      </w:pPr>
      <w:r w:rsidRPr="0084317B">
        <w:rPr>
          <w:szCs w:val="24"/>
        </w:rPr>
        <w:t>The U.S. Census Bureau requests Office of Management and Budget (OMB) approva</w:t>
      </w:r>
      <w:r>
        <w:rPr>
          <w:szCs w:val="24"/>
        </w:rPr>
        <w:t xml:space="preserve">l </w:t>
      </w:r>
      <w:r w:rsidRPr="00733849">
        <w:rPr>
          <w:szCs w:val="24"/>
        </w:rPr>
        <w:t>to conduct the Annual Integrated Economic Survey (AIES)</w:t>
      </w:r>
      <w:r>
        <w:rPr>
          <w:szCs w:val="24"/>
        </w:rPr>
        <w:t xml:space="preserve"> </w:t>
      </w:r>
      <w:r w:rsidRPr="00733849">
        <w:rPr>
          <w:szCs w:val="24"/>
        </w:rPr>
        <w:t xml:space="preserve">on an annual basis, beginning for survey year 2023 (collected in calendar year 2024) and a </w:t>
      </w:r>
      <w:r w:rsidR="00401546">
        <w:rPr>
          <w:szCs w:val="24"/>
        </w:rPr>
        <w:t xml:space="preserve">preparatory </w:t>
      </w:r>
      <w:r w:rsidRPr="00733849">
        <w:rPr>
          <w:szCs w:val="24"/>
        </w:rPr>
        <w:t xml:space="preserve">Dress Rehearsal for the AIES for survey year 2022 (collected in calendar year 2023).  The AIES is a new survey designed to integrate and replace seven existing annual business surveys into one survey. The AIES will provide the only comprehensive national and subnational data on business revenues, expenses, and assets on an annual basis.  The AIES is designed to combine Census Bureau collections to reduce respondent burden, increase data quality, and allow the Census Bureau to operate more efficiently to reduce </w:t>
      </w:r>
      <w:r w:rsidR="00AE6A79">
        <w:rPr>
          <w:szCs w:val="24"/>
        </w:rPr>
        <w:t xml:space="preserve">long term </w:t>
      </w:r>
      <w:r w:rsidRPr="00733849">
        <w:rPr>
          <w:szCs w:val="24"/>
        </w:rPr>
        <w:t>costs.  The existing collections integrated into the AIES are the Annual Retail Trade Survey (ARTS), Annual Wholesale Trade Survey (AWTS), Service Annual Survey (SAS), Annual Survey of Manufactures (ASM), Annual Capital Expenditures Survey (ACES), Manufacturers</w:t>
      </w:r>
      <w:r w:rsidR="002E73C8">
        <w:rPr>
          <w:szCs w:val="24"/>
        </w:rPr>
        <w:t>’</w:t>
      </w:r>
      <w:r w:rsidRPr="00733849">
        <w:rPr>
          <w:szCs w:val="24"/>
        </w:rPr>
        <w:t xml:space="preserve"> Unfilled Orders Survey (M3UFO), and the Report of Organization.  The ARTS has been conducted annually since 1951 to collect sales, expenses, and other items for the retail sector of the economy.  The AWTS has been conducted annually since 1978 to collect data on sales, inventories, operational expenses, and purchases for wholesale trade.  The SAS has been conducted annually since 1982 to collect revenues and other measures for most traditional service industries.  The ASM has been conducted annually since 194</w:t>
      </w:r>
      <w:r w:rsidR="00B7574E">
        <w:rPr>
          <w:szCs w:val="24"/>
        </w:rPr>
        <w:t>9</w:t>
      </w:r>
      <w:r w:rsidRPr="00733849">
        <w:rPr>
          <w:szCs w:val="24"/>
        </w:rPr>
        <w:t xml:space="preserve"> to collect revenues, expenses, capital expenditures, fuels and electric energy used, and inventories in the manufacturing sector. The ACES has been conducted annually since 1996 to collect capital spending for new and used structures and equipment in agriculture, construction, mining, manufacturing, retail, wholesale, and service sectors.  The M3UFO began collecting manufacturing revenue and unfilled orders data in 2010.  The Report of Organization has been collecting information on organization and structure of firms to maintain the </w:t>
      </w:r>
      <w:r w:rsidR="00641FD6">
        <w:rPr>
          <w:szCs w:val="24"/>
        </w:rPr>
        <w:t xml:space="preserve">Census Bureau </w:t>
      </w:r>
      <w:r w:rsidRPr="00733849">
        <w:rPr>
          <w:szCs w:val="24"/>
        </w:rPr>
        <w:t xml:space="preserve">Business Register </w:t>
      </w:r>
      <w:r w:rsidR="00D273FB">
        <w:rPr>
          <w:szCs w:val="24"/>
        </w:rPr>
        <w:t xml:space="preserve">(BR) </w:t>
      </w:r>
      <w:r w:rsidRPr="00733849">
        <w:rPr>
          <w:szCs w:val="24"/>
        </w:rPr>
        <w:t>on an annual basis since 1973.</w:t>
      </w:r>
    </w:p>
    <w:p w:rsidR="00947B21" w:rsidP="00733849" w14:paraId="619AA97E" w14:textId="05653466">
      <w:pPr>
        <w:pStyle w:val="Body1"/>
        <w:rPr>
          <w:szCs w:val="24"/>
        </w:rPr>
      </w:pPr>
    </w:p>
    <w:p w:rsidR="00947B21" w:rsidP="00947B21" w14:paraId="19CCD139" w14:textId="495AA4AE">
      <w:pPr>
        <w:pStyle w:val="a"/>
        <w:tabs>
          <w:tab w:val="left" w:pos="720"/>
          <w:tab w:val="left" w:pos="1440"/>
          <w:tab w:val="left" w:pos="2160"/>
        </w:tabs>
        <w:ind w:left="0"/>
      </w:pPr>
      <w:r>
        <w:t>The AIES will include coverage of the following NAICS sectors of the U.S. economy:</w:t>
      </w:r>
    </w:p>
    <w:p w:rsidR="00947B21" w:rsidP="00947B21" w14:paraId="356C7357" w14:textId="77777777">
      <w:pPr>
        <w:pStyle w:val="a"/>
        <w:tabs>
          <w:tab w:val="left" w:pos="720"/>
          <w:tab w:val="left" w:pos="1440"/>
          <w:tab w:val="left" w:pos="2160"/>
        </w:tabs>
        <w:ind w:left="0"/>
      </w:pPr>
    </w:p>
    <w:p w:rsidR="00947B21" w:rsidRPr="000B20BB" w:rsidP="00947B21" w14:paraId="5A0F4447" w14:textId="6DF78E22">
      <w:pPr>
        <w:pStyle w:val="a"/>
        <w:numPr>
          <w:ilvl w:val="2"/>
          <w:numId w:val="11"/>
        </w:numPr>
        <w:tabs>
          <w:tab w:val="left" w:pos="720"/>
          <w:tab w:val="left" w:pos="1440"/>
          <w:tab w:val="left" w:pos="2160"/>
        </w:tabs>
        <w:rPr>
          <w:highlight w:val="darkGray"/>
        </w:rPr>
      </w:pPr>
      <w:r w:rsidRPr="000B20BB">
        <w:rPr>
          <w:highlight w:val="darkGray"/>
        </w:rPr>
        <w:t>1</w:t>
      </w:r>
      <w:r w:rsidRPr="000B20BB" w:rsidR="00174EA0">
        <w:rPr>
          <w:highlight w:val="darkGray"/>
        </w:rPr>
        <w:t>1 -</w:t>
      </w:r>
      <w:r w:rsidRPr="000B20BB">
        <w:rPr>
          <w:highlight w:val="darkGray"/>
        </w:rPr>
        <w:t xml:space="preserve"> Agriculture, Forestry, Fishing and Hunting </w:t>
      </w:r>
    </w:p>
    <w:p w:rsidR="00947B21" w:rsidRPr="000B20BB" w:rsidP="00947B21" w14:paraId="16BB3C33" w14:textId="3C128F0B">
      <w:pPr>
        <w:pStyle w:val="a"/>
        <w:numPr>
          <w:ilvl w:val="3"/>
          <w:numId w:val="11"/>
        </w:numPr>
        <w:tabs>
          <w:tab w:val="left" w:pos="720"/>
          <w:tab w:val="left" w:pos="1440"/>
          <w:tab w:val="left" w:pos="2160"/>
        </w:tabs>
        <w:rPr>
          <w:highlight w:val="darkGray"/>
        </w:rPr>
      </w:pPr>
      <w:r w:rsidRPr="000B20BB">
        <w:rPr>
          <w:highlight w:val="darkGray"/>
        </w:rPr>
        <w:t>111</w:t>
      </w:r>
      <w:r w:rsidRPr="000B20BB" w:rsidR="00AE222C">
        <w:rPr>
          <w:highlight w:val="darkGray"/>
        </w:rPr>
        <w:t xml:space="preserve"> - </w:t>
      </w:r>
      <w:r w:rsidRPr="000B20BB">
        <w:rPr>
          <w:highlight w:val="darkGray"/>
        </w:rPr>
        <w:t>Crop Production</w:t>
      </w:r>
      <w:r w:rsidRPr="000B20BB" w:rsidR="00F66C36">
        <w:rPr>
          <w:highlight w:val="darkGray"/>
        </w:rPr>
        <w:t xml:space="preserve"> </w:t>
      </w:r>
      <w:r w:rsidRPr="000B20BB" w:rsidR="00323F41">
        <w:rPr>
          <w:b/>
          <w:bCs/>
          <w:highlight w:val="darkGray"/>
          <w:vertAlign w:val="superscript"/>
        </w:rPr>
        <w:t>1</w:t>
      </w:r>
    </w:p>
    <w:p w:rsidR="00947B21" w:rsidRPr="000B20BB" w:rsidP="00947B21" w14:paraId="2801334A" w14:textId="1186FEB0">
      <w:pPr>
        <w:pStyle w:val="a"/>
        <w:numPr>
          <w:ilvl w:val="3"/>
          <w:numId w:val="11"/>
        </w:numPr>
        <w:tabs>
          <w:tab w:val="left" w:pos="720"/>
          <w:tab w:val="left" w:pos="1440"/>
          <w:tab w:val="left" w:pos="2160"/>
        </w:tabs>
        <w:rPr>
          <w:highlight w:val="darkGray"/>
        </w:rPr>
      </w:pPr>
      <w:r w:rsidRPr="000B20BB">
        <w:rPr>
          <w:highlight w:val="darkGray"/>
        </w:rPr>
        <w:t>112</w:t>
      </w:r>
      <w:r w:rsidRPr="000B20BB" w:rsidR="00AE222C">
        <w:rPr>
          <w:highlight w:val="darkGray"/>
        </w:rPr>
        <w:t xml:space="preserve"> - </w:t>
      </w:r>
      <w:r w:rsidRPr="000B20BB">
        <w:rPr>
          <w:highlight w:val="darkGray"/>
        </w:rPr>
        <w:t>Animal Production and Aquaculture</w:t>
      </w:r>
      <w:r w:rsidRPr="000B20BB" w:rsidR="00F66C36">
        <w:rPr>
          <w:highlight w:val="darkGray"/>
        </w:rPr>
        <w:t xml:space="preserve"> </w:t>
      </w:r>
      <w:r w:rsidRPr="000B20BB" w:rsidR="00323F41">
        <w:rPr>
          <w:b/>
          <w:bCs/>
          <w:highlight w:val="darkGray"/>
          <w:vertAlign w:val="superscript"/>
        </w:rPr>
        <w:t>1</w:t>
      </w:r>
    </w:p>
    <w:p w:rsidR="00F66C36" w:rsidRPr="000B20BB" w:rsidP="00947B21" w14:paraId="03257D69" w14:textId="60687C09">
      <w:pPr>
        <w:pStyle w:val="a"/>
        <w:numPr>
          <w:ilvl w:val="3"/>
          <w:numId w:val="11"/>
        </w:numPr>
        <w:tabs>
          <w:tab w:val="left" w:pos="720"/>
          <w:tab w:val="left" w:pos="1440"/>
          <w:tab w:val="left" w:pos="2160"/>
        </w:tabs>
        <w:rPr>
          <w:highlight w:val="darkGray"/>
        </w:rPr>
      </w:pPr>
      <w:r w:rsidRPr="000B20BB">
        <w:rPr>
          <w:highlight w:val="darkGray"/>
        </w:rPr>
        <w:t>113</w:t>
      </w:r>
      <w:r w:rsidRPr="000B20BB" w:rsidR="00AE222C">
        <w:rPr>
          <w:highlight w:val="darkGray"/>
        </w:rPr>
        <w:t xml:space="preserve"> - Forestry and Logging </w:t>
      </w:r>
      <w:r w:rsidRPr="000B20BB" w:rsidR="00323F41">
        <w:rPr>
          <w:b/>
          <w:bCs/>
          <w:highlight w:val="darkGray"/>
          <w:vertAlign w:val="superscript"/>
        </w:rPr>
        <w:t>2</w:t>
      </w:r>
    </w:p>
    <w:p w:rsidR="00F66C36" w:rsidRPr="000B20BB" w:rsidP="00947B21" w14:paraId="21A655CA" w14:textId="67644552">
      <w:pPr>
        <w:pStyle w:val="a"/>
        <w:numPr>
          <w:ilvl w:val="3"/>
          <w:numId w:val="11"/>
        </w:numPr>
        <w:tabs>
          <w:tab w:val="left" w:pos="720"/>
          <w:tab w:val="left" w:pos="1440"/>
          <w:tab w:val="left" w:pos="2160"/>
        </w:tabs>
        <w:rPr>
          <w:highlight w:val="darkGray"/>
        </w:rPr>
      </w:pPr>
      <w:r w:rsidRPr="000B20BB">
        <w:rPr>
          <w:highlight w:val="darkGray"/>
        </w:rPr>
        <w:t>114</w:t>
      </w:r>
      <w:r w:rsidRPr="000B20BB" w:rsidR="00AE222C">
        <w:rPr>
          <w:highlight w:val="darkGray"/>
        </w:rPr>
        <w:t xml:space="preserve"> - Fishing, Hunting and Trapping </w:t>
      </w:r>
      <w:r w:rsidRPr="000B20BB" w:rsidR="00323F41">
        <w:rPr>
          <w:b/>
          <w:bCs/>
          <w:highlight w:val="darkGray"/>
          <w:vertAlign w:val="superscript"/>
        </w:rPr>
        <w:t>2</w:t>
      </w:r>
    </w:p>
    <w:p w:rsidR="00F66C36" w:rsidRPr="000B20BB" w:rsidP="00947B21" w14:paraId="10CD76BF" w14:textId="0EFBFE4F">
      <w:pPr>
        <w:pStyle w:val="a"/>
        <w:numPr>
          <w:ilvl w:val="3"/>
          <w:numId w:val="11"/>
        </w:numPr>
        <w:tabs>
          <w:tab w:val="left" w:pos="720"/>
          <w:tab w:val="left" w:pos="1440"/>
          <w:tab w:val="left" w:pos="2160"/>
        </w:tabs>
        <w:rPr>
          <w:highlight w:val="darkGray"/>
        </w:rPr>
      </w:pPr>
      <w:r w:rsidRPr="000B20BB">
        <w:rPr>
          <w:highlight w:val="darkGray"/>
        </w:rPr>
        <w:t>115</w:t>
      </w:r>
      <w:r w:rsidRPr="000B20BB" w:rsidR="00AE222C">
        <w:rPr>
          <w:highlight w:val="darkGray"/>
        </w:rPr>
        <w:t xml:space="preserve"> - Support Activities for Agriculture and Forestry </w:t>
      </w:r>
      <w:r w:rsidRPr="000B20BB" w:rsidR="00323F41">
        <w:rPr>
          <w:b/>
          <w:bCs/>
          <w:highlight w:val="darkGray"/>
          <w:vertAlign w:val="superscript"/>
        </w:rPr>
        <w:t>2</w:t>
      </w:r>
    </w:p>
    <w:p w:rsidR="00947B21" w:rsidRPr="000B20BB" w:rsidP="00947B21" w14:paraId="511971A7" w14:textId="7D6321C6">
      <w:pPr>
        <w:pStyle w:val="a"/>
        <w:numPr>
          <w:ilvl w:val="2"/>
          <w:numId w:val="11"/>
        </w:numPr>
        <w:tabs>
          <w:tab w:val="left" w:pos="720"/>
          <w:tab w:val="left" w:pos="1440"/>
          <w:tab w:val="left" w:pos="2160"/>
        </w:tabs>
        <w:rPr>
          <w:highlight w:val="darkGray"/>
        </w:rPr>
      </w:pPr>
      <w:r w:rsidRPr="000B20BB">
        <w:rPr>
          <w:highlight w:val="darkGray"/>
        </w:rPr>
        <w:t>21</w:t>
      </w:r>
      <w:r w:rsidRPr="000B20BB" w:rsidR="00174EA0">
        <w:rPr>
          <w:highlight w:val="darkGray"/>
        </w:rPr>
        <w:t xml:space="preserve"> -</w:t>
      </w:r>
      <w:r w:rsidRPr="000B20BB">
        <w:rPr>
          <w:highlight w:val="darkGray"/>
        </w:rPr>
        <w:t xml:space="preserve"> Mining, Quarrying, and Oil and Gas Extraction </w:t>
      </w:r>
      <w:r w:rsidRPr="000B20BB" w:rsidR="00323F41">
        <w:rPr>
          <w:b/>
          <w:bCs/>
          <w:highlight w:val="darkGray"/>
          <w:vertAlign w:val="superscript"/>
        </w:rPr>
        <w:t>2</w:t>
      </w:r>
    </w:p>
    <w:p w:rsidR="00947B21" w:rsidRPr="000B20BB" w:rsidP="00947B21" w14:paraId="5829F05A" w14:textId="4AA708FC">
      <w:pPr>
        <w:pStyle w:val="a"/>
        <w:numPr>
          <w:ilvl w:val="2"/>
          <w:numId w:val="11"/>
        </w:numPr>
        <w:tabs>
          <w:tab w:val="left" w:pos="720"/>
          <w:tab w:val="left" w:pos="1440"/>
          <w:tab w:val="left" w:pos="2160"/>
        </w:tabs>
        <w:rPr>
          <w:highlight w:val="darkGray"/>
        </w:rPr>
      </w:pPr>
      <w:r w:rsidRPr="000B20BB">
        <w:rPr>
          <w:highlight w:val="darkGray"/>
        </w:rPr>
        <w:t>22</w:t>
      </w:r>
      <w:r w:rsidRPr="000B20BB" w:rsidR="00174EA0">
        <w:rPr>
          <w:highlight w:val="darkGray"/>
        </w:rPr>
        <w:t xml:space="preserve"> -</w:t>
      </w:r>
      <w:r w:rsidRPr="000B20BB">
        <w:rPr>
          <w:highlight w:val="darkGray"/>
        </w:rPr>
        <w:t xml:space="preserve"> Utilities</w:t>
      </w:r>
    </w:p>
    <w:p w:rsidR="00947B21" w:rsidRPr="000B20BB" w:rsidP="00947B21" w14:paraId="5BF6A0FC" w14:textId="72E654BB">
      <w:pPr>
        <w:pStyle w:val="a"/>
        <w:numPr>
          <w:ilvl w:val="2"/>
          <w:numId w:val="11"/>
        </w:numPr>
        <w:tabs>
          <w:tab w:val="left" w:pos="720"/>
          <w:tab w:val="left" w:pos="1440"/>
          <w:tab w:val="left" w:pos="2160"/>
        </w:tabs>
        <w:rPr>
          <w:highlight w:val="darkGray"/>
        </w:rPr>
      </w:pPr>
      <w:r w:rsidRPr="000B20BB">
        <w:rPr>
          <w:highlight w:val="darkGray"/>
        </w:rPr>
        <w:t>23</w:t>
      </w:r>
      <w:r w:rsidRPr="000B20BB" w:rsidR="00174EA0">
        <w:rPr>
          <w:highlight w:val="darkGray"/>
        </w:rPr>
        <w:t xml:space="preserve"> -</w:t>
      </w:r>
      <w:r w:rsidRPr="000B20BB">
        <w:rPr>
          <w:highlight w:val="darkGray"/>
        </w:rPr>
        <w:t xml:space="preserve"> Construction </w:t>
      </w:r>
      <w:r w:rsidRPr="000B20BB" w:rsidR="00323F41">
        <w:rPr>
          <w:b/>
          <w:bCs/>
          <w:highlight w:val="darkGray"/>
          <w:vertAlign w:val="superscript"/>
        </w:rPr>
        <w:t>2</w:t>
      </w:r>
    </w:p>
    <w:p w:rsidR="00947B21" w:rsidRPr="000B20BB" w:rsidP="00947B21" w14:paraId="1F8AB9CB" w14:textId="332F7AF2">
      <w:pPr>
        <w:pStyle w:val="a"/>
        <w:numPr>
          <w:ilvl w:val="2"/>
          <w:numId w:val="11"/>
        </w:numPr>
        <w:tabs>
          <w:tab w:val="left" w:pos="720"/>
          <w:tab w:val="left" w:pos="1440"/>
          <w:tab w:val="left" w:pos="2160"/>
        </w:tabs>
        <w:rPr>
          <w:highlight w:val="darkGray"/>
        </w:rPr>
      </w:pPr>
      <w:r w:rsidRPr="000B20BB">
        <w:rPr>
          <w:highlight w:val="darkGray"/>
        </w:rPr>
        <w:t>31-33</w:t>
      </w:r>
      <w:r w:rsidRPr="000B20BB" w:rsidR="00174EA0">
        <w:rPr>
          <w:highlight w:val="darkGray"/>
        </w:rPr>
        <w:t xml:space="preserve"> -</w:t>
      </w:r>
      <w:r w:rsidRPr="000B20BB">
        <w:rPr>
          <w:highlight w:val="darkGray"/>
        </w:rPr>
        <w:t xml:space="preserve"> Manufacturing</w:t>
      </w:r>
    </w:p>
    <w:p w:rsidR="00947B21" w:rsidRPr="000B20BB" w:rsidP="00947B21" w14:paraId="280656D9" w14:textId="278E55E3">
      <w:pPr>
        <w:pStyle w:val="a"/>
        <w:numPr>
          <w:ilvl w:val="2"/>
          <w:numId w:val="11"/>
        </w:numPr>
        <w:tabs>
          <w:tab w:val="left" w:pos="720"/>
          <w:tab w:val="left" w:pos="1440"/>
          <w:tab w:val="left" w:pos="2160"/>
        </w:tabs>
        <w:rPr>
          <w:highlight w:val="darkGray"/>
        </w:rPr>
      </w:pPr>
      <w:r w:rsidRPr="000B20BB">
        <w:rPr>
          <w:highlight w:val="darkGray"/>
        </w:rPr>
        <w:t>42</w:t>
      </w:r>
      <w:r w:rsidRPr="000B20BB" w:rsidR="00174EA0">
        <w:rPr>
          <w:highlight w:val="darkGray"/>
        </w:rPr>
        <w:t xml:space="preserve"> - </w:t>
      </w:r>
      <w:r w:rsidRPr="000B20BB">
        <w:rPr>
          <w:highlight w:val="darkGray"/>
        </w:rPr>
        <w:t>Wholesale Trade</w:t>
      </w:r>
    </w:p>
    <w:p w:rsidR="00947B21" w:rsidRPr="000B20BB" w:rsidP="00947B21" w14:paraId="163E7BDB" w14:textId="65E9F787">
      <w:pPr>
        <w:pStyle w:val="Header"/>
        <w:numPr>
          <w:ilvl w:val="2"/>
          <w:numId w:val="11"/>
        </w:numPr>
        <w:tabs>
          <w:tab w:val="clear" w:pos="4680"/>
          <w:tab w:val="clear" w:pos="9360"/>
        </w:tabs>
        <w:rPr>
          <w:sz w:val="24"/>
          <w:szCs w:val="24"/>
          <w:highlight w:val="darkGray"/>
        </w:rPr>
      </w:pPr>
      <w:r w:rsidRPr="000B20BB">
        <w:rPr>
          <w:sz w:val="24"/>
          <w:szCs w:val="24"/>
          <w:highlight w:val="darkGray"/>
        </w:rPr>
        <w:t>44-45</w:t>
      </w:r>
      <w:r w:rsidRPr="000B20BB" w:rsidR="00174EA0">
        <w:rPr>
          <w:sz w:val="24"/>
          <w:szCs w:val="24"/>
          <w:highlight w:val="darkGray"/>
        </w:rPr>
        <w:t xml:space="preserve"> - </w:t>
      </w:r>
      <w:r w:rsidRPr="000B20BB">
        <w:rPr>
          <w:sz w:val="24"/>
          <w:szCs w:val="24"/>
          <w:highlight w:val="darkGray"/>
        </w:rPr>
        <w:t>Retail Trade</w:t>
      </w:r>
    </w:p>
    <w:p w:rsidR="00947B21" w:rsidRPr="000B20BB" w:rsidP="00947B21" w14:paraId="76223CCC" w14:textId="21324A25">
      <w:pPr>
        <w:pStyle w:val="a"/>
        <w:numPr>
          <w:ilvl w:val="2"/>
          <w:numId w:val="11"/>
        </w:numPr>
        <w:tabs>
          <w:tab w:val="left" w:pos="720"/>
          <w:tab w:val="left" w:pos="1440"/>
          <w:tab w:val="left" w:pos="2160"/>
        </w:tabs>
        <w:rPr>
          <w:highlight w:val="darkGray"/>
        </w:rPr>
      </w:pPr>
      <w:r w:rsidRPr="000B20BB">
        <w:rPr>
          <w:highlight w:val="darkGray"/>
        </w:rPr>
        <w:t>48</w:t>
      </w:r>
      <w:r w:rsidR="000B20BB">
        <w:rPr>
          <w:highlight w:val="darkGray"/>
        </w:rPr>
        <w:t>-49</w:t>
      </w:r>
      <w:r w:rsidRPr="000B20BB" w:rsidR="00174EA0">
        <w:rPr>
          <w:highlight w:val="darkGray"/>
        </w:rPr>
        <w:t xml:space="preserve"> </w:t>
      </w:r>
      <w:r w:rsidR="000B20BB">
        <w:rPr>
          <w:highlight w:val="darkGray"/>
        </w:rPr>
        <w:t>–</w:t>
      </w:r>
      <w:r w:rsidRPr="000B20BB">
        <w:rPr>
          <w:highlight w:val="darkGray"/>
        </w:rPr>
        <w:t xml:space="preserve"> Transportation</w:t>
      </w:r>
      <w:r w:rsidR="000B20BB">
        <w:rPr>
          <w:highlight w:val="darkGray"/>
        </w:rPr>
        <w:t xml:space="preserve"> and Warehousing</w:t>
      </w:r>
    </w:p>
    <w:p w:rsidR="00947B21" w:rsidRPr="000B20BB" w:rsidP="000B20BB" w14:paraId="3CFF7239" w14:textId="2BA62DA8">
      <w:pPr>
        <w:pStyle w:val="a"/>
        <w:numPr>
          <w:ilvl w:val="3"/>
          <w:numId w:val="11"/>
        </w:numPr>
        <w:tabs>
          <w:tab w:val="left" w:pos="720"/>
          <w:tab w:val="left" w:pos="1440"/>
          <w:tab w:val="left" w:pos="2160"/>
        </w:tabs>
        <w:rPr>
          <w:highlight w:val="darkGray"/>
        </w:rPr>
      </w:pPr>
      <w:r w:rsidRPr="000B20BB">
        <w:rPr>
          <w:highlight w:val="darkGray"/>
        </w:rPr>
        <w:t>482</w:t>
      </w:r>
      <w:r w:rsidRPr="000B20BB" w:rsidR="001904CC">
        <w:rPr>
          <w:highlight w:val="darkGray"/>
        </w:rPr>
        <w:t xml:space="preserve"> -</w:t>
      </w:r>
      <w:r w:rsidRPr="000B20BB">
        <w:rPr>
          <w:highlight w:val="darkGray"/>
        </w:rPr>
        <w:t xml:space="preserve"> Rail Transportation </w:t>
      </w:r>
      <w:bookmarkStart w:id="4" w:name="_Hlk145570114"/>
      <w:r w:rsidRPr="000B20BB" w:rsidR="00323F41">
        <w:rPr>
          <w:b/>
          <w:bCs/>
          <w:highlight w:val="darkGray"/>
          <w:vertAlign w:val="superscript"/>
        </w:rPr>
        <w:t>2</w:t>
      </w:r>
      <w:bookmarkEnd w:id="4"/>
    </w:p>
    <w:p w:rsidR="00947B21" w:rsidRPr="000B20BB" w:rsidP="00947B21" w14:paraId="2ECDCF5F" w14:textId="6DDC5381">
      <w:pPr>
        <w:pStyle w:val="a"/>
        <w:numPr>
          <w:ilvl w:val="3"/>
          <w:numId w:val="11"/>
        </w:numPr>
        <w:tabs>
          <w:tab w:val="left" w:pos="720"/>
          <w:tab w:val="left" w:pos="1440"/>
          <w:tab w:val="left" w:pos="2160"/>
        </w:tabs>
        <w:rPr>
          <w:highlight w:val="darkGray"/>
        </w:rPr>
      </w:pPr>
      <w:r w:rsidRPr="000B20BB">
        <w:rPr>
          <w:highlight w:val="darkGray"/>
        </w:rPr>
        <w:t>491</w:t>
      </w:r>
      <w:r w:rsidRPr="000B20BB" w:rsidR="001904CC">
        <w:rPr>
          <w:highlight w:val="darkGray"/>
        </w:rPr>
        <w:t xml:space="preserve"> -</w:t>
      </w:r>
      <w:r w:rsidRPr="000B20BB">
        <w:rPr>
          <w:highlight w:val="darkGray"/>
        </w:rPr>
        <w:t xml:space="preserve"> Postal Service</w:t>
      </w:r>
      <w:r w:rsidRPr="000B20BB" w:rsidR="00F66C36">
        <w:rPr>
          <w:highlight w:val="darkGray"/>
        </w:rPr>
        <w:t xml:space="preserve"> </w:t>
      </w:r>
      <w:r w:rsidRPr="000B20BB" w:rsidR="00323F41">
        <w:rPr>
          <w:b/>
          <w:bCs/>
          <w:highlight w:val="darkGray"/>
          <w:vertAlign w:val="superscript"/>
        </w:rPr>
        <w:t>1</w:t>
      </w:r>
    </w:p>
    <w:p w:rsidR="00947B21" w:rsidRPr="000B20BB" w:rsidP="00947B21" w14:paraId="2899411C" w14:textId="1F8B6A4C">
      <w:pPr>
        <w:pStyle w:val="a"/>
        <w:numPr>
          <w:ilvl w:val="2"/>
          <w:numId w:val="11"/>
        </w:numPr>
        <w:tabs>
          <w:tab w:val="left" w:pos="720"/>
          <w:tab w:val="left" w:pos="1440"/>
          <w:tab w:val="left" w:pos="2160"/>
        </w:tabs>
        <w:rPr>
          <w:highlight w:val="darkGray"/>
        </w:rPr>
      </w:pPr>
      <w:r w:rsidRPr="000B20BB">
        <w:rPr>
          <w:highlight w:val="darkGray"/>
        </w:rPr>
        <w:t>5</w:t>
      </w:r>
      <w:r w:rsidRPr="000B20BB" w:rsidR="00174EA0">
        <w:rPr>
          <w:highlight w:val="darkGray"/>
        </w:rPr>
        <w:t>1 -</w:t>
      </w:r>
      <w:r w:rsidRPr="000B20BB">
        <w:rPr>
          <w:highlight w:val="darkGray"/>
        </w:rPr>
        <w:t xml:space="preserve"> Information </w:t>
      </w:r>
    </w:p>
    <w:p w:rsidR="00947B21" w:rsidRPr="000B20BB" w:rsidP="00947B21" w14:paraId="1A63A198" w14:textId="76A9E261">
      <w:pPr>
        <w:pStyle w:val="a"/>
        <w:numPr>
          <w:ilvl w:val="2"/>
          <w:numId w:val="11"/>
        </w:numPr>
        <w:tabs>
          <w:tab w:val="left" w:pos="720"/>
          <w:tab w:val="left" w:pos="1440"/>
          <w:tab w:val="left" w:pos="2160"/>
        </w:tabs>
        <w:rPr>
          <w:highlight w:val="darkGray"/>
        </w:rPr>
      </w:pPr>
      <w:r w:rsidRPr="000B20BB">
        <w:rPr>
          <w:highlight w:val="darkGray"/>
        </w:rPr>
        <w:t>52</w:t>
      </w:r>
      <w:r w:rsidRPr="000B20BB" w:rsidR="00174EA0">
        <w:rPr>
          <w:highlight w:val="darkGray"/>
        </w:rPr>
        <w:t xml:space="preserve"> -</w:t>
      </w:r>
      <w:r w:rsidRPr="000B20BB">
        <w:rPr>
          <w:highlight w:val="darkGray"/>
        </w:rPr>
        <w:t xml:space="preserve"> Finance and Insurance </w:t>
      </w:r>
    </w:p>
    <w:p w:rsidR="00947B21" w:rsidRPr="000B20BB" w:rsidP="00947B21" w14:paraId="7B3B1690" w14:textId="552D0E55">
      <w:pPr>
        <w:pStyle w:val="a"/>
        <w:numPr>
          <w:ilvl w:val="3"/>
          <w:numId w:val="11"/>
        </w:numPr>
        <w:tabs>
          <w:tab w:val="left" w:pos="720"/>
          <w:tab w:val="left" w:pos="1440"/>
          <w:tab w:val="left" w:pos="2160"/>
        </w:tabs>
        <w:rPr>
          <w:highlight w:val="darkGray"/>
        </w:rPr>
      </w:pPr>
      <w:r w:rsidRPr="000B20BB">
        <w:rPr>
          <w:highlight w:val="darkGray"/>
        </w:rPr>
        <w:t>525</w:t>
      </w:r>
      <w:r w:rsidRPr="000B20BB" w:rsidR="001904CC">
        <w:rPr>
          <w:highlight w:val="darkGray"/>
        </w:rPr>
        <w:t xml:space="preserve"> -</w:t>
      </w:r>
      <w:r w:rsidRPr="000B20BB">
        <w:rPr>
          <w:highlight w:val="darkGray"/>
        </w:rPr>
        <w:t xml:space="preserve"> Funds, Trusts, and Other Financial Vehicles </w:t>
      </w:r>
      <w:r w:rsidRPr="000B20BB" w:rsidR="00500DD5">
        <w:rPr>
          <w:b/>
          <w:bCs/>
          <w:highlight w:val="darkGray"/>
          <w:vertAlign w:val="superscript"/>
        </w:rPr>
        <w:t>1</w:t>
      </w:r>
    </w:p>
    <w:p w:rsidR="00947B21" w:rsidRPr="000B20BB" w:rsidP="00947B21" w14:paraId="24DD840E" w14:textId="521D8AA9">
      <w:pPr>
        <w:pStyle w:val="a"/>
        <w:numPr>
          <w:ilvl w:val="2"/>
          <w:numId w:val="11"/>
        </w:numPr>
        <w:tabs>
          <w:tab w:val="left" w:pos="720"/>
          <w:tab w:val="left" w:pos="1440"/>
          <w:tab w:val="left" w:pos="2160"/>
        </w:tabs>
        <w:rPr>
          <w:highlight w:val="darkGray"/>
        </w:rPr>
      </w:pPr>
      <w:r w:rsidRPr="000B20BB">
        <w:rPr>
          <w:highlight w:val="darkGray"/>
        </w:rPr>
        <w:t>53</w:t>
      </w:r>
      <w:r w:rsidRPr="000B20BB" w:rsidR="00174EA0">
        <w:rPr>
          <w:highlight w:val="darkGray"/>
        </w:rPr>
        <w:t xml:space="preserve"> -</w:t>
      </w:r>
      <w:r w:rsidRPr="000B20BB">
        <w:rPr>
          <w:highlight w:val="darkGray"/>
        </w:rPr>
        <w:t xml:space="preserve"> Real Estate and Rental and Leasing </w:t>
      </w:r>
    </w:p>
    <w:p w:rsidR="00947B21" w:rsidRPr="000B20BB" w:rsidP="00947B21" w14:paraId="611FDCBC" w14:textId="6CCC0B6A">
      <w:pPr>
        <w:pStyle w:val="a"/>
        <w:numPr>
          <w:ilvl w:val="2"/>
          <w:numId w:val="11"/>
        </w:numPr>
        <w:tabs>
          <w:tab w:val="left" w:pos="720"/>
          <w:tab w:val="left" w:pos="1440"/>
          <w:tab w:val="left" w:pos="2160"/>
        </w:tabs>
        <w:rPr>
          <w:highlight w:val="darkGray"/>
        </w:rPr>
      </w:pPr>
      <w:r w:rsidRPr="000B20BB">
        <w:rPr>
          <w:highlight w:val="darkGray"/>
        </w:rPr>
        <w:t>54</w:t>
      </w:r>
      <w:r w:rsidRPr="000B20BB" w:rsidR="00174EA0">
        <w:rPr>
          <w:highlight w:val="darkGray"/>
        </w:rPr>
        <w:t xml:space="preserve"> -</w:t>
      </w:r>
      <w:r w:rsidRPr="000B20BB">
        <w:rPr>
          <w:highlight w:val="darkGray"/>
        </w:rPr>
        <w:t xml:space="preserve"> Professional, Scientific, and Technical </w:t>
      </w:r>
    </w:p>
    <w:p w:rsidR="00947B21" w:rsidRPr="000B20BB" w:rsidP="00947B21" w14:paraId="1E63F55C" w14:textId="4004D730">
      <w:pPr>
        <w:pStyle w:val="a"/>
        <w:numPr>
          <w:ilvl w:val="3"/>
          <w:numId w:val="11"/>
        </w:numPr>
        <w:tabs>
          <w:tab w:val="left" w:pos="720"/>
          <w:tab w:val="left" w:pos="1440"/>
          <w:tab w:val="left" w:pos="2160"/>
        </w:tabs>
        <w:rPr>
          <w:highlight w:val="darkGray"/>
        </w:rPr>
      </w:pPr>
      <w:r w:rsidRPr="000B20BB">
        <w:rPr>
          <w:highlight w:val="darkGray"/>
        </w:rPr>
        <w:t>Excludes 54112</w:t>
      </w:r>
      <w:r w:rsidRPr="000B20BB" w:rsidR="001904CC">
        <w:rPr>
          <w:highlight w:val="darkGray"/>
        </w:rPr>
        <w:t xml:space="preserve"> -</w:t>
      </w:r>
      <w:r w:rsidRPr="000B20BB">
        <w:rPr>
          <w:highlight w:val="darkGray"/>
        </w:rPr>
        <w:t xml:space="preserve"> Offices of Notaries</w:t>
      </w:r>
    </w:p>
    <w:p w:rsidR="00947B21" w:rsidRPr="000B20BB" w:rsidP="00947B21" w14:paraId="7BC894D3" w14:textId="1C2DEF1D">
      <w:pPr>
        <w:pStyle w:val="a"/>
        <w:numPr>
          <w:ilvl w:val="2"/>
          <w:numId w:val="11"/>
        </w:numPr>
        <w:tabs>
          <w:tab w:val="left" w:pos="720"/>
          <w:tab w:val="left" w:pos="1440"/>
          <w:tab w:val="left" w:pos="2160"/>
        </w:tabs>
        <w:rPr>
          <w:highlight w:val="darkGray"/>
        </w:rPr>
      </w:pPr>
      <w:r w:rsidRPr="000B20BB">
        <w:rPr>
          <w:highlight w:val="darkGray"/>
        </w:rPr>
        <w:t>55</w:t>
      </w:r>
      <w:r w:rsidRPr="000B20BB" w:rsidR="00174EA0">
        <w:rPr>
          <w:highlight w:val="darkGray"/>
        </w:rPr>
        <w:t xml:space="preserve"> -</w:t>
      </w:r>
      <w:r w:rsidRPr="000B20BB">
        <w:rPr>
          <w:highlight w:val="darkGray"/>
        </w:rPr>
        <w:t xml:space="preserve"> Management of Companies and Enterprises </w:t>
      </w:r>
      <w:r w:rsidRPr="000B20BB" w:rsidR="00323F41">
        <w:rPr>
          <w:b/>
          <w:bCs/>
          <w:highlight w:val="darkGray"/>
          <w:vertAlign w:val="superscript"/>
        </w:rPr>
        <w:t>1</w:t>
      </w:r>
    </w:p>
    <w:p w:rsidR="00947B21" w:rsidRPr="000B20BB" w:rsidP="00947B21" w14:paraId="59024AA7" w14:textId="0A376CF7">
      <w:pPr>
        <w:pStyle w:val="a"/>
        <w:numPr>
          <w:ilvl w:val="2"/>
          <w:numId w:val="11"/>
        </w:numPr>
        <w:tabs>
          <w:tab w:val="left" w:pos="720"/>
          <w:tab w:val="left" w:pos="1440"/>
          <w:tab w:val="left" w:pos="2160"/>
        </w:tabs>
        <w:rPr>
          <w:highlight w:val="darkGray"/>
        </w:rPr>
      </w:pPr>
      <w:r w:rsidRPr="000B20BB">
        <w:rPr>
          <w:highlight w:val="darkGray"/>
        </w:rPr>
        <w:t>56</w:t>
      </w:r>
      <w:r w:rsidRPr="000B20BB" w:rsidR="00174EA0">
        <w:rPr>
          <w:highlight w:val="darkGray"/>
        </w:rPr>
        <w:t xml:space="preserve"> -</w:t>
      </w:r>
      <w:r w:rsidRPr="000B20BB">
        <w:rPr>
          <w:highlight w:val="darkGray"/>
        </w:rPr>
        <w:t xml:space="preserve"> Administrative and Support, and Waste Management and Remediation </w:t>
      </w:r>
    </w:p>
    <w:p w:rsidR="00947B21" w:rsidRPr="000B20BB" w:rsidP="00947B21" w14:paraId="47F6C701" w14:textId="66473980">
      <w:pPr>
        <w:pStyle w:val="a"/>
        <w:numPr>
          <w:ilvl w:val="2"/>
          <w:numId w:val="11"/>
        </w:numPr>
        <w:tabs>
          <w:tab w:val="left" w:pos="720"/>
          <w:tab w:val="left" w:pos="1440"/>
          <w:tab w:val="left" w:pos="2160"/>
        </w:tabs>
        <w:rPr>
          <w:highlight w:val="darkGray"/>
        </w:rPr>
      </w:pPr>
      <w:r w:rsidRPr="000B20BB">
        <w:rPr>
          <w:highlight w:val="darkGray"/>
        </w:rPr>
        <w:t>61</w:t>
      </w:r>
      <w:r w:rsidRPr="000B20BB" w:rsidR="00174EA0">
        <w:rPr>
          <w:highlight w:val="darkGray"/>
        </w:rPr>
        <w:t xml:space="preserve"> </w:t>
      </w:r>
      <w:r w:rsidRPr="000B20BB" w:rsidR="0021076B">
        <w:rPr>
          <w:highlight w:val="darkGray"/>
        </w:rPr>
        <w:t>–</w:t>
      </w:r>
      <w:r w:rsidRPr="000B20BB">
        <w:rPr>
          <w:highlight w:val="darkGray"/>
        </w:rPr>
        <w:t xml:space="preserve"> Educational</w:t>
      </w:r>
      <w:r w:rsidRPr="000B20BB" w:rsidR="0021076B">
        <w:rPr>
          <w:highlight w:val="darkGray"/>
        </w:rPr>
        <w:t xml:space="preserve"> Services</w:t>
      </w:r>
    </w:p>
    <w:p w:rsidR="00947B21" w:rsidRPr="000B20BB" w:rsidP="00947B21" w14:paraId="613D3F23" w14:textId="7B957FE5">
      <w:pPr>
        <w:pStyle w:val="a"/>
        <w:numPr>
          <w:ilvl w:val="3"/>
          <w:numId w:val="11"/>
        </w:numPr>
        <w:tabs>
          <w:tab w:val="left" w:pos="720"/>
          <w:tab w:val="left" w:pos="1440"/>
          <w:tab w:val="left" w:pos="2160"/>
        </w:tabs>
        <w:rPr>
          <w:highlight w:val="darkGray"/>
        </w:rPr>
      </w:pPr>
      <w:r w:rsidRPr="000B20BB">
        <w:rPr>
          <w:highlight w:val="darkGray"/>
        </w:rPr>
        <w:t>6111</w:t>
      </w:r>
      <w:r w:rsidRPr="000B20BB" w:rsidR="001904CC">
        <w:rPr>
          <w:highlight w:val="darkGray"/>
        </w:rPr>
        <w:t xml:space="preserve"> -</w:t>
      </w:r>
      <w:r w:rsidRPr="000B20BB">
        <w:rPr>
          <w:highlight w:val="darkGray"/>
        </w:rPr>
        <w:t xml:space="preserve"> Elementary and Secondary Schools</w:t>
      </w:r>
      <w:r w:rsidRPr="000B20BB" w:rsidR="00323F41">
        <w:rPr>
          <w:highlight w:val="darkGray"/>
        </w:rPr>
        <w:t xml:space="preserve"> </w:t>
      </w:r>
      <w:r w:rsidRPr="000B20BB" w:rsidR="00323F41">
        <w:rPr>
          <w:b/>
          <w:bCs/>
          <w:highlight w:val="darkGray"/>
          <w:vertAlign w:val="superscript"/>
        </w:rPr>
        <w:t>2</w:t>
      </w:r>
    </w:p>
    <w:p w:rsidR="00947B21" w:rsidRPr="000B20BB" w:rsidP="00947B21" w14:paraId="05AC1063" w14:textId="1A247228">
      <w:pPr>
        <w:pStyle w:val="a"/>
        <w:numPr>
          <w:ilvl w:val="3"/>
          <w:numId w:val="11"/>
        </w:numPr>
        <w:tabs>
          <w:tab w:val="left" w:pos="720"/>
          <w:tab w:val="left" w:pos="1440"/>
          <w:tab w:val="left" w:pos="2160"/>
        </w:tabs>
        <w:rPr>
          <w:highlight w:val="darkGray"/>
        </w:rPr>
      </w:pPr>
      <w:r w:rsidRPr="000B20BB">
        <w:rPr>
          <w:highlight w:val="darkGray"/>
        </w:rPr>
        <w:t>6112</w:t>
      </w:r>
      <w:r w:rsidRPr="000B20BB" w:rsidR="001904CC">
        <w:rPr>
          <w:highlight w:val="darkGray"/>
        </w:rPr>
        <w:t xml:space="preserve"> -</w:t>
      </w:r>
      <w:r w:rsidRPr="000B20BB">
        <w:rPr>
          <w:highlight w:val="darkGray"/>
        </w:rPr>
        <w:t xml:space="preserve"> Junior Colleges</w:t>
      </w:r>
      <w:r w:rsidRPr="000B20BB" w:rsidR="00323F41">
        <w:rPr>
          <w:highlight w:val="darkGray"/>
        </w:rPr>
        <w:t xml:space="preserve"> </w:t>
      </w:r>
      <w:r w:rsidRPr="000B20BB" w:rsidR="00323F41">
        <w:rPr>
          <w:b/>
          <w:bCs/>
          <w:highlight w:val="darkGray"/>
          <w:vertAlign w:val="superscript"/>
        </w:rPr>
        <w:t>2</w:t>
      </w:r>
    </w:p>
    <w:p w:rsidR="00947B21" w:rsidRPr="000B20BB" w:rsidP="00947B21" w14:paraId="34FD644E" w14:textId="7AE62502">
      <w:pPr>
        <w:pStyle w:val="a"/>
        <w:numPr>
          <w:ilvl w:val="3"/>
          <w:numId w:val="11"/>
        </w:numPr>
        <w:tabs>
          <w:tab w:val="left" w:pos="720"/>
          <w:tab w:val="left" w:pos="1440"/>
          <w:tab w:val="left" w:pos="2160"/>
        </w:tabs>
        <w:rPr>
          <w:highlight w:val="darkGray"/>
        </w:rPr>
      </w:pPr>
      <w:r w:rsidRPr="000B20BB">
        <w:rPr>
          <w:highlight w:val="darkGray"/>
        </w:rPr>
        <w:t>6113</w:t>
      </w:r>
      <w:r w:rsidRPr="000B20BB" w:rsidR="001904CC">
        <w:rPr>
          <w:highlight w:val="darkGray"/>
        </w:rPr>
        <w:t xml:space="preserve"> -</w:t>
      </w:r>
      <w:r w:rsidRPr="000B20BB">
        <w:rPr>
          <w:highlight w:val="darkGray"/>
        </w:rPr>
        <w:t xml:space="preserve"> Colleges, Universities, and Professional Schools</w:t>
      </w:r>
      <w:r w:rsidRPr="000B20BB" w:rsidR="00323F41">
        <w:rPr>
          <w:highlight w:val="darkGray"/>
        </w:rPr>
        <w:t xml:space="preserve"> </w:t>
      </w:r>
      <w:r w:rsidRPr="000B20BB" w:rsidR="00323F41">
        <w:rPr>
          <w:b/>
          <w:bCs/>
          <w:highlight w:val="darkGray"/>
          <w:vertAlign w:val="superscript"/>
        </w:rPr>
        <w:t>2</w:t>
      </w:r>
    </w:p>
    <w:p w:rsidR="00947B21" w:rsidRPr="000B20BB" w:rsidP="00947B21" w14:paraId="77FDE2F8" w14:textId="3AB98C09">
      <w:pPr>
        <w:pStyle w:val="a"/>
        <w:numPr>
          <w:ilvl w:val="2"/>
          <w:numId w:val="11"/>
        </w:numPr>
        <w:tabs>
          <w:tab w:val="left" w:pos="720"/>
          <w:tab w:val="left" w:pos="1440"/>
          <w:tab w:val="left" w:pos="2160"/>
        </w:tabs>
        <w:rPr>
          <w:highlight w:val="darkGray"/>
        </w:rPr>
      </w:pPr>
      <w:r w:rsidRPr="000B20BB">
        <w:rPr>
          <w:highlight w:val="darkGray"/>
        </w:rPr>
        <w:t>62</w:t>
      </w:r>
      <w:r w:rsidRPr="000B20BB" w:rsidR="00174EA0">
        <w:rPr>
          <w:highlight w:val="darkGray"/>
        </w:rPr>
        <w:t xml:space="preserve"> -</w:t>
      </w:r>
      <w:r w:rsidRPr="000B20BB">
        <w:rPr>
          <w:highlight w:val="darkGray"/>
        </w:rPr>
        <w:t xml:space="preserve"> Health Care and Social Assistance</w:t>
      </w:r>
    </w:p>
    <w:p w:rsidR="00947B21" w:rsidRPr="000B20BB" w:rsidP="00947B21" w14:paraId="61F92DBE" w14:textId="20E19714">
      <w:pPr>
        <w:pStyle w:val="a"/>
        <w:numPr>
          <w:ilvl w:val="2"/>
          <w:numId w:val="11"/>
        </w:numPr>
        <w:tabs>
          <w:tab w:val="left" w:pos="720"/>
          <w:tab w:val="left" w:pos="1440"/>
          <w:tab w:val="left" w:pos="2160"/>
        </w:tabs>
        <w:rPr>
          <w:highlight w:val="darkGray"/>
        </w:rPr>
      </w:pPr>
      <w:r w:rsidRPr="000B20BB">
        <w:rPr>
          <w:highlight w:val="darkGray"/>
        </w:rPr>
        <w:t>71</w:t>
      </w:r>
      <w:r w:rsidRPr="000B20BB" w:rsidR="00174EA0">
        <w:rPr>
          <w:highlight w:val="darkGray"/>
        </w:rPr>
        <w:t xml:space="preserve"> -</w:t>
      </w:r>
      <w:r w:rsidRPr="000B20BB">
        <w:rPr>
          <w:highlight w:val="darkGray"/>
        </w:rPr>
        <w:t xml:space="preserve"> Arts, Entertainment, and Recreation </w:t>
      </w:r>
    </w:p>
    <w:p w:rsidR="00947B21" w:rsidRPr="000B20BB" w:rsidP="00947B21" w14:paraId="2F5CB05C" w14:textId="5597FD8D">
      <w:pPr>
        <w:pStyle w:val="a"/>
        <w:numPr>
          <w:ilvl w:val="2"/>
          <w:numId w:val="11"/>
        </w:numPr>
        <w:tabs>
          <w:tab w:val="left" w:pos="720"/>
          <w:tab w:val="left" w:pos="1440"/>
          <w:tab w:val="left" w:pos="2160"/>
        </w:tabs>
        <w:rPr>
          <w:highlight w:val="darkGray"/>
        </w:rPr>
      </w:pPr>
      <w:r w:rsidRPr="000B20BB">
        <w:rPr>
          <w:highlight w:val="darkGray"/>
        </w:rPr>
        <w:t>72</w:t>
      </w:r>
      <w:r w:rsidRPr="000B20BB" w:rsidR="00174EA0">
        <w:rPr>
          <w:highlight w:val="darkGray"/>
        </w:rPr>
        <w:t xml:space="preserve"> -</w:t>
      </w:r>
      <w:r w:rsidRPr="000B20BB">
        <w:rPr>
          <w:highlight w:val="darkGray"/>
        </w:rPr>
        <w:t xml:space="preserve"> Accommodations and Food Services </w:t>
      </w:r>
    </w:p>
    <w:p w:rsidR="00947B21" w:rsidRPr="000B20BB" w:rsidP="00947B21" w14:paraId="11E68733" w14:textId="22075AD0">
      <w:pPr>
        <w:pStyle w:val="a"/>
        <w:numPr>
          <w:ilvl w:val="0"/>
          <w:numId w:val="12"/>
        </w:numPr>
        <w:tabs>
          <w:tab w:val="left" w:pos="720"/>
          <w:tab w:val="left" w:pos="1440"/>
          <w:tab w:val="left" w:pos="2160"/>
        </w:tabs>
        <w:rPr>
          <w:highlight w:val="darkGray"/>
        </w:rPr>
      </w:pPr>
      <w:r w:rsidRPr="000B20BB">
        <w:rPr>
          <w:highlight w:val="darkGray"/>
        </w:rPr>
        <w:t>81</w:t>
      </w:r>
      <w:r w:rsidRPr="000B20BB" w:rsidR="00174EA0">
        <w:rPr>
          <w:highlight w:val="darkGray"/>
        </w:rPr>
        <w:t xml:space="preserve"> -</w:t>
      </w:r>
      <w:r w:rsidRPr="000B20BB">
        <w:rPr>
          <w:highlight w:val="darkGray"/>
        </w:rPr>
        <w:t xml:space="preserve"> Other Services (expect Public Administration)</w:t>
      </w:r>
    </w:p>
    <w:p w:rsidR="00947B21" w:rsidRPr="000B20BB" w:rsidP="00947B21" w14:paraId="53DD77D5" w14:textId="7C6583F1">
      <w:pPr>
        <w:pStyle w:val="a"/>
        <w:numPr>
          <w:ilvl w:val="1"/>
          <w:numId w:val="12"/>
        </w:numPr>
        <w:tabs>
          <w:tab w:val="left" w:pos="720"/>
          <w:tab w:val="left" w:pos="1440"/>
          <w:tab w:val="left" w:pos="2160"/>
        </w:tabs>
        <w:rPr>
          <w:highlight w:val="darkGray"/>
        </w:rPr>
      </w:pPr>
      <w:r w:rsidRPr="000B20BB">
        <w:rPr>
          <w:highlight w:val="darkGray"/>
        </w:rPr>
        <w:t>8131</w:t>
      </w:r>
      <w:r w:rsidRPr="000B20BB" w:rsidR="001904CC">
        <w:rPr>
          <w:highlight w:val="darkGray"/>
        </w:rPr>
        <w:t xml:space="preserve"> -</w:t>
      </w:r>
      <w:r w:rsidRPr="000B20BB">
        <w:rPr>
          <w:highlight w:val="darkGray"/>
        </w:rPr>
        <w:t xml:space="preserve"> Religious Organizations </w:t>
      </w:r>
      <w:r w:rsidRPr="000B20BB" w:rsidR="00323F41">
        <w:rPr>
          <w:b/>
          <w:bCs/>
          <w:highlight w:val="darkGray"/>
          <w:vertAlign w:val="superscript"/>
        </w:rPr>
        <w:t>2</w:t>
      </w:r>
    </w:p>
    <w:p w:rsidR="00947B21" w:rsidRPr="000B20BB" w:rsidP="00947B21" w14:paraId="724B0B14" w14:textId="3CF50B4E">
      <w:pPr>
        <w:pStyle w:val="a"/>
        <w:numPr>
          <w:ilvl w:val="1"/>
          <w:numId w:val="12"/>
        </w:numPr>
        <w:tabs>
          <w:tab w:val="left" w:pos="720"/>
          <w:tab w:val="left" w:pos="1440"/>
          <w:tab w:val="left" w:pos="2160"/>
        </w:tabs>
        <w:rPr>
          <w:highlight w:val="darkGray"/>
        </w:rPr>
      </w:pPr>
      <w:r w:rsidRPr="000B20BB">
        <w:rPr>
          <w:highlight w:val="darkGray"/>
        </w:rPr>
        <w:t>81393</w:t>
      </w:r>
      <w:r w:rsidRPr="000B20BB" w:rsidR="001904CC">
        <w:rPr>
          <w:highlight w:val="darkGray"/>
        </w:rPr>
        <w:t xml:space="preserve"> -</w:t>
      </w:r>
      <w:r w:rsidRPr="000B20BB">
        <w:rPr>
          <w:highlight w:val="darkGray"/>
        </w:rPr>
        <w:t xml:space="preserve"> Labor Unions and Similar Labor Organizations </w:t>
      </w:r>
      <w:r w:rsidRPr="000B20BB" w:rsidR="00323F41">
        <w:rPr>
          <w:b/>
          <w:bCs/>
          <w:highlight w:val="darkGray"/>
          <w:vertAlign w:val="superscript"/>
        </w:rPr>
        <w:t>2</w:t>
      </w:r>
    </w:p>
    <w:p w:rsidR="00947B21" w:rsidRPr="000B20BB" w:rsidP="00947B21" w14:paraId="43F50343" w14:textId="20E33EA1">
      <w:pPr>
        <w:pStyle w:val="a"/>
        <w:numPr>
          <w:ilvl w:val="1"/>
          <w:numId w:val="12"/>
        </w:numPr>
        <w:tabs>
          <w:tab w:val="left" w:pos="720"/>
          <w:tab w:val="left" w:pos="1440"/>
          <w:tab w:val="left" w:pos="2160"/>
        </w:tabs>
        <w:rPr>
          <w:highlight w:val="darkGray"/>
        </w:rPr>
      </w:pPr>
      <w:r w:rsidRPr="000B20BB">
        <w:rPr>
          <w:highlight w:val="darkGray"/>
        </w:rPr>
        <w:t>81394</w:t>
      </w:r>
      <w:r w:rsidRPr="000B20BB" w:rsidR="001904CC">
        <w:rPr>
          <w:highlight w:val="darkGray"/>
        </w:rPr>
        <w:t xml:space="preserve"> -</w:t>
      </w:r>
      <w:r w:rsidRPr="000B20BB">
        <w:rPr>
          <w:highlight w:val="darkGray"/>
        </w:rPr>
        <w:t xml:space="preserve"> Political Organizations </w:t>
      </w:r>
      <w:r w:rsidRPr="000B20BB" w:rsidR="00323F41">
        <w:rPr>
          <w:b/>
          <w:bCs/>
          <w:highlight w:val="darkGray"/>
          <w:vertAlign w:val="superscript"/>
        </w:rPr>
        <w:t>2</w:t>
      </w:r>
    </w:p>
    <w:p w:rsidR="00947B21" w:rsidRPr="000B20BB" w:rsidP="00947B21" w14:paraId="298B0B11" w14:textId="3AE59D16">
      <w:pPr>
        <w:pStyle w:val="a"/>
        <w:numPr>
          <w:ilvl w:val="1"/>
          <w:numId w:val="12"/>
        </w:numPr>
        <w:tabs>
          <w:tab w:val="left" w:pos="720"/>
          <w:tab w:val="left" w:pos="1440"/>
          <w:tab w:val="left" w:pos="2160"/>
        </w:tabs>
        <w:rPr>
          <w:highlight w:val="darkGray"/>
        </w:rPr>
      </w:pPr>
      <w:r w:rsidRPr="000B20BB">
        <w:rPr>
          <w:highlight w:val="darkGray"/>
        </w:rPr>
        <w:t>814</w:t>
      </w:r>
      <w:r w:rsidRPr="000B20BB" w:rsidR="001904CC">
        <w:rPr>
          <w:highlight w:val="darkGray"/>
        </w:rPr>
        <w:t xml:space="preserve"> -</w:t>
      </w:r>
      <w:r w:rsidRPr="000B20BB">
        <w:rPr>
          <w:highlight w:val="darkGray"/>
        </w:rPr>
        <w:t xml:space="preserve"> Private Households</w:t>
      </w:r>
      <w:r w:rsidRPr="000B20BB" w:rsidR="00F66C36">
        <w:rPr>
          <w:highlight w:val="darkGray"/>
        </w:rPr>
        <w:t xml:space="preserve"> </w:t>
      </w:r>
      <w:r w:rsidRPr="000B20BB" w:rsidR="00323F41">
        <w:rPr>
          <w:b/>
          <w:bCs/>
          <w:highlight w:val="darkGray"/>
          <w:vertAlign w:val="superscript"/>
        </w:rPr>
        <w:t>1</w:t>
      </w:r>
    </w:p>
    <w:p w:rsidR="00947B21" w:rsidRPr="000B20BB" w:rsidP="00947B21" w14:paraId="563449F7" w14:textId="3D7FC4D3">
      <w:pPr>
        <w:tabs>
          <w:tab w:val="left" w:pos="720"/>
          <w:tab w:val="left" w:pos="1440"/>
        </w:tabs>
        <w:ind w:left="2160" w:hanging="1440"/>
        <w:rPr>
          <w:sz w:val="24"/>
          <w:szCs w:val="24"/>
          <w:highlight w:val="darkGray"/>
        </w:rPr>
      </w:pPr>
      <w:r w:rsidRPr="000B20BB">
        <w:rPr>
          <w:sz w:val="24"/>
          <w:szCs w:val="24"/>
          <w:highlight w:val="darkGray"/>
        </w:rPr>
        <w:tab/>
      </w:r>
    </w:p>
    <w:p w:rsidR="00F66C36" w:rsidRPr="000B20BB" w:rsidP="00F66C36" w14:paraId="7F0E97E9" w14:textId="55160BD1">
      <w:pPr>
        <w:ind w:left="1440"/>
        <w:rPr>
          <w:sz w:val="24"/>
          <w:szCs w:val="24"/>
          <w:highlight w:val="darkGray"/>
        </w:rPr>
      </w:pPr>
      <w:bookmarkStart w:id="5" w:name="_Hlk145570246"/>
      <w:r w:rsidRPr="000B20BB">
        <w:rPr>
          <w:b/>
          <w:bCs/>
          <w:sz w:val="24"/>
          <w:szCs w:val="24"/>
          <w:highlight w:val="darkGray"/>
          <w:vertAlign w:val="superscript"/>
        </w:rPr>
        <w:t>1</w:t>
      </w:r>
      <w:bookmarkEnd w:id="5"/>
      <w:r w:rsidRPr="000B20BB">
        <w:rPr>
          <w:sz w:val="24"/>
          <w:szCs w:val="24"/>
          <w:highlight w:val="darkGray"/>
        </w:rPr>
        <w:t xml:space="preserve"> Indicates NAICS is o</w:t>
      </w:r>
      <w:r w:rsidR="00BE0BD1">
        <w:rPr>
          <w:sz w:val="24"/>
          <w:szCs w:val="24"/>
          <w:highlight w:val="darkGray"/>
        </w:rPr>
        <w:t xml:space="preserve">ut-of-scope. </w:t>
      </w:r>
      <w:r w:rsidRPr="000B20BB">
        <w:rPr>
          <w:sz w:val="24"/>
          <w:szCs w:val="24"/>
          <w:highlight w:val="darkGray"/>
        </w:rPr>
        <w:t xml:space="preserve"> </w:t>
      </w:r>
      <w:r w:rsidR="00BE0BD1">
        <w:rPr>
          <w:sz w:val="24"/>
          <w:szCs w:val="24"/>
          <w:highlight w:val="darkGray"/>
        </w:rPr>
        <w:t xml:space="preserve">However, industry activity may be collected when in-scope companies report </w:t>
      </w:r>
      <w:r w:rsidRPr="000B20BB">
        <w:rPr>
          <w:sz w:val="24"/>
          <w:szCs w:val="24"/>
          <w:highlight w:val="darkGray"/>
        </w:rPr>
        <w:t>company-level data (</w:t>
      </w:r>
      <w:r w:rsidR="00BE0BD1">
        <w:rPr>
          <w:sz w:val="24"/>
          <w:szCs w:val="24"/>
          <w:highlight w:val="darkGray"/>
        </w:rPr>
        <w:t xml:space="preserve">i.e., </w:t>
      </w:r>
      <w:r w:rsidRPr="000B20BB">
        <w:rPr>
          <w:sz w:val="24"/>
          <w:szCs w:val="24"/>
          <w:highlight w:val="darkGray"/>
        </w:rPr>
        <w:t xml:space="preserve">business characteristics and business classification formerly collected in the Report of Organization) and </w:t>
      </w:r>
      <w:r w:rsidR="00BE0BD1">
        <w:rPr>
          <w:sz w:val="24"/>
          <w:szCs w:val="24"/>
          <w:highlight w:val="darkGray"/>
        </w:rPr>
        <w:t xml:space="preserve">establishment </w:t>
      </w:r>
      <w:r w:rsidRPr="000B20BB">
        <w:rPr>
          <w:sz w:val="24"/>
          <w:szCs w:val="24"/>
          <w:highlight w:val="darkGray"/>
        </w:rPr>
        <w:t>data</w:t>
      </w:r>
      <w:r w:rsidR="00BE0BD1">
        <w:rPr>
          <w:sz w:val="24"/>
          <w:szCs w:val="24"/>
          <w:highlight w:val="darkGray"/>
        </w:rPr>
        <w:t xml:space="preserve"> (i.e., </w:t>
      </w:r>
      <w:r w:rsidRPr="000B20BB">
        <w:rPr>
          <w:sz w:val="24"/>
          <w:szCs w:val="24"/>
          <w:highlight w:val="darkGray"/>
        </w:rPr>
        <w:t>revenue, annual payroll, 1</w:t>
      </w:r>
      <w:r w:rsidRPr="000B20BB">
        <w:rPr>
          <w:sz w:val="24"/>
          <w:szCs w:val="24"/>
          <w:highlight w:val="darkGray"/>
          <w:vertAlign w:val="superscript"/>
        </w:rPr>
        <w:t>st</w:t>
      </w:r>
      <w:r w:rsidRPr="000B20BB">
        <w:rPr>
          <w:sz w:val="24"/>
          <w:szCs w:val="24"/>
          <w:highlight w:val="darkGray"/>
        </w:rPr>
        <w:t xml:space="preserve"> quarter payroll, and employment</w:t>
      </w:r>
      <w:r w:rsidR="00BE0BD1">
        <w:rPr>
          <w:sz w:val="24"/>
          <w:szCs w:val="24"/>
          <w:highlight w:val="darkGray"/>
        </w:rPr>
        <w:t>) for company-owned establishments</w:t>
      </w:r>
      <w:r w:rsidRPr="000B20BB">
        <w:rPr>
          <w:sz w:val="24"/>
          <w:szCs w:val="24"/>
          <w:highlight w:val="darkGray"/>
        </w:rPr>
        <w:t xml:space="preserve">. </w:t>
      </w:r>
    </w:p>
    <w:p w:rsidR="00F66C36" w:rsidRPr="000B20BB" w:rsidP="00947B21" w14:paraId="69AEAC6A" w14:textId="6DE6B9DB">
      <w:pPr>
        <w:tabs>
          <w:tab w:val="left" w:pos="720"/>
          <w:tab w:val="left" w:pos="1440"/>
        </w:tabs>
        <w:ind w:left="2160" w:hanging="1440"/>
        <w:rPr>
          <w:sz w:val="24"/>
          <w:szCs w:val="24"/>
          <w:highlight w:val="darkGray"/>
        </w:rPr>
      </w:pPr>
    </w:p>
    <w:p w:rsidR="00401546" w:rsidRPr="004748EB" w:rsidP="004748EB" w14:paraId="70E6803D" w14:textId="149F8460">
      <w:pPr>
        <w:ind w:left="1440"/>
        <w:rPr>
          <w:sz w:val="24"/>
          <w:szCs w:val="24"/>
        </w:rPr>
      </w:pPr>
      <w:r w:rsidRPr="000B20BB">
        <w:rPr>
          <w:b/>
          <w:bCs/>
          <w:sz w:val="24"/>
          <w:szCs w:val="24"/>
          <w:highlight w:val="darkGray"/>
          <w:vertAlign w:val="superscript"/>
        </w:rPr>
        <w:t>2</w:t>
      </w:r>
      <w:r w:rsidRPr="000B20BB" w:rsidR="00947B21">
        <w:rPr>
          <w:sz w:val="24"/>
          <w:szCs w:val="24"/>
          <w:highlight w:val="darkGray"/>
        </w:rPr>
        <w:t xml:space="preserve"> Indicates NAICS </w:t>
      </w:r>
      <w:r w:rsidRPr="000B20BB" w:rsidR="00CB0167">
        <w:rPr>
          <w:sz w:val="24"/>
          <w:szCs w:val="24"/>
          <w:highlight w:val="darkGray"/>
        </w:rPr>
        <w:t xml:space="preserve">is only </w:t>
      </w:r>
      <w:r w:rsidRPr="000B20BB" w:rsidR="00947B21">
        <w:rPr>
          <w:sz w:val="24"/>
          <w:szCs w:val="24"/>
          <w:highlight w:val="darkGray"/>
        </w:rPr>
        <w:t xml:space="preserve">in-scope for </w:t>
      </w:r>
      <w:r w:rsidRPr="000B20BB" w:rsidR="00CB0167">
        <w:rPr>
          <w:sz w:val="24"/>
          <w:szCs w:val="24"/>
          <w:highlight w:val="darkGray"/>
        </w:rPr>
        <w:t>the collection of limited items which include</w:t>
      </w:r>
      <w:r w:rsidRPr="000B20BB" w:rsidR="004748EB">
        <w:rPr>
          <w:sz w:val="24"/>
          <w:szCs w:val="24"/>
          <w:highlight w:val="darkGray"/>
        </w:rPr>
        <w:t xml:space="preserve"> company-level data (business characteristics</w:t>
      </w:r>
      <w:r w:rsidRPr="000B20BB" w:rsidR="00ED2FEA">
        <w:rPr>
          <w:sz w:val="24"/>
          <w:szCs w:val="24"/>
          <w:highlight w:val="darkGray"/>
        </w:rPr>
        <w:t xml:space="preserve"> and</w:t>
      </w:r>
      <w:r w:rsidRPr="000B20BB" w:rsidR="004748EB">
        <w:rPr>
          <w:sz w:val="24"/>
          <w:szCs w:val="24"/>
          <w:highlight w:val="darkGray"/>
        </w:rPr>
        <w:t xml:space="preserve"> business classification</w:t>
      </w:r>
      <w:r w:rsidRPr="000B20BB" w:rsidR="00ED2FEA">
        <w:rPr>
          <w:sz w:val="24"/>
          <w:szCs w:val="24"/>
          <w:highlight w:val="darkGray"/>
        </w:rPr>
        <w:t xml:space="preserve"> formerly collected in the Report of Organization)</w:t>
      </w:r>
      <w:r w:rsidRPr="000B20BB" w:rsidR="00947B21">
        <w:rPr>
          <w:sz w:val="24"/>
          <w:szCs w:val="24"/>
          <w:highlight w:val="darkGray"/>
        </w:rPr>
        <w:t>, capital expenditure</w:t>
      </w:r>
      <w:r w:rsidRPr="000B20BB" w:rsidR="004748EB">
        <w:rPr>
          <w:sz w:val="24"/>
          <w:szCs w:val="24"/>
          <w:highlight w:val="darkGray"/>
        </w:rPr>
        <w:t xml:space="preserve"> and robotics</w:t>
      </w:r>
      <w:r w:rsidRPr="000B20BB" w:rsidR="00947B21">
        <w:rPr>
          <w:sz w:val="24"/>
          <w:szCs w:val="24"/>
          <w:highlight w:val="darkGray"/>
        </w:rPr>
        <w:t xml:space="preserve"> data</w:t>
      </w:r>
      <w:r w:rsidRPr="000B20BB" w:rsidR="00ED2FEA">
        <w:rPr>
          <w:sz w:val="24"/>
          <w:szCs w:val="24"/>
          <w:highlight w:val="darkGray"/>
        </w:rPr>
        <w:t xml:space="preserve"> (formerly collected in the ACES)</w:t>
      </w:r>
      <w:r w:rsidRPr="000B20BB" w:rsidR="00947B21">
        <w:rPr>
          <w:sz w:val="24"/>
          <w:szCs w:val="24"/>
          <w:highlight w:val="darkGray"/>
        </w:rPr>
        <w:t xml:space="preserve">, and key data items limited to revenue, annual payroll, </w:t>
      </w:r>
      <w:r w:rsidRPr="000B20BB" w:rsidR="0037005A">
        <w:rPr>
          <w:sz w:val="24"/>
          <w:szCs w:val="24"/>
          <w:highlight w:val="darkGray"/>
        </w:rPr>
        <w:t>1</w:t>
      </w:r>
      <w:r w:rsidRPr="000B20BB" w:rsidR="0037005A">
        <w:rPr>
          <w:sz w:val="24"/>
          <w:szCs w:val="24"/>
          <w:highlight w:val="darkGray"/>
          <w:vertAlign w:val="superscript"/>
        </w:rPr>
        <w:t>st</w:t>
      </w:r>
      <w:r w:rsidRPr="000B20BB" w:rsidR="0037005A">
        <w:rPr>
          <w:sz w:val="24"/>
          <w:szCs w:val="24"/>
          <w:highlight w:val="darkGray"/>
        </w:rPr>
        <w:t xml:space="preserve"> quarter payroll, and </w:t>
      </w:r>
      <w:r w:rsidRPr="000B20BB" w:rsidR="00947B21">
        <w:rPr>
          <w:sz w:val="24"/>
          <w:szCs w:val="24"/>
          <w:highlight w:val="darkGray"/>
        </w:rPr>
        <w:t>employmen</w:t>
      </w:r>
      <w:r w:rsidRPr="000B20BB" w:rsidR="00F50F05">
        <w:rPr>
          <w:sz w:val="24"/>
          <w:szCs w:val="24"/>
          <w:highlight w:val="darkGray"/>
        </w:rPr>
        <w:t>t.</w:t>
      </w:r>
      <w:r w:rsidR="00F50F05">
        <w:rPr>
          <w:sz w:val="24"/>
          <w:szCs w:val="24"/>
        </w:rPr>
        <w:t xml:space="preserve"> </w:t>
      </w:r>
    </w:p>
    <w:p w:rsidR="00401546" w:rsidRPr="00733849" w:rsidP="00733849" w14:paraId="7A813C4B" w14:textId="77777777">
      <w:pPr>
        <w:pStyle w:val="Body1"/>
        <w:rPr>
          <w:szCs w:val="24"/>
        </w:rPr>
      </w:pPr>
    </w:p>
    <w:p w:rsidR="00733849" w:rsidP="00733849" w14:paraId="4BAC8EDE" w14:textId="095F400C">
      <w:pPr>
        <w:pStyle w:val="Body1"/>
        <w:rPr>
          <w:szCs w:val="24"/>
        </w:rPr>
      </w:pPr>
      <w:r w:rsidRPr="00733849">
        <w:rPr>
          <w:szCs w:val="24"/>
        </w:rPr>
        <w:t>The AIES will collect the following information from employer businesses in sample</w:t>
      </w:r>
      <w:r w:rsidR="002313BA">
        <w:rPr>
          <w:szCs w:val="24"/>
        </w:rPr>
        <w:t xml:space="preserve"> (See Attachments </w:t>
      </w:r>
      <w:r w:rsidR="00C05676">
        <w:rPr>
          <w:szCs w:val="24"/>
        </w:rPr>
        <w:t>E</w:t>
      </w:r>
      <w:r w:rsidR="002313BA">
        <w:rPr>
          <w:szCs w:val="24"/>
        </w:rPr>
        <w:t xml:space="preserve"> and </w:t>
      </w:r>
      <w:r w:rsidR="00C05676">
        <w:rPr>
          <w:szCs w:val="24"/>
        </w:rPr>
        <w:t>F</w:t>
      </w:r>
      <w:r w:rsidR="002313BA">
        <w:rPr>
          <w:szCs w:val="24"/>
        </w:rPr>
        <w:t>)</w:t>
      </w:r>
      <w:r w:rsidRPr="00733849">
        <w:rPr>
          <w:szCs w:val="24"/>
        </w:rPr>
        <w:t>:</w:t>
      </w:r>
    </w:p>
    <w:p w:rsidR="00401546" w:rsidRPr="00733849" w:rsidP="00733849" w14:paraId="667C8C97" w14:textId="77777777">
      <w:pPr>
        <w:pStyle w:val="Body1"/>
        <w:rPr>
          <w:szCs w:val="24"/>
        </w:rPr>
      </w:pPr>
    </w:p>
    <w:p w:rsidR="00E049B1" w:rsidP="00E049B1" w14:paraId="28503FB4" w14:textId="7483163C">
      <w:pPr>
        <w:pStyle w:val="Body1"/>
        <w:numPr>
          <w:ilvl w:val="0"/>
          <w:numId w:val="10"/>
        </w:numPr>
        <w:rPr>
          <w:szCs w:val="24"/>
        </w:rPr>
      </w:pPr>
      <w:r w:rsidRPr="00733849">
        <w:rPr>
          <w:szCs w:val="24"/>
        </w:rPr>
        <w:t xml:space="preserve">Business characteristics, including employment, operating status, organizational change, ownership information, and co-op </w:t>
      </w:r>
      <w:r w:rsidRPr="00733849">
        <w:rPr>
          <w:szCs w:val="24"/>
        </w:rPr>
        <w:t>status</w:t>
      </w:r>
    </w:p>
    <w:p w:rsidR="00E049B1" w:rsidP="00E049B1" w14:paraId="13785B65" w14:textId="7F5B817A">
      <w:pPr>
        <w:pStyle w:val="Body1"/>
        <w:numPr>
          <w:ilvl w:val="0"/>
          <w:numId w:val="10"/>
        </w:numPr>
        <w:rPr>
          <w:szCs w:val="24"/>
        </w:rPr>
      </w:pPr>
      <w:r w:rsidRPr="00E049B1">
        <w:rPr>
          <w:szCs w:val="24"/>
        </w:rPr>
        <w:t xml:space="preserve">Business classification, including business activity, type of operation, and tax </w:t>
      </w:r>
      <w:r w:rsidRPr="00E049B1">
        <w:rPr>
          <w:szCs w:val="24"/>
        </w:rPr>
        <w:t>status</w:t>
      </w:r>
    </w:p>
    <w:p w:rsidR="00E049B1" w:rsidP="00E049B1" w14:paraId="37158518" w14:textId="5C929B45">
      <w:pPr>
        <w:pStyle w:val="Body1"/>
        <w:numPr>
          <w:ilvl w:val="0"/>
          <w:numId w:val="10"/>
        </w:numPr>
        <w:rPr>
          <w:szCs w:val="24"/>
        </w:rPr>
      </w:pPr>
      <w:r w:rsidRPr="00E049B1">
        <w:rPr>
          <w:szCs w:val="24"/>
        </w:rPr>
        <w:t xml:space="preserve">Revenue, including sales, shipments, and receipts, revenue by class of customer, taxes, contributions, gifts, and grants, products, and e-commerce </w:t>
      </w:r>
      <w:r w:rsidRPr="00E049B1">
        <w:rPr>
          <w:szCs w:val="24"/>
        </w:rPr>
        <w:t>activity</w:t>
      </w:r>
    </w:p>
    <w:p w:rsidR="00E049B1" w:rsidP="00E049B1" w14:paraId="4C811A71" w14:textId="33F86DA1">
      <w:pPr>
        <w:pStyle w:val="Body1"/>
        <w:numPr>
          <w:ilvl w:val="0"/>
          <w:numId w:val="10"/>
        </w:numPr>
        <w:rPr>
          <w:szCs w:val="24"/>
        </w:rPr>
      </w:pPr>
      <w:r w:rsidRPr="00E049B1">
        <w:rPr>
          <w:szCs w:val="24"/>
        </w:rPr>
        <w:t>Operating expenses, including purchased services, payroll, benefits, rental payments, utilities, interest, resales, equipment, materials and supplies, research and development, and other detailed operating expenses</w:t>
      </w:r>
    </w:p>
    <w:p w:rsidR="00E049B1" w:rsidP="00E049B1" w14:paraId="1DE5CF14" w14:textId="77777777">
      <w:pPr>
        <w:pStyle w:val="Body1"/>
        <w:numPr>
          <w:ilvl w:val="0"/>
          <w:numId w:val="10"/>
        </w:numPr>
        <w:rPr>
          <w:szCs w:val="24"/>
        </w:rPr>
      </w:pPr>
      <w:r w:rsidRPr="00E049B1">
        <w:rPr>
          <w:szCs w:val="24"/>
        </w:rPr>
        <w:t xml:space="preserve">Assets, including capital expenditures, inventories, and depreciable </w:t>
      </w:r>
      <w:r w:rsidRPr="00E049B1">
        <w:rPr>
          <w:szCs w:val="24"/>
        </w:rPr>
        <w:t>assets</w:t>
      </w:r>
    </w:p>
    <w:p w:rsidR="00733849" w:rsidRPr="00F24601" w:rsidP="00E049B1" w14:paraId="4AE623B7" w14:textId="69B66893">
      <w:pPr>
        <w:pStyle w:val="Body1"/>
        <w:numPr>
          <w:ilvl w:val="0"/>
          <w:numId w:val="10"/>
        </w:numPr>
        <w:rPr>
          <w:szCs w:val="24"/>
          <w:highlight w:val="darkGray"/>
        </w:rPr>
      </w:pPr>
      <w:r w:rsidRPr="00E049B1">
        <w:rPr>
          <w:szCs w:val="24"/>
        </w:rPr>
        <w:t xml:space="preserve">Robotic </w:t>
      </w:r>
      <w:r w:rsidRPr="00F24601">
        <w:rPr>
          <w:szCs w:val="24"/>
          <w:highlight w:val="darkGray"/>
        </w:rPr>
        <w:t>equipment</w:t>
      </w:r>
      <w:r w:rsidRPr="00F24601" w:rsidR="00615CAF">
        <w:rPr>
          <w:szCs w:val="24"/>
          <w:highlight w:val="darkGray"/>
        </w:rPr>
        <w:t xml:space="preserve"> expenditures and usage</w:t>
      </w:r>
    </w:p>
    <w:p w:rsidR="003C25B3" w:rsidRPr="00733849" w:rsidP="00733849" w14:paraId="44BFA078" w14:textId="77777777">
      <w:pPr>
        <w:pStyle w:val="Body1"/>
        <w:rPr>
          <w:szCs w:val="24"/>
        </w:rPr>
      </w:pPr>
    </w:p>
    <w:p w:rsidR="00733849" w:rsidP="00733849" w14:paraId="79F4F573" w14:textId="787BD4F2">
      <w:pPr>
        <w:pStyle w:val="Body1"/>
        <w:rPr>
          <w:szCs w:val="24"/>
        </w:rPr>
      </w:pPr>
      <w:bookmarkStart w:id="6" w:name="_Hlk148080071"/>
      <w:r w:rsidRPr="00954772">
        <w:rPr>
          <w:color w:val="auto"/>
          <w:szCs w:val="24"/>
        </w:rPr>
        <w:t>Additional topics of collections in the AIES include sources of revenue and/or expense for providers (e.g., hospitals and other businesses in the health industry) of select services such as inpatient days, outpatient visits to hospitals, patient visits for other selected health industries, revenue from telemedicine services, and expenses for electronic health records</w:t>
      </w:r>
      <w:r w:rsidRPr="00954772">
        <w:rPr>
          <w:color w:val="auto"/>
          <w:szCs w:val="24"/>
        </w:rPr>
        <w:t xml:space="preserve">.  </w:t>
      </w:r>
      <w:r w:rsidRPr="00733849">
        <w:rPr>
          <w:szCs w:val="24"/>
        </w:rPr>
        <w:t xml:space="preserve">Product data will be collected from businesses operating in manufacturing industries. Merchandise lines data will be collected from businesses operating in select retail industries. </w:t>
      </w:r>
      <w:r w:rsidRPr="00E75A7F">
        <w:rPr>
          <w:szCs w:val="24"/>
          <w:highlight w:val="darkGray"/>
        </w:rPr>
        <w:t xml:space="preserve">Detailed inventories will be collected for </w:t>
      </w:r>
      <w:r w:rsidRPr="00E75A7F" w:rsidR="00E75A7F">
        <w:rPr>
          <w:szCs w:val="24"/>
          <w:highlight w:val="darkGray"/>
        </w:rPr>
        <w:t>select businesses operating in transportation services industries (</w:t>
      </w:r>
      <w:r w:rsidRPr="00E75A7F" w:rsidR="00E75A7F">
        <w:rPr>
          <w:szCs w:val="24"/>
          <w:highlight w:val="darkGray"/>
        </w:rPr>
        <w:t>e.g.</w:t>
      </w:r>
      <w:r w:rsidRPr="00E75A7F" w:rsidR="00E75A7F">
        <w:rPr>
          <w:szCs w:val="24"/>
          <w:highlight w:val="darkGray"/>
        </w:rPr>
        <w:t xml:space="preserve"> </w:t>
      </w:r>
      <w:r w:rsidRPr="00E75A7F">
        <w:rPr>
          <w:szCs w:val="24"/>
          <w:highlight w:val="darkGray"/>
        </w:rPr>
        <w:t>trucks, truck tractors, and trailers</w:t>
      </w:r>
      <w:r w:rsidRPr="00E75A7F" w:rsidR="00E75A7F">
        <w:rPr>
          <w:szCs w:val="24"/>
          <w:highlight w:val="darkGray"/>
        </w:rPr>
        <w:t>)</w:t>
      </w:r>
      <w:r w:rsidRPr="00E75A7F">
        <w:rPr>
          <w:szCs w:val="24"/>
          <w:highlight w:val="darkGray"/>
        </w:rPr>
        <w:t>.</w:t>
      </w:r>
      <w:bookmarkEnd w:id="6"/>
      <w:r w:rsidRPr="00733849">
        <w:rPr>
          <w:szCs w:val="24"/>
        </w:rPr>
        <w:t xml:space="preserve"> </w:t>
      </w:r>
    </w:p>
    <w:p w:rsidR="00B10A84" w:rsidRPr="00733849" w:rsidP="00733849" w14:paraId="33EADB86" w14:textId="77777777">
      <w:pPr>
        <w:pStyle w:val="Body1"/>
        <w:rPr>
          <w:szCs w:val="24"/>
        </w:rPr>
      </w:pPr>
    </w:p>
    <w:p w:rsidR="00733849" w:rsidP="00733849" w14:paraId="4579320A" w14:textId="532A7AE2">
      <w:pPr>
        <w:pStyle w:val="Body1"/>
        <w:rPr>
          <w:szCs w:val="24"/>
        </w:rPr>
      </w:pPr>
      <w:r w:rsidRPr="00733849">
        <w:rPr>
          <w:szCs w:val="24"/>
        </w:rPr>
        <w:t xml:space="preserve">The AIES may include new questions each year based on relevant business topics.  Potential topics for such new questions could include technological advances, </w:t>
      </w:r>
      <w:r w:rsidRPr="00733849">
        <w:rPr>
          <w:szCs w:val="24"/>
        </w:rPr>
        <w:t>management</w:t>
      </w:r>
      <w:r w:rsidRPr="00733849">
        <w:rPr>
          <w:szCs w:val="24"/>
        </w:rPr>
        <w:t xml:space="preserve"> and business practices, exporting practices, and globalization.  Any new questions will be submitted to OMB for review using the appropriate clearance vehicle.</w:t>
      </w:r>
    </w:p>
    <w:p w:rsidR="00401546" w:rsidRPr="00733849" w:rsidP="00733849" w14:paraId="1FB91DE0" w14:textId="77777777">
      <w:pPr>
        <w:pStyle w:val="Body1"/>
        <w:rPr>
          <w:szCs w:val="24"/>
        </w:rPr>
      </w:pPr>
    </w:p>
    <w:p w:rsidR="00733849" w:rsidP="00733849" w14:paraId="55818DD0" w14:textId="5625614D">
      <w:pPr>
        <w:pStyle w:val="Body1"/>
        <w:rPr>
          <w:szCs w:val="24"/>
        </w:rPr>
      </w:pPr>
      <w:r w:rsidRPr="00733849">
        <w:rPr>
          <w:szCs w:val="24"/>
        </w:rPr>
        <w:t xml:space="preserve">In 2020 and 2021, research was conducted on the potential impacts of a coordinated collection of </w:t>
      </w:r>
      <w:r w:rsidRPr="00733849">
        <w:rPr>
          <w:szCs w:val="24"/>
        </w:rPr>
        <w:t>SAS</w:t>
      </w:r>
      <w:r w:rsidRPr="00733849">
        <w:rPr>
          <w:szCs w:val="24"/>
        </w:rPr>
        <w:t xml:space="preserve">, ARTS, and AWTS.  This coordinated collection research was designed to investigate the impact of implementing the existing contact strategy that encompassed multiple survey requests.  Following this coordinated collection research effort, approximately 19 interviews were conducted with nonrespondents, and 35 interviews were conducted with respondents.  In 2021, AIES data accessibility and recordkeeping studies were conducted with about 60 companies. In 2022, a pilot AIES was administered to 78 companies, including 2,863 establishments, to test the respondent experience; the pilot AIES survey focused on the layout and design of the collection instrument and harmonized content.  </w:t>
      </w:r>
      <w:r w:rsidRPr="002A3647" w:rsidR="002A3647">
        <w:rPr>
          <w:szCs w:val="24"/>
          <w:highlight w:val="darkGray"/>
        </w:rPr>
        <w:t xml:space="preserve">The Census Bureau received full or partial response from 62 of the 78 companies in the pilot survey. </w:t>
      </w:r>
      <w:r w:rsidRPr="002A3647">
        <w:rPr>
          <w:szCs w:val="24"/>
          <w:highlight w:val="darkGray"/>
        </w:rPr>
        <w:t xml:space="preserve">From the pilot survey, 10 </w:t>
      </w:r>
      <w:r w:rsidRPr="002A3647" w:rsidR="002A3647">
        <w:rPr>
          <w:szCs w:val="24"/>
          <w:highlight w:val="darkGray"/>
        </w:rPr>
        <w:t xml:space="preserve">debriefing </w:t>
      </w:r>
      <w:r w:rsidRPr="002A3647">
        <w:rPr>
          <w:szCs w:val="24"/>
          <w:highlight w:val="darkGray"/>
        </w:rPr>
        <w:t>interviews were conducted with respondents, and 15 Response Analysis Surveys (RAS) were completed by respondents.</w:t>
      </w:r>
      <w:r w:rsidRPr="00733849">
        <w:rPr>
          <w:szCs w:val="24"/>
        </w:rPr>
        <w:t xml:space="preserve"> Cognitive testing encompassing survey structure, instrument design, and respondent reporting process was conducted with about 40 companies in 2022. Usability testing on the electronic collection instrument </w:t>
      </w:r>
      <w:r w:rsidR="000D349F">
        <w:rPr>
          <w:szCs w:val="24"/>
        </w:rPr>
        <w:t>was</w:t>
      </w:r>
      <w:r w:rsidRPr="00733849">
        <w:rPr>
          <w:szCs w:val="24"/>
        </w:rPr>
        <w:t xml:space="preserve"> conducted with up to 30 companies at the end of 2022 and </w:t>
      </w:r>
      <w:r w:rsidR="00E4331C">
        <w:rPr>
          <w:szCs w:val="24"/>
        </w:rPr>
        <w:t>continued</w:t>
      </w:r>
      <w:r w:rsidRPr="00733849">
        <w:rPr>
          <w:szCs w:val="24"/>
        </w:rPr>
        <w:t xml:space="preserve"> into 2023.  A Phase II pilot </w:t>
      </w:r>
      <w:r w:rsidR="008A66E8">
        <w:rPr>
          <w:szCs w:val="24"/>
        </w:rPr>
        <w:t>was</w:t>
      </w:r>
      <w:r w:rsidRPr="00733849">
        <w:rPr>
          <w:szCs w:val="24"/>
        </w:rPr>
        <w:t xml:space="preserve"> conducted </w:t>
      </w:r>
      <w:r w:rsidR="000D349F">
        <w:rPr>
          <w:szCs w:val="24"/>
        </w:rPr>
        <w:t xml:space="preserve">and mailed </w:t>
      </w:r>
      <w:r w:rsidRPr="00733849">
        <w:rPr>
          <w:szCs w:val="24"/>
        </w:rPr>
        <w:t xml:space="preserve">in February 2023 with approximately </w:t>
      </w:r>
      <w:r w:rsidRPr="003C7441" w:rsidR="003C7441">
        <w:rPr>
          <w:szCs w:val="24"/>
          <w:highlight w:val="darkGray"/>
        </w:rPr>
        <w:t>889</w:t>
      </w:r>
      <w:r w:rsidRPr="00733849">
        <w:rPr>
          <w:szCs w:val="24"/>
        </w:rPr>
        <w:t xml:space="preserve"> companies.  Phase II </w:t>
      </w:r>
      <w:r w:rsidR="007979EC">
        <w:rPr>
          <w:szCs w:val="24"/>
        </w:rPr>
        <w:t>followed</w:t>
      </w:r>
      <w:r w:rsidRPr="00733849">
        <w:rPr>
          <w:szCs w:val="24"/>
        </w:rPr>
        <w:t xml:space="preserve"> the same model as the first pilot with debriefing interviews and a response analysis</w:t>
      </w:r>
      <w:r w:rsidR="009D799C">
        <w:rPr>
          <w:szCs w:val="24"/>
        </w:rPr>
        <w:t xml:space="preserve"> survey</w:t>
      </w:r>
      <w:r w:rsidRPr="00733849">
        <w:rPr>
          <w:szCs w:val="24"/>
        </w:rPr>
        <w:t xml:space="preserve">.  </w:t>
      </w:r>
      <w:r w:rsidRPr="005A2C2C">
        <w:rPr>
          <w:szCs w:val="24"/>
          <w:highlight w:val="darkGray"/>
        </w:rPr>
        <w:t xml:space="preserve">In the Spring of 2023, we </w:t>
      </w:r>
      <w:r w:rsidRPr="005A2C2C" w:rsidR="005A2C2C">
        <w:rPr>
          <w:szCs w:val="24"/>
          <w:highlight w:val="darkGray"/>
        </w:rPr>
        <w:t xml:space="preserve">conducted </w:t>
      </w:r>
      <w:r w:rsidRPr="005A2C2C" w:rsidR="00A7144E">
        <w:rPr>
          <w:szCs w:val="24"/>
          <w:highlight w:val="darkGray"/>
        </w:rPr>
        <w:t xml:space="preserve">Communications Testing Interviewing </w:t>
      </w:r>
      <w:r w:rsidRPr="005A2C2C" w:rsidR="005A2C2C">
        <w:rPr>
          <w:szCs w:val="24"/>
          <w:highlight w:val="darkGray"/>
        </w:rPr>
        <w:t>with approximately 25</w:t>
      </w:r>
      <w:r w:rsidRPr="005A2C2C">
        <w:rPr>
          <w:szCs w:val="24"/>
          <w:highlight w:val="darkGray"/>
        </w:rPr>
        <w:t xml:space="preserve"> firms.</w:t>
      </w:r>
      <w:r w:rsidRPr="005A2C2C" w:rsidR="005A2C2C">
        <w:rPr>
          <w:szCs w:val="24"/>
          <w:highlight w:val="darkGray"/>
        </w:rPr>
        <w:t xml:space="preserve"> Usability testing interviews will begin in the fall of 2023 with approximately </w:t>
      </w:r>
      <w:r w:rsidR="00FE1A98">
        <w:rPr>
          <w:szCs w:val="24"/>
          <w:highlight w:val="darkGray"/>
        </w:rPr>
        <w:t xml:space="preserve">30 </w:t>
      </w:r>
      <w:r w:rsidRPr="005A2C2C" w:rsidR="005A2C2C">
        <w:rPr>
          <w:szCs w:val="24"/>
          <w:highlight w:val="darkGray"/>
        </w:rPr>
        <w:t>companies.</w:t>
      </w:r>
      <w:r w:rsidR="005A2C2C">
        <w:rPr>
          <w:szCs w:val="24"/>
        </w:rPr>
        <w:t xml:space="preserve"> </w:t>
      </w:r>
      <w:r w:rsidRPr="00733849">
        <w:rPr>
          <w:szCs w:val="24"/>
        </w:rPr>
        <w:t xml:space="preserve">  All the </w:t>
      </w:r>
      <w:r w:rsidRPr="00733849">
        <w:rPr>
          <w:szCs w:val="24"/>
        </w:rPr>
        <w:t>aforementioned work</w:t>
      </w:r>
      <w:r w:rsidRPr="00733849">
        <w:rPr>
          <w:szCs w:val="24"/>
        </w:rPr>
        <w:t xml:space="preserve"> has been conducted under the Census Bureau’s Generic </w:t>
      </w:r>
      <w:r w:rsidR="0050405E">
        <w:rPr>
          <w:szCs w:val="24"/>
        </w:rPr>
        <w:t>C</w:t>
      </w:r>
      <w:r w:rsidRPr="00733849">
        <w:rPr>
          <w:szCs w:val="24"/>
        </w:rPr>
        <w:t xml:space="preserve">learance for Field Tests and </w:t>
      </w:r>
      <w:r w:rsidRPr="00733849">
        <w:rPr>
          <w:szCs w:val="24"/>
        </w:rPr>
        <w:t>Evaluations (OMB# 0607-0971) or the Generic Clearance for Questionnaire Pretesting Research (OMB# 0607-0725)</w:t>
      </w:r>
      <w:r w:rsidR="00B85473">
        <w:rPr>
          <w:szCs w:val="24"/>
        </w:rPr>
        <w:t xml:space="preserve"> (See Attachment H).</w:t>
      </w:r>
    </w:p>
    <w:p w:rsidR="00401546" w:rsidRPr="00733849" w:rsidP="00733849" w14:paraId="0F6D4F04" w14:textId="77777777">
      <w:pPr>
        <w:pStyle w:val="Body1"/>
        <w:rPr>
          <w:szCs w:val="24"/>
        </w:rPr>
      </w:pPr>
    </w:p>
    <w:p w:rsidR="00733849" w:rsidRPr="00733849" w:rsidP="00733849" w14:paraId="662A38C8" w14:textId="09C96F44">
      <w:pPr>
        <w:pStyle w:val="Body1"/>
      </w:pPr>
      <w:bookmarkStart w:id="7" w:name="_Hlk148080164"/>
      <w:r>
        <w:t>I</w:t>
      </w:r>
      <w:r>
        <w:t xml:space="preserve">n </w:t>
      </w:r>
      <w:r w:rsidRPr="0050405E">
        <w:rPr>
          <w:highlight w:val="darkGray"/>
        </w:rPr>
        <w:t>September</w:t>
      </w:r>
      <w:r>
        <w:t xml:space="preserve"> of 2023, the Census Bureau </w:t>
      </w:r>
      <w:r>
        <w:t>began</w:t>
      </w:r>
      <w:r>
        <w:t xml:space="preserve"> conduct</w:t>
      </w:r>
      <w:r>
        <w:t>ing</w:t>
      </w:r>
      <w:bookmarkEnd w:id="7"/>
      <w:r>
        <w:t xml:space="preserve"> a Dress Rehearsal for the AIES with </w:t>
      </w:r>
      <w:r w:rsidR="009679A4">
        <w:t xml:space="preserve">approximately </w:t>
      </w:r>
      <w:r w:rsidR="0010644F">
        <w:t>8,</w:t>
      </w:r>
      <w:r w:rsidR="00675C6A">
        <w:t>470</w:t>
      </w:r>
      <w:r>
        <w:t xml:space="preserve"> companies.  </w:t>
      </w:r>
      <w:r w:rsidR="003C25B3">
        <w:t>The Dress Rehearsal</w:t>
      </w:r>
      <w:r w:rsidR="00AB328C">
        <w:t xml:space="preserve"> </w:t>
      </w:r>
      <w:r w:rsidR="003C25B3">
        <w:t>collect</w:t>
      </w:r>
      <w:r w:rsidR="00AB328C">
        <w:t>s</w:t>
      </w:r>
      <w:r w:rsidR="003C25B3">
        <w:t xml:space="preserve"> survey year 2022 information.  </w:t>
      </w:r>
      <w:r>
        <w:t xml:space="preserve">The Dress Rehearsal </w:t>
      </w:r>
      <w:r w:rsidR="00AB328C">
        <w:t>is</w:t>
      </w:r>
      <w:r w:rsidR="005B1BBC">
        <w:t xml:space="preserve"> a</w:t>
      </w:r>
      <w:r>
        <w:t xml:space="preserve"> large-scale test of the forms and procedures planned for the AIES.  The burden estimate </w:t>
      </w:r>
      <w:r w:rsidRPr="00AA5F6A">
        <w:t xml:space="preserve">is 3 hours and </w:t>
      </w:r>
      <w:r w:rsidR="00AA5F6A">
        <w:t>5</w:t>
      </w:r>
      <w:r w:rsidR="00675C6A">
        <w:t>5</w:t>
      </w:r>
      <w:r>
        <w:t xml:space="preserve"> minutes per respondent.  The Dress rehearsal allow</w:t>
      </w:r>
      <w:r w:rsidR="00C00810">
        <w:t>s</w:t>
      </w:r>
      <w:r>
        <w:t xml:space="preserve"> us to examine patterns of non-response and to determine what additional support respondents will need. Paradata gathered from respondents’ interactions with the online collection instrument during the Dress Rehearsal will help refine our burden estimate.  We will also compare the quality of responses received to historic</w:t>
      </w:r>
      <w:r w:rsidR="0010424C">
        <w:t>al</w:t>
      </w:r>
      <w:r>
        <w:t xml:space="preserve"> data collected in the 7 surveys the AIES will replace. Up to </w:t>
      </w:r>
      <w:r w:rsidR="000A18BF">
        <w:t>5</w:t>
      </w:r>
      <w:r>
        <w:t>0</w:t>
      </w:r>
      <w:r w:rsidR="00D9034F">
        <w:t>,</w:t>
      </w:r>
      <w:r>
        <w:t xml:space="preserve"> </w:t>
      </w:r>
      <w:r w:rsidR="000574A4">
        <w:t>1-</w:t>
      </w:r>
      <w:r w:rsidR="00D9034F">
        <w:t xml:space="preserve">hour </w:t>
      </w:r>
      <w:r>
        <w:t>debriefing interviews with respondents will also be conducted.</w:t>
      </w:r>
      <w:r w:rsidR="00160100">
        <w:t xml:space="preserve">  Attachment C outlines the Dress Rehearsal respondent debriefing interview protocol.</w:t>
      </w:r>
    </w:p>
    <w:p w:rsidR="00401546" w:rsidRPr="00733849" w:rsidP="00733849" w14:paraId="2B252B9B" w14:textId="77777777">
      <w:pPr>
        <w:pStyle w:val="Body1"/>
        <w:rPr>
          <w:szCs w:val="24"/>
        </w:rPr>
      </w:pPr>
    </w:p>
    <w:p w:rsidR="00733849" w:rsidP="61BAAD5F" w14:paraId="004990F3" w14:textId="1A19D8FB">
      <w:pPr>
        <w:pStyle w:val="Body1"/>
      </w:pPr>
      <w:r>
        <w:t xml:space="preserve">To minimize the burden imposed on </w:t>
      </w:r>
      <w:r w:rsidR="001578A8">
        <w:t xml:space="preserve">most </w:t>
      </w:r>
      <w:r>
        <w:t>respondents already in sample for the seven annual surveys the AIES will replace, we will use the AIES responses from companies that participate in the Dress Rehearsal to satisfy their reporting requirement for the annual survey</w:t>
      </w:r>
      <w:r w:rsidR="00745646">
        <w:t>(</w:t>
      </w:r>
      <w:r>
        <w:t>s</w:t>
      </w:r>
      <w:r w:rsidR="00745646">
        <w:t>)</w:t>
      </w:r>
      <w:r>
        <w:t xml:space="preserve"> for which they are in sample for the 2022 survey year.  Given that the AIES Dress Rehearsal will be conducted during the same calendar year as we will be conducting the 2022 Economic Census, we may use </w:t>
      </w:r>
      <w:r w:rsidR="1D8746C3">
        <w:t xml:space="preserve">the </w:t>
      </w:r>
      <w:r>
        <w:t xml:space="preserve">AIES Dress Rehearsal to supplement Economic Census responses, pursuant to </w:t>
      </w:r>
      <w:r w:rsidR="288E1EF1">
        <w:t xml:space="preserve">Title </w:t>
      </w:r>
      <w:r>
        <w:t>13 U.S.C.</w:t>
      </w:r>
      <w:r w:rsidR="2BB5926B">
        <w:t xml:space="preserve">, Section </w:t>
      </w:r>
      <w:r>
        <w:t>193.</w:t>
      </w:r>
    </w:p>
    <w:p w:rsidR="00C65FDD" w:rsidRPr="00733849" w:rsidP="00733849" w14:paraId="1B709185" w14:textId="77777777">
      <w:pPr>
        <w:pStyle w:val="Body1"/>
        <w:rPr>
          <w:szCs w:val="24"/>
        </w:rPr>
      </w:pPr>
    </w:p>
    <w:p w:rsidR="00807D1D" w:rsidRPr="00EC4C01" w:rsidP="00807D1D" w14:paraId="341F7568" w14:textId="527E59ED">
      <w:pPr>
        <w:pStyle w:val="NormalWeb"/>
        <w:shd w:val="clear" w:color="auto" w:fill="FFFFFF"/>
        <w:spacing w:before="0" w:beforeAutospacing="0" w:after="0" w:afterAutospacing="0"/>
        <w:rPr>
          <w:color w:val="000000"/>
          <w:highlight w:val="darkGray"/>
        </w:rPr>
      </w:pPr>
      <w:bookmarkStart w:id="8" w:name="_Hlk148080342"/>
      <w:r w:rsidRPr="00EC4C01">
        <w:rPr>
          <w:highlight w:val="darkGray"/>
        </w:rPr>
        <w:t>After conclusion of the Dress Rehearsal, and based on refinements made to forms and procedures, the Census Bureau will begin conducting the full-scale AIES in 2024</w:t>
      </w:r>
      <w:r w:rsidRPr="00EC4C01" w:rsidR="003B7C74">
        <w:rPr>
          <w:highlight w:val="darkGray"/>
        </w:rPr>
        <w:t>, collecting survey year 2023 information</w:t>
      </w:r>
      <w:r w:rsidRPr="00EC4C01">
        <w:rPr>
          <w:highlight w:val="darkGray"/>
        </w:rPr>
        <w:t xml:space="preserve">.  </w:t>
      </w:r>
      <w:r w:rsidRPr="00EC4C01" w:rsidR="007041A7">
        <w:rPr>
          <w:highlight w:val="darkGray"/>
        </w:rPr>
        <w:t>The target population of the AIES includes all domestic, private sector, non-farm employer businesses in the United States (50 states and the District of Columbia) as defined by the 2017 North American Industry Classification System (NAICS).  Exclusions are foreign operations of U.S. businesses headquartered in the U.S. territories and most government operations (including the U.S. Postal Service), agricultural production companies and private households. Based on this target population, t</w:t>
      </w:r>
      <w:r w:rsidRPr="00EC4C01">
        <w:rPr>
          <w:highlight w:val="darkGray"/>
        </w:rPr>
        <w:t xml:space="preserve">he AIES will select a stratified sequential random sample of </w:t>
      </w:r>
      <w:r w:rsidRPr="00EC4C01" w:rsidR="00D64C09">
        <w:rPr>
          <w:highlight w:val="darkGray"/>
        </w:rPr>
        <w:t>approximately 384,9</w:t>
      </w:r>
      <w:r w:rsidRPr="00EC4C01" w:rsidR="004C38D3">
        <w:rPr>
          <w:highlight w:val="darkGray"/>
        </w:rPr>
        <w:t>40</w:t>
      </w:r>
      <w:r w:rsidRPr="00EC4C01">
        <w:rPr>
          <w:highlight w:val="darkGray"/>
        </w:rPr>
        <w:t xml:space="preserve"> companies from a frame of approximately 5.4 million companies constructed from the </w:t>
      </w:r>
      <w:r w:rsidRPr="00EC4C01" w:rsidR="00D273FB">
        <w:rPr>
          <w:highlight w:val="darkGray"/>
        </w:rPr>
        <w:t>BR</w:t>
      </w:r>
      <w:r w:rsidRPr="00EC4C01">
        <w:rPr>
          <w:highlight w:val="darkGray"/>
        </w:rPr>
        <w:t>, which is the Census Bureau’s master business list.</w:t>
      </w:r>
      <w:r w:rsidRPr="00EC4C01">
        <w:rPr>
          <w:highlight w:val="darkGray"/>
        </w:rPr>
        <w:t xml:space="preserve"> Businesses which reported business activity on Internal Revenue Service (IRS) tax forms 941, “Employer’s Quarterly Federal Tax Return”; 944, “Employer’s Annual Federal Tax Return”; 1065 “U.S. Return of Partnership Income”; or any one of the 1120 corporate tax forms will be eligible for selection.</w:t>
      </w:r>
    </w:p>
    <w:p w:rsidR="00DF6366" w:rsidRPr="00EC4C01" w:rsidP="00733849" w14:paraId="332F26D0" w14:textId="35E7D9EB">
      <w:pPr>
        <w:pStyle w:val="Body1"/>
        <w:rPr>
          <w:szCs w:val="24"/>
          <w:highlight w:val="darkGray"/>
        </w:rPr>
      </w:pPr>
    </w:p>
    <w:p w:rsidR="00DF6366" w:rsidRPr="00EC4C01" w:rsidP="00733849" w14:paraId="5BE2487A" w14:textId="77777777">
      <w:pPr>
        <w:pStyle w:val="Body1"/>
        <w:rPr>
          <w:szCs w:val="24"/>
          <w:highlight w:val="darkGray"/>
        </w:rPr>
      </w:pPr>
    </w:p>
    <w:p w:rsidR="007041A7" w:rsidRPr="00EC4C01" w:rsidP="00C56C31" w14:paraId="57413EB4" w14:textId="594679C8">
      <w:pPr>
        <w:pStyle w:val="NormalWeb"/>
        <w:shd w:val="clear" w:color="auto" w:fill="FFFFFF"/>
        <w:spacing w:before="0" w:beforeAutospacing="0" w:after="0" w:afterAutospacing="0"/>
        <w:rPr>
          <w:highlight w:val="darkGray"/>
        </w:rPr>
      </w:pPr>
      <w:r w:rsidRPr="00EC4C01">
        <w:rPr>
          <w:rStyle w:val="xxxcontentpasted0"/>
          <w:rFonts w:eastAsia="Arial Unicode MS"/>
          <w:color w:val="000000"/>
          <w:highlight w:val="darkGray"/>
          <w:bdr w:val="none" w:sz="0" w:space="0" w:color="auto" w:frame="1"/>
        </w:rPr>
        <w:t xml:space="preserve">The AIES will collect company, industry, and establishment information for all </w:t>
      </w:r>
      <w:r w:rsidRPr="00EC4C01" w:rsidR="00C60388">
        <w:rPr>
          <w:rStyle w:val="xxxcontentpasted0"/>
          <w:rFonts w:eastAsia="Arial Unicode MS"/>
          <w:color w:val="000000"/>
          <w:highlight w:val="darkGray"/>
          <w:bdr w:val="none" w:sz="0" w:space="0" w:color="auto" w:frame="1"/>
        </w:rPr>
        <w:t>sampled</w:t>
      </w:r>
      <w:r w:rsidRPr="00EC4C01">
        <w:rPr>
          <w:rStyle w:val="xxxcontentpasted0"/>
          <w:rFonts w:eastAsia="Arial Unicode MS"/>
          <w:color w:val="000000"/>
          <w:highlight w:val="darkGray"/>
          <w:bdr w:val="none" w:sz="0" w:space="0" w:color="auto" w:frame="1"/>
        </w:rPr>
        <w:t xml:space="preserve"> enterprises with one or more operating locations in the United States</w:t>
      </w:r>
      <w:r w:rsidRPr="00EC4C01" w:rsidR="00691283">
        <w:rPr>
          <w:rStyle w:val="xxxcontentpasted0"/>
          <w:rFonts w:eastAsia="Arial Unicode MS"/>
          <w:color w:val="000000"/>
          <w:highlight w:val="darkGray"/>
          <w:bdr w:val="none" w:sz="0" w:space="0" w:color="auto" w:frame="1"/>
        </w:rPr>
        <w:t xml:space="preserve"> and</w:t>
      </w:r>
      <w:r w:rsidRPr="00EC4C01">
        <w:rPr>
          <w:rStyle w:val="xxxcontentpasted0"/>
          <w:rFonts w:eastAsia="Arial Unicode MS"/>
          <w:color w:val="000000"/>
          <w:highlight w:val="darkGray"/>
          <w:bdr w:val="none" w:sz="0" w:space="0" w:color="auto" w:frame="1"/>
        </w:rPr>
        <w:t> </w:t>
      </w:r>
      <w:r w:rsidRPr="00EC4C01">
        <w:rPr>
          <w:rStyle w:val="xxxcontentpasted0"/>
          <w:rFonts w:eastAsia="Arial Unicode MS"/>
          <w:highlight w:val="darkGray"/>
          <w:bdr w:val="none" w:sz="0" w:space="0" w:color="auto" w:frame="1"/>
        </w:rPr>
        <w:t>the District of Columbia (D.C.)</w:t>
      </w:r>
      <w:r w:rsidRPr="00EC4C01" w:rsidR="00691283">
        <w:rPr>
          <w:rStyle w:val="xxxcontentpasted0"/>
          <w:rFonts w:eastAsia="Arial Unicode MS"/>
          <w:highlight w:val="darkGray"/>
          <w:bdr w:val="none" w:sz="0" w:space="0" w:color="auto" w:frame="1"/>
        </w:rPr>
        <w:t xml:space="preserve">. </w:t>
      </w:r>
      <w:r w:rsidRPr="00EC4C01">
        <w:rPr>
          <w:rStyle w:val="xxxcontentpasted0"/>
          <w:rFonts w:eastAsia="Arial Unicode MS"/>
          <w:highlight w:val="darkGray"/>
          <w:bdr w:val="none" w:sz="0" w:space="0" w:color="auto" w:frame="1"/>
        </w:rPr>
        <w:t> </w:t>
      </w:r>
    </w:p>
    <w:p w:rsidR="007041A7" w:rsidRPr="00EC4C01" w:rsidP="00C56C31" w14:paraId="1D0B7150" w14:textId="77777777">
      <w:pPr>
        <w:pStyle w:val="NormalWeb"/>
        <w:shd w:val="clear" w:color="auto" w:fill="FFFFFF"/>
        <w:spacing w:before="0" w:beforeAutospacing="0" w:after="0" w:afterAutospacing="0"/>
        <w:rPr>
          <w:highlight w:val="darkGray"/>
        </w:rPr>
      </w:pPr>
    </w:p>
    <w:p w:rsidR="00C60388" w:rsidP="00C56C31" w14:paraId="34D116CA" w14:textId="430628F2">
      <w:pPr>
        <w:pStyle w:val="NormalWeb"/>
        <w:shd w:val="clear" w:color="auto" w:fill="FFFFFF"/>
        <w:spacing w:before="0" w:beforeAutospacing="0" w:after="0" w:afterAutospacing="0"/>
        <w:rPr>
          <w:rStyle w:val="xxxcontentpasted0"/>
          <w:rFonts w:eastAsia="Arial Unicode MS"/>
          <w:color w:val="000000"/>
          <w:highlight w:val="darkGray"/>
          <w:bdr w:val="none" w:sz="0" w:space="0" w:color="auto" w:frame="1"/>
        </w:rPr>
      </w:pPr>
      <w:r w:rsidRPr="00EC4C01">
        <w:rPr>
          <w:highlight w:val="darkGray"/>
        </w:rPr>
        <w:t xml:space="preserve">In an effort to </w:t>
      </w:r>
      <w:r w:rsidRPr="00EC4C01">
        <w:rPr>
          <w:highlight w:val="darkGray"/>
        </w:rPr>
        <w:t xml:space="preserve">provide a holistic company view and </w:t>
      </w:r>
      <w:r w:rsidRPr="00EC4C01">
        <w:rPr>
          <w:highlight w:val="darkGray"/>
        </w:rPr>
        <w:t>replace the functions of the Report of Organization Survey with the AIES to main</w:t>
      </w:r>
      <w:r w:rsidRPr="00EC4C01">
        <w:rPr>
          <w:highlight w:val="darkGray"/>
        </w:rPr>
        <w:t>tain</w:t>
      </w:r>
      <w:r w:rsidRPr="00EC4C01">
        <w:rPr>
          <w:highlight w:val="darkGray"/>
        </w:rPr>
        <w:t xml:space="preserve"> and update the BR as a master list of businesses,</w:t>
      </w:r>
      <w:r>
        <w:t xml:space="preserve"> </w:t>
      </w:r>
      <w:r w:rsidRPr="00703ED3" w:rsidR="00C56C31">
        <w:rPr>
          <w:rStyle w:val="xxxcontentpasted0"/>
          <w:rFonts w:eastAsia="Arial Unicode MS"/>
          <w:color w:val="000000"/>
          <w:highlight w:val="darkGray"/>
          <w:bdr w:val="none" w:sz="0" w:space="0" w:color="auto" w:frame="1"/>
        </w:rPr>
        <w:t xml:space="preserve"> </w:t>
      </w:r>
      <w:r w:rsidR="00255045">
        <w:rPr>
          <w:rStyle w:val="xxxcontentpasted0"/>
          <w:rFonts w:eastAsia="Arial Unicode MS"/>
          <w:color w:val="000000"/>
          <w:highlight w:val="darkGray"/>
          <w:bdr w:val="none" w:sz="0" w:space="0" w:color="auto" w:frame="1"/>
        </w:rPr>
        <w:t xml:space="preserve">the </w:t>
      </w:r>
      <w:r w:rsidRPr="00703ED3" w:rsidR="00C56C31">
        <w:rPr>
          <w:rStyle w:val="xxxcontentpasted0"/>
          <w:rFonts w:eastAsia="Arial Unicode MS"/>
          <w:color w:val="000000"/>
          <w:highlight w:val="darkGray"/>
          <w:bdr w:val="none" w:sz="0" w:space="0" w:color="auto" w:frame="1"/>
        </w:rPr>
        <w:t>AIES</w:t>
      </w:r>
      <w:r w:rsidR="0050405E">
        <w:rPr>
          <w:rStyle w:val="xxxcontentpasted0"/>
          <w:rFonts w:eastAsia="Arial Unicode MS"/>
          <w:color w:val="000000"/>
          <w:highlight w:val="darkGray"/>
          <w:bdr w:val="none" w:sz="0" w:space="0" w:color="auto" w:frame="1"/>
        </w:rPr>
        <w:t xml:space="preserve"> will</w:t>
      </w:r>
      <w:r>
        <w:rPr>
          <w:rStyle w:val="xxxcontentpasted0"/>
          <w:rFonts w:eastAsia="Arial Unicode MS"/>
          <w:color w:val="000000"/>
          <w:highlight w:val="darkGray"/>
          <w:bdr w:val="none" w:sz="0" w:space="0" w:color="auto" w:frame="1"/>
        </w:rPr>
        <w:t xml:space="preserve"> also</w:t>
      </w:r>
      <w:r w:rsidR="0050405E">
        <w:rPr>
          <w:rStyle w:val="xxxcontentpasted0"/>
          <w:rFonts w:eastAsia="Arial Unicode MS"/>
          <w:color w:val="000000"/>
          <w:highlight w:val="darkGray"/>
          <w:bdr w:val="none" w:sz="0" w:space="0" w:color="auto" w:frame="1"/>
        </w:rPr>
        <w:t xml:space="preserve"> collect</w:t>
      </w:r>
      <w:r w:rsidRPr="00703ED3" w:rsidR="00C56C31">
        <w:rPr>
          <w:rStyle w:val="xxxcontentpasted0"/>
          <w:rFonts w:eastAsia="Arial Unicode MS"/>
          <w:color w:val="000000"/>
          <w:highlight w:val="darkGray"/>
          <w:bdr w:val="none" w:sz="0" w:space="0" w:color="auto" w:frame="1"/>
        </w:rPr>
        <w:t xml:space="preserve"> </w:t>
      </w:r>
      <w:r w:rsidR="002E5CE4">
        <w:rPr>
          <w:rStyle w:val="xxxcontentpasted0"/>
          <w:rFonts w:eastAsia="Arial Unicode MS"/>
          <w:color w:val="000000"/>
          <w:highlight w:val="darkGray"/>
          <w:bdr w:val="none" w:sz="0" w:space="0" w:color="auto" w:frame="1"/>
        </w:rPr>
        <w:t xml:space="preserve">limited </w:t>
      </w:r>
      <w:r w:rsidRPr="00703ED3" w:rsidR="00C56C31">
        <w:rPr>
          <w:rStyle w:val="xxxcontentpasted0"/>
          <w:rFonts w:eastAsia="Arial Unicode MS"/>
          <w:color w:val="000000"/>
          <w:highlight w:val="darkGray"/>
          <w:bdr w:val="none" w:sz="0" w:space="0" w:color="auto" w:frame="1"/>
        </w:rPr>
        <w:t xml:space="preserve">company, </w:t>
      </w:r>
      <w:r w:rsidRPr="00703ED3" w:rsidR="002055C3">
        <w:rPr>
          <w:rStyle w:val="xxxcontentpasted0"/>
          <w:rFonts w:eastAsia="Arial Unicode MS"/>
          <w:color w:val="000000"/>
          <w:highlight w:val="darkGray"/>
          <w:bdr w:val="none" w:sz="0" w:space="0" w:color="auto" w:frame="1"/>
        </w:rPr>
        <w:t>industry,</w:t>
      </w:r>
      <w:r w:rsidRPr="00703ED3" w:rsidR="00C56C31">
        <w:rPr>
          <w:rStyle w:val="xxxcontentpasted0"/>
          <w:rFonts w:eastAsia="Arial Unicode MS"/>
          <w:color w:val="000000"/>
          <w:highlight w:val="darkGray"/>
          <w:bdr w:val="none" w:sz="0" w:space="0" w:color="auto" w:frame="1"/>
        </w:rPr>
        <w:t xml:space="preserve"> and establishment information for  select enterprises with one or more operating locations in associated offshore areas (referred to, </w:t>
      </w:r>
      <w:r w:rsidRPr="00703ED3" w:rsidR="00C56C31">
        <w:rPr>
          <w:rStyle w:val="xxxcontentpasted0"/>
          <w:rFonts w:eastAsia="Arial Unicode MS"/>
          <w:color w:val="000000"/>
          <w:highlight w:val="darkGray"/>
          <w:bdr w:val="none" w:sz="0" w:space="0" w:color="auto" w:frame="1"/>
        </w:rPr>
        <w:t xml:space="preserve">collectively, as “Stateside”) as well as in the U.S. territories of Puerto Rico, Guam, the Commonwealth of the Northern Mariana Islands, the U.S. Virgin Islands, and American Samoa (referred to, collectively, as </w:t>
      </w:r>
      <w:r w:rsidR="00BB67B1">
        <w:rPr>
          <w:rStyle w:val="xxxcontentpasted0"/>
          <w:rFonts w:eastAsia="Arial Unicode MS"/>
          <w:color w:val="000000"/>
          <w:highlight w:val="darkGray"/>
          <w:bdr w:val="none" w:sz="0" w:space="0" w:color="auto" w:frame="1"/>
        </w:rPr>
        <w:t>“</w:t>
      </w:r>
      <w:r w:rsidRPr="00703ED3" w:rsidR="00C56C31">
        <w:rPr>
          <w:rStyle w:val="xxxcontentpasted0"/>
          <w:rFonts w:eastAsia="Arial Unicode MS"/>
          <w:color w:val="000000"/>
          <w:highlight w:val="darkGray"/>
          <w:bdr w:val="none" w:sz="0" w:space="0" w:color="auto" w:frame="1"/>
        </w:rPr>
        <w:t>Island Areas”).  In addition, any international locations of select enterprises are included if they have U.S. employees.</w:t>
      </w:r>
      <w:r w:rsidRPr="00703ED3" w:rsidR="004C7833">
        <w:rPr>
          <w:rStyle w:val="xxxcontentpasted0"/>
          <w:rFonts w:eastAsia="Arial Unicode MS"/>
          <w:color w:val="000000"/>
          <w:highlight w:val="darkGray"/>
          <w:bdr w:val="none" w:sz="0" w:space="0" w:color="auto" w:frame="1"/>
        </w:rPr>
        <w:t xml:space="preserve">  </w:t>
      </w:r>
    </w:p>
    <w:p w:rsidR="00C60388" w:rsidP="00C56C31" w14:paraId="0D93C156" w14:textId="77777777">
      <w:pPr>
        <w:pStyle w:val="NormalWeb"/>
        <w:shd w:val="clear" w:color="auto" w:fill="FFFFFF"/>
        <w:spacing w:before="0" w:beforeAutospacing="0" w:after="0" w:afterAutospacing="0"/>
        <w:rPr>
          <w:rStyle w:val="xxxcontentpasted0"/>
          <w:rFonts w:eastAsia="Arial Unicode MS"/>
          <w:color w:val="000000"/>
          <w:highlight w:val="darkGray"/>
          <w:bdr w:val="none" w:sz="0" w:space="0" w:color="auto" w:frame="1"/>
        </w:rPr>
      </w:pPr>
    </w:p>
    <w:p w:rsidR="00255045" w:rsidP="00C56C31" w14:paraId="6E050C6F" w14:textId="50AEB3A9">
      <w:pPr>
        <w:pStyle w:val="NormalWeb"/>
        <w:shd w:val="clear" w:color="auto" w:fill="FFFFFF"/>
        <w:spacing w:before="0" w:beforeAutospacing="0" w:after="0" w:afterAutospacing="0"/>
        <w:rPr>
          <w:rStyle w:val="xxxcontentpasted0"/>
          <w:rFonts w:ascii="inherit" w:eastAsia="Arial Unicode MS" w:hAnsi="inherit" w:hint="eastAsia"/>
          <w:color w:val="000000"/>
          <w:sz w:val="27"/>
          <w:szCs w:val="27"/>
          <w:bdr w:val="none" w:sz="0" w:space="0" w:color="auto" w:frame="1"/>
        </w:rPr>
      </w:pPr>
      <w:r w:rsidRPr="00703ED3">
        <w:rPr>
          <w:rStyle w:val="xxxcontentpasted0"/>
          <w:rFonts w:eastAsia="Arial Unicode MS"/>
          <w:color w:val="000000"/>
          <w:highlight w:val="darkGray"/>
          <w:bdr w:val="none" w:sz="0" w:space="0" w:color="auto" w:frame="1"/>
        </w:rPr>
        <w:t xml:space="preserve">The public administration sector (NAICS 92), agriculture production activities (NAICS 111, 112), the postal service (NAICS 491), </w:t>
      </w:r>
      <w:r w:rsidR="0050405E">
        <w:rPr>
          <w:rStyle w:val="xxxcontentpasted0"/>
          <w:rFonts w:eastAsia="Arial Unicode MS"/>
          <w:color w:val="000000"/>
          <w:highlight w:val="darkGray"/>
          <w:bdr w:val="none" w:sz="0" w:space="0" w:color="auto" w:frame="1"/>
        </w:rPr>
        <w:t xml:space="preserve">funds and trusts (NAICS 525), offices of notaries (NAICS 54112), </w:t>
      </w:r>
      <w:r w:rsidRPr="00703ED3">
        <w:rPr>
          <w:rStyle w:val="xxxcontentpasted0"/>
          <w:rFonts w:eastAsia="Arial Unicode MS"/>
          <w:color w:val="000000"/>
          <w:highlight w:val="darkGray"/>
          <w:bdr w:val="none" w:sz="0" w:space="0" w:color="auto" w:frame="1"/>
        </w:rPr>
        <w:t xml:space="preserve">and private households (NAICS 814) </w:t>
      </w:r>
      <w:r w:rsidRPr="00703ED3">
        <w:rPr>
          <w:rStyle w:val="xxxcontentpasted0"/>
          <w:rFonts w:eastAsia="Arial Unicode MS"/>
          <w:color w:val="000000"/>
          <w:highlight w:val="darkGray"/>
          <w:bdr w:val="none" w:sz="0" w:space="0" w:color="auto" w:frame="1"/>
        </w:rPr>
        <w:t>are considered to be</w:t>
      </w:r>
      <w:r w:rsidRPr="00703ED3">
        <w:rPr>
          <w:rStyle w:val="xxxcontentpasted0"/>
          <w:rFonts w:eastAsia="Arial Unicode MS"/>
          <w:color w:val="000000"/>
          <w:highlight w:val="darkGray"/>
          <w:bdr w:val="none" w:sz="0" w:space="0" w:color="auto" w:frame="1"/>
        </w:rPr>
        <w:t xml:space="preserve"> out-of-scope to the AIES program.  </w:t>
      </w:r>
      <w:r>
        <w:rPr>
          <w:rStyle w:val="xxxcontentpasted0"/>
          <w:rFonts w:eastAsia="Arial Unicode MS"/>
          <w:color w:val="000000"/>
          <w:highlight w:val="darkGray"/>
          <w:bdr w:val="none" w:sz="0" w:space="0" w:color="auto" w:frame="1"/>
        </w:rPr>
        <w:t>A</w:t>
      </w:r>
      <w:r w:rsidR="00B308B6">
        <w:rPr>
          <w:rStyle w:val="xxxcontentpasted0"/>
          <w:rFonts w:eastAsia="Arial Unicode MS"/>
          <w:color w:val="000000"/>
          <w:highlight w:val="darkGray"/>
          <w:bdr w:val="none" w:sz="0" w:space="0" w:color="auto" w:frame="1"/>
        </w:rPr>
        <w:t>ctivities</w:t>
      </w:r>
      <w:r>
        <w:rPr>
          <w:rStyle w:val="xxxcontentpasted0"/>
          <w:rFonts w:eastAsia="Arial Unicode MS"/>
          <w:color w:val="000000"/>
          <w:highlight w:val="darkGray"/>
          <w:bdr w:val="none" w:sz="0" w:space="0" w:color="auto" w:frame="1"/>
        </w:rPr>
        <w:t xml:space="preserve"> for establishments</w:t>
      </w:r>
      <w:r w:rsidR="00B308B6">
        <w:rPr>
          <w:rStyle w:val="xxxcontentpasted0"/>
          <w:rFonts w:eastAsia="Arial Unicode MS"/>
          <w:color w:val="000000"/>
          <w:highlight w:val="darkGray"/>
          <w:bdr w:val="none" w:sz="0" w:space="0" w:color="auto" w:frame="1"/>
        </w:rPr>
        <w:t xml:space="preserve"> </w:t>
      </w:r>
      <w:r>
        <w:rPr>
          <w:rStyle w:val="xxxcontentpasted0"/>
          <w:rFonts w:eastAsia="Arial Unicode MS"/>
          <w:color w:val="000000"/>
          <w:highlight w:val="darkGray"/>
          <w:bdr w:val="none" w:sz="0" w:space="0" w:color="auto" w:frame="1"/>
        </w:rPr>
        <w:t xml:space="preserve">in these industries </w:t>
      </w:r>
      <w:r w:rsidR="00B308B6">
        <w:rPr>
          <w:rStyle w:val="xxxcontentpasted0"/>
          <w:rFonts w:eastAsia="Arial Unicode MS"/>
          <w:color w:val="000000"/>
          <w:highlight w:val="darkGray"/>
          <w:bdr w:val="none" w:sz="0" w:space="0" w:color="auto" w:frame="1"/>
        </w:rPr>
        <w:t xml:space="preserve">belonging to </w:t>
      </w:r>
      <w:r w:rsidR="00C60388">
        <w:rPr>
          <w:rStyle w:val="xxxcontentpasted0"/>
          <w:rFonts w:eastAsia="Arial Unicode MS"/>
          <w:color w:val="000000"/>
          <w:highlight w:val="darkGray"/>
          <w:bdr w:val="none" w:sz="0" w:space="0" w:color="auto" w:frame="1"/>
        </w:rPr>
        <w:t xml:space="preserve">sampled </w:t>
      </w:r>
      <w:r>
        <w:rPr>
          <w:rStyle w:val="xxxcontentpasted0"/>
          <w:rFonts w:eastAsia="Arial Unicode MS"/>
          <w:color w:val="000000"/>
          <w:highlight w:val="darkGray"/>
          <w:bdr w:val="none" w:sz="0" w:space="0" w:color="auto" w:frame="1"/>
        </w:rPr>
        <w:t>enterprises</w:t>
      </w:r>
      <w:r w:rsidR="00C60388">
        <w:rPr>
          <w:rStyle w:val="xxxcontentpasted0"/>
          <w:rFonts w:eastAsia="Arial Unicode MS"/>
          <w:color w:val="000000"/>
          <w:highlight w:val="darkGray"/>
          <w:bdr w:val="none" w:sz="0" w:space="0" w:color="auto" w:frame="1"/>
        </w:rPr>
        <w:t xml:space="preserve"> will also be collected</w:t>
      </w:r>
      <w:r w:rsidR="00B308B6">
        <w:rPr>
          <w:rStyle w:val="xxxcontentpasted0"/>
          <w:rFonts w:eastAsia="Arial Unicode MS"/>
          <w:color w:val="000000"/>
          <w:highlight w:val="darkGray"/>
          <w:bdr w:val="none" w:sz="0" w:space="0" w:color="auto" w:frame="1"/>
        </w:rPr>
        <w:t>.</w:t>
      </w:r>
      <w:r w:rsidR="00C60388">
        <w:rPr>
          <w:rStyle w:val="xxxcontentpasted0"/>
          <w:rFonts w:eastAsia="Arial Unicode MS"/>
          <w:color w:val="000000"/>
          <w:highlight w:val="darkGray"/>
          <w:bdr w:val="none" w:sz="0" w:space="0" w:color="auto" w:frame="1"/>
        </w:rPr>
        <w:t xml:space="preserve"> </w:t>
      </w:r>
      <w:r w:rsidRPr="00703ED3">
        <w:rPr>
          <w:rStyle w:val="xxxcontentpasted0"/>
          <w:rFonts w:eastAsia="Arial Unicode MS"/>
          <w:color w:val="000000"/>
          <w:highlight w:val="darkGray"/>
          <w:bdr w:val="none" w:sz="0" w:space="0" w:color="auto" w:frame="1"/>
        </w:rPr>
        <w:t xml:space="preserve">Enterprises that are exclusively engaged in these </w:t>
      </w:r>
      <w:r w:rsidR="004858CE">
        <w:rPr>
          <w:rStyle w:val="xxxcontentpasted0"/>
          <w:rFonts w:eastAsia="Arial Unicode MS"/>
          <w:color w:val="000000"/>
          <w:highlight w:val="darkGray"/>
          <w:bdr w:val="none" w:sz="0" w:space="0" w:color="auto" w:frame="1"/>
        </w:rPr>
        <w:t>industr</w:t>
      </w:r>
      <w:r w:rsidRPr="00703ED3" w:rsidR="004858CE">
        <w:rPr>
          <w:rStyle w:val="xxxcontentpasted0"/>
          <w:rFonts w:eastAsia="Arial Unicode MS"/>
          <w:color w:val="000000"/>
          <w:highlight w:val="darkGray"/>
          <w:bdr w:val="none" w:sz="0" w:space="0" w:color="auto" w:frame="1"/>
        </w:rPr>
        <w:t xml:space="preserve">ies </w:t>
      </w:r>
      <w:r w:rsidRPr="00703ED3">
        <w:rPr>
          <w:rStyle w:val="xxxcontentpasted0"/>
          <w:rFonts w:eastAsia="Arial Unicode MS"/>
          <w:color w:val="000000"/>
          <w:highlight w:val="darkGray"/>
          <w:bdr w:val="none" w:sz="0" w:space="0" w:color="auto" w:frame="1"/>
        </w:rPr>
        <w:t>will not be selected</w:t>
      </w:r>
      <w:r w:rsidRPr="004C7833">
        <w:rPr>
          <w:rStyle w:val="xxxcontentpasted0"/>
          <w:rFonts w:eastAsia="Arial Unicode MS"/>
          <w:color w:val="000000"/>
          <w:bdr w:val="none" w:sz="0" w:space="0" w:color="auto" w:frame="1"/>
        </w:rPr>
        <w:t>.</w:t>
      </w:r>
      <w:r>
        <w:rPr>
          <w:rStyle w:val="xxxcontentpasted0"/>
          <w:rFonts w:ascii="inherit" w:eastAsia="Arial Unicode MS" w:hAnsi="inherit"/>
          <w:color w:val="000000"/>
          <w:sz w:val="27"/>
          <w:szCs w:val="27"/>
          <w:bdr w:val="none" w:sz="0" w:space="0" w:color="auto" w:frame="1"/>
        </w:rPr>
        <w:t xml:space="preserve"> </w:t>
      </w:r>
    </w:p>
    <w:p w:rsidR="00255045" w:rsidP="00C56C31" w14:paraId="0838DD60" w14:textId="77777777">
      <w:pPr>
        <w:pStyle w:val="NormalWeb"/>
        <w:shd w:val="clear" w:color="auto" w:fill="FFFFFF"/>
        <w:spacing w:before="0" w:beforeAutospacing="0" w:after="0" w:afterAutospacing="0"/>
        <w:rPr>
          <w:rStyle w:val="xxxcontentpasted0"/>
          <w:rFonts w:ascii="inherit" w:eastAsia="Arial Unicode MS" w:hAnsi="inherit" w:hint="eastAsia"/>
          <w:color w:val="000000"/>
          <w:sz w:val="27"/>
          <w:szCs w:val="27"/>
          <w:bdr w:val="none" w:sz="0" w:space="0" w:color="auto" w:frame="1"/>
        </w:rPr>
      </w:pPr>
    </w:p>
    <w:p w:rsidR="00733849" w:rsidRPr="00C56C31" w:rsidP="00C56C31" w14:paraId="214A6C8E" w14:textId="6E6F4509">
      <w:pPr>
        <w:pStyle w:val="NormalWeb"/>
        <w:shd w:val="clear" w:color="auto" w:fill="FFFFFF"/>
        <w:spacing w:before="0" w:beforeAutospacing="0" w:after="0" w:afterAutospacing="0"/>
        <w:rPr>
          <w:color w:val="000000"/>
        </w:rPr>
      </w:pPr>
      <w:r w:rsidRPr="009E0CED">
        <w:t xml:space="preserve">Non-employer businesses are </w:t>
      </w:r>
      <w:r w:rsidR="00807D1D">
        <w:t xml:space="preserve">also </w:t>
      </w:r>
      <w:r w:rsidRPr="009E0CED">
        <w:t>not within the scope of this new AIES.  The Census Bureau will submit a separate request for approval to collect data from non-employer businesses, if it is determined that a collection is needed to produce those estimates.</w:t>
      </w:r>
      <w:r>
        <w:t xml:space="preserve">  </w:t>
      </w:r>
    </w:p>
    <w:bookmarkEnd w:id="8"/>
    <w:p w:rsidR="00401546" w:rsidRPr="00733849" w:rsidP="00733849" w14:paraId="5D7D952E" w14:textId="77777777">
      <w:pPr>
        <w:pStyle w:val="Body1"/>
        <w:rPr>
          <w:szCs w:val="24"/>
        </w:rPr>
      </w:pPr>
    </w:p>
    <w:p w:rsidR="00733849" w:rsidP="00733849" w14:paraId="32E34C3E" w14:textId="2A17A658">
      <w:pPr>
        <w:pStyle w:val="Body1"/>
        <w:rPr>
          <w:szCs w:val="24"/>
        </w:rPr>
      </w:pPr>
      <w:r w:rsidRPr="00733849">
        <w:rPr>
          <w:szCs w:val="24"/>
        </w:rPr>
        <w:t>Respondents will receive an email and/or letter notifying them of their requirement to respond and how to access the survey.  Responses will be due approximately 30 days from receipt. Select businesses will receive a due date reminder via a letter or email prior to the due date.  Additionally, email follow-ups and up to three mail follow-ups to nonrespondents will be conducted at approximately one-month intervals.  Selected nonrespondents will receive a priority class mailing for the third follow-up if needed. Selected nonrespondents will also receive follow-up telephone calls</w:t>
      </w:r>
      <w:r w:rsidR="00B626F5">
        <w:rPr>
          <w:szCs w:val="24"/>
        </w:rPr>
        <w:t xml:space="preserve"> </w:t>
      </w:r>
      <w:r w:rsidRPr="00266B66" w:rsidR="00B626F5">
        <w:rPr>
          <w:szCs w:val="24"/>
        </w:rPr>
        <w:t>(See Attachment D</w:t>
      </w:r>
      <w:r w:rsidRPr="00266B66" w:rsidR="009743A5">
        <w:rPr>
          <w:szCs w:val="24"/>
        </w:rPr>
        <w:t xml:space="preserve"> for Dress Rehearsal Letters and </w:t>
      </w:r>
      <w:r w:rsidRPr="009743A5" w:rsidR="009743A5">
        <w:rPr>
          <w:szCs w:val="24"/>
          <w:highlight w:val="darkGray"/>
        </w:rPr>
        <w:t>Attachment M for production AIES letters</w:t>
      </w:r>
      <w:r w:rsidRPr="009743A5" w:rsidR="00B626F5">
        <w:rPr>
          <w:szCs w:val="24"/>
          <w:highlight w:val="darkGray"/>
        </w:rPr>
        <w:t>)</w:t>
      </w:r>
      <w:r w:rsidRPr="009743A5">
        <w:rPr>
          <w:szCs w:val="24"/>
          <w:highlight w:val="darkGray"/>
        </w:rPr>
        <w:t>.</w:t>
      </w:r>
    </w:p>
    <w:p w:rsidR="00D9034F" w:rsidP="00733849" w14:paraId="63BC2D8F" w14:textId="0A914E68">
      <w:pPr>
        <w:pStyle w:val="Body1"/>
        <w:rPr>
          <w:szCs w:val="24"/>
        </w:rPr>
      </w:pPr>
    </w:p>
    <w:p w:rsidR="00D9034F" w:rsidP="00733849" w14:paraId="0379A601" w14:textId="08F9521C">
      <w:pPr>
        <w:pStyle w:val="Body1"/>
        <w:rPr>
          <w:szCs w:val="24"/>
        </w:rPr>
      </w:pPr>
      <w:r w:rsidRPr="00D9034F">
        <w:rPr>
          <w:szCs w:val="24"/>
        </w:rPr>
        <w:t xml:space="preserve">The AIES will replace the ARTS, AWTS, SAS, ASM, ACES, M3UFO, and the Report of Organization </w:t>
      </w:r>
      <w:r w:rsidR="003B7C74">
        <w:rPr>
          <w:szCs w:val="24"/>
        </w:rPr>
        <w:t>for</w:t>
      </w:r>
      <w:r w:rsidRPr="00D9034F">
        <w:rPr>
          <w:szCs w:val="24"/>
        </w:rPr>
        <w:t xml:space="preserve"> survey year 2023, at which time the Census Bureau will </w:t>
      </w:r>
      <w:r w:rsidR="00FA2DBD">
        <w:rPr>
          <w:szCs w:val="24"/>
        </w:rPr>
        <w:t>officially sunset these programs</w:t>
      </w:r>
      <w:r w:rsidRPr="00D9034F">
        <w:rPr>
          <w:szCs w:val="24"/>
        </w:rPr>
        <w:t>.</w:t>
      </w:r>
      <w:r w:rsidR="00FA2DBD">
        <w:rPr>
          <w:szCs w:val="24"/>
        </w:rPr>
        <w:t xml:space="preserve">  The ASM and the Report of Organization completed their final year of data collection in survey year 2021.  ACES, ARTS, AWTS, SAS, and M3UFO will complete their </w:t>
      </w:r>
      <w:r w:rsidR="006953E4">
        <w:rPr>
          <w:szCs w:val="24"/>
        </w:rPr>
        <w:t>final</w:t>
      </w:r>
      <w:r w:rsidR="00FA2DBD">
        <w:rPr>
          <w:szCs w:val="24"/>
        </w:rPr>
        <w:t xml:space="preserve"> year of data collection in survey year 2022.</w:t>
      </w:r>
    </w:p>
    <w:bookmarkEnd w:id="0"/>
    <w:p w:rsidR="005907F5" w:rsidRPr="0084317B" w:rsidP="00A8727F" w14:paraId="30A2D67A" w14:textId="77777777">
      <w:pPr>
        <w:pStyle w:val="Body1"/>
        <w:rPr>
          <w:szCs w:val="24"/>
        </w:rPr>
      </w:pPr>
    </w:p>
    <w:p w:rsidR="00C77F79" w:rsidP="00A8727F" w14:paraId="7A411785" w14:textId="34C5C5D9">
      <w:pPr>
        <w:pStyle w:val="Body1"/>
      </w:pPr>
      <w:r>
        <w:t>The AIES collection is</w:t>
      </w:r>
      <w:r w:rsidR="00957187">
        <w:t xml:space="preserve"> authorized </w:t>
      </w:r>
      <w:r>
        <w:t>by Title 13 U.S.C. Sections 131, 182, and 193</w:t>
      </w:r>
      <w:r w:rsidR="0054705B">
        <w:t>.  Response to the AIES is mandatory per Sections 224 and 225</w:t>
      </w:r>
      <w:r w:rsidR="00745646">
        <w:t xml:space="preserve"> of Title 13 U.S.C.</w:t>
      </w:r>
      <w:r w:rsidR="00957187">
        <w:t xml:space="preserve"> </w:t>
      </w:r>
      <w:r w:rsidRPr="00A34584" w:rsidR="00957187">
        <w:t>(</w:t>
      </w:r>
      <w:r w:rsidRPr="00A34584" w:rsidR="04EEBBC5">
        <w:t>See</w:t>
      </w:r>
      <w:r w:rsidRPr="00A34584" w:rsidR="003B7C74">
        <w:t xml:space="preserve"> </w:t>
      </w:r>
      <w:r w:rsidRPr="00A34584" w:rsidR="00957187">
        <w:t xml:space="preserve">Attachment </w:t>
      </w:r>
      <w:r w:rsidRPr="00A34584" w:rsidR="003B7C74">
        <w:t>A</w:t>
      </w:r>
      <w:r w:rsidRPr="00A34584" w:rsidR="00DD7019">
        <w:t>)</w:t>
      </w:r>
      <w:r w:rsidRPr="00A34584" w:rsidR="00957187">
        <w:t>.</w:t>
      </w:r>
      <w:bookmarkStart w:id="9" w:name="_Hlk65481358"/>
    </w:p>
    <w:p w:rsidR="007E0FF7" w:rsidRPr="0084317B" w:rsidP="00A8727F" w14:paraId="531B6154" w14:textId="77777777">
      <w:pPr>
        <w:pStyle w:val="Body1"/>
        <w:rPr>
          <w:szCs w:val="24"/>
        </w:rPr>
      </w:pPr>
    </w:p>
    <w:p w:rsidR="00EF3F4A" w:rsidRPr="0084317B" w:rsidP="00A8727F" w14:paraId="6F188AE0" w14:textId="77777777">
      <w:pPr>
        <w:pStyle w:val="Body1"/>
        <w:rPr>
          <w:szCs w:val="24"/>
        </w:rPr>
      </w:pPr>
    </w:p>
    <w:bookmarkEnd w:id="9"/>
    <w:p w:rsidR="00527A26" w:rsidRPr="0084317B" w:rsidP="00D506FF" w14:paraId="540296BE" w14:textId="69EE8761">
      <w:pPr>
        <w:pStyle w:val="Body1"/>
        <w:tabs>
          <w:tab w:val="left" w:pos="720"/>
        </w:tabs>
        <w:rPr>
          <w:b/>
          <w:szCs w:val="24"/>
        </w:rPr>
      </w:pPr>
      <w:r w:rsidRPr="0084317B">
        <w:rPr>
          <w:b/>
          <w:szCs w:val="24"/>
        </w:rPr>
        <w:t>2.</w:t>
      </w:r>
      <w:r w:rsidRPr="0084317B" w:rsidR="00F72451">
        <w:rPr>
          <w:b/>
          <w:szCs w:val="24"/>
        </w:rPr>
        <w:t xml:space="preserve"> </w:t>
      </w:r>
      <w:r w:rsidRPr="0084317B">
        <w:rPr>
          <w:b/>
          <w:szCs w:val="24"/>
        </w:rPr>
        <w:t>Purpose and Use of Information</w:t>
      </w:r>
      <w:r w:rsidRPr="0084317B" w:rsidR="00090414">
        <w:rPr>
          <w:b/>
          <w:szCs w:val="24"/>
        </w:rPr>
        <w:t xml:space="preserve"> Collection</w:t>
      </w:r>
    </w:p>
    <w:p w:rsidR="00527A26" w:rsidRPr="0084317B" w:rsidP="00D506FF" w14:paraId="025DC926" w14:textId="77777777">
      <w:pPr>
        <w:pStyle w:val="Body1"/>
        <w:tabs>
          <w:tab w:val="num" w:pos="720"/>
          <w:tab w:val="left" w:pos="1710"/>
        </w:tabs>
        <w:rPr>
          <w:b/>
          <w:szCs w:val="24"/>
        </w:rPr>
      </w:pPr>
    </w:p>
    <w:p w:rsidR="006A2E5D" w:rsidP="007E0FF7" w14:paraId="199F939D" w14:textId="6A0960FA">
      <w:pPr>
        <w:pStyle w:val="Body1"/>
        <w:tabs>
          <w:tab w:val="num" w:pos="720"/>
          <w:tab w:val="left" w:pos="1710"/>
        </w:tabs>
        <w:rPr>
          <w:szCs w:val="24"/>
        </w:rPr>
      </w:pPr>
      <w:r w:rsidRPr="007E0FF7">
        <w:rPr>
          <w:szCs w:val="24"/>
        </w:rPr>
        <w:t xml:space="preserve">Estimates currently published in ARTS, AWTS, SAS, ASM, and ACES will be produced as part of the AIES and expanded to include subnational data across the economy.  </w:t>
      </w:r>
      <w:r w:rsidR="00EB2C5C">
        <w:rPr>
          <w:szCs w:val="24"/>
        </w:rPr>
        <w:t>T</w:t>
      </w:r>
      <w:r w:rsidRPr="007E0FF7">
        <w:rPr>
          <w:szCs w:val="24"/>
        </w:rPr>
        <w:t>he ASM (manufacturing)</w:t>
      </w:r>
      <w:r w:rsidR="00EB2C5C">
        <w:rPr>
          <w:szCs w:val="24"/>
        </w:rPr>
        <w:t xml:space="preserve"> is</w:t>
      </w:r>
      <w:r w:rsidRPr="007E0FF7">
        <w:rPr>
          <w:szCs w:val="24"/>
        </w:rPr>
        <w:t xml:space="preserve"> the only annual survey being integrated into </w:t>
      </w:r>
      <w:r w:rsidR="00F137FB">
        <w:rPr>
          <w:szCs w:val="24"/>
        </w:rPr>
        <w:t xml:space="preserve">the </w:t>
      </w:r>
      <w:r w:rsidRPr="007E0FF7">
        <w:rPr>
          <w:szCs w:val="24"/>
        </w:rPr>
        <w:t>AIES that</w:t>
      </w:r>
      <w:r w:rsidR="00EB2C5C">
        <w:rPr>
          <w:szCs w:val="24"/>
        </w:rPr>
        <w:t xml:space="preserve"> previously</w:t>
      </w:r>
      <w:r w:rsidRPr="007E0FF7">
        <w:rPr>
          <w:szCs w:val="24"/>
        </w:rPr>
        <w:t xml:space="preserve"> produced subnational data.  </w:t>
      </w:r>
      <w:r w:rsidR="00F137FB">
        <w:rPr>
          <w:szCs w:val="24"/>
        </w:rPr>
        <w:t xml:space="preserve">The </w:t>
      </w:r>
      <w:r w:rsidRPr="007E0FF7">
        <w:rPr>
          <w:szCs w:val="24"/>
        </w:rPr>
        <w:t xml:space="preserve">AIES will produce subnational data for manufacturing, retail, wholesale, and service sectors if quality standards are met. The AIES information previously collected on the Report of Organization will continue to be used to update the </w:t>
      </w:r>
      <w:r w:rsidR="00F93DB2">
        <w:rPr>
          <w:szCs w:val="24"/>
        </w:rPr>
        <w:t>Census Bureau</w:t>
      </w:r>
      <w:r w:rsidR="00763289">
        <w:rPr>
          <w:szCs w:val="24"/>
        </w:rPr>
        <w:t>’s</w:t>
      </w:r>
      <w:r w:rsidR="00641FD6">
        <w:rPr>
          <w:szCs w:val="24"/>
        </w:rPr>
        <w:t xml:space="preserve"> </w:t>
      </w:r>
      <w:r w:rsidR="00D273FB">
        <w:rPr>
          <w:szCs w:val="24"/>
        </w:rPr>
        <w:t>BR</w:t>
      </w:r>
      <w:r w:rsidRPr="007E0FF7">
        <w:rPr>
          <w:szCs w:val="24"/>
        </w:rPr>
        <w:t xml:space="preserve">, and the AIES data previously collected on the M3UFO will continue to be used for the Manufacturers’ Shipments, Inventories, and Orders (M3) Survey benchmarking purposes. Data users will be able to access the AIES estimates </w:t>
      </w:r>
      <w:r w:rsidRPr="007E0FF7">
        <w:rPr>
          <w:szCs w:val="24"/>
        </w:rPr>
        <w:t>through the use of</w:t>
      </w:r>
      <w:r w:rsidRPr="007E0FF7">
        <w:rPr>
          <w:szCs w:val="24"/>
        </w:rPr>
        <w:t xml:space="preserve"> visualizations</w:t>
      </w:r>
      <w:r w:rsidR="00177D60">
        <w:rPr>
          <w:szCs w:val="24"/>
        </w:rPr>
        <w:t xml:space="preserve">, CSV files, </w:t>
      </w:r>
      <w:r w:rsidRPr="007E0FF7">
        <w:rPr>
          <w:szCs w:val="24"/>
        </w:rPr>
        <w:t>data.census.gov</w:t>
      </w:r>
      <w:r w:rsidR="00177D60">
        <w:rPr>
          <w:szCs w:val="24"/>
        </w:rPr>
        <w:t>, and the Federal Rese</w:t>
      </w:r>
      <w:r w:rsidR="002C7FAB">
        <w:rPr>
          <w:szCs w:val="24"/>
        </w:rPr>
        <w:t>rve</w:t>
      </w:r>
      <w:r w:rsidR="00177D60">
        <w:rPr>
          <w:szCs w:val="24"/>
        </w:rPr>
        <w:t xml:space="preserve"> Economic Data (FRED), which is an online database maintained by the Federal Reserve Bank of St. Louis</w:t>
      </w:r>
      <w:r w:rsidRPr="007E0FF7">
        <w:rPr>
          <w:szCs w:val="24"/>
        </w:rPr>
        <w:t>.</w:t>
      </w:r>
    </w:p>
    <w:p w:rsidR="006A2E5D" w:rsidP="007E0FF7" w14:paraId="75E18BCA" w14:textId="77777777">
      <w:pPr>
        <w:pStyle w:val="Body1"/>
        <w:tabs>
          <w:tab w:val="num" w:pos="720"/>
          <w:tab w:val="left" w:pos="1710"/>
        </w:tabs>
        <w:rPr>
          <w:szCs w:val="24"/>
        </w:rPr>
      </w:pPr>
    </w:p>
    <w:p w:rsidR="006A2E5D" w:rsidP="007E0FF7" w14:paraId="56D9CCCA" w14:textId="1CB5CFDC">
      <w:pPr>
        <w:pStyle w:val="Body1"/>
        <w:tabs>
          <w:tab w:val="num" w:pos="720"/>
          <w:tab w:val="left" w:pos="1710"/>
        </w:tabs>
        <w:rPr>
          <w:szCs w:val="24"/>
        </w:rPr>
      </w:pPr>
      <w:r w:rsidRPr="007E0FF7">
        <w:rPr>
          <w:szCs w:val="24"/>
        </w:rPr>
        <w:t xml:space="preserve">Private businesses, organizations, industry analysts, educators and students, and economic researchers have used the data and estimates provided by </w:t>
      </w:r>
      <w:r w:rsidR="00685588">
        <w:rPr>
          <w:szCs w:val="24"/>
        </w:rPr>
        <w:t>the ARTS, AWTS, SAS, ASM, and ACES</w:t>
      </w:r>
      <w:r w:rsidRPr="007E0FF7">
        <w:rPr>
          <w:szCs w:val="24"/>
        </w:rPr>
        <w:t xml:space="preserve"> collections for analyzing and conducting impact evaluations on past and current economic performance, short-term economic forecasts, productivity, long-term economic growth, market analysis, tax policy, capacity utilization, business fixed capital stocks and capital formation, domestic and international competitiveness trade policy, product development, market research, and financial analysis.  Trade and professional organizations have used the estimates to analyze industry trends and benchmark their own statistical programs, develop forecasts, and evaluate regulatory requirements.  Government program officials and agencies have used the data for research, economic policy making, and forecasting.</w:t>
      </w:r>
    </w:p>
    <w:p w:rsidR="006A2E5D" w:rsidP="007E0FF7" w14:paraId="10C02DD7" w14:textId="77777777">
      <w:pPr>
        <w:pStyle w:val="Body1"/>
        <w:tabs>
          <w:tab w:val="num" w:pos="720"/>
          <w:tab w:val="left" w:pos="1710"/>
        </w:tabs>
        <w:rPr>
          <w:szCs w:val="24"/>
        </w:rPr>
      </w:pPr>
    </w:p>
    <w:p w:rsidR="006A2E5D" w:rsidP="007E0FF7" w14:paraId="71ADFDC0" w14:textId="6FD9088C">
      <w:pPr>
        <w:pStyle w:val="Body1"/>
        <w:tabs>
          <w:tab w:val="num" w:pos="720"/>
          <w:tab w:val="left" w:pos="1710"/>
        </w:tabs>
        <w:rPr>
          <w:szCs w:val="24"/>
        </w:rPr>
      </w:pPr>
      <w:r w:rsidRPr="007E0FF7">
        <w:rPr>
          <w:szCs w:val="24"/>
        </w:rPr>
        <w:t xml:space="preserve">Based on the use of the data of the existing collections, estimates produced from the AIES will serve as a benchmark for Census Bureau indicator programs, such as the Advance Monthly Sales for Retail and Food Services (MARTS), the Monthly Retail Trade Survey (MRTS), </w:t>
      </w:r>
      <w:r w:rsidR="00C359AE">
        <w:rPr>
          <w:szCs w:val="24"/>
        </w:rPr>
        <w:t xml:space="preserve">the </w:t>
      </w:r>
      <w:r w:rsidRPr="007E0FF7">
        <w:rPr>
          <w:szCs w:val="24"/>
        </w:rPr>
        <w:t xml:space="preserve">Manufacturers’ Shipments Inventories &amp; Orders (M3), </w:t>
      </w:r>
      <w:r w:rsidR="00C359AE">
        <w:rPr>
          <w:szCs w:val="24"/>
        </w:rPr>
        <w:t xml:space="preserve">the </w:t>
      </w:r>
      <w:r w:rsidRPr="007E0FF7">
        <w:rPr>
          <w:szCs w:val="24"/>
        </w:rPr>
        <w:t xml:space="preserve">Monthly Wholesale Trade Survey (MWTS), and the Quarterly Services Survey (QSS).  Like the previous collections, the AIES will provide updates to the Longitudinal Research Database (LRD), and Census Bureau staff and academic researchers with special sworn status will continue to use the LRD for micro data analysis.  The Census Bureau will also continue to use information collected in the AIES to update and maintain the centralized, multipurpose </w:t>
      </w:r>
      <w:r w:rsidR="00D273FB">
        <w:rPr>
          <w:szCs w:val="24"/>
        </w:rPr>
        <w:t>BR</w:t>
      </w:r>
      <w:r w:rsidRPr="007E0FF7">
        <w:rPr>
          <w:szCs w:val="24"/>
        </w:rPr>
        <w:t xml:space="preserve"> that provides sampling populations and enumeration lists for the Census Bureau’s economic surveys and censuses.</w:t>
      </w:r>
    </w:p>
    <w:p w:rsidR="006A2E5D" w:rsidP="007E0FF7" w14:paraId="25F20D87" w14:textId="77777777">
      <w:pPr>
        <w:pStyle w:val="Body1"/>
        <w:tabs>
          <w:tab w:val="num" w:pos="720"/>
          <w:tab w:val="left" w:pos="1710"/>
        </w:tabs>
        <w:rPr>
          <w:szCs w:val="24"/>
        </w:rPr>
      </w:pPr>
    </w:p>
    <w:p w:rsidR="00974CF1" w:rsidP="007E0FF7" w14:paraId="41F36F47" w14:textId="7417DE5E">
      <w:pPr>
        <w:pStyle w:val="Body1"/>
        <w:tabs>
          <w:tab w:val="num" w:pos="720"/>
          <w:tab w:val="left" w:pos="1710"/>
        </w:tabs>
        <w:rPr>
          <w:szCs w:val="24"/>
        </w:rPr>
      </w:pPr>
      <w:r w:rsidRPr="007E0FF7">
        <w:rPr>
          <w:szCs w:val="24"/>
        </w:rPr>
        <w:t xml:space="preserve">The Bureau of Economic Analysis (BEA) will continue to use the estimates to derive industry output for the input-output accounts and for the gross domestic product (GDP).  </w:t>
      </w:r>
      <w:r w:rsidR="00A10A40">
        <w:rPr>
          <w:szCs w:val="24"/>
        </w:rPr>
        <w:t>T</w:t>
      </w:r>
      <w:r w:rsidRPr="007E0FF7">
        <w:rPr>
          <w:szCs w:val="24"/>
        </w:rPr>
        <w:t xml:space="preserve">he Bureau of Labor Statistics (BLS) will continue to use the data as input to its Producer Price Index (PPI) and in developing productivity measurements; the Federal Reserve Board (FRB) will continue to use the data to prepare the Index of Industrial Production, to improve estimates of investment indicators for monetary policy, and in monitoring retail credit lending; the Centers for Medicare and Medicaid Services (CMS) will continue to use the data to estimate expenditures for the National Health Accounts and for monitoring and evaluating healthcare industries; and the Department of the Treasury will continue </w:t>
      </w:r>
      <w:r w:rsidR="0010424C">
        <w:rPr>
          <w:szCs w:val="24"/>
        </w:rPr>
        <w:t xml:space="preserve">to </w:t>
      </w:r>
      <w:r w:rsidRPr="007E0FF7">
        <w:rPr>
          <w:szCs w:val="24"/>
        </w:rPr>
        <w:t>use the data to analyze depreciation and to research economic trends.</w:t>
      </w:r>
    </w:p>
    <w:p w:rsidR="007E0FF7" w:rsidRPr="00377F69" w:rsidP="007E0FF7" w14:paraId="056AF49E" w14:textId="77777777">
      <w:pPr>
        <w:pStyle w:val="Body1"/>
        <w:tabs>
          <w:tab w:val="num" w:pos="720"/>
          <w:tab w:val="left" w:pos="1710"/>
        </w:tabs>
        <w:rPr>
          <w:szCs w:val="24"/>
        </w:rPr>
      </w:pPr>
    </w:p>
    <w:p w:rsidR="001E5A9A" w:rsidRPr="00B651A5" w:rsidP="00852005" w14:paraId="1EBB4C3E" w14:textId="77777777">
      <w:pPr>
        <w:pStyle w:val="Body1"/>
        <w:tabs>
          <w:tab w:val="num" w:pos="720"/>
        </w:tabs>
        <w:rPr>
          <w:b/>
          <w:szCs w:val="24"/>
        </w:rPr>
      </w:pPr>
      <w:r w:rsidRPr="00B651A5">
        <w:rPr>
          <w:b/>
          <w:szCs w:val="24"/>
        </w:rPr>
        <w:tab/>
      </w:r>
    </w:p>
    <w:p w:rsidR="00527A26" w:rsidRPr="00B651A5" w:rsidP="001E5A9A" w14:paraId="1268B68D" w14:textId="07597C65">
      <w:pPr>
        <w:pStyle w:val="Body1"/>
        <w:tabs>
          <w:tab w:val="num" w:pos="720"/>
        </w:tabs>
        <w:ind w:left="720" w:hanging="720"/>
        <w:rPr>
          <w:b/>
          <w:szCs w:val="24"/>
        </w:rPr>
      </w:pPr>
      <w:r w:rsidRPr="00B651A5">
        <w:rPr>
          <w:b/>
          <w:szCs w:val="24"/>
        </w:rPr>
        <w:t xml:space="preserve">3. </w:t>
      </w:r>
      <w:r w:rsidR="00F72451">
        <w:rPr>
          <w:b/>
          <w:szCs w:val="24"/>
        </w:rPr>
        <w:t xml:space="preserve"> </w:t>
      </w:r>
      <w:r w:rsidRPr="00B651A5">
        <w:rPr>
          <w:b/>
          <w:szCs w:val="24"/>
        </w:rPr>
        <w:t xml:space="preserve">Use of </w:t>
      </w:r>
      <w:r w:rsidRPr="00B651A5">
        <w:rPr>
          <w:b/>
          <w:szCs w:val="24"/>
        </w:rPr>
        <w:t xml:space="preserve">Improved </w:t>
      </w:r>
      <w:r w:rsidRPr="00B651A5">
        <w:rPr>
          <w:b/>
          <w:szCs w:val="24"/>
        </w:rPr>
        <w:t>Information Technology and Burden Reduction</w:t>
      </w:r>
    </w:p>
    <w:p w:rsidR="00527A26" w:rsidRPr="00B651A5" w:rsidP="00B83871" w14:paraId="562FF266" w14:textId="77777777">
      <w:pPr>
        <w:pStyle w:val="Body1"/>
        <w:tabs>
          <w:tab w:val="num" w:pos="0"/>
          <w:tab w:val="left" w:pos="720"/>
          <w:tab w:val="left" w:pos="1800"/>
        </w:tabs>
        <w:rPr>
          <w:b/>
          <w:szCs w:val="24"/>
        </w:rPr>
      </w:pPr>
    </w:p>
    <w:p w:rsidR="00BA3A36" w:rsidP="002D0B3C" w14:paraId="3B810637" w14:textId="33C8131F">
      <w:pPr>
        <w:pStyle w:val="Body1"/>
        <w:tabs>
          <w:tab w:val="num" w:pos="0"/>
          <w:tab w:val="left" w:pos="720"/>
          <w:tab w:val="left" w:pos="1800"/>
        </w:tabs>
        <w:rPr>
          <w:szCs w:val="24"/>
        </w:rPr>
      </w:pPr>
      <w:r w:rsidRPr="00C65FDD">
        <w:rPr>
          <w:szCs w:val="24"/>
        </w:rPr>
        <w:t>The AIES Dress Rehearsal and the AIES will be collected using Centurion, the Census Bureau’s secure online survey collection tool</w:t>
      </w:r>
      <w:r w:rsidR="002D0B3C">
        <w:rPr>
          <w:szCs w:val="24"/>
        </w:rPr>
        <w:t xml:space="preserve">.  </w:t>
      </w:r>
      <w:r w:rsidRPr="002D0B3C" w:rsidR="002D0B3C">
        <w:rPr>
          <w:szCs w:val="24"/>
        </w:rPr>
        <w:t xml:space="preserve">The Centurion Welcome and Burden statement screens can be viewed in </w:t>
      </w:r>
      <w:r w:rsidRPr="00A34584" w:rsidR="002D0B3C">
        <w:rPr>
          <w:szCs w:val="24"/>
        </w:rPr>
        <w:t xml:space="preserve">Attachment </w:t>
      </w:r>
      <w:r w:rsidR="00621779">
        <w:rPr>
          <w:szCs w:val="24"/>
        </w:rPr>
        <w:t>B</w:t>
      </w:r>
      <w:r w:rsidRPr="00A34584" w:rsidR="002D0B3C">
        <w:rPr>
          <w:szCs w:val="24"/>
        </w:rPr>
        <w:t>.</w:t>
      </w:r>
      <w:r w:rsidR="002D0B3C">
        <w:rPr>
          <w:szCs w:val="24"/>
        </w:rPr>
        <w:t xml:space="preserve"> Centurion</w:t>
      </w:r>
      <w:r w:rsidRPr="002D0B3C" w:rsidR="002D0B3C">
        <w:rPr>
          <w:szCs w:val="24"/>
        </w:rPr>
        <w:t xml:space="preserve"> is designed to make the reporting process more flexible, secure, and convenient for respondents. The response-driven nature of the instrument also reduces respondent burden. Respondents can complete the entire survey in one session or work on the survey over several sessions. Centurion automatically saves the entered data when the user proceeds to the next screen, so the users can return later and pick up exactly where they </w:t>
      </w:r>
      <w:r w:rsidRPr="002D0B3C" w:rsidR="002D0B3C">
        <w:rPr>
          <w:szCs w:val="24"/>
        </w:rPr>
        <w:t>previously left off. The data provided electronically by respondents are immediately available to the Census Bureau.</w:t>
      </w:r>
      <w:r w:rsidR="00B33E43">
        <w:rPr>
          <w:szCs w:val="24"/>
        </w:rPr>
        <w:t xml:space="preserve">  The use of this system also reduces paper usage as it eliminates paper forms in the initial and follow-up mailings.</w:t>
      </w:r>
    </w:p>
    <w:p w:rsidR="007E0FF7" w:rsidP="002D0B3C" w14:paraId="5FB6178D" w14:textId="77777777">
      <w:pPr>
        <w:pStyle w:val="Body1"/>
        <w:tabs>
          <w:tab w:val="num" w:pos="0"/>
          <w:tab w:val="left" w:pos="720"/>
          <w:tab w:val="left" w:pos="1800"/>
        </w:tabs>
        <w:rPr>
          <w:szCs w:val="24"/>
        </w:rPr>
      </w:pPr>
    </w:p>
    <w:p w:rsidR="00222863" w:rsidRPr="0072690B" w:rsidP="00B83871" w14:paraId="6D3BC2CE" w14:textId="77777777">
      <w:pPr>
        <w:pStyle w:val="Body1"/>
        <w:tabs>
          <w:tab w:val="num" w:pos="0"/>
          <w:tab w:val="left" w:pos="720"/>
          <w:tab w:val="left" w:pos="1800"/>
        </w:tabs>
        <w:rPr>
          <w:szCs w:val="24"/>
        </w:rPr>
      </w:pPr>
    </w:p>
    <w:p w:rsidR="00527A26" w:rsidRPr="0072690B" w:rsidP="00AC3A9F" w14:paraId="7B23EC2C" w14:textId="6DBCF492">
      <w:pPr>
        <w:pStyle w:val="Body1"/>
        <w:tabs>
          <w:tab w:val="num" w:pos="720"/>
        </w:tabs>
        <w:rPr>
          <w:b/>
          <w:szCs w:val="24"/>
        </w:rPr>
      </w:pPr>
      <w:r w:rsidRPr="0072690B">
        <w:rPr>
          <w:b/>
          <w:szCs w:val="24"/>
        </w:rPr>
        <w:t xml:space="preserve">4. </w:t>
      </w:r>
      <w:r w:rsidR="00F72451">
        <w:rPr>
          <w:b/>
          <w:szCs w:val="24"/>
        </w:rPr>
        <w:t xml:space="preserve"> </w:t>
      </w:r>
      <w:r w:rsidRPr="0072690B">
        <w:rPr>
          <w:b/>
          <w:szCs w:val="24"/>
        </w:rPr>
        <w:t>Efforts to Identify Duplication and Use of Similar Information</w:t>
      </w:r>
    </w:p>
    <w:p w:rsidR="00527A26" w:rsidRPr="0072690B" w:rsidP="00B83871" w14:paraId="2C285B3B" w14:textId="77777777">
      <w:pPr>
        <w:pStyle w:val="Body1"/>
        <w:tabs>
          <w:tab w:val="num" w:pos="0"/>
          <w:tab w:val="left" w:pos="720"/>
          <w:tab w:val="left" w:pos="1080"/>
          <w:tab w:val="left" w:pos="1800"/>
        </w:tabs>
        <w:rPr>
          <w:b/>
          <w:szCs w:val="24"/>
        </w:rPr>
      </w:pPr>
    </w:p>
    <w:bookmarkStart w:id="10" w:name="_Hlk120519567"/>
    <w:p w:rsidR="00952B93" w:rsidRPr="00832281" w:rsidP="00952B93" w14:paraId="4551A311" w14:textId="2FE4196F">
      <w:pPr>
        <w:rPr>
          <w:sz w:val="24"/>
          <w:szCs w:val="24"/>
        </w:rPr>
      </w:pPr>
      <w:r w:rsidRPr="00832281">
        <w:rPr>
          <w:sz w:val="24"/>
          <w:szCs w:val="24"/>
          <w:lang w:val="en-CA"/>
        </w:rPr>
        <w:fldChar w:fldCharType="begin"/>
      </w:r>
      <w:r w:rsidRPr="00832281">
        <w:rPr>
          <w:sz w:val="24"/>
          <w:szCs w:val="24"/>
          <w:lang w:val="en-CA"/>
        </w:rPr>
        <w:instrText xml:space="preserve"> SEQ CHAPTER \h \r 1</w:instrText>
      </w:r>
      <w:r w:rsidRPr="00832281">
        <w:rPr>
          <w:sz w:val="24"/>
          <w:szCs w:val="24"/>
          <w:lang w:val="en-CA"/>
        </w:rPr>
        <w:fldChar w:fldCharType="separate"/>
      </w:r>
      <w:r w:rsidRPr="00832281">
        <w:rPr>
          <w:sz w:val="24"/>
          <w:szCs w:val="24"/>
          <w:lang w:val="en-CA"/>
        </w:rPr>
        <w:fldChar w:fldCharType="end"/>
      </w:r>
      <w:r w:rsidRPr="00832281">
        <w:rPr>
          <w:sz w:val="24"/>
          <w:szCs w:val="24"/>
        </w:rPr>
        <w:t xml:space="preserve">The Census Bureau makes a concerted effort on a continuing basis to investigate possible duplications both within the agency and outside the agency and to eliminate them whenever possible. Research with other government agencies, trade associations, and government and private sector data users (via telephone conversations, meetings, consultations, trade journal articles, and written correspondence) indicates the AIES data are not available from other sources on an ongoing basis.  Although the Census Bureau collects </w:t>
      </w:r>
      <w:r w:rsidR="00686B7A">
        <w:rPr>
          <w:sz w:val="24"/>
          <w:szCs w:val="24"/>
        </w:rPr>
        <w:t xml:space="preserve">some </w:t>
      </w:r>
      <w:r w:rsidRPr="00832281">
        <w:rPr>
          <w:sz w:val="24"/>
          <w:szCs w:val="24"/>
        </w:rPr>
        <w:t>similar information in other surveys, those collections are not suitable for the purposes the AIES serves.</w:t>
      </w:r>
    </w:p>
    <w:p w:rsidR="00952B93" w:rsidRPr="00832281" w:rsidP="00952B93" w14:paraId="67E99F43" w14:textId="77777777">
      <w:pPr>
        <w:rPr>
          <w:sz w:val="24"/>
          <w:szCs w:val="24"/>
        </w:rPr>
      </w:pPr>
    </w:p>
    <w:p w:rsidR="00952B93" w:rsidRPr="00832281" w:rsidP="00952B93" w14:paraId="088FB040" w14:textId="77777777">
      <w:pPr>
        <w:rPr>
          <w:sz w:val="24"/>
          <w:szCs w:val="24"/>
        </w:rPr>
      </w:pPr>
      <w:r w:rsidRPr="00832281">
        <w:rPr>
          <w:sz w:val="24"/>
          <w:szCs w:val="24"/>
        </w:rPr>
        <w:t xml:space="preserve">One of the key features of the AIES is the ability, with Office of Management and Budget (OMB) approval, to add and delete questions based on the importance of the economic situation at the time. If it were not for this feature, these data items would need to be collected in separate surveys.  </w:t>
      </w:r>
    </w:p>
    <w:p w:rsidR="00952B93" w:rsidRPr="00832281" w:rsidP="00952B93" w14:paraId="0B6931BD" w14:textId="77777777">
      <w:pPr>
        <w:rPr>
          <w:sz w:val="24"/>
          <w:szCs w:val="24"/>
        </w:rPr>
      </w:pPr>
    </w:p>
    <w:p w:rsidR="00952B93" w:rsidRPr="00832281" w:rsidP="00952B93" w14:paraId="5DA5D2C3" w14:textId="1E37CE24">
      <w:pPr>
        <w:rPr>
          <w:sz w:val="24"/>
          <w:szCs w:val="24"/>
        </w:rPr>
      </w:pPr>
      <w:r w:rsidRPr="00832281">
        <w:rPr>
          <w:sz w:val="24"/>
          <w:szCs w:val="24"/>
        </w:rPr>
        <w:t xml:space="preserve">The Congress granted the Census Bureau limited access to the information in the IRS and </w:t>
      </w:r>
      <w:r w:rsidR="00FA1879">
        <w:rPr>
          <w:sz w:val="24"/>
          <w:szCs w:val="24"/>
        </w:rPr>
        <w:t>the Social Security Administration (</w:t>
      </w:r>
      <w:r w:rsidRPr="00832281">
        <w:rPr>
          <w:sz w:val="24"/>
          <w:szCs w:val="24"/>
        </w:rPr>
        <w:t>SSA</w:t>
      </w:r>
      <w:r w:rsidR="00FA1879">
        <w:rPr>
          <w:sz w:val="24"/>
          <w:szCs w:val="24"/>
        </w:rPr>
        <w:t>)</w:t>
      </w:r>
      <w:r w:rsidRPr="00832281">
        <w:rPr>
          <w:sz w:val="24"/>
          <w:szCs w:val="24"/>
        </w:rPr>
        <w:t xml:space="preserve"> files, which includes employment and payroll data.  The Census Bureau uses this information as input to models that impute other data items in lieu of mailing reports to many small businesses.  Other items, such as the cost of materials, are not identical to information requested by the IRS.  Even though there are similarities in the requested data, IRS does not insist on consistency and accuracy of each entry on the tax form </w:t>
      </w:r>
      <w:r w:rsidR="00763289">
        <w:rPr>
          <w:sz w:val="24"/>
          <w:szCs w:val="24"/>
        </w:rPr>
        <w:t>if</w:t>
      </w:r>
      <w:r w:rsidRPr="00832281">
        <w:rPr>
          <w:sz w:val="24"/>
          <w:szCs w:val="24"/>
        </w:rPr>
        <w:t xml:space="preserve"> the taxable net income and the taxes paid are correct.  Furthermore, IRS will accept a figure on the cost of goods sold that includes labor as well as materials and supplies used.  The Census Bureau requires consistency in the data from firm to firm </w:t>
      </w:r>
      <w:r w:rsidRPr="00832281">
        <w:rPr>
          <w:sz w:val="24"/>
          <w:szCs w:val="24"/>
        </w:rPr>
        <w:t>in order to</w:t>
      </w:r>
      <w:r w:rsidRPr="00832281">
        <w:rPr>
          <w:sz w:val="24"/>
          <w:szCs w:val="24"/>
        </w:rPr>
        <w:t xml:space="preserve"> publish valid statistical aggregations.</w:t>
      </w:r>
    </w:p>
    <w:p w:rsidR="00952B93" w:rsidRPr="00832281" w:rsidP="00952B93" w14:paraId="3D935809" w14:textId="77777777">
      <w:pPr>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952B93" w:rsidP="00952B93" w14:paraId="58A518E6" w14:textId="3194C000">
      <w:pPr>
        <w:rPr>
          <w:sz w:val="24"/>
          <w:szCs w:val="24"/>
        </w:rPr>
      </w:pPr>
      <w:r w:rsidRPr="00832281">
        <w:rPr>
          <w:sz w:val="24"/>
          <w:szCs w:val="24"/>
        </w:rPr>
        <w:t xml:space="preserve">Quarterly revenue and expenses (expenses for tax-exempt organizations in selected industries only) data are collected in the </w:t>
      </w:r>
      <w:r w:rsidR="00F36CF2">
        <w:rPr>
          <w:sz w:val="24"/>
          <w:szCs w:val="24"/>
        </w:rPr>
        <w:t>QSS</w:t>
      </w:r>
      <w:r w:rsidRPr="00832281">
        <w:rPr>
          <w:sz w:val="24"/>
          <w:szCs w:val="24"/>
        </w:rPr>
        <w:t xml:space="preserve"> (OMB number 0607-0907) for all service industries except sub-sector 722 (Food Services and Drinking Places). The quarterly survey is voluntary and requests revenue and expenses data from a smaller sample of </w:t>
      </w:r>
      <w:r w:rsidR="0010424C">
        <w:rPr>
          <w:sz w:val="24"/>
          <w:szCs w:val="24"/>
        </w:rPr>
        <w:t>firms</w:t>
      </w:r>
      <w:r w:rsidRPr="00832281">
        <w:rPr>
          <w:sz w:val="24"/>
          <w:szCs w:val="24"/>
        </w:rPr>
        <w:t xml:space="preserve">. The annually conducted AIES is mandatory. It collects more detailed items and is intended to serve as a benchmark for the quarterly estimates. </w:t>
      </w:r>
    </w:p>
    <w:p w:rsidR="00F36CF2" w:rsidP="00952B93" w14:paraId="38F15446" w14:textId="1D3ADA72">
      <w:pPr>
        <w:rPr>
          <w:sz w:val="24"/>
          <w:szCs w:val="24"/>
        </w:rPr>
      </w:pPr>
    </w:p>
    <w:p w:rsidR="00F36CF2" w:rsidRPr="00B10F8E" w:rsidP="00F36CF2" w14:paraId="71611A40" w14:textId="2044E8A5">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F8E">
        <w:rPr>
          <w:sz w:val="24"/>
          <w:szCs w:val="24"/>
        </w:rPr>
        <w:t>Monthly sales and inventories data are collected in the</w:t>
      </w:r>
      <w:r w:rsidR="00D5261A">
        <w:rPr>
          <w:sz w:val="24"/>
          <w:szCs w:val="24"/>
        </w:rPr>
        <w:t xml:space="preserve"> </w:t>
      </w:r>
      <w:r>
        <w:rPr>
          <w:sz w:val="24"/>
          <w:szCs w:val="24"/>
        </w:rPr>
        <w:t>MRTS</w:t>
      </w:r>
      <w:r w:rsidRPr="00B10F8E">
        <w:rPr>
          <w:sz w:val="24"/>
          <w:szCs w:val="24"/>
        </w:rPr>
        <w:t xml:space="preserve"> (OMB No. 0607-0717).  The monthly survey is voluntary and requests sales, e-commerce, and end-of-month inventories data from a smaller sample of </w:t>
      </w:r>
      <w:r w:rsidR="0010424C">
        <w:rPr>
          <w:sz w:val="24"/>
          <w:szCs w:val="24"/>
        </w:rPr>
        <w:t>firms</w:t>
      </w:r>
      <w:r w:rsidRPr="00B10F8E">
        <w:rPr>
          <w:sz w:val="24"/>
          <w:szCs w:val="24"/>
        </w:rPr>
        <w:t xml:space="preserve">.  The mandatory annual program collects more detailed items and is intended to serve as a benchmark for the monthly sales, e-commerce, and end-of-month inventories estimates.  </w:t>
      </w:r>
    </w:p>
    <w:p w:rsidR="00952B93" w:rsidRPr="00832281" w:rsidP="00952B93" w14:paraId="50B92245" w14:textId="77777777">
      <w:pPr>
        <w:rPr>
          <w:sz w:val="24"/>
          <w:szCs w:val="24"/>
        </w:rPr>
      </w:pPr>
    </w:p>
    <w:p w:rsidR="00952B93" w:rsidRPr="00832281" w:rsidP="00952B93" w14:paraId="69648E6D" w14:textId="07EC2FBB">
      <w:pPr>
        <w:rPr>
          <w:sz w:val="24"/>
          <w:szCs w:val="24"/>
        </w:rPr>
      </w:pPr>
      <w:r w:rsidRPr="00832281">
        <w:rPr>
          <w:sz w:val="24"/>
          <w:szCs w:val="24"/>
        </w:rPr>
        <w:t xml:space="preserve">Monthly sales and inventories data are collected in the </w:t>
      </w:r>
      <w:r w:rsidR="00F36CF2">
        <w:rPr>
          <w:sz w:val="24"/>
          <w:szCs w:val="24"/>
        </w:rPr>
        <w:t>MWTS</w:t>
      </w:r>
      <w:r w:rsidRPr="00832281">
        <w:rPr>
          <w:sz w:val="24"/>
          <w:szCs w:val="24"/>
        </w:rPr>
        <w:t xml:space="preserve"> (OMB No. 0607-0190). However, this monthly survey is voluntary and requests sales and end-of-month inventories data from a </w:t>
      </w:r>
      <w:r w:rsidRPr="00832281">
        <w:rPr>
          <w:sz w:val="24"/>
          <w:szCs w:val="24"/>
        </w:rPr>
        <w:t xml:space="preserve">smaller sample of firms. The mandatory AIES, which occurs on an annual basis, collects more detailed items. It </w:t>
      </w:r>
      <w:r w:rsidR="00C359AE">
        <w:rPr>
          <w:sz w:val="24"/>
          <w:szCs w:val="24"/>
        </w:rPr>
        <w:t xml:space="preserve">is intended to </w:t>
      </w:r>
      <w:r w:rsidRPr="00832281">
        <w:rPr>
          <w:sz w:val="24"/>
          <w:szCs w:val="24"/>
        </w:rPr>
        <w:t>serve as a benchmark for the monthly sales and end-of-month inventories estimates.</w:t>
      </w:r>
    </w:p>
    <w:p w:rsidR="00952B93" w:rsidRPr="00832281" w:rsidP="00952B93" w14:paraId="51B8D1E0" w14:textId="77777777">
      <w:pPr>
        <w:rPr>
          <w:sz w:val="24"/>
          <w:szCs w:val="24"/>
        </w:rPr>
      </w:pPr>
    </w:p>
    <w:p w:rsidR="00952B93" w:rsidRPr="00832281" w:rsidP="00952B93" w14:paraId="61E93663" w14:textId="489C81DD">
      <w:pPr>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Value of Shipments, unfilled orders, and inventories</w:t>
      </w:r>
      <w:r w:rsidRPr="00832281">
        <w:rPr>
          <w:sz w:val="24"/>
          <w:szCs w:val="24"/>
        </w:rPr>
        <w:t xml:space="preserve"> data are collected in the Manufacturers’ Shipments</w:t>
      </w:r>
      <w:r w:rsidR="00C359AE">
        <w:rPr>
          <w:sz w:val="24"/>
          <w:szCs w:val="24"/>
        </w:rPr>
        <w:t>,</w:t>
      </w:r>
      <w:r w:rsidRPr="00832281">
        <w:rPr>
          <w:sz w:val="24"/>
          <w:szCs w:val="24"/>
        </w:rPr>
        <w:t xml:space="preserve"> Inventories, &amp; Orders Survey</w:t>
      </w:r>
      <w:r w:rsidR="00F36CF2">
        <w:rPr>
          <w:sz w:val="24"/>
          <w:szCs w:val="24"/>
        </w:rPr>
        <w:t xml:space="preserve"> (M3)</w:t>
      </w:r>
      <w:r w:rsidRPr="00832281">
        <w:rPr>
          <w:sz w:val="24"/>
          <w:szCs w:val="24"/>
        </w:rPr>
        <w:t xml:space="preserve"> (OMB No. 0607-0008). The monthly survey is voluntary and requests manufacturers’ value of shipments, new orders, unfilled orders, and inventories data from a smaller sample of firms. The monthly estimates are the only available data for use as trend series for evaluating current business conditions. The mandatory annual program collects more detailed items and is intended to serv</w:t>
      </w:r>
      <w:r w:rsidR="009D3CD1">
        <w:rPr>
          <w:sz w:val="24"/>
          <w:szCs w:val="24"/>
        </w:rPr>
        <w:t>e</w:t>
      </w:r>
      <w:r w:rsidRPr="00832281">
        <w:rPr>
          <w:sz w:val="24"/>
          <w:szCs w:val="24"/>
        </w:rPr>
        <w:t xml:space="preserve"> as a benchmark for the value of shipments, inventories, and unfilled order estimates.</w:t>
      </w:r>
    </w:p>
    <w:p w:rsidR="00952B93" w:rsidRPr="00832281" w:rsidP="00952B93" w14:paraId="4AD86029" w14:textId="77777777">
      <w:pPr>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2B93" w:rsidRPr="00832281" w:rsidP="00952B93" w14:paraId="69EDE9D2" w14:textId="77777777">
      <w:pPr>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32281">
        <w:rPr>
          <w:sz w:val="24"/>
          <w:szCs w:val="24"/>
        </w:rPr>
        <w:t>The annual program is also intended to provide comprehensive estimates in the period between Economic Census collections, which take place in years ending in “2” and “7”.</w:t>
      </w:r>
    </w:p>
    <w:p w:rsidR="007E0FF7" w:rsidP="00B83871" w14:paraId="4048EDBA" w14:textId="77777777">
      <w:pPr>
        <w:pStyle w:val="Body1"/>
        <w:tabs>
          <w:tab w:val="num" w:pos="0"/>
          <w:tab w:val="left" w:pos="720"/>
          <w:tab w:val="left" w:pos="1080"/>
          <w:tab w:val="left" w:pos="1800"/>
        </w:tabs>
        <w:rPr>
          <w:szCs w:val="24"/>
        </w:rPr>
      </w:pPr>
    </w:p>
    <w:bookmarkEnd w:id="10"/>
    <w:p w:rsidR="003B7478" w:rsidRPr="0072690B" w:rsidP="00B83871" w14:paraId="79F97B83" w14:textId="77777777">
      <w:pPr>
        <w:pStyle w:val="Body1"/>
        <w:tabs>
          <w:tab w:val="num" w:pos="0"/>
          <w:tab w:val="left" w:pos="720"/>
          <w:tab w:val="left" w:pos="1080"/>
          <w:tab w:val="left" w:pos="1800"/>
        </w:tabs>
        <w:rPr>
          <w:szCs w:val="24"/>
        </w:rPr>
      </w:pPr>
    </w:p>
    <w:p w:rsidR="00527A26" w:rsidRPr="0072690B" w:rsidP="00B14FF7" w14:paraId="3E130424" w14:textId="55C4DA04">
      <w:pPr>
        <w:pStyle w:val="Body1"/>
        <w:tabs>
          <w:tab w:val="num" w:pos="720"/>
        </w:tabs>
        <w:rPr>
          <w:b/>
          <w:szCs w:val="24"/>
        </w:rPr>
      </w:pPr>
      <w:r w:rsidRPr="0072690B">
        <w:rPr>
          <w:b/>
          <w:szCs w:val="24"/>
        </w:rPr>
        <w:t>5.</w:t>
      </w:r>
      <w:r w:rsidR="00F72451">
        <w:rPr>
          <w:b/>
          <w:szCs w:val="24"/>
        </w:rPr>
        <w:t xml:space="preserve"> </w:t>
      </w:r>
      <w:r w:rsidRPr="0072690B">
        <w:rPr>
          <w:b/>
          <w:szCs w:val="24"/>
        </w:rPr>
        <w:t>Impact on Small Businesses or Other Small Entities</w:t>
      </w:r>
    </w:p>
    <w:p w:rsidR="00527A26" w:rsidRPr="0072690B" w:rsidP="00B83871" w14:paraId="7A92AE6B" w14:textId="77777777">
      <w:pPr>
        <w:pStyle w:val="Body1"/>
        <w:tabs>
          <w:tab w:val="num" w:pos="0"/>
          <w:tab w:val="left" w:pos="720"/>
          <w:tab w:val="left" w:pos="1080"/>
          <w:tab w:val="left" w:pos="1800"/>
        </w:tabs>
        <w:rPr>
          <w:b/>
          <w:szCs w:val="24"/>
        </w:rPr>
      </w:pPr>
    </w:p>
    <w:p w:rsidR="00BD0F27" w:rsidRPr="00BD0F27" w:rsidP="00BD0F27" w14:paraId="2A1A34FE" w14:textId="123E7822">
      <w:pPr>
        <w:pStyle w:val="Body1"/>
        <w:tabs>
          <w:tab w:val="num" w:pos="0"/>
          <w:tab w:val="left" w:pos="720"/>
          <w:tab w:val="left" w:pos="1080"/>
          <w:tab w:val="left" w:pos="1800"/>
        </w:tabs>
        <w:rPr>
          <w:szCs w:val="24"/>
        </w:rPr>
      </w:pPr>
      <w:bookmarkStart w:id="11" w:name="_Hlk66091107"/>
      <w:r w:rsidRPr="00BD0F27">
        <w:rPr>
          <w:szCs w:val="24"/>
        </w:rPr>
        <w:t xml:space="preserve">While respondents are requested to return their data via the Internet, any data prepared and returned on a company's own </w:t>
      </w:r>
      <w:r w:rsidR="00C359AE">
        <w:rPr>
          <w:szCs w:val="24"/>
        </w:rPr>
        <w:t>spreadsheet</w:t>
      </w:r>
      <w:r w:rsidRPr="00BD0F27">
        <w:rPr>
          <w:szCs w:val="24"/>
        </w:rPr>
        <w:t xml:space="preserve"> is accepted. Respondents may also provide data directly over the phone. Instructions on the electronic worksheets state that although book figures are preferred, estimates are acceptable. We provide respondents with a toll-free number to call if they have questions or need assistance in completing their report.</w:t>
      </w:r>
    </w:p>
    <w:p w:rsidR="00BD0F27" w:rsidRPr="00BD0F27" w:rsidP="00BD0F27" w14:paraId="4A6FB53C" w14:textId="77777777">
      <w:pPr>
        <w:pStyle w:val="Body1"/>
        <w:tabs>
          <w:tab w:val="num" w:pos="0"/>
          <w:tab w:val="left" w:pos="720"/>
          <w:tab w:val="left" w:pos="1080"/>
          <w:tab w:val="left" w:pos="1800"/>
        </w:tabs>
        <w:rPr>
          <w:szCs w:val="24"/>
        </w:rPr>
      </w:pPr>
    </w:p>
    <w:p w:rsidR="00BD0F27" w:rsidRPr="00BD0F27" w:rsidP="3B80EB06" w14:paraId="3A88AB25" w14:textId="25767E5C">
      <w:pPr>
        <w:pStyle w:val="Body1"/>
        <w:tabs>
          <w:tab w:val="left" w:pos="720"/>
          <w:tab w:val="left" w:pos="1080"/>
          <w:tab w:val="left" w:pos="1800"/>
        </w:tabs>
      </w:pPr>
      <w:r w:rsidRPr="00E96A4C">
        <w:rPr>
          <w:highlight w:val="darkGray"/>
        </w:rPr>
        <w:t xml:space="preserve">The stratified sequential random sample design used for the AIES is a design that targets maintaining sampling fractions under 0.3 and no more than 0.5 </w:t>
      </w:r>
      <w:r w:rsidRPr="00E96A4C">
        <w:rPr>
          <w:highlight w:val="darkGray"/>
        </w:rPr>
        <w:t>in an effort to</w:t>
      </w:r>
      <w:r w:rsidRPr="00E96A4C">
        <w:rPr>
          <w:highlight w:val="darkGray"/>
        </w:rPr>
        <w:t xml:space="preserve"> </w:t>
      </w:r>
      <w:r w:rsidR="00F90AD9">
        <w:rPr>
          <w:highlight w:val="darkGray"/>
        </w:rPr>
        <w:t>reduce</w:t>
      </w:r>
      <w:r w:rsidRPr="00E96A4C">
        <w:rPr>
          <w:highlight w:val="darkGray"/>
        </w:rPr>
        <w:t xml:space="preserve"> respondent burden by minimizing the number of sampling units required to produce national and subnational level estimates.  The sample will be re-selected periodically, at which time most small- and medium-sized firms will be replaced in the sample by new firms.</w:t>
      </w:r>
    </w:p>
    <w:p w:rsidR="00BD0F27" w:rsidRPr="00BD0F27" w:rsidP="00BD0F27" w14:paraId="281A76F2" w14:textId="77777777">
      <w:pPr>
        <w:pStyle w:val="Body1"/>
        <w:tabs>
          <w:tab w:val="num" w:pos="0"/>
          <w:tab w:val="left" w:pos="720"/>
          <w:tab w:val="left" w:pos="1080"/>
          <w:tab w:val="left" w:pos="1800"/>
        </w:tabs>
        <w:rPr>
          <w:szCs w:val="24"/>
        </w:rPr>
      </w:pPr>
    </w:p>
    <w:p w:rsidR="00BD0F27" w:rsidRPr="00BD0F27" w:rsidP="00BD0F27" w14:paraId="1A51E6DA" w14:textId="746444A2">
      <w:pPr>
        <w:pStyle w:val="Body1"/>
        <w:tabs>
          <w:tab w:val="num" w:pos="0"/>
          <w:tab w:val="left" w:pos="720"/>
          <w:tab w:val="left" w:pos="1080"/>
          <w:tab w:val="left" w:pos="1800"/>
        </w:tabs>
        <w:rPr>
          <w:szCs w:val="24"/>
        </w:rPr>
      </w:pPr>
      <w:r w:rsidRPr="003B5CC0">
        <w:rPr>
          <w:szCs w:val="24"/>
          <w:highlight w:val="darkGray"/>
        </w:rPr>
        <w:t>Data are collected from complex firms (i.e., operating in multiple NAICS industries and/or multiple states) which are often the larger businesses, and a sample of remaining firms, which tent to be small- and medium-sized businesses within an industry.</w:t>
      </w:r>
    </w:p>
    <w:p w:rsidR="00BD0F27" w:rsidRPr="00BD0F27" w:rsidP="00BD0F27" w14:paraId="5311F0DE" w14:textId="77777777">
      <w:pPr>
        <w:pStyle w:val="Body1"/>
        <w:tabs>
          <w:tab w:val="num" w:pos="0"/>
          <w:tab w:val="left" w:pos="720"/>
          <w:tab w:val="left" w:pos="1080"/>
          <w:tab w:val="left" w:pos="1800"/>
        </w:tabs>
        <w:rPr>
          <w:szCs w:val="24"/>
        </w:rPr>
      </w:pPr>
    </w:p>
    <w:p w:rsidR="003B7478" w:rsidP="00BD0F27" w14:paraId="1EFA519E" w14:textId="1FF92802">
      <w:pPr>
        <w:pStyle w:val="Body1"/>
        <w:tabs>
          <w:tab w:val="num" w:pos="0"/>
          <w:tab w:val="left" w:pos="720"/>
          <w:tab w:val="left" w:pos="1080"/>
          <w:tab w:val="left" w:pos="1800"/>
        </w:tabs>
        <w:rPr>
          <w:szCs w:val="24"/>
        </w:rPr>
      </w:pPr>
      <w:r w:rsidRPr="00BD0F27">
        <w:rPr>
          <w:szCs w:val="24"/>
        </w:rPr>
        <w:t>Firms canvassed are not required to maintain additional records for the survey, nor do we expect participants to incur extra expenses to develop data not readily available. We make use of administrative data</w:t>
      </w:r>
      <w:r w:rsidR="00BB6E18">
        <w:rPr>
          <w:szCs w:val="24"/>
        </w:rPr>
        <w:t xml:space="preserve"> and alternative sources</w:t>
      </w:r>
      <w:r w:rsidRPr="00BD0F27">
        <w:rPr>
          <w:szCs w:val="24"/>
        </w:rPr>
        <w:t xml:space="preserve"> for nonresponse</w:t>
      </w:r>
      <w:r w:rsidR="009E0CED">
        <w:rPr>
          <w:szCs w:val="24"/>
        </w:rPr>
        <w:t>.</w:t>
      </w:r>
    </w:p>
    <w:p w:rsidR="007E0FF7" w:rsidRPr="00277CCD" w:rsidP="00BD0F27" w14:paraId="6FBC39F3" w14:textId="77777777">
      <w:pPr>
        <w:pStyle w:val="Body1"/>
        <w:tabs>
          <w:tab w:val="num" w:pos="0"/>
          <w:tab w:val="left" w:pos="720"/>
          <w:tab w:val="left" w:pos="1080"/>
          <w:tab w:val="left" w:pos="1800"/>
        </w:tabs>
        <w:rPr>
          <w:szCs w:val="24"/>
        </w:rPr>
      </w:pPr>
    </w:p>
    <w:bookmarkEnd w:id="11"/>
    <w:p w:rsidR="00277CCD" w:rsidRPr="0072690B" w:rsidP="00B83871" w14:paraId="470E5A28" w14:textId="77777777">
      <w:pPr>
        <w:pStyle w:val="Body1"/>
        <w:tabs>
          <w:tab w:val="num" w:pos="0"/>
          <w:tab w:val="left" w:pos="720"/>
          <w:tab w:val="left" w:pos="1080"/>
          <w:tab w:val="left" w:pos="1800"/>
        </w:tabs>
        <w:rPr>
          <w:b/>
          <w:szCs w:val="24"/>
        </w:rPr>
      </w:pPr>
    </w:p>
    <w:p w:rsidR="00527A26" w:rsidRPr="0072690B" w:rsidP="00B14FF7" w14:paraId="0CA08607" w14:textId="427F498B">
      <w:pPr>
        <w:pStyle w:val="Body1"/>
        <w:tabs>
          <w:tab w:val="num" w:pos="720"/>
        </w:tabs>
        <w:rPr>
          <w:b/>
          <w:szCs w:val="24"/>
        </w:rPr>
      </w:pPr>
      <w:r w:rsidRPr="0072690B">
        <w:rPr>
          <w:b/>
          <w:szCs w:val="24"/>
        </w:rPr>
        <w:t xml:space="preserve">6. </w:t>
      </w:r>
      <w:r w:rsidR="00F72451">
        <w:rPr>
          <w:b/>
          <w:szCs w:val="24"/>
        </w:rPr>
        <w:t xml:space="preserve"> </w:t>
      </w:r>
      <w:r w:rsidRPr="0072690B">
        <w:rPr>
          <w:b/>
          <w:szCs w:val="24"/>
        </w:rPr>
        <w:t>Consequences of Collecting the Information Less Frequently</w:t>
      </w:r>
    </w:p>
    <w:p w:rsidR="00527A26" w:rsidRPr="0072690B" w:rsidP="00B83871" w14:paraId="0542736B" w14:textId="77777777">
      <w:pPr>
        <w:pStyle w:val="Body1"/>
        <w:tabs>
          <w:tab w:val="num" w:pos="0"/>
          <w:tab w:val="left" w:pos="720"/>
          <w:tab w:val="left" w:pos="1080"/>
          <w:tab w:val="left" w:pos="1800"/>
        </w:tabs>
        <w:rPr>
          <w:b/>
          <w:szCs w:val="24"/>
        </w:rPr>
      </w:pPr>
    </w:p>
    <w:p w:rsidR="00A31EA9" w:rsidP="00A31EA9" w14:paraId="17BD5C23" w14:textId="77777777">
      <w:pPr>
        <w:rPr>
          <w:sz w:val="24"/>
          <w:szCs w:val="24"/>
        </w:rPr>
      </w:pPr>
      <w:r w:rsidRPr="000B0868">
        <w:rPr>
          <w:sz w:val="24"/>
          <w:szCs w:val="24"/>
        </w:rPr>
        <w:t xml:space="preserve">Data are collected on an annual basis. If the frequency were reduced, policy makers and other stakeholders would be increasingly misinformed and misdirected about changes in the economy related to rates and sources of growth in output, prices, </w:t>
      </w:r>
      <w:r w:rsidRPr="000B0868">
        <w:rPr>
          <w:sz w:val="24"/>
          <w:szCs w:val="24"/>
        </w:rPr>
        <w:t>productivity</w:t>
      </w:r>
      <w:r w:rsidRPr="000B0868">
        <w:rPr>
          <w:sz w:val="24"/>
          <w:szCs w:val="24"/>
        </w:rPr>
        <w:t xml:space="preserve"> and trade.  </w:t>
      </w:r>
      <w:r>
        <w:rPr>
          <w:sz w:val="24"/>
          <w:szCs w:val="24"/>
        </w:rPr>
        <w:t xml:space="preserve">Estimates produced by this annual collection are of vital importance to measuring the Nation’s wellbeing </w:t>
      </w:r>
      <w:r>
        <w:rPr>
          <w:sz w:val="24"/>
          <w:szCs w:val="24"/>
        </w:rPr>
        <w:t xml:space="preserve">and economic growth. </w:t>
      </w:r>
      <w:r w:rsidRPr="000B0868">
        <w:rPr>
          <w:sz w:val="24"/>
          <w:szCs w:val="24"/>
        </w:rPr>
        <w:t>Less frequent collection of the data would adversely affect our ability to recognize and react to changes in the economy.</w:t>
      </w:r>
      <w:r>
        <w:rPr>
          <w:sz w:val="24"/>
          <w:szCs w:val="24"/>
        </w:rPr>
        <w:t xml:space="preserve"> </w:t>
      </w:r>
    </w:p>
    <w:p w:rsidR="00A31EA9" w:rsidP="00A31EA9" w14:paraId="56846AC7" w14:textId="77777777">
      <w:pPr>
        <w:ind w:left="1440"/>
        <w:rPr>
          <w:sz w:val="24"/>
          <w:szCs w:val="24"/>
        </w:rPr>
      </w:pPr>
    </w:p>
    <w:p w:rsidR="00A31EA9" w:rsidRPr="000B0868" w:rsidP="00A31EA9" w14:paraId="310139BF" w14:textId="77777777">
      <w:pPr>
        <w:rPr>
          <w:sz w:val="24"/>
          <w:szCs w:val="24"/>
          <w:lang w:val="en-CA"/>
        </w:rPr>
      </w:pPr>
      <w:r w:rsidRPr="000B0868">
        <w:rPr>
          <w:sz w:val="24"/>
          <w:szCs w:val="24"/>
        </w:rPr>
        <w:t xml:space="preserve">Less frequent data collection would </w:t>
      </w:r>
      <w:r>
        <w:rPr>
          <w:sz w:val="24"/>
          <w:szCs w:val="24"/>
        </w:rPr>
        <w:t>decrease the accuracy of trend estimators and negatively impact benchmarks for</w:t>
      </w:r>
      <w:r w:rsidRPr="000B0868">
        <w:rPr>
          <w:sz w:val="24"/>
          <w:szCs w:val="24"/>
        </w:rPr>
        <w:t xml:space="preserve"> key economic indicator</w:t>
      </w:r>
      <w:r>
        <w:rPr>
          <w:sz w:val="24"/>
          <w:szCs w:val="24"/>
        </w:rPr>
        <w:t xml:space="preserve"> data products produced by the Census Bureau, s</w:t>
      </w:r>
      <w:r w:rsidRPr="000B0868">
        <w:rPr>
          <w:sz w:val="24"/>
          <w:szCs w:val="24"/>
        </w:rPr>
        <w:t>pecifical</w:t>
      </w:r>
      <w:r>
        <w:rPr>
          <w:sz w:val="24"/>
          <w:szCs w:val="24"/>
        </w:rPr>
        <w:t xml:space="preserve">ly, QSS, MRTS, MWTS, and M3.  </w:t>
      </w:r>
    </w:p>
    <w:p w:rsidR="00A31EA9" w:rsidP="00A31EA9" w14:paraId="17112BFB" w14:textId="77777777">
      <w:pPr>
        <w:ind w:left="1440"/>
        <w:rPr>
          <w:sz w:val="24"/>
          <w:szCs w:val="24"/>
          <w:lang w:val="en-CA"/>
        </w:rPr>
      </w:pPr>
    </w:p>
    <w:p w:rsidR="00A31EA9" w:rsidP="00A31EA9" w14:paraId="08D0FCA0" w14:textId="61E2DFE8">
      <w:pPr>
        <w:rPr>
          <w:sz w:val="24"/>
          <w:szCs w:val="24"/>
        </w:rPr>
      </w:pPr>
      <w:r w:rsidRPr="00703ED3">
        <w:rPr>
          <w:sz w:val="24"/>
          <w:szCs w:val="24"/>
          <w:highlight w:val="darkGray"/>
        </w:rPr>
        <w:t>Less frequent data collection would negatively impact other government agency programs as well.</w:t>
      </w:r>
      <w:r>
        <w:rPr>
          <w:sz w:val="24"/>
          <w:szCs w:val="24"/>
        </w:rPr>
        <w:t xml:space="preserve"> </w:t>
      </w:r>
      <w:r w:rsidRPr="000B0868">
        <w:rPr>
          <w:sz w:val="24"/>
          <w:szCs w:val="24"/>
        </w:rPr>
        <w:t xml:space="preserve">BEA would </w:t>
      </w:r>
      <w:r w:rsidR="00C15418">
        <w:rPr>
          <w:sz w:val="24"/>
          <w:szCs w:val="24"/>
        </w:rPr>
        <w:t xml:space="preserve">delay or </w:t>
      </w:r>
      <w:r w:rsidRPr="000B0868">
        <w:rPr>
          <w:sz w:val="24"/>
          <w:szCs w:val="24"/>
        </w:rPr>
        <w:t>lack accurate, timely measurements of these changing industries for use in its national income and product accounts</w:t>
      </w:r>
      <w:r>
        <w:rPr>
          <w:sz w:val="24"/>
          <w:szCs w:val="24"/>
        </w:rPr>
        <w:t xml:space="preserve"> </w:t>
      </w:r>
      <w:r w:rsidR="002C680B">
        <w:rPr>
          <w:sz w:val="24"/>
          <w:szCs w:val="24"/>
        </w:rPr>
        <w:t xml:space="preserve">and </w:t>
      </w:r>
      <w:r>
        <w:rPr>
          <w:sz w:val="24"/>
          <w:szCs w:val="24"/>
        </w:rPr>
        <w:t>GDP</w:t>
      </w:r>
      <w:r>
        <w:rPr>
          <w:sz w:val="24"/>
          <w:szCs w:val="24"/>
        </w:rPr>
        <w:t xml:space="preserve"> estimates</w:t>
      </w:r>
      <w:r w:rsidRPr="000B0868">
        <w:rPr>
          <w:sz w:val="24"/>
          <w:szCs w:val="24"/>
        </w:rPr>
        <w:t>; BLS industry productivity measures would be compromised</w:t>
      </w:r>
      <w:r w:rsidR="00C15418">
        <w:rPr>
          <w:sz w:val="24"/>
          <w:szCs w:val="24"/>
        </w:rPr>
        <w:t xml:space="preserve"> or delayed</w:t>
      </w:r>
      <w:r w:rsidRPr="000B0868">
        <w:rPr>
          <w:sz w:val="24"/>
          <w:szCs w:val="24"/>
        </w:rPr>
        <w:t xml:space="preserve">; </w:t>
      </w:r>
      <w:r>
        <w:rPr>
          <w:sz w:val="24"/>
          <w:szCs w:val="24"/>
        </w:rPr>
        <w:t xml:space="preserve">FRB would lack data to produce estimates of investment indicators for monetary policy; </w:t>
      </w:r>
      <w:r w:rsidRPr="000B0868">
        <w:rPr>
          <w:sz w:val="24"/>
          <w:szCs w:val="24"/>
        </w:rPr>
        <w:t>and CMS would be forced to seek alternative data for the development of the National Health Expenditure Accounts. In addition, the ability of other government and private data users to identify industry trends would be impaired.</w:t>
      </w:r>
    </w:p>
    <w:p w:rsidR="00A31EA9" w:rsidP="00A31EA9" w14:paraId="547841B1" w14:textId="77777777">
      <w:pPr>
        <w:ind w:left="1080"/>
        <w:rPr>
          <w:sz w:val="24"/>
          <w:szCs w:val="24"/>
        </w:rPr>
      </w:pPr>
    </w:p>
    <w:p w:rsidR="00A31EA9" w:rsidRPr="000B0868" w:rsidP="00A31EA9" w14:paraId="247D0CA7" w14:textId="3303AE8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B0868">
        <w:rPr>
          <w:sz w:val="24"/>
          <w:szCs w:val="24"/>
        </w:rPr>
        <w:t>Less frequent data collection would have a major impact on the use of the</w:t>
      </w:r>
      <w:r w:rsidR="00D273FB">
        <w:rPr>
          <w:sz w:val="24"/>
          <w:szCs w:val="24"/>
        </w:rPr>
        <w:t xml:space="preserve"> </w:t>
      </w:r>
      <w:r w:rsidR="00D343FA">
        <w:rPr>
          <w:sz w:val="24"/>
          <w:szCs w:val="24"/>
        </w:rPr>
        <w:t xml:space="preserve">Census Bureau’s </w:t>
      </w:r>
      <w:r w:rsidRPr="000B0868">
        <w:rPr>
          <w:sz w:val="24"/>
          <w:szCs w:val="24"/>
        </w:rPr>
        <w:t xml:space="preserve">BR as a universe sampling frame.  Information such as the opening of new locations, closing of locations, changes in locations, and changes in the Federal Employer Identification Numbers would not be up-to-date and would, therefore, reduce the completeness and accuracy of the BR.  Since </w:t>
      </w:r>
      <w:r w:rsidRPr="000B0868">
        <w:rPr>
          <w:sz w:val="24"/>
          <w:szCs w:val="24"/>
        </w:rPr>
        <w:t>the majority of</w:t>
      </w:r>
      <w:r w:rsidRPr="000B0868">
        <w:rPr>
          <w:sz w:val="24"/>
          <w:szCs w:val="24"/>
        </w:rPr>
        <w:t xml:space="preserve"> the Census Bureau’s economic programs rely on the BR to plan and conduct their surveys, this situation would result in a reduction in the quality of the data products produced by these programs.</w:t>
      </w:r>
    </w:p>
    <w:p w:rsidR="007E0FF7" w:rsidP="001D6D04" w14:paraId="1D85BE0F" w14:textId="77777777">
      <w:pPr>
        <w:pStyle w:val="Body1"/>
        <w:tabs>
          <w:tab w:val="num" w:pos="0"/>
          <w:tab w:val="left" w:pos="720"/>
          <w:tab w:val="left" w:pos="1080"/>
          <w:tab w:val="left" w:pos="1800"/>
        </w:tabs>
        <w:rPr>
          <w:szCs w:val="24"/>
        </w:rPr>
      </w:pPr>
    </w:p>
    <w:p w:rsidR="003B7478" w:rsidRPr="0072690B" w:rsidP="00B83871" w14:paraId="08780889" w14:textId="77777777">
      <w:pPr>
        <w:pStyle w:val="Body1"/>
        <w:tabs>
          <w:tab w:val="num" w:pos="0"/>
          <w:tab w:val="left" w:pos="720"/>
          <w:tab w:val="left" w:pos="1080"/>
          <w:tab w:val="left" w:pos="1800"/>
        </w:tabs>
        <w:rPr>
          <w:szCs w:val="24"/>
        </w:rPr>
      </w:pPr>
    </w:p>
    <w:p w:rsidR="00527A26" w:rsidP="00631986" w14:paraId="2E02D84C" w14:textId="5FDCFFCE">
      <w:pPr>
        <w:pStyle w:val="Body1"/>
        <w:tabs>
          <w:tab w:val="num" w:pos="720"/>
        </w:tabs>
        <w:rPr>
          <w:b/>
          <w:szCs w:val="24"/>
        </w:rPr>
      </w:pPr>
      <w:r w:rsidRPr="00A21A1E">
        <w:rPr>
          <w:b/>
          <w:szCs w:val="24"/>
        </w:rPr>
        <w:t>7.</w:t>
      </w:r>
      <w:r w:rsidR="00F72451">
        <w:rPr>
          <w:b/>
          <w:szCs w:val="24"/>
        </w:rPr>
        <w:t xml:space="preserve"> </w:t>
      </w:r>
      <w:r w:rsidRPr="0072690B">
        <w:rPr>
          <w:b/>
          <w:szCs w:val="24"/>
        </w:rPr>
        <w:t>Special Circumstances Relating to the Guidelines of 5 CFR 1320.5</w:t>
      </w:r>
    </w:p>
    <w:p w:rsidR="007B7479" w:rsidP="00631986" w14:paraId="71274465" w14:textId="62846A03">
      <w:pPr>
        <w:pStyle w:val="Body1"/>
        <w:tabs>
          <w:tab w:val="num" w:pos="720"/>
        </w:tabs>
        <w:rPr>
          <w:b/>
          <w:szCs w:val="24"/>
        </w:rPr>
      </w:pPr>
    </w:p>
    <w:p w:rsidR="00BA3A36" w:rsidP="00131AFE" w14:paraId="6F0D86AC" w14:textId="37FF9C4D">
      <w:pPr>
        <w:pStyle w:val="Body1"/>
        <w:tabs>
          <w:tab w:val="num" w:pos="720"/>
        </w:tabs>
        <w:rPr>
          <w:szCs w:val="24"/>
        </w:rPr>
      </w:pPr>
      <w:r w:rsidRPr="00131AFE">
        <w:rPr>
          <w:szCs w:val="24"/>
        </w:rPr>
        <w:t>The data collection will be conducted in a manner consistent with OMB</w:t>
      </w:r>
      <w:r w:rsidR="00C62F79">
        <w:rPr>
          <w:szCs w:val="24"/>
        </w:rPr>
        <w:t xml:space="preserve"> </w:t>
      </w:r>
      <w:r w:rsidRPr="00131AFE">
        <w:rPr>
          <w:szCs w:val="24"/>
        </w:rPr>
        <w:t>guidelines. There are no special circumstances.</w:t>
      </w:r>
    </w:p>
    <w:p w:rsidR="007E0FF7" w:rsidRPr="007B7479" w:rsidP="00131AFE" w14:paraId="01577914" w14:textId="77777777">
      <w:pPr>
        <w:pStyle w:val="Body1"/>
        <w:tabs>
          <w:tab w:val="num" w:pos="720"/>
        </w:tabs>
        <w:rPr>
          <w:szCs w:val="24"/>
        </w:rPr>
      </w:pPr>
    </w:p>
    <w:p w:rsidR="004517C9" w:rsidRPr="00B651A5" w:rsidP="008161C4" w14:paraId="204F0C93" w14:textId="77777777">
      <w:pPr>
        <w:rPr>
          <w:b/>
          <w:szCs w:val="24"/>
        </w:rPr>
      </w:pPr>
    </w:p>
    <w:p w:rsidR="001A3A81" w:rsidP="00B651A5" w14:paraId="13A21947" w14:textId="166C1028">
      <w:pPr>
        <w:ind w:left="720" w:hanging="720"/>
        <w:rPr>
          <w:rFonts w:eastAsia="Arial Unicode MS"/>
          <w:b/>
          <w:sz w:val="24"/>
          <w:szCs w:val="24"/>
          <w:u w:color="000000"/>
        </w:rPr>
      </w:pPr>
      <w:r w:rsidRPr="00B651A5">
        <w:rPr>
          <w:rFonts w:eastAsia="Arial Unicode MS"/>
          <w:b/>
          <w:sz w:val="24"/>
          <w:szCs w:val="24"/>
          <w:u w:color="000000"/>
        </w:rPr>
        <w:t>8.</w:t>
      </w:r>
      <w:r w:rsidR="00F72451">
        <w:rPr>
          <w:rFonts w:eastAsia="Arial Unicode MS"/>
          <w:b/>
          <w:sz w:val="24"/>
          <w:szCs w:val="24"/>
          <w:u w:color="000000"/>
        </w:rPr>
        <w:t xml:space="preserve"> </w:t>
      </w:r>
      <w:r w:rsidRPr="00B651A5">
        <w:rPr>
          <w:rFonts w:eastAsia="Arial Unicode MS"/>
          <w:b/>
          <w:sz w:val="24"/>
          <w:szCs w:val="24"/>
          <w:u w:color="000000"/>
        </w:rPr>
        <w:t xml:space="preserve">Efforts to Consult </w:t>
      </w:r>
      <w:r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Pr="007366BE">
        <w:rPr>
          <w:rFonts w:eastAsia="Arial Unicode MS"/>
          <w:b/>
          <w:sz w:val="24"/>
          <w:szCs w:val="24"/>
          <w:u w:color="000000"/>
        </w:rPr>
        <w:t>Agency</w:t>
      </w:r>
    </w:p>
    <w:p w:rsidR="00195305" w:rsidRPr="007366BE" w:rsidP="00B651A5" w14:paraId="681493E0" w14:textId="77777777">
      <w:pPr>
        <w:ind w:left="720" w:hanging="720"/>
        <w:rPr>
          <w:rFonts w:eastAsia="Arial Unicode MS"/>
          <w:b/>
          <w:sz w:val="24"/>
          <w:szCs w:val="24"/>
          <w:u w:color="000000"/>
        </w:rPr>
      </w:pPr>
    </w:p>
    <w:p w:rsidR="00195305" w:rsidP="003F6878" w14:paraId="7A02DA48" w14:textId="43111FE8">
      <w:pPr>
        <w:pStyle w:val="Body1"/>
        <w:tabs>
          <w:tab w:val="left" w:pos="720"/>
          <w:tab w:val="left" w:pos="1080"/>
          <w:tab w:val="left" w:pos="1800"/>
        </w:tabs>
      </w:pPr>
      <w:r>
        <w:t>The Census Bureau published a</w:t>
      </w:r>
      <w:r>
        <w:t xml:space="preserve"> notice in the Federal Register on </w:t>
      </w:r>
      <w:r w:rsidR="00EE1A39">
        <w:t>November 21, 2022</w:t>
      </w:r>
      <w:r w:rsidR="00137476">
        <w:t xml:space="preserve"> (vol 8</w:t>
      </w:r>
      <w:r w:rsidR="00EE1A39">
        <w:t>7</w:t>
      </w:r>
      <w:r w:rsidR="00137476">
        <w:t>, pg</w:t>
      </w:r>
      <w:r w:rsidR="720F52F2">
        <w:t>.</w:t>
      </w:r>
      <w:r w:rsidR="00137476">
        <w:t xml:space="preserve"> </w:t>
      </w:r>
      <w:r w:rsidR="00EE1A39">
        <w:t>70775-70777</w:t>
      </w:r>
      <w:r w:rsidR="00137476">
        <w:t>)</w:t>
      </w:r>
      <w:r w:rsidR="009A0685">
        <w:t>,</w:t>
      </w:r>
      <w:r>
        <w:t xml:space="preserve"> announcing plans to submit this request and inviting comment</w:t>
      </w:r>
      <w:r w:rsidR="4D95BEDB">
        <w:t>, as required under the Paperwork Reduction Act</w:t>
      </w:r>
      <w:r>
        <w:t>.  No comments were received in response to that notice.</w:t>
      </w:r>
    </w:p>
    <w:p w:rsidR="09468AB0" w:rsidP="09468AB0" w14:paraId="7861B9FB" w14:textId="3515068C">
      <w:pPr>
        <w:pStyle w:val="Body1"/>
        <w:tabs>
          <w:tab w:val="left" w:pos="720"/>
          <w:tab w:val="left" w:pos="1080"/>
          <w:tab w:val="left" w:pos="1800"/>
        </w:tabs>
        <w:rPr>
          <w:color w:val="000000" w:themeColor="text1"/>
          <w:szCs w:val="24"/>
        </w:rPr>
      </w:pPr>
    </w:p>
    <w:p w:rsidR="3CB987E1" w:rsidP="09468AB0" w14:paraId="3EB9A105" w14:textId="21936B3A">
      <w:pPr>
        <w:pStyle w:val="Body1"/>
        <w:tabs>
          <w:tab w:val="left" w:pos="720"/>
          <w:tab w:val="left" w:pos="1080"/>
          <w:tab w:val="left" w:pos="1800"/>
        </w:tabs>
        <w:rPr>
          <w:color w:val="000000" w:themeColor="text1"/>
          <w:szCs w:val="24"/>
        </w:rPr>
      </w:pPr>
      <w:r w:rsidRPr="6316265F">
        <w:rPr>
          <w:color w:val="000000" w:themeColor="text1"/>
          <w:szCs w:val="24"/>
        </w:rPr>
        <w:t xml:space="preserve">The Census Bureau published a </w:t>
      </w:r>
      <w:r w:rsidRPr="6316265F" w:rsidR="4CD09460">
        <w:rPr>
          <w:color w:val="000000" w:themeColor="text1"/>
          <w:szCs w:val="24"/>
        </w:rPr>
        <w:t xml:space="preserve">separate </w:t>
      </w:r>
      <w:r w:rsidRPr="6316265F">
        <w:rPr>
          <w:color w:val="000000" w:themeColor="text1"/>
          <w:szCs w:val="24"/>
        </w:rPr>
        <w:t xml:space="preserve">notice of consideration </w:t>
      </w:r>
      <w:r w:rsidRPr="6316265F" w:rsidR="0971D2E8">
        <w:rPr>
          <w:color w:val="000000" w:themeColor="text1"/>
          <w:szCs w:val="24"/>
        </w:rPr>
        <w:t xml:space="preserve">in the Federal Register </w:t>
      </w:r>
      <w:r w:rsidRPr="6316265F">
        <w:rPr>
          <w:color w:val="000000" w:themeColor="text1"/>
          <w:szCs w:val="24"/>
        </w:rPr>
        <w:t>on November 4</w:t>
      </w:r>
      <w:r w:rsidRPr="6316265F" w:rsidR="47A7EF6F">
        <w:rPr>
          <w:color w:val="000000" w:themeColor="text1"/>
          <w:szCs w:val="24"/>
        </w:rPr>
        <w:t>, 2022 (vol 87, pg</w:t>
      </w:r>
      <w:r w:rsidRPr="6316265F" w:rsidR="7B9B42F1">
        <w:rPr>
          <w:color w:val="000000" w:themeColor="text1"/>
          <w:szCs w:val="24"/>
        </w:rPr>
        <w:t>.</w:t>
      </w:r>
      <w:r w:rsidRPr="6316265F" w:rsidR="47A7EF6F">
        <w:rPr>
          <w:color w:val="000000" w:themeColor="text1"/>
          <w:szCs w:val="24"/>
        </w:rPr>
        <w:t xml:space="preserve"> </w:t>
      </w:r>
      <w:r w:rsidRPr="6316265F" w:rsidR="5AB0DFAB">
        <w:rPr>
          <w:color w:val="000000" w:themeColor="text1"/>
          <w:szCs w:val="24"/>
        </w:rPr>
        <w:t>66643-66645)</w:t>
      </w:r>
      <w:r w:rsidRPr="6316265F" w:rsidR="24076EDE">
        <w:rPr>
          <w:color w:val="000000" w:themeColor="text1"/>
          <w:szCs w:val="24"/>
        </w:rPr>
        <w:t>, announcing plans to conduct the AIES and inviting comment</w:t>
      </w:r>
      <w:r w:rsidRPr="6316265F" w:rsidR="5AB0DFAB">
        <w:rPr>
          <w:color w:val="000000" w:themeColor="text1"/>
          <w:szCs w:val="24"/>
        </w:rPr>
        <w:t>.  No comments were received in response to that notice.</w:t>
      </w:r>
    </w:p>
    <w:p w:rsidR="005D0751" w:rsidP="003F6878" w14:paraId="708E6E7D" w14:textId="2F4F2613">
      <w:pPr>
        <w:pStyle w:val="Body1"/>
        <w:tabs>
          <w:tab w:val="left" w:pos="720"/>
          <w:tab w:val="left" w:pos="1080"/>
          <w:tab w:val="left" w:pos="1800"/>
        </w:tabs>
        <w:rPr>
          <w:szCs w:val="24"/>
        </w:rPr>
      </w:pPr>
    </w:p>
    <w:p w:rsidR="0006751A" w:rsidRPr="006F1802" w:rsidP="002C4832" w14:paraId="2F3A3033" w14:textId="480B384E">
      <w:pPr>
        <w:pStyle w:val="Default"/>
        <w:rPr>
          <w:rFonts w:ascii="Times New Roman" w:hAnsi="Times New Roman" w:cs="Times New Roman"/>
          <w:color w:val="000000" w:themeColor="text1"/>
        </w:rPr>
      </w:pPr>
      <w:r w:rsidRPr="006F1802">
        <w:rPr>
          <w:rFonts w:ascii="Times New Roman" w:hAnsi="Times New Roman" w:cs="Times New Roman"/>
          <w:color w:val="000000" w:themeColor="text1"/>
        </w:rPr>
        <w:t xml:space="preserve">The Census Bureau published a 30-Day Notice in the Federal Register on </w:t>
      </w:r>
      <w:r w:rsidRPr="006F1802" w:rsidR="00474BB4">
        <w:rPr>
          <w:rFonts w:ascii="Times New Roman" w:hAnsi="Times New Roman" w:cs="Times New Roman"/>
          <w:color w:val="000000" w:themeColor="text1"/>
        </w:rPr>
        <w:t>April</w:t>
      </w:r>
      <w:r w:rsidRPr="006F1802">
        <w:rPr>
          <w:rFonts w:ascii="Times New Roman" w:hAnsi="Times New Roman" w:cs="Times New Roman"/>
          <w:color w:val="000000" w:themeColor="text1"/>
        </w:rPr>
        <w:t xml:space="preserve"> 4, 2023 (vol 88, pg. 19906-19907), for review and approval to conduct the AIES and inviting comment.  One comment was received</w:t>
      </w:r>
      <w:r w:rsidRPr="006F1802" w:rsidR="00E27309">
        <w:rPr>
          <w:rFonts w:ascii="Times New Roman" w:hAnsi="Times New Roman" w:cs="Times New Roman"/>
          <w:color w:val="000000" w:themeColor="text1"/>
        </w:rPr>
        <w:t xml:space="preserve"> from Andrew Reamer, Research Professor at the George Washington University (see Attachment </w:t>
      </w:r>
      <w:r w:rsidRPr="006F1802" w:rsidR="00E91E2A">
        <w:rPr>
          <w:rFonts w:ascii="Times New Roman" w:hAnsi="Times New Roman" w:cs="Times New Roman"/>
          <w:color w:val="000000" w:themeColor="text1"/>
        </w:rPr>
        <w:t>K</w:t>
      </w:r>
      <w:r w:rsidRPr="006F1802" w:rsidR="00E27309">
        <w:rPr>
          <w:rFonts w:ascii="Times New Roman" w:hAnsi="Times New Roman" w:cs="Times New Roman"/>
          <w:color w:val="000000" w:themeColor="text1"/>
        </w:rPr>
        <w:t xml:space="preserve">).  Mr. Reamer commented </w:t>
      </w:r>
      <w:r w:rsidRPr="006F1802" w:rsidR="002C4832">
        <w:rPr>
          <w:rFonts w:ascii="Times New Roman" w:hAnsi="Times New Roman" w:cs="Times New Roman"/>
          <w:color w:val="000000" w:themeColor="text1"/>
        </w:rPr>
        <w:t xml:space="preserve">that the AIES should reduce respondent burden, increase data quality, and allow greater operational efficiencies.  In addition, the AIES may include new questions each year on policy-relevant topics such as technological advances, </w:t>
      </w:r>
      <w:r w:rsidRPr="006F1802" w:rsidR="002C4832">
        <w:rPr>
          <w:rFonts w:ascii="Times New Roman" w:hAnsi="Times New Roman" w:cs="Times New Roman"/>
          <w:color w:val="000000" w:themeColor="text1"/>
        </w:rPr>
        <w:t>management</w:t>
      </w:r>
      <w:r w:rsidRPr="006F1802" w:rsidR="002C4832">
        <w:rPr>
          <w:rFonts w:ascii="Times New Roman" w:hAnsi="Times New Roman" w:cs="Times New Roman"/>
          <w:color w:val="000000" w:themeColor="text1"/>
        </w:rPr>
        <w:t xml:space="preserve"> and business practices, exporting practices, and globalization.  Mr. Reamer </w:t>
      </w:r>
      <w:r w:rsidRPr="006F1802" w:rsidR="002C4832">
        <w:rPr>
          <w:rFonts w:ascii="Times New Roman" w:hAnsi="Times New Roman" w:cs="Times New Roman"/>
          <w:color w:val="000000" w:themeColor="text1"/>
        </w:rPr>
        <w:t xml:space="preserve">supports OMB’s approval of the Census Bureau’s request to conduct the AIES, with a recommended term of clearance: </w:t>
      </w:r>
      <w:r w:rsidRPr="006F1802" w:rsidR="008373AB">
        <w:rPr>
          <w:rFonts w:ascii="Times New Roman" w:hAnsi="Times New Roman" w:cs="Times New Roman"/>
          <w:color w:val="000000" w:themeColor="text1"/>
        </w:rPr>
        <w:t>“</w:t>
      </w:r>
      <w:r w:rsidRPr="006F1802" w:rsidR="002C4832">
        <w:rPr>
          <w:rFonts w:ascii="Times New Roman" w:hAnsi="Times New Roman" w:cs="Times New Roman"/>
          <w:color w:val="000000" w:themeColor="text1"/>
        </w:rPr>
        <w:t>In light of the Census Bureau’s finding in Supporti</w:t>
      </w:r>
      <w:r w:rsidRPr="006F1802" w:rsidR="002C4832">
        <w:rPr>
          <w:rFonts w:ascii="Times New Roman" w:hAnsi="Times New Roman" w:cs="Times New Roman"/>
          <w:sz w:val="23"/>
          <w:szCs w:val="23"/>
        </w:rPr>
        <w:t>ng Statement Part B “that NAICS classifications can be unnatural or challenging for some businesses,” the Census Bureau shall carry out additional research to estimate the percentage of AIES respondents that select an incorrect NAICS code; estimate the extent to which differences in NAICS code assignments by the Census Bureau and the Bureau of Labor Statistics for the same establishments are due to misclassifications in the Census Business Register; and indicate to OMB within one year of ICR approval the Census Bureau’s plans for achieving a significant reduction in NAICS misclassification</w:t>
      </w:r>
      <w:r w:rsidRPr="006F1802" w:rsidR="006B247F">
        <w:rPr>
          <w:rFonts w:ascii="Times New Roman" w:hAnsi="Times New Roman" w:cs="Times New Roman"/>
          <w:sz w:val="23"/>
          <w:szCs w:val="23"/>
        </w:rPr>
        <w:t>”</w:t>
      </w:r>
      <w:r w:rsidRPr="006F1802" w:rsidR="002C4832">
        <w:rPr>
          <w:rFonts w:ascii="Times New Roman" w:hAnsi="Times New Roman" w:cs="Times New Roman"/>
          <w:sz w:val="23"/>
          <w:szCs w:val="23"/>
        </w:rPr>
        <w:t xml:space="preserve">. </w:t>
      </w:r>
      <w:r w:rsidRPr="006F1802" w:rsidR="00E27309">
        <w:rPr>
          <w:rFonts w:ascii="Times New Roman" w:hAnsi="Times New Roman" w:cs="Times New Roman"/>
          <w:color w:val="000000" w:themeColor="text1"/>
        </w:rPr>
        <w:t>The Census Bureau thanks Mr. Reamer for his comments</w:t>
      </w:r>
      <w:r w:rsidRPr="006F1802" w:rsidR="006B247F">
        <w:rPr>
          <w:rFonts w:ascii="Times New Roman" w:hAnsi="Times New Roman" w:cs="Times New Roman"/>
          <w:color w:val="000000" w:themeColor="text1"/>
        </w:rPr>
        <w:t>.</w:t>
      </w:r>
      <w:r w:rsidR="009F2D3B">
        <w:rPr>
          <w:rFonts w:ascii="Times New Roman" w:hAnsi="Times New Roman" w:cs="Times New Roman"/>
          <w:color w:val="000000" w:themeColor="text1"/>
        </w:rPr>
        <w:t xml:space="preserve">  </w:t>
      </w:r>
      <w:r w:rsidR="00D0708D">
        <w:rPr>
          <w:rFonts w:ascii="Times New Roman" w:hAnsi="Times New Roman" w:cs="Times New Roman"/>
          <w:color w:val="000000" w:themeColor="text1"/>
        </w:rPr>
        <w:t>T</w:t>
      </w:r>
      <w:r w:rsidR="00DA424C">
        <w:rPr>
          <w:rFonts w:ascii="Times New Roman" w:hAnsi="Times New Roman" w:cs="Times New Roman"/>
          <w:color w:val="000000" w:themeColor="text1"/>
        </w:rPr>
        <w:t xml:space="preserve">he Census Bureau supports additional research and identifying opportunities to reduce NAICS misclassification.  However, this effort should be conducted on a larger-scale and not </w:t>
      </w:r>
      <w:r w:rsidR="005C02B8">
        <w:rPr>
          <w:rFonts w:ascii="Times New Roman" w:hAnsi="Times New Roman" w:cs="Times New Roman"/>
          <w:color w:val="000000" w:themeColor="text1"/>
        </w:rPr>
        <w:t>confined</w:t>
      </w:r>
      <w:r w:rsidR="00DA424C">
        <w:rPr>
          <w:rFonts w:ascii="Times New Roman" w:hAnsi="Times New Roman" w:cs="Times New Roman"/>
          <w:color w:val="000000" w:themeColor="text1"/>
        </w:rPr>
        <w:t xml:space="preserve"> to the AIES.  NAICS classification for companies selected in the AIES </w:t>
      </w:r>
      <w:r w:rsidR="001936DB">
        <w:rPr>
          <w:rFonts w:ascii="Times New Roman" w:hAnsi="Times New Roman" w:cs="Times New Roman"/>
          <w:color w:val="000000" w:themeColor="text1"/>
        </w:rPr>
        <w:t>is</w:t>
      </w:r>
      <w:r w:rsidR="00DA424C">
        <w:rPr>
          <w:rFonts w:ascii="Times New Roman" w:hAnsi="Times New Roman" w:cs="Times New Roman"/>
          <w:color w:val="000000" w:themeColor="text1"/>
        </w:rPr>
        <w:t xml:space="preserve"> driven by the Economic Census</w:t>
      </w:r>
      <w:r w:rsidR="00A4101B">
        <w:rPr>
          <w:rFonts w:ascii="Times New Roman" w:hAnsi="Times New Roman" w:cs="Times New Roman"/>
          <w:color w:val="000000" w:themeColor="text1"/>
        </w:rPr>
        <w:t xml:space="preserve"> and the Census Bureau’s Business Register (BR).</w:t>
      </w:r>
      <w:r w:rsidR="001936DB">
        <w:rPr>
          <w:rFonts w:ascii="Times New Roman" w:hAnsi="Times New Roman" w:cs="Times New Roman"/>
          <w:color w:val="000000" w:themeColor="text1"/>
        </w:rPr>
        <w:t xml:space="preserve">  </w:t>
      </w:r>
      <w:r w:rsidR="002579D1">
        <w:rPr>
          <w:rFonts w:ascii="Times New Roman" w:hAnsi="Times New Roman" w:cs="Times New Roman"/>
          <w:color w:val="000000" w:themeColor="text1"/>
        </w:rPr>
        <w:t>Discussions are underway regarding a “data synchronization” effort</w:t>
      </w:r>
      <w:r w:rsidR="0094177F">
        <w:rPr>
          <w:rFonts w:ascii="Times New Roman" w:hAnsi="Times New Roman" w:cs="Times New Roman"/>
          <w:color w:val="000000" w:themeColor="text1"/>
        </w:rPr>
        <w:t xml:space="preserve"> between multiple Federal statistical agencies. </w:t>
      </w:r>
      <w:r w:rsidR="002579D1">
        <w:rPr>
          <w:rFonts w:ascii="Times New Roman" w:hAnsi="Times New Roman" w:cs="Times New Roman"/>
          <w:color w:val="000000" w:themeColor="text1"/>
        </w:rPr>
        <w:t xml:space="preserve"> </w:t>
      </w:r>
      <w:r w:rsidR="00D0708D">
        <w:rPr>
          <w:rFonts w:ascii="Times New Roman" w:hAnsi="Times New Roman" w:cs="Times New Roman"/>
          <w:color w:val="000000" w:themeColor="text1"/>
        </w:rPr>
        <w:t>A plan for significantly reducing NAICS misclassification, however, would not likely be ready within one year of approval of the AIES.</w:t>
      </w:r>
    </w:p>
    <w:p w:rsidR="0006751A" w:rsidP="003F6878" w14:paraId="0A746B04" w14:textId="77777777">
      <w:pPr>
        <w:pStyle w:val="Body1"/>
        <w:tabs>
          <w:tab w:val="left" w:pos="720"/>
          <w:tab w:val="left" w:pos="1080"/>
          <w:tab w:val="left" w:pos="1800"/>
        </w:tabs>
        <w:rPr>
          <w:szCs w:val="24"/>
        </w:rPr>
      </w:pPr>
    </w:p>
    <w:p w:rsidR="00641FE2" w:rsidRPr="00095F92" w:rsidP="3D72A397" w14:paraId="542A2709" w14:textId="7A72E9C2">
      <w:pPr>
        <w:pStyle w:val="Body1"/>
        <w:tabs>
          <w:tab w:val="left" w:pos="720"/>
          <w:tab w:val="left" w:pos="1080"/>
          <w:tab w:val="left" w:pos="1800"/>
        </w:tabs>
      </w:pPr>
      <w:r w:rsidRPr="00095F92">
        <w:t>Consultations were held between the</w:t>
      </w:r>
      <w:r w:rsidR="00095F92">
        <w:t xml:space="preserve"> </w:t>
      </w:r>
      <w:r w:rsidRPr="00095F92">
        <w:t xml:space="preserve">Census Bureau and </w:t>
      </w:r>
      <w:r w:rsidRPr="00B9595E">
        <w:t>BEA</w:t>
      </w:r>
      <w:r w:rsidRPr="00095F92">
        <w:t xml:space="preserve">, BLS, FRB, and CMS.  These consultations gathered information regarding the development of content that is planned to be collected and publication requirements for </w:t>
      </w:r>
      <w:r w:rsidR="00F137FB">
        <w:t xml:space="preserve">the </w:t>
      </w:r>
      <w:r w:rsidRPr="00095F92">
        <w:t>AIES</w:t>
      </w:r>
      <w:r w:rsidRPr="00095F92" w:rsidR="00095F92">
        <w:t xml:space="preserve"> estimates</w:t>
      </w:r>
      <w:r w:rsidRPr="00095F92">
        <w:t>.</w:t>
      </w:r>
      <w:r w:rsidR="00DD796F">
        <w:t xml:space="preserve">  Persons in which we had contact with during the consultations are listed in Attachment </w:t>
      </w:r>
      <w:r w:rsidR="00AF24CF">
        <w:t>G</w:t>
      </w:r>
      <w:r w:rsidR="00DD796F">
        <w:t>.</w:t>
      </w:r>
    </w:p>
    <w:p w:rsidR="00641FE2" w:rsidRPr="00CA57FC" w:rsidP="3D72A397" w14:paraId="3EDAB26B" w14:textId="66FB7C4C">
      <w:pPr>
        <w:pStyle w:val="Body1"/>
        <w:tabs>
          <w:tab w:val="left" w:pos="720"/>
          <w:tab w:val="left" w:pos="1080"/>
          <w:tab w:val="left" w:pos="1800"/>
        </w:tabs>
      </w:pPr>
    </w:p>
    <w:p w:rsidR="00641FE2" w:rsidRPr="00CA57FC" w:rsidP="3D72A397" w14:paraId="58DC701C" w14:textId="5D4C5B41">
      <w:pPr>
        <w:pStyle w:val="Body1"/>
        <w:tabs>
          <w:tab w:val="left" w:pos="720"/>
          <w:tab w:val="left" w:pos="1080"/>
          <w:tab w:val="left" w:pos="1800"/>
        </w:tabs>
      </w:pPr>
      <w:r w:rsidRPr="00CA57FC">
        <w:t>The Census Bureau provided presentations on the AIES program at the Federal Committee on Statistical Methodology (FCSM)</w:t>
      </w:r>
      <w:r w:rsidR="009B2420">
        <w:t xml:space="preserve"> Research and Policy Conference</w:t>
      </w:r>
      <w:r w:rsidRPr="00CA57FC">
        <w:t xml:space="preserve"> in 2021, the </w:t>
      </w:r>
      <w:r w:rsidRPr="00CA57FC" w:rsidR="00CA57FC">
        <w:t>Census Scientific Advisory Committee (CSAC)</w:t>
      </w:r>
      <w:r w:rsidR="009B2420">
        <w:t xml:space="preserve"> meeting</w:t>
      </w:r>
      <w:r w:rsidRPr="00CA57FC" w:rsidR="00CA57FC">
        <w:t xml:space="preserve"> in 2021, and at the Federal Economic Statistics Advisory Committee (FESAC)</w:t>
      </w:r>
      <w:r w:rsidR="009B2420">
        <w:t xml:space="preserve"> meetings</w:t>
      </w:r>
      <w:r w:rsidRPr="00CA57FC" w:rsidR="00CA57FC">
        <w:t xml:space="preserve"> in 2021 and 2022.</w:t>
      </w:r>
    </w:p>
    <w:p w:rsidR="007E0FF7" w:rsidP="003F6878" w14:paraId="2B0A2998" w14:textId="77777777">
      <w:pPr>
        <w:pStyle w:val="Body1"/>
        <w:tabs>
          <w:tab w:val="left" w:pos="720"/>
          <w:tab w:val="left" w:pos="1080"/>
          <w:tab w:val="left" w:pos="1800"/>
        </w:tabs>
        <w:rPr>
          <w:szCs w:val="24"/>
        </w:rPr>
      </w:pPr>
    </w:p>
    <w:p w:rsidR="008C5039" w:rsidRPr="006E754B" w:rsidP="003F6878" w14:paraId="2AA8DD09" w14:textId="42B77C0B">
      <w:pPr>
        <w:pStyle w:val="Body1"/>
        <w:tabs>
          <w:tab w:val="left" w:pos="720"/>
          <w:tab w:val="left" w:pos="1080"/>
          <w:tab w:val="left" w:pos="1800"/>
        </w:tabs>
        <w:rPr>
          <w:b/>
          <w:i/>
          <w:szCs w:val="24"/>
        </w:rPr>
      </w:pPr>
    </w:p>
    <w:p w:rsidR="00527A26" w:rsidP="00210A99" w14:paraId="2B347C7C" w14:textId="50F5A7BE">
      <w:pPr>
        <w:pStyle w:val="Body1"/>
        <w:tabs>
          <w:tab w:val="left" w:pos="720"/>
          <w:tab w:val="num" w:pos="1800"/>
        </w:tabs>
        <w:rPr>
          <w:b/>
          <w:szCs w:val="24"/>
        </w:rPr>
      </w:pPr>
      <w:r w:rsidRPr="00A21A1E">
        <w:rPr>
          <w:b/>
          <w:szCs w:val="24"/>
        </w:rPr>
        <w:t>9.</w:t>
      </w:r>
      <w:r w:rsidR="00F72451">
        <w:rPr>
          <w:b/>
          <w:szCs w:val="24"/>
        </w:rPr>
        <w:t xml:space="preserve"> </w:t>
      </w:r>
      <w:r w:rsidRPr="005E159F">
        <w:rPr>
          <w:b/>
          <w:szCs w:val="24"/>
        </w:rPr>
        <w:t>Explanation of Any Payment or Gift to Respondents</w:t>
      </w:r>
    </w:p>
    <w:p w:rsidR="00FD40B6" w:rsidP="00210A99" w14:paraId="1302CF47" w14:textId="0B4E2669">
      <w:pPr>
        <w:pStyle w:val="Body1"/>
        <w:tabs>
          <w:tab w:val="left" w:pos="720"/>
          <w:tab w:val="num" w:pos="1800"/>
        </w:tabs>
        <w:rPr>
          <w:b/>
          <w:szCs w:val="24"/>
        </w:rPr>
      </w:pPr>
    </w:p>
    <w:p w:rsidR="00FD40B6" w:rsidP="00210A99" w14:paraId="502434DB" w14:textId="0FF9D828">
      <w:pPr>
        <w:pStyle w:val="Body1"/>
        <w:tabs>
          <w:tab w:val="left" w:pos="720"/>
          <w:tab w:val="num" w:pos="1800"/>
        </w:tabs>
        <w:rPr>
          <w:szCs w:val="24"/>
        </w:rPr>
      </w:pPr>
      <w:r w:rsidRPr="00FD40B6">
        <w:rPr>
          <w:szCs w:val="24"/>
        </w:rPr>
        <w:t>Respondents will not</w:t>
      </w:r>
      <w:r w:rsidR="006E78D8">
        <w:rPr>
          <w:szCs w:val="24"/>
        </w:rPr>
        <w:t xml:space="preserve"> be paid or provided with gifts</w:t>
      </w:r>
      <w:r w:rsidRPr="00FD40B6">
        <w:rPr>
          <w:szCs w:val="24"/>
        </w:rPr>
        <w:t>.</w:t>
      </w:r>
    </w:p>
    <w:p w:rsidR="00BA3A36" w:rsidRPr="00FD40B6" w:rsidP="00210A99" w14:paraId="7EE63E29" w14:textId="77777777">
      <w:pPr>
        <w:pStyle w:val="Body1"/>
        <w:tabs>
          <w:tab w:val="left" w:pos="720"/>
          <w:tab w:val="num" w:pos="1800"/>
        </w:tabs>
        <w:rPr>
          <w:szCs w:val="24"/>
        </w:rPr>
      </w:pPr>
    </w:p>
    <w:p w:rsidR="00527A26" w:rsidRPr="0072690B" w:rsidP="00B83871" w14:paraId="5ABB1929" w14:textId="77777777">
      <w:pPr>
        <w:pStyle w:val="Body1"/>
        <w:tabs>
          <w:tab w:val="num" w:pos="0"/>
          <w:tab w:val="left" w:pos="720"/>
          <w:tab w:val="left" w:pos="1800"/>
        </w:tabs>
        <w:rPr>
          <w:szCs w:val="24"/>
        </w:rPr>
      </w:pPr>
    </w:p>
    <w:p w:rsidR="00566DDF" w:rsidP="00852005" w14:paraId="711E682C" w14:textId="4714D919">
      <w:pPr>
        <w:pStyle w:val="CommentText"/>
        <w:rPr>
          <w:b/>
          <w:bCs/>
          <w:sz w:val="24"/>
          <w:szCs w:val="24"/>
        </w:rPr>
      </w:pPr>
      <w:r w:rsidRPr="00852005">
        <w:rPr>
          <w:b/>
          <w:sz w:val="24"/>
          <w:szCs w:val="24"/>
        </w:rPr>
        <w:t>10.</w:t>
      </w:r>
      <w:r w:rsidR="00F72451">
        <w:rPr>
          <w:b/>
          <w:szCs w:val="24"/>
        </w:rPr>
        <w:t xml:space="preserve"> </w:t>
      </w:r>
      <w:r w:rsidRPr="006738C4" w:rsidR="006738C4">
        <w:rPr>
          <w:b/>
          <w:bCs/>
          <w:sz w:val="24"/>
          <w:szCs w:val="24"/>
        </w:rPr>
        <w:t>Assurance of Confidentiality</w:t>
      </w:r>
      <w:r w:rsidR="006738C4">
        <w:rPr>
          <w:b/>
          <w:bCs/>
          <w:sz w:val="24"/>
          <w:szCs w:val="24"/>
        </w:rPr>
        <w:t xml:space="preserve"> and Reporting Requirement</w:t>
      </w:r>
    </w:p>
    <w:p w:rsidR="006738C4" w:rsidRPr="0072690B" w:rsidP="00852005" w14:paraId="424B4438" w14:textId="77777777">
      <w:pPr>
        <w:pStyle w:val="CommentText"/>
      </w:pPr>
    </w:p>
    <w:p w:rsidR="00527A26" w:rsidP="263965EE" w14:paraId="635FD58D" w14:textId="2AE251DD">
      <w:pPr>
        <w:pStyle w:val="Body1"/>
        <w:tabs>
          <w:tab w:val="left" w:pos="720"/>
          <w:tab w:val="left" w:pos="1800"/>
        </w:tabs>
      </w:pPr>
      <w:r>
        <w:t xml:space="preserve">Responses to the AIES are mandatory.  </w:t>
      </w:r>
      <w:r w:rsidR="00566DDF">
        <w:t>A</w:t>
      </w:r>
      <w:r w:rsidR="00A53660">
        <w:t xml:space="preserve">ll information collected will be </w:t>
      </w:r>
      <w:r w:rsidR="00B046B5">
        <w:t xml:space="preserve">kept </w:t>
      </w:r>
      <w:r w:rsidR="00566DDF">
        <w:t>confidential based</w:t>
      </w:r>
      <w:r w:rsidR="009D3CD1">
        <w:t xml:space="preserve"> on</w:t>
      </w:r>
      <w:r w:rsidR="00566DDF">
        <w:t xml:space="preserve"> the provisions of Title 13 U.S.C., Section 9.  </w:t>
      </w:r>
      <w:r w:rsidR="0054705B">
        <w:t>Disclosures to respondents regarding our authority to collect the information, mandatory reporting, and confidentiality of responses will be contained in</w:t>
      </w:r>
      <w:r w:rsidR="00566DDF">
        <w:t xml:space="preserve"> </w:t>
      </w:r>
      <w:r w:rsidR="0054705B">
        <w:t xml:space="preserve">the introductory </w:t>
      </w:r>
      <w:r w:rsidR="00566DDF">
        <w:t>letters mailed to respondent</w:t>
      </w:r>
      <w:r w:rsidR="0054705B">
        <w:t>s</w:t>
      </w:r>
      <w:r w:rsidR="00566DDF">
        <w:t xml:space="preserve"> and displayed on the collection instrument</w:t>
      </w:r>
      <w:r w:rsidR="005D3B44">
        <w:t xml:space="preserve"> (</w:t>
      </w:r>
      <w:r w:rsidR="194FADE3">
        <w:t>S</w:t>
      </w:r>
      <w:r w:rsidR="005D3B44">
        <w:t xml:space="preserve">ee Attachments </w:t>
      </w:r>
      <w:r w:rsidR="00D376AF">
        <w:t>A</w:t>
      </w:r>
      <w:r w:rsidR="005D3B44">
        <w:t xml:space="preserve"> and </w:t>
      </w:r>
      <w:r w:rsidR="00D376AF">
        <w:t>B</w:t>
      </w:r>
      <w:r w:rsidR="005D3B44">
        <w:t>)</w:t>
      </w:r>
      <w:r w:rsidR="00566DDF">
        <w:t>.</w:t>
      </w:r>
    </w:p>
    <w:p w:rsidR="00EE1A39" w:rsidP="00B83871" w14:paraId="051C041F" w14:textId="77777777">
      <w:pPr>
        <w:pStyle w:val="Body1"/>
        <w:tabs>
          <w:tab w:val="num" w:pos="0"/>
          <w:tab w:val="left" w:pos="720"/>
          <w:tab w:val="left" w:pos="1800"/>
        </w:tabs>
        <w:rPr>
          <w:szCs w:val="24"/>
        </w:rPr>
      </w:pPr>
    </w:p>
    <w:p w:rsidR="00566DDF" w:rsidRPr="00B26655" w:rsidP="00B83871" w14:paraId="36F33BD9" w14:textId="77777777">
      <w:pPr>
        <w:pStyle w:val="Body1"/>
        <w:tabs>
          <w:tab w:val="num" w:pos="0"/>
          <w:tab w:val="left" w:pos="720"/>
          <w:tab w:val="left" w:pos="1800"/>
        </w:tabs>
        <w:rPr>
          <w:szCs w:val="24"/>
        </w:rPr>
      </w:pPr>
    </w:p>
    <w:p w:rsidR="00527A26" w:rsidP="00783129" w14:paraId="6E90655A" w14:textId="3FDC3F56">
      <w:pPr>
        <w:pStyle w:val="Body1"/>
        <w:tabs>
          <w:tab w:val="num" w:pos="720"/>
        </w:tabs>
        <w:rPr>
          <w:b/>
          <w:szCs w:val="24"/>
        </w:rPr>
      </w:pPr>
      <w:r>
        <w:rPr>
          <w:b/>
          <w:szCs w:val="24"/>
        </w:rPr>
        <w:t>11.</w:t>
      </w:r>
      <w:r w:rsidR="00F72451">
        <w:rPr>
          <w:b/>
          <w:szCs w:val="24"/>
        </w:rPr>
        <w:t xml:space="preserve"> </w:t>
      </w:r>
      <w:r w:rsidRPr="00852005" w:rsidR="00914E57">
        <w:rPr>
          <w:rFonts w:cs="ITC Franklin Gothic Std Bk Cd"/>
          <w:b/>
          <w:bCs/>
          <w:szCs w:val="24"/>
        </w:rPr>
        <w:t>Justification for Sensitive Questions</w:t>
      </w:r>
      <w:r w:rsidRPr="004955C2" w:rsidR="00914E57">
        <w:rPr>
          <w:b/>
          <w:szCs w:val="24"/>
        </w:rPr>
        <w:t xml:space="preserve"> </w:t>
      </w:r>
    </w:p>
    <w:p w:rsidR="00FD40B6" w:rsidP="00783129" w14:paraId="34D63FCE" w14:textId="2C3C4751">
      <w:pPr>
        <w:pStyle w:val="Body1"/>
        <w:tabs>
          <w:tab w:val="num" w:pos="720"/>
        </w:tabs>
        <w:rPr>
          <w:b/>
          <w:szCs w:val="24"/>
        </w:rPr>
      </w:pPr>
    </w:p>
    <w:p w:rsidR="00FD40B6" w:rsidP="00783129" w14:paraId="1F88BAEE" w14:textId="5056C40E">
      <w:pPr>
        <w:pStyle w:val="Body1"/>
        <w:tabs>
          <w:tab w:val="num" w:pos="720"/>
        </w:tabs>
        <w:rPr>
          <w:szCs w:val="24"/>
        </w:rPr>
      </w:pPr>
      <w:r w:rsidRPr="00FD40B6">
        <w:rPr>
          <w:szCs w:val="24"/>
        </w:rPr>
        <w:t>The information to be collected is not of a sensitive nature and does not concern matters that are commonly considered private.</w:t>
      </w:r>
    </w:p>
    <w:p w:rsidR="00BA3A36" w:rsidRPr="00FD40B6" w:rsidP="00783129" w14:paraId="2BAC207C" w14:textId="77777777">
      <w:pPr>
        <w:pStyle w:val="Body1"/>
        <w:tabs>
          <w:tab w:val="num" w:pos="720"/>
        </w:tabs>
        <w:rPr>
          <w:szCs w:val="24"/>
        </w:rPr>
      </w:pPr>
    </w:p>
    <w:p w:rsidR="00527A26" w:rsidRPr="00B651A5" w:rsidP="008161C4" w14:paraId="0112610F" w14:textId="77777777">
      <w:pPr>
        <w:rPr>
          <w:rFonts w:eastAsia="Arial Unicode MS"/>
          <w:sz w:val="24"/>
          <w:szCs w:val="24"/>
          <w:u w:color="000000"/>
        </w:rPr>
      </w:pPr>
    </w:p>
    <w:p w:rsidR="001011A2" w:rsidP="00783129" w14:paraId="39223984" w14:textId="06D6810F">
      <w:pPr>
        <w:pStyle w:val="Body1"/>
        <w:tabs>
          <w:tab w:val="num" w:pos="720"/>
        </w:tabs>
        <w:rPr>
          <w:b/>
          <w:szCs w:val="24"/>
        </w:rPr>
      </w:pPr>
      <w:r w:rsidRPr="007366BE">
        <w:rPr>
          <w:b/>
          <w:szCs w:val="24"/>
        </w:rPr>
        <w:t>12.</w:t>
      </w:r>
      <w:r w:rsidR="00F72451">
        <w:rPr>
          <w:b/>
          <w:szCs w:val="24"/>
        </w:rPr>
        <w:t xml:space="preserve"> </w:t>
      </w:r>
      <w:r w:rsidRPr="007366BE" w:rsidR="00527A26">
        <w:rPr>
          <w:b/>
          <w:szCs w:val="24"/>
        </w:rPr>
        <w:t>Estimates of Annualized Burden Hours and Costs</w:t>
      </w:r>
    </w:p>
    <w:p w:rsidR="004B339C" w:rsidP="00783129" w14:paraId="71055837" w14:textId="745D8931">
      <w:pPr>
        <w:pStyle w:val="Body1"/>
        <w:tabs>
          <w:tab w:val="num" w:pos="720"/>
        </w:tabs>
        <w:rPr>
          <w:b/>
          <w:szCs w:val="24"/>
        </w:rPr>
      </w:pPr>
      <w:r>
        <w:rPr>
          <w:b/>
          <w:szCs w:val="24"/>
        </w:rPr>
        <w:tab/>
      </w:r>
    </w:p>
    <w:p w:rsidR="00BA3A36" w:rsidRPr="00DF6366" w:rsidP="00783129" w14:paraId="58E7835C" w14:textId="17E22CA1">
      <w:pPr>
        <w:pStyle w:val="Body1"/>
        <w:tabs>
          <w:tab w:val="num" w:pos="720"/>
        </w:tabs>
        <w:rPr>
          <w:b/>
          <w:szCs w:val="24"/>
        </w:rPr>
      </w:pPr>
      <w:r w:rsidRPr="00DF6366">
        <w:rPr>
          <w:b/>
          <w:szCs w:val="24"/>
        </w:rPr>
        <w:t>AIES Dress Rehearsal</w:t>
      </w:r>
    </w:p>
    <w:tbl>
      <w:tblPr>
        <w:tblStyle w:val="TableGrid"/>
        <w:tblW w:w="0" w:type="auto"/>
        <w:tblLook w:val="04A0"/>
      </w:tblPr>
      <w:tblGrid>
        <w:gridCol w:w="3116"/>
        <w:gridCol w:w="3117"/>
        <w:gridCol w:w="3117"/>
      </w:tblGrid>
      <w:tr w14:paraId="391DCE8B" w14:textId="77777777" w:rsidTr="000339C1">
        <w:tblPrEx>
          <w:tblW w:w="0" w:type="auto"/>
          <w:tblLook w:val="04A0"/>
        </w:tblPrEx>
        <w:tc>
          <w:tcPr>
            <w:tcW w:w="3116" w:type="dxa"/>
          </w:tcPr>
          <w:p w:rsidR="000339C1" w:rsidRPr="001E4D57" w:rsidP="00783129" w14:paraId="2C49AE57" w14:textId="64DB80E5">
            <w:pPr>
              <w:pStyle w:val="Body1"/>
              <w:tabs>
                <w:tab w:val="num" w:pos="720"/>
              </w:tabs>
              <w:rPr>
                <w:bCs/>
                <w:szCs w:val="24"/>
              </w:rPr>
            </w:pPr>
            <w:bookmarkStart w:id="12" w:name="_Hlk120516244"/>
            <w:r w:rsidRPr="001E4D57">
              <w:rPr>
                <w:bCs/>
                <w:szCs w:val="24"/>
              </w:rPr>
              <w:t>Respondents</w:t>
            </w:r>
          </w:p>
        </w:tc>
        <w:tc>
          <w:tcPr>
            <w:tcW w:w="3117" w:type="dxa"/>
          </w:tcPr>
          <w:p w:rsidR="000339C1" w:rsidP="00783129" w14:paraId="21B20418" w14:textId="601CF3D7">
            <w:pPr>
              <w:pStyle w:val="Body1"/>
              <w:tabs>
                <w:tab w:val="num" w:pos="720"/>
              </w:tabs>
              <w:rPr>
                <w:bCs/>
                <w:szCs w:val="24"/>
              </w:rPr>
            </w:pPr>
            <w:r>
              <w:rPr>
                <w:bCs/>
                <w:szCs w:val="24"/>
              </w:rPr>
              <w:t>Average time to complete</w:t>
            </w:r>
          </w:p>
        </w:tc>
        <w:tc>
          <w:tcPr>
            <w:tcW w:w="3117" w:type="dxa"/>
          </w:tcPr>
          <w:p w:rsidR="000339C1" w:rsidP="00783129" w14:paraId="4553C0F2" w14:textId="5A087FE5">
            <w:pPr>
              <w:pStyle w:val="Body1"/>
              <w:tabs>
                <w:tab w:val="num" w:pos="720"/>
              </w:tabs>
              <w:rPr>
                <w:bCs/>
                <w:szCs w:val="24"/>
              </w:rPr>
            </w:pPr>
            <w:r>
              <w:rPr>
                <w:bCs/>
                <w:szCs w:val="24"/>
              </w:rPr>
              <w:t>Annual Burden</w:t>
            </w:r>
            <w:r w:rsidR="007E4F06">
              <w:rPr>
                <w:bCs/>
                <w:szCs w:val="24"/>
              </w:rPr>
              <w:t xml:space="preserve"> Hours</w:t>
            </w:r>
          </w:p>
        </w:tc>
      </w:tr>
      <w:tr w14:paraId="3504385C" w14:textId="77777777" w:rsidTr="000339C1">
        <w:tblPrEx>
          <w:tblW w:w="0" w:type="auto"/>
          <w:tblLook w:val="04A0"/>
        </w:tblPrEx>
        <w:tc>
          <w:tcPr>
            <w:tcW w:w="3116" w:type="dxa"/>
          </w:tcPr>
          <w:p w:rsidR="000339C1" w:rsidRPr="001E4D57" w:rsidP="00783129" w14:paraId="4789810A" w14:textId="473EFC10">
            <w:pPr>
              <w:pStyle w:val="Body1"/>
              <w:tabs>
                <w:tab w:val="num" w:pos="720"/>
              </w:tabs>
              <w:rPr>
                <w:bCs/>
                <w:szCs w:val="24"/>
              </w:rPr>
            </w:pPr>
            <w:r>
              <w:rPr>
                <w:bCs/>
                <w:szCs w:val="24"/>
              </w:rPr>
              <w:t>8,</w:t>
            </w:r>
            <w:r w:rsidR="00101923">
              <w:rPr>
                <w:bCs/>
                <w:szCs w:val="24"/>
              </w:rPr>
              <w:t>470</w:t>
            </w:r>
          </w:p>
        </w:tc>
        <w:tc>
          <w:tcPr>
            <w:tcW w:w="3117" w:type="dxa"/>
          </w:tcPr>
          <w:p w:rsidR="000339C1" w:rsidRPr="00505071" w:rsidP="00783129" w14:paraId="01282E9C" w14:textId="26D75F5C">
            <w:pPr>
              <w:pStyle w:val="Body1"/>
              <w:tabs>
                <w:tab w:val="num" w:pos="720"/>
              </w:tabs>
              <w:rPr>
                <w:bCs/>
                <w:szCs w:val="24"/>
                <w:highlight w:val="yellow"/>
              </w:rPr>
            </w:pPr>
            <w:r w:rsidRPr="001E4D57">
              <w:rPr>
                <w:bCs/>
                <w:szCs w:val="24"/>
              </w:rPr>
              <w:t xml:space="preserve">3 hours, </w:t>
            </w:r>
            <w:r w:rsidR="00FD5C4E">
              <w:rPr>
                <w:bCs/>
                <w:szCs w:val="24"/>
              </w:rPr>
              <w:t>5</w:t>
            </w:r>
            <w:r w:rsidR="00101923">
              <w:rPr>
                <w:bCs/>
                <w:szCs w:val="24"/>
              </w:rPr>
              <w:t>5</w:t>
            </w:r>
            <w:r w:rsidRPr="001E4D57">
              <w:rPr>
                <w:bCs/>
                <w:szCs w:val="24"/>
              </w:rPr>
              <w:t xml:space="preserve"> minutes</w:t>
            </w:r>
          </w:p>
        </w:tc>
        <w:tc>
          <w:tcPr>
            <w:tcW w:w="3117" w:type="dxa"/>
          </w:tcPr>
          <w:p w:rsidR="000339C1" w:rsidRPr="00505071" w:rsidP="00DF6366" w14:paraId="7D90BF34" w14:textId="28A9AFD6">
            <w:pPr>
              <w:pStyle w:val="Body1"/>
              <w:tabs>
                <w:tab w:val="num" w:pos="720"/>
              </w:tabs>
              <w:ind w:firstLine="720"/>
              <w:rPr>
                <w:bCs/>
                <w:szCs w:val="24"/>
                <w:highlight w:val="yellow"/>
              </w:rPr>
            </w:pPr>
            <w:r>
              <w:rPr>
                <w:bCs/>
                <w:szCs w:val="24"/>
              </w:rPr>
              <w:t>33,</w:t>
            </w:r>
            <w:r w:rsidR="00101923">
              <w:rPr>
                <w:bCs/>
                <w:szCs w:val="24"/>
              </w:rPr>
              <w:t>206</w:t>
            </w:r>
          </w:p>
        </w:tc>
      </w:tr>
      <w:tr w14:paraId="5C69297E" w14:textId="77777777" w:rsidTr="000339C1">
        <w:tblPrEx>
          <w:tblW w:w="0" w:type="auto"/>
          <w:tblLook w:val="04A0"/>
        </w:tblPrEx>
        <w:tc>
          <w:tcPr>
            <w:tcW w:w="3116" w:type="dxa"/>
          </w:tcPr>
          <w:p w:rsidR="00C76492" w:rsidP="00783129" w14:paraId="44D9170D" w14:textId="1997FC5A">
            <w:pPr>
              <w:pStyle w:val="Body1"/>
              <w:tabs>
                <w:tab w:val="num" w:pos="720"/>
              </w:tabs>
              <w:rPr>
                <w:bCs/>
                <w:szCs w:val="24"/>
              </w:rPr>
            </w:pPr>
            <w:r>
              <w:rPr>
                <w:bCs/>
                <w:szCs w:val="24"/>
              </w:rPr>
              <w:t>5</w:t>
            </w:r>
            <w:r>
              <w:rPr>
                <w:bCs/>
                <w:szCs w:val="24"/>
              </w:rPr>
              <w:t>0 debriefing interviews</w:t>
            </w:r>
          </w:p>
        </w:tc>
        <w:tc>
          <w:tcPr>
            <w:tcW w:w="3117" w:type="dxa"/>
          </w:tcPr>
          <w:p w:rsidR="00C76492" w:rsidP="00783129" w14:paraId="57561979" w14:textId="450ACD21">
            <w:pPr>
              <w:pStyle w:val="Body1"/>
              <w:tabs>
                <w:tab w:val="num" w:pos="720"/>
              </w:tabs>
              <w:rPr>
                <w:bCs/>
                <w:szCs w:val="24"/>
              </w:rPr>
            </w:pPr>
            <w:r>
              <w:rPr>
                <w:bCs/>
                <w:szCs w:val="24"/>
              </w:rPr>
              <w:t>1 hour</w:t>
            </w:r>
          </w:p>
        </w:tc>
        <w:tc>
          <w:tcPr>
            <w:tcW w:w="3117" w:type="dxa"/>
          </w:tcPr>
          <w:p w:rsidR="00C76492" w:rsidP="00DF6366" w14:paraId="1D1C294D" w14:textId="285F926D">
            <w:pPr>
              <w:pStyle w:val="Body1"/>
              <w:tabs>
                <w:tab w:val="num" w:pos="720"/>
              </w:tabs>
              <w:ind w:firstLine="720"/>
              <w:rPr>
                <w:bCs/>
                <w:szCs w:val="24"/>
              </w:rPr>
            </w:pPr>
            <w:r>
              <w:rPr>
                <w:bCs/>
                <w:szCs w:val="24"/>
              </w:rPr>
              <w:t xml:space="preserve">       </w:t>
            </w:r>
            <w:r w:rsidR="00B07846">
              <w:rPr>
                <w:bCs/>
                <w:szCs w:val="24"/>
              </w:rPr>
              <w:t>5</w:t>
            </w:r>
            <w:r>
              <w:rPr>
                <w:bCs/>
                <w:szCs w:val="24"/>
              </w:rPr>
              <w:t>0</w:t>
            </w:r>
          </w:p>
        </w:tc>
      </w:tr>
      <w:tr w14:paraId="1DF4C86C" w14:textId="77777777" w:rsidTr="000339C1">
        <w:tblPrEx>
          <w:tblW w:w="0" w:type="auto"/>
          <w:tblLook w:val="04A0"/>
        </w:tblPrEx>
        <w:tc>
          <w:tcPr>
            <w:tcW w:w="3116" w:type="dxa"/>
          </w:tcPr>
          <w:p w:rsidR="00C76492" w:rsidP="00783129" w14:paraId="49699B4B" w14:textId="74F1A85C">
            <w:pPr>
              <w:pStyle w:val="Body1"/>
              <w:tabs>
                <w:tab w:val="num" w:pos="720"/>
              </w:tabs>
              <w:rPr>
                <w:bCs/>
                <w:szCs w:val="24"/>
              </w:rPr>
            </w:pPr>
            <w:r>
              <w:rPr>
                <w:bCs/>
                <w:szCs w:val="24"/>
              </w:rPr>
              <w:t xml:space="preserve">        TOTAL</w:t>
            </w:r>
          </w:p>
        </w:tc>
        <w:tc>
          <w:tcPr>
            <w:tcW w:w="3117" w:type="dxa"/>
          </w:tcPr>
          <w:p w:rsidR="00C76492" w:rsidP="00783129" w14:paraId="737761E3" w14:textId="77777777">
            <w:pPr>
              <w:pStyle w:val="Body1"/>
              <w:tabs>
                <w:tab w:val="num" w:pos="720"/>
              </w:tabs>
              <w:rPr>
                <w:bCs/>
                <w:szCs w:val="24"/>
              </w:rPr>
            </w:pPr>
          </w:p>
        </w:tc>
        <w:tc>
          <w:tcPr>
            <w:tcW w:w="3117" w:type="dxa"/>
          </w:tcPr>
          <w:p w:rsidR="00C76492" w:rsidP="00DF6366" w14:paraId="45F332E8" w14:textId="3137C029">
            <w:pPr>
              <w:pStyle w:val="Body1"/>
              <w:tabs>
                <w:tab w:val="num" w:pos="720"/>
              </w:tabs>
              <w:ind w:firstLine="720"/>
              <w:rPr>
                <w:bCs/>
                <w:szCs w:val="24"/>
              </w:rPr>
            </w:pPr>
            <w:r>
              <w:rPr>
                <w:bCs/>
                <w:szCs w:val="24"/>
              </w:rPr>
              <w:t>3</w:t>
            </w:r>
            <w:r w:rsidR="00A1372D">
              <w:rPr>
                <w:bCs/>
                <w:szCs w:val="24"/>
              </w:rPr>
              <w:t>3</w:t>
            </w:r>
            <w:r>
              <w:rPr>
                <w:bCs/>
                <w:szCs w:val="24"/>
              </w:rPr>
              <w:t>,2</w:t>
            </w:r>
            <w:r w:rsidR="00101923">
              <w:rPr>
                <w:bCs/>
                <w:szCs w:val="24"/>
              </w:rPr>
              <w:t>56</w:t>
            </w:r>
          </w:p>
        </w:tc>
      </w:tr>
      <w:bookmarkEnd w:id="12"/>
    </w:tbl>
    <w:p w:rsidR="00BB09CB" w:rsidP="00783129" w14:paraId="78DC02BF" w14:textId="2B624F8D">
      <w:pPr>
        <w:pStyle w:val="Body1"/>
        <w:tabs>
          <w:tab w:val="num" w:pos="720"/>
        </w:tabs>
        <w:rPr>
          <w:bCs/>
          <w:szCs w:val="24"/>
        </w:rPr>
      </w:pPr>
    </w:p>
    <w:p w:rsidR="00BB09CB" w:rsidP="00783129" w14:paraId="759298EE" w14:textId="1401D1F5">
      <w:pPr>
        <w:pStyle w:val="Body1"/>
        <w:tabs>
          <w:tab w:val="num" w:pos="720"/>
        </w:tabs>
        <w:rPr>
          <w:bCs/>
          <w:szCs w:val="24"/>
        </w:rPr>
      </w:pPr>
    </w:p>
    <w:p w:rsidR="00BB09CB" w:rsidP="00783129" w14:paraId="24E06245" w14:textId="4F26C8BB">
      <w:pPr>
        <w:pStyle w:val="Body1"/>
        <w:tabs>
          <w:tab w:val="num" w:pos="720"/>
        </w:tabs>
        <w:rPr>
          <w:bCs/>
          <w:szCs w:val="24"/>
        </w:rPr>
      </w:pPr>
    </w:p>
    <w:p w:rsidR="00BB09CB" w:rsidRPr="00DF6366" w:rsidP="00783129" w14:paraId="1DEF9BB5" w14:textId="5AD6E8FD">
      <w:pPr>
        <w:pStyle w:val="Body1"/>
        <w:tabs>
          <w:tab w:val="num" w:pos="720"/>
        </w:tabs>
        <w:rPr>
          <w:b/>
          <w:szCs w:val="24"/>
        </w:rPr>
      </w:pPr>
      <w:r w:rsidRPr="00DF6366">
        <w:rPr>
          <w:b/>
          <w:szCs w:val="24"/>
        </w:rPr>
        <w:t>AIES</w:t>
      </w:r>
    </w:p>
    <w:tbl>
      <w:tblPr>
        <w:tblStyle w:val="TableGrid"/>
        <w:tblW w:w="0" w:type="auto"/>
        <w:tblLook w:val="04A0"/>
      </w:tblPr>
      <w:tblGrid>
        <w:gridCol w:w="3116"/>
        <w:gridCol w:w="3117"/>
        <w:gridCol w:w="3117"/>
      </w:tblGrid>
      <w:tr w14:paraId="2BB254B5" w14:textId="77777777" w:rsidTr="0011106A">
        <w:tblPrEx>
          <w:tblW w:w="0" w:type="auto"/>
          <w:tblLook w:val="04A0"/>
        </w:tblPrEx>
        <w:tc>
          <w:tcPr>
            <w:tcW w:w="3116" w:type="dxa"/>
          </w:tcPr>
          <w:p w:rsidR="00DF6366" w:rsidP="0011106A" w14:paraId="61A2064B" w14:textId="77777777">
            <w:pPr>
              <w:pStyle w:val="Body1"/>
              <w:tabs>
                <w:tab w:val="num" w:pos="720"/>
              </w:tabs>
              <w:rPr>
                <w:bCs/>
                <w:szCs w:val="24"/>
              </w:rPr>
            </w:pPr>
            <w:r>
              <w:rPr>
                <w:bCs/>
                <w:szCs w:val="24"/>
              </w:rPr>
              <w:t>Respondents</w:t>
            </w:r>
          </w:p>
        </w:tc>
        <w:tc>
          <w:tcPr>
            <w:tcW w:w="3117" w:type="dxa"/>
          </w:tcPr>
          <w:p w:rsidR="00DF6366" w:rsidP="0011106A" w14:paraId="1FD85CB1" w14:textId="77777777">
            <w:pPr>
              <w:pStyle w:val="Body1"/>
              <w:tabs>
                <w:tab w:val="num" w:pos="720"/>
              </w:tabs>
              <w:rPr>
                <w:bCs/>
                <w:szCs w:val="24"/>
              </w:rPr>
            </w:pPr>
            <w:r>
              <w:rPr>
                <w:bCs/>
                <w:szCs w:val="24"/>
              </w:rPr>
              <w:t>Average time to complete</w:t>
            </w:r>
          </w:p>
        </w:tc>
        <w:tc>
          <w:tcPr>
            <w:tcW w:w="3117" w:type="dxa"/>
          </w:tcPr>
          <w:p w:rsidR="00DF6366" w:rsidP="0011106A" w14:paraId="4A68A5ED" w14:textId="6D0F02C5">
            <w:pPr>
              <w:pStyle w:val="Body1"/>
              <w:tabs>
                <w:tab w:val="num" w:pos="720"/>
              </w:tabs>
              <w:rPr>
                <w:bCs/>
                <w:szCs w:val="24"/>
              </w:rPr>
            </w:pPr>
            <w:r>
              <w:rPr>
                <w:bCs/>
                <w:szCs w:val="24"/>
              </w:rPr>
              <w:t>Annual Burden</w:t>
            </w:r>
            <w:r w:rsidR="007E4F06">
              <w:rPr>
                <w:bCs/>
                <w:szCs w:val="24"/>
              </w:rPr>
              <w:t xml:space="preserve"> Hours</w:t>
            </w:r>
          </w:p>
        </w:tc>
      </w:tr>
      <w:tr w14:paraId="5F0FD7CA" w14:textId="77777777" w:rsidTr="0011106A">
        <w:tblPrEx>
          <w:tblW w:w="0" w:type="auto"/>
          <w:tblLook w:val="04A0"/>
        </w:tblPrEx>
        <w:tc>
          <w:tcPr>
            <w:tcW w:w="3116" w:type="dxa"/>
          </w:tcPr>
          <w:p w:rsidR="00DF6366" w:rsidRPr="001E4D57" w:rsidP="0011106A" w14:paraId="736874E6" w14:textId="4CDCEE69">
            <w:pPr>
              <w:pStyle w:val="Body1"/>
              <w:tabs>
                <w:tab w:val="num" w:pos="720"/>
              </w:tabs>
              <w:rPr>
                <w:bCs/>
                <w:szCs w:val="24"/>
              </w:rPr>
            </w:pPr>
            <w:r>
              <w:rPr>
                <w:bCs/>
                <w:szCs w:val="24"/>
              </w:rPr>
              <w:t>384,9</w:t>
            </w:r>
            <w:r w:rsidR="00101923">
              <w:rPr>
                <w:bCs/>
                <w:szCs w:val="24"/>
              </w:rPr>
              <w:t>40</w:t>
            </w:r>
            <w:r w:rsidRPr="001E4D57" w:rsidR="00C76492">
              <w:rPr>
                <w:bCs/>
                <w:szCs w:val="24"/>
              </w:rPr>
              <w:t>*</w:t>
            </w:r>
          </w:p>
        </w:tc>
        <w:tc>
          <w:tcPr>
            <w:tcW w:w="3117" w:type="dxa"/>
          </w:tcPr>
          <w:p w:rsidR="00DF6366" w:rsidRPr="001E4D57" w:rsidP="0011106A" w14:paraId="095990E5" w14:textId="3AC589E0">
            <w:pPr>
              <w:pStyle w:val="Body1"/>
              <w:tabs>
                <w:tab w:val="num" w:pos="720"/>
              </w:tabs>
              <w:rPr>
                <w:bCs/>
                <w:szCs w:val="24"/>
              </w:rPr>
            </w:pPr>
            <w:r w:rsidRPr="001E4D57">
              <w:rPr>
                <w:bCs/>
                <w:szCs w:val="24"/>
              </w:rPr>
              <w:t xml:space="preserve">3 hours, </w:t>
            </w:r>
            <w:r w:rsidR="00FD5C4E">
              <w:rPr>
                <w:bCs/>
                <w:szCs w:val="24"/>
              </w:rPr>
              <w:t>2</w:t>
            </w:r>
            <w:r w:rsidR="00101923">
              <w:rPr>
                <w:bCs/>
                <w:szCs w:val="24"/>
              </w:rPr>
              <w:t>3</w:t>
            </w:r>
            <w:r w:rsidRPr="001E4D57">
              <w:rPr>
                <w:bCs/>
                <w:szCs w:val="24"/>
              </w:rPr>
              <w:t xml:space="preserve"> minutes</w:t>
            </w:r>
            <w:r w:rsidRPr="001E4D57" w:rsidR="00C76492">
              <w:rPr>
                <w:bCs/>
                <w:szCs w:val="24"/>
              </w:rPr>
              <w:t>*</w:t>
            </w:r>
          </w:p>
        </w:tc>
        <w:tc>
          <w:tcPr>
            <w:tcW w:w="3117" w:type="dxa"/>
          </w:tcPr>
          <w:p w:rsidR="00DF6366" w:rsidP="0011106A" w14:paraId="4C18660D" w14:textId="1EBFDE40">
            <w:pPr>
              <w:pStyle w:val="Body1"/>
              <w:tabs>
                <w:tab w:val="num" w:pos="720"/>
              </w:tabs>
              <w:ind w:firstLine="720"/>
              <w:rPr>
                <w:bCs/>
                <w:szCs w:val="24"/>
              </w:rPr>
            </w:pPr>
            <w:r>
              <w:rPr>
                <w:bCs/>
                <w:szCs w:val="24"/>
              </w:rPr>
              <w:t>1,</w:t>
            </w:r>
            <w:r w:rsidR="00101923">
              <w:rPr>
                <w:bCs/>
                <w:szCs w:val="24"/>
              </w:rPr>
              <w:t>300,535</w:t>
            </w:r>
          </w:p>
        </w:tc>
      </w:tr>
    </w:tbl>
    <w:p w:rsidR="00DF6366" w:rsidP="00783129" w14:paraId="0B4927F4" w14:textId="77777777">
      <w:pPr>
        <w:pStyle w:val="Body1"/>
        <w:tabs>
          <w:tab w:val="num" w:pos="720"/>
        </w:tabs>
        <w:rPr>
          <w:bCs/>
          <w:szCs w:val="24"/>
        </w:rPr>
      </w:pPr>
    </w:p>
    <w:p w:rsidR="00CB58F1" w:rsidP="00783129" w14:paraId="3C70603D" w14:textId="3C65DE55">
      <w:pPr>
        <w:pStyle w:val="Body1"/>
        <w:tabs>
          <w:tab w:val="num" w:pos="720"/>
        </w:tabs>
        <w:rPr>
          <w:bCs/>
          <w:szCs w:val="24"/>
        </w:rPr>
      </w:pPr>
    </w:p>
    <w:p w:rsidR="00CB58F1" w:rsidP="00783129" w14:paraId="2B0F3C92" w14:textId="26A1BED9">
      <w:pPr>
        <w:pStyle w:val="Body1"/>
        <w:tabs>
          <w:tab w:val="num" w:pos="720"/>
        </w:tabs>
        <w:rPr>
          <w:bCs/>
          <w:szCs w:val="24"/>
        </w:rPr>
      </w:pPr>
      <w:r>
        <w:rPr>
          <w:bCs/>
          <w:szCs w:val="24"/>
        </w:rPr>
        <w:t xml:space="preserve">Annual burden hours are based </w:t>
      </w:r>
      <w:r w:rsidR="00080BF0">
        <w:rPr>
          <w:bCs/>
          <w:szCs w:val="24"/>
        </w:rPr>
        <w:t xml:space="preserve">on </w:t>
      </w:r>
      <w:r>
        <w:rPr>
          <w:bCs/>
          <w:szCs w:val="24"/>
        </w:rPr>
        <w:t xml:space="preserve">the average burden hours per company.  Factors such as company size, complexity, and activity will affect </w:t>
      </w:r>
      <w:r w:rsidR="005A71A0">
        <w:rPr>
          <w:bCs/>
          <w:szCs w:val="24"/>
        </w:rPr>
        <w:t>the respondent’s</w:t>
      </w:r>
      <w:r>
        <w:rPr>
          <w:bCs/>
          <w:szCs w:val="24"/>
        </w:rPr>
        <w:t xml:space="preserve"> actual time to complete the survey.  This estimate includes the time to review instructions, search existing data sources, </w:t>
      </w:r>
      <w:r>
        <w:rPr>
          <w:bCs/>
          <w:szCs w:val="24"/>
        </w:rPr>
        <w:t>gather</w:t>
      </w:r>
      <w:r>
        <w:rPr>
          <w:bCs/>
          <w:szCs w:val="24"/>
        </w:rPr>
        <w:t xml:space="preserve"> and maintain the data needed, and complete and review the survey.</w:t>
      </w:r>
    </w:p>
    <w:p w:rsidR="00CB58F1" w:rsidP="00783129" w14:paraId="4257C679" w14:textId="77777777">
      <w:pPr>
        <w:pStyle w:val="Body1"/>
        <w:tabs>
          <w:tab w:val="num" w:pos="720"/>
        </w:tabs>
        <w:rPr>
          <w:bCs/>
          <w:szCs w:val="24"/>
        </w:rPr>
      </w:pPr>
    </w:p>
    <w:p w:rsidR="00BB09CB" w:rsidP="00783129" w14:paraId="38FDE727" w14:textId="3B7CC291">
      <w:pPr>
        <w:pStyle w:val="Body1"/>
        <w:tabs>
          <w:tab w:val="num" w:pos="720"/>
        </w:tabs>
        <w:rPr>
          <w:bCs/>
          <w:szCs w:val="24"/>
        </w:rPr>
      </w:pPr>
      <w:r>
        <w:rPr>
          <w:bCs/>
          <w:szCs w:val="24"/>
        </w:rPr>
        <w:t>*</w:t>
      </w:r>
      <w:r w:rsidRPr="00DF6366" w:rsidR="00DF6366">
        <w:rPr>
          <w:bCs/>
          <w:szCs w:val="24"/>
        </w:rPr>
        <w:t>If the current sample size or burden estimate changes</w:t>
      </w:r>
      <w:r w:rsidR="002B3950">
        <w:rPr>
          <w:bCs/>
          <w:szCs w:val="24"/>
        </w:rPr>
        <w:t xml:space="preserve"> significantly</w:t>
      </w:r>
      <w:r w:rsidRPr="00DF6366" w:rsidR="00DF6366">
        <w:rPr>
          <w:bCs/>
          <w:szCs w:val="24"/>
        </w:rPr>
        <w:t>, based on our analysis of paradata information gathered during the Dress Rehearsal, the Census Bureau will submit a request to adjust the burden using the appropriate clearance vehicle.</w:t>
      </w:r>
    </w:p>
    <w:p w:rsidR="008C0309" w:rsidP="00DD796F" w14:paraId="60DC964E" w14:textId="097F1A50">
      <w:pPr>
        <w:rPr>
          <w:sz w:val="24"/>
          <w:szCs w:val="24"/>
        </w:rPr>
      </w:pPr>
    </w:p>
    <w:p w:rsidR="008C0309" w:rsidRPr="00DD796F" w:rsidP="00DD796F" w14:paraId="6C2118B8" w14:textId="33B11051">
      <w:pPr>
        <w:rPr>
          <w:sz w:val="24"/>
          <w:szCs w:val="24"/>
        </w:rPr>
      </w:pPr>
      <w:r>
        <w:rPr>
          <w:sz w:val="24"/>
          <w:szCs w:val="24"/>
        </w:rPr>
        <w:t xml:space="preserve">Detailed </w:t>
      </w:r>
      <w:r w:rsidR="00214D14">
        <w:rPr>
          <w:sz w:val="24"/>
          <w:szCs w:val="24"/>
        </w:rPr>
        <w:t xml:space="preserve">sampling and burden </w:t>
      </w:r>
      <w:r>
        <w:rPr>
          <w:sz w:val="24"/>
          <w:szCs w:val="24"/>
        </w:rPr>
        <w:t>estimates are provided in Attachments I and J.</w:t>
      </w:r>
    </w:p>
    <w:p w:rsidR="00DD796F" w:rsidP="00DD796F" w14:paraId="18C8E7A0" w14:textId="77777777">
      <w:pPr>
        <w:rPr>
          <w:rFonts w:eastAsia="Arial Unicode MS"/>
          <w:sz w:val="24"/>
          <w:szCs w:val="24"/>
          <w:u w:color="000000"/>
        </w:rPr>
      </w:pPr>
    </w:p>
    <w:p w:rsidR="001A3A81" w:rsidRPr="00B651A5" w:rsidP="00B651A5" w14:paraId="792E950B" w14:textId="4052FA3E">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Estimate</w:t>
      </w:r>
      <w:r w:rsidRPr="00B651A5">
        <w:rPr>
          <w:rFonts w:eastAsia="Arial Unicode MS"/>
          <w:b/>
          <w:sz w:val="24"/>
          <w:szCs w:val="24"/>
          <w:u w:color="000000"/>
        </w:rPr>
        <w:t>s</w:t>
      </w:r>
      <w:r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Pr="00B651A5">
        <w:rPr>
          <w:rFonts w:eastAsia="Arial Unicode MS"/>
          <w:b/>
          <w:sz w:val="24"/>
          <w:szCs w:val="24"/>
          <w:u w:color="000000"/>
        </w:rPr>
        <w:t xml:space="preserve"> Record </w:t>
      </w:r>
      <w:r w:rsidRPr="00B651A5">
        <w:rPr>
          <w:rFonts w:eastAsia="Arial Unicode MS"/>
          <w:b/>
          <w:sz w:val="24"/>
          <w:szCs w:val="24"/>
          <w:u w:color="000000"/>
        </w:rPr>
        <w:t>K</w:t>
      </w:r>
      <w:r w:rsidRPr="00B651A5">
        <w:rPr>
          <w:rFonts w:eastAsia="Arial Unicode MS"/>
          <w:b/>
          <w:sz w:val="24"/>
          <w:szCs w:val="24"/>
          <w:u w:color="000000"/>
        </w:rPr>
        <w:t>eepers</w:t>
      </w:r>
    </w:p>
    <w:p w:rsidR="001A3A81" w:rsidRPr="0072690B" w:rsidP="00B651A5" w14:paraId="0B18CF5E" w14:textId="77777777">
      <w:pPr>
        <w:rPr>
          <w:rFonts w:eastAsia="Arial Unicode MS"/>
          <w:sz w:val="24"/>
          <w:szCs w:val="24"/>
          <w:u w:color="000000"/>
        </w:rPr>
      </w:pPr>
      <w:r w:rsidRPr="0072690B">
        <w:rPr>
          <w:rFonts w:eastAsia="Arial Unicode MS"/>
          <w:sz w:val="24"/>
          <w:szCs w:val="24"/>
          <w:u w:color="000000"/>
        </w:rPr>
        <w:tab/>
      </w:r>
    </w:p>
    <w:p w:rsidR="00BA3A36" w:rsidP="00EF3779" w14:paraId="5DA11773" w14:textId="4576BD18">
      <w:pPr>
        <w:rPr>
          <w:rFonts w:eastAsia="Arial Unicode MS"/>
          <w:sz w:val="24"/>
          <w:szCs w:val="24"/>
          <w:u w:color="000000"/>
        </w:rPr>
      </w:pPr>
      <w:r w:rsidRPr="00224665">
        <w:rPr>
          <w:rFonts w:eastAsia="Arial Unicode MS"/>
          <w:sz w:val="24"/>
          <w:szCs w:val="24"/>
          <w:u w:color="000000"/>
        </w:rPr>
        <w:t>The Census Bureau does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w:t>
      </w:r>
      <w:r w:rsidR="00113C01">
        <w:rPr>
          <w:rFonts w:eastAsia="Arial Unicode MS"/>
          <w:sz w:val="24"/>
          <w:szCs w:val="24"/>
          <w:u w:color="000000"/>
        </w:rPr>
        <w:t>-</w:t>
      </w:r>
      <w:r w:rsidRPr="00224665">
        <w:rPr>
          <w:rFonts w:eastAsia="Arial Unicode MS"/>
          <w:sz w:val="24"/>
          <w:szCs w:val="24"/>
          <w:u w:color="000000"/>
        </w:rPr>
        <w: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582A9D" w:rsidP="00EF3779" w14:paraId="7741248C" w14:textId="1923FF1B">
      <w:pPr>
        <w:rPr>
          <w:rFonts w:eastAsia="Arial Unicode MS"/>
          <w:sz w:val="24"/>
          <w:szCs w:val="24"/>
          <w:u w:color="000000"/>
        </w:rPr>
      </w:pPr>
    </w:p>
    <w:p w:rsidR="00582A9D" w:rsidP="00582A9D" w14:paraId="7EA2D577" w14:textId="1EF76E7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sz w:val="24"/>
          <w:szCs w:val="24"/>
        </w:rPr>
      </w:pPr>
      <w:r w:rsidRPr="00582A9D">
        <w:rPr>
          <w:sz w:val="24"/>
          <w:szCs w:val="24"/>
        </w:rPr>
        <w:t xml:space="preserve">Attachment </w:t>
      </w:r>
      <w:r>
        <w:rPr>
          <w:sz w:val="24"/>
          <w:szCs w:val="24"/>
        </w:rPr>
        <w:t>I</w:t>
      </w:r>
      <w:r w:rsidRPr="00582A9D">
        <w:rPr>
          <w:sz w:val="24"/>
          <w:szCs w:val="24"/>
        </w:rPr>
        <w:t xml:space="preserve"> </w:t>
      </w:r>
      <w:r w:rsidRPr="00582A9D">
        <w:rPr>
          <w:sz w:val="24"/>
          <w:szCs w:val="24"/>
        </w:rPr>
        <w:t>provides</w:t>
      </w:r>
      <w:r w:rsidRPr="00582A9D">
        <w:rPr>
          <w:sz w:val="24"/>
          <w:szCs w:val="24"/>
        </w:rPr>
        <w:t xml:space="preserve"> an estimate of respondent burden hours for </w:t>
      </w:r>
      <w:r>
        <w:rPr>
          <w:sz w:val="24"/>
          <w:szCs w:val="24"/>
        </w:rPr>
        <w:t>the AIES Dress Rehearsal</w:t>
      </w:r>
      <w:r w:rsidRPr="00582A9D">
        <w:rPr>
          <w:sz w:val="24"/>
          <w:szCs w:val="24"/>
        </w:rPr>
        <w:t xml:space="preserve"> </w:t>
      </w:r>
      <w:r w:rsidR="00CC5C43">
        <w:rPr>
          <w:sz w:val="24"/>
          <w:szCs w:val="24"/>
        </w:rPr>
        <w:t xml:space="preserve">and Attachment J provides an estimate of respondent burden hours for the 2023 AIES </w:t>
      </w:r>
      <w:r w:rsidRPr="00582A9D">
        <w:rPr>
          <w:sz w:val="24"/>
          <w:szCs w:val="24"/>
        </w:rPr>
        <w:t xml:space="preserve">covered by this request. The number of respondents </w:t>
      </w:r>
      <w:r w:rsidR="00080BF0">
        <w:rPr>
          <w:sz w:val="24"/>
          <w:szCs w:val="24"/>
        </w:rPr>
        <w:t xml:space="preserve">is </w:t>
      </w:r>
      <w:r w:rsidRPr="00582A9D">
        <w:rPr>
          <w:sz w:val="24"/>
          <w:szCs w:val="24"/>
        </w:rPr>
        <w:t xml:space="preserve">derived from the number of </w:t>
      </w:r>
      <w:r w:rsidR="004A2F60">
        <w:rPr>
          <w:sz w:val="24"/>
          <w:szCs w:val="24"/>
        </w:rPr>
        <w:t>companies</w:t>
      </w:r>
      <w:r w:rsidRPr="00582A9D">
        <w:rPr>
          <w:sz w:val="24"/>
          <w:szCs w:val="24"/>
        </w:rPr>
        <w:t xml:space="preserve"> currently active on the Census Bureau’s </w:t>
      </w:r>
      <w:r w:rsidR="00641FD6">
        <w:rPr>
          <w:sz w:val="24"/>
          <w:szCs w:val="24"/>
        </w:rPr>
        <w:t>BR</w:t>
      </w:r>
      <w:r w:rsidRPr="00582A9D">
        <w:rPr>
          <w:sz w:val="24"/>
          <w:szCs w:val="24"/>
        </w:rPr>
        <w:t xml:space="preserve"> and selected into the </w:t>
      </w:r>
      <w:r>
        <w:rPr>
          <w:sz w:val="24"/>
          <w:szCs w:val="24"/>
        </w:rPr>
        <w:t>dress rehearsal</w:t>
      </w:r>
      <w:r w:rsidR="00CC5C43">
        <w:rPr>
          <w:sz w:val="24"/>
          <w:szCs w:val="24"/>
        </w:rPr>
        <w:t xml:space="preserve"> and planned for selection in</w:t>
      </w:r>
      <w:r w:rsidR="00EF2CA2">
        <w:rPr>
          <w:sz w:val="24"/>
          <w:szCs w:val="24"/>
        </w:rPr>
        <w:t>to</w:t>
      </w:r>
      <w:r w:rsidR="00CC5C43">
        <w:rPr>
          <w:sz w:val="24"/>
          <w:szCs w:val="24"/>
        </w:rPr>
        <w:t xml:space="preserve"> the 2023 AIES</w:t>
      </w:r>
      <w:r w:rsidRPr="00582A9D">
        <w:rPr>
          <w:sz w:val="24"/>
          <w:szCs w:val="24"/>
        </w:rPr>
        <w:t>. Burden estimates assume a 100 percent response rate.</w:t>
      </w:r>
    </w:p>
    <w:p w:rsidR="00CC5C43" w:rsidP="00582A9D" w14:paraId="080E150A" w14:textId="1F49D0AA">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sz w:val="24"/>
          <w:szCs w:val="24"/>
        </w:rPr>
      </w:pPr>
    </w:p>
    <w:p w:rsidR="00582A9D" w:rsidRPr="00582A9D" w:rsidP="00582A9D" w14:paraId="159979A6" w14:textId="7BB1CB15">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snapToGrid w:val="0"/>
          <w:sz w:val="24"/>
          <w:szCs w:val="24"/>
        </w:rPr>
      </w:pPr>
      <w:r w:rsidRPr="00582A9D">
        <w:rPr>
          <w:snapToGrid w:val="0"/>
          <w:sz w:val="24"/>
          <w:szCs w:val="24"/>
        </w:rPr>
        <w:t xml:space="preserve">Estimates for number of hours per response are based on experience with conducting </w:t>
      </w:r>
      <w:r>
        <w:rPr>
          <w:snapToGrid w:val="0"/>
          <w:sz w:val="24"/>
          <w:szCs w:val="24"/>
        </w:rPr>
        <w:t>the legacy annual surveys</w:t>
      </w:r>
      <w:r w:rsidRPr="00582A9D">
        <w:rPr>
          <w:snapToGrid w:val="0"/>
          <w:sz w:val="24"/>
          <w:szCs w:val="24"/>
        </w:rPr>
        <w:t xml:space="preserve"> </w:t>
      </w:r>
      <w:r>
        <w:rPr>
          <w:snapToGrid w:val="0"/>
          <w:sz w:val="24"/>
          <w:szCs w:val="24"/>
        </w:rPr>
        <w:t xml:space="preserve">in-scope to the AIES </w:t>
      </w:r>
      <w:r w:rsidRPr="00582A9D">
        <w:rPr>
          <w:snapToGrid w:val="0"/>
          <w:sz w:val="24"/>
          <w:szCs w:val="24"/>
        </w:rPr>
        <w:t xml:space="preserve">and our reasonable estimates of the time needed to preview the questions being asked, the accompanying instruction sheets, and other data collection </w:t>
      </w:r>
      <w:r w:rsidRPr="00582A9D">
        <w:rPr>
          <w:snapToGrid w:val="0"/>
          <w:sz w:val="24"/>
          <w:szCs w:val="24"/>
        </w:rPr>
        <w:t xml:space="preserve">materials; to gather, organize, and summarize information; and to record answers using the online reporting system.  Overall respondent burden for the </w:t>
      </w:r>
      <w:r w:rsidR="00727C42">
        <w:rPr>
          <w:snapToGrid w:val="0"/>
          <w:sz w:val="24"/>
          <w:szCs w:val="24"/>
        </w:rPr>
        <w:t>AIES Dress Rehearsal</w:t>
      </w:r>
      <w:r w:rsidRPr="00582A9D">
        <w:rPr>
          <w:snapToGrid w:val="0"/>
          <w:sz w:val="24"/>
          <w:szCs w:val="24"/>
        </w:rPr>
        <w:t xml:space="preserve"> is estimated at </w:t>
      </w:r>
      <w:r w:rsidR="00727C42">
        <w:rPr>
          <w:snapToGrid w:val="0"/>
          <w:sz w:val="24"/>
          <w:szCs w:val="24"/>
        </w:rPr>
        <w:t>33,</w:t>
      </w:r>
      <w:r w:rsidR="005C7A85">
        <w:rPr>
          <w:snapToGrid w:val="0"/>
          <w:sz w:val="24"/>
          <w:szCs w:val="24"/>
        </w:rPr>
        <w:t>305</w:t>
      </w:r>
      <w:r w:rsidRPr="00582A9D">
        <w:rPr>
          <w:snapToGrid w:val="0"/>
          <w:sz w:val="24"/>
          <w:szCs w:val="24"/>
        </w:rPr>
        <w:t xml:space="preserve"> hours and respondent cost is estimated to be $</w:t>
      </w:r>
      <w:r w:rsidR="00727C42">
        <w:rPr>
          <w:snapToGrid w:val="0"/>
          <w:sz w:val="24"/>
          <w:szCs w:val="24"/>
        </w:rPr>
        <w:t>1</w:t>
      </w:r>
      <w:r w:rsidRPr="00582A9D">
        <w:rPr>
          <w:snapToGrid w:val="0"/>
          <w:sz w:val="24"/>
          <w:szCs w:val="24"/>
        </w:rPr>
        <w:t>,</w:t>
      </w:r>
      <w:r w:rsidR="00727C42">
        <w:rPr>
          <w:snapToGrid w:val="0"/>
          <w:sz w:val="24"/>
          <w:szCs w:val="24"/>
        </w:rPr>
        <w:t>2</w:t>
      </w:r>
      <w:r w:rsidR="005C7A85">
        <w:rPr>
          <w:snapToGrid w:val="0"/>
          <w:sz w:val="24"/>
          <w:szCs w:val="24"/>
        </w:rPr>
        <w:t>92</w:t>
      </w:r>
      <w:r w:rsidRPr="00582A9D">
        <w:rPr>
          <w:snapToGrid w:val="0"/>
          <w:sz w:val="24"/>
          <w:szCs w:val="24"/>
        </w:rPr>
        <w:t>,</w:t>
      </w:r>
      <w:r w:rsidR="0085118F">
        <w:rPr>
          <w:snapToGrid w:val="0"/>
          <w:sz w:val="24"/>
          <w:szCs w:val="24"/>
        </w:rPr>
        <w:t>5</w:t>
      </w:r>
      <w:r w:rsidR="005C7A85">
        <w:rPr>
          <w:snapToGrid w:val="0"/>
          <w:sz w:val="24"/>
          <w:szCs w:val="24"/>
        </w:rPr>
        <w:t>48</w:t>
      </w:r>
      <w:r w:rsidRPr="00582A9D">
        <w:rPr>
          <w:snapToGrid w:val="0"/>
          <w:sz w:val="24"/>
          <w:szCs w:val="24"/>
        </w:rPr>
        <w:t xml:space="preserve">. </w:t>
      </w:r>
      <w:r w:rsidRPr="00582A9D" w:rsidR="00727C42">
        <w:rPr>
          <w:snapToGrid w:val="0"/>
          <w:sz w:val="24"/>
          <w:szCs w:val="24"/>
        </w:rPr>
        <w:t xml:space="preserve">Overall respondent burden for the </w:t>
      </w:r>
      <w:r w:rsidR="00727C42">
        <w:rPr>
          <w:snapToGrid w:val="0"/>
          <w:sz w:val="24"/>
          <w:szCs w:val="24"/>
        </w:rPr>
        <w:t>2023</w:t>
      </w:r>
      <w:r w:rsidR="007A3AC0">
        <w:rPr>
          <w:snapToGrid w:val="0"/>
          <w:sz w:val="24"/>
          <w:szCs w:val="24"/>
        </w:rPr>
        <w:t xml:space="preserve"> </w:t>
      </w:r>
      <w:r w:rsidR="00727C42">
        <w:rPr>
          <w:snapToGrid w:val="0"/>
          <w:sz w:val="24"/>
          <w:szCs w:val="24"/>
        </w:rPr>
        <w:t xml:space="preserve">AIES </w:t>
      </w:r>
      <w:r w:rsidRPr="00582A9D" w:rsidR="00727C42">
        <w:rPr>
          <w:snapToGrid w:val="0"/>
          <w:sz w:val="24"/>
          <w:szCs w:val="24"/>
        </w:rPr>
        <w:t xml:space="preserve">is estimated at </w:t>
      </w:r>
      <w:r w:rsidR="00727C42">
        <w:rPr>
          <w:snapToGrid w:val="0"/>
          <w:sz w:val="24"/>
          <w:szCs w:val="24"/>
        </w:rPr>
        <w:t>1,</w:t>
      </w:r>
      <w:r w:rsidR="0085118F">
        <w:rPr>
          <w:snapToGrid w:val="0"/>
          <w:sz w:val="24"/>
          <w:szCs w:val="24"/>
        </w:rPr>
        <w:t>300,53</w:t>
      </w:r>
      <w:r w:rsidR="005C7A85">
        <w:rPr>
          <w:snapToGrid w:val="0"/>
          <w:sz w:val="24"/>
          <w:szCs w:val="24"/>
        </w:rPr>
        <w:t>6</w:t>
      </w:r>
      <w:r w:rsidRPr="00582A9D" w:rsidR="00727C42">
        <w:rPr>
          <w:snapToGrid w:val="0"/>
          <w:sz w:val="24"/>
          <w:szCs w:val="24"/>
        </w:rPr>
        <w:t xml:space="preserve"> hours and respondent cost is estimated to be $</w:t>
      </w:r>
      <w:r w:rsidR="0085118F">
        <w:rPr>
          <w:snapToGrid w:val="0"/>
          <w:sz w:val="24"/>
          <w:szCs w:val="24"/>
        </w:rPr>
        <w:t>50,321,</w:t>
      </w:r>
      <w:r w:rsidR="005C7A85">
        <w:rPr>
          <w:snapToGrid w:val="0"/>
          <w:sz w:val="24"/>
          <w:szCs w:val="24"/>
        </w:rPr>
        <w:t>221</w:t>
      </w:r>
      <w:r w:rsidRPr="00582A9D" w:rsidR="00727C42">
        <w:rPr>
          <w:snapToGrid w:val="0"/>
          <w:sz w:val="24"/>
          <w:szCs w:val="24"/>
        </w:rPr>
        <w:t xml:space="preserve">. </w:t>
      </w:r>
      <w:r w:rsidRPr="00582A9D">
        <w:rPr>
          <w:snapToGrid w:val="0"/>
          <w:sz w:val="24"/>
          <w:szCs w:val="24"/>
        </w:rPr>
        <w:t>This cost estimate was calculated by using mean annual wage data from the 202</w:t>
      </w:r>
      <w:r w:rsidR="00727C42">
        <w:rPr>
          <w:snapToGrid w:val="0"/>
          <w:sz w:val="24"/>
          <w:szCs w:val="24"/>
        </w:rPr>
        <w:t>1</w:t>
      </w:r>
      <w:r w:rsidRPr="00582A9D">
        <w:rPr>
          <w:snapToGrid w:val="0"/>
          <w:sz w:val="24"/>
          <w:szCs w:val="24"/>
        </w:rPr>
        <w:t xml:space="preserve"> BLS Occupational Employment Statistics (OES). The average hourly wage is that of an accountant in the corresponding sector.</w:t>
      </w:r>
      <w:r w:rsidR="002A78CE">
        <w:rPr>
          <w:snapToGrid w:val="0"/>
          <w:sz w:val="24"/>
          <w:szCs w:val="24"/>
        </w:rPr>
        <w:t xml:space="preserve"> In circumstances where companies operate in multiple sectors, the national average hourly wage of an account</w:t>
      </w:r>
      <w:r w:rsidR="005C7A85">
        <w:rPr>
          <w:snapToGrid w:val="0"/>
          <w:sz w:val="24"/>
          <w:szCs w:val="24"/>
        </w:rPr>
        <w:t>ant</w:t>
      </w:r>
      <w:r w:rsidR="002A78CE">
        <w:rPr>
          <w:snapToGrid w:val="0"/>
          <w:sz w:val="24"/>
          <w:szCs w:val="24"/>
        </w:rPr>
        <w:t xml:space="preserve"> was used.</w:t>
      </w:r>
    </w:p>
    <w:p w:rsidR="00582A9D" w:rsidP="00EF3779" w14:paraId="14FE662F" w14:textId="77777777">
      <w:pPr>
        <w:rPr>
          <w:rFonts w:eastAsia="Arial Unicode MS"/>
          <w:sz w:val="24"/>
          <w:szCs w:val="24"/>
          <w:u w:color="000000"/>
        </w:rPr>
      </w:pPr>
    </w:p>
    <w:p w:rsidR="007E0FF7" w:rsidP="00EF3779" w14:paraId="229BC555" w14:textId="77777777">
      <w:pPr>
        <w:rPr>
          <w:rFonts w:eastAsia="Arial Unicode MS"/>
          <w:sz w:val="24"/>
          <w:szCs w:val="24"/>
          <w:u w:color="000000"/>
        </w:rPr>
      </w:pPr>
    </w:p>
    <w:p w:rsidR="00EF3779" w:rsidRPr="0072690B" w:rsidP="00EF3779" w14:paraId="2E8508A5" w14:textId="77777777">
      <w:pPr>
        <w:rPr>
          <w:rFonts w:eastAsia="Arial Unicode MS"/>
          <w:sz w:val="24"/>
          <w:szCs w:val="24"/>
          <w:u w:color="000000"/>
        </w:rPr>
      </w:pPr>
    </w:p>
    <w:p w:rsidR="00AD7F15" w:rsidP="00B651A5" w14:paraId="200C9DD6" w14:textId="77777777">
      <w:pPr>
        <w:rPr>
          <w:rFonts w:eastAsia="Arial Unicode MS"/>
          <w:b/>
          <w:sz w:val="24"/>
          <w:szCs w:val="24"/>
          <w:u w:color="000000"/>
        </w:rPr>
      </w:pPr>
    </w:p>
    <w:p w:rsidR="00AD7F15" w:rsidP="00B651A5" w14:paraId="40E4D849" w14:textId="77777777">
      <w:pPr>
        <w:rPr>
          <w:rFonts w:eastAsia="Arial Unicode MS"/>
          <w:b/>
          <w:sz w:val="24"/>
          <w:szCs w:val="24"/>
          <w:u w:color="000000"/>
        </w:rPr>
      </w:pPr>
    </w:p>
    <w:p w:rsidR="001A3A81" w:rsidRPr="00B651A5" w:rsidP="00B651A5" w14:paraId="63D01DB2" w14:textId="1F0FEC31">
      <w:pPr>
        <w:rPr>
          <w:rFonts w:eastAsia="Arial Unicode MS"/>
          <w:b/>
          <w:sz w:val="24"/>
          <w:szCs w:val="24"/>
          <w:u w:color="000000"/>
        </w:rPr>
      </w:pPr>
      <w:r w:rsidRPr="00B651A5">
        <w:rPr>
          <w:rFonts w:eastAsia="Arial Unicode MS"/>
          <w:b/>
          <w:sz w:val="24"/>
          <w:szCs w:val="24"/>
          <w:u w:color="000000"/>
        </w:rPr>
        <w:t xml:space="preserve">14. </w:t>
      </w:r>
      <w:r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Pr="00B651A5">
        <w:rPr>
          <w:rFonts w:eastAsia="Arial Unicode MS"/>
          <w:b/>
          <w:sz w:val="24"/>
          <w:szCs w:val="24"/>
          <w:u w:color="000000"/>
        </w:rPr>
        <w:t>Government</w:t>
      </w:r>
    </w:p>
    <w:p w:rsidR="00EF3779" w:rsidP="00EF3779" w14:paraId="0568EE2D" w14:textId="44E14E39">
      <w:pPr>
        <w:rPr>
          <w:rFonts w:eastAsia="Arial Unicode MS"/>
          <w:sz w:val="24"/>
          <w:szCs w:val="24"/>
          <w:u w:color="000000"/>
        </w:rPr>
      </w:pPr>
    </w:p>
    <w:p w:rsidR="00BA3A36" w:rsidP="00EF3779" w14:paraId="0B6BD81C" w14:textId="468368BF">
      <w:pPr>
        <w:rPr>
          <w:rFonts w:eastAsia="Arial Unicode MS"/>
          <w:sz w:val="24"/>
          <w:szCs w:val="24"/>
          <w:u w:color="000000"/>
        </w:rPr>
      </w:pPr>
      <w:r w:rsidRPr="00224665">
        <w:rPr>
          <w:rFonts w:eastAsia="Arial Unicode MS"/>
          <w:sz w:val="24"/>
          <w:szCs w:val="24"/>
          <w:u w:color="000000"/>
        </w:rPr>
        <w:t>The total cost to the Federal Government for the A</w:t>
      </w:r>
      <w:r>
        <w:rPr>
          <w:rFonts w:eastAsia="Arial Unicode MS"/>
          <w:sz w:val="24"/>
          <w:szCs w:val="24"/>
          <w:u w:color="000000"/>
        </w:rPr>
        <w:t>IES</w:t>
      </w:r>
      <w:r w:rsidRPr="00224665">
        <w:rPr>
          <w:rFonts w:eastAsia="Arial Unicode MS"/>
          <w:sz w:val="24"/>
          <w:szCs w:val="24"/>
          <w:u w:color="000000"/>
        </w:rPr>
        <w:t xml:space="preserve"> in fiscal year 202</w:t>
      </w:r>
      <w:r w:rsidR="00DB3A6D">
        <w:rPr>
          <w:rFonts w:eastAsia="Arial Unicode MS"/>
          <w:sz w:val="24"/>
          <w:szCs w:val="24"/>
          <w:u w:color="000000"/>
        </w:rPr>
        <w:t>4</w:t>
      </w:r>
      <w:r w:rsidRPr="00224665">
        <w:rPr>
          <w:rFonts w:eastAsia="Arial Unicode MS"/>
          <w:sz w:val="24"/>
          <w:szCs w:val="24"/>
          <w:u w:color="000000"/>
        </w:rPr>
        <w:t xml:space="preserve"> is expected to </w:t>
      </w:r>
      <w:r w:rsidRPr="00DB3A6D">
        <w:rPr>
          <w:rFonts w:eastAsia="Arial Unicode MS"/>
          <w:sz w:val="24"/>
          <w:szCs w:val="24"/>
          <w:u w:color="000000"/>
        </w:rPr>
        <w:t>be $</w:t>
      </w:r>
      <w:r w:rsidR="00DB3A6D">
        <w:rPr>
          <w:rFonts w:eastAsia="Arial Unicode MS"/>
          <w:sz w:val="24"/>
          <w:szCs w:val="24"/>
          <w:u w:color="000000"/>
        </w:rPr>
        <w:t xml:space="preserve">39 </w:t>
      </w:r>
      <w:r w:rsidR="00F63E01">
        <w:rPr>
          <w:rFonts w:eastAsia="Arial Unicode MS"/>
          <w:sz w:val="24"/>
          <w:szCs w:val="24"/>
          <w:u w:color="000000"/>
        </w:rPr>
        <w:t>m</w:t>
      </w:r>
      <w:r w:rsidRPr="00224665">
        <w:rPr>
          <w:rFonts w:eastAsia="Arial Unicode MS"/>
          <w:sz w:val="24"/>
          <w:szCs w:val="24"/>
          <w:u w:color="000000"/>
        </w:rPr>
        <w:t>illion</w:t>
      </w:r>
      <w:r w:rsidR="00F63E01">
        <w:rPr>
          <w:rFonts w:eastAsia="Arial Unicode MS"/>
          <w:sz w:val="24"/>
          <w:szCs w:val="24"/>
          <w:u w:color="000000"/>
        </w:rPr>
        <w:t>,</w:t>
      </w:r>
      <w:r>
        <w:rPr>
          <w:rFonts w:eastAsia="Arial Unicode MS"/>
          <w:sz w:val="24"/>
          <w:szCs w:val="24"/>
          <w:u w:color="000000"/>
        </w:rPr>
        <w:t xml:space="preserve"> </w:t>
      </w:r>
      <w:r w:rsidRPr="00224665">
        <w:rPr>
          <w:rFonts w:eastAsia="Arial Unicode MS"/>
          <w:sz w:val="24"/>
          <w:szCs w:val="24"/>
          <w:u w:color="000000"/>
        </w:rPr>
        <w:t xml:space="preserve">all borne by the Census Bureau. This includes expenses for </w:t>
      </w:r>
      <w:r w:rsidR="003477F2">
        <w:rPr>
          <w:rFonts w:eastAsia="Arial Unicode MS"/>
          <w:sz w:val="24"/>
          <w:szCs w:val="24"/>
          <w:u w:color="000000"/>
        </w:rPr>
        <w:t xml:space="preserve">sample design, </w:t>
      </w:r>
      <w:r w:rsidRPr="00224665">
        <w:rPr>
          <w:rFonts w:eastAsia="Arial Unicode MS"/>
          <w:sz w:val="24"/>
          <w:szCs w:val="24"/>
          <w:u w:color="000000"/>
        </w:rPr>
        <w:t>data collection</w:t>
      </w:r>
      <w:r w:rsidR="003477F2">
        <w:rPr>
          <w:rFonts w:eastAsia="Arial Unicode MS"/>
          <w:sz w:val="24"/>
          <w:szCs w:val="24"/>
          <w:u w:color="000000"/>
        </w:rPr>
        <w:t xml:space="preserve"> including nonresponse follow-up</w:t>
      </w:r>
      <w:r w:rsidRPr="00224665">
        <w:rPr>
          <w:rFonts w:eastAsia="Arial Unicode MS"/>
          <w:sz w:val="24"/>
          <w:szCs w:val="24"/>
          <w:u w:color="000000"/>
        </w:rPr>
        <w:t xml:space="preserve">, data </w:t>
      </w:r>
      <w:r w:rsidR="003477F2">
        <w:rPr>
          <w:rFonts w:eastAsia="Arial Unicode MS"/>
          <w:sz w:val="24"/>
          <w:szCs w:val="24"/>
          <w:u w:color="000000"/>
        </w:rPr>
        <w:t xml:space="preserve">capture and </w:t>
      </w:r>
      <w:r w:rsidRPr="00224665">
        <w:rPr>
          <w:rFonts w:eastAsia="Arial Unicode MS"/>
          <w:sz w:val="24"/>
          <w:szCs w:val="24"/>
          <w:u w:color="000000"/>
        </w:rPr>
        <w:t>processing, data review</w:t>
      </w:r>
      <w:r w:rsidR="003477F2">
        <w:rPr>
          <w:rFonts w:eastAsia="Arial Unicode MS"/>
          <w:sz w:val="24"/>
          <w:szCs w:val="24"/>
          <w:u w:color="000000"/>
        </w:rPr>
        <w:t xml:space="preserve"> and editing</w:t>
      </w:r>
      <w:r w:rsidRPr="00224665">
        <w:rPr>
          <w:rFonts w:eastAsia="Arial Unicode MS"/>
          <w:sz w:val="24"/>
          <w:szCs w:val="24"/>
          <w:u w:color="000000"/>
        </w:rPr>
        <w:t xml:space="preserve">, publication, equipment, overhead, and support staff. </w:t>
      </w:r>
      <w:r w:rsidR="00814DA2">
        <w:rPr>
          <w:rFonts w:eastAsia="Arial Unicode MS"/>
          <w:sz w:val="24"/>
          <w:szCs w:val="24"/>
          <w:u w:color="000000"/>
        </w:rPr>
        <w:t>This cost is expected to remain relatively fixed over the upcoming three years.</w:t>
      </w:r>
    </w:p>
    <w:p w:rsidR="007E0FF7" w:rsidRPr="0072690B" w:rsidP="00EF3779" w14:paraId="628B8829" w14:textId="77777777">
      <w:pPr>
        <w:rPr>
          <w:rFonts w:eastAsia="Arial Unicode MS"/>
          <w:sz w:val="24"/>
          <w:szCs w:val="24"/>
          <w:u w:color="000000"/>
        </w:rPr>
      </w:pPr>
    </w:p>
    <w:p w:rsidR="001A3A81" w:rsidRPr="0072690B" w:rsidP="00CE0640" w14:paraId="24B416B7" w14:textId="77777777">
      <w:pPr>
        <w:ind w:left="720"/>
        <w:rPr>
          <w:rFonts w:eastAsia="Arial Unicode MS"/>
          <w:sz w:val="24"/>
          <w:szCs w:val="24"/>
          <w:u w:color="000000"/>
        </w:rPr>
      </w:pPr>
    </w:p>
    <w:p w:rsidR="001A3A81" w:rsidRPr="00B651A5" w:rsidP="00B651A5" w14:paraId="2BD84046" w14:textId="577F1F1F">
      <w:pPr>
        <w:rPr>
          <w:rFonts w:eastAsia="Arial Unicode MS"/>
          <w:b/>
          <w:sz w:val="24"/>
          <w:szCs w:val="24"/>
          <w:u w:color="000000"/>
        </w:rPr>
      </w:pPr>
      <w:r w:rsidRPr="00B651A5">
        <w:rPr>
          <w:rFonts w:eastAsia="Arial Unicode MS"/>
          <w:b/>
          <w:sz w:val="24"/>
          <w:szCs w:val="24"/>
          <w:u w:color="000000"/>
        </w:rPr>
        <w:t>15.</w:t>
      </w:r>
      <w:r w:rsidR="00F72451">
        <w:rPr>
          <w:rFonts w:eastAsia="Arial Unicode MS"/>
          <w:b/>
          <w:sz w:val="24"/>
          <w:szCs w:val="24"/>
          <w:u w:color="000000"/>
        </w:rPr>
        <w:t xml:space="preserve"> </w:t>
      </w:r>
      <w:r w:rsidRPr="00B651A5">
        <w:rPr>
          <w:rFonts w:eastAsia="Arial Unicode MS"/>
          <w:b/>
          <w:sz w:val="24"/>
          <w:szCs w:val="24"/>
          <w:u w:color="000000"/>
        </w:rPr>
        <w:t>Explanation for Program Changes or Adjustments</w:t>
      </w:r>
    </w:p>
    <w:p w:rsidR="001A3A81" w:rsidP="00B651A5" w14:paraId="22269672" w14:textId="77777777">
      <w:pPr>
        <w:rPr>
          <w:rFonts w:eastAsia="Arial Unicode MS"/>
          <w:sz w:val="24"/>
          <w:szCs w:val="24"/>
          <w:u w:color="000000"/>
        </w:rPr>
      </w:pPr>
    </w:p>
    <w:p w:rsidR="001A3A81" w:rsidP="00B651A5" w14:paraId="1C43B641" w14:textId="6BB46AF4">
      <w:pPr>
        <w:rPr>
          <w:rFonts w:eastAsia="Arial Unicode MS"/>
          <w:sz w:val="24"/>
          <w:szCs w:val="24"/>
          <w:u w:color="000000"/>
        </w:rPr>
      </w:pPr>
      <w:r w:rsidRPr="008A1115">
        <w:rPr>
          <w:rFonts w:eastAsia="Arial Unicode MS"/>
          <w:sz w:val="24"/>
          <w:szCs w:val="24"/>
          <w:highlight w:val="darkGray"/>
          <w:u w:color="000000"/>
        </w:rPr>
        <w:t>Th</w:t>
      </w:r>
      <w:r w:rsidRPr="008A1115" w:rsidR="005D3B44">
        <w:rPr>
          <w:rFonts w:eastAsia="Arial Unicode MS"/>
          <w:sz w:val="24"/>
          <w:szCs w:val="24"/>
          <w:highlight w:val="darkGray"/>
          <w:u w:color="000000"/>
        </w:rPr>
        <w:t xml:space="preserve">e </w:t>
      </w:r>
      <w:r w:rsidRPr="008A1115" w:rsidR="008A1115">
        <w:rPr>
          <w:rFonts w:eastAsia="Arial Unicode MS"/>
          <w:sz w:val="24"/>
          <w:szCs w:val="24"/>
          <w:highlight w:val="darkGray"/>
          <w:u w:color="000000"/>
        </w:rPr>
        <w:t>burden of the collection remains unchanged</w:t>
      </w:r>
      <w:r w:rsidRPr="008A1115">
        <w:rPr>
          <w:rFonts w:eastAsia="Arial Unicode MS"/>
          <w:sz w:val="24"/>
          <w:szCs w:val="24"/>
          <w:highlight w:val="darkGray"/>
          <w:u w:color="000000"/>
        </w:rPr>
        <w:t>.</w:t>
      </w:r>
    </w:p>
    <w:p w:rsidR="00BA3A36" w:rsidP="00B651A5" w14:paraId="325704DD" w14:textId="77777777">
      <w:pPr>
        <w:rPr>
          <w:rFonts w:eastAsia="Arial Unicode MS"/>
          <w:sz w:val="24"/>
          <w:szCs w:val="24"/>
          <w:u w:color="000000"/>
        </w:rPr>
      </w:pPr>
    </w:p>
    <w:p w:rsidR="00EF3779" w:rsidRPr="0072690B" w:rsidP="00B651A5" w14:paraId="277B5515" w14:textId="77777777">
      <w:pPr>
        <w:rPr>
          <w:rFonts w:eastAsia="Arial Unicode MS"/>
          <w:sz w:val="24"/>
          <w:szCs w:val="24"/>
          <w:u w:color="000000"/>
        </w:rPr>
      </w:pPr>
    </w:p>
    <w:p w:rsidR="00AE3003" w:rsidP="00B651A5" w14:paraId="58E31CDE" w14:textId="1BD76072">
      <w:pPr>
        <w:rPr>
          <w:rFonts w:eastAsia="Arial Unicode MS"/>
          <w:b/>
          <w:sz w:val="24"/>
          <w:szCs w:val="24"/>
          <w:u w:color="000000"/>
        </w:rPr>
      </w:pPr>
      <w:r w:rsidRPr="00B651A5">
        <w:rPr>
          <w:rFonts w:eastAsia="Arial Unicode MS"/>
          <w:b/>
          <w:sz w:val="24"/>
          <w:szCs w:val="24"/>
          <w:u w:color="000000"/>
        </w:rPr>
        <w:t>16.</w:t>
      </w:r>
      <w:r w:rsidR="00F72451">
        <w:rPr>
          <w:rFonts w:eastAsia="Arial Unicode MS"/>
          <w:b/>
          <w:sz w:val="24"/>
          <w:szCs w:val="24"/>
          <w:u w:color="000000"/>
        </w:rPr>
        <w:t xml:space="preserve"> </w:t>
      </w:r>
      <w:r w:rsidRPr="00B651A5" w:rsidR="001A3A81">
        <w:rPr>
          <w:rFonts w:eastAsia="Arial Unicode MS"/>
          <w:b/>
          <w:sz w:val="24"/>
          <w:szCs w:val="24"/>
          <w:u w:color="000000"/>
        </w:rPr>
        <w:t>Plans for Tabulation and Publication and Project Time Schedule</w:t>
      </w:r>
    </w:p>
    <w:p w:rsidR="00D37BF0" w:rsidP="00B651A5" w14:paraId="1BFAC3A3" w14:textId="036F23D6">
      <w:pPr>
        <w:rPr>
          <w:rFonts w:eastAsia="Arial Unicode MS"/>
          <w:b/>
          <w:sz w:val="24"/>
          <w:szCs w:val="24"/>
          <w:u w:color="000000"/>
        </w:rPr>
      </w:pPr>
    </w:p>
    <w:p w:rsidR="00BA3A36" w:rsidP="00D37BF0" w14:paraId="0BAA5285" w14:textId="309BA931">
      <w:pPr>
        <w:rPr>
          <w:rFonts w:eastAsia="Arial Unicode MS"/>
          <w:sz w:val="24"/>
          <w:szCs w:val="24"/>
        </w:rPr>
      </w:pPr>
      <w:r>
        <w:rPr>
          <w:rFonts w:eastAsia="Arial Unicode MS"/>
          <w:sz w:val="24"/>
          <w:szCs w:val="24"/>
        </w:rPr>
        <w:t>Dress Rehearsal Data Collection Schedule</w:t>
      </w:r>
    </w:p>
    <w:tbl>
      <w:tblPr>
        <w:tblW w:w="6320" w:type="dxa"/>
        <w:tblLook w:val="04A0"/>
      </w:tblPr>
      <w:tblGrid>
        <w:gridCol w:w="3320"/>
        <w:gridCol w:w="3000"/>
      </w:tblGrid>
      <w:tr w14:paraId="4763C741" w14:textId="77777777" w:rsidTr="008644F0">
        <w:tblPrEx>
          <w:tblW w:w="6320" w:type="dxa"/>
          <w:tblLook w:val="04A0"/>
        </w:tblPrEx>
        <w:trPr>
          <w:trHeight w:val="29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4F0" w:rsidRPr="008644F0" w:rsidP="008644F0" w14:paraId="5488AC3B" w14:textId="77777777">
            <w:pPr>
              <w:rPr>
                <w:rFonts w:ascii="Calibri" w:hAnsi="Calibri" w:cs="Calibri"/>
                <w:color w:val="000000"/>
                <w:sz w:val="22"/>
                <w:szCs w:val="22"/>
              </w:rPr>
            </w:pPr>
            <w:r w:rsidRPr="008644F0">
              <w:rPr>
                <w:rFonts w:ascii="Calibri" w:hAnsi="Calibri" w:cs="Calibri"/>
                <w:color w:val="000000"/>
                <w:sz w:val="22"/>
                <w:szCs w:val="22"/>
              </w:rPr>
              <w:t>Advance Mailing</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rsidR="008644F0" w:rsidRPr="008644F0" w:rsidP="008644F0" w14:paraId="1A44404F" w14:textId="675FC401">
            <w:pPr>
              <w:rPr>
                <w:rFonts w:ascii="Calibri" w:hAnsi="Calibri" w:cs="Calibri"/>
                <w:color w:val="000000"/>
                <w:sz w:val="22"/>
                <w:szCs w:val="22"/>
              </w:rPr>
            </w:pPr>
            <w:r w:rsidRPr="00B147BB">
              <w:rPr>
                <w:rFonts w:ascii="Calibri" w:hAnsi="Calibri" w:cs="Calibri"/>
                <w:color w:val="000000"/>
                <w:sz w:val="22"/>
                <w:szCs w:val="22"/>
                <w:highlight w:val="darkGray"/>
              </w:rPr>
              <w:t>August</w:t>
            </w:r>
            <w:r w:rsidRPr="00B147BB">
              <w:rPr>
                <w:rFonts w:ascii="Calibri" w:hAnsi="Calibri" w:cs="Calibri"/>
                <w:color w:val="000000"/>
                <w:sz w:val="22"/>
                <w:szCs w:val="22"/>
                <w:highlight w:val="darkGray"/>
              </w:rPr>
              <w:t xml:space="preserve"> 2023</w:t>
            </w:r>
          </w:p>
        </w:tc>
      </w:tr>
      <w:tr w14:paraId="6F8A1E92"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59DFD710" w14:textId="77777777">
            <w:pPr>
              <w:rPr>
                <w:rFonts w:ascii="Calibri" w:hAnsi="Calibri" w:cs="Calibri"/>
                <w:color w:val="000000"/>
                <w:sz w:val="22"/>
                <w:szCs w:val="22"/>
              </w:rPr>
            </w:pPr>
            <w:r w:rsidRPr="008644F0">
              <w:rPr>
                <w:rFonts w:ascii="Calibri" w:hAnsi="Calibri" w:cs="Calibri"/>
                <w:color w:val="000000"/>
                <w:sz w:val="22"/>
                <w:szCs w:val="22"/>
              </w:rPr>
              <w:t>Initial Mail Out</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7B4A6177" w14:textId="66892A8B">
            <w:pPr>
              <w:rPr>
                <w:rFonts w:ascii="Calibri" w:hAnsi="Calibri" w:cs="Calibri"/>
                <w:color w:val="000000"/>
                <w:sz w:val="22"/>
                <w:szCs w:val="22"/>
              </w:rPr>
            </w:pPr>
            <w:r w:rsidRPr="00B147BB">
              <w:rPr>
                <w:rFonts w:ascii="Calibri" w:hAnsi="Calibri" w:cs="Calibri"/>
                <w:color w:val="000000"/>
                <w:sz w:val="22"/>
                <w:szCs w:val="22"/>
                <w:highlight w:val="darkGray"/>
              </w:rPr>
              <w:t>September</w:t>
            </w:r>
            <w:r w:rsidRPr="00B147BB">
              <w:rPr>
                <w:rFonts w:ascii="Calibri" w:hAnsi="Calibri" w:cs="Calibri"/>
                <w:color w:val="000000"/>
                <w:sz w:val="22"/>
                <w:szCs w:val="22"/>
                <w:highlight w:val="darkGray"/>
              </w:rPr>
              <w:t xml:space="preserve"> 2023</w:t>
            </w:r>
          </w:p>
        </w:tc>
      </w:tr>
      <w:tr w14:paraId="4C575A61"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20C3A91F" w14:textId="77777777">
            <w:pPr>
              <w:rPr>
                <w:rFonts w:ascii="Calibri" w:hAnsi="Calibri" w:cs="Calibri"/>
                <w:color w:val="000000"/>
                <w:sz w:val="22"/>
                <w:szCs w:val="22"/>
              </w:rPr>
            </w:pPr>
            <w:r w:rsidRPr="008644F0">
              <w:rPr>
                <w:rFonts w:ascii="Calibri" w:hAnsi="Calibri" w:cs="Calibri"/>
                <w:color w:val="000000"/>
                <w:sz w:val="22"/>
                <w:szCs w:val="22"/>
              </w:rPr>
              <w:t>Due Date Reminder</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0D3BDB43" w14:textId="4E8CCFB1">
            <w:pPr>
              <w:rPr>
                <w:rFonts w:ascii="Calibri" w:hAnsi="Calibri" w:cs="Calibri"/>
                <w:color w:val="000000"/>
                <w:sz w:val="22"/>
                <w:szCs w:val="22"/>
              </w:rPr>
            </w:pPr>
            <w:r w:rsidRPr="00B147BB">
              <w:rPr>
                <w:rFonts w:ascii="Calibri" w:hAnsi="Calibri" w:cs="Calibri"/>
                <w:color w:val="000000"/>
                <w:sz w:val="22"/>
                <w:szCs w:val="22"/>
                <w:highlight w:val="darkGray"/>
              </w:rPr>
              <w:t>October</w:t>
            </w:r>
            <w:r w:rsidRPr="00B147BB">
              <w:rPr>
                <w:rFonts w:ascii="Calibri" w:hAnsi="Calibri" w:cs="Calibri"/>
                <w:color w:val="000000"/>
                <w:sz w:val="22"/>
                <w:szCs w:val="22"/>
                <w:highlight w:val="darkGray"/>
              </w:rPr>
              <w:t xml:space="preserve"> 2023</w:t>
            </w:r>
          </w:p>
        </w:tc>
      </w:tr>
      <w:tr w14:paraId="791CB861"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4E330830" w14:textId="77777777">
            <w:pPr>
              <w:rPr>
                <w:rFonts w:ascii="Calibri" w:hAnsi="Calibri" w:cs="Calibri"/>
                <w:color w:val="000000"/>
                <w:sz w:val="22"/>
                <w:szCs w:val="22"/>
              </w:rPr>
            </w:pPr>
            <w:r w:rsidRPr="008644F0">
              <w:rPr>
                <w:rFonts w:ascii="Calibri" w:hAnsi="Calibri" w:cs="Calibri"/>
                <w:color w:val="000000"/>
                <w:sz w:val="22"/>
                <w:szCs w:val="22"/>
              </w:rPr>
              <w:t>Telephone Reminder</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B147BB" w:rsidP="008644F0" w14:paraId="16CE082F" w14:textId="443A7DCD">
            <w:pPr>
              <w:rPr>
                <w:rFonts w:ascii="Calibri" w:hAnsi="Calibri" w:cs="Calibri"/>
                <w:color w:val="000000"/>
                <w:sz w:val="22"/>
                <w:szCs w:val="22"/>
                <w:highlight w:val="darkGray"/>
              </w:rPr>
            </w:pPr>
            <w:r w:rsidRPr="00B147BB">
              <w:rPr>
                <w:rFonts w:ascii="Calibri" w:hAnsi="Calibri" w:cs="Calibri"/>
                <w:color w:val="000000"/>
                <w:sz w:val="22"/>
                <w:szCs w:val="22"/>
                <w:highlight w:val="darkGray"/>
              </w:rPr>
              <w:t xml:space="preserve">September </w:t>
            </w:r>
            <w:r w:rsidRPr="00B147BB" w:rsidR="00B147BB">
              <w:rPr>
                <w:rFonts w:ascii="Calibri" w:hAnsi="Calibri" w:cs="Calibri"/>
                <w:color w:val="000000"/>
                <w:sz w:val="22"/>
                <w:szCs w:val="22"/>
                <w:highlight w:val="darkGray"/>
              </w:rPr>
              <w:t xml:space="preserve">– October </w:t>
            </w:r>
            <w:r w:rsidRPr="00B147BB">
              <w:rPr>
                <w:rFonts w:ascii="Calibri" w:hAnsi="Calibri" w:cs="Calibri"/>
                <w:color w:val="000000"/>
                <w:sz w:val="22"/>
                <w:szCs w:val="22"/>
                <w:highlight w:val="darkGray"/>
              </w:rPr>
              <w:t>2023</w:t>
            </w:r>
          </w:p>
        </w:tc>
      </w:tr>
      <w:tr w14:paraId="0904349E"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5DDA621D" w14:textId="77777777">
            <w:pPr>
              <w:rPr>
                <w:rFonts w:ascii="Calibri" w:hAnsi="Calibri" w:cs="Calibri"/>
                <w:color w:val="000000"/>
                <w:sz w:val="22"/>
                <w:szCs w:val="22"/>
              </w:rPr>
            </w:pPr>
            <w:r w:rsidRPr="008644F0">
              <w:rPr>
                <w:rFonts w:ascii="Calibri" w:hAnsi="Calibri" w:cs="Calibri"/>
                <w:color w:val="000000"/>
                <w:sz w:val="22"/>
                <w:szCs w:val="22"/>
              </w:rPr>
              <w:t>Email Follow-up</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1DF2DC90" w14:textId="77777777">
            <w:pPr>
              <w:rPr>
                <w:rFonts w:ascii="Calibri" w:hAnsi="Calibri" w:cs="Calibri"/>
                <w:color w:val="000000"/>
                <w:sz w:val="22"/>
                <w:szCs w:val="22"/>
              </w:rPr>
            </w:pPr>
            <w:r w:rsidRPr="008644F0">
              <w:rPr>
                <w:rFonts w:ascii="Calibri" w:hAnsi="Calibri" w:cs="Calibri"/>
                <w:color w:val="000000"/>
                <w:sz w:val="22"/>
                <w:szCs w:val="22"/>
              </w:rPr>
              <w:t>October 2023</w:t>
            </w:r>
          </w:p>
        </w:tc>
      </w:tr>
      <w:tr w14:paraId="177D80C8"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01633CA3" w14:textId="77777777">
            <w:pPr>
              <w:rPr>
                <w:rFonts w:ascii="Calibri" w:hAnsi="Calibri" w:cs="Calibri"/>
                <w:color w:val="000000"/>
                <w:sz w:val="22"/>
                <w:szCs w:val="22"/>
              </w:rPr>
            </w:pPr>
            <w:r w:rsidRPr="008644F0">
              <w:rPr>
                <w:rFonts w:ascii="Calibri" w:hAnsi="Calibri" w:cs="Calibri"/>
                <w:color w:val="000000"/>
                <w:sz w:val="22"/>
                <w:szCs w:val="22"/>
              </w:rPr>
              <w:t>First Mail Follow-up</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5719E546" w14:textId="77777777">
            <w:pPr>
              <w:rPr>
                <w:rFonts w:ascii="Calibri" w:hAnsi="Calibri" w:cs="Calibri"/>
                <w:color w:val="000000"/>
                <w:sz w:val="22"/>
                <w:szCs w:val="22"/>
              </w:rPr>
            </w:pPr>
            <w:r w:rsidRPr="008644F0">
              <w:rPr>
                <w:rFonts w:ascii="Calibri" w:hAnsi="Calibri" w:cs="Calibri"/>
                <w:color w:val="000000"/>
                <w:sz w:val="22"/>
                <w:szCs w:val="22"/>
              </w:rPr>
              <w:t>October 2023</w:t>
            </w:r>
          </w:p>
        </w:tc>
      </w:tr>
      <w:tr w14:paraId="093BC1F2"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44C22923" w14:textId="77777777">
            <w:pPr>
              <w:rPr>
                <w:rFonts w:ascii="Calibri" w:hAnsi="Calibri" w:cs="Calibri"/>
                <w:color w:val="000000"/>
                <w:sz w:val="22"/>
                <w:szCs w:val="22"/>
              </w:rPr>
            </w:pPr>
            <w:r w:rsidRPr="008644F0">
              <w:rPr>
                <w:rFonts w:ascii="Calibri" w:hAnsi="Calibri" w:cs="Calibri"/>
                <w:color w:val="000000"/>
                <w:sz w:val="22"/>
                <w:szCs w:val="22"/>
              </w:rPr>
              <w:t>Telephone Follow-up</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67B0EB32" w14:textId="390A6A79">
            <w:pPr>
              <w:rPr>
                <w:rFonts w:ascii="Calibri" w:hAnsi="Calibri" w:cs="Calibri"/>
                <w:color w:val="000000"/>
                <w:sz w:val="22"/>
                <w:szCs w:val="22"/>
              </w:rPr>
            </w:pPr>
            <w:r w:rsidRPr="00B147BB">
              <w:rPr>
                <w:rFonts w:ascii="Calibri" w:hAnsi="Calibri" w:cs="Calibri"/>
                <w:color w:val="000000"/>
                <w:sz w:val="22"/>
                <w:szCs w:val="22"/>
                <w:highlight w:val="darkGray"/>
              </w:rPr>
              <w:t>October</w:t>
            </w:r>
            <w:r w:rsidRPr="00B147BB" w:rsidR="00B147BB">
              <w:rPr>
                <w:rFonts w:ascii="Calibri" w:hAnsi="Calibri" w:cs="Calibri"/>
                <w:color w:val="000000"/>
                <w:sz w:val="22"/>
                <w:szCs w:val="22"/>
                <w:highlight w:val="darkGray"/>
              </w:rPr>
              <w:t xml:space="preserve"> - November</w:t>
            </w:r>
            <w:r w:rsidRPr="00B147BB">
              <w:rPr>
                <w:rFonts w:ascii="Calibri" w:hAnsi="Calibri" w:cs="Calibri"/>
                <w:color w:val="000000"/>
                <w:sz w:val="22"/>
                <w:szCs w:val="22"/>
                <w:highlight w:val="darkGray"/>
              </w:rPr>
              <w:t xml:space="preserve"> 2023</w:t>
            </w:r>
          </w:p>
        </w:tc>
      </w:tr>
      <w:tr w14:paraId="6EA95439" w14:textId="77777777" w:rsidTr="008644F0">
        <w:tblPrEx>
          <w:tblW w:w="6320" w:type="dxa"/>
          <w:tblLook w:val="04A0"/>
        </w:tblPrEx>
        <w:trPr>
          <w:trHeight w:val="29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8644F0" w:rsidRPr="008644F0" w:rsidP="008644F0" w14:paraId="548C2027" w14:textId="77777777">
            <w:pPr>
              <w:rPr>
                <w:rFonts w:ascii="Calibri" w:hAnsi="Calibri" w:cs="Calibri"/>
                <w:color w:val="000000"/>
                <w:sz w:val="22"/>
                <w:szCs w:val="22"/>
              </w:rPr>
            </w:pPr>
            <w:r w:rsidRPr="008644F0">
              <w:rPr>
                <w:rFonts w:ascii="Calibri" w:hAnsi="Calibri" w:cs="Calibri"/>
                <w:color w:val="000000"/>
                <w:sz w:val="22"/>
                <w:szCs w:val="22"/>
              </w:rPr>
              <w:t>Debriefing Interviews</w:t>
            </w:r>
          </w:p>
        </w:tc>
        <w:tc>
          <w:tcPr>
            <w:tcW w:w="3000" w:type="dxa"/>
            <w:tcBorders>
              <w:top w:val="nil"/>
              <w:left w:val="nil"/>
              <w:bottom w:val="single" w:sz="4" w:space="0" w:color="auto"/>
              <w:right w:val="single" w:sz="4" w:space="0" w:color="auto"/>
            </w:tcBorders>
            <w:shd w:val="clear" w:color="auto" w:fill="auto"/>
            <w:noWrap/>
            <w:vAlign w:val="bottom"/>
            <w:hideMark/>
          </w:tcPr>
          <w:p w:rsidR="008644F0" w:rsidRPr="008644F0" w:rsidP="008644F0" w14:paraId="1EBA5DB3" w14:textId="77777777">
            <w:pPr>
              <w:rPr>
                <w:rFonts w:ascii="Calibri" w:hAnsi="Calibri" w:cs="Calibri"/>
                <w:color w:val="000000"/>
                <w:sz w:val="22"/>
                <w:szCs w:val="22"/>
              </w:rPr>
            </w:pPr>
            <w:r w:rsidRPr="008644F0">
              <w:rPr>
                <w:rFonts w:ascii="Calibri" w:hAnsi="Calibri" w:cs="Calibri"/>
                <w:color w:val="000000"/>
                <w:sz w:val="22"/>
                <w:szCs w:val="22"/>
              </w:rPr>
              <w:t>September-December 2023</w:t>
            </w:r>
          </w:p>
        </w:tc>
      </w:tr>
    </w:tbl>
    <w:p w:rsidR="00AE3003" w:rsidP="00D37BF0" w14:paraId="5EB683FB" w14:textId="1AF22374">
      <w:pPr>
        <w:rPr>
          <w:rFonts w:eastAsia="Arial Unicode MS"/>
          <w:sz w:val="24"/>
          <w:szCs w:val="24"/>
        </w:rPr>
      </w:pPr>
    </w:p>
    <w:p w:rsidR="00AE3003" w:rsidP="00D37BF0" w14:paraId="7E0FCBB4" w14:textId="1328ECDB">
      <w:pPr>
        <w:rPr>
          <w:rFonts w:eastAsia="Arial Unicode MS"/>
          <w:sz w:val="24"/>
          <w:szCs w:val="24"/>
        </w:rPr>
      </w:pPr>
    </w:p>
    <w:p w:rsidR="00AE3003" w:rsidP="00D37BF0" w14:paraId="24134CF3" w14:textId="4B1F295C">
      <w:pPr>
        <w:rPr>
          <w:rFonts w:eastAsia="Arial Unicode MS"/>
          <w:sz w:val="24"/>
          <w:szCs w:val="24"/>
        </w:rPr>
      </w:pPr>
      <w:r>
        <w:rPr>
          <w:rFonts w:eastAsia="Arial Unicode MS"/>
          <w:sz w:val="24"/>
          <w:szCs w:val="24"/>
        </w:rPr>
        <w:t xml:space="preserve">Data collected in the AIES Dress Rehearsal will be passed back to </w:t>
      </w:r>
      <w:r w:rsidR="00B07846">
        <w:rPr>
          <w:rFonts w:eastAsia="Arial Unicode MS"/>
          <w:sz w:val="24"/>
          <w:szCs w:val="24"/>
        </w:rPr>
        <w:t xml:space="preserve">the </w:t>
      </w:r>
      <w:r>
        <w:rPr>
          <w:rFonts w:eastAsia="Arial Unicode MS"/>
          <w:sz w:val="24"/>
          <w:szCs w:val="24"/>
        </w:rPr>
        <w:t xml:space="preserve">ARTS, AWTS, SAS, </w:t>
      </w:r>
      <w:r w:rsidR="00465C9F">
        <w:rPr>
          <w:rFonts w:eastAsia="Arial Unicode MS"/>
          <w:sz w:val="24"/>
          <w:szCs w:val="24"/>
        </w:rPr>
        <w:t xml:space="preserve">ACES, </w:t>
      </w:r>
      <w:r>
        <w:rPr>
          <w:rFonts w:eastAsia="Arial Unicode MS"/>
          <w:sz w:val="24"/>
          <w:szCs w:val="24"/>
        </w:rPr>
        <w:t xml:space="preserve">and M3UFO </w:t>
      </w:r>
      <w:r w:rsidR="00B07846">
        <w:rPr>
          <w:rFonts w:eastAsia="Arial Unicode MS"/>
          <w:sz w:val="24"/>
          <w:szCs w:val="24"/>
        </w:rPr>
        <w:t xml:space="preserve">programs </w:t>
      </w:r>
      <w:r>
        <w:rPr>
          <w:rFonts w:eastAsia="Arial Unicode MS"/>
          <w:sz w:val="24"/>
          <w:szCs w:val="24"/>
        </w:rPr>
        <w:t xml:space="preserve">and will be included in tabulations along with the data collected </w:t>
      </w:r>
      <w:r w:rsidR="00D90349">
        <w:rPr>
          <w:rFonts w:eastAsia="Arial Unicode MS"/>
          <w:sz w:val="24"/>
          <w:szCs w:val="24"/>
        </w:rPr>
        <w:t>by</w:t>
      </w:r>
      <w:r>
        <w:rPr>
          <w:rFonts w:eastAsia="Arial Unicode MS"/>
          <w:sz w:val="24"/>
          <w:szCs w:val="24"/>
        </w:rPr>
        <w:t xml:space="preserve"> these annual programs.  </w:t>
      </w:r>
      <w:r w:rsidR="00F137FB">
        <w:rPr>
          <w:rFonts w:eastAsia="Arial Unicode MS"/>
          <w:sz w:val="24"/>
          <w:szCs w:val="24"/>
        </w:rPr>
        <w:t xml:space="preserve">The </w:t>
      </w:r>
      <w:r>
        <w:rPr>
          <w:rFonts w:eastAsia="Arial Unicode MS"/>
          <w:sz w:val="24"/>
          <w:szCs w:val="24"/>
        </w:rPr>
        <w:t xml:space="preserve">AIES will not produce a stand-alone data product that is exclusive of </w:t>
      </w:r>
      <w:r w:rsidR="00F137FB">
        <w:rPr>
          <w:rFonts w:eastAsia="Arial Unicode MS"/>
          <w:sz w:val="24"/>
          <w:szCs w:val="24"/>
        </w:rPr>
        <w:t xml:space="preserve">the </w:t>
      </w:r>
      <w:r>
        <w:rPr>
          <w:rFonts w:eastAsia="Arial Unicode MS"/>
          <w:sz w:val="24"/>
          <w:szCs w:val="24"/>
        </w:rPr>
        <w:t xml:space="preserve">AIES Dress Rehearsal </w:t>
      </w:r>
      <w:r w:rsidR="00D90349">
        <w:rPr>
          <w:rFonts w:eastAsia="Arial Unicode MS"/>
          <w:sz w:val="24"/>
          <w:szCs w:val="24"/>
        </w:rPr>
        <w:t>d</w:t>
      </w:r>
      <w:r>
        <w:rPr>
          <w:rFonts w:eastAsia="Arial Unicode MS"/>
          <w:sz w:val="24"/>
          <w:szCs w:val="24"/>
        </w:rPr>
        <w:t>ata.</w:t>
      </w:r>
    </w:p>
    <w:p w:rsidR="00C60E4D" w:rsidP="00D37BF0" w14:paraId="43147B4D" w14:textId="77777777">
      <w:pPr>
        <w:rPr>
          <w:rFonts w:eastAsia="Arial Unicode MS"/>
          <w:sz w:val="24"/>
          <w:szCs w:val="24"/>
        </w:rPr>
      </w:pPr>
    </w:p>
    <w:p w:rsidR="00C60E4D" w:rsidP="00D37BF0" w14:paraId="29F4BF3F" w14:textId="2D5993CD">
      <w:pPr>
        <w:rPr>
          <w:rFonts w:eastAsia="Arial Unicode MS"/>
          <w:sz w:val="24"/>
          <w:szCs w:val="24"/>
        </w:rPr>
      </w:pPr>
    </w:p>
    <w:p w:rsidR="00C60E4D" w:rsidRPr="00D37BF0" w:rsidP="00D37BF0" w14:paraId="6087F6FD" w14:textId="1D77FA2D">
      <w:pPr>
        <w:rPr>
          <w:rFonts w:eastAsia="Arial Unicode MS"/>
          <w:sz w:val="24"/>
          <w:szCs w:val="24"/>
        </w:rPr>
      </w:pPr>
      <w:r>
        <w:rPr>
          <w:rFonts w:eastAsia="Arial Unicode MS"/>
          <w:sz w:val="24"/>
          <w:szCs w:val="24"/>
        </w:rPr>
        <w:t>AIES Collection and Publication Schedule</w:t>
      </w:r>
    </w:p>
    <w:tbl>
      <w:tblPr>
        <w:tblW w:w="6020" w:type="dxa"/>
        <w:tblLook w:val="04A0"/>
      </w:tblPr>
      <w:tblGrid>
        <w:gridCol w:w="3160"/>
        <w:gridCol w:w="2860"/>
      </w:tblGrid>
      <w:tr w14:paraId="2785808D" w14:textId="77777777" w:rsidTr="00411B19">
        <w:tblPrEx>
          <w:tblW w:w="6020" w:type="dxa"/>
          <w:tblLook w:val="04A0"/>
        </w:tblPrEx>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B19" w:rsidRPr="00411B19" w:rsidP="00411B19" w14:paraId="69E789B2" w14:textId="77777777">
            <w:pPr>
              <w:rPr>
                <w:rFonts w:ascii="Calibri" w:hAnsi="Calibri" w:cs="Calibri"/>
                <w:color w:val="000000"/>
                <w:sz w:val="22"/>
                <w:szCs w:val="22"/>
              </w:rPr>
            </w:pPr>
            <w:r w:rsidRPr="00411B19">
              <w:rPr>
                <w:rFonts w:ascii="Calibri" w:hAnsi="Calibri" w:cs="Calibri"/>
                <w:color w:val="000000"/>
                <w:sz w:val="22"/>
                <w:szCs w:val="22"/>
              </w:rPr>
              <w:t>Advance Mailing</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411B19" w:rsidRPr="00411B19" w:rsidP="00411B19" w14:paraId="729A60EE" w14:textId="77777777">
            <w:pPr>
              <w:rPr>
                <w:rFonts w:ascii="Calibri" w:hAnsi="Calibri" w:cs="Calibri"/>
                <w:color w:val="000000"/>
                <w:sz w:val="22"/>
                <w:szCs w:val="22"/>
              </w:rPr>
            </w:pPr>
            <w:r w:rsidRPr="00411B19">
              <w:rPr>
                <w:rFonts w:ascii="Calibri" w:hAnsi="Calibri" w:cs="Calibri"/>
                <w:color w:val="000000"/>
                <w:sz w:val="22"/>
                <w:szCs w:val="22"/>
              </w:rPr>
              <w:t>February 2024</w:t>
            </w:r>
          </w:p>
        </w:tc>
      </w:tr>
      <w:tr w14:paraId="74FD758B"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47A15EE3" w14:textId="77777777">
            <w:pPr>
              <w:rPr>
                <w:rFonts w:ascii="Calibri" w:hAnsi="Calibri" w:cs="Calibri"/>
                <w:color w:val="000000"/>
                <w:sz w:val="22"/>
                <w:szCs w:val="22"/>
              </w:rPr>
            </w:pPr>
            <w:r w:rsidRPr="00411B19">
              <w:rPr>
                <w:rFonts w:ascii="Calibri" w:hAnsi="Calibri" w:cs="Calibri"/>
                <w:color w:val="000000"/>
                <w:sz w:val="22"/>
                <w:szCs w:val="22"/>
              </w:rPr>
              <w:t>Initial Mail Out</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14C2171D" w14:textId="77777777">
            <w:pPr>
              <w:rPr>
                <w:rFonts w:ascii="Calibri" w:hAnsi="Calibri" w:cs="Calibri"/>
                <w:color w:val="000000"/>
                <w:sz w:val="22"/>
                <w:szCs w:val="22"/>
              </w:rPr>
            </w:pPr>
            <w:r w:rsidRPr="00411B19">
              <w:rPr>
                <w:rFonts w:ascii="Calibri" w:hAnsi="Calibri" w:cs="Calibri"/>
                <w:color w:val="000000"/>
                <w:sz w:val="22"/>
                <w:szCs w:val="22"/>
              </w:rPr>
              <w:t>March 2024</w:t>
            </w:r>
          </w:p>
        </w:tc>
      </w:tr>
      <w:tr w14:paraId="22E85DFF"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3A9356AC" w14:textId="77777777">
            <w:pPr>
              <w:rPr>
                <w:rFonts w:ascii="Calibri" w:hAnsi="Calibri" w:cs="Calibri"/>
                <w:color w:val="000000"/>
                <w:sz w:val="22"/>
                <w:szCs w:val="22"/>
              </w:rPr>
            </w:pPr>
            <w:r w:rsidRPr="00411B19">
              <w:rPr>
                <w:rFonts w:ascii="Calibri" w:hAnsi="Calibri" w:cs="Calibri"/>
                <w:color w:val="000000"/>
                <w:sz w:val="22"/>
                <w:szCs w:val="22"/>
              </w:rPr>
              <w:t>Due Date Reminder</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4170E405" w14:textId="77777777">
            <w:pPr>
              <w:rPr>
                <w:rFonts w:ascii="Calibri" w:hAnsi="Calibri" w:cs="Calibri"/>
                <w:color w:val="000000"/>
                <w:sz w:val="22"/>
                <w:szCs w:val="22"/>
              </w:rPr>
            </w:pPr>
            <w:r w:rsidRPr="00411B19">
              <w:rPr>
                <w:rFonts w:ascii="Calibri" w:hAnsi="Calibri" w:cs="Calibri"/>
                <w:color w:val="000000"/>
                <w:sz w:val="22"/>
                <w:szCs w:val="22"/>
              </w:rPr>
              <w:t>April 2024</w:t>
            </w:r>
          </w:p>
        </w:tc>
      </w:tr>
      <w:tr w14:paraId="2A8D2581"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476AD2BB" w14:textId="77777777">
            <w:pPr>
              <w:rPr>
                <w:rFonts w:ascii="Calibri" w:hAnsi="Calibri" w:cs="Calibri"/>
                <w:color w:val="000000"/>
                <w:sz w:val="22"/>
                <w:szCs w:val="22"/>
              </w:rPr>
            </w:pPr>
            <w:r w:rsidRPr="00411B19">
              <w:rPr>
                <w:rFonts w:ascii="Calibri" w:hAnsi="Calibri" w:cs="Calibri"/>
                <w:color w:val="000000"/>
                <w:sz w:val="22"/>
                <w:szCs w:val="22"/>
              </w:rPr>
              <w:t>Email Follow-up</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0B20BB" w:rsidP="00411B19" w14:paraId="68233AA1" w14:textId="568D47FD">
            <w:pPr>
              <w:rPr>
                <w:rFonts w:ascii="Calibri" w:hAnsi="Calibri" w:cs="Calibri"/>
                <w:color w:val="000000"/>
                <w:sz w:val="22"/>
                <w:szCs w:val="22"/>
                <w:highlight w:val="darkGray"/>
              </w:rPr>
            </w:pPr>
            <w:r w:rsidRPr="000B20BB">
              <w:rPr>
                <w:rFonts w:ascii="Calibri" w:hAnsi="Calibri" w:cs="Calibri"/>
                <w:color w:val="000000"/>
                <w:sz w:val="22"/>
                <w:szCs w:val="22"/>
                <w:highlight w:val="darkGray"/>
              </w:rPr>
              <w:t>May</w:t>
            </w:r>
            <w:r w:rsidRPr="000B20BB">
              <w:rPr>
                <w:rFonts w:ascii="Calibri" w:hAnsi="Calibri" w:cs="Calibri"/>
                <w:color w:val="000000"/>
                <w:sz w:val="22"/>
                <w:szCs w:val="22"/>
                <w:highlight w:val="darkGray"/>
              </w:rPr>
              <w:t xml:space="preserve"> through December 2024</w:t>
            </w:r>
          </w:p>
        </w:tc>
      </w:tr>
      <w:tr w14:paraId="49F55D5F"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03E498BD" w14:textId="77777777">
            <w:pPr>
              <w:rPr>
                <w:rFonts w:ascii="Calibri" w:hAnsi="Calibri" w:cs="Calibri"/>
                <w:color w:val="000000"/>
                <w:sz w:val="22"/>
                <w:szCs w:val="22"/>
              </w:rPr>
            </w:pPr>
            <w:r w:rsidRPr="00411B19">
              <w:rPr>
                <w:rFonts w:ascii="Calibri" w:hAnsi="Calibri" w:cs="Calibri"/>
                <w:color w:val="000000"/>
                <w:sz w:val="22"/>
                <w:szCs w:val="22"/>
              </w:rPr>
              <w:t>Mail Follow-up</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73C43A16" w14:textId="6ED6D8CA">
            <w:pPr>
              <w:rPr>
                <w:rFonts w:ascii="Calibri" w:hAnsi="Calibri" w:cs="Calibri"/>
                <w:color w:val="000000"/>
                <w:sz w:val="22"/>
                <w:szCs w:val="22"/>
              </w:rPr>
            </w:pPr>
            <w:r w:rsidRPr="000B20BB">
              <w:rPr>
                <w:rFonts w:ascii="Calibri" w:hAnsi="Calibri" w:cs="Calibri"/>
                <w:color w:val="000000"/>
                <w:sz w:val="22"/>
                <w:szCs w:val="22"/>
                <w:highlight w:val="darkGray"/>
              </w:rPr>
              <w:t>May</w:t>
            </w:r>
            <w:r w:rsidRPr="000B20BB">
              <w:rPr>
                <w:rFonts w:ascii="Calibri" w:hAnsi="Calibri" w:cs="Calibri"/>
                <w:color w:val="000000"/>
                <w:sz w:val="22"/>
                <w:szCs w:val="22"/>
                <w:highlight w:val="darkGray"/>
              </w:rPr>
              <w:t xml:space="preserve"> through December 2024</w:t>
            </w:r>
          </w:p>
        </w:tc>
      </w:tr>
      <w:tr w14:paraId="507DB058"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650BD742" w14:textId="77777777">
            <w:pPr>
              <w:rPr>
                <w:rFonts w:ascii="Calibri" w:hAnsi="Calibri" w:cs="Calibri"/>
                <w:color w:val="000000"/>
                <w:sz w:val="22"/>
                <w:szCs w:val="22"/>
              </w:rPr>
            </w:pPr>
            <w:r w:rsidRPr="00411B19">
              <w:rPr>
                <w:rFonts w:ascii="Calibri" w:hAnsi="Calibri" w:cs="Calibri"/>
                <w:color w:val="000000"/>
                <w:sz w:val="22"/>
                <w:szCs w:val="22"/>
              </w:rPr>
              <w:t>Telephone Follow-up</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124DDF56" w14:textId="3E12B3F6">
            <w:pPr>
              <w:rPr>
                <w:rFonts w:ascii="Calibri" w:hAnsi="Calibri" w:cs="Calibri"/>
                <w:color w:val="000000"/>
                <w:sz w:val="22"/>
                <w:szCs w:val="22"/>
              </w:rPr>
            </w:pPr>
            <w:r w:rsidRPr="000B20BB">
              <w:rPr>
                <w:rFonts w:ascii="Calibri" w:hAnsi="Calibri" w:cs="Calibri"/>
                <w:color w:val="000000"/>
                <w:sz w:val="22"/>
                <w:szCs w:val="22"/>
                <w:highlight w:val="darkGray"/>
              </w:rPr>
              <w:t>May</w:t>
            </w:r>
            <w:r w:rsidRPr="000B20BB">
              <w:rPr>
                <w:rFonts w:ascii="Calibri" w:hAnsi="Calibri" w:cs="Calibri"/>
                <w:color w:val="000000"/>
                <w:sz w:val="22"/>
                <w:szCs w:val="22"/>
                <w:highlight w:val="darkGray"/>
              </w:rPr>
              <w:t xml:space="preserve"> through December 2024</w:t>
            </w:r>
          </w:p>
        </w:tc>
      </w:tr>
      <w:tr w14:paraId="3F67996E"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00E31277" w14:textId="77777777">
            <w:pPr>
              <w:rPr>
                <w:rFonts w:ascii="Calibri" w:hAnsi="Calibri" w:cs="Calibri"/>
                <w:color w:val="000000"/>
                <w:sz w:val="22"/>
                <w:szCs w:val="22"/>
              </w:rPr>
            </w:pPr>
            <w:r w:rsidRPr="00411B19">
              <w:rPr>
                <w:rFonts w:ascii="Calibri" w:hAnsi="Calibri" w:cs="Calibri"/>
                <w:color w:val="000000"/>
                <w:sz w:val="22"/>
                <w:szCs w:val="22"/>
              </w:rPr>
              <w:t>Edit, Analysis, Tabulation</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22480153" w14:textId="77777777">
            <w:pPr>
              <w:rPr>
                <w:rFonts w:ascii="Calibri" w:hAnsi="Calibri" w:cs="Calibri"/>
                <w:color w:val="000000"/>
                <w:sz w:val="22"/>
                <w:szCs w:val="22"/>
              </w:rPr>
            </w:pPr>
            <w:r w:rsidRPr="00411B19">
              <w:rPr>
                <w:rFonts w:ascii="Calibri" w:hAnsi="Calibri" w:cs="Calibri"/>
                <w:color w:val="000000"/>
                <w:sz w:val="22"/>
                <w:szCs w:val="22"/>
              </w:rPr>
              <w:t>June 2024-May 2025</w:t>
            </w:r>
          </w:p>
        </w:tc>
      </w:tr>
      <w:tr w14:paraId="63492803" w14:textId="77777777" w:rsidTr="00411B19">
        <w:tblPrEx>
          <w:tblW w:w="6020" w:type="dxa"/>
          <w:tblLook w:val="04A0"/>
        </w:tblPrEx>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11B19" w:rsidRPr="00411B19" w:rsidP="00411B19" w14:paraId="0475F2DC" w14:textId="77777777">
            <w:pPr>
              <w:rPr>
                <w:rFonts w:ascii="Calibri" w:hAnsi="Calibri" w:cs="Calibri"/>
                <w:color w:val="000000"/>
                <w:sz w:val="22"/>
                <w:szCs w:val="22"/>
              </w:rPr>
            </w:pPr>
            <w:r w:rsidRPr="00411B19">
              <w:rPr>
                <w:rFonts w:ascii="Calibri" w:hAnsi="Calibri" w:cs="Calibri"/>
                <w:color w:val="000000"/>
                <w:sz w:val="22"/>
                <w:szCs w:val="22"/>
              </w:rPr>
              <w:t>Data Release</w:t>
            </w:r>
          </w:p>
        </w:tc>
        <w:tc>
          <w:tcPr>
            <w:tcW w:w="2860" w:type="dxa"/>
            <w:tcBorders>
              <w:top w:val="nil"/>
              <w:left w:val="nil"/>
              <w:bottom w:val="single" w:sz="4" w:space="0" w:color="auto"/>
              <w:right w:val="single" w:sz="4" w:space="0" w:color="auto"/>
            </w:tcBorders>
            <w:shd w:val="clear" w:color="auto" w:fill="auto"/>
            <w:noWrap/>
            <w:vAlign w:val="bottom"/>
            <w:hideMark/>
          </w:tcPr>
          <w:p w:rsidR="00411B19" w:rsidRPr="00411B19" w:rsidP="00411B19" w14:paraId="3BF28E48" w14:textId="77777777">
            <w:pPr>
              <w:rPr>
                <w:rFonts w:ascii="Calibri" w:hAnsi="Calibri" w:cs="Calibri"/>
                <w:color w:val="000000"/>
                <w:sz w:val="22"/>
                <w:szCs w:val="22"/>
              </w:rPr>
            </w:pPr>
            <w:r w:rsidRPr="00411B19">
              <w:rPr>
                <w:rFonts w:ascii="Calibri" w:hAnsi="Calibri" w:cs="Calibri"/>
                <w:color w:val="000000"/>
                <w:sz w:val="22"/>
                <w:szCs w:val="22"/>
              </w:rPr>
              <w:t>July 2025</w:t>
            </w:r>
          </w:p>
        </w:tc>
      </w:tr>
    </w:tbl>
    <w:p w:rsidR="001A3A81" w:rsidRPr="0072690B" w:rsidP="00B651A5" w14:paraId="42E94FF9" w14:textId="77777777">
      <w:pPr>
        <w:rPr>
          <w:rFonts w:eastAsia="Arial Unicode MS"/>
          <w:sz w:val="24"/>
          <w:szCs w:val="24"/>
          <w:u w:color="000000"/>
        </w:rPr>
      </w:pPr>
    </w:p>
    <w:p w:rsidR="00FD1253" w:rsidP="00B651A5" w14:paraId="1C746E46" w14:textId="77777777">
      <w:pPr>
        <w:rPr>
          <w:rFonts w:eastAsia="Arial Unicode MS"/>
          <w:b/>
          <w:sz w:val="24"/>
          <w:szCs w:val="24"/>
          <w:u w:color="000000"/>
        </w:rPr>
      </w:pPr>
    </w:p>
    <w:p w:rsidR="00AD7F15" w:rsidP="00B651A5" w14:paraId="09FD53CE" w14:textId="77777777">
      <w:pPr>
        <w:rPr>
          <w:rFonts w:eastAsia="Arial Unicode MS"/>
          <w:b/>
          <w:sz w:val="24"/>
          <w:szCs w:val="24"/>
          <w:u w:color="000000"/>
        </w:rPr>
      </w:pPr>
    </w:p>
    <w:p w:rsidR="001A3A81" w:rsidP="00B651A5" w14:paraId="74D10211" w14:textId="264A431C">
      <w:pPr>
        <w:rPr>
          <w:rFonts w:eastAsia="Arial Unicode MS"/>
          <w:b/>
          <w:sz w:val="24"/>
          <w:szCs w:val="24"/>
          <w:u w:color="000000"/>
        </w:rPr>
      </w:pPr>
      <w:r w:rsidRPr="00B651A5">
        <w:rPr>
          <w:rFonts w:eastAsia="Arial Unicode MS"/>
          <w:b/>
          <w:sz w:val="24"/>
          <w:szCs w:val="24"/>
          <w:u w:color="000000"/>
        </w:rPr>
        <w:t>17.</w:t>
      </w:r>
      <w:r w:rsidR="00F72451">
        <w:rPr>
          <w:rFonts w:eastAsia="Arial Unicode MS"/>
          <w:b/>
          <w:sz w:val="24"/>
          <w:szCs w:val="24"/>
          <w:u w:color="000000"/>
        </w:rPr>
        <w:t xml:space="preserve"> </w:t>
      </w:r>
      <w:r w:rsidRPr="00B651A5">
        <w:rPr>
          <w:rFonts w:eastAsia="Arial Unicode MS"/>
          <w:b/>
          <w:sz w:val="24"/>
          <w:szCs w:val="24"/>
          <w:u w:color="000000"/>
        </w:rPr>
        <w:t>Re</w:t>
      </w:r>
      <w:r w:rsidR="003A1FF6">
        <w:rPr>
          <w:rFonts w:eastAsia="Arial Unicode MS"/>
          <w:b/>
          <w:sz w:val="24"/>
          <w:szCs w:val="24"/>
          <w:u w:color="000000"/>
        </w:rPr>
        <w:t xml:space="preserve">quest not to </w:t>
      </w:r>
      <w:r w:rsidRPr="00B651A5">
        <w:rPr>
          <w:rFonts w:eastAsia="Arial Unicode MS"/>
          <w:b/>
          <w:sz w:val="24"/>
          <w:szCs w:val="24"/>
          <w:u w:color="000000"/>
        </w:rPr>
        <w:t xml:space="preserve">Display </w:t>
      </w:r>
      <w:r w:rsidR="003A1FF6">
        <w:rPr>
          <w:rFonts w:eastAsia="Arial Unicode MS"/>
          <w:b/>
          <w:sz w:val="24"/>
          <w:szCs w:val="24"/>
          <w:u w:color="000000"/>
        </w:rPr>
        <w:t>OMB Expiration Date</w:t>
      </w:r>
    </w:p>
    <w:p w:rsidR="003A1FF6" w:rsidP="00B651A5" w14:paraId="544603D6" w14:textId="4232B300">
      <w:pPr>
        <w:rPr>
          <w:rFonts w:eastAsia="Arial Unicode MS"/>
          <w:b/>
          <w:sz w:val="24"/>
          <w:szCs w:val="24"/>
          <w:u w:color="000000"/>
        </w:rPr>
      </w:pPr>
    </w:p>
    <w:p w:rsidR="00BA3A36" w:rsidP="00B651A5" w14:paraId="62D140AF" w14:textId="1DF3683C">
      <w:pPr>
        <w:rPr>
          <w:rFonts w:eastAsia="Arial Unicode MS"/>
          <w:sz w:val="24"/>
          <w:szCs w:val="24"/>
          <w:u w:color="000000"/>
        </w:rPr>
      </w:pPr>
      <w:r>
        <w:rPr>
          <w:rFonts w:eastAsia="Arial Unicode MS"/>
          <w:sz w:val="24"/>
          <w:szCs w:val="24"/>
          <w:u w:color="000000"/>
        </w:rPr>
        <w:t>The expiration date and OMB approval number will be displayed on the electronic collection instrument.</w:t>
      </w:r>
    </w:p>
    <w:p w:rsidR="007E0FF7" w:rsidRPr="003A1FF6" w:rsidP="00B651A5" w14:paraId="1DF28962" w14:textId="77777777">
      <w:pPr>
        <w:rPr>
          <w:rFonts w:eastAsia="Arial Unicode MS"/>
          <w:sz w:val="24"/>
          <w:szCs w:val="24"/>
          <w:u w:color="000000"/>
        </w:rPr>
      </w:pPr>
    </w:p>
    <w:p w:rsidR="001A3A81" w:rsidRPr="0072690B" w:rsidP="008161C4" w14:paraId="0859B000" w14:textId="77777777">
      <w:pPr>
        <w:rPr>
          <w:rFonts w:eastAsia="Arial Unicode MS"/>
          <w:sz w:val="24"/>
          <w:szCs w:val="24"/>
          <w:u w:color="000000"/>
        </w:rPr>
      </w:pPr>
    </w:p>
    <w:p w:rsidR="007C4053" w:rsidP="007C4053" w14:paraId="1108F66F" w14:textId="4FAF62BF">
      <w:pPr>
        <w:rPr>
          <w:rFonts w:eastAsia="Arial Unicode MS"/>
          <w:b/>
          <w:sz w:val="24"/>
          <w:szCs w:val="24"/>
          <w:u w:color="000000"/>
        </w:rPr>
      </w:pPr>
      <w:r w:rsidRPr="00B651A5">
        <w:rPr>
          <w:rFonts w:eastAsia="Arial Unicode MS"/>
          <w:b/>
          <w:sz w:val="24"/>
          <w:szCs w:val="24"/>
          <w:u w:color="000000"/>
        </w:rPr>
        <w:t>18.</w:t>
      </w:r>
      <w:r w:rsidR="00F72451">
        <w:rPr>
          <w:rFonts w:eastAsia="Arial Unicode MS"/>
          <w:b/>
          <w:sz w:val="24"/>
          <w:szCs w:val="24"/>
          <w:u w:color="000000"/>
        </w:rPr>
        <w:t xml:space="preserve"> </w:t>
      </w:r>
      <w:r w:rsidRPr="00B651A5" w:rsidR="001A3A81">
        <w:rPr>
          <w:rFonts w:eastAsia="Arial Unicode MS"/>
          <w:b/>
          <w:sz w:val="24"/>
          <w:szCs w:val="24"/>
          <w:u w:color="000000"/>
        </w:rPr>
        <w:t>Exceptions to Certification for Paperwork Reduction Act Submissions</w:t>
      </w:r>
    </w:p>
    <w:p w:rsidR="007C4053" w:rsidP="007C4053" w14:paraId="5646BA96" w14:textId="77777777">
      <w:pPr>
        <w:rPr>
          <w:rFonts w:eastAsia="Arial Unicode MS"/>
          <w:b/>
          <w:sz w:val="24"/>
          <w:szCs w:val="24"/>
          <w:u w:color="000000"/>
        </w:rPr>
      </w:pPr>
    </w:p>
    <w:p w:rsidR="00527A26" w:rsidRPr="007B7479" w:rsidP="007C4053" w14:paraId="3DE0D919" w14:textId="07E32406">
      <w:pPr>
        <w:rPr>
          <w:rFonts w:eastAsia="Arial Unicode MS"/>
          <w:sz w:val="24"/>
          <w:szCs w:val="24"/>
          <w:u w:color="000000"/>
        </w:rPr>
      </w:pPr>
      <w:r w:rsidRPr="007B7479">
        <w:rPr>
          <w:rFonts w:eastAsia="Arial Unicode MS"/>
          <w:sz w:val="24"/>
          <w:szCs w:val="24"/>
          <w:u w:color="000000"/>
        </w:rPr>
        <w:t>There are no exceptions to the certification.</w:t>
      </w:r>
    </w:p>
    <w:sectPr w:rsidSect="00E42DF3">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41A22" w:rsidP="007B00EF" w14:paraId="4505B87E" w14:textId="77777777">
      <w:r>
        <w:separator/>
      </w:r>
    </w:p>
    <w:p w:rsidR="00741A22" w:rsidP="007B00EF" w14:paraId="07838BF9" w14:textId="77777777"/>
    <w:p w:rsidR="00741A22" w:rsidP="007B00EF" w14:paraId="5C9D8CE6" w14:textId="77777777"/>
    <w:p w:rsidR="00741A22" w14:paraId="23332B4C" w14:textId="77777777"/>
  </w:endnote>
  <w:endnote w:type="continuationSeparator" w:id="1">
    <w:p w:rsidR="00741A22" w:rsidP="007B00EF" w14:paraId="092E2D3D" w14:textId="77777777">
      <w:r>
        <w:continuationSeparator/>
      </w:r>
    </w:p>
    <w:p w:rsidR="00741A22" w:rsidP="007B00EF" w14:paraId="4B8A40F8" w14:textId="77777777"/>
    <w:p w:rsidR="00741A22" w:rsidP="007B00EF" w14:paraId="11EB52B2" w14:textId="77777777"/>
    <w:p w:rsidR="00741A22" w14:paraId="0BD04006" w14:textId="77777777"/>
  </w:endnote>
  <w:endnote w:type="continuationNotice" w:id="2">
    <w:p w:rsidR="00741A22" w14:paraId="388EFF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A22" w14:paraId="63B7A635" w14:textId="41E84D2D">
    <w:pPr>
      <w:pStyle w:val="Footer"/>
      <w:jc w:val="right"/>
    </w:pPr>
    <w:r>
      <w:fldChar w:fldCharType="begin"/>
    </w:r>
    <w:r>
      <w:instrText xml:space="preserve"> PAGE   \* MERGEFORMAT </w:instrText>
    </w:r>
    <w:r>
      <w:fldChar w:fldCharType="separate"/>
    </w:r>
    <w:r w:rsidR="00E456A0">
      <w:rPr>
        <w:noProof/>
      </w:rPr>
      <w:t>2</w:t>
    </w:r>
    <w:r>
      <w:rPr>
        <w:noProof/>
      </w:rPr>
      <w:fldChar w:fldCharType="end"/>
    </w:r>
  </w:p>
  <w:p w:rsidR="00741A22" w:rsidP="007B00EF" w14:paraId="17701F6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1A22" w:rsidP="007B00EF" w14:paraId="65D6C040" w14:textId="77777777">
      <w:r>
        <w:separator/>
      </w:r>
    </w:p>
    <w:p w:rsidR="00741A22" w:rsidP="007B00EF" w14:paraId="7A9A4D09" w14:textId="77777777"/>
    <w:p w:rsidR="00741A22" w:rsidP="007B00EF" w14:paraId="0C8A40CB" w14:textId="77777777"/>
    <w:p w:rsidR="00741A22" w14:paraId="2EE45C3A" w14:textId="77777777"/>
  </w:footnote>
  <w:footnote w:type="continuationSeparator" w:id="1">
    <w:p w:rsidR="00741A22" w:rsidP="007B00EF" w14:paraId="2EF6DA01" w14:textId="77777777">
      <w:r>
        <w:continuationSeparator/>
      </w:r>
    </w:p>
    <w:p w:rsidR="00741A22" w:rsidP="007B00EF" w14:paraId="4F16179A" w14:textId="77777777"/>
    <w:p w:rsidR="00741A22" w:rsidP="007B00EF" w14:paraId="1D94547A" w14:textId="77777777"/>
    <w:p w:rsidR="00741A22" w14:paraId="5E798484" w14:textId="77777777"/>
  </w:footnote>
  <w:footnote w:type="continuationNotice" w:id="2">
    <w:p w:rsidR="00741A22" w14:paraId="2F1B8F2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D5A7335"/>
    <w:multiLevelType w:val="hybridMultilevel"/>
    <w:tmpl w:val="980A5DC2"/>
    <w:lvl w:ilvl="0">
      <w:start w:val="1"/>
      <w:numFmt w:val="bullet"/>
      <w:lvlText w:val="•"/>
      <w:lvlJc w:val="left"/>
      <w:pPr>
        <w:ind w:left="2520" w:hanging="360"/>
      </w:pPr>
      <w:rPr>
        <w:rFonts w:ascii="Times New Roman" w:hAnsi="Times New Roman" w:cs="Times New Roman"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1D421BAE"/>
    <w:multiLevelType w:val="hybridMultilevel"/>
    <w:tmpl w:val="3B62750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22B77DCE"/>
    <w:multiLevelType w:val="hybridMultilevel"/>
    <w:tmpl w:val="3A344C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78C4286"/>
    <w:multiLevelType w:val="hybridMultilevel"/>
    <w:tmpl w:val="0874CF28"/>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3D6F003B"/>
    <w:multiLevelType w:val="hybridMultilevel"/>
    <w:tmpl w:val="FBC687FE"/>
    <w:lvl w:ilvl="0">
      <w:start w:val="1"/>
      <w:numFmt w:val="bullet"/>
      <w:lvlText w:val="•"/>
      <w:lvlJc w:val="left"/>
      <w:pPr>
        <w:ind w:left="1080" w:hanging="360"/>
      </w:pPr>
      <w:rPr>
        <w:rFonts w:ascii="Times New Roman" w:hAnsi="Times New Roman" w:cs="Times New Roman"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Times New Roman" w:hAnsi="Times New Roman" w:cs="Times New Roman"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53C2C83"/>
    <w:multiLevelType w:val="hybridMultilevel"/>
    <w:tmpl w:val="8FF2E2FA"/>
    <w:lvl w:ilvl="0">
      <w:start w:val="16"/>
      <w:numFmt w:val="bullet"/>
      <w:lvlText w:val="-"/>
      <w:lvlJc w:val="left"/>
      <w:pPr>
        <w:ind w:left="720" w:hanging="360"/>
      </w:pPr>
      <w:rPr>
        <w:rFonts w:ascii="Times New Roman" w:eastAsia="Arial Unicode M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9979498">
    <w:abstractNumId w:val="0"/>
  </w:num>
  <w:num w:numId="2" w16cid:durableId="1802268144">
    <w:abstractNumId w:val="1"/>
  </w:num>
  <w:num w:numId="3" w16cid:durableId="1576158561">
    <w:abstractNumId w:val="2"/>
  </w:num>
  <w:num w:numId="4" w16cid:durableId="1582056600">
    <w:abstractNumId w:val="3"/>
  </w:num>
  <w:num w:numId="5" w16cid:durableId="998196089">
    <w:abstractNumId w:val="4"/>
  </w:num>
  <w:num w:numId="6" w16cid:durableId="60905420">
    <w:abstractNumId w:val="5"/>
  </w:num>
  <w:num w:numId="7" w16cid:durableId="598679822">
    <w:abstractNumId w:val="6"/>
  </w:num>
  <w:num w:numId="8" w16cid:durableId="1443455882">
    <w:abstractNumId w:val="9"/>
  </w:num>
  <w:num w:numId="9" w16cid:durableId="1836843675">
    <w:abstractNumId w:val="12"/>
  </w:num>
  <w:num w:numId="10" w16cid:durableId="2052264254">
    <w:abstractNumId w:val="8"/>
  </w:num>
  <w:num w:numId="11" w16cid:durableId="1647472307">
    <w:abstractNumId w:val="11"/>
  </w:num>
  <w:num w:numId="12" w16cid:durableId="389504622">
    <w:abstractNumId w:val="7"/>
  </w:num>
  <w:num w:numId="13" w16cid:durableId="102348465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0164"/>
    <w:rsid w:val="00031BD2"/>
    <w:rsid w:val="000339C1"/>
    <w:rsid w:val="000372F2"/>
    <w:rsid w:val="00037BFF"/>
    <w:rsid w:val="00042053"/>
    <w:rsid w:val="00042166"/>
    <w:rsid w:val="00044C16"/>
    <w:rsid w:val="00046799"/>
    <w:rsid w:val="000538E0"/>
    <w:rsid w:val="000544FA"/>
    <w:rsid w:val="00055D66"/>
    <w:rsid w:val="000574A4"/>
    <w:rsid w:val="00061EBE"/>
    <w:rsid w:val="000627B3"/>
    <w:rsid w:val="00066150"/>
    <w:rsid w:val="0006715E"/>
    <w:rsid w:val="0006751A"/>
    <w:rsid w:val="00067D72"/>
    <w:rsid w:val="00070C2E"/>
    <w:rsid w:val="000713EA"/>
    <w:rsid w:val="00071B84"/>
    <w:rsid w:val="00071FC1"/>
    <w:rsid w:val="000733E0"/>
    <w:rsid w:val="00074BA3"/>
    <w:rsid w:val="000759CB"/>
    <w:rsid w:val="00076C45"/>
    <w:rsid w:val="00080189"/>
    <w:rsid w:val="00080BF0"/>
    <w:rsid w:val="00082808"/>
    <w:rsid w:val="000844F5"/>
    <w:rsid w:val="00084DE8"/>
    <w:rsid w:val="0008519B"/>
    <w:rsid w:val="00085C8D"/>
    <w:rsid w:val="00085F2D"/>
    <w:rsid w:val="000878CC"/>
    <w:rsid w:val="00090414"/>
    <w:rsid w:val="00091FC5"/>
    <w:rsid w:val="00095F92"/>
    <w:rsid w:val="00096679"/>
    <w:rsid w:val="000967F7"/>
    <w:rsid w:val="00096DA5"/>
    <w:rsid w:val="00097DBB"/>
    <w:rsid w:val="000A122D"/>
    <w:rsid w:val="000A18BF"/>
    <w:rsid w:val="000A20EA"/>
    <w:rsid w:val="000A37F1"/>
    <w:rsid w:val="000A6B2D"/>
    <w:rsid w:val="000A7A00"/>
    <w:rsid w:val="000A7E17"/>
    <w:rsid w:val="000B0533"/>
    <w:rsid w:val="000B07A5"/>
    <w:rsid w:val="000B0868"/>
    <w:rsid w:val="000B0A38"/>
    <w:rsid w:val="000B0CEC"/>
    <w:rsid w:val="000B12E3"/>
    <w:rsid w:val="000B20BB"/>
    <w:rsid w:val="000B3EC4"/>
    <w:rsid w:val="000B78AA"/>
    <w:rsid w:val="000C132C"/>
    <w:rsid w:val="000C4532"/>
    <w:rsid w:val="000C509C"/>
    <w:rsid w:val="000C651B"/>
    <w:rsid w:val="000D2350"/>
    <w:rsid w:val="000D349F"/>
    <w:rsid w:val="000D5BA1"/>
    <w:rsid w:val="000D6245"/>
    <w:rsid w:val="000D6F7F"/>
    <w:rsid w:val="000D768F"/>
    <w:rsid w:val="000E172E"/>
    <w:rsid w:val="000E2358"/>
    <w:rsid w:val="000E38B8"/>
    <w:rsid w:val="000E4DDC"/>
    <w:rsid w:val="000E639A"/>
    <w:rsid w:val="000E6AB4"/>
    <w:rsid w:val="000E6E2E"/>
    <w:rsid w:val="000E7007"/>
    <w:rsid w:val="000F04CE"/>
    <w:rsid w:val="000F07E4"/>
    <w:rsid w:val="000F2CE1"/>
    <w:rsid w:val="000F3B98"/>
    <w:rsid w:val="000F515B"/>
    <w:rsid w:val="000F5F43"/>
    <w:rsid w:val="000F68D7"/>
    <w:rsid w:val="000F750C"/>
    <w:rsid w:val="000F78FC"/>
    <w:rsid w:val="000F7B64"/>
    <w:rsid w:val="00100C4A"/>
    <w:rsid w:val="001011A2"/>
    <w:rsid w:val="00101923"/>
    <w:rsid w:val="00101E8A"/>
    <w:rsid w:val="00102314"/>
    <w:rsid w:val="0010424C"/>
    <w:rsid w:val="0010570F"/>
    <w:rsid w:val="0010644F"/>
    <w:rsid w:val="00106B85"/>
    <w:rsid w:val="0011106A"/>
    <w:rsid w:val="00113C01"/>
    <w:rsid w:val="00115210"/>
    <w:rsid w:val="00121E6B"/>
    <w:rsid w:val="00122E02"/>
    <w:rsid w:val="001236BF"/>
    <w:rsid w:val="0012450C"/>
    <w:rsid w:val="00124CB1"/>
    <w:rsid w:val="00127F76"/>
    <w:rsid w:val="00130C5C"/>
    <w:rsid w:val="00131AFE"/>
    <w:rsid w:val="00132AAC"/>
    <w:rsid w:val="00133559"/>
    <w:rsid w:val="0013390E"/>
    <w:rsid w:val="00137476"/>
    <w:rsid w:val="00142656"/>
    <w:rsid w:val="00144232"/>
    <w:rsid w:val="001450A6"/>
    <w:rsid w:val="001479A9"/>
    <w:rsid w:val="001578A8"/>
    <w:rsid w:val="00157D2C"/>
    <w:rsid w:val="00157FCB"/>
    <w:rsid w:val="00160100"/>
    <w:rsid w:val="00160246"/>
    <w:rsid w:val="00161D43"/>
    <w:rsid w:val="00165577"/>
    <w:rsid w:val="001664B1"/>
    <w:rsid w:val="001665CE"/>
    <w:rsid w:val="0016709B"/>
    <w:rsid w:val="001708FC"/>
    <w:rsid w:val="00173013"/>
    <w:rsid w:val="00173A83"/>
    <w:rsid w:val="00174CDD"/>
    <w:rsid w:val="00174EA0"/>
    <w:rsid w:val="00177079"/>
    <w:rsid w:val="00177D60"/>
    <w:rsid w:val="00181CB4"/>
    <w:rsid w:val="001904CC"/>
    <w:rsid w:val="00190FB0"/>
    <w:rsid w:val="00191146"/>
    <w:rsid w:val="001922D0"/>
    <w:rsid w:val="001936DB"/>
    <w:rsid w:val="00194E12"/>
    <w:rsid w:val="00195305"/>
    <w:rsid w:val="00197195"/>
    <w:rsid w:val="001A0061"/>
    <w:rsid w:val="001A08ED"/>
    <w:rsid w:val="001A1184"/>
    <w:rsid w:val="001A1ED2"/>
    <w:rsid w:val="001A3A81"/>
    <w:rsid w:val="001A4FED"/>
    <w:rsid w:val="001B0A2D"/>
    <w:rsid w:val="001B1913"/>
    <w:rsid w:val="001B1E51"/>
    <w:rsid w:val="001B731A"/>
    <w:rsid w:val="001C1752"/>
    <w:rsid w:val="001C4014"/>
    <w:rsid w:val="001C6245"/>
    <w:rsid w:val="001C62FB"/>
    <w:rsid w:val="001D057E"/>
    <w:rsid w:val="001D4CB1"/>
    <w:rsid w:val="001D6D04"/>
    <w:rsid w:val="001E4D57"/>
    <w:rsid w:val="001E5A9A"/>
    <w:rsid w:val="001E621C"/>
    <w:rsid w:val="001F2355"/>
    <w:rsid w:val="001F24E0"/>
    <w:rsid w:val="001F6366"/>
    <w:rsid w:val="001F7575"/>
    <w:rsid w:val="001F7FCC"/>
    <w:rsid w:val="00200DED"/>
    <w:rsid w:val="00203376"/>
    <w:rsid w:val="002055C3"/>
    <w:rsid w:val="00207B07"/>
    <w:rsid w:val="0021076B"/>
    <w:rsid w:val="00210A99"/>
    <w:rsid w:val="00214BB9"/>
    <w:rsid w:val="00214D14"/>
    <w:rsid w:val="0022026C"/>
    <w:rsid w:val="0022047D"/>
    <w:rsid w:val="00220984"/>
    <w:rsid w:val="00222863"/>
    <w:rsid w:val="00224665"/>
    <w:rsid w:val="00230437"/>
    <w:rsid w:val="00230EFC"/>
    <w:rsid w:val="002313BA"/>
    <w:rsid w:val="00233070"/>
    <w:rsid w:val="00234FFE"/>
    <w:rsid w:val="0024404F"/>
    <w:rsid w:val="002473B4"/>
    <w:rsid w:val="00255045"/>
    <w:rsid w:val="002579D1"/>
    <w:rsid w:val="00257F3B"/>
    <w:rsid w:val="00260B54"/>
    <w:rsid w:val="002624DC"/>
    <w:rsid w:val="00264B95"/>
    <w:rsid w:val="0026585A"/>
    <w:rsid w:val="00266AB9"/>
    <w:rsid w:val="00266B66"/>
    <w:rsid w:val="00270244"/>
    <w:rsid w:val="00270413"/>
    <w:rsid w:val="00271B6E"/>
    <w:rsid w:val="00271CA9"/>
    <w:rsid w:val="00274FA8"/>
    <w:rsid w:val="0027755C"/>
    <w:rsid w:val="00277CCD"/>
    <w:rsid w:val="00284B6F"/>
    <w:rsid w:val="00287FD1"/>
    <w:rsid w:val="00290AD9"/>
    <w:rsid w:val="0029517C"/>
    <w:rsid w:val="00296874"/>
    <w:rsid w:val="002A01BE"/>
    <w:rsid w:val="002A0493"/>
    <w:rsid w:val="002A11A0"/>
    <w:rsid w:val="002A3647"/>
    <w:rsid w:val="002A3A1F"/>
    <w:rsid w:val="002A560C"/>
    <w:rsid w:val="002A6B98"/>
    <w:rsid w:val="002A78CE"/>
    <w:rsid w:val="002B00A1"/>
    <w:rsid w:val="002B3950"/>
    <w:rsid w:val="002B40CE"/>
    <w:rsid w:val="002B458F"/>
    <w:rsid w:val="002B4D56"/>
    <w:rsid w:val="002B5211"/>
    <w:rsid w:val="002B52CC"/>
    <w:rsid w:val="002B7638"/>
    <w:rsid w:val="002B7F7A"/>
    <w:rsid w:val="002B7FD7"/>
    <w:rsid w:val="002C020A"/>
    <w:rsid w:val="002C1BD7"/>
    <w:rsid w:val="002C3193"/>
    <w:rsid w:val="002C4832"/>
    <w:rsid w:val="002C4FD0"/>
    <w:rsid w:val="002C680B"/>
    <w:rsid w:val="002C6FD8"/>
    <w:rsid w:val="002C7C33"/>
    <w:rsid w:val="002C7FAB"/>
    <w:rsid w:val="002D0B3C"/>
    <w:rsid w:val="002D0C89"/>
    <w:rsid w:val="002D1EE0"/>
    <w:rsid w:val="002D2095"/>
    <w:rsid w:val="002D2DB0"/>
    <w:rsid w:val="002D3A4D"/>
    <w:rsid w:val="002D635F"/>
    <w:rsid w:val="002D7FE3"/>
    <w:rsid w:val="002E2629"/>
    <w:rsid w:val="002E5CE4"/>
    <w:rsid w:val="002E73C8"/>
    <w:rsid w:val="002F0F64"/>
    <w:rsid w:val="002F2930"/>
    <w:rsid w:val="002F3968"/>
    <w:rsid w:val="002F4D16"/>
    <w:rsid w:val="002F6278"/>
    <w:rsid w:val="002F6447"/>
    <w:rsid w:val="00300900"/>
    <w:rsid w:val="00301304"/>
    <w:rsid w:val="0030280F"/>
    <w:rsid w:val="003036E0"/>
    <w:rsid w:val="00305642"/>
    <w:rsid w:val="00306122"/>
    <w:rsid w:val="00306570"/>
    <w:rsid w:val="00317767"/>
    <w:rsid w:val="003200CC"/>
    <w:rsid w:val="00323F41"/>
    <w:rsid w:val="00324EC4"/>
    <w:rsid w:val="00325322"/>
    <w:rsid w:val="00325A6F"/>
    <w:rsid w:val="00326CC7"/>
    <w:rsid w:val="003323A5"/>
    <w:rsid w:val="00333572"/>
    <w:rsid w:val="003346A2"/>
    <w:rsid w:val="003352FA"/>
    <w:rsid w:val="00335DFC"/>
    <w:rsid w:val="003377E7"/>
    <w:rsid w:val="00344C1E"/>
    <w:rsid w:val="0034507A"/>
    <w:rsid w:val="00345C7F"/>
    <w:rsid w:val="00345D95"/>
    <w:rsid w:val="003477F2"/>
    <w:rsid w:val="00352223"/>
    <w:rsid w:val="00353430"/>
    <w:rsid w:val="003576E2"/>
    <w:rsid w:val="00361A4F"/>
    <w:rsid w:val="00361D66"/>
    <w:rsid w:val="00362743"/>
    <w:rsid w:val="00365F13"/>
    <w:rsid w:val="00367025"/>
    <w:rsid w:val="0037005A"/>
    <w:rsid w:val="0037061B"/>
    <w:rsid w:val="00377A73"/>
    <w:rsid w:val="00377F69"/>
    <w:rsid w:val="00383BBB"/>
    <w:rsid w:val="00383C44"/>
    <w:rsid w:val="0038659E"/>
    <w:rsid w:val="00391807"/>
    <w:rsid w:val="00392215"/>
    <w:rsid w:val="00394D21"/>
    <w:rsid w:val="003A1FF6"/>
    <w:rsid w:val="003A6046"/>
    <w:rsid w:val="003B1051"/>
    <w:rsid w:val="003B1FBE"/>
    <w:rsid w:val="003B20BF"/>
    <w:rsid w:val="003B4D63"/>
    <w:rsid w:val="003B5CC0"/>
    <w:rsid w:val="003B60F1"/>
    <w:rsid w:val="003B6FD9"/>
    <w:rsid w:val="003B7280"/>
    <w:rsid w:val="003B7478"/>
    <w:rsid w:val="003B7C74"/>
    <w:rsid w:val="003C1C75"/>
    <w:rsid w:val="003C25B3"/>
    <w:rsid w:val="003C4D18"/>
    <w:rsid w:val="003C4D36"/>
    <w:rsid w:val="003C52F4"/>
    <w:rsid w:val="003C6761"/>
    <w:rsid w:val="003C7441"/>
    <w:rsid w:val="003D16B3"/>
    <w:rsid w:val="003D1D34"/>
    <w:rsid w:val="003D244E"/>
    <w:rsid w:val="003D2958"/>
    <w:rsid w:val="003D39F9"/>
    <w:rsid w:val="003D3A8A"/>
    <w:rsid w:val="003D5437"/>
    <w:rsid w:val="003D5A5C"/>
    <w:rsid w:val="003D61D2"/>
    <w:rsid w:val="003D7C59"/>
    <w:rsid w:val="003E0092"/>
    <w:rsid w:val="003E15CC"/>
    <w:rsid w:val="003E1AEC"/>
    <w:rsid w:val="003E20A6"/>
    <w:rsid w:val="003E4C7E"/>
    <w:rsid w:val="003E4F3A"/>
    <w:rsid w:val="003E611A"/>
    <w:rsid w:val="003E6CF2"/>
    <w:rsid w:val="003E6DB9"/>
    <w:rsid w:val="003F1BEF"/>
    <w:rsid w:val="003F229D"/>
    <w:rsid w:val="003F296E"/>
    <w:rsid w:val="003F3652"/>
    <w:rsid w:val="003F3915"/>
    <w:rsid w:val="003F4281"/>
    <w:rsid w:val="003F4DAC"/>
    <w:rsid w:val="003F6878"/>
    <w:rsid w:val="003F73C1"/>
    <w:rsid w:val="004005EE"/>
    <w:rsid w:val="00401546"/>
    <w:rsid w:val="0040196A"/>
    <w:rsid w:val="004023AB"/>
    <w:rsid w:val="00403AAE"/>
    <w:rsid w:val="004043CA"/>
    <w:rsid w:val="00406955"/>
    <w:rsid w:val="00406A94"/>
    <w:rsid w:val="004109F4"/>
    <w:rsid w:val="00411B19"/>
    <w:rsid w:val="0041615D"/>
    <w:rsid w:val="004203B8"/>
    <w:rsid w:val="00420576"/>
    <w:rsid w:val="0042175C"/>
    <w:rsid w:val="00421C60"/>
    <w:rsid w:val="004240FA"/>
    <w:rsid w:val="00425644"/>
    <w:rsid w:val="00427F22"/>
    <w:rsid w:val="00433BD8"/>
    <w:rsid w:val="004352A5"/>
    <w:rsid w:val="004358B5"/>
    <w:rsid w:val="0043689B"/>
    <w:rsid w:val="004407D3"/>
    <w:rsid w:val="0044088D"/>
    <w:rsid w:val="00442472"/>
    <w:rsid w:val="004427B9"/>
    <w:rsid w:val="0044575B"/>
    <w:rsid w:val="00451654"/>
    <w:rsid w:val="004517C9"/>
    <w:rsid w:val="00451FD9"/>
    <w:rsid w:val="004577CD"/>
    <w:rsid w:val="00460678"/>
    <w:rsid w:val="004612F1"/>
    <w:rsid w:val="004615ED"/>
    <w:rsid w:val="00461626"/>
    <w:rsid w:val="00464AA4"/>
    <w:rsid w:val="00464AB6"/>
    <w:rsid w:val="00465C9F"/>
    <w:rsid w:val="00465D38"/>
    <w:rsid w:val="00465DBE"/>
    <w:rsid w:val="004748EB"/>
    <w:rsid w:val="00474BB4"/>
    <w:rsid w:val="0047565B"/>
    <w:rsid w:val="00475995"/>
    <w:rsid w:val="00476ED6"/>
    <w:rsid w:val="004776FC"/>
    <w:rsid w:val="00482E18"/>
    <w:rsid w:val="00484982"/>
    <w:rsid w:val="004858CE"/>
    <w:rsid w:val="00485EC5"/>
    <w:rsid w:val="00486366"/>
    <w:rsid w:val="00487A10"/>
    <w:rsid w:val="0049013A"/>
    <w:rsid w:val="00495394"/>
    <w:rsid w:val="004955C2"/>
    <w:rsid w:val="00496C47"/>
    <w:rsid w:val="00497B74"/>
    <w:rsid w:val="004A1378"/>
    <w:rsid w:val="004A2C6F"/>
    <w:rsid w:val="004A2D5E"/>
    <w:rsid w:val="004A2F60"/>
    <w:rsid w:val="004A5470"/>
    <w:rsid w:val="004A5EF5"/>
    <w:rsid w:val="004A6568"/>
    <w:rsid w:val="004B1F20"/>
    <w:rsid w:val="004B339C"/>
    <w:rsid w:val="004B35B1"/>
    <w:rsid w:val="004B5BC7"/>
    <w:rsid w:val="004B6929"/>
    <w:rsid w:val="004C1949"/>
    <w:rsid w:val="004C2E35"/>
    <w:rsid w:val="004C3342"/>
    <w:rsid w:val="004C38D3"/>
    <w:rsid w:val="004C3F1E"/>
    <w:rsid w:val="004C66E1"/>
    <w:rsid w:val="004C7833"/>
    <w:rsid w:val="004D04B0"/>
    <w:rsid w:val="004D09B0"/>
    <w:rsid w:val="004D7937"/>
    <w:rsid w:val="004E450E"/>
    <w:rsid w:val="004E4BCE"/>
    <w:rsid w:val="004E55A2"/>
    <w:rsid w:val="004E5690"/>
    <w:rsid w:val="004E5729"/>
    <w:rsid w:val="004E6827"/>
    <w:rsid w:val="004F1113"/>
    <w:rsid w:val="004F2C57"/>
    <w:rsid w:val="004F2C60"/>
    <w:rsid w:val="004F3571"/>
    <w:rsid w:val="004F35C2"/>
    <w:rsid w:val="004F4B5F"/>
    <w:rsid w:val="00500836"/>
    <w:rsid w:val="00500BAB"/>
    <w:rsid w:val="00500DD5"/>
    <w:rsid w:val="00501620"/>
    <w:rsid w:val="00502929"/>
    <w:rsid w:val="00502F5E"/>
    <w:rsid w:val="0050405E"/>
    <w:rsid w:val="00505071"/>
    <w:rsid w:val="005051EF"/>
    <w:rsid w:val="005067EA"/>
    <w:rsid w:val="00506C61"/>
    <w:rsid w:val="00506F5C"/>
    <w:rsid w:val="005100DC"/>
    <w:rsid w:val="005100F4"/>
    <w:rsid w:val="00511076"/>
    <w:rsid w:val="00512FCF"/>
    <w:rsid w:val="00515B48"/>
    <w:rsid w:val="00515C52"/>
    <w:rsid w:val="0051721D"/>
    <w:rsid w:val="005176B2"/>
    <w:rsid w:val="00517DC4"/>
    <w:rsid w:val="00520376"/>
    <w:rsid w:val="0052206B"/>
    <w:rsid w:val="00523B3A"/>
    <w:rsid w:val="00525E54"/>
    <w:rsid w:val="005264E8"/>
    <w:rsid w:val="00526BDC"/>
    <w:rsid w:val="005277A1"/>
    <w:rsid w:val="00527A26"/>
    <w:rsid w:val="00527AC8"/>
    <w:rsid w:val="00527E8C"/>
    <w:rsid w:val="00530BCA"/>
    <w:rsid w:val="00532933"/>
    <w:rsid w:val="0053363B"/>
    <w:rsid w:val="00535130"/>
    <w:rsid w:val="00542718"/>
    <w:rsid w:val="00542A5F"/>
    <w:rsid w:val="005446F8"/>
    <w:rsid w:val="0054705B"/>
    <w:rsid w:val="0055073F"/>
    <w:rsid w:val="005524E2"/>
    <w:rsid w:val="00556D22"/>
    <w:rsid w:val="005660D8"/>
    <w:rsid w:val="005666FA"/>
    <w:rsid w:val="00566DDF"/>
    <w:rsid w:val="0057273B"/>
    <w:rsid w:val="0057310B"/>
    <w:rsid w:val="00573945"/>
    <w:rsid w:val="00573FE3"/>
    <w:rsid w:val="0057407D"/>
    <w:rsid w:val="00575385"/>
    <w:rsid w:val="00575C62"/>
    <w:rsid w:val="005774A0"/>
    <w:rsid w:val="00580157"/>
    <w:rsid w:val="00580166"/>
    <w:rsid w:val="0058062E"/>
    <w:rsid w:val="005821FA"/>
    <w:rsid w:val="00582A9D"/>
    <w:rsid w:val="0058687C"/>
    <w:rsid w:val="00587D12"/>
    <w:rsid w:val="005907F5"/>
    <w:rsid w:val="00591235"/>
    <w:rsid w:val="00591DFF"/>
    <w:rsid w:val="00592168"/>
    <w:rsid w:val="00593569"/>
    <w:rsid w:val="00593EF4"/>
    <w:rsid w:val="00595929"/>
    <w:rsid w:val="005A2C2C"/>
    <w:rsid w:val="005A4B8C"/>
    <w:rsid w:val="005A4FDF"/>
    <w:rsid w:val="005A503B"/>
    <w:rsid w:val="005A7152"/>
    <w:rsid w:val="005A71A0"/>
    <w:rsid w:val="005A72D6"/>
    <w:rsid w:val="005B0F82"/>
    <w:rsid w:val="005B18C3"/>
    <w:rsid w:val="005B1BBC"/>
    <w:rsid w:val="005B6DA9"/>
    <w:rsid w:val="005C02B8"/>
    <w:rsid w:val="005C0568"/>
    <w:rsid w:val="005C0BF8"/>
    <w:rsid w:val="005C7A85"/>
    <w:rsid w:val="005D0751"/>
    <w:rsid w:val="005D08AD"/>
    <w:rsid w:val="005D0BA5"/>
    <w:rsid w:val="005D1486"/>
    <w:rsid w:val="005D17DD"/>
    <w:rsid w:val="005D2CED"/>
    <w:rsid w:val="005D2DA0"/>
    <w:rsid w:val="005D3B44"/>
    <w:rsid w:val="005D7275"/>
    <w:rsid w:val="005E0FC8"/>
    <w:rsid w:val="005E1590"/>
    <w:rsid w:val="005E159F"/>
    <w:rsid w:val="005E2729"/>
    <w:rsid w:val="005E4E8F"/>
    <w:rsid w:val="005E5773"/>
    <w:rsid w:val="005E5ABE"/>
    <w:rsid w:val="005E665F"/>
    <w:rsid w:val="005E68FA"/>
    <w:rsid w:val="005F0DF8"/>
    <w:rsid w:val="005F407A"/>
    <w:rsid w:val="005F675F"/>
    <w:rsid w:val="00601AE9"/>
    <w:rsid w:val="00602841"/>
    <w:rsid w:val="00603B37"/>
    <w:rsid w:val="0060669F"/>
    <w:rsid w:val="00615CAF"/>
    <w:rsid w:val="006175BE"/>
    <w:rsid w:val="00621779"/>
    <w:rsid w:val="00623090"/>
    <w:rsid w:val="0062522E"/>
    <w:rsid w:val="00625BFD"/>
    <w:rsid w:val="00626EDB"/>
    <w:rsid w:val="00630315"/>
    <w:rsid w:val="00631986"/>
    <w:rsid w:val="00633917"/>
    <w:rsid w:val="0063678F"/>
    <w:rsid w:val="006400CE"/>
    <w:rsid w:val="006413B4"/>
    <w:rsid w:val="00641E81"/>
    <w:rsid w:val="00641FD6"/>
    <w:rsid w:val="00641FE2"/>
    <w:rsid w:val="00641FE5"/>
    <w:rsid w:val="006423D7"/>
    <w:rsid w:val="00645E1D"/>
    <w:rsid w:val="00647C6C"/>
    <w:rsid w:val="00647D3E"/>
    <w:rsid w:val="00651E48"/>
    <w:rsid w:val="00653F38"/>
    <w:rsid w:val="00655C19"/>
    <w:rsid w:val="00656821"/>
    <w:rsid w:val="00660679"/>
    <w:rsid w:val="006704EF"/>
    <w:rsid w:val="00673759"/>
    <w:rsid w:val="006738C4"/>
    <w:rsid w:val="0067505F"/>
    <w:rsid w:val="0067564B"/>
    <w:rsid w:val="00675C6A"/>
    <w:rsid w:val="00676A7E"/>
    <w:rsid w:val="0067703B"/>
    <w:rsid w:val="00677495"/>
    <w:rsid w:val="00683702"/>
    <w:rsid w:val="00685588"/>
    <w:rsid w:val="00685BC2"/>
    <w:rsid w:val="006860F9"/>
    <w:rsid w:val="0068653B"/>
    <w:rsid w:val="0068663A"/>
    <w:rsid w:val="00686B7A"/>
    <w:rsid w:val="0069073D"/>
    <w:rsid w:val="00691283"/>
    <w:rsid w:val="006912F5"/>
    <w:rsid w:val="00691B84"/>
    <w:rsid w:val="00693732"/>
    <w:rsid w:val="00693ABF"/>
    <w:rsid w:val="006953E4"/>
    <w:rsid w:val="006967AB"/>
    <w:rsid w:val="00696E7C"/>
    <w:rsid w:val="006A2E5D"/>
    <w:rsid w:val="006A59AE"/>
    <w:rsid w:val="006A60A3"/>
    <w:rsid w:val="006A7BC9"/>
    <w:rsid w:val="006B2212"/>
    <w:rsid w:val="006B247F"/>
    <w:rsid w:val="006B3FFA"/>
    <w:rsid w:val="006B5C4B"/>
    <w:rsid w:val="006B73D1"/>
    <w:rsid w:val="006C1323"/>
    <w:rsid w:val="006C395E"/>
    <w:rsid w:val="006C4ED0"/>
    <w:rsid w:val="006C508A"/>
    <w:rsid w:val="006D0E4B"/>
    <w:rsid w:val="006D10DD"/>
    <w:rsid w:val="006D1936"/>
    <w:rsid w:val="006D1EE3"/>
    <w:rsid w:val="006D47D5"/>
    <w:rsid w:val="006D7365"/>
    <w:rsid w:val="006E3370"/>
    <w:rsid w:val="006E586B"/>
    <w:rsid w:val="006E5EB5"/>
    <w:rsid w:val="006E754B"/>
    <w:rsid w:val="006E78D8"/>
    <w:rsid w:val="006E7BF3"/>
    <w:rsid w:val="006F00D3"/>
    <w:rsid w:val="006F14C5"/>
    <w:rsid w:val="006F1802"/>
    <w:rsid w:val="006F2EF2"/>
    <w:rsid w:val="006F325B"/>
    <w:rsid w:val="006F4031"/>
    <w:rsid w:val="006F5BC8"/>
    <w:rsid w:val="006F6304"/>
    <w:rsid w:val="006F65D7"/>
    <w:rsid w:val="006F6CAA"/>
    <w:rsid w:val="007017C0"/>
    <w:rsid w:val="00701DB5"/>
    <w:rsid w:val="00702969"/>
    <w:rsid w:val="00703ED3"/>
    <w:rsid w:val="00704140"/>
    <w:rsid w:val="007041A7"/>
    <w:rsid w:val="007043E8"/>
    <w:rsid w:val="00704CF8"/>
    <w:rsid w:val="007059E1"/>
    <w:rsid w:val="0071042C"/>
    <w:rsid w:val="007150E2"/>
    <w:rsid w:val="00715540"/>
    <w:rsid w:val="00723C22"/>
    <w:rsid w:val="007243F0"/>
    <w:rsid w:val="00725B6C"/>
    <w:rsid w:val="00725CF0"/>
    <w:rsid w:val="0072690B"/>
    <w:rsid w:val="00727C42"/>
    <w:rsid w:val="0073315B"/>
    <w:rsid w:val="00733369"/>
    <w:rsid w:val="00733723"/>
    <w:rsid w:val="00733849"/>
    <w:rsid w:val="00735826"/>
    <w:rsid w:val="007366BE"/>
    <w:rsid w:val="00736C53"/>
    <w:rsid w:val="00736F5F"/>
    <w:rsid w:val="00736FD7"/>
    <w:rsid w:val="007412E7"/>
    <w:rsid w:val="00741A22"/>
    <w:rsid w:val="007429CE"/>
    <w:rsid w:val="007436F9"/>
    <w:rsid w:val="00743AF9"/>
    <w:rsid w:val="007442FB"/>
    <w:rsid w:val="00744E67"/>
    <w:rsid w:val="00745646"/>
    <w:rsid w:val="00746C28"/>
    <w:rsid w:val="007546C9"/>
    <w:rsid w:val="0076067D"/>
    <w:rsid w:val="00763289"/>
    <w:rsid w:val="00765D5A"/>
    <w:rsid w:val="0077278C"/>
    <w:rsid w:val="00774550"/>
    <w:rsid w:val="00775478"/>
    <w:rsid w:val="00775C7A"/>
    <w:rsid w:val="00783129"/>
    <w:rsid w:val="00784B65"/>
    <w:rsid w:val="00784C67"/>
    <w:rsid w:val="00787213"/>
    <w:rsid w:val="0079241F"/>
    <w:rsid w:val="00792E2A"/>
    <w:rsid w:val="00793514"/>
    <w:rsid w:val="00795EEE"/>
    <w:rsid w:val="007963F5"/>
    <w:rsid w:val="00796489"/>
    <w:rsid w:val="0079779B"/>
    <w:rsid w:val="007979EC"/>
    <w:rsid w:val="007A0C85"/>
    <w:rsid w:val="007A2162"/>
    <w:rsid w:val="007A226A"/>
    <w:rsid w:val="007A35A8"/>
    <w:rsid w:val="007A3AC0"/>
    <w:rsid w:val="007A3F15"/>
    <w:rsid w:val="007A664F"/>
    <w:rsid w:val="007B00EF"/>
    <w:rsid w:val="007B14DE"/>
    <w:rsid w:val="007B21AA"/>
    <w:rsid w:val="007B2519"/>
    <w:rsid w:val="007B3B43"/>
    <w:rsid w:val="007B50AA"/>
    <w:rsid w:val="007B55EF"/>
    <w:rsid w:val="007B7479"/>
    <w:rsid w:val="007B79DD"/>
    <w:rsid w:val="007C0C42"/>
    <w:rsid w:val="007C1705"/>
    <w:rsid w:val="007C1A8B"/>
    <w:rsid w:val="007C22E9"/>
    <w:rsid w:val="007C4053"/>
    <w:rsid w:val="007C69AA"/>
    <w:rsid w:val="007C7C1B"/>
    <w:rsid w:val="007D00AA"/>
    <w:rsid w:val="007D24E2"/>
    <w:rsid w:val="007D2B88"/>
    <w:rsid w:val="007D2C17"/>
    <w:rsid w:val="007D5A09"/>
    <w:rsid w:val="007D7E6C"/>
    <w:rsid w:val="007E0FF7"/>
    <w:rsid w:val="007E4D4E"/>
    <w:rsid w:val="007E4F06"/>
    <w:rsid w:val="007E6CA5"/>
    <w:rsid w:val="007E759B"/>
    <w:rsid w:val="007F0EB4"/>
    <w:rsid w:val="007F1C15"/>
    <w:rsid w:val="007F29E7"/>
    <w:rsid w:val="007F388B"/>
    <w:rsid w:val="007F5786"/>
    <w:rsid w:val="007F7D0B"/>
    <w:rsid w:val="00801F06"/>
    <w:rsid w:val="008021C0"/>
    <w:rsid w:val="0080767C"/>
    <w:rsid w:val="00807D1D"/>
    <w:rsid w:val="008128E6"/>
    <w:rsid w:val="0081344E"/>
    <w:rsid w:val="00814DA2"/>
    <w:rsid w:val="008161C4"/>
    <w:rsid w:val="00817F9F"/>
    <w:rsid w:val="008209F8"/>
    <w:rsid w:val="00821C53"/>
    <w:rsid w:val="00823B48"/>
    <w:rsid w:val="0082439B"/>
    <w:rsid w:val="00825311"/>
    <w:rsid w:val="00826B23"/>
    <w:rsid w:val="0082785C"/>
    <w:rsid w:val="00827FB0"/>
    <w:rsid w:val="00832281"/>
    <w:rsid w:val="00833C47"/>
    <w:rsid w:val="0083549B"/>
    <w:rsid w:val="008373AB"/>
    <w:rsid w:val="00841273"/>
    <w:rsid w:val="00841983"/>
    <w:rsid w:val="00842ED7"/>
    <w:rsid w:val="0084317B"/>
    <w:rsid w:val="00845417"/>
    <w:rsid w:val="00847CE1"/>
    <w:rsid w:val="0085118F"/>
    <w:rsid w:val="00852005"/>
    <w:rsid w:val="008523D7"/>
    <w:rsid w:val="00853C50"/>
    <w:rsid w:val="008553DD"/>
    <w:rsid w:val="00864093"/>
    <w:rsid w:val="008644F0"/>
    <w:rsid w:val="00864B87"/>
    <w:rsid w:val="00865821"/>
    <w:rsid w:val="00866A72"/>
    <w:rsid w:val="008729A1"/>
    <w:rsid w:val="00873C1A"/>
    <w:rsid w:val="00874964"/>
    <w:rsid w:val="00877243"/>
    <w:rsid w:val="00880F0F"/>
    <w:rsid w:val="00882EC8"/>
    <w:rsid w:val="00884221"/>
    <w:rsid w:val="008845B3"/>
    <w:rsid w:val="0088487F"/>
    <w:rsid w:val="00884D4F"/>
    <w:rsid w:val="0088523E"/>
    <w:rsid w:val="0088577D"/>
    <w:rsid w:val="008863F6"/>
    <w:rsid w:val="008900CB"/>
    <w:rsid w:val="00891725"/>
    <w:rsid w:val="0089379A"/>
    <w:rsid w:val="008A1115"/>
    <w:rsid w:val="008A37FC"/>
    <w:rsid w:val="008A389B"/>
    <w:rsid w:val="008A3940"/>
    <w:rsid w:val="008A66E8"/>
    <w:rsid w:val="008A70DD"/>
    <w:rsid w:val="008A769D"/>
    <w:rsid w:val="008A7913"/>
    <w:rsid w:val="008B1118"/>
    <w:rsid w:val="008B1212"/>
    <w:rsid w:val="008B15FC"/>
    <w:rsid w:val="008B53A1"/>
    <w:rsid w:val="008B5DF7"/>
    <w:rsid w:val="008B710F"/>
    <w:rsid w:val="008C0309"/>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F587F"/>
    <w:rsid w:val="00900311"/>
    <w:rsid w:val="00902D98"/>
    <w:rsid w:val="00907102"/>
    <w:rsid w:val="00907FA5"/>
    <w:rsid w:val="00910F69"/>
    <w:rsid w:val="009126A9"/>
    <w:rsid w:val="00912A6F"/>
    <w:rsid w:val="00914E57"/>
    <w:rsid w:val="009178D4"/>
    <w:rsid w:val="009232F5"/>
    <w:rsid w:val="00923C63"/>
    <w:rsid w:val="00923CFA"/>
    <w:rsid w:val="009242D2"/>
    <w:rsid w:val="0092675A"/>
    <w:rsid w:val="00926DD5"/>
    <w:rsid w:val="00930C56"/>
    <w:rsid w:val="0093464B"/>
    <w:rsid w:val="0093711A"/>
    <w:rsid w:val="009372AA"/>
    <w:rsid w:val="009372F7"/>
    <w:rsid w:val="0093740C"/>
    <w:rsid w:val="00937BBE"/>
    <w:rsid w:val="0094177F"/>
    <w:rsid w:val="009426FF"/>
    <w:rsid w:val="00944B86"/>
    <w:rsid w:val="00946BF8"/>
    <w:rsid w:val="00946F29"/>
    <w:rsid w:val="00947010"/>
    <w:rsid w:val="0094710D"/>
    <w:rsid w:val="00947B21"/>
    <w:rsid w:val="00947D02"/>
    <w:rsid w:val="009502E0"/>
    <w:rsid w:val="00950428"/>
    <w:rsid w:val="00952B93"/>
    <w:rsid w:val="00953582"/>
    <w:rsid w:val="00953CEE"/>
    <w:rsid w:val="00954772"/>
    <w:rsid w:val="00954C0F"/>
    <w:rsid w:val="00955551"/>
    <w:rsid w:val="00957187"/>
    <w:rsid w:val="00960E7A"/>
    <w:rsid w:val="00961AB2"/>
    <w:rsid w:val="00961DFC"/>
    <w:rsid w:val="00962D6E"/>
    <w:rsid w:val="00963BFF"/>
    <w:rsid w:val="00964634"/>
    <w:rsid w:val="00964EE4"/>
    <w:rsid w:val="009651B8"/>
    <w:rsid w:val="00966150"/>
    <w:rsid w:val="0096759A"/>
    <w:rsid w:val="009679A4"/>
    <w:rsid w:val="00971766"/>
    <w:rsid w:val="009717C6"/>
    <w:rsid w:val="009743A5"/>
    <w:rsid w:val="00974CF1"/>
    <w:rsid w:val="00975656"/>
    <w:rsid w:val="00975CAD"/>
    <w:rsid w:val="00976B38"/>
    <w:rsid w:val="009776A4"/>
    <w:rsid w:val="00977EFD"/>
    <w:rsid w:val="00981B75"/>
    <w:rsid w:val="009845D1"/>
    <w:rsid w:val="009849D9"/>
    <w:rsid w:val="009854D9"/>
    <w:rsid w:val="009855F7"/>
    <w:rsid w:val="00985A79"/>
    <w:rsid w:val="00985D44"/>
    <w:rsid w:val="00987946"/>
    <w:rsid w:val="00990631"/>
    <w:rsid w:val="00992E8C"/>
    <w:rsid w:val="009971C8"/>
    <w:rsid w:val="009A0685"/>
    <w:rsid w:val="009A0724"/>
    <w:rsid w:val="009A2618"/>
    <w:rsid w:val="009A49E2"/>
    <w:rsid w:val="009A5596"/>
    <w:rsid w:val="009A6A4D"/>
    <w:rsid w:val="009B036F"/>
    <w:rsid w:val="009B2420"/>
    <w:rsid w:val="009B5975"/>
    <w:rsid w:val="009C2D3D"/>
    <w:rsid w:val="009C2F03"/>
    <w:rsid w:val="009C3653"/>
    <w:rsid w:val="009C70BC"/>
    <w:rsid w:val="009D3CD1"/>
    <w:rsid w:val="009D625B"/>
    <w:rsid w:val="009D799C"/>
    <w:rsid w:val="009D7F42"/>
    <w:rsid w:val="009E0AF1"/>
    <w:rsid w:val="009E0CED"/>
    <w:rsid w:val="009E785C"/>
    <w:rsid w:val="009E7AEB"/>
    <w:rsid w:val="009F0C79"/>
    <w:rsid w:val="009F11F6"/>
    <w:rsid w:val="009F198C"/>
    <w:rsid w:val="009F1D6E"/>
    <w:rsid w:val="009F2D3B"/>
    <w:rsid w:val="009F6C9A"/>
    <w:rsid w:val="009F7334"/>
    <w:rsid w:val="00A00C74"/>
    <w:rsid w:val="00A05613"/>
    <w:rsid w:val="00A05BCF"/>
    <w:rsid w:val="00A05FCA"/>
    <w:rsid w:val="00A07CD1"/>
    <w:rsid w:val="00A10A40"/>
    <w:rsid w:val="00A11519"/>
    <w:rsid w:val="00A1254A"/>
    <w:rsid w:val="00A1372D"/>
    <w:rsid w:val="00A1546E"/>
    <w:rsid w:val="00A211A1"/>
    <w:rsid w:val="00A21A1E"/>
    <w:rsid w:val="00A22BDF"/>
    <w:rsid w:val="00A24E11"/>
    <w:rsid w:val="00A2770D"/>
    <w:rsid w:val="00A30BA4"/>
    <w:rsid w:val="00A31EA9"/>
    <w:rsid w:val="00A32FA8"/>
    <w:rsid w:val="00A33C69"/>
    <w:rsid w:val="00A34032"/>
    <w:rsid w:val="00A34584"/>
    <w:rsid w:val="00A34EFE"/>
    <w:rsid w:val="00A371B2"/>
    <w:rsid w:val="00A4101B"/>
    <w:rsid w:val="00A4172D"/>
    <w:rsid w:val="00A43878"/>
    <w:rsid w:val="00A43A9E"/>
    <w:rsid w:val="00A53660"/>
    <w:rsid w:val="00A53FC0"/>
    <w:rsid w:val="00A601F7"/>
    <w:rsid w:val="00A611A8"/>
    <w:rsid w:val="00A6307F"/>
    <w:rsid w:val="00A63232"/>
    <w:rsid w:val="00A642FC"/>
    <w:rsid w:val="00A65C77"/>
    <w:rsid w:val="00A66828"/>
    <w:rsid w:val="00A707C3"/>
    <w:rsid w:val="00A7144E"/>
    <w:rsid w:val="00A730A0"/>
    <w:rsid w:val="00A7351A"/>
    <w:rsid w:val="00A75F5D"/>
    <w:rsid w:val="00A768AA"/>
    <w:rsid w:val="00A81C28"/>
    <w:rsid w:val="00A846A4"/>
    <w:rsid w:val="00A8474C"/>
    <w:rsid w:val="00A84846"/>
    <w:rsid w:val="00A85D1A"/>
    <w:rsid w:val="00A8727F"/>
    <w:rsid w:val="00A90229"/>
    <w:rsid w:val="00A91A26"/>
    <w:rsid w:val="00A923CF"/>
    <w:rsid w:val="00A93394"/>
    <w:rsid w:val="00AA0445"/>
    <w:rsid w:val="00AA09BF"/>
    <w:rsid w:val="00AA19ED"/>
    <w:rsid w:val="00AA33C1"/>
    <w:rsid w:val="00AA48CD"/>
    <w:rsid w:val="00AA5F6A"/>
    <w:rsid w:val="00AA674F"/>
    <w:rsid w:val="00AA6A7E"/>
    <w:rsid w:val="00AB166F"/>
    <w:rsid w:val="00AB29DE"/>
    <w:rsid w:val="00AB328C"/>
    <w:rsid w:val="00AB35FF"/>
    <w:rsid w:val="00AB3924"/>
    <w:rsid w:val="00AC3A9F"/>
    <w:rsid w:val="00AC5588"/>
    <w:rsid w:val="00AC5F4D"/>
    <w:rsid w:val="00AC6107"/>
    <w:rsid w:val="00AC611E"/>
    <w:rsid w:val="00AC6530"/>
    <w:rsid w:val="00AD27CC"/>
    <w:rsid w:val="00AD4A41"/>
    <w:rsid w:val="00AD502B"/>
    <w:rsid w:val="00AD796B"/>
    <w:rsid w:val="00AD7F15"/>
    <w:rsid w:val="00AE222C"/>
    <w:rsid w:val="00AE2C43"/>
    <w:rsid w:val="00AE2C92"/>
    <w:rsid w:val="00AE3003"/>
    <w:rsid w:val="00AE4149"/>
    <w:rsid w:val="00AE44F4"/>
    <w:rsid w:val="00AE4589"/>
    <w:rsid w:val="00AE520C"/>
    <w:rsid w:val="00AE6380"/>
    <w:rsid w:val="00AE6A79"/>
    <w:rsid w:val="00AF04F8"/>
    <w:rsid w:val="00AF24CF"/>
    <w:rsid w:val="00AF5F23"/>
    <w:rsid w:val="00AF64F7"/>
    <w:rsid w:val="00AF7CC3"/>
    <w:rsid w:val="00B046B5"/>
    <w:rsid w:val="00B05BC8"/>
    <w:rsid w:val="00B05FCC"/>
    <w:rsid w:val="00B0693E"/>
    <w:rsid w:val="00B06F4C"/>
    <w:rsid w:val="00B07846"/>
    <w:rsid w:val="00B10A84"/>
    <w:rsid w:val="00B10B91"/>
    <w:rsid w:val="00B10F8E"/>
    <w:rsid w:val="00B13300"/>
    <w:rsid w:val="00B147BB"/>
    <w:rsid w:val="00B14FF7"/>
    <w:rsid w:val="00B154FF"/>
    <w:rsid w:val="00B16879"/>
    <w:rsid w:val="00B1749F"/>
    <w:rsid w:val="00B20A29"/>
    <w:rsid w:val="00B21444"/>
    <w:rsid w:val="00B21828"/>
    <w:rsid w:val="00B25C53"/>
    <w:rsid w:val="00B26146"/>
    <w:rsid w:val="00B26650"/>
    <w:rsid w:val="00B26655"/>
    <w:rsid w:val="00B308B6"/>
    <w:rsid w:val="00B33E43"/>
    <w:rsid w:val="00B3544C"/>
    <w:rsid w:val="00B37FB2"/>
    <w:rsid w:val="00B40361"/>
    <w:rsid w:val="00B43B3B"/>
    <w:rsid w:val="00B505CE"/>
    <w:rsid w:val="00B53A8E"/>
    <w:rsid w:val="00B544BB"/>
    <w:rsid w:val="00B60099"/>
    <w:rsid w:val="00B626F5"/>
    <w:rsid w:val="00B63697"/>
    <w:rsid w:val="00B6370A"/>
    <w:rsid w:val="00B63877"/>
    <w:rsid w:val="00B651A5"/>
    <w:rsid w:val="00B67C2C"/>
    <w:rsid w:val="00B7015B"/>
    <w:rsid w:val="00B7063C"/>
    <w:rsid w:val="00B717E8"/>
    <w:rsid w:val="00B72A05"/>
    <w:rsid w:val="00B7574E"/>
    <w:rsid w:val="00B764E7"/>
    <w:rsid w:val="00B76EAB"/>
    <w:rsid w:val="00B80A25"/>
    <w:rsid w:val="00B83278"/>
    <w:rsid w:val="00B83871"/>
    <w:rsid w:val="00B85447"/>
    <w:rsid w:val="00B85473"/>
    <w:rsid w:val="00B86B7C"/>
    <w:rsid w:val="00B92817"/>
    <w:rsid w:val="00B93489"/>
    <w:rsid w:val="00B9408B"/>
    <w:rsid w:val="00B94A91"/>
    <w:rsid w:val="00B9595E"/>
    <w:rsid w:val="00BA1099"/>
    <w:rsid w:val="00BA23C3"/>
    <w:rsid w:val="00BA3632"/>
    <w:rsid w:val="00BA3A36"/>
    <w:rsid w:val="00BA4130"/>
    <w:rsid w:val="00BA587A"/>
    <w:rsid w:val="00BB01EB"/>
    <w:rsid w:val="00BB09CB"/>
    <w:rsid w:val="00BB10B1"/>
    <w:rsid w:val="00BB49E5"/>
    <w:rsid w:val="00BB4F5A"/>
    <w:rsid w:val="00BB67B1"/>
    <w:rsid w:val="00BB6E18"/>
    <w:rsid w:val="00BB72F1"/>
    <w:rsid w:val="00BB750F"/>
    <w:rsid w:val="00BC5EE0"/>
    <w:rsid w:val="00BD0F27"/>
    <w:rsid w:val="00BD26AD"/>
    <w:rsid w:val="00BD28C1"/>
    <w:rsid w:val="00BD411C"/>
    <w:rsid w:val="00BD796A"/>
    <w:rsid w:val="00BD7F0C"/>
    <w:rsid w:val="00BE0BD1"/>
    <w:rsid w:val="00BE1D0E"/>
    <w:rsid w:val="00BE2EDE"/>
    <w:rsid w:val="00BE6469"/>
    <w:rsid w:val="00BF05E6"/>
    <w:rsid w:val="00BF16E8"/>
    <w:rsid w:val="00BF1A48"/>
    <w:rsid w:val="00BF35FE"/>
    <w:rsid w:val="00BF5017"/>
    <w:rsid w:val="00BF66A3"/>
    <w:rsid w:val="00BF78D5"/>
    <w:rsid w:val="00BF7CF5"/>
    <w:rsid w:val="00C00810"/>
    <w:rsid w:val="00C05676"/>
    <w:rsid w:val="00C15418"/>
    <w:rsid w:val="00C15B0F"/>
    <w:rsid w:val="00C166CE"/>
    <w:rsid w:val="00C22633"/>
    <w:rsid w:val="00C239A1"/>
    <w:rsid w:val="00C270F1"/>
    <w:rsid w:val="00C27627"/>
    <w:rsid w:val="00C33919"/>
    <w:rsid w:val="00C359AE"/>
    <w:rsid w:val="00C35FF8"/>
    <w:rsid w:val="00C37B11"/>
    <w:rsid w:val="00C42CA2"/>
    <w:rsid w:val="00C45908"/>
    <w:rsid w:val="00C5171D"/>
    <w:rsid w:val="00C52483"/>
    <w:rsid w:val="00C530BE"/>
    <w:rsid w:val="00C54617"/>
    <w:rsid w:val="00C5475C"/>
    <w:rsid w:val="00C550B9"/>
    <w:rsid w:val="00C56C31"/>
    <w:rsid w:val="00C60388"/>
    <w:rsid w:val="00C60E4D"/>
    <w:rsid w:val="00C62209"/>
    <w:rsid w:val="00C62F79"/>
    <w:rsid w:val="00C65FDD"/>
    <w:rsid w:val="00C66175"/>
    <w:rsid w:val="00C66BEC"/>
    <w:rsid w:val="00C70B26"/>
    <w:rsid w:val="00C7209D"/>
    <w:rsid w:val="00C744A2"/>
    <w:rsid w:val="00C75F83"/>
    <w:rsid w:val="00C76492"/>
    <w:rsid w:val="00C77F79"/>
    <w:rsid w:val="00C80A34"/>
    <w:rsid w:val="00C81722"/>
    <w:rsid w:val="00C85C27"/>
    <w:rsid w:val="00C86E99"/>
    <w:rsid w:val="00C8757F"/>
    <w:rsid w:val="00C90501"/>
    <w:rsid w:val="00C932A0"/>
    <w:rsid w:val="00C94CC1"/>
    <w:rsid w:val="00C94D72"/>
    <w:rsid w:val="00C95E1B"/>
    <w:rsid w:val="00C9677C"/>
    <w:rsid w:val="00C96862"/>
    <w:rsid w:val="00CA07DF"/>
    <w:rsid w:val="00CA2CB1"/>
    <w:rsid w:val="00CA57FC"/>
    <w:rsid w:val="00CA79CE"/>
    <w:rsid w:val="00CB0167"/>
    <w:rsid w:val="00CB0869"/>
    <w:rsid w:val="00CB3758"/>
    <w:rsid w:val="00CB4555"/>
    <w:rsid w:val="00CB58F1"/>
    <w:rsid w:val="00CC0D60"/>
    <w:rsid w:val="00CC253E"/>
    <w:rsid w:val="00CC377E"/>
    <w:rsid w:val="00CC46B2"/>
    <w:rsid w:val="00CC5C43"/>
    <w:rsid w:val="00CC63D2"/>
    <w:rsid w:val="00CC74B0"/>
    <w:rsid w:val="00CD0411"/>
    <w:rsid w:val="00CD0C1F"/>
    <w:rsid w:val="00CD26D2"/>
    <w:rsid w:val="00CD2823"/>
    <w:rsid w:val="00CD4007"/>
    <w:rsid w:val="00CD7295"/>
    <w:rsid w:val="00CD74AE"/>
    <w:rsid w:val="00CD7FE6"/>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0DF3"/>
    <w:rsid w:val="00D06B12"/>
    <w:rsid w:val="00D0708D"/>
    <w:rsid w:val="00D07423"/>
    <w:rsid w:val="00D108F5"/>
    <w:rsid w:val="00D14D12"/>
    <w:rsid w:val="00D15466"/>
    <w:rsid w:val="00D21E73"/>
    <w:rsid w:val="00D24053"/>
    <w:rsid w:val="00D25445"/>
    <w:rsid w:val="00D273FB"/>
    <w:rsid w:val="00D27B64"/>
    <w:rsid w:val="00D31842"/>
    <w:rsid w:val="00D3422B"/>
    <w:rsid w:val="00D343FA"/>
    <w:rsid w:val="00D36F78"/>
    <w:rsid w:val="00D376AF"/>
    <w:rsid w:val="00D37BF0"/>
    <w:rsid w:val="00D409FC"/>
    <w:rsid w:val="00D40A6B"/>
    <w:rsid w:val="00D42D37"/>
    <w:rsid w:val="00D43C6D"/>
    <w:rsid w:val="00D506FF"/>
    <w:rsid w:val="00D52205"/>
    <w:rsid w:val="00D5261A"/>
    <w:rsid w:val="00D55A4D"/>
    <w:rsid w:val="00D55D38"/>
    <w:rsid w:val="00D57090"/>
    <w:rsid w:val="00D60161"/>
    <w:rsid w:val="00D6119B"/>
    <w:rsid w:val="00D63715"/>
    <w:rsid w:val="00D64C09"/>
    <w:rsid w:val="00D65E9D"/>
    <w:rsid w:val="00D66E3E"/>
    <w:rsid w:val="00D67043"/>
    <w:rsid w:val="00D67DC3"/>
    <w:rsid w:val="00D728B6"/>
    <w:rsid w:val="00D72933"/>
    <w:rsid w:val="00D73446"/>
    <w:rsid w:val="00D74B1B"/>
    <w:rsid w:val="00D7593A"/>
    <w:rsid w:val="00D76BB3"/>
    <w:rsid w:val="00D77014"/>
    <w:rsid w:val="00D83AF8"/>
    <w:rsid w:val="00D866D2"/>
    <w:rsid w:val="00D90349"/>
    <w:rsid w:val="00D9034F"/>
    <w:rsid w:val="00D940D1"/>
    <w:rsid w:val="00D95857"/>
    <w:rsid w:val="00D96D1B"/>
    <w:rsid w:val="00D97692"/>
    <w:rsid w:val="00DA2926"/>
    <w:rsid w:val="00DA424C"/>
    <w:rsid w:val="00DA45CB"/>
    <w:rsid w:val="00DA4685"/>
    <w:rsid w:val="00DB114D"/>
    <w:rsid w:val="00DB3A6D"/>
    <w:rsid w:val="00DB3E03"/>
    <w:rsid w:val="00DB64CB"/>
    <w:rsid w:val="00DC0128"/>
    <w:rsid w:val="00DC1643"/>
    <w:rsid w:val="00DC3882"/>
    <w:rsid w:val="00DC3F0A"/>
    <w:rsid w:val="00DC5AE8"/>
    <w:rsid w:val="00DC6509"/>
    <w:rsid w:val="00DC706D"/>
    <w:rsid w:val="00DC750D"/>
    <w:rsid w:val="00DD2BF5"/>
    <w:rsid w:val="00DD331B"/>
    <w:rsid w:val="00DD3458"/>
    <w:rsid w:val="00DD7019"/>
    <w:rsid w:val="00DD796F"/>
    <w:rsid w:val="00DE294B"/>
    <w:rsid w:val="00DE3B6C"/>
    <w:rsid w:val="00DE6454"/>
    <w:rsid w:val="00DE7624"/>
    <w:rsid w:val="00DF2E52"/>
    <w:rsid w:val="00DF316D"/>
    <w:rsid w:val="00DF4387"/>
    <w:rsid w:val="00DF6366"/>
    <w:rsid w:val="00DF7974"/>
    <w:rsid w:val="00DF7B0E"/>
    <w:rsid w:val="00E022C2"/>
    <w:rsid w:val="00E03852"/>
    <w:rsid w:val="00E049B1"/>
    <w:rsid w:val="00E07E97"/>
    <w:rsid w:val="00E105FF"/>
    <w:rsid w:val="00E110D6"/>
    <w:rsid w:val="00E11CF2"/>
    <w:rsid w:val="00E12306"/>
    <w:rsid w:val="00E14C4F"/>
    <w:rsid w:val="00E158BC"/>
    <w:rsid w:val="00E179C6"/>
    <w:rsid w:val="00E24305"/>
    <w:rsid w:val="00E27309"/>
    <w:rsid w:val="00E310DD"/>
    <w:rsid w:val="00E31524"/>
    <w:rsid w:val="00E32CA2"/>
    <w:rsid w:val="00E336B4"/>
    <w:rsid w:val="00E341A4"/>
    <w:rsid w:val="00E34301"/>
    <w:rsid w:val="00E353B9"/>
    <w:rsid w:val="00E373CF"/>
    <w:rsid w:val="00E4271D"/>
    <w:rsid w:val="00E42DF3"/>
    <w:rsid w:val="00E4331C"/>
    <w:rsid w:val="00E456A0"/>
    <w:rsid w:val="00E4577E"/>
    <w:rsid w:val="00E47043"/>
    <w:rsid w:val="00E47DE9"/>
    <w:rsid w:val="00E5084B"/>
    <w:rsid w:val="00E510D4"/>
    <w:rsid w:val="00E51546"/>
    <w:rsid w:val="00E563F0"/>
    <w:rsid w:val="00E648EF"/>
    <w:rsid w:val="00E66F19"/>
    <w:rsid w:val="00E700DF"/>
    <w:rsid w:val="00E70AAC"/>
    <w:rsid w:val="00E710A3"/>
    <w:rsid w:val="00E72CDB"/>
    <w:rsid w:val="00E74C1A"/>
    <w:rsid w:val="00E75A7F"/>
    <w:rsid w:val="00E75FA5"/>
    <w:rsid w:val="00E83712"/>
    <w:rsid w:val="00E8539D"/>
    <w:rsid w:val="00E904D5"/>
    <w:rsid w:val="00E9097A"/>
    <w:rsid w:val="00E90D6E"/>
    <w:rsid w:val="00E91E2A"/>
    <w:rsid w:val="00E92DB3"/>
    <w:rsid w:val="00E92F86"/>
    <w:rsid w:val="00E94756"/>
    <w:rsid w:val="00E96A4C"/>
    <w:rsid w:val="00E9766E"/>
    <w:rsid w:val="00EA0302"/>
    <w:rsid w:val="00EA0A7D"/>
    <w:rsid w:val="00EA31A3"/>
    <w:rsid w:val="00EA7121"/>
    <w:rsid w:val="00EA7598"/>
    <w:rsid w:val="00EB2C5C"/>
    <w:rsid w:val="00EB647F"/>
    <w:rsid w:val="00EC3BB9"/>
    <w:rsid w:val="00EC4C01"/>
    <w:rsid w:val="00EC4F0C"/>
    <w:rsid w:val="00EC69E2"/>
    <w:rsid w:val="00ED156E"/>
    <w:rsid w:val="00ED15A7"/>
    <w:rsid w:val="00ED2246"/>
    <w:rsid w:val="00ED2932"/>
    <w:rsid w:val="00ED2FEA"/>
    <w:rsid w:val="00ED3E54"/>
    <w:rsid w:val="00ED507F"/>
    <w:rsid w:val="00ED7705"/>
    <w:rsid w:val="00ED7BDF"/>
    <w:rsid w:val="00EE1A39"/>
    <w:rsid w:val="00EE5531"/>
    <w:rsid w:val="00EE77CE"/>
    <w:rsid w:val="00EE7AC2"/>
    <w:rsid w:val="00EF2CA2"/>
    <w:rsid w:val="00EF3779"/>
    <w:rsid w:val="00EF3F4A"/>
    <w:rsid w:val="00EF62B2"/>
    <w:rsid w:val="00F009B6"/>
    <w:rsid w:val="00F04EA6"/>
    <w:rsid w:val="00F05442"/>
    <w:rsid w:val="00F05883"/>
    <w:rsid w:val="00F0653A"/>
    <w:rsid w:val="00F07F10"/>
    <w:rsid w:val="00F1181D"/>
    <w:rsid w:val="00F12951"/>
    <w:rsid w:val="00F1339C"/>
    <w:rsid w:val="00F137FB"/>
    <w:rsid w:val="00F13AFA"/>
    <w:rsid w:val="00F14150"/>
    <w:rsid w:val="00F1436E"/>
    <w:rsid w:val="00F2044B"/>
    <w:rsid w:val="00F206A6"/>
    <w:rsid w:val="00F215C7"/>
    <w:rsid w:val="00F23ADE"/>
    <w:rsid w:val="00F24601"/>
    <w:rsid w:val="00F272A4"/>
    <w:rsid w:val="00F302C8"/>
    <w:rsid w:val="00F30B7F"/>
    <w:rsid w:val="00F32CEC"/>
    <w:rsid w:val="00F3486C"/>
    <w:rsid w:val="00F3506B"/>
    <w:rsid w:val="00F35441"/>
    <w:rsid w:val="00F3562D"/>
    <w:rsid w:val="00F36963"/>
    <w:rsid w:val="00F36CF2"/>
    <w:rsid w:val="00F37DBC"/>
    <w:rsid w:val="00F4001B"/>
    <w:rsid w:val="00F406EA"/>
    <w:rsid w:val="00F4131A"/>
    <w:rsid w:val="00F41554"/>
    <w:rsid w:val="00F421E7"/>
    <w:rsid w:val="00F42695"/>
    <w:rsid w:val="00F43F44"/>
    <w:rsid w:val="00F461E1"/>
    <w:rsid w:val="00F4699E"/>
    <w:rsid w:val="00F46FA7"/>
    <w:rsid w:val="00F474AB"/>
    <w:rsid w:val="00F50BF4"/>
    <w:rsid w:val="00F50F05"/>
    <w:rsid w:val="00F51BB1"/>
    <w:rsid w:val="00F52E8C"/>
    <w:rsid w:val="00F52F66"/>
    <w:rsid w:val="00F53B7A"/>
    <w:rsid w:val="00F54506"/>
    <w:rsid w:val="00F55094"/>
    <w:rsid w:val="00F56497"/>
    <w:rsid w:val="00F61C6C"/>
    <w:rsid w:val="00F61F68"/>
    <w:rsid w:val="00F6262C"/>
    <w:rsid w:val="00F632F9"/>
    <w:rsid w:val="00F63E01"/>
    <w:rsid w:val="00F64358"/>
    <w:rsid w:val="00F66C36"/>
    <w:rsid w:val="00F67323"/>
    <w:rsid w:val="00F71F5D"/>
    <w:rsid w:val="00F72451"/>
    <w:rsid w:val="00F7256A"/>
    <w:rsid w:val="00F73655"/>
    <w:rsid w:val="00F74281"/>
    <w:rsid w:val="00F75A60"/>
    <w:rsid w:val="00F76A97"/>
    <w:rsid w:val="00F771B1"/>
    <w:rsid w:val="00F801F2"/>
    <w:rsid w:val="00F81645"/>
    <w:rsid w:val="00F846AF"/>
    <w:rsid w:val="00F85949"/>
    <w:rsid w:val="00F86C08"/>
    <w:rsid w:val="00F87A69"/>
    <w:rsid w:val="00F90AD9"/>
    <w:rsid w:val="00F931C6"/>
    <w:rsid w:val="00F939B1"/>
    <w:rsid w:val="00F93DB2"/>
    <w:rsid w:val="00F956D1"/>
    <w:rsid w:val="00F95C51"/>
    <w:rsid w:val="00F95D9D"/>
    <w:rsid w:val="00F96693"/>
    <w:rsid w:val="00FA1864"/>
    <w:rsid w:val="00FA1879"/>
    <w:rsid w:val="00FA2DBD"/>
    <w:rsid w:val="00FA3109"/>
    <w:rsid w:val="00FA4E88"/>
    <w:rsid w:val="00FA72BC"/>
    <w:rsid w:val="00FA7520"/>
    <w:rsid w:val="00FA769A"/>
    <w:rsid w:val="00FB0F60"/>
    <w:rsid w:val="00FB7263"/>
    <w:rsid w:val="00FB74E7"/>
    <w:rsid w:val="00FC00CB"/>
    <w:rsid w:val="00FC1AC5"/>
    <w:rsid w:val="00FC238B"/>
    <w:rsid w:val="00FC2A44"/>
    <w:rsid w:val="00FC2EE6"/>
    <w:rsid w:val="00FC3214"/>
    <w:rsid w:val="00FC32CA"/>
    <w:rsid w:val="00FC35E5"/>
    <w:rsid w:val="00FC4D96"/>
    <w:rsid w:val="00FC675D"/>
    <w:rsid w:val="00FC76DB"/>
    <w:rsid w:val="00FD1253"/>
    <w:rsid w:val="00FD37DF"/>
    <w:rsid w:val="00FD40B6"/>
    <w:rsid w:val="00FD5C4E"/>
    <w:rsid w:val="00FD6FBE"/>
    <w:rsid w:val="00FD772C"/>
    <w:rsid w:val="00FE0EFB"/>
    <w:rsid w:val="00FE1A98"/>
    <w:rsid w:val="00FE3B51"/>
    <w:rsid w:val="00FE5384"/>
    <w:rsid w:val="00FE7A91"/>
    <w:rsid w:val="00FF201B"/>
    <w:rsid w:val="00FF3FD4"/>
    <w:rsid w:val="00FF6E0B"/>
    <w:rsid w:val="00FF7EDB"/>
    <w:rsid w:val="04EEBBC5"/>
    <w:rsid w:val="09468AB0"/>
    <w:rsid w:val="0971D2E8"/>
    <w:rsid w:val="0C3007F5"/>
    <w:rsid w:val="0F1EA9FB"/>
    <w:rsid w:val="11DC0FF6"/>
    <w:rsid w:val="127F2496"/>
    <w:rsid w:val="16BC6C82"/>
    <w:rsid w:val="18985008"/>
    <w:rsid w:val="194FADE3"/>
    <w:rsid w:val="1D8746C3"/>
    <w:rsid w:val="234326A1"/>
    <w:rsid w:val="24076EDE"/>
    <w:rsid w:val="263965EE"/>
    <w:rsid w:val="27882FE0"/>
    <w:rsid w:val="288E1EF1"/>
    <w:rsid w:val="2898B5EA"/>
    <w:rsid w:val="2BB5926B"/>
    <w:rsid w:val="2F9AFDAB"/>
    <w:rsid w:val="315380F5"/>
    <w:rsid w:val="3A02110B"/>
    <w:rsid w:val="3B80EB06"/>
    <w:rsid w:val="3CB987E1"/>
    <w:rsid w:val="3D72A397"/>
    <w:rsid w:val="41316622"/>
    <w:rsid w:val="415F4941"/>
    <w:rsid w:val="47A7EF6F"/>
    <w:rsid w:val="4CD09460"/>
    <w:rsid w:val="4D95BEDB"/>
    <w:rsid w:val="529E6CEC"/>
    <w:rsid w:val="5AB0DFAB"/>
    <w:rsid w:val="5C2C26D5"/>
    <w:rsid w:val="61BAAD5F"/>
    <w:rsid w:val="62D1F68C"/>
    <w:rsid w:val="6316265F"/>
    <w:rsid w:val="64580CCF"/>
    <w:rsid w:val="6583C6C7"/>
    <w:rsid w:val="6B20D070"/>
    <w:rsid w:val="720F52F2"/>
    <w:rsid w:val="751D6021"/>
    <w:rsid w:val="77418BEC"/>
    <w:rsid w:val="7B9B42F1"/>
    <w:rsid w:val="7C14F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 w:type="paragraph" w:styleId="ListParagraph">
    <w:name w:val="List Paragraph"/>
    <w:basedOn w:val="Normal"/>
    <w:uiPriority w:val="34"/>
    <w:qFormat/>
    <w:rsid w:val="003352FA"/>
    <w:pPr>
      <w:ind w:left="720"/>
      <w:contextualSpacing/>
    </w:pPr>
  </w:style>
  <w:style w:type="paragraph" w:customStyle="1" w:styleId="a">
    <w:name w:val="∙"/>
    <w:uiPriority w:val="99"/>
    <w:rsid w:val="00947B21"/>
    <w:pPr>
      <w:autoSpaceDE w:val="0"/>
      <w:autoSpaceDN w:val="0"/>
      <w:adjustRightInd w:val="0"/>
      <w:ind w:left="-1440"/>
    </w:pPr>
    <w:rPr>
      <w:rFonts w:eastAsia="Calibri"/>
      <w:sz w:val="24"/>
      <w:szCs w:val="24"/>
    </w:rPr>
  </w:style>
  <w:style w:type="paragraph" w:customStyle="1" w:styleId="Default">
    <w:name w:val="Default"/>
    <w:rsid w:val="002C4832"/>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locked/>
    <w:rsid w:val="00C56C31"/>
    <w:pPr>
      <w:spacing w:before="100" w:beforeAutospacing="1" w:after="100" w:afterAutospacing="1"/>
    </w:pPr>
    <w:rPr>
      <w:sz w:val="24"/>
      <w:szCs w:val="24"/>
    </w:rPr>
  </w:style>
  <w:style w:type="character" w:customStyle="1" w:styleId="xxxcontentpasted0">
    <w:name w:val="x_x_x_contentpasted0"/>
    <w:basedOn w:val="DefaultParagraphFont"/>
    <w:rsid w:val="00C5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8" ma:contentTypeDescription="Create a new document." ma:contentTypeScope="" ma:versionID="bec1e2ff8d842ef172b718b314f45171">
  <xsd:schema xmlns:xsd="http://www.w3.org/2001/XMLSchema" xmlns:xs="http://www.w3.org/2001/XMLSchema" xmlns:p="http://schemas.microsoft.com/office/2006/metadata/properties" xmlns:ns3="f42af4b1-c551-450a-9f89-76df0847d194" xmlns:ns4="caecc2cd-c125-47bb-b7d8-61f5602bf9df" targetNamespace="http://schemas.microsoft.com/office/2006/metadata/properties" ma:root="true" ma:fieldsID="a813c69269d85ef51aee3d0c1e8bdca9" ns3:_="" ns4:_="">
    <xsd:import namespace="f42af4b1-c551-450a-9f89-76df0847d194"/>
    <xsd:import namespace="caecc2cd-c125-47bb-b7d8-61f5602bf9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1D6B-5EE0-4888-A0AD-29274B9BA039}">
  <ds:schemaRefs>
    <ds:schemaRef ds:uri="http://purl.org/dc/elements/1.1/"/>
    <ds:schemaRef ds:uri="caecc2cd-c125-47bb-b7d8-61f5602bf9df"/>
    <ds:schemaRef ds:uri="http://schemas.microsoft.com/office/2006/documentManagement/types"/>
    <ds:schemaRef ds:uri="http://schemas.openxmlformats.org/package/2006/metadata/core-properties"/>
    <ds:schemaRef ds:uri="f42af4b1-c551-450a-9f89-76df0847d194"/>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070D750-0CC8-40F5-AD5B-3B2FF1D07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f4b1-c551-450a-9f89-76df0847d194"/>
    <ds:schemaRef ds:uri="caecc2cd-c125-47bb-b7d8-61f5602bf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8DE93-0D48-4EBE-88F7-0FFF6B416035}">
  <ds:schemaRefs>
    <ds:schemaRef ds:uri="http://schemas.openxmlformats.org/officeDocument/2006/bibliography"/>
  </ds:schemaRefs>
</ds:datastoreItem>
</file>

<file path=customXml/itemProps4.xml><?xml version="1.0" encoding="utf-8"?>
<ds:datastoreItem xmlns:ds="http://schemas.openxmlformats.org/officeDocument/2006/customXml" ds:itemID="{76F1A249-F83A-47B7-AEB7-ED8338B42670}">
  <ds:schemaRefs>
    <ds:schemaRef ds:uri="http://schemas.openxmlformats.org/officeDocument/2006/bibliography"/>
  </ds:schemaRefs>
</ds:datastoreItem>
</file>

<file path=customXml/itemProps5.xml><?xml version="1.0" encoding="utf-8"?>
<ds:datastoreItem xmlns:ds="http://schemas.openxmlformats.org/officeDocument/2006/customXml" ds:itemID="{0C9D271D-CEBC-4644-B9DE-69B611FD8BA6}">
  <ds:schemaRefs>
    <ds:schemaRef ds:uri="http://schemas.microsoft.com/sharepoint/v3/contenttype/forms"/>
  </ds:schemaRefs>
</ds:datastoreItem>
</file>

<file path=customXml/itemProps6.xml><?xml version="1.0" encoding="utf-8"?>
<ds:datastoreItem xmlns:ds="http://schemas.openxmlformats.org/officeDocument/2006/customXml" ds:itemID="{193B7C49-6A19-48AA-AECA-0A3649DF2DD4}">
  <ds:schemaRefs>
    <ds:schemaRef ds:uri="http://schemas.openxmlformats.org/officeDocument/2006/bibliography"/>
  </ds:schemaRefs>
</ds:datastoreItem>
</file>

<file path=customXml/itemProps7.xml><?xml version="1.0" encoding="utf-8"?>
<ds:datastoreItem xmlns:ds="http://schemas.openxmlformats.org/officeDocument/2006/customXml" ds:itemID="{D63F6F68-7869-4F28-A7FF-F4930529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2023-10-12T21:44:00Z</dcterms:created>
  <dcterms:modified xsi:type="dcterms:W3CDTF">2023-10-25T11:22:00Z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_NewReviewCycle">
    <vt:lpwstr/>
  </property>
</Properties>
</file>