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Census Household Panel</w:t>
      </w:r>
      <w:r w:rsidRPr="006C0921">
        <w:rPr>
          <w:rFonts w:ascii="Calibri" w:hAnsi="Calibri" w:cs="Calibri"/>
          <w:b/>
          <w:sz w:val="24"/>
        </w:rPr>
        <w:t xml:space="preserve"> </w:t>
      </w:r>
    </w:p>
    <w:p w:rsidR="005367D0" w:rsidRPr="00E12A81" w:rsidP="005367D0" w14:paraId="0712F59D" w14:textId="73B96744">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725D68" w:rsidR="00725D68">
        <w:rPr>
          <w:rFonts w:ascii="Calibri" w:hAnsi="Calibri" w:cs="Calibri"/>
          <w:b/>
          <w:sz w:val="24"/>
        </w:rPr>
        <w:t>1025</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807295A" w14:textId="6ACBE871">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xml:space="preserve">. If the collection had been conducted previously, include the actual response rate achieved during the </w:t>
      </w:r>
      <w:r w:rsidRPr="00124446">
        <w:rPr>
          <w:rFonts w:ascii="Calibri" w:hAnsi="Calibri" w:cs="Calibri"/>
        </w:rPr>
        <w:t>last</w:t>
      </w:r>
      <w:r w:rsidR="00774685">
        <w:rPr>
          <w:rFonts w:ascii="Calibri" w:hAnsi="Calibri" w:cs="Calibri"/>
        </w:rPr>
        <w:t xml:space="preserve"> </w:t>
      </w:r>
      <w:r w:rsidRPr="00124446">
        <w:rPr>
          <w:rFonts w:ascii="Calibri" w:hAnsi="Calibri" w:cs="Calibri"/>
          <w:spacing w:val="-43"/>
        </w:rPr>
        <w:t xml:space="preserve"> </w:t>
      </w:r>
      <w:r w:rsidRPr="00124446">
        <w:rPr>
          <w:rFonts w:ascii="Calibri" w:hAnsi="Calibri" w:cs="Calibri"/>
        </w:rPr>
        <w:t>collection</w:t>
      </w:r>
      <w:r w:rsidRPr="00124446">
        <w:rPr>
          <w:rFonts w:ascii="Calibri" w:hAnsi="Calibri" w:cs="Calibri"/>
        </w:rPr>
        <w:t>.</w:t>
      </w:r>
    </w:p>
    <w:p w:rsidR="00774685" w:rsidRPr="00774685" w:rsidP="00774685" w14:paraId="6C716B26" w14:textId="7D2095E6">
      <w:pPr>
        <w:spacing w:before="161"/>
        <w:ind w:left="400" w:right="362"/>
        <w:rPr>
          <w:rFonts w:ascii="Calibri" w:hAnsi="Calibri" w:cs="Calibri"/>
          <w:bCs/>
          <w:sz w:val="24"/>
        </w:rPr>
      </w:pPr>
      <w:r>
        <w:rPr>
          <w:rFonts w:ascii="Calibri" w:hAnsi="Calibri" w:cs="Calibri"/>
          <w:bCs/>
          <w:sz w:val="24"/>
        </w:rPr>
        <w:t>The topical</w:t>
      </w:r>
      <w:r w:rsidRPr="00774685">
        <w:rPr>
          <w:rFonts w:ascii="Calibri" w:hAnsi="Calibri" w:cs="Calibri"/>
          <w:bCs/>
          <w:sz w:val="24"/>
        </w:rPr>
        <w:t xml:space="preserve"> sample size will be </w:t>
      </w:r>
      <w:r>
        <w:rPr>
          <w:rFonts w:ascii="Calibri" w:hAnsi="Calibri" w:cs="Calibri"/>
          <w:bCs/>
          <w:sz w:val="24"/>
        </w:rPr>
        <w:t>12,225</w:t>
      </w:r>
      <w:r w:rsidRPr="00774685">
        <w:rPr>
          <w:rFonts w:ascii="Calibri" w:hAnsi="Calibri" w:cs="Calibri"/>
          <w:bCs/>
          <w:sz w:val="24"/>
        </w:rPr>
        <w:t xml:space="preserve"> housing units.  The response rate to the </w:t>
      </w:r>
      <w:r w:rsidR="00AB0698">
        <w:rPr>
          <w:rFonts w:ascii="Calibri" w:hAnsi="Calibri" w:cs="Calibri"/>
          <w:bCs/>
          <w:sz w:val="24"/>
        </w:rPr>
        <w:t>topical invitation</w:t>
      </w:r>
      <w:r w:rsidRPr="00774685">
        <w:rPr>
          <w:rFonts w:ascii="Calibri" w:hAnsi="Calibri" w:cs="Calibri"/>
          <w:bCs/>
          <w:sz w:val="24"/>
        </w:rPr>
        <w:t xml:space="preserve"> is expected to ~</w:t>
      </w:r>
      <w:r w:rsidR="00AB0698">
        <w:rPr>
          <w:rFonts w:ascii="Calibri" w:hAnsi="Calibri" w:cs="Calibri"/>
          <w:bCs/>
          <w:sz w:val="24"/>
        </w:rPr>
        <w:t>98</w:t>
      </w:r>
      <w:r w:rsidRPr="00774685">
        <w:rPr>
          <w:rFonts w:ascii="Calibri" w:hAnsi="Calibri" w:cs="Calibri"/>
          <w:bCs/>
          <w:sz w:val="24"/>
        </w:rPr>
        <w:t>% resulting in ~</w:t>
      </w:r>
      <w:r w:rsidR="00AB0698">
        <w:rPr>
          <w:rFonts w:ascii="Calibri" w:hAnsi="Calibri" w:cs="Calibri"/>
          <w:bCs/>
          <w:sz w:val="24"/>
        </w:rPr>
        <w:t>11,980</w:t>
      </w:r>
      <w:r w:rsidRPr="00774685">
        <w:rPr>
          <w:rFonts w:ascii="Calibri" w:hAnsi="Calibri" w:cs="Calibri"/>
          <w:bCs/>
          <w:sz w:val="24"/>
        </w:rPr>
        <w:t xml:space="preserve"> households </w:t>
      </w:r>
      <w:r w:rsidR="00AB0698">
        <w:rPr>
          <w:rFonts w:ascii="Calibri" w:hAnsi="Calibri" w:cs="Calibri"/>
          <w:bCs/>
          <w:sz w:val="24"/>
        </w:rPr>
        <w:t>responding to the second topical survey and 11,740 for the third topical</w:t>
      </w:r>
      <w:r w:rsidRPr="00774685">
        <w:rPr>
          <w:rFonts w:ascii="Calibri" w:hAnsi="Calibri" w:cs="Calibri"/>
          <w:bCs/>
          <w:sz w:val="24"/>
        </w:rPr>
        <w:t xml:space="preserve">.  </w:t>
      </w:r>
    </w:p>
    <w:p w:rsidR="00774685" w:rsidRPr="00774685" w:rsidP="00A63C05" w14:paraId="51A01C9E" w14:textId="77777777">
      <w:pPr>
        <w:spacing w:before="161"/>
        <w:ind w:left="400" w:right="362"/>
        <w:rPr>
          <w:rFonts w:ascii="Calibri" w:hAnsi="Calibri" w:cs="Calibri"/>
          <w:bCs/>
          <w:sz w:val="24"/>
        </w:rPr>
      </w:pPr>
    </w:p>
    <w:p w:rsidR="00B955B7" w:rsidRPr="00A63C05" w:rsidP="00942196" w14:paraId="568610C7"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6C0921" w:rsidP="00A057FA" w14:paraId="02FDDCCA" w14:textId="77777777">
      <w:pPr>
        <w:spacing w:before="161"/>
        <w:ind w:left="400" w:right="362"/>
        <w:rPr>
          <w:rFonts w:ascii="Calibri" w:hAnsi="Calibri" w:cs="Calibri"/>
          <w:b/>
          <w:color w:val="FF0000"/>
          <w:sz w:val="24"/>
        </w:rPr>
      </w:pPr>
    </w:p>
    <w:p w:rsidR="009A01EE" w:rsidRPr="009A01EE" w:rsidP="009A01EE" w14:paraId="624B51BB" w14:textId="77777777">
      <w:pPr>
        <w:pStyle w:val="BodyText"/>
        <w:spacing w:before="221" w:line="259" w:lineRule="auto"/>
        <w:ind w:right="340"/>
        <w:rPr>
          <w:rFonts w:ascii="Calibri" w:hAnsi="Calibri" w:cs="Calibri"/>
        </w:rPr>
      </w:pPr>
      <w:r w:rsidRPr="009A01EE">
        <w:rPr>
          <w:rFonts w:ascii="Calibri" w:hAnsi="Calibri" w:cs="Calibri"/>
        </w:rPr>
        <w:t>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four Census Bureau regions.  MAF records not stratified into a stratum based on the DF or PDB will be defined as their own strata.  The sample will be distributed proportionately within regions of the country to each stratum based on the number housing units within the stratum.  We will conduct a subsampling operation in stratum that, based on results of other demographic surveys, have higher response rates.  Thus, the stratum where no subsampling occurs will be oversampled.</w:t>
      </w:r>
    </w:p>
    <w:p w:rsidR="00942196" w:rsidP="009A01EE" w14:paraId="443F8059" w14:textId="70D01ADE">
      <w:pPr>
        <w:pStyle w:val="BodyText"/>
        <w:spacing w:before="221" w:line="259" w:lineRule="auto"/>
        <w:ind w:right="340"/>
        <w:rPr>
          <w:rFonts w:ascii="Calibri" w:hAnsi="Calibri" w:cs="Calibri"/>
        </w:rPr>
      </w:pPr>
      <w:r w:rsidRPr="009A01EE">
        <w:rPr>
          <w:rFonts w:ascii="Calibri" w:hAnsi="Calibri" w:cs="Calibri"/>
        </w:rPr>
        <w:t xml:space="preserve">Future refreshment samples will be drawn from a frame that uses updated MAF, DF and PDB information, and those samples may be targeted at the geographic or domain level, </w:t>
      </w:r>
      <w:r w:rsidRPr="009A01EE" w:rsidR="000E7FA4">
        <w:rPr>
          <w:rFonts w:ascii="Calibri" w:hAnsi="Calibri" w:cs="Calibri"/>
        </w:rPr>
        <w:t>to</w:t>
      </w:r>
      <w:r w:rsidRPr="009A01EE">
        <w:rPr>
          <w:rFonts w:ascii="Calibri" w:hAnsi="Calibri" w:cs="Calibri"/>
        </w:rPr>
        <w:t xml:space="preserve"> maintain representativeness of the Household Panel Survey, adjust sample sizes based on observed nonresponse, and account for sample units that are rotating out of the panel.</w:t>
      </w:r>
    </w:p>
    <w:p w:rsidR="009A01EE" w:rsidRPr="009A01EE" w:rsidP="009A01EE" w14:paraId="0910DEE4" w14:textId="27140994">
      <w:pPr>
        <w:pStyle w:val="BodyText"/>
        <w:spacing w:before="221" w:line="259" w:lineRule="auto"/>
        <w:ind w:right="340"/>
        <w:rPr>
          <w:rFonts w:asciiTheme="minorHAnsi" w:hAnsiTheme="minorHAnsi" w:cstheme="minorHAnsi"/>
        </w:rPr>
      </w:pPr>
      <w:r w:rsidRPr="009A01EE">
        <w:rPr>
          <w:rFonts w:asciiTheme="minorHAnsi" w:hAnsiTheme="minorHAnsi" w:cstheme="minorHAnsi"/>
        </w:rPr>
        <w:t xml:space="preserve">The final Household Panel Survey weights are designed to produce estimates for the total persons </w:t>
      </w:r>
      <w:r w:rsidRPr="009A01EE" w:rsidR="000E7FA4">
        <w:rPr>
          <w:rFonts w:asciiTheme="minorHAnsi" w:hAnsiTheme="minorHAnsi" w:cstheme="minorHAnsi"/>
        </w:rPr>
        <w:t>aged</w:t>
      </w:r>
      <w:r w:rsidRPr="009A01EE">
        <w:rPr>
          <w:rFonts w:asciiTheme="minorHAnsi" w:hAnsiTheme="minorHAnsi" w:cstheme="minorHAnsi"/>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Household Panel Survey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124446" w:rsidP="00942196" w14:paraId="532BBA3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006C0921" w14:paraId="7462578B" w14:textId="066D85E3">
      <w:pPr>
        <w:pStyle w:val="BodyText"/>
        <w:ind w:left="360"/>
        <w:rPr>
          <w:rFonts w:ascii="Calibri" w:hAnsi="Calibri" w:cs="Calibri"/>
        </w:rPr>
      </w:pPr>
      <w:r>
        <w:rPr>
          <w:rFonts w:ascii="Calibri" w:hAnsi="Calibri" w:cs="Calibri"/>
        </w:rPr>
        <w:t>Enrolled p</w:t>
      </w:r>
      <w:r w:rsidR="00AB0698">
        <w:rPr>
          <w:rFonts w:ascii="Calibri" w:hAnsi="Calibri" w:cs="Calibri"/>
        </w:rPr>
        <w:t>anelists</w:t>
      </w:r>
      <w:r w:rsidRPr="00D64EFA" w:rsidR="5E88C2A8">
        <w:rPr>
          <w:rFonts w:ascii="Calibri" w:hAnsi="Calibri" w:cs="Calibri"/>
        </w:rPr>
        <w:t xml:space="preserve"> will be invited to respond to monthly topical surveys. Invitations will be sent by email, text message (opt-in), and</w:t>
      </w:r>
      <w:r w:rsidR="00AB0698">
        <w:rPr>
          <w:rFonts w:ascii="Calibri" w:hAnsi="Calibri" w:cs="Calibri"/>
        </w:rPr>
        <w:t xml:space="preserve"> for those panelists with no email or mobile phone contact information, outbound telephone calling. </w:t>
      </w:r>
      <w:r w:rsidRPr="00D64EFA" w:rsidR="5E88C2A8">
        <w:rPr>
          <w:rFonts w:ascii="Calibri" w:hAnsi="Calibri" w:cs="Calibri"/>
        </w:rPr>
        <w:t xml:space="preserve">Using a unique login or QR code, panelists can access a topical questionnaire by computer, tablet, or smartphone to complete a topical survey. Phone-only panelists will complete topical surveys via inbound </w:t>
      </w:r>
      <w:r w:rsidR="00AB0698">
        <w:rPr>
          <w:rFonts w:ascii="Calibri" w:hAnsi="Calibri" w:cs="Calibri"/>
        </w:rPr>
        <w:t xml:space="preserve">or outbound </w:t>
      </w:r>
      <w:r w:rsidRPr="00D64EFA" w:rsidR="5E88C2A8">
        <w:rPr>
          <w:rFonts w:ascii="Calibri" w:hAnsi="Calibri" w:cs="Calibri"/>
        </w:rPr>
        <w:t xml:space="preserve">CATI. </w:t>
      </w:r>
    </w:p>
    <w:p w:rsidR="00D64EFA" w:rsidRPr="00D64EFA" w:rsidP="006C0921" w14:paraId="7BC55E76" w14:textId="77777777">
      <w:pPr>
        <w:pStyle w:val="BodyText"/>
        <w:ind w:left="360"/>
        <w:rPr>
          <w:rFonts w:ascii="Calibri" w:hAnsi="Calibri" w:cs="Calibri"/>
        </w:rPr>
      </w:pPr>
      <w:r w:rsidRPr="00D64EFA">
        <w:rPr>
          <w:rFonts w:ascii="Calibri" w:hAnsi="Calibri" w:cs="Calibri"/>
        </w:rPr>
        <w:t>Data collection for each topical survey will take place in a 2-week window. Panelists will receive the first topical survey invitation 4 weeks after the initial recruitment period ends. Each topical survey will be approximately 15 minutes long and panelists will receive up to two reminders to complete a topical survey. Panelists who complete a topical survey will be mailed a thank you letter with a $10 cash incentive about 10 days after the topical survey field period closes.</w:t>
      </w:r>
    </w:p>
    <w:p w:rsidR="00D64EFA" w:rsidRPr="00D64EFA" w:rsidP="006C0921" w14:paraId="5DC5D584" w14:textId="648CAE83">
      <w:pPr>
        <w:pStyle w:val="BodyText"/>
        <w:ind w:left="360"/>
        <w:rPr>
          <w:rFonts w:ascii="Calibri" w:hAnsi="Calibri" w:cs="Calibri"/>
        </w:rPr>
      </w:pPr>
      <w:r w:rsidRPr="00D64EFA">
        <w:rPr>
          <w:rFonts w:ascii="Calibri" w:hAnsi="Calibri" w:cs="Calibri"/>
        </w:rPr>
        <w:t xml:space="preserve">The first topical survey planned for the Census Household Panel is the Census Barriers, Attitudes and Motivators survey that will inform the decennial advertising and communications program for the 2030 Census. </w:t>
      </w:r>
      <w:r w:rsidR="00AB0698">
        <w:rPr>
          <w:rFonts w:ascii="Calibri" w:hAnsi="Calibri" w:cs="Calibri"/>
        </w:rPr>
        <w:t xml:space="preserve">The second and third topical surveys will be an abridged version of the Household Pulse Survey. </w:t>
      </w:r>
      <w:r w:rsidRPr="00D64EFA">
        <w:rPr>
          <w:rFonts w:ascii="Calibri" w:hAnsi="Calibri" w:cs="Calibri"/>
        </w:rPr>
        <w:t>Future topical surveys can be sponsored by other Census Bureau survey programs or by other Federal statistical agencies. Each topical survey will offer panelists an opportunity to update contact information and verify their address for incentive mailing. Content governance will initially follow policies developed for the Household Pulse Survey and be amended as necessary.</w:t>
      </w:r>
    </w:p>
    <w:p w:rsidR="00D64EFA" w:rsidRPr="00D64EFA" w:rsidP="006C0921" w14:paraId="099D2483" w14:textId="77777777">
      <w:pPr>
        <w:pStyle w:val="BodyText"/>
        <w:ind w:left="360"/>
        <w:rPr>
          <w:rFonts w:ascii="Calibri" w:hAnsi="Calibri" w:cs="Calibri"/>
        </w:rPr>
      </w:pPr>
    </w:p>
    <w:p w:rsidR="00D64EFA" w:rsidRPr="00D64EFA" w:rsidP="00D64EFA" w14:paraId="3166C00F" w14:textId="77777777">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anticipate sending panelists one topical survey per month to keep them engaged. Panelists will not be eligible for more than one survey per month to keep burden low and reduce panel </w:t>
      </w:r>
      <w:r w:rsidRPr="00D64EFA">
        <w:rPr>
          <w:rFonts w:ascii="Calibri" w:hAnsi="Calibri" w:cs="Calibri"/>
          <w:sz w:val="24"/>
          <w:szCs w:val="24"/>
        </w:rPr>
        <w:t>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29880047">
      <w:pPr>
        <w:spacing w:line="276" w:lineRule="auto"/>
        <w:ind w:left="320"/>
        <w:rPr>
          <w:rFonts w:ascii="Calibri" w:hAnsi="Calibri" w:cs="Calibri"/>
          <w:sz w:val="24"/>
          <w:szCs w:val="24"/>
        </w:rPr>
      </w:pPr>
      <w:r>
        <w:rPr>
          <w:rFonts w:ascii="Calibri" w:hAnsi="Calibri" w:cs="Calibri"/>
          <w:sz w:val="24"/>
          <w:szCs w:val="24"/>
        </w:rPr>
        <w:t>In the future, w</w:t>
      </w:r>
      <w:r w:rsidRPr="00D64EFA">
        <w:rPr>
          <w:rFonts w:ascii="Calibri" w:hAnsi="Calibri" w:cs="Calibri"/>
          <w:sz w:val="24"/>
          <w:szCs w:val="24"/>
        </w:rPr>
        <w:t>e plan to use the Audience Management functionality in Qualtrics to create a web page where panelists can view their upcoming surveys, check for mailing of incentives for past questionnaires, update their contact information, access technical assistance, and opt-out of panel participation. At least once a year, panelists will be asked to verify or update information from their original Baseline Questionnaire to ensure information about the panelist and their household is current.</w:t>
      </w:r>
    </w:p>
    <w:p w:rsidR="00D64EFA" w:rsidRPr="00D64EFA" w:rsidP="00D64EFA" w14:paraId="34C6A4BA" w14:textId="77777777">
      <w:pPr>
        <w:pStyle w:val="Heading2"/>
        <w:ind w:left="320"/>
        <w:rPr>
          <w:rFonts w:ascii="Calibri" w:eastAsia="Arial" w:hAnsi="Calibri" w:cs="Calibri"/>
          <w:color w:val="auto"/>
          <w:sz w:val="24"/>
          <w:szCs w:val="24"/>
        </w:rPr>
      </w:pPr>
      <w:bookmarkStart w:id="0" w:name="_Toc78201646"/>
      <w:r w:rsidRPr="00D64EFA">
        <w:rPr>
          <w:rFonts w:ascii="Calibri" w:eastAsia="Arial" w:hAnsi="Calibri" w:cs="Calibri"/>
          <w:color w:val="auto"/>
          <w:sz w:val="24"/>
          <w:szCs w:val="24"/>
        </w:rPr>
        <w:t>Panel Replacement and Replenishment</w:t>
      </w:r>
      <w:bookmarkEnd w:id="0"/>
      <w:r w:rsidRPr="00D64EFA">
        <w:rPr>
          <w:rFonts w:ascii="Calibri" w:eastAsia="Arial" w:hAnsi="Calibri" w:cs="Calibri"/>
          <w:color w:val="auto"/>
          <w:sz w:val="24"/>
          <w:szCs w:val="24"/>
        </w:rPr>
        <w:t xml:space="preserve"> </w:t>
      </w:r>
    </w:p>
    <w:p w:rsidR="00D64EFA" w:rsidRPr="00D64EFA" w:rsidP="006C0921" w14:paraId="43AA53C7" w14:textId="77777777">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7777777">
      <w:pPr>
        <w:pStyle w:val="BodyText"/>
        <w:ind w:left="360"/>
        <w:rPr>
          <w:rFonts w:ascii="Calibri" w:hAnsi="Calibri" w:cs="Calibri"/>
        </w:rPr>
      </w:pPr>
      <w:r w:rsidRPr="00D64EFA">
        <w:rPr>
          <w:rFonts w:ascii="Calibri" w:hAnsi="Calibri" w:cs="Calibri"/>
        </w:rPr>
        <w:t>Panelist requests to disenroll from the panel will be identified and processed according to forthcoming protocols. Periodic nonresponse or refusal to the 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two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D64EFA" w:rsidRPr="00D64EFA" w:rsidP="006C0921" w14:paraId="73C20738" w14:textId="203A8D1F">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nonresponse to questions deemed critical for analysis, high item nonresponse alone or after data review), and poor-quality data resulting in an unusable interview. Inactive panelists will remain members of the Census Household Panel if reengagement is desired by Census staff, especially for rare or historically undercounted populations. Definition of poor-quality responses is forthcoming.</w:t>
      </w:r>
    </w:p>
    <w:p w:rsidR="00D64EFA" w:rsidRPr="00D64EFA" w:rsidP="006C0921" w14:paraId="759BDE29" w14:textId="77777777">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p>
    <w:p w:rsidR="00D64EFA" w:rsidP="006C0921" w14:paraId="78B0A038"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1C40B01A">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D64EFA" w:rsidRPr="00D64EFA" w:rsidP="006C0921" w14:paraId="52C4E71B" w14:textId="77777777">
      <w:pPr>
        <w:spacing w:line="276" w:lineRule="auto"/>
        <w:ind w:left="360"/>
        <w:rPr>
          <w:rFonts w:ascii="Calibri" w:hAnsi="Calibri" w:cs="Calibri"/>
          <w:sz w:val="24"/>
          <w:szCs w:val="24"/>
        </w:rPr>
      </w:pPr>
    </w:p>
    <w:p w:rsidR="00D64EFA" w:rsidRPr="00D64EFA" w:rsidP="006C0921" w14:paraId="2956A05A" w14:textId="77777777">
      <w:pPr>
        <w:pStyle w:val="BodyText"/>
        <w:ind w:left="360"/>
        <w:rPr>
          <w:rFonts w:ascii="Calibri" w:hAnsi="Calibri" w:cs="Calibri"/>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00D64EFA">
        <w:rPr>
          <w:rFonts w:ascii="Calibri" w:hAnsi="Calibri" w:cs="Calibri"/>
        </w:rPr>
        <w:t>Because incentives remain one of the most effective ways to encourage survey participation. The current incentive design includes the following:</w:t>
      </w: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Topical Surveys: $10 for each topical survey (~15-minute average; once per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1304CC" w:rsidRPr="001304CC" w:rsidP="001304CC" w14:paraId="64D74261" w14:textId="77777777">
      <w:pPr>
        <w:pStyle w:val="BodyText"/>
        <w:spacing w:line="259" w:lineRule="auto"/>
        <w:ind w:right="407"/>
        <w:rPr>
          <w:rFonts w:ascii="Calibri" w:hAnsi="Calibri" w:cs="Calibri"/>
        </w:rPr>
      </w:pPr>
      <w:r w:rsidRPr="001304CC">
        <w:rPr>
          <w:rFonts w:ascii="Calibri" w:hAnsi="Calibri" w:cs="Calibri"/>
        </w:rPr>
        <w:t xml:space="preserve">The Ask U.S. Panel Pilot was developed to test methods for a </w:t>
      </w:r>
      <w:r w:rsidRPr="001304CC">
        <w:rPr>
          <w:rFonts w:ascii="Calibri" w:hAnsi="Calibri" w:cs="Calibri"/>
        </w:rPr>
        <w:t>Federally-sponsored</w:t>
      </w:r>
      <w:r w:rsidRPr="001304CC">
        <w:rPr>
          <w:rFonts w:ascii="Calibri" w:hAnsi="Calibri" w:cs="Calibri"/>
        </w:rPr>
        <w:t>, probability-based, nationally-representative survey panel which would include historically undercounted populations. The Pilot was designed to answer critical methodological questions about our ability to recruit and retain historically undercounted population groups in a panel. To address two related challenges that may contribute to nonresponse bias in estimates – how to engage those who are unlikely to complete an online screening questionnaire and how to include the population without internet, we launched a two-phase panel recruitment design with subsampling for nonresponse. We oversampled populations who were historically missing from online surveys – those with low internet penetration and Hispanics – and evaluated recruitment protocols that may increase response rates and minimize the potential for nonresponse bias. We found that nonresponse follow-up efforts allowed us to access more diverse households, such as those who do not own their home, speak a language at home other than English, and who receive financial assistance.</w:t>
      </w:r>
    </w:p>
    <w:p w:rsidR="001304CC" w:rsidRPr="001304CC" w:rsidP="001304CC" w14:paraId="5EBEB3EA" w14:textId="77777777">
      <w:pPr>
        <w:pStyle w:val="BodyText"/>
        <w:spacing w:line="259" w:lineRule="auto"/>
        <w:ind w:right="407"/>
        <w:rPr>
          <w:rFonts w:ascii="Calibri" w:hAnsi="Calibri" w:cs="Calibri"/>
        </w:rPr>
      </w:pPr>
      <w:r w:rsidRPr="001304CC">
        <w:rPr>
          <w:rFonts w:ascii="Calibri" w:hAnsi="Calibri" w:cs="Calibri"/>
        </w:rPr>
        <w:t xml:space="preserve">Experimentally, we focused on two design elements – sponsorship and prepaid incentives. In a 2x2 design, we compared explicit government sponsorship vs. </w:t>
      </w:r>
      <w:r w:rsidRPr="001304CC">
        <w:rPr>
          <w:rFonts w:ascii="Calibri" w:hAnsi="Calibri" w:cs="Calibri"/>
        </w:rPr>
        <w:t>none</w:t>
      </w:r>
      <w:r w:rsidRPr="001304CC">
        <w:rPr>
          <w:rFonts w:ascii="Calibri" w:hAnsi="Calibri" w:cs="Calibri"/>
        </w:rPr>
        <w:t xml:space="preserve"> and visibility of a $5 prepaid incentive sent with the initial recruitment letter. We found that both the explicit government sponsorship and the visible $5 incentive had a positive and significant influence on the response rates. The effect remained significant even after controlling for design </w:t>
      </w:r>
      <w:r w:rsidRPr="001304CC">
        <w:rPr>
          <w:rFonts w:ascii="Calibri" w:hAnsi="Calibri" w:cs="Calibri"/>
        </w:rPr>
        <w:t>variables. The interaction of the two experimental conditions was also significant such that the condition with the visible incentive and the Census Bureau brand had the highest response rate. These findings are all described: Ask U.S. Panel Pilot General Population Final Report (census.gov)</w:t>
      </w:r>
    </w:p>
    <w:p w:rsidR="00942196" w:rsidRPr="00124446" w:rsidP="001304CC" w14:paraId="6D15F901" w14:textId="72DD3476">
      <w:pPr>
        <w:pStyle w:val="BodyText"/>
        <w:spacing w:line="259" w:lineRule="auto"/>
        <w:ind w:right="407"/>
        <w:rPr>
          <w:rFonts w:ascii="Calibri" w:hAnsi="Calibri" w:cs="Calibri"/>
        </w:rPr>
      </w:pPr>
      <w:r w:rsidRPr="001304CC">
        <w:rPr>
          <w:rFonts w:ascii="Calibri" w:hAnsi="Calibri" w:cs="Calibri"/>
        </w:rPr>
        <w:t>We plan to continue to experiment with ways to maximize recruitment and retention for the Census Household Panel. Each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005A6942" w14:paraId="494774A8" w14:textId="679B870A">
      <w:pPr>
        <w:numPr>
          <w:ilvl w:val="12"/>
          <w:numId w:val="0"/>
        </w:numPr>
        <w:tabs>
          <w:tab w:val="left" w:pos="480"/>
          <w:tab w:val="left" w:pos="99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u w:val="single"/>
        </w:rPr>
        <w:t>Statistical Design</w:t>
      </w: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604A6666" w14:textId="78FEBB1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Center for Behavioral Science Methods</w:t>
      </w:r>
    </w:p>
    <w:p w:rsidR="005A6942" w:rsidRPr="005A6942" w:rsidP="005A6942" w14:paraId="2147504A" w14:textId="545101B5">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Associate Director Research and Methodology</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005A6942" w14:paraId="5434C6AD" w14:textId="5670181C">
      <w:pPr>
        <w:numPr>
          <w:ilvl w:val="12"/>
          <w:numId w:val="0"/>
        </w:num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David Waddington</w:t>
      </w:r>
    </w:p>
    <w:p w:rsidR="005A6942" w:rsidRPr="005A6942" w:rsidP="005A6942" w14:paraId="3AE48DE7" w14:textId="77777777">
      <w:pPr>
        <w:numPr>
          <w:ilvl w:val="12"/>
          <w:numId w:val="0"/>
        </w:numPr>
        <w:tabs>
          <w:tab w:val="left" w:pos="450"/>
          <w:tab w:val="left" w:pos="960"/>
          <w:tab w:val="left" w:pos="1170"/>
          <w:tab w:val="left" w:pos="1350"/>
          <w:tab w:val="left" w:pos="1440"/>
          <w:tab w:val="left" w:pos="1920"/>
          <w:tab w:val="left" w:pos="2400"/>
          <w:tab w:val="left" w:pos="5850"/>
          <w:tab w:val="left" w:pos="9240"/>
        </w:tabs>
        <w:ind w:left="450" w:hanging="90"/>
        <w:rPr>
          <w:rFonts w:asciiTheme="minorHAnsi" w:hAnsiTheme="minorHAnsi" w:cstheme="minorHAnsi"/>
          <w:sz w:val="24"/>
          <w:szCs w:val="24"/>
        </w:rPr>
      </w:pPr>
      <w:r w:rsidRPr="005A6942">
        <w:rPr>
          <w:rFonts w:asciiTheme="minorHAnsi" w:hAnsiTheme="minorHAnsi" w:cstheme="minorHAnsi"/>
          <w:sz w:val="24"/>
          <w:szCs w:val="24"/>
        </w:rPr>
        <w:tab/>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david.g.waddington@census.gov</w:t>
      </w:r>
    </w:p>
    <w:p w:rsidR="00A057FA" w:rsidRPr="005A6942" w:rsidP="00942196" w14:paraId="53F5F7C1" w14:textId="77777777">
      <w:pPr>
        <w:pStyle w:val="BodyText"/>
        <w:spacing w:before="160" w:line="259" w:lineRule="auto"/>
        <w:rPr>
          <w:rFonts w:asciiTheme="minorHAnsi" w:hAnsiTheme="minorHAnsi" w:cstheme="minorHAnsi"/>
          <w:color w:val="0070C0"/>
        </w:rPr>
      </w:pP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0E7FA4"/>
    <w:rsid w:val="00124446"/>
    <w:rsid w:val="001304CC"/>
    <w:rsid w:val="00130530"/>
    <w:rsid w:val="001D5A72"/>
    <w:rsid w:val="00325F54"/>
    <w:rsid w:val="00353F8C"/>
    <w:rsid w:val="003E0710"/>
    <w:rsid w:val="00442F57"/>
    <w:rsid w:val="004E2561"/>
    <w:rsid w:val="005367D0"/>
    <w:rsid w:val="005A6942"/>
    <w:rsid w:val="00615B02"/>
    <w:rsid w:val="00677C42"/>
    <w:rsid w:val="006C0921"/>
    <w:rsid w:val="00725D68"/>
    <w:rsid w:val="00774685"/>
    <w:rsid w:val="007B36BA"/>
    <w:rsid w:val="00837B80"/>
    <w:rsid w:val="00892982"/>
    <w:rsid w:val="00942196"/>
    <w:rsid w:val="009A01EE"/>
    <w:rsid w:val="009C500B"/>
    <w:rsid w:val="00A057FA"/>
    <w:rsid w:val="00A63C05"/>
    <w:rsid w:val="00AB0698"/>
    <w:rsid w:val="00B90413"/>
    <w:rsid w:val="00B955B7"/>
    <w:rsid w:val="00BC1E42"/>
    <w:rsid w:val="00D455B4"/>
    <w:rsid w:val="00D64EFA"/>
    <w:rsid w:val="00E023A4"/>
    <w:rsid w:val="00E12A81"/>
    <w:rsid w:val="00E7588B"/>
    <w:rsid w:val="10FF0A87"/>
    <w:rsid w:val="2129F4FD"/>
    <w:rsid w:val="3D49A21E"/>
    <w:rsid w:val="4468FD5D"/>
    <w:rsid w:val="474F9928"/>
    <w:rsid w:val="47CAA914"/>
    <w:rsid w:val="4B00FF06"/>
    <w:rsid w:val="543110C2"/>
    <w:rsid w:val="5C9E1594"/>
    <w:rsid w:val="5E88C2A8"/>
    <w:rsid w:val="69D92356"/>
    <w:rsid w:val="6D10C418"/>
    <w:rsid w:val="7C7ED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1940</Words>
  <Characters>11060</Characters>
  <Application>Microsoft Office Word</Application>
  <DocSecurity>0</DocSecurity>
  <Lines>92</Lines>
  <Paragraphs>25</Paragraphs>
  <ScaleCrop>false</ScaleCrop>
  <Company>Bureau of the Census</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Cassandra Logan (CENSUS/ADDP FED)</cp:lastModifiedBy>
  <cp:revision>3</cp:revision>
  <dcterms:created xsi:type="dcterms:W3CDTF">2023-10-19T18:59:00Z</dcterms:created>
  <dcterms:modified xsi:type="dcterms:W3CDTF">2023-10-19T19:00:00Z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