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AC6" w:rsidRPr="00647D1D" w:rsidP="00647D1D" w14:paraId="018D6A80" w14:textId="77777777">
      <w:pPr>
        <w:tabs>
          <w:tab w:val="center" w:pos="4680"/>
        </w:tabs>
        <w:jc w:val="center"/>
        <w:rPr>
          <w:rFonts w:ascii="Arial" w:hAnsi="Arial" w:cs="Arial"/>
          <w:b/>
          <w:bCs/>
          <w:sz w:val="28"/>
          <w:szCs w:val="28"/>
        </w:rPr>
      </w:pPr>
      <w:r w:rsidRPr="00647D1D">
        <w:rPr>
          <w:rFonts w:ascii="Arial" w:hAnsi="Arial" w:cs="Arial"/>
          <w:b/>
          <w:bCs/>
          <w:sz w:val="28"/>
          <w:szCs w:val="28"/>
        </w:rPr>
        <w:t>Supporting Statement</w:t>
      </w:r>
    </w:p>
    <w:p w:rsidR="00C35798" w:rsidRPr="00647D1D" w:rsidP="00647D1D" w14:paraId="21AFEFCB" w14:textId="77777777">
      <w:pPr>
        <w:tabs>
          <w:tab w:val="center" w:pos="4680"/>
        </w:tabs>
        <w:jc w:val="center"/>
        <w:rPr>
          <w:rFonts w:ascii="Arial" w:hAnsi="Arial" w:cs="Arial"/>
          <w:b/>
          <w:bCs/>
          <w:sz w:val="28"/>
          <w:szCs w:val="28"/>
        </w:rPr>
      </w:pPr>
    </w:p>
    <w:p w:rsidR="004B6AC6" w:rsidRPr="00647D1D" w:rsidP="00647D1D" w14:paraId="667A1F5D" w14:textId="54CB98C0">
      <w:pPr>
        <w:tabs>
          <w:tab w:val="center" w:pos="4680"/>
        </w:tabs>
        <w:jc w:val="center"/>
        <w:rPr>
          <w:rFonts w:ascii="Arial" w:hAnsi="Arial" w:cs="Arial"/>
          <w:b/>
          <w:bCs/>
          <w:sz w:val="28"/>
          <w:szCs w:val="28"/>
        </w:rPr>
      </w:pPr>
      <w:r w:rsidRPr="00647D1D">
        <w:rPr>
          <w:rFonts w:ascii="Arial" w:hAnsi="Arial" w:cs="Arial"/>
          <w:b/>
          <w:bCs/>
          <w:sz w:val="28"/>
          <w:szCs w:val="28"/>
        </w:rPr>
        <w:t>Standardized Work Plan (SWP) Form for Use with Applications to the Bureau of Health Workforce (BHW) Research and Training Grants and Cooperative</w:t>
      </w:r>
      <w:r w:rsidRPr="00647D1D" w:rsidR="00896821">
        <w:rPr>
          <w:rFonts w:ascii="Arial" w:hAnsi="Arial" w:cs="Arial"/>
          <w:b/>
          <w:bCs/>
          <w:sz w:val="28"/>
          <w:szCs w:val="28"/>
        </w:rPr>
        <w:t xml:space="preserve"> Agreements</w:t>
      </w:r>
    </w:p>
    <w:p w:rsidR="004B6AC6" w:rsidRPr="00647D1D" w:rsidP="00647D1D" w14:paraId="7612138D" w14:textId="77777777">
      <w:pPr>
        <w:tabs>
          <w:tab w:val="center" w:pos="4680"/>
        </w:tabs>
        <w:jc w:val="center"/>
        <w:rPr>
          <w:rFonts w:ascii="Arial" w:hAnsi="Arial" w:cs="Arial"/>
          <w:b/>
          <w:bCs/>
          <w:sz w:val="28"/>
          <w:szCs w:val="28"/>
        </w:rPr>
      </w:pPr>
    </w:p>
    <w:p w:rsidR="004B6AC6" w:rsidRPr="00647D1D" w:rsidP="00647D1D" w14:paraId="2E850BCC" w14:textId="4527A8D5">
      <w:pPr>
        <w:tabs>
          <w:tab w:val="center" w:pos="4680"/>
        </w:tabs>
        <w:jc w:val="center"/>
        <w:rPr>
          <w:rFonts w:ascii="Arial" w:hAnsi="Arial" w:cs="Arial"/>
          <w:b/>
          <w:bCs/>
          <w:sz w:val="28"/>
          <w:szCs w:val="28"/>
        </w:rPr>
      </w:pPr>
      <w:r w:rsidRPr="00647D1D">
        <w:rPr>
          <w:rFonts w:ascii="Arial" w:hAnsi="Arial" w:cs="Arial"/>
          <w:b/>
          <w:bCs/>
          <w:sz w:val="28"/>
          <w:szCs w:val="28"/>
        </w:rPr>
        <w:t>OMB No. 0906-</w:t>
      </w:r>
      <w:r w:rsidRPr="00647D1D" w:rsidR="006D6DA5">
        <w:rPr>
          <w:rFonts w:ascii="Arial" w:hAnsi="Arial" w:cs="Arial"/>
          <w:b/>
          <w:bCs/>
          <w:sz w:val="28"/>
          <w:szCs w:val="28"/>
        </w:rPr>
        <w:t xml:space="preserve">0049 - </w:t>
      </w:r>
      <w:r w:rsidR="006A6D2D">
        <w:rPr>
          <w:rFonts w:ascii="Arial" w:hAnsi="Arial" w:cs="Arial"/>
          <w:b/>
          <w:bCs/>
          <w:sz w:val="28"/>
          <w:szCs w:val="28"/>
        </w:rPr>
        <w:t>Extension</w:t>
      </w:r>
    </w:p>
    <w:p w:rsidR="00647D1D" w:rsidP="00647D1D" w14:paraId="22A6A7B1" w14:textId="77777777">
      <w:pPr>
        <w:rPr>
          <w:rFonts w:ascii="Arial" w:hAnsi="Arial" w:cs="Arial"/>
          <w:b/>
          <w:sz w:val="24"/>
        </w:rPr>
      </w:pPr>
    </w:p>
    <w:p w:rsidR="004B6AC6" w:rsidP="00647D1D" w14:paraId="60344089" w14:textId="6C9170F0">
      <w:pPr>
        <w:rPr>
          <w:rFonts w:ascii="Arial" w:hAnsi="Arial" w:cs="Arial"/>
          <w:sz w:val="24"/>
        </w:rPr>
      </w:pPr>
      <w:r w:rsidRPr="00C45431">
        <w:rPr>
          <w:rFonts w:ascii="Arial" w:hAnsi="Arial" w:cs="Arial"/>
          <w:b/>
          <w:sz w:val="24"/>
        </w:rPr>
        <w:t>Terms of Clearance:</w:t>
      </w:r>
      <w:r w:rsidRPr="00C45431">
        <w:rPr>
          <w:rFonts w:ascii="Arial" w:hAnsi="Arial" w:cs="Arial"/>
          <w:sz w:val="24"/>
        </w:rPr>
        <w:t xml:space="preserve">  </w:t>
      </w:r>
      <w:r>
        <w:rPr>
          <w:rFonts w:ascii="Arial" w:hAnsi="Arial" w:cs="Arial"/>
          <w:sz w:val="24"/>
        </w:rPr>
        <w:t>None</w:t>
      </w:r>
      <w:r w:rsidR="00CE1A45">
        <w:rPr>
          <w:rFonts w:ascii="Arial" w:hAnsi="Arial" w:cs="Arial"/>
          <w:sz w:val="24"/>
        </w:rPr>
        <w:t xml:space="preserve"> </w:t>
      </w:r>
    </w:p>
    <w:p w:rsidR="004B6AC6" w:rsidRPr="00C45431" w:rsidP="004B6AC6" w14:paraId="47B9E64A"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B45929" w:rsidRPr="00B45929" w:rsidP="00B45929" w14:paraId="41C490B4" w14:textId="77777777">
      <w:pPr>
        <w:pStyle w:val="ListParagraph"/>
        <w:numPr>
          <w:ilvl w:val="0"/>
          <w:numId w:val="19"/>
        </w:numPr>
        <w:spacing w:before="240"/>
        <w:rPr>
          <w:rFonts w:ascii="Arial" w:hAnsi="Arial" w:cs="Arial"/>
          <w:b/>
          <w:sz w:val="24"/>
        </w:rPr>
      </w:pPr>
      <w:r w:rsidRPr="00B45929">
        <w:rPr>
          <w:rFonts w:ascii="Arial" w:hAnsi="Arial" w:cs="Arial"/>
          <w:b/>
          <w:sz w:val="24"/>
          <w:u w:val="single"/>
        </w:rPr>
        <w:t>Circumstances Making the Collection of Information Necessary</w:t>
      </w:r>
    </w:p>
    <w:p w:rsidR="00102BEC" w:rsidRPr="00102BEC" w:rsidP="00102BEC" w14:paraId="5562D149" w14:textId="45B67035">
      <w:pPr>
        <w:tabs>
          <w:tab w:val="center" w:pos="4680"/>
        </w:tabs>
        <w:spacing w:before="120"/>
        <w:ind w:left="720"/>
        <w:rPr>
          <w:rFonts w:ascii="Arial" w:hAnsi="Arial" w:cs="Arial"/>
          <w:bCs/>
          <w:sz w:val="24"/>
        </w:rPr>
      </w:pPr>
      <w:r>
        <w:rPr>
          <w:rFonts w:ascii="Arial" w:hAnsi="Arial" w:cs="Arial"/>
          <w:sz w:val="24"/>
        </w:rPr>
        <w:t>HRSA is submitting this</w:t>
      </w:r>
      <w:r w:rsidR="0057319F">
        <w:rPr>
          <w:rFonts w:ascii="Arial" w:hAnsi="Arial" w:cs="Arial"/>
          <w:sz w:val="24"/>
        </w:rPr>
        <w:t xml:space="preserve"> </w:t>
      </w:r>
      <w:r>
        <w:rPr>
          <w:rFonts w:ascii="Arial" w:hAnsi="Arial" w:cs="Arial"/>
          <w:sz w:val="24"/>
        </w:rPr>
        <w:t xml:space="preserve">information collection </w:t>
      </w:r>
      <w:r w:rsidR="00467C49">
        <w:rPr>
          <w:rFonts w:ascii="Arial" w:hAnsi="Arial" w:cs="Arial"/>
          <w:sz w:val="24"/>
        </w:rPr>
        <w:t>extension</w:t>
      </w:r>
      <w:r>
        <w:rPr>
          <w:rFonts w:ascii="Arial" w:hAnsi="Arial" w:cs="Arial"/>
          <w:sz w:val="24"/>
        </w:rPr>
        <w:t xml:space="preserve"> request</w:t>
      </w:r>
      <w:r w:rsidR="0057319F">
        <w:rPr>
          <w:rFonts w:ascii="Arial" w:hAnsi="Arial" w:cs="Arial"/>
          <w:sz w:val="24"/>
        </w:rPr>
        <w:t xml:space="preserve"> to OMB for review/approval </w:t>
      </w:r>
      <w:r w:rsidR="006A6D2D">
        <w:rPr>
          <w:rFonts w:ascii="Arial" w:hAnsi="Arial" w:cs="Arial"/>
          <w:sz w:val="24"/>
        </w:rPr>
        <w:t xml:space="preserve">to extend </w:t>
      </w:r>
      <w:r>
        <w:rPr>
          <w:rFonts w:ascii="Arial" w:hAnsi="Arial" w:cs="Arial"/>
          <w:sz w:val="24"/>
        </w:rPr>
        <w:t xml:space="preserve">the </w:t>
      </w:r>
      <w:r w:rsidRPr="00102BEC">
        <w:rPr>
          <w:rFonts w:ascii="Arial" w:hAnsi="Arial" w:cs="Arial"/>
          <w:bCs/>
          <w:sz w:val="24"/>
        </w:rPr>
        <w:t>Standardized Work Plan (SWP) Form for Use with Applications to the Bureau of Health Workforce (BHW) Research and Training Grants and Cooperative Agreements</w:t>
      </w:r>
      <w:r>
        <w:rPr>
          <w:rFonts w:ascii="Arial" w:hAnsi="Arial" w:cs="Arial"/>
          <w:bCs/>
          <w:sz w:val="24"/>
        </w:rPr>
        <w:t xml:space="preserve">.  </w:t>
      </w:r>
    </w:p>
    <w:p w:rsidR="00B45929" w:rsidP="00B45929" w14:paraId="2CF031D8" w14:textId="47872108">
      <w:pPr>
        <w:pStyle w:val="ListParagraph"/>
        <w:spacing w:before="240"/>
        <w:rPr>
          <w:rFonts w:ascii="Arial" w:hAnsi="Arial" w:cs="Arial"/>
          <w:sz w:val="24"/>
        </w:rPr>
      </w:pPr>
      <w:r w:rsidRPr="00B45929">
        <w:rPr>
          <w:rFonts w:ascii="Arial" w:hAnsi="Arial" w:cs="Arial"/>
          <w:sz w:val="24"/>
        </w:rPr>
        <w:t xml:space="preserve">This </w:t>
      </w:r>
      <w:r w:rsidR="00102BEC">
        <w:rPr>
          <w:rFonts w:ascii="Arial" w:hAnsi="Arial" w:cs="Arial"/>
          <w:sz w:val="24"/>
        </w:rPr>
        <w:t xml:space="preserve">information </w:t>
      </w:r>
      <w:r w:rsidRPr="00B45929">
        <w:rPr>
          <w:rFonts w:ascii="Arial" w:hAnsi="Arial" w:cs="Arial"/>
          <w:sz w:val="24"/>
        </w:rPr>
        <w:t>collection is necessary to evaluate applications for financial assistance and determine the relative merits of the projects for which such assistance is requested</w:t>
      </w:r>
      <w:r w:rsidRPr="00B45929" w:rsidR="00C836DF">
        <w:rPr>
          <w:rFonts w:ascii="Arial" w:hAnsi="Arial" w:cs="Arial"/>
          <w:sz w:val="24"/>
        </w:rPr>
        <w:t>, as set forth in Section</w:t>
      </w:r>
      <w:r w:rsidR="003D42CD">
        <w:rPr>
          <w:rFonts w:ascii="Arial" w:hAnsi="Arial" w:cs="Arial"/>
          <w:sz w:val="24"/>
        </w:rPr>
        <w:t>s</w:t>
      </w:r>
      <w:r w:rsidRPr="00B45929" w:rsidR="00C836DF">
        <w:rPr>
          <w:rFonts w:ascii="Arial" w:hAnsi="Arial" w:cs="Arial"/>
          <w:sz w:val="24"/>
        </w:rPr>
        <w:t xml:space="preserve"> </w:t>
      </w:r>
      <w:r w:rsidR="00773332">
        <w:rPr>
          <w:rFonts w:ascii="Arial" w:hAnsi="Arial" w:cs="Arial"/>
          <w:sz w:val="24"/>
        </w:rPr>
        <w:t xml:space="preserve">796 and 802 </w:t>
      </w:r>
      <w:r w:rsidRPr="00B45929" w:rsidR="00C836DF">
        <w:rPr>
          <w:rFonts w:ascii="Arial" w:hAnsi="Arial" w:cs="Arial"/>
          <w:sz w:val="24"/>
        </w:rPr>
        <w:t>of the Public Health Service Act (42 U.S.C.</w:t>
      </w:r>
      <w:r w:rsidR="00773332">
        <w:rPr>
          <w:rFonts w:ascii="Arial" w:hAnsi="Arial" w:cs="Arial"/>
          <w:sz w:val="24"/>
        </w:rPr>
        <w:t xml:space="preserve"> §§ 295n-1, 296a</w:t>
      </w:r>
      <w:r w:rsidRPr="00B45929" w:rsidR="00C836DF">
        <w:rPr>
          <w:rFonts w:ascii="Arial" w:hAnsi="Arial" w:cs="Arial"/>
          <w:sz w:val="24"/>
        </w:rPr>
        <w:t>)</w:t>
      </w:r>
      <w:r w:rsidRPr="00B45929">
        <w:rPr>
          <w:rFonts w:ascii="Arial" w:hAnsi="Arial" w:cs="Arial"/>
          <w:sz w:val="24"/>
        </w:rPr>
        <w:t>.</w:t>
      </w:r>
      <w:r w:rsidR="006A6D2D">
        <w:rPr>
          <w:rFonts w:ascii="Arial" w:hAnsi="Arial" w:cs="Arial"/>
          <w:sz w:val="24"/>
        </w:rPr>
        <w:t xml:space="preserve"> </w:t>
      </w:r>
      <w:r w:rsidRPr="00B45929" w:rsidR="004B5E06">
        <w:rPr>
          <w:rFonts w:ascii="Arial" w:hAnsi="Arial" w:cs="Arial"/>
          <w:sz w:val="24"/>
        </w:rPr>
        <w:t xml:space="preserve">The SWP succinctly captures all required work plan information in an objective manner allowing reviewers to </w:t>
      </w:r>
      <w:r w:rsidRPr="00B45929" w:rsidR="00057FC3">
        <w:rPr>
          <w:rFonts w:ascii="Arial" w:hAnsi="Arial" w:cs="Arial"/>
          <w:sz w:val="24"/>
        </w:rPr>
        <w:t>analyze critical project elements.</w:t>
      </w:r>
    </w:p>
    <w:p w:rsidR="007F4768" w:rsidP="00B45929" w14:paraId="1E522515" w14:textId="2CA667AF">
      <w:pPr>
        <w:pStyle w:val="ListParagraph"/>
        <w:spacing w:before="240"/>
        <w:rPr>
          <w:rFonts w:ascii="Arial" w:hAnsi="Arial" w:cs="Arial"/>
          <w:sz w:val="24"/>
        </w:rPr>
      </w:pPr>
    </w:p>
    <w:p w:rsidR="007F4768" w:rsidRPr="001004CA" w:rsidP="6452BE15" w14:paraId="06E46AC9" w14:textId="37337AFF">
      <w:pPr>
        <w:pStyle w:val="ListParagraph"/>
        <w:spacing w:before="240"/>
        <w:rPr>
          <w:rFonts w:ascii="Arial" w:hAnsi="Arial" w:cs="Arial"/>
          <w:i/>
          <w:iCs/>
          <w:sz w:val="24"/>
        </w:rPr>
      </w:pPr>
      <w:r w:rsidRPr="6452BE15">
        <w:rPr>
          <w:rFonts w:ascii="Arial" w:hAnsi="Arial" w:cs="Arial"/>
          <w:i/>
          <w:iCs/>
          <w:sz w:val="24"/>
        </w:rPr>
        <w:t xml:space="preserve">This </w:t>
      </w:r>
      <w:r w:rsidRPr="6452BE15" w:rsidR="308F0EB3">
        <w:rPr>
          <w:rFonts w:ascii="Arial" w:hAnsi="Arial" w:cs="Arial"/>
          <w:i/>
          <w:iCs/>
          <w:sz w:val="24"/>
        </w:rPr>
        <w:t>extension</w:t>
      </w:r>
      <w:r w:rsidRPr="6452BE15">
        <w:rPr>
          <w:rFonts w:ascii="Arial" w:hAnsi="Arial" w:cs="Arial"/>
          <w:i/>
          <w:iCs/>
          <w:sz w:val="24"/>
        </w:rPr>
        <w:t xml:space="preserve"> </w:t>
      </w:r>
      <w:r w:rsidRPr="6452BE15" w:rsidR="0C3125A3">
        <w:rPr>
          <w:rFonts w:ascii="Arial" w:hAnsi="Arial" w:cs="Arial"/>
          <w:i/>
          <w:iCs/>
          <w:sz w:val="24"/>
        </w:rPr>
        <w:t xml:space="preserve">includes </w:t>
      </w:r>
      <w:r w:rsidRPr="6452BE15">
        <w:rPr>
          <w:rFonts w:ascii="Arial" w:hAnsi="Arial" w:cs="Arial"/>
          <w:i/>
          <w:iCs/>
          <w:sz w:val="24"/>
        </w:rPr>
        <w:t xml:space="preserve"> the</w:t>
      </w:r>
      <w:r w:rsidRPr="6452BE15">
        <w:rPr>
          <w:rFonts w:ascii="Arial" w:hAnsi="Arial" w:cs="Arial"/>
          <w:i/>
          <w:iCs/>
          <w:sz w:val="24"/>
        </w:rPr>
        <w:t xml:space="preserve"> Qu</w:t>
      </w:r>
      <w:r w:rsidRPr="6452BE15" w:rsidR="00C35798">
        <w:rPr>
          <w:rFonts w:ascii="Arial" w:hAnsi="Arial" w:cs="Arial"/>
          <w:i/>
          <w:iCs/>
          <w:sz w:val="24"/>
        </w:rPr>
        <w:t>arterly Progress Update (QPU)</w:t>
      </w:r>
      <w:r w:rsidRPr="6452BE15" w:rsidR="3B6E2C2F">
        <w:rPr>
          <w:rFonts w:ascii="Arial" w:hAnsi="Arial" w:cs="Arial"/>
          <w:i/>
          <w:iCs/>
          <w:sz w:val="24"/>
        </w:rPr>
        <w:t xml:space="preserve"> and SWP with no additional changes</w:t>
      </w:r>
      <w:r w:rsidRPr="6452BE15" w:rsidR="00C35798">
        <w:rPr>
          <w:rFonts w:ascii="Arial" w:hAnsi="Arial" w:cs="Arial"/>
          <w:i/>
          <w:iCs/>
          <w:sz w:val="24"/>
        </w:rPr>
        <w:t xml:space="preserve">. </w:t>
      </w:r>
      <w:r w:rsidRPr="6452BE15">
        <w:rPr>
          <w:rFonts w:ascii="Arial" w:hAnsi="Arial" w:cs="Arial"/>
          <w:i/>
          <w:iCs/>
          <w:sz w:val="24"/>
        </w:rPr>
        <w:t>The QPU information collection is necessary to evaluate whether projects’ goals are being advanced or achieved, as set forth in 45 C.F.R. § 75.342.</w:t>
      </w:r>
      <w:r w:rsidRPr="6452BE15" w:rsidR="006A6D2D">
        <w:rPr>
          <w:rFonts w:ascii="Arial" w:hAnsi="Arial" w:cs="Arial"/>
          <w:i/>
          <w:iCs/>
          <w:sz w:val="24"/>
        </w:rPr>
        <w:t xml:space="preserve"> </w:t>
      </w:r>
      <w:r w:rsidRPr="6452BE15">
        <w:rPr>
          <w:rFonts w:ascii="Arial" w:hAnsi="Arial" w:cs="Arial"/>
          <w:i/>
          <w:iCs/>
          <w:sz w:val="24"/>
        </w:rPr>
        <w:t xml:space="preserve">The QPU </w:t>
      </w:r>
      <w:r w:rsidRPr="6452BE15" w:rsidR="6254BA88">
        <w:rPr>
          <w:rFonts w:ascii="Arial" w:hAnsi="Arial" w:cs="Arial"/>
          <w:i/>
          <w:iCs/>
          <w:sz w:val="24"/>
        </w:rPr>
        <w:t>is</w:t>
      </w:r>
      <w:r w:rsidRPr="6452BE15">
        <w:rPr>
          <w:rFonts w:ascii="Arial" w:hAnsi="Arial" w:cs="Arial"/>
          <w:i/>
          <w:iCs/>
          <w:sz w:val="24"/>
        </w:rPr>
        <w:t xml:space="preserve"> delivered and completed via HRSA’s Electronic Handbook</w:t>
      </w:r>
      <w:r w:rsidR="002F38ED">
        <w:rPr>
          <w:rFonts w:ascii="Arial" w:hAnsi="Arial" w:cs="Arial"/>
          <w:i/>
          <w:iCs/>
          <w:sz w:val="24"/>
        </w:rPr>
        <w:t>s</w:t>
      </w:r>
      <w:r w:rsidRPr="6452BE15">
        <w:rPr>
          <w:rFonts w:ascii="Arial" w:hAnsi="Arial" w:cs="Arial"/>
          <w:i/>
          <w:iCs/>
          <w:sz w:val="24"/>
        </w:rPr>
        <w:t xml:space="preserve"> (EHB</w:t>
      </w:r>
      <w:r w:rsidR="002F38ED">
        <w:rPr>
          <w:rFonts w:ascii="Arial" w:hAnsi="Arial" w:cs="Arial"/>
          <w:i/>
          <w:iCs/>
          <w:sz w:val="24"/>
        </w:rPr>
        <w:t>s</w:t>
      </w:r>
      <w:r w:rsidRPr="6452BE15">
        <w:rPr>
          <w:rFonts w:ascii="Arial" w:hAnsi="Arial" w:cs="Arial"/>
          <w:i/>
          <w:iCs/>
          <w:sz w:val="24"/>
        </w:rPr>
        <w:t>) and prompts recipients to report on progress of activities that were submitted using the SWP in the original application allowing government officials to efficiently analyze progress of grant and cooperative agreement project elements.</w:t>
      </w:r>
    </w:p>
    <w:p w:rsidR="00B45929" w:rsidP="00B45929" w14:paraId="15B4E6E4" w14:textId="675DE7AD">
      <w:pPr>
        <w:pStyle w:val="ListParagraph"/>
        <w:spacing w:before="240"/>
        <w:rPr>
          <w:rFonts w:ascii="Arial" w:hAnsi="Arial" w:cs="Arial"/>
          <w:sz w:val="24"/>
        </w:rPr>
      </w:pPr>
    </w:p>
    <w:p w:rsidR="000877BA" w:rsidRPr="001004CA" w:rsidP="34C5544B" w14:paraId="5261F43A" w14:textId="30E63CDF">
      <w:pPr>
        <w:pStyle w:val="ListParagraph"/>
        <w:spacing w:before="240"/>
        <w:rPr>
          <w:rFonts w:ascii="Arial" w:hAnsi="Arial" w:cs="Arial"/>
          <w:i/>
          <w:iCs/>
          <w:sz w:val="24"/>
        </w:rPr>
      </w:pPr>
      <w:r w:rsidRPr="34C5544B">
        <w:rPr>
          <w:rFonts w:ascii="Arial" w:hAnsi="Arial" w:cs="Arial"/>
          <w:i/>
          <w:iCs/>
          <w:sz w:val="24"/>
        </w:rPr>
        <w:t>Th</w:t>
      </w:r>
      <w:r w:rsidRPr="34C5544B" w:rsidR="00982E31">
        <w:rPr>
          <w:rFonts w:ascii="Arial" w:hAnsi="Arial" w:cs="Arial"/>
          <w:i/>
          <w:iCs/>
          <w:sz w:val="24"/>
        </w:rPr>
        <w:t>e QPU is a</w:t>
      </w:r>
      <w:r w:rsidRPr="34C5544B" w:rsidR="38954274">
        <w:rPr>
          <w:rFonts w:ascii="Arial" w:hAnsi="Arial" w:cs="Arial"/>
          <w:i/>
          <w:iCs/>
          <w:sz w:val="24"/>
        </w:rPr>
        <w:t>n</w:t>
      </w:r>
      <w:r w:rsidRPr="34C5544B" w:rsidR="00982E31">
        <w:rPr>
          <w:rFonts w:ascii="Arial" w:hAnsi="Arial" w:cs="Arial"/>
          <w:i/>
          <w:iCs/>
          <w:sz w:val="24"/>
        </w:rPr>
        <w:t xml:space="preserve"> efficient way to document progress towards gran</w:t>
      </w:r>
      <w:r w:rsidRPr="34C5544B" w:rsidR="001560FA">
        <w:rPr>
          <w:rFonts w:ascii="Arial" w:hAnsi="Arial" w:cs="Arial"/>
          <w:i/>
          <w:iCs/>
          <w:sz w:val="24"/>
        </w:rPr>
        <w:t>t</w:t>
      </w:r>
      <w:r w:rsidRPr="34C5544B" w:rsidR="00982E31">
        <w:rPr>
          <w:rFonts w:ascii="Arial" w:hAnsi="Arial" w:cs="Arial"/>
          <w:i/>
          <w:iCs/>
          <w:sz w:val="24"/>
        </w:rPr>
        <w:t xml:space="preserve"> activities and identify areas where targeted support may be needed</w:t>
      </w:r>
      <w:r w:rsidRPr="34C5544B">
        <w:rPr>
          <w:rFonts w:ascii="Arial" w:hAnsi="Arial" w:cs="Arial"/>
          <w:i/>
          <w:iCs/>
          <w:sz w:val="24"/>
        </w:rPr>
        <w:t>.</w:t>
      </w:r>
      <w:r w:rsidRPr="34C5544B" w:rsidR="00C35798">
        <w:rPr>
          <w:rFonts w:ascii="Arial" w:hAnsi="Arial" w:cs="Arial"/>
          <w:i/>
          <w:iCs/>
          <w:sz w:val="24"/>
        </w:rPr>
        <w:t xml:space="preserve"> </w:t>
      </w:r>
      <w:r w:rsidRPr="34C5544B">
        <w:rPr>
          <w:rFonts w:ascii="Arial" w:hAnsi="Arial" w:cs="Arial"/>
          <w:i/>
          <w:iCs/>
          <w:sz w:val="24"/>
        </w:rPr>
        <w:t xml:space="preserve">The QPU </w:t>
      </w:r>
      <w:r w:rsidRPr="34C5544B" w:rsidR="6A7EF5D4">
        <w:rPr>
          <w:rFonts w:ascii="Arial" w:hAnsi="Arial" w:cs="Arial"/>
          <w:i/>
          <w:iCs/>
          <w:sz w:val="24"/>
        </w:rPr>
        <w:t>is</w:t>
      </w:r>
      <w:r w:rsidRPr="34C5544B" w:rsidR="00982E31">
        <w:rPr>
          <w:rFonts w:ascii="Arial" w:hAnsi="Arial" w:cs="Arial"/>
          <w:i/>
          <w:iCs/>
          <w:sz w:val="24"/>
        </w:rPr>
        <w:t xml:space="preserve"> used to systematically report on the </w:t>
      </w:r>
      <w:r w:rsidRPr="34C5544B">
        <w:rPr>
          <w:rFonts w:ascii="Arial" w:hAnsi="Arial" w:cs="Arial"/>
          <w:i/>
          <w:iCs/>
          <w:sz w:val="24"/>
        </w:rPr>
        <w:t xml:space="preserve">progress of projects through a </w:t>
      </w:r>
      <w:r w:rsidRPr="34C5544B" w:rsidR="00982E31">
        <w:rPr>
          <w:rFonts w:ascii="Arial" w:hAnsi="Arial" w:cs="Arial"/>
          <w:i/>
          <w:iCs/>
          <w:sz w:val="24"/>
        </w:rPr>
        <w:t xml:space="preserve">standardized </w:t>
      </w:r>
      <w:r w:rsidRPr="34C5544B">
        <w:rPr>
          <w:rFonts w:ascii="Arial" w:hAnsi="Arial" w:cs="Arial"/>
          <w:i/>
          <w:iCs/>
          <w:sz w:val="24"/>
        </w:rPr>
        <w:t>fo</w:t>
      </w:r>
      <w:r w:rsidRPr="34C5544B" w:rsidR="00982E31">
        <w:rPr>
          <w:rFonts w:ascii="Arial" w:hAnsi="Arial" w:cs="Arial"/>
          <w:i/>
          <w:iCs/>
          <w:sz w:val="24"/>
        </w:rPr>
        <w:t>r</w:t>
      </w:r>
      <w:r w:rsidRPr="34C5544B">
        <w:rPr>
          <w:rFonts w:ascii="Arial" w:hAnsi="Arial" w:cs="Arial"/>
          <w:i/>
          <w:iCs/>
          <w:sz w:val="24"/>
        </w:rPr>
        <w:t>m that assist</w:t>
      </w:r>
      <w:r w:rsidRPr="34C5544B" w:rsidR="5C0035D6">
        <w:rPr>
          <w:rFonts w:ascii="Arial" w:hAnsi="Arial" w:cs="Arial"/>
          <w:i/>
          <w:iCs/>
          <w:sz w:val="24"/>
        </w:rPr>
        <w:t>s with</w:t>
      </w:r>
      <w:r w:rsidRPr="34C5544B">
        <w:rPr>
          <w:rFonts w:ascii="Arial" w:hAnsi="Arial" w:cs="Arial"/>
          <w:i/>
          <w:iCs/>
          <w:sz w:val="24"/>
        </w:rPr>
        <w:t xml:space="preserve"> </w:t>
      </w:r>
      <w:r w:rsidRPr="34C5544B" w:rsidR="00982E31">
        <w:rPr>
          <w:rFonts w:ascii="Arial" w:hAnsi="Arial" w:cs="Arial"/>
          <w:i/>
          <w:iCs/>
          <w:sz w:val="24"/>
        </w:rPr>
        <w:t>the evaluation of programs</w:t>
      </w:r>
      <w:r w:rsidRPr="34C5544B" w:rsidR="0094436B">
        <w:rPr>
          <w:rFonts w:ascii="Arial" w:hAnsi="Arial" w:cs="Arial"/>
          <w:i/>
          <w:iCs/>
          <w:sz w:val="24"/>
        </w:rPr>
        <w:t xml:space="preserve"> throughout implementation</w:t>
      </w:r>
      <w:r w:rsidRPr="34C5544B" w:rsidR="00982E31">
        <w:rPr>
          <w:rFonts w:ascii="Arial" w:hAnsi="Arial" w:cs="Arial"/>
          <w:i/>
          <w:iCs/>
          <w:sz w:val="24"/>
        </w:rPr>
        <w:t>,</w:t>
      </w:r>
      <w:r w:rsidRPr="34C5544B">
        <w:rPr>
          <w:rFonts w:ascii="Arial" w:hAnsi="Arial" w:cs="Arial"/>
          <w:i/>
          <w:iCs/>
          <w:sz w:val="24"/>
        </w:rPr>
        <w:t xml:space="preserve"> </w:t>
      </w:r>
      <w:r w:rsidRPr="34C5544B" w:rsidR="00982E31">
        <w:rPr>
          <w:rFonts w:ascii="Arial" w:hAnsi="Arial" w:cs="Arial"/>
          <w:i/>
          <w:iCs/>
          <w:sz w:val="24"/>
        </w:rPr>
        <w:t>provide</w:t>
      </w:r>
      <w:r w:rsidRPr="34C5544B" w:rsidR="10166BFA">
        <w:rPr>
          <w:rFonts w:ascii="Arial" w:hAnsi="Arial" w:cs="Arial"/>
          <w:i/>
          <w:iCs/>
          <w:sz w:val="24"/>
        </w:rPr>
        <w:t>s</w:t>
      </w:r>
      <w:r w:rsidRPr="34C5544B" w:rsidR="00982E31">
        <w:rPr>
          <w:rFonts w:ascii="Arial" w:hAnsi="Arial" w:cs="Arial"/>
          <w:i/>
          <w:iCs/>
          <w:sz w:val="24"/>
        </w:rPr>
        <w:t xml:space="preserve"> targeted program assistance where needed to achieve project goals</w:t>
      </w:r>
      <w:r w:rsidRPr="34C5544B" w:rsidR="0094436B">
        <w:rPr>
          <w:rFonts w:ascii="Arial" w:hAnsi="Arial" w:cs="Arial"/>
          <w:i/>
          <w:iCs/>
          <w:sz w:val="24"/>
        </w:rPr>
        <w:t>, and identif</w:t>
      </w:r>
      <w:r w:rsidRPr="34C5544B" w:rsidR="4DECD001">
        <w:rPr>
          <w:rFonts w:ascii="Arial" w:hAnsi="Arial" w:cs="Arial"/>
          <w:i/>
          <w:iCs/>
          <w:sz w:val="24"/>
        </w:rPr>
        <w:t>ies</w:t>
      </w:r>
      <w:r w:rsidRPr="34C5544B" w:rsidR="0094436B">
        <w:rPr>
          <w:rFonts w:ascii="Arial" w:hAnsi="Arial" w:cs="Arial"/>
          <w:i/>
          <w:iCs/>
          <w:sz w:val="24"/>
        </w:rPr>
        <w:t xml:space="preserve"> whether that support has been effective</w:t>
      </w:r>
      <w:r w:rsidRPr="34C5544B" w:rsidR="00982E31">
        <w:rPr>
          <w:rFonts w:ascii="Arial" w:hAnsi="Arial" w:cs="Arial"/>
          <w:i/>
          <w:iCs/>
          <w:sz w:val="24"/>
        </w:rPr>
        <w:t xml:space="preserve">. </w:t>
      </w:r>
    </w:p>
    <w:p w:rsidR="00647D1D" w14:paraId="580A6DE0" w14:textId="0BC86F8F">
      <w:pPr>
        <w:widowControl/>
        <w:autoSpaceDE/>
        <w:autoSpaceDN/>
        <w:adjustRightInd/>
        <w:spacing w:after="160" w:line="259" w:lineRule="auto"/>
        <w:rPr>
          <w:rFonts w:ascii="Arial" w:hAnsi="Arial" w:cs="Arial"/>
          <w:sz w:val="24"/>
        </w:rPr>
      </w:pPr>
      <w:r>
        <w:rPr>
          <w:rFonts w:ascii="Arial" w:hAnsi="Arial" w:cs="Arial"/>
          <w:sz w:val="24"/>
        </w:rPr>
        <w:br w:type="page"/>
      </w:r>
    </w:p>
    <w:p w:rsidR="004B6AC6" w:rsidRPr="00B45929" w:rsidP="00B45929" w14:paraId="07F1DBD3" w14:textId="77777777">
      <w:pPr>
        <w:pStyle w:val="ListParagraph"/>
        <w:numPr>
          <w:ilvl w:val="0"/>
          <w:numId w:val="19"/>
        </w:numPr>
        <w:spacing w:before="240"/>
        <w:rPr>
          <w:rFonts w:ascii="Arial" w:hAnsi="Arial" w:cs="Arial"/>
          <w:b/>
          <w:sz w:val="24"/>
        </w:rPr>
      </w:pPr>
      <w:r w:rsidRPr="00B45929">
        <w:rPr>
          <w:rFonts w:ascii="Arial" w:hAnsi="Arial" w:cs="Arial"/>
          <w:b/>
          <w:sz w:val="24"/>
          <w:u w:val="single"/>
        </w:rPr>
        <w:t>Purpose and Use of Information Collection</w:t>
      </w:r>
    </w:p>
    <w:p w:rsidR="00B45929" w:rsidP="34C5544B" w14:paraId="648ADD61" w14:textId="572AAFD5">
      <w:pPr>
        <w:widowControl/>
        <w:autoSpaceDE/>
        <w:autoSpaceDN/>
        <w:adjustRightInd/>
        <w:spacing w:before="120"/>
        <w:ind w:left="720"/>
        <w:rPr>
          <w:rFonts w:ascii="Arial" w:hAnsi="Arial" w:cs="Arial"/>
          <w:sz w:val="24"/>
        </w:rPr>
      </w:pPr>
      <w:r w:rsidRPr="6452BE15">
        <w:rPr>
          <w:rFonts w:ascii="Arial" w:hAnsi="Arial" w:cs="Arial"/>
          <w:sz w:val="24"/>
        </w:rPr>
        <w:t>While the SWP is only utilized once during the grant application process,</w:t>
      </w:r>
      <w:r w:rsidRPr="6452BE15" w:rsidR="69BBC99F">
        <w:rPr>
          <w:rFonts w:ascii="Arial" w:hAnsi="Arial" w:cs="Arial"/>
          <w:sz w:val="24"/>
        </w:rPr>
        <w:t xml:space="preserve"> the QPU is used four times per year to assist project officers with their quarterly grantee </w:t>
      </w:r>
      <w:r w:rsidRPr="6452BE15" w:rsidR="7494C7B5">
        <w:rPr>
          <w:rFonts w:ascii="Arial" w:hAnsi="Arial" w:cs="Arial"/>
          <w:sz w:val="24"/>
        </w:rPr>
        <w:t xml:space="preserve">progress </w:t>
      </w:r>
      <w:r w:rsidRPr="6452BE15" w:rsidR="69BBC99F">
        <w:rPr>
          <w:rFonts w:ascii="Arial" w:hAnsi="Arial" w:cs="Arial"/>
          <w:sz w:val="24"/>
        </w:rPr>
        <w:t>checks.</w:t>
      </w:r>
      <w:r w:rsidRPr="6452BE15" w:rsidR="00297E0A">
        <w:rPr>
          <w:rFonts w:ascii="Arial" w:hAnsi="Arial" w:cs="Arial"/>
          <w:sz w:val="24"/>
        </w:rPr>
        <w:t xml:space="preserve"> </w:t>
      </w:r>
      <w:r w:rsidRPr="6452BE15" w:rsidR="726A376D">
        <w:rPr>
          <w:rFonts w:ascii="Arial" w:hAnsi="Arial" w:cs="Arial"/>
          <w:sz w:val="24"/>
        </w:rPr>
        <w:t>I</w:t>
      </w:r>
      <w:r w:rsidRPr="6452BE15" w:rsidR="00297E0A">
        <w:rPr>
          <w:rFonts w:ascii="Arial" w:hAnsi="Arial" w:cs="Arial"/>
          <w:sz w:val="24"/>
        </w:rPr>
        <w:t xml:space="preserve">nformation </w:t>
      </w:r>
      <w:r w:rsidRPr="6452BE15" w:rsidR="00E910DE">
        <w:rPr>
          <w:rFonts w:ascii="Arial" w:hAnsi="Arial" w:cs="Arial"/>
          <w:sz w:val="24"/>
        </w:rPr>
        <w:t xml:space="preserve">to be </w:t>
      </w:r>
      <w:r w:rsidRPr="6452BE15" w:rsidR="00297E0A">
        <w:rPr>
          <w:rFonts w:ascii="Arial" w:hAnsi="Arial" w:cs="Arial"/>
          <w:sz w:val="24"/>
        </w:rPr>
        <w:t xml:space="preserve">collected in the </w:t>
      </w:r>
      <w:r w:rsidRPr="6452BE15" w:rsidR="006C52FC">
        <w:rPr>
          <w:rFonts w:ascii="Arial" w:hAnsi="Arial" w:cs="Arial"/>
          <w:sz w:val="24"/>
        </w:rPr>
        <w:t>QPU</w:t>
      </w:r>
      <w:r w:rsidRPr="6452BE15" w:rsidR="00E910DE">
        <w:rPr>
          <w:rFonts w:ascii="Arial" w:hAnsi="Arial" w:cs="Arial"/>
          <w:sz w:val="24"/>
        </w:rPr>
        <w:t xml:space="preserve"> </w:t>
      </w:r>
      <w:r w:rsidRPr="6452BE15" w:rsidR="1F5386D8">
        <w:rPr>
          <w:rFonts w:ascii="Arial" w:hAnsi="Arial" w:cs="Arial"/>
          <w:sz w:val="24"/>
        </w:rPr>
        <w:t>is</w:t>
      </w:r>
      <w:r w:rsidRPr="6452BE15" w:rsidR="00E910DE">
        <w:rPr>
          <w:rFonts w:ascii="Arial" w:hAnsi="Arial" w:cs="Arial"/>
          <w:sz w:val="24"/>
        </w:rPr>
        <w:t xml:space="preserve"> </w:t>
      </w:r>
      <w:r w:rsidRPr="6452BE15" w:rsidR="00297E0A">
        <w:rPr>
          <w:rFonts w:ascii="Arial" w:hAnsi="Arial" w:cs="Arial"/>
          <w:sz w:val="24"/>
        </w:rPr>
        <w:t xml:space="preserve">used by </w:t>
      </w:r>
      <w:r w:rsidRPr="6452BE15" w:rsidR="008D6577">
        <w:rPr>
          <w:rFonts w:ascii="Arial" w:hAnsi="Arial" w:cs="Arial"/>
          <w:sz w:val="24"/>
        </w:rPr>
        <w:t>BHW</w:t>
      </w:r>
      <w:r w:rsidRPr="6452BE15">
        <w:rPr>
          <w:rFonts w:ascii="Arial" w:hAnsi="Arial" w:cs="Arial"/>
          <w:sz w:val="24"/>
        </w:rPr>
        <w:t xml:space="preserve"> to </w:t>
      </w:r>
      <w:r w:rsidRPr="6452BE15" w:rsidR="004F0637">
        <w:rPr>
          <w:rFonts w:ascii="Arial" w:hAnsi="Arial" w:cs="Arial"/>
          <w:sz w:val="24"/>
        </w:rPr>
        <w:t>assist in determining</w:t>
      </w:r>
      <w:r w:rsidRPr="6452BE15" w:rsidR="00297E0A">
        <w:rPr>
          <w:rFonts w:ascii="Arial" w:hAnsi="Arial" w:cs="Arial"/>
          <w:sz w:val="24"/>
        </w:rPr>
        <w:t xml:space="preserve"> if an a</w:t>
      </w:r>
      <w:r w:rsidRPr="6452BE15" w:rsidR="006C52FC">
        <w:rPr>
          <w:rFonts w:ascii="Arial" w:hAnsi="Arial" w:cs="Arial"/>
          <w:sz w:val="24"/>
        </w:rPr>
        <w:t>wardee</w:t>
      </w:r>
      <w:r w:rsidRPr="6452BE15" w:rsidR="00297E0A">
        <w:rPr>
          <w:rFonts w:ascii="Arial" w:hAnsi="Arial" w:cs="Arial"/>
          <w:sz w:val="24"/>
        </w:rPr>
        <w:t xml:space="preserve"> </w:t>
      </w:r>
      <w:r w:rsidRPr="6452BE15" w:rsidR="006C52FC">
        <w:rPr>
          <w:rFonts w:ascii="Arial" w:hAnsi="Arial" w:cs="Arial"/>
          <w:sz w:val="24"/>
        </w:rPr>
        <w:t xml:space="preserve">is meeting the goals and objectives set forth in their application via the </w:t>
      </w:r>
      <w:r w:rsidRPr="6452BE15" w:rsidR="00317B89">
        <w:rPr>
          <w:rFonts w:ascii="Arial" w:hAnsi="Arial" w:cs="Arial"/>
          <w:sz w:val="24"/>
        </w:rPr>
        <w:t>SWP</w:t>
      </w:r>
      <w:r w:rsidRPr="6452BE15" w:rsidR="006C52FC">
        <w:rPr>
          <w:rFonts w:ascii="Arial" w:hAnsi="Arial" w:cs="Arial"/>
          <w:sz w:val="24"/>
        </w:rPr>
        <w:t>.</w:t>
      </w:r>
      <w:r w:rsidRPr="6452BE15" w:rsidR="00C35798">
        <w:rPr>
          <w:rFonts w:ascii="Arial" w:hAnsi="Arial" w:cs="Arial"/>
          <w:sz w:val="24"/>
        </w:rPr>
        <w:t xml:space="preserve"> </w:t>
      </w:r>
      <w:r w:rsidRPr="6452BE15" w:rsidR="2172F3A1">
        <w:rPr>
          <w:rFonts w:ascii="Arial" w:hAnsi="Arial" w:cs="Arial"/>
          <w:sz w:val="24"/>
        </w:rPr>
        <w:t>T</w:t>
      </w:r>
      <w:r w:rsidRPr="6452BE15" w:rsidR="004E6373">
        <w:rPr>
          <w:rFonts w:ascii="Arial" w:hAnsi="Arial" w:cs="Arial"/>
          <w:sz w:val="24"/>
        </w:rPr>
        <w:t xml:space="preserve">he </w:t>
      </w:r>
      <w:r w:rsidRPr="6452BE15" w:rsidR="004F0637">
        <w:rPr>
          <w:rFonts w:ascii="Arial" w:hAnsi="Arial" w:cs="Arial"/>
          <w:sz w:val="24"/>
        </w:rPr>
        <w:t>QPU</w:t>
      </w:r>
      <w:r w:rsidRPr="6452BE15" w:rsidR="004E6373">
        <w:rPr>
          <w:rFonts w:ascii="Arial" w:hAnsi="Arial" w:cs="Arial"/>
          <w:sz w:val="24"/>
        </w:rPr>
        <w:t xml:space="preserve"> assist</w:t>
      </w:r>
      <w:r w:rsidRPr="6452BE15" w:rsidR="68A84450">
        <w:rPr>
          <w:rFonts w:ascii="Arial" w:hAnsi="Arial" w:cs="Arial"/>
          <w:sz w:val="24"/>
        </w:rPr>
        <w:t>s</w:t>
      </w:r>
      <w:r w:rsidRPr="6452BE15" w:rsidR="00727023">
        <w:rPr>
          <w:rFonts w:ascii="Arial" w:hAnsi="Arial" w:cs="Arial"/>
          <w:sz w:val="24"/>
        </w:rPr>
        <w:t xml:space="preserve"> </w:t>
      </w:r>
      <w:r w:rsidRPr="6452BE15" w:rsidR="005300FB">
        <w:rPr>
          <w:rFonts w:ascii="Arial" w:hAnsi="Arial" w:cs="Arial"/>
          <w:sz w:val="24"/>
        </w:rPr>
        <w:t xml:space="preserve">federal officers </w:t>
      </w:r>
      <w:r w:rsidRPr="6452BE15" w:rsidR="44DDE703">
        <w:rPr>
          <w:rFonts w:ascii="Arial" w:hAnsi="Arial" w:cs="Arial"/>
          <w:sz w:val="24"/>
        </w:rPr>
        <w:t>with</w:t>
      </w:r>
      <w:r w:rsidRPr="6452BE15" w:rsidR="00847229">
        <w:rPr>
          <w:rFonts w:ascii="Arial" w:hAnsi="Arial" w:cs="Arial"/>
          <w:sz w:val="24"/>
        </w:rPr>
        <w:t xml:space="preserve"> project progress and risk assessment for future awards</w:t>
      </w:r>
      <w:r w:rsidRPr="6452BE15" w:rsidR="005300FB">
        <w:rPr>
          <w:rFonts w:ascii="Arial" w:hAnsi="Arial" w:cs="Arial"/>
          <w:sz w:val="24"/>
        </w:rPr>
        <w:t xml:space="preserve">. </w:t>
      </w:r>
      <w:r w:rsidRPr="6452BE15" w:rsidR="00E910DE">
        <w:rPr>
          <w:rFonts w:ascii="Arial" w:hAnsi="Arial" w:cs="Arial"/>
          <w:sz w:val="24"/>
        </w:rPr>
        <w:t xml:space="preserve">The </w:t>
      </w:r>
      <w:r w:rsidRPr="6452BE15" w:rsidR="00847229">
        <w:rPr>
          <w:rFonts w:ascii="Arial" w:hAnsi="Arial" w:cs="Arial"/>
          <w:sz w:val="24"/>
        </w:rPr>
        <w:t>QPU</w:t>
      </w:r>
      <w:r w:rsidRPr="6452BE15" w:rsidR="00E910DE">
        <w:rPr>
          <w:rFonts w:ascii="Arial" w:hAnsi="Arial" w:cs="Arial"/>
          <w:sz w:val="24"/>
        </w:rPr>
        <w:t xml:space="preserve"> serve</w:t>
      </w:r>
      <w:r w:rsidRPr="6452BE15" w:rsidR="0E3FBA7C">
        <w:rPr>
          <w:rFonts w:ascii="Arial" w:hAnsi="Arial" w:cs="Arial"/>
          <w:sz w:val="24"/>
        </w:rPr>
        <w:t>s</w:t>
      </w:r>
      <w:r w:rsidRPr="6452BE15" w:rsidR="00E910DE">
        <w:rPr>
          <w:rFonts w:ascii="Arial" w:hAnsi="Arial" w:cs="Arial"/>
          <w:sz w:val="24"/>
        </w:rPr>
        <w:t xml:space="preserve"> as </w:t>
      </w:r>
      <w:r w:rsidRPr="6452BE15" w:rsidR="00297E0A">
        <w:rPr>
          <w:rFonts w:ascii="Arial" w:hAnsi="Arial" w:cs="Arial"/>
          <w:sz w:val="24"/>
        </w:rPr>
        <w:t xml:space="preserve">a </w:t>
      </w:r>
      <w:r w:rsidRPr="6452BE15" w:rsidR="00847229">
        <w:rPr>
          <w:rFonts w:ascii="Arial" w:hAnsi="Arial" w:cs="Arial"/>
          <w:sz w:val="24"/>
        </w:rPr>
        <w:t>monitoring and evaluation</w:t>
      </w:r>
      <w:r w:rsidRPr="6452BE15" w:rsidR="00297E0A">
        <w:rPr>
          <w:rFonts w:ascii="Arial" w:hAnsi="Arial" w:cs="Arial"/>
          <w:sz w:val="24"/>
        </w:rPr>
        <w:t xml:space="preserve"> tool </w:t>
      </w:r>
      <w:r w:rsidRPr="6452BE15" w:rsidR="00F52315">
        <w:rPr>
          <w:rFonts w:ascii="Arial" w:hAnsi="Arial" w:cs="Arial"/>
          <w:sz w:val="24"/>
        </w:rPr>
        <w:t>that</w:t>
      </w:r>
      <w:r w:rsidRPr="6452BE15" w:rsidR="00297E0A">
        <w:rPr>
          <w:rFonts w:ascii="Arial" w:hAnsi="Arial" w:cs="Arial"/>
          <w:sz w:val="24"/>
        </w:rPr>
        <w:t xml:space="preserve"> requires a</w:t>
      </w:r>
      <w:r w:rsidRPr="6452BE15" w:rsidR="00847229">
        <w:rPr>
          <w:rFonts w:ascii="Arial" w:hAnsi="Arial" w:cs="Arial"/>
          <w:sz w:val="24"/>
        </w:rPr>
        <w:t>wardees</w:t>
      </w:r>
      <w:r w:rsidRPr="6452BE15" w:rsidR="00297E0A">
        <w:rPr>
          <w:rFonts w:ascii="Arial" w:hAnsi="Arial" w:cs="Arial"/>
          <w:sz w:val="24"/>
        </w:rPr>
        <w:t xml:space="preserve"> to </w:t>
      </w:r>
      <w:r w:rsidRPr="6452BE15" w:rsidR="00847229">
        <w:rPr>
          <w:rFonts w:ascii="Arial" w:hAnsi="Arial" w:cs="Arial"/>
          <w:sz w:val="24"/>
        </w:rPr>
        <w:t>report quarterly whether their proposed project activities are being met</w:t>
      </w:r>
      <w:r w:rsidRPr="6452BE15" w:rsidR="008D6577">
        <w:rPr>
          <w:rFonts w:ascii="Arial" w:hAnsi="Arial" w:cs="Arial"/>
          <w:sz w:val="24"/>
        </w:rPr>
        <w:t>.</w:t>
      </w:r>
      <w:r w:rsidRPr="6452BE15" w:rsidR="005300FB">
        <w:rPr>
          <w:rFonts w:ascii="Arial" w:hAnsi="Arial" w:cs="Arial"/>
          <w:sz w:val="24"/>
        </w:rPr>
        <w:t xml:space="preserve"> The</w:t>
      </w:r>
      <w:r w:rsidRPr="6452BE15" w:rsidR="008D6577">
        <w:rPr>
          <w:rFonts w:ascii="Arial" w:hAnsi="Arial" w:cs="Arial"/>
          <w:sz w:val="24"/>
        </w:rPr>
        <w:t xml:space="preserve"> </w:t>
      </w:r>
      <w:r w:rsidRPr="6452BE15" w:rsidR="00847229">
        <w:rPr>
          <w:rFonts w:ascii="Arial" w:hAnsi="Arial" w:cs="Arial"/>
          <w:sz w:val="24"/>
        </w:rPr>
        <w:t>QPU</w:t>
      </w:r>
      <w:r w:rsidR="00F65E8D">
        <w:rPr>
          <w:rFonts w:ascii="Arial" w:hAnsi="Arial" w:cs="Arial"/>
          <w:sz w:val="24"/>
        </w:rPr>
        <w:t xml:space="preserve"> </w:t>
      </w:r>
      <w:r w:rsidRPr="6452BE15" w:rsidR="56081205">
        <w:rPr>
          <w:rFonts w:ascii="Arial" w:hAnsi="Arial" w:cs="Arial"/>
          <w:sz w:val="24"/>
        </w:rPr>
        <w:t>is</w:t>
      </w:r>
      <w:r w:rsidRPr="6452BE15" w:rsidR="00E910DE">
        <w:rPr>
          <w:rFonts w:ascii="Arial" w:hAnsi="Arial" w:cs="Arial"/>
          <w:sz w:val="24"/>
        </w:rPr>
        <w:t xml:space="preserve"> u</w:t>
      </w:r>
      <w:r w:rsidRPr="6452BE15" w:rsidR="00297E0A">
        <w:rPr>
          <w:rFonts w:ascii="Arial" w:hAnsi="Arial" w:cs="Arial"/>
          <w:sz w:val="24"/>
        </w:rPr>
        <w:t xml:space="preserve">sed by BHW project officers and staff throughout the grant period to compare projected objectives and activities against concrete accomplishments </w:t>
      </w:r>
      <w:r w:rsidRPr="6452BE15" w:rsidR="00297E0A">
        <w:rPr>
          <w:rFonts w:ascii="Arial" w:hAnsi="Arial" w:cs="Arial"/>
          <w:sz w:val="24"/>
        </w:rPr>
        <w:t>in order to</w:t>
      </w:r>
      <w:r w:rsidRPr="6452BE15" w:rsidR="00297E0A">
        <w:rPr>
          <w:rFonts w:ascii="Arial" w:hAnsi="Arial" w:cs="Arial"/>
          <w:sz w:val="24"/>
        </w:rPr>
        <w:t xml:space="preserve"> </w:t>
      </w:r>
      <w:r w:rsidRPr="6452BE15" w:rsidR="008D6577">
        <w:rPr>
          <w:rFonts w:ascii="Arial" w:hAnsi="Arial" w:cs="Arial"/>
          <w:sz w:val="24"/>
        </w:rPr>
        <w:t>assess</w:t>
      </w:r>
      <w:r w:rsidRPr="6452BE15" w:rsidR="00297E0A">
        <w:rPr>
          <w:rFonts w:ascii="Arial" w:hAnsi="Arial" w:cs="Arial"/>
          <w:sz w:val="24"/>
        </w:rPr>
        <w:t xml:space="preserve"> grantees' progress.</w:t>
      </w:r>
    </w:p>
    <w:p w:rsidR="34C5544B" w:rsidP="34C5544B" w14:paraId="7AF75695" w14:textId="56F97ABA">
      <w:pPr>
        <w:widowControl/>
        <w:spacing w:before="120"/>
        <w:ind w:left="720"/>
        <w:rPr>
          <w:rFonts w:ascii="Arial" w:hAnsi="Arial" w:cs="Arial"/>
          <w:sz w:val="24"/>
        </w:rPr>
      </w:pPr>
    </w:p>
    <w:p w:rsidR="00B45929" w:rsidRPr="00B45929" w:rsidP="007B2464" w14:paraId="3E5BC720" w14:textId="77777777">
      <w:pPr>
        <w:pStyle w:val="ListParagraph"/>
        <w:widowControl/>
        <w:numPr>
          <w:ilvl w:val="0"/>
          <w:numId w:val="19"/>
        </w:numPr>
        <w:autoSpaceDE/>
        <w:autoSpaceDN/>
        <w:adjustRightInd/>
        <w:spacing w:before="120"/>
        <w:rPr>
          <w:rFonts w:ascii="Arial" w:hAnsi="Arial" w:cs="Arial"/>
          <w:b/>
          <w:color w:val="000000"/>
          <w:sz w:val="24"/>
        </w:rPr>
      </w:pPr>
      <w:r w:rsidRPr="00B45929">
        <w:rPr>
          <w:rFonts w:ascii="Arial" w:hAnsi="Arial" w:cs="Arial"/>
          <w:b/>
          <w:sz w:val="24"/>
          <w:u w:val="single"/>
        </w:rPr>
        <w:t>Use of Improved Information Technology and Burden Reduction</w:t>
      </w:r>
    </w:p>
    <w:p w:rsidR="00B45929" w:rsidP="00B45929" w14:paraId="61F2FE40" w14:textId="77777777">
      <w:pPr>
        <w:pStyle w:val="ListParagraph"/>
        <w:widowControl/>
        <w:autoSpaceDE/>
        <w:autoSpaceDN/>
        <w:adjustRightInd/>
        <w:spacing w:before="120"/>
        <w:rPr>
          <w:rFonts w:ascii="Arial" w:hAnsi="Arial" w:cs="Arial"/>
          <w:sz w:val="24"/>
        </w:rPr>
      </w:pPr>
    </w:p>
    <w:p w:rsidR="007B2464" w:rsidP="6452BE15" w14:paraId="17805131" w14:textId="097EC660">
      <w:pPr>
        <w:pStyle w:val="ListParagraph"/>
        <w:widowControl/>
        <w:autoSpaceDE/>
        <w:autoSpaceDN/>
        <w:adjustRightInd/>
        <w:spacing w:before="120"/>
        <w:rPr>
          <w:rFonts w:ascii="Arial" w:hAnsi="Arial" w:cs="Arial"/>
          <w:sz w:val="24"/>
        </w:rPr>
      </w:pPr>
      <w:r w:rsidRPr="6452BE15">
        <w:rPr>
          <w:rFonts w:ascii="Arial" w:hAnsi="Arial" w:cs="Arial"/>
          <w:sz w:val="24"/>
        </w:rPr>
        <w:t>Every effort was taken to design the tool</w:t>
      </w:r>
      <w:r w:rsidRPr="6452BE15" w:rsidR="69191CAD">
        <w:rPr>
          <w:rFonts w:ascii="Arial" w:hAnsi="Arial" w:cs="Arial"/>
          <w:sz w:val="24"/>
        </w:rPr>
        <w:t>s</w:t>
      </w:r>
      <w:r w:rsidRPr="6452BE15">
        <w:rPr>
          <w:rFonts w:ascii="Arial" w:hAnsi="Arial" w:cs="Arial"/>
          <w:sz w:val="24"/>
        </w:rPr>
        <w:t xml:space="preserve"> to collect the least amount of data needed to </w:t>
      </w:r>
      <w:r w:rsidRPr="6452BE15" w:rsidR="006426BC">
        <w:rPr>
          <w:rFonts w:ascii="Arial" w:hAnsi="Arial" w:cs="Arial"/>
          <w:sz w:val="24"/>
        </w:rPr>
        <w:t xml:space="preserve">systematically </w:t>
      </w:r>
      <w:r w:rsidRPr="6452BE15" w:rsidR="00A04487">
        <w:rPr>
          <w:rFonts w:ascii="Arial" w:hAnsi="Arial" w:cs="Arial"/>
          <w:sz w:val="24"/>
        </w:rPr>
        <w:t xml:space="preserve">evaluate progress </w:t>
      </w:r>
      <w:r w:rsidRPr="6452BE15" w:rsidR="00D411AE">
        <w:rPr>
          <w:rFonts w:ascii="Arial" w:hAnsi="Arial" w:cs="Arial"/>
          <w:sz w:val="24"/>
        </w:rPr>
        <w:t xml:space="preserve">for </w:t>
      </w:r>
      <w:r w:rsidRPr="6452BE15" w:rsidR="00574444">
        <w:rPr>
          <w:rFonts w:ascii="Arial" w:hAnsi="Arial" w:cs="Arial"/>
          <w:sz w:val="24"/>
        </w:rPr>
        <w:t>BHW programs</w:t>
      </w:r>
      <w:r w:rsidRPr="6452BE15">
        <w:rPr>
          <w:rFonts w:ascii="Arial" w:hAnsi="Arial" w:cs="Arial"/>
          <w:sz w:val="24"/>
        </w:rPr>
        <w:t xml:space="preserve">. </w:t>
      </w:r>
      <w:r w:rsidRPr="6452BE15" w:rsidR="0085368D">
        <w:rPr>
          <w:rFonts w:ascii="Arial" w:hAnsi="Arial" w:cs="Arial"/>
          <w:sz w:val="24"/>
        </w:rPr>
        <w:t xml:space="preserve">The </w:t>
      </w:r>
      <w:r w:rsidRPr="6452BE15" w:rsidR="007F4768">
        <w:rPr>
          <w:rFonts w:ascii="Arial" w:hAnsi="Arial" w:cs="Arial"/>
          <w:sz w:val="24"/>
        </w:rPr>
        <w:t xml:space="preserve">QPU </w:t>
      </w:r>
      <w:r w:rsidRPr="6452BE15" w:rsidR="0085368D">
        <w:rPr>
          <w:rFonts w:ascii="Arial" w:hAnsi="Arial" w:cs="Arial"/>
          <w:sz w:val="24"/>
        </w:rPr>
        <w:t xml:space="preserve">was developed </w:t>
      </w:r>
      <w:r w:rsidRPr="6452BE15" w:rsidR="0094497A">
        <w:rPr>
          <w:rFonts w:ascii="Arial" w:hAnsi="Arial" w:cs="Arial"/>
          <w:sz w:val="24"/>
        </w:rPr>
        <w:t>after a comprehensive overview of</w:t>
      </w:r>
      <w:r w:rsidRPr="6452BE15" w:rsidR="00D411AE">
        <w:rPr>
          <w:rFonts w:ascii="Arial" w:hAnsi="Arial" w:cs="Arial"/>
          <w:sz w:val="24"/>
        </w:rPr>
        <w:t xml:space="preserve"> </w:t>
      </w:r>
      <w:r w:rsidRPr="6452BE15" w:rsidR="00F52315">
        <w:rPr>
          <w:rFonts w:ascii="Arial" w:hAnsi="Arial" w:cs="Arial"/>
          <w:sz w:val="24"/>
        </w:rPr>
        <w:t xml:space="preserve">program monitoring </w:t>
      </w:r>
      <w:r w:rsidRPr="6452BE15" w:rsidR="00A04487">
        <w:rPr>
          <w:rFonts w:ascii="Arial" w:hAnsi="Arial" w:cs="Arial"/>
          <w:sz w:val="24"/>
        </w:rPr>
        <w:t xml:space="preserve">procedures and </w:t>
      </w:r>
      <w:r w:rsidRPr="6452BE15" w:rsidR="00F52315">
        <w:rPr>
          <w:rFonts w:ascii="Arial" w:hAnsi="Arial" w:cs="Arial"/>
          <w:sz w:val="24"/>
        </w:rPr>
        <w:t>techniques</w:t>
      </w:r>
      <w:r w:rsidRPr="6452BE15" w:rsidR="0094497A">
        <w:rPr>
          <w:rFonts w:ascii="Arial" w:hAnsi="Arial" w:cs="Arial"/>
          <w:sz w:val="24"/>
        </w:rPr>
        <w:t xml:space="preserve"> to identify a streamlined, consistent approach to collect the necessary data</w:t>
      </w:r>
      <w:r w:rsidRPr="6452BE15" w:rsidR="0085368D">
        <w:rPr>
          <w:rFonts w:ascii="Arial" w:hAnsi="Arial" w:cs="Arial"/>
          <w:sz w:val="24"/>
        </w:rPr>
        <w:t>.</w:t>
      </w:r>
      <w:r w:rsidRPr="6452BE15" w:rsidR="00C35798">
        <w:rPr>
          <w:rFonts w:ascii="Arial" w:hAnsi="Arial" w:cs="Arial"/>
          <w:sz w:val="24"/>
        </w:rPr>
        <w:t xml:space="preserve"> </w:t>
      </w:r>
      <w:r w:rsidRPr="6452BE15" w:rsidR="0085368D">
        <w:rPr>
          <w:rFonts w:ascii="Arial" w:hAnsi="Arial" w:cs="Arial"/>
          <w:sz w:val="24"/>
        </w:rPr>
        <w:t xml:space="preserve">Use of </w:t>
      </w:r>
      <w:r w:rsidRPr="6452BE15" w:rsidR="00D411AE">
        <w:rPr>
          <w:rFonts w:ascii="Arial" w:hAnsi="Arial" w:cs="Arial"/>
          <w:sz w:val="24"/>
        </w:rPr>
        <w:t xml:space="preserve">the </w:t>
      </w:r>
      <w:r w:rsidRPr="6452BE15" w:rsidR="00F52315">
        <w:rPr>
          <w:rFonts w:ascii="Arial" w:hAnsi="Arial" w:cs="Arial"/>
          <w:sz w:val="24"/>
        </w:rPr>
        <w:t>QPU</w:t>
      </w:r>
      <w:r w:rsidR="00F65E8D">
        <w:rPr>
          <w:rFonts w:ascii="Arial" w:hAnsi="Arial" w:cs="Arial"/>
          <w:sz w:val="24"/>
        </w:rPr>
        <w:t xml:space="preserve"> </w:t>
      </w:r>
      <w:r w:rsidRPr="6452BE15" w:rsidR="00E910DE">
        <w:rPr>
          <w:rFonts w:ascii="Arial" w:hAnsi="Arial" w:cs="Arial"/>
          <w:sz w:val="24"/>
        </w:rPr>
        <w:t>ensure</w:t>
      </w:r>
      <w:r w:rsidRPr="6452BE15" w:rsidR="02DAEAE0">
        <w:rPr>
          <w:rFonts w:ascii="Arial" w:hAnsi="Arial" w:cs="Arial"/>
          <w:sz w:val="24"/>
        </w:rPr>
        <w:t>s</w:t>
      </w:r>
      <w:r w:rsidRPr="6452BE15" w:rsidR="00D411AE">
        <w:rPr>
          <w:rFonts w:ascii="Arial" w:hAnsi="Arial" w:cs="Arial"/>
          <w:sz w:val="24"/>
        </w:rPr>
        <w:t xml:space="preserve"> </w:t>
      </w:r>
      <w:r w:rsidRPr="6452BE15" w:rsidR="00F52315">
        <w:rPr>
          <w:rFonts w:ascii="Arial" w:hAnsi="Arial" w:cs="Arial"/>
          <w:sz w:val="24"/>
        </w:rPr>
        <w:t>all progress updates are systematically documented and allow</w:t>
      </w:r>
      <w:r w:rsidRPr="6452BE15" w:rsidR="3FE4EDAC">
        <w:rPr>
          <w:rFonts w:ascii="Arial" w:hAnsi="Arial" w:cs="Arial"/>
          <w:sz w:val="24"/>
        </w:rPr>
        <w:t>s</w:t>
      </w:r>
      <w:r w:rsidRPr="6452BE15" w:rsidR="00F52315">
        <w:rPr>
          <w:rFonts w:ascii="Arial" w:hAnsi="Arial" w:cs="Arial"/>
          <w:sz w:val="24"/>
        </w:rPr>
        <w:t xml:space="preserve"> </w:t>
      </w:r>
      <w:r w:rsidRPr="6452BE15" w:rsidR="00A04487">
        <w:rPr>
          <w:rFonts w:ascii="Arial" w:hAnsi="Arial" w:cs="Arial"/>
          <w:sz w:val="24"/>
        </w:rPr>
        <w:t>for efficient and continuous</w:t>
      </w:r>
      <w:r w:rsidRPr="6452BE15" w:rsidR="00F52315">
        <w:rPr>
          <w:rFonts w:ascii="Arial" w:hAnsi="Arial" w:cs="Arial"/>
          <w:sz w:val="24"/>
        </w:rPr>
        <w:t xml:space="preserve"> progress</w:t>
      </w:r>
      <w:r w:rsidRPr="6452BE15" w:rsidR="00A04487">
        <w:rPr>
          <w:rFonts w:ascii="Arial" w:hAnsi="Arial" w:cs="Arial"/>
          <w:sz w:val="24"/>
        </w:rPr>
        <w:t xml:space="preserve"> assessments, specifically</w:t>
      </w:r>
      <w:r w:rsidRPr="6452BE15" w:rsidR="00F52315">
        <w:rPr>
          <w:rFonts w:ascii="Arial" w:hAnsi="Arial" w:cs="Arial"/>
          <w:sz w:val="24"/>
        </w:rPr>
        <w:t xml:space="preserve"> when portfolios shift among federal officers.</w:t>
      </w:r>
      <w:r w:rsidRPr="6452BE15" w:rsidR="00C35798">
        <w:rPr>
          <w:rFonts w:ascii="Arial" w:hAnsi="Arial" w:cs="Arial"/>
          <w:sz w:val="24"/>
        </w:rPr>
        <w:t xml:space="preserve"> </w:t>
      </w:r>
      <w:r w:rsidRPr="6452BE15" w:rsidR="00574444">
        <w:rPr>
          <w:rFonts w:ascii="Arial" w:hAnsi="Arial" w:cs="Arial"/>
          <w:sz w:val="24"/>
        </w:rPr>
        <w:t xml:space="preserve">This </w:t>
      </w:r>
      <w:r w:rsidRPr="6452BE15" w:rsidR="780A13D6">
        <w:rPr>
          <w:rFonts w:ascii="Arial" w:hAnsi="Arial" w:cs="Arial"/>
          <w:sz w:val="24"/>
        </w:rPr>
        <w:t xml:space="preserve">has resulted in </w:t>
      </w:r>
      <w:r w:rsidRPr="6452BE15" w:rsidR="00574444">
        <w:rPr>
          <w:rFonts w:ascii="Arial" w:hAnsi="Arial" w:cs="Arial"/>
          <w:sz w:val="24"/>
        </w:rPr>
        <w:t>reduce</w:t>
      </w:r>
      <w:r w:rsidRPr="6452BE15" w:rsidR="0CB39EF3">
        <w:rPr>
          <w:rFonts w:ascii="Arial" w:hAnsi="Arial" w:cs="Arial"/>
          <w:sz w:val="24"/>
        </w:rPr>
        <w:t>d</w:t>
      </w:r>
      <w:r w:rsidRPr="6452BE15" w:rsidR="00574444">
        <w:rPr>
          <w:rFonts w:ascii="Arial" w:hAnsi="Arial" w:cs="Arial"/>
          <w:sz w:val="24"/>
        </w:rPr>
        <w:t xml:space="preserve"> burden on </w:t>
      </w:r>
      <w:r w:rsidRPr="6452BE15" w:rsidR="00A04487">
        <w:rPr>
          <w:rFonts w:ascii="Arial" w:hAnsi="Arial" w:cs="Arial"/>
          <w:sz w:val="24"/>
        </w:rPr>
        <w:t xml:space="preserve">awardees and project officers </w:t>
      </w:r>
      <w:r w:rsidRPr="6452BE15" w:rsidR="00E910DE">
        <w:rPr>
          <w:rFonts w:ascii="Arial" w:hAnsi="Arial" w:cs="Arial"/>
          <w:sz w:val="24"/>
        </w:rPr>
        <w:t xml:space="preserve">who </w:t>
      </w:r>
      <w:r w:rsidRPr="6452BE15" w:rsidR="27EAB75B">
        <w:rPr>
          <w:rFonts w:ascii="Arial" w:hAnsi="Arial" w:cs="Arial"/>
          <w:sz w:val="24"/>
        </w:rPr>
        <w:t>previously</w:t>
      </w:r>
      <w:r w:rsidRPr="6452BE15" w:rsidR="00574444">
        <w:rPr>
          <w:rFonts w:ascii="Arial" w:hAnsi="Arial" w:cs="Arial"/>
          <w:sz w:val="24"/>
        </w:rPr>
        <w:t xml:space="preserve"> </w:t>
      </w:r>
      <w:r w:rsidRPr="6452BE15" w:rsidR="00A04487">
        <w:rPr>
          <w:rFonts w:ascii="Arial" w:hAnsi="Arial" w:cs="Arial"/>
          <w:sz w:val="24"/>
        </w:rPr>
        <w:t>communicate</w:t>
      </w:r>
      <w:r w:rsidRPr="6452BE15" w:rsidR="6917A9B0">
        <w:rPr>
          <w:rFonts w:ascii="Arial" w:hAnsi="Arial" w:cs="Arial"/>
          <w:sz w:val="24"/>
        </w:rPr>
        <w:t>d</w:t>
      </w:r>
      <w:r w:rsidRPr="6452BE15" w:rsidR="00A04487">
        <w:rPr>
          <w:rFonts w:ascii="Arial" w:hAnsi="Arial" w:cs="Arial"/>
          <w:sz w:val="24"/>
        </w:rPr>
        <w:t xml:space="preserve"> </w:t>
      </w:r>
      <w:r w:rsidRPr="6452BE15" w:rsidR="0094497A">
        <w:rPr>
          <w:rFonts w:ascii="Arial" w:hAnsi="Arial" w:cs="Arial"/>
          <w:sz w:val="24"/>
        </w:rPr>
        <w:t xml:space="preserve">about </w:t>
      </w:r>
      <w:r w:rsidRPr="6452BE15" w:rsidR="00A04487">
        <w:rPr>
          <w:rFonts w:ascii="Arial" w:hAnsi="Arial" w:cs="Arial"/>
          <w:sz w:val="24"/>
        </w:rPr>
        <w:t>progress at different intervals, frequencies, and document in different</w:t>
      </w:r>
      <w:r w:rsidRPr="6452BE15" w:rsidR="00574444">
        <w:rPr>
          <w:rFonts w:ascii="Arial" w:hAnsi="Arial" w:cs="Arial"/>
          <w:sz w:val="24"/>
        </w:rPr>
        <w:t xml:space="preserve"> formats</w:t>
      </w:r>
      <w:r w:rsidRPr="6452BE15" w:rsidR="00A04487">
        <w:rPr>
          <w:rFonts w:ascii="Arial" w:hAnsi="Arial" w:cs="Arial"/>
          <w:sz w:val="24"/>
        </w:rPr>
        <w:t xml:space="preserve"> </w:t>
      </w:r>
      <w:r w:rsidRPr="6452BE15" w:rsidR="00574444">
        <w:rPr>
          <w:rFonts w:ascii="Arial" w:hAnsi="Arial" w:cs="Arial"/>
          <w:sz w:val="24"/>
        </w:rPr>
        <w:t xml:space="preserve">while ensuring all necessary </w:t>
      </w:r>
      <w:r w:rsidRPr="6452BE15" w:rsidR="00A04487">
        <w:rPr>
          <w:rFonts w:ascii="Arial" w:hAnsi="Arial" w:cs="Arial"/>
          <w:sz w:val="24"/>
        </w:rPr>
        <w:t>program monitoring requirements are met</w:t>
      </w:r>
      <w:r w:rsidRPr="6452BE15" w:rsidR="00E910DE">
        <w:rPr>
          <w:rFonts w:ascii="Arial" w:hAnsi="Arial" w:cs="Arial"/>
          <w:sz w:val="24"/>
        </w:rPr>
        <w:t xml:space="preserve">.  </w:t>
      </w:r>
      <w:r w:rsidRPr="6452BE15" w:rsidR="00574444">
        <w:rPr>
          <w:rFonts w:ascii="Arial" w:hAnsi="Arial" w:cs="Arial"/>
          <w:sz w:val="24"/>
        </w:rPr>
        <w:t xml:space="preserve"> </w:t>
      </w:r>
      <w:r w:rsidRPr="6452BE15" w:rsidR="3406FC85">
        <w:rPr>
          <w:rFonts w:ascii="Arial" w:hAnsi="Arial" w:cs="Arial"/>
          <w:sz w:val="24"/>
        </w:rPr>
        <w:t>A</w:t>
      </w:r>
      <w:r w:rsidRPr="6452BE15" w:rsidR="00A04487">
        <w:rPr>
          <w:rFonts w:ascii="Arial" w:hAnsi="Arial" w:cs="Arial"/>
          <w:sz w:val="24"/>
        </w:rPr>
        <w:t>wardees</w:t>
      </w:r>
      <w:r w:rsidRPr="6452BE15" w:rsidR="005339DC">
        <w:rPr>
          <w:rFonts w:ascii="Arial" w:hAnsi="Arial" w:cs="Arial"/>
          <w:sz w:val="24"/>
        </w:rPr>
        <w:t xml:space="preserve"> </w:t>
      </w:r>
      <w:r w:rsidRPr="6452BE15" w:rsidR="5D76448B">
        <w:rPr>
          <w:rFonts w:ascii="Arial" w:hAnsi="Arial" w:cs="Arial"/>
          <w:sz w:val="24"/>
        </w:rPr>
        <w:t>are</w:t>
      </w:r>
      <w:r w:rsidRPr="6452BE15" w:rsidR="00B87831">
        <w:rPr>
          <w:rFonts w:ascii="Arial" w:hAnsi="Arial" w:cs="Arial"/>
          <w:sz w:val="24"/>
        </w:rPr>
        <w:t xml:space="preserve"> required to su</w:t>
      </w:r>
      <w:r w:rsidRPr="6452BE15" w:rsidR="00E910DE">
        <w:rPr>
          <w:rFonts w:ascii="Arial" w:hAnsi="Arial" w:cs="Arial"/>
          <w:sz w:val="24"/>
        </w:rPr>
        <w:t xml:space="preserve">bmit this </w:t>
      </w:r>
      <w:r w:rsidRPr="6452BE15" w:rsidR="0085368D">
        <w:rPr>
          <w:rFonts w:ascii="Arial" w:hAnsi="Arial" w:cs="Arial"/>
          <w:sz w:val="24"/>
        </w:rPr>
        <w:t xml:space="preserve">standardized </w:t>
      </w:r>
      <w:r w:rsidRPr="6452BE15" w:rsidR="00A04487">
        <w:rPr>
          <w:rFonts w:ascii="Arial" w:hAnsi="Arial" w:cs="Arial"/>
          <w:sz w:val="24"/>
        </w:rPr>
        <w:t>QPU</w:t>
      </w:r>
      <w:r w:rsidRPr="6452BE15" w:rsidR="00B87831">
        <w:rPr>
          <w:rFonts w:ascii="Arial" w:hAnsi="Arial" w:cs="Arial"/>
          <w:sz w:val="24"/>
        </w:rPr>
        <w:t xml:space="preserve"> form</w:t>
      </w:r>
      <w:r w:rsidRPr="6452BE15" w:rsidR="00A04487">
        <w:rPr>
          <w:rFonts w:ascii="Arial" w:hAnsi="Arial" w:cs="Arial"/>
          <w:sz w:val="24"/>
        </w:rPr>
        <w:t xml:space="preserve"> electronically and quarterly</w:t>
      </w:r>
      <w:r w:rsidRPr="6452BE15" w:rsidR="00B87831">
        <w:rPr>
          <w:rFonts w:ascii="Arial" w:hAnsi="Arial" w:cs="Arial"/>
          <w:sz w:val="24"/>
        </w:rPr>
        <w:t xml:space="preserve"> through</w:t>
      </w:r>
      <w:r w:rsidRPr="6452BE15" w:rsidR="00A04487">
        <w:rPr>
          <w:rFonts w:ascii="Arial" w:hAnsi="Arial" w:cs="Arial"/>
          <w:sz w:val="24"/>
        </w:rPr>
        <w:t xml:space="preserve"> HRSA’s EHB</w:t>
      </w:r>
      <w:r w:rsidR="00B20EED">
        <w:rPr>
          <w:rFonts w:ascii="Arial" w:hAnsi="Arial" w:cs="Arial"/>
          <w:sz w:val="24"/>
        </w:rPr>
        <w:t>s</w:t>
      </w:r>
      <w:r w:rsidRPr="6452BE15" w:rsidR="00A04487">
        <w:rPr>
          <w:rFonts w:ascii="Arial" w:hAnsi="Arial" w:cs="Arial"/>
          <w:sz w:val="24"/>
        </w:rPr>
        <w:t xml:space="preserve">, </w:t>
      </w:r>
      <w:r w:rsidRPr="6452BE15" w:rsidR="00EE72D1">
        <w:rPr>
          <w:rFonts w:ascii="Arial" w:hAnsi="Arial" w:cs="Arial"/>
          <w:sz w:val="24"/>
        </w:rPr>
        <w:t>an award and program management system used by HRSA and its award recipients.</w:t>
      </w:r>
      <w:r w:rsidR="00F65E8D">
        <w:rPr>
          <w:rFonts w:ascii="Arial" w:hAnsi="Arial" w:cs="Arial"/>
          <w:sz w:val="24"/>
        </w:rPr>
        <w:t xml:space="preserve"> </w:t>
      </w:r>
      <w:r w:rsidRPr="6452BE15" w:rsidR="7AC779D1">
        <w:rPr>
          <w:rFonts w:ascii="Arial" w:hAnsi="Arial" w:cs="Arial"/>
          <w:sz w:val="24"/>
        </w:rPr>
        <w:t xml:space="preserve">This new utilization of both the SWP and QPU has been highly successful with both awardees and project officers to efficiently review progress on grants. As </w:t>
      </w:r>
      <w:r w:rsidRPr="6452BE15" w:rsidR="24839A20">
        <w:rPr>
          <w:rFonts w:ascii="Arial" w:hAnsi="Arial" w:cs="Arial"/>
          <w:sz w:val="24"/>
        </w:rPr>
        <w:t>such, the Bureau is requesting an extension.</w:t>
      </w:r>
    </w:p>
    <w:p w:rsidR="00EE72D1" w:rsidRPr="00EE72D1" w:rsidP="00EE72D1" w14:paraId="2757F210" w14:textId="77777777">
      <w:pPr>
        <w:pStyle w:val="ListParagraph"/>
        <w:widowControl/>
        <w:autoSpaceDE/>
        <w:autoSpaceDN/>
        <w:adjustRightInd/>
        <w:spacing w:before="120"/>
        <w:rPr>
          <w:rFonts w:ascii="Arial" w:hAnsi="Arial" w:cs="Arial"/>
          <w:sz w:val="24"/>
        </w:rPr>
      </w:pPr>
    </w:p>
    <w:p w:rsidR="004B6AC6" w:rsidRPr="00B45929" w:rsidP="00B45929" w14:paraId="30B78B3C" w14:textId="7DF88D83">
      <w:pPr>
        <w:pStyle w:val="ListParagraph"/>
        <w:numPr>
          <w:ilvl w:val="0"/>
          <w:numId w:val="19"/>
        </w:numPr>
        <w:spacing w:before="240"/>
        <w:rPr>
          <w:rFonts w:ascii="Arial" w:hAnsi="Arial" w:cs="Arial"/>
          <w:b/>
          <w:sz w:val="24"/>
        </w:rPr>
      </w:pPr>
      <w:r w:rsidRPr="00B45929">
        <w:rPr>
          <w:rFonts w:ascii="Arial" w:hAnsi="Arial" w:cs="Arial"/>
          <w:b/>
          <w:sz w:val="24"/>
          <w:u w:val="single"/>
        </w:rPr>
        <w:t>E</w:t>
      </w:r>
      <w:r w:rsidR="006426BC">
        <w:rPr>
          <w:rFonts w:ascii="Arial" w:hAnsi="Arial" w:cs="Arial"/>
          <w:b/>
          <w:sz w:val="24"/>
          <w:u w:val="single"/>
        </w:rPr>
        <w:t xml:space="preserve">fforts to </w:t>
      </w:r>
      <w:r w:rsidRPr="00B45929">
        <w:rPr>
          <w:rFonts w:ascii="Arial" w:hAnsi="Arial" w:cs="Arial"/>
          <w:b/>
          <w:sz w:val="24"/>
          <w:u w:val="single"/>
        </w:rPr>
        <w:t>Identify Duplication and Use of Similar Information</w:t>
      </w:r>
    </w:p>
    <w:p w:rsidR="00C35798" w:rsidP="6452BE15" w14:paraId="253E0DF6" w14:textId="6181D74A">
      <w:pPr>
        <w:spacing w:before="120"/>
        <w:ind w:left="720"/>
        <w:rPr>
          <w:rFonts w:ascii="Arial" w:hAnsi="Arial" w:cs="Arial"/>
          <w:sz w:val="24"/>
        </w:rPr>
      </w:pPr>
      <w:r w:rsidRPr="6452BE15">
        <w:rPr>
          <w:rFonts w:ascii="Arial" w:hAnsi="Arial" w:cs="Arial"/>
          <w:sz w:val="24"/>
        </w:rPr>
        <w:t xml:space="preserve">BHW reviewed </w:t>
      </w:r>
      <w:r w:rsidRPr="6452BE15" w:rsidR="00E910DE">
        <w:rPr>
          <w:rFonts w:ascii="Arial" w:hAnsi="Arial" w:cs="Arial"/>
          <w:sz w:val="24"/>
        </w:rPr>
        <w:t xml:space="preserve">existing </w:t>
      </w:r>
      <w:r w:rsidRPr="6452BE15">
        <w:rPr>
          <w:rFonts w:ascii="Arial" w:hAnsi="Arial" w:cs="Arial"/>
          <w:sz w:val="24"/>
        </w:rPr>
        <w:t>information collection instruments</w:t>
      </w:r>
      <w:r w:rsidRPr="6452BE15" w:rsidR="4C068695">
        <w:rPr>
          <w:rFonts w:ascii="Arial" w:hAnsi="Arial" w:cs="Arial"/>
          <w:sz w:val="24"/>
        </w:rPr>
        <w:t xml:space="preserve"> during development</w:t>
      </w:r>
      <w:r w:rsidRPr="6452BE15">
        <w:rPr>
          <w:rFonts w:ascii="Arial" w:hAnsi="Arial" w:cs="Arial"/>
          <w:sz w:val="24"/>
        </w:rPr>
        <w:t xml:space="preserve"> and determined there </w:t>
      </w:r>
      <w:r w:rsidRPr="6452BE15" w:rsidR="16859DC3">
        <w:rPr>
          <w:rFonts w:ascii="Arial" w:hAnsi="Arial" w:cs="Arial"/>
          <w:sz w:val="24"/>
        </w:rPr>
        <w:t>were</w:t>
      </w:r>
      <w:r w:rsidRPr="6452BE15">
        <w:rPr>
          <w:rFonts w:ascii="Arial" w:hAnsi="Arial" w:cs="Arial"/>
          <w:sz w:val="24"/>
        </w:rPr>
        <w:t xml:space="preserve"> no existing forms that c</w:t>
      </w:r>
      <w:r w:rsidRPr="6452BE15" w:rsidR="549E6415">
        <w:rPr>
          <w:rFonts w:ascii="Arial" w:hAnsi="Arial" w:cs="Arial"/>
          <w:sz w:val="24"/>
        </w:rPr>
        <w:t>ould</w:t>
      </w:r>
      <w:r w:rsidR="00F65E8D">
        <w:rPr>
          <w:rFonts w:ascii="Arial" w:hAnsi="Arial" w:cs="Arial"/>
          <w:sz w:val="24"/>
        </w:rPr>
        <w:t xml:space="preserve"> </w:t>
      </w:r>
      <w:r w:rsidRPr="6452BE15">
        <w:rPr>
          <w:rFonts w:ascii="Arial" w:hAnsi="Arial" w:cs="Arial"/>
          <w:sz w:val="24"/>
        </w:rPr>
        <w:t xml:space="preserve">meet BHW’s data collection needs.  </w:t>
      </w:r>
      <w:r w:rsidRPr="6452BE15" w:rsidR="698F15B5">
        <w:rPr>
          <w:rFonts w:ascii="Arial" w:hAnsi="Arial" w:cs="Arial"/>
          <w:sz w:val="24"/>
        </w:rPr>
        <w:t xml:space="preserve">The current system of both the SWP during application and QPU during quarterly updates </w:t>
      </w:r>
      <w:r w:rsidRPr="6452BE15" w:rsidR="13784248">
        <w:rPr>
          <w:rFonts w:ascii="Arial" w:hAnsi="Arial" w:cs="Arial"/>
          <w:sz w:val="24"/>
        </w:rPr>
        <w:t>has been rated as more favorable and efficient by government project officers</w:t>
      </w:r>
      <w:r w:rsidRPr="6452BE15" w:rsidR="6875E8EC">
        <w:rPr>
          <w:rFonts w:ascii="Arial" w:hAnsi="Arial" w:cs="Arial"/>
          <w:sz w:val="24"/>
        </w:rPr>
        <w:t>. Project officers also reported that grantees informally reported that they also prefer this system as it keeps reporting to a minimum and makes quarterly check-</w:t>
      </w:r>
      <w:r w:rsidRPr="6452BE15" w:rsidR="2F366639">
        <w:rPr>
          <w:rFonts w:ascii="Arial" w:hAnsi="Arial" w:cs="Arial"/>
          <w:sz w:val="24"/>
        </w:rPr>
        <w:t xml:space="preserve">ins more efficient. </w:t>
      </w:r>
      <w:r w:rsidRPr="6452BE15" w:rsidR="003510E8">
        <w:rPr>
          <w:rFonts w:ascii="Arial" w:hAnsi="Arial" w:cs="Arial"/>
          <w:sz w:val="24"/>
        </w:rPr>
        <w:t xml:space="preserve">The </w:t>
      </w:r>
      <w:r w:rsidRPr="6452BE15" w:rsidR="006426BC">
        <w:rPr>
          <w:rFonts w:ascii="Arial" w:hAnsi="Arial" w:cs="Arial"/>
          <w:sz w:val="24"/>
        </w:rPr>
        <w:t>QPU</w:t>
      </w:r>
      <w:r w:rsidRPr="6452BE15" w:rsidR="008D6577">
        <w:rPr>
          <w:rFonts w:ascii="Arial" w:hAnsi="Arial" w:cs="Arial"/>
          <w:sz w:val="24"/>
        </w:rPr>
        <w:t xml:space="preserve"> form </w:t>
      </w:r>
      <w:r w:rsidRPr="6452BE15" w:rsidR="1AD1D378">
        <w:rPr>
          <w:rFonts w:ascii="Arial" w:hAnsi="Arial" w:cs="Arial"/>
          <w:sz w:val="24"/>
        </w:rPr>
        <w:t>has also been successful</w:t>
      </w:r>
      <w:r w:rsidR="004933D0">
        <w:rPr>
          <w:rFonts w:ascii="Arial" w:hAnsi="Arial" w:cs="Arial"/>
          <w:sz w:val="24"/>
        </w:rPr>
        <w:t>,</w:t>
      </w:r>
      <w:r w:rsidRPr="6452BE15" w:rsidR="1AD1D378">
        <w:rPr>
          <w:rFonts w:ascii="Arial" w:hAnsi="Arial" w:cs="Arial"/>
          <w:sz w:val="24"/>
        </w:rPr>
        <w:t xml:space="preserve"> per project officers</w:t>
      </w:r>
      <w:r w:rsidR="004933D0">
        <w:rPr>
          <w:rFonts w:ascii="Arial" w:hAnsi="Arial" w:cs="Arial"/>
          <w:sz w:val="24"/>
        </w:rPr>
        <w:t>,</w:t>
      </w:r>
      <w:r w:rsidRPr="6452BE15" w:rsidR="008D6577">
        <w:rPr>
          <w:rFonts w:ascii="Arial" w:hAnsi="Arial" w:cs="Arial"/>
          <w:sz w:val="24"/>
        </w:rPr>
        <w:t xml:space="preserve"> </w:t>
      </w:r>
      <w:r w:rsidRPr="6452BE15" w:rsidR="5D1FE912">
        <w:rPr>
          <w:rFonts w:ascii="Arial" w:hAnsi="Arial" w:cs="Arial"/>
          <w:sz w:val="24"/>
        </w:rPr>
        <w:t>with</w:t>
      </w:r>
      <w:r w:rsidR="00F65E8D">
        <w:rPr>
          <w:rFonts w:ascii="Arial" w:hAnsi="Arial" w:cs="Arial"/>
          <w:sz w:val="24"/>
        </w:rPr>
        <w:t xml:space="preserve"> </w:t>
      </w:r>
      <w:r w:rsidRPr="6452BE15" w:rsidR="00AD47D3">
        <w:rPr>
          <w:rFonts w:ascii="Arial" w:hAnsi="Arial" w:cs="Arial"/>
          <w:sz w:val="24"/>
        </w:rPr>
        <w:t xml:space="preserve">identification of programs </w:t>
      </w:r>
      <w:r w:rsidRPr="6452BE15" w:rsidR="652F88E8">
        <w:rPr>
          <w:rFonts w:ascii="Arial" w:hAnsi="Arial" w:cs="Arial"/>
          <w:sz w:val="24"/>
        </w:rPr>
        <w:t>that</w:t>
      </w:r>
      <w:r w:rsidRPr="6452BE15" w:rsidR="00AD47D3">
        <w:rPr>
          <w:rFonts w:ascii="Arial" w:hAnsi="Arial" w:cs="Arial"/>
          <w:sz w:val="24"/>
        </w:rPr>
        <w:t xml:space="preserve"> are off track and need additional prompt technical assistance. </w:t>
      </w:r>
    </w:p>
    <w:p w:rsidR="00F65E8D" w:rsidP="6452BE15" w14:paraId="5BECDAA6" w14:textId="77777777">
      <w:pPr>
        <w:spacing w:before="120"/>
        <w:ind w:left="720"/>
        <w:rPr>
          <w:rFonts w:ascii="Arial" w:hAnsi="Arial" w:cs="Arial"/>
          <w:sz w:val="24"/>
        </w:rPr>
      </w:pPr>
    </w:p>
    <w:p w:rsidR="003510E8" w:rsidRPr="00B45929" w:rsidP="00B45929" w14:paraId="58AA5049" w14:textId="77777777">
      <w:pPr>
        <w:pStyle w:val="ListParagraph"/>
        <w:numPr>
          <w:ilvl w:val="0"/>
          <w:numId w:val="19"/>
        </w:numPr>
        <w:spacing w:before="240"/>
        <w:rPr>
          <w:rFonts w:ascii="Arial" w:hAnsi="Arial" w:cs="Arial"/>
          <w:color w:val="000000"/>
          <w:sz w:val="24"/>
        </w:rPr>
      </w:pPr>
      <w:r w:rsidRPr="00B45929">
        <w:rPr>
          <w:rFonts w:ascii="Arial" w:hAnsi="Arial" w:cs="Arial"/>
          <w:b/>
          <w:sz w:val="24"/>
          <w:u w:val="single"/>
        </w:rPr>
        <w:t>Impact on Small Businesses or Other Small Entities</w:t>
      </w:r>
    </w:p>
    <w:p w:rsidR="00C35798" w:rsidP="00A13F87" w14:paraId="33DC5E42" w14:textId="4ADD64D5">
      <w:pPr>
        <w:spacing w:before="120"/>
        <w:ind w:left="720"/>
        <w:rPr>
          <w:rFonts w:ascii="Arial" w:hAnsi="Arial" w:cs="Arial"/>
          <w:sz w:val="24"/>
        </w:rPr>
      </w:pPr>
      <w:r>
        <w:rPr>
          <w:rFonts w:ascii="Arial" w:hAnsi="Arial" w:cs="Arial"/>
          <w:sz w:val="24"/>
        </w:rPr>
        <w:t>No small businesses will be involved.</w:t>
      </w:r>
    </w:p>
    <w:p w:rsidR="004B6AC6" w:rsidRPr="003510E8" w:rsidP="00B45929" w14:paraId="2818D9C7" w14:textId="77777777">
      <w:pPr>
        <w:numPr>
          <w:ilvl w:val="0"/>
          <w:numId w:val="19"/>
        </w:numPr>
        <w:spacing w:before="240"/>
        <w:rPr>
          <w:rFonts w:ascii="Arial" w:hAnsi="Arial" w:cs="Arial"/>
          <w:b/>
          <w:sz w:val="24"/>
        </w:rPr>
      </w:pPr>
      <w:r w:rsidRPr="00C45431">
        <w:rPr>
          <w:rFonts w:ascii="Arial" w:hAnsi="Arial" w:cs="Arial"/>
          <w:b/>
          <w:sz w:val="24"/>
          <w:u w:val="single"/>
        </w:rPr>
        <w:t>Consequences of Collecting the Information Less Frequently</w:t>
      </w:r>
      <w:r w:rsidRPr="003510E8">
        <w:rPr>
          <w:rFonts w:ascii="Arial" w:hAnsi="Arial" w:cs="Arial"/>
          <w:sz w:val="24"/>
        </w:rPr>
        <w:tab/>
      </w:r>
    </w:p>
    <w:p w:rsidR="007B2464" w:rsidRPr="007B2464" w:rsidP="6452BE15" w14:paraId="06A44BA0" w14:textId="5BDAAD41">
      <w:pPr>
        <w:widowControl/>
        <w:autoSpaceDE/>
        <w:autoSpaceDN/>
        <w:adjustRightInd/>
        <w:spacing w:before="120"/>
        <w:ind w:left="720"/>
        <w:rPr>
          <w:rFonts w:ascii="Arial" w:hAnsi="Arial" w:cs="Arial"/>
          <w:sz w:val="24"/>
        </w:rPr>
      </w:pPr>
      <w:r w:rsidRPr="6452BE15">
        <w:rPr>
          <w:rFonts w:ascii="Arial" w:hAnsi="Arial" w:cs="Arial"/>
          <w:sz w:val="24"/>
        </w:rPr>
        <w:t>After an award is made, t</w:t>
      </w:r>
      <w:r w:rsidRPr="6452BE15" w:rsidR="003510E8">
        <w:rPr>
          <w:rFonts w:ascii="Arial" w:hAnsi="Arial" w:cs="Arial"/>
          <w:sz w:val="24"/>
        </w:rPr>
        <w:t xml:space="preserve">he </w:t>
      </w:r>
      <w:r w:rsidRPr="6452BE15" w:rsidR="00AD47D3">
        <w:rPr>
          <w:rFonts w:ascii="Arial" w:hAnsi="Arial" w:cs="Arial"/>
          <w:sz w:val="24"/>
        </w:rPr>
        <w:t>QPU</w:t>
      </w:r>
      <w:r w:rsidRPr="6452BE15" w:rsidR="00E910DE">
        <w:rPr>
          <w:rFonts w:ascii="Arial" w:hAnsi="Arial" w:cs="Arial"/>
          <w:sz w:val="24"/>
        </w:rPr>
        <w:t xml:space="preserve"> </w:t>
      </w:r>
      <w:r w:rsidRPr="6452BE15" w:rsidR="26199A38">
        <w:rPr>
          <w:rFonts w:ascii="Arial" w:hAnsi="Arial" w:cs="Arial"/>
          <w:sz w:val="24"/>
        </w:rPr>
        <w:t>is</w:t>
      </w:r>
      <w:r w:rsidRPr="6452BE15" w:rsidR="00E910DE">
        <w:rPr>
          <w:rFonts w:ascii="Arial" w:hAnsi="Arial" w:cs="Arial"/>
          <w:sz w:val="24"/>
        </w:rPr>
        <w:t xml:space="preserve"> </w:t>
      </w:r>
      <w:r w:rsidRPr="6452BE15">
        <w:rPr>
          <w:rFonts w:ascii="Arial" w:hAnsi="Arial" w:cs="Arial"/>
          <w:sz w:val="24"/>
        </w:rPr>
        <w:t xml:space="preserve">required </w:t>
      </w:r>
      <w:r w:rsidRPr="6452BE15" w:rsidR="00AD47D3">
        <w:rPr>
          <w:rFonts w:ascii="Arial" w:hAnsi="Arial" w:cs="Arial"/>
          <w:sz w:val="24"/>
        </w:rPr>
        <w:t>quarterly</w:t>
      </w:r>
      <w:r w:rsidRPr="6452BE15">
        <w:rPr>
          <w:rFonts w:ascii="Arial" w:hAnsi="Arial" w:cs="Arial"/>
          <w:sz w:val="24"/>
        </w:rPr>
        <w:t xml:space="preserve"> and </w:t>
      </w:r>
      <w:r w:rsidRPr="6452BE15" w:rsidR="00387F41">
        <w:rPr>
          <w:rFonts w:ascii="Arial" w:hAnsi="Arial" w:cs="Arial"/>
          <w:sz w:val="24"/>
        </w:rPr>
        <w:t>assist</w:t>
      </w:r>
      <w:r w:rsidRPr="6452BE15" w:rsidR="643F6F4D">
        <w:rPr>
          <w:rFonts w:ascii="Arial" w:hAnsi="Arial" w:cs="Arial"/>
          <w:sz w:val="24"/>
        </w:rPr>
        <w:t>s</w:t>
      </w:r>
      <w:r w:rsidRPr="6452BE15" w:rsidR="003510E8">
        <w:rPr>
          <w:rFonts w:ascii="Arial" w:hAnsi="Arial" w:cs="Arial"/>
          <w:sz w:val="24"/>
        </w:rPr>
        <w:t xml:space="preserve"> with assessing the grant or cooperative agreement</w:t>
      </w:r>
      <w:r w:rsidRPr="6452BE15" w:rsidR="00843BD4">
        <w:rPr>
          <w:rFonts w:ascii="Arial" w:hAnsi="Arial" w:cs="Arial"/>
          <w:sz w:val="24"/>
        </w:rPr>
        <w:t>’s</w:t>
      </w:r>
      <w:r w:rsidRPr="6452BE15" w:rsidR="003510E8">
        <w:rPr>
          <w:rFonts w:ascii="Arial" w:hAnsi="Arial" w:cs="Arial"/>
          <w:sz w:val="24"/>
        </w:rPr>
        <w:t xml:space="preserve"> </w:t>
      </w:r>
      <w:r w:rsidRPr="6452BE15" w:rsidR="00AD47D3">
        <w:rPr>
          <w:rFonts w:ascii="Arial" w:hAnsi="Arial" w:cs="Arial"/>
          <w:sz w:val="24"/>
        </w:rPr>
        <w:t xml:space="preserve">progress on activities </w:t>
      </w:r>
      <w:r w:rsidRPr="6452BE15" w:rsidR="00843BD4">
        <w:rPr>
          <w:rFonts w:ascii="Arial" w:hAnsi="Arial" w:cs="Arial"/>
          <w:sz w:val="24"/>
        </w:rPr>
        <w:t>previously proposed</w:t>
      </w:r>
      <w:r w:rsidRPr="6452BE15" w:rsidR="00AD47D3">
        <w:rPr>
          <w:rFonts w:ascii="Arial" w:hAnsi="Arial" w:cs="Arial"/>
          <w:sz w:val="24"/>
        </w:rPr>
        <w:t xml:space="preserve"> in the SWP</w:t>
      </w:r>
      <w:r w:rsidRPr="6452BE15" w:rsidR="00843BD4">
        <w:rPr>
          <w:rFonts w:ascii="Arial" w:hAnsi="Arial" w:cs="Arial"/>
          <w:sz w:val="24"/>
        </w:rPr>
        <w:t xml:space="preserve"> during the application phase</w:t>
      </w:r>
      <w:r w:rsidRPr="6452BE15" w:rsidR="00AD47D3">
        <w:rPr>
          <w:rFonts w:ascii="Arial" w:hAnsi="Arial" w:cs="Arial"/>
          <w:sz w:val="24"/>
        </w:rPr>
        <w:t xml:space="preserve">. Information collected quarterly </w:t>
      </w:r>
      <w:r w:rsidRPr="6452BE15" w:rsidR="38C92B42">
        <w:rPr>
          <w:rFonts w:ascii="Arial" w:hAnsi="Arial" w:cs="Arial"/>
          <w:sz w:val="24"/>
        </w:rPr>
        <w:t>is compared</w:t>
      </w:r>
      <w:r w:rsidRPr="6452BE15" w:rsidR="64D0E400">
        <w:rPr>
          <w:rFonts w:ascii="Arial" w:hAnsi="Arial" w:cs="Arial"/>
          <w:sz w:val="24"/>
        </w:rPr>
        <w:t xml:space="preserve"> with</w:t>
      </w:r>
      <w:r w:rsidRPr="6452BE15" w:rsidR="00AD47D3">
        <w:rPr>
          <w:rFonts w:ascii="Arial" w:hAnsi="Arial" w:cs="Arial"/>
          <w:sz w:val="24"/>
        </w:rPr>
        <w:t xml:space="preserve"> overall project goals and activities, allowing for real-time progress</w:t>
      </w:r>
      <w:r w:rsidRPr="6452BE15" w:rsidR="00843BD4">
        <w:rPr>
          <w:rFonts w:ascii="Arial" w:hAnsi="Arial" w:cs="Arial"/>
          <w:sz w:val="24"/>
        </w:rPr>
        <w:t xml:space="preserve"> assessments throughout the length of the award period. </w:t>
      </w:r>
      <w:r w:rsidRPr="6452BE15" w:rsidR="7D5074B5">
        <w:rPr>
          <w:rFonts w:ascii="Arial" w:hAnsi="Arial" w:cs="Arial"/>
          <w:sz w:val="24"/>
        </w:rPr>
        <w:t>Quarterly progress updates were standard operating procedure before the implementation of the SWP and QPU; thus</w:t>
      </w:r>
      <w:r w:rsidRPr="6452BE15" w:rsidR="39BC260E">
        <w:rPr>
          <w:rFonts w:ascii="Arial" w:hAnsi="Arial" w:cs="Arial"/>
          <w:sz w:val="24"/>
        </w:rPr>
        <w:t>,</w:t>
      </w:r>
      <w:r w:rsidRPr="6452BE15" w:rsidR="7D5074B5">
        <w:rPr>
          <w:rFonts w:ascii="Arial" w:hAnsi="Arial" w:cs="Arial"/>
          <w:sz w:val="24"/>
        </w:rPr>
        <w:t xml:space="preserve"> frequency of </w:t>
      </w:r>
      <w:r w:rsidRPr="6452BE15" w:rsidR="31BDEDB8">
        <w:rPr>
          <w:rFonts w:ascii="Arial" w:hAnsi="Arial" w:cs="Arial"/>
          <w:sz w:val="24"/>
        </w:rPr>
        <w:t>project officer check-ins</w:t>
      </w:r>
      <w:r w:rsidRPr="6452BE15" w:rsidR="7D5074B5">
        <w:rPr>
          <w:rFonts w:ascii="Arial" w:hAnsi="Arial" w:cs="Arial"/>
          <w:sz w:val="24"/>
        </w:rPr>
        <w:t xml:space="preserve"> did not chan</w:t>
      </w:r>
      <w:r w:rsidRPr="6452BE15" w:rsidR="41D7BE29">
        <w:rPr>
          <w:rFonts w:ascii="Arial" w:hAnsi="Arial" w:cs="Arial"/>
          <w:sz w:val="24"/>
        </w:rPr>
        <w:t>ge.</w:t>
      </w:r>
    </w:p>
    <w:p w:rsidR="00B45929" w:rsidRPr="00B45929" w:rsidP="00B45929" w14:paraId="62BEA7E1" w14:textId="77777777">
      <w:pPr>
        <w:numPr>
          <w:ilvl w:val="0"/>
          <w:numId w:val="19"/>
        </w:numPr>
        <w:spacing w:before="240"/>
        <w:rPr>
          <w:rFonts w:ascii="Arial" w:hAnsi="Arial" w:cs="Arial"/>
          <w:b/>
          <w:sz w:val="24"/>
        </w:rPr>
      </w:pPr>
      <w:r w:rsidRPr="00C45431">
        <w:rPr>
          <w:rFonts w:ascii="Arial" w:hAnsi="Arial" w:cs="Arial"/>
          <w:b/>
          <w:sz w:val="24"/>
          <w:u w:val="single"/>
        </w:rPr>
        <w:t>Special Circumstances Relating to the Guidelines of 5 CFR 1320.5</w:t>
      </w:r>
    </w:p>
    <w:p w:rsidR="00B45929" w:rsidRPr="00AC0FAC" w:rsidP="00AC0FAC" w14:paraId="4A1382F5" w14:textId="7B75F583">
      <w:pPr>
        <w:spacing w:before="240"/>
        <w:ind w:left="720"/>
        <w:rPr>
          <w:rFonts w:ascii="Arial" w:hAnsi="Arial" w:cs="Arial"/>
          <w:sz w:val="24"/>
        </w:rPr>
      </w:pPr>
      <w:r>
        <w:rPr>
          <w:rFonts w:ascii="Arial" w:hAnsi="Arial" w:cs="Arial"/>
          <w:sz w:val="24"/>
        </w:rPr>
        <w:t xml:space="preserve">All guidelines relating to 5 CFR </w:t>
      </w:r>
      <w:r w:rsidR="00317B89">
        <w:rPr>
          <w:rFonts w:ascii="Arial" w:hAnsi="Arial" w:cs="Arial"/>
          <w:sz w:val="24"/>
        </w:rPr>
        <w:t xml:space="preserve">§ </w:t>
      </w:r>
      <w:r>
        <w:rPr>
          <w:rFonts w:ascii="Arial" w:hAnsi="Arial" w:cs="Arial"/>
          <w:sz w:val="24"/>
        </w:rPr>
        <w:t xml:space="preserve">1320.5 are met.  </w:t>
      </w:r>
      <w:r w:rsidRPr="00B45929" w:rsidR="004B6AC6">
        <w:rPr>
          <w:rFonts w:ascii="Arial" w:hAnsi="Arial" w:cs="Arial"/>
          <w:sz w:val="24"/>
        </w:rPr>
        <w:t>The request fully complies w</w:t>
      </w:r>
      <w:r w:rsidRPr="00B45929">
        <w:rPr>
          <w:rFonts w:ascii="Arial" w:hAnsi="Arial" w:cs="Arial"/>
          <w:sz w:val="24"/>
        </w:rPr>
        <w:t xml:space="preserve">ith the regulation. </w:t>
      </w:r>
      <w:r w:rsidRPr="00B45929" w:rsidR="007B2464">
        <w:rPr>
          <w:rFonts w:ascii="Arial" w:hAnsi="Arial" w:cs="Arial"/>
          <w:sz w:val="24"/>
        </w:rPr>
        <w:t>There are no special circumstances requiring these collection</w:t>
      </w:r>
      <w:r w:rsidRPr="00B45929">
        <w:rPr>
          <w:rFonts w:ascii="Arial" w:hAnsi="Arial" w:cs="Arial"/>
          <w:sz w:val="24"/>
        </w:rPr>
        <w:t>s to be conducted in any manner.</w:t>
      </w:r>
    </w:p>
    <w:p w:rsidR="00B45929" w:rsidRPr="00AC0FAC" w:rsidP="00AC0FAC" w14:paraId="67F319F4" w14:textId="42E2A683">
      <w:pPr>
        <w:numPr>
          <w:ilvl w:val="0"/>
          <w:numId w:val="19"/>
        </w:numPr>
        <w:spacing w:before="24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E645B3" w:rsidRPr="000E1074" w:rsidP="00AC0FAC" w14:paraId="418009A0" w14:textId="613E4D80">
      <w:pPr>
        <w:spacing w:before="120"/>
        <w:ind w:left="720"/>
        <w:rPr>
          <w:rFonts w:ascii="Arial" w:hAnsi="Arial" w:eastAsiaTheme="minorHAnsi" w:cs="Arial"/>
          <w:sz w:val="24"/>
        </w:rPr>
      </w:pPr>
      <w:r w:rsidRPr="00BF4B14">
        <w:rPr>
          <w:rFonts w:ascii="Arial" w:hAnsi="Arial" w:cs="Arial"/>
          <w:sz w:val="24"/>
        </w:rPr>
        <w:t>A 60-</w:t>
      </w:r>
      <w:r w:rsidRPr="000E1074">
        <w:rPr>
          <w:rFonts w:ascii="Arial" w:hAnsi="Arial" w:eastAsiaTheme="minorHAnsi" w:cs="Arial"/>
          <w:sz w:val="24"/>
        </w:rPr>
        <w:t xml:space="preserve">day Federal Register Notice was published in the Federal Register on </w:t>
      </w:r>
      <w:r w:rsidRPr="000E1074" w:rsidR="004D2928">
        <w:rPr>
          <w:rFonts w:ascii="Arial" w:hAnsi="Arial" w:eastAsiaTheme="minorHAnsi" w:cs="Arial"/>
          <w:sz w:val="24"/>
        </w:rPr>
        <w:t>August 25, 2023</w:t>
      </w:r>
      <w:r w:rsidR="000E1074">
        <w:rPr>
          <w:rFonts w:ascii="Arial" w:hAnsi="Arial" w:eastAsiaTheme="minorHAnsi" w:cs="Arial"/>
          <w:sz w:val="24"/>
        </w:rPr>
        <w:t>,</w:t>
      </w:r>
      <w:r w:rsidRPr="00BF4B14" w:rsidR="00BF4B14">
        <w:rPr>
          <w:rFonts w:ascii="Arial" w:hAnsi="Arial" w:eastAsiaTheme="minorHAnsi" w:cs="Arial"/>
          <w:sz w:val="24"/>
        </w:rPr>
        <w:t xml:space="preserve"> Vol. </w:t>
      </w:r>
      <w:r w:rsidR="00206894">
        <w:rPr>
          <w:rFonts w:ascii="Arial" w:hAnsi="Arial" w:eastAsiaTheme="minorHAnsi" w:cs="Arial"/>
          <w:sz w:val="24"/>
        </w:rPr>
        <w:t>88</w:t>
      </w:r>
      <w:r w:rsidR="007E58EF">
        <w:rPr>
          <w:rFonts w:ascii="Arial" w:hAnsi="Arial" w:eastAsiaTheme="minorHAnsi" w:cs="Arial"/>
          <w:sz w:val="24"/>
        </w:rPr>
        <w:t xml:space="preserve">, No. </w:t>
      </w:r>
      <w:r w:rsidR="00206894">
        <w:rPr>
          <w:rFonts w:ascii="Arial" w:hAnsi="Arial" w:eastAsiaTheme="minorHAnsi" w:cs="Arial"/>
          <w:sz w:val="24"/>
        </w:rPr>
        <w:t>164</w:t>
      </w:r>
      <w:r w:rsidR="0041589B">
        <w:rPr>
          <w:rFonts w:ascii="Arial" w:hAnsi="Arial" w:eastAsiaTheme="minorHAnsi" w:cs="Arial"/>
          <w:sz w:val="24"/>
        </w:rPr>
        <w:t>, pp.</w:t>
      </w:r>
      <w:r w:rsidR="00206894">
        <w:rPr>
          <w:rFonts w:ascii="Arial" w:hAnsi="Arial" w:eastAsiaTheme="minorHAnsi" w:cs="Arial"/>
          <w:sz w:val="24"/>
        </w:rPr>
        <w:t>58284</w:t>
      </w:r>
      <w:r w:rsidR="007E58EF">
        <w:rPr>
          <w:rFonts w:ascii="Arial" w:hAnsi="Arial" w:eastAsiaTheme="minorHAnsi" w:cs="Arial"/>
          <w:sz w:val="24"/>
        </w:rPr>
        <w:t>-</w:t>
      </w:r>
      <w:r w:rsidR="00206894">
        <w:rPr>
          <w:rFonts w:ascii="Arial" w:hAnsi="Arial" w:eastAsiaTheme="minorHAnsi" w:cs="Arial"/>
          <w:sz w:val="24"/>
        </w:rPr>
        <w:t>58285</w:t>
      </w:r>
      <w:r w:rsidR="00387F41">
        <w:rPr>
          <w:rFonts w:ascii="Arial" w:hAnsi="Arial" w:eastAsiaTheme="minorHAnsi" w:cs="Arial"/>
          <w:sz w:val="24"/>
        </w:rPr>
        <w:t>.</w:t>
      </w:r>
      <w:r w:rsidR="000E1074">
        <w:rPr>
          <w:rFonts w:ascii="Arial" w:hAnsi="Arial" w:eastAsiaTheme="minorHAnsi" w:cs="Arial"/>
          <w:sz w:val="24"/>
        </w:rPr>
        <w:t xml:space="preserve">  A 30-day Federal Register Notice was published in the </w:t>
      </w:r>
      <w:r w:rsidRPr="000E1074" w:rsidR="000E1074">
        <w:rPr>
          <w:rFonts w:ascii="Arial" w:hAnsi="Arial" w:eastAsiaTheme="minorHAnsi" w:cs="Arial"/>
          <w:sz w:val="24"/>
        </w:rPr>
        <w:t xml:space="preserve">Federal Register </w:t>
      </w:r>
      <w:r w:rsidR="000E1074">
        <w:rPr>
          <w:rFonts w:ascii="Arial" w:hAnsi="Arial" w:eastAsiaTheme="minorHAnsi" w:cs="Arial"/>
          <w:sz w:val="24"/>
        </w:rPr>
        <w:t xml:space="preserve">on November 3, 2023, Vol. 88, No. 212, pp. </w:t>
      </w:r>
      <w:r w:rsidRPr="000E1074" w:rsidR="000E1074">
        <w:rPr>
          <w:rFonts w:ascii="Arial" w:hAnsi="Arial" w:eastAsiaTheme="minorHAnsi" w:cs="Arial"/>
          <w:sz w:val="24"/>
        </w:rPr>
        <w:t xml:space="preserve">75604-05. </w:t>
      </w:r>
    </w:p>
    <w:p w:rsidR="00F643EF" w:rsidP="000E1074" w14:paraId="0ED32080" w14:textId="2E3008C2">
      <w:pPr>
        <w:spacing w:before="120"/>
        <w:ind w:left="720"/>
        <w:rPr>
          <w:rFonts w:ascii="Arial" w:hAnsi="Arial" w:cs="Arial"/>
          <w:sz w:val="24"/>
        </w:rPr>
      </w:pPr>
      <w:r w:rsidRPr="000E1074">
        <w:rPr>
          <w:rFonts w:ascii="Arial" w:hAnsi="Arial" w:eastAsiaTheme="minorHAnsi" w:cs="Arial"/>
          <w:sz w:val="24"/>
        </w:rPr>
        <w:t>In addition to the</w:t>
      </w:r>
      <w:r w:rsidRPr="6452BE15">
        <w:rPr>
          <w:rFonts w:ascii="Arial" w:hAnsi="Arial" w:cs="Arial"/>
          <w:sz w:val="24"/>
        </w:rPr>
        <w:t xml:space="preserve"> </w:t>
      </w:r>
      <w:r w:rsidRPr="6452BE15">
        <w:rPr>
          <w:rFonts w:ascii="Arial" w:hAnsi="Arial" w:cs="Arial"/>
          <w:i/>
          <w:iCs/>
          <w:sz w:val="24"/>
        </w:rPr>
        <w:t>Federal Register</w:t>
      </w:r>
      <w:r w:rsidRPr="6452BE15">
        <w:rPr>
          <w:rFonts w:ascii="Arial" w:hAnsi="Arial" w:cs="Arial"/>
          <w:sz w:val="24"/>
        </w:rPr>
        <w:t xml:space="preserve"> notice, </w:t>
      </w:r>
      <w:r w:rsidRPr="6452BE15" w:rsidR="00E645B3">
        <w:rPr>
          <w:rFonts w:ascii="Arial" w:hAnsi="Arial" w:cs="Arial"/>
          <w:sz w:val="24"/>
        </w:rPr>
        <w:t>HRSA conducted</w:t>
      </w:r>
      <w:r w:rsidRPr="6452BE15" w:rsidR="00D1049F">
        <w:rPr>
          <w:rFonts w:ascii="Arial" w:hAnsi="Arial" w:cs="Arial"/>
          <w:sz w:val="24"/>
        </w:rPr>
        <w:t xml:space="preserve"> extensive</w:t>
      </w:r>
      <w:r w:rsidRPr="6452BE15" w:rsidR="00E645B3">
        <w:rPr>
          <w:rFonts w:ascii="Arial" w:hAnsi="Arial" w:cs="Arial"/>
          <w:sz w:val="24"/>
        </w:rPr>
        <w:t xml:space="preserve"> internal review and requirements gathering with </w:t>
      </w:r>
      <w:r w:rsidRPr="6452BE15" w:rsidR="25CEF47B">
        <w:rPr>
          <w:rFonts w:ascii="Arial" w:hAnsi="Arial" w:cs="Arial"/>
          <w:sz w:val="24"/>
        </w:rPr>
        <w:t xml:space="preserve">25 </w:t>
      </w:r>
      <w:r w:rsidRPr="6452BE15" w:rsidR="00E645B3">
        <w:rPr>
          <w:rFonts w:ascii="Arial" w:hAnsi="Arial" w:cs="Arial"/>
          <w:sz w:val="24"/>
        </w:rPr>
        <w:t xml:space="preserve">federal staff to determine appropriate collection items that mirrored current BHW program requirements. </w:t>
      </w:r>
      <w:r w:rsidRPr="6452BE15" w:rsidR="6E171883">
        <w:rPr>
          <w:rFonts w:ascii="Arial" w:hAnsi="Arial" w:cs="Arial"/>
          <w:sz w:val="24"/>
        </w:rPr>
        <w:t>Project of</w:t>
      </w:r>
      <w:r w:rsidRPr="6452BE15" w:rsidR="366CA843">
        <w:rPr>
          <w:rFonts w:ascii="Arial" w:hAnsi="Arial" w:cs="Arial"/>
          <w:sz w:val="24"/>
        </w:rPr>
        <w:t>ficer</w:t>
      </w:r>
      <w:r w:rsidRPr="6452BE15" w:rsidR="6E171883">
        <w:rPr>
          <w:rFonts w:ascii="Arial" w:hAnsi="Arial" w:cs="Arial"/>
          <w:sz w:val="24"/>
        </w:rPr>
        <w:t xml:space="preserve">, supervisor, and project manager </w:t>
      </w:r>
      <w:r w:rsidRPr="6452BE15" w:rsidR="22F44415">
        <w:rPr>
          <w:rFonts w:ascii="Arial" w:hAnsi="Arial" w:cs="Arial"/>
          <w:sz w:val="24"/>
        </w:rPr>
        <w:t>p</w:t>
      </w:r>
      <w:r w:rsidRPr="6452BE15" w:rsidR="00C5369C">
        <w:rPr>
          <w:rFonts w:ascii="Arial" w:hAnsi="Arial" w:cs="Arial"/>
          <w:sz w:val="24"/>
        </w:rPr>
        <w:t>articipants conducted</w:t>
      </w:r>
      <w:r w:rsidRPr="6452BE15">
        <w:rPr>
          <w:rFonts w:ascii="Arial" w:hAnsi="Arial" w:cs="Arial"/>
          <w:sz w:val="24"/>
        </w:rPr>
        <w:t xml:space="preserve"> </w:t>
      </w:r>
      <w:r w:rsidRPr="6452BE15" w:rsidR="53BAB808">
        <w:rPr>
          <w:rFonts w:ascii="Arial" w:hAnsi="Arial" w:cs="Arial"/>
          <w:sz w:val="24"/>
        </w:rPr>
        <w:t xml:space="preserve">ongoing </w:t>
      </w:r>
      <w:r w:rsidRPr="6452BE15" w:rsidR="00D1049F">
        <w:rPr>
          <w:rFonts w:ascii="Arial" w:hAnsi="Arial" w:cs="Arial"/>
          <w:sz w:val="24"/>
        </w:rPr>
        <w:t>review</w:t>
      </w:r>
      <w:r w:rsidRPr="6452BE15" w:rsidR="22DB406C">
        <w:rPr>
          <w:rFonts w:ascii="Arial" w:hAnsi="Arial" w:cs="Arial"/>
          <w:sz w:val="24"/>
        </w:rPr>
        <w:t>s</w:t>
      </w:r>
      <w:r w:rsidRPr="6452BE15">
        <w:rPr>
          <w:rFonts w:ascii="Arial" w:hAnsi="Arial" w:cs="Arial"/>
          <w:sz w:val="24"/>
        </w:rPr>
        <w:t xml:space="preserve"> </w:t>
      </w:r>
      <w:r w:rsidRPr="6452BE15" w:rsidR="00D1049F">
        <w:rPr>
          <w:rFonts w:ascii="Arial" w:hAnsi="Arial" w:cs="Arial"/>
          <w:sz w:val="24"/>
        </w:rPr>
        <w:t xml:space="preserve"> from</w:t>
      </w:r>
      <w:r w:rsidRPr="6452BE15" w:rsidR="00D1049F">
        <w:rPr>
          <w:rFonts w:ascii="Arial" w:hAnsi="Arial" w:cs="Arial"/>
          <w:sz w:val="24"/>
        </w:rPr>
        <w:t xml:space="preserve"> </w:t>
      </w:r>
      <w:r w:rsidRPr="6452BE15" w:rsidR="3D1CF16E">
        <w:rPr>
          <w:rFonts w:ascii="Arial" w:hAnsi="Arial" w:cs="Arial"/>
          <w:sz w:val="24"/>
        </w:rPr>
        <w:t>August 21, 2023</w:t>
      </w:r>
      <w:r w:rsidR="00F65E8D">
        <w:rPr>
          <w:rFonts w:ascii="Arial" w:hAnsi="Arial" w:cs="Arial"/>
          <w:sz w:val="24"/>
        </w:rPr>
        <w:t xml:space="preserve"> - </w:t>
      </w:r>
      <w:r w:rsidRPr="6452BE15">
        <w:rPr>
          <w:rFonts w:ascii="Arial" w:hAnsi="Arial" w:cs="Arial"/>
          <w:sz w:val="24"/>
        </w:rPr>
        <w:t xml:space="preserve">September 1, </w:t>
      </w:r>
      <w:r w:rsidRPr="6452BE15" w:rsidR="113A6264">
        <w:rPr>
          <w:rFonts w:ascii="Arial" w:hAnsi="Arial" w:cs="Arial"/>
          <w:sz w:val="24"/>
        </w:rPr>
        <w:t>2023</w:t>
      </w:r>
      <w:r w:rsidRPr="6452BE15" w:rsidR="45BCBBAB">
        <w:rPr>
          <w:rFonts w:ascii="Arial" w:hAnsi="Arial" w:cs="Arial"/>
          <w:sz w:val="24"/>
        </w:rPr>
        <w:t xml:space="preserve">. The feedback consistently </w:t>
      </w:r>
      <w:r w:rsidR="000B52C6">
        <w:rPr>
          <w:rFonts w:ascii="Arial" w:hAnsi="Arial" w:cs="Arial"/>
          <w:sz w:val="24"/>
        </w:rPr>
        <w:t xml:space="preserve">noted </w:t>
      </w:r>
      <w:r w:rsidRPr="6452BE15" w:rsidR="45BCBBAB">
        <w:rPr>
          <w:rFonts w:ascii="Arial" w:hAnsi="Arial" w:cs="Arial"/>
          <w:sz w:val="24"/>
        </w:rPr>
        <w:t xml:space="preserve">that </w:t>
      </w:r>
      <w:r w:rsidR="00DA3D45">
        <w:rPr>
          <w:rFonts w:ascii="Arial" w:hAnsi="Arial" w:cs="Arial"/>
          <w:sz w:val="24"/>
        </w:rPr>
        <w:t xml:space="preserve">the </w:t>
      </w:r>
      <w:r w:rsidRPr="6452BE15" w:rsidR="45BCBBAB">
        <w:rPr>
          <w:rFonts w:ascii="Arial" w:hAnsi="Arial" w:cs="Arial"/>
          <w:sz w:val="24"/>
        </w:rPr>
        <w:t>SWP concis</w:t>
      </w:r>
      <w:r w:rsidRPr="6452BE15" w:rsidR="14720326">
        <w:rPr>
          <w:rFonts w:ascii="Arial" w:hAnsi="Arial" w:cs="Arial"/>
          <w:sz w:val="24"/>
        </w:rPr>
        <w:t>e</w:t>
      </w:r>
      <w:r w:rsidRPr="6452BE15" w:rsidR="45BCBBAB">
        <w:rPr>
          <w:rFonts w:ascii="Arial" w:hAnsi="Arial" w:cs="Arial"/>
          <w:sz w:val="24"/>
        </w:rPr>
        <w:t>ly and objectively records all needed work plan info</w:t>
      </w:r>
      <w:r w:rsidRPr="6452BE15" w:rsidR="0461A0DD">
        <w:rPr>
          <w:rFonts w:ascii="Arial" w:hAnsi="Arial" w:cs="Arial"/>
          <w:sz w:val="24"/>
        </w:rPr>
        <w:t>rmation</w:t>
      </w:r>
      <w:r w:rsidRPr="6452BE15" w:rsidR="45BCBBAB">
        <w:rPr>
          <w:rFonts w:ascii="Arial" w:hAnsi="Arial" w:cs="Arial"/>
          <w:sz w:val="24"/>
        </w:rPr>
        <w:t>, allowing reviewer</w:t>
      </w:r>
      <w:r w:rsidRPr="6452BE15" w:rsidR="59BF55C2">
        <w:rPr>
          <w:rFonts w:ascii="Arial" w:hAnsi="Arial" w:cs="Arial"/>
          <w:sz w:val="24"/>
        </w:rPr>
        <w:t>s to examine critical project features.</w:t>
      </w:r>
      <w:r w:rsidRPr="6452BE15" w:rsidR="00D1049F">
        <w:rPr>
          <w:rFonts w:ascii="Arial" w:hAnsi="Arial" w:cs="Arial"/>
          <w:sz w:val="24"/>
        </w:rPr>
        <w:t xml:space="preserve"> </w:t>
      </w:r>
      <w:r w:rsidRPr="6452BE15" w:rsidR="00C35798">
        <w:rPr>
          <w:rFonts w:ascii="Arial" w:hAnsi="Arial" w:cs="Arial"/>
          <w:sz w:val="24"/>
        </w:rPr>
        <w:t xml:space="preserve"> </w:t>
      </w:r>
    </w:p>
    <w:p w:rsidR="004B6AC6" w:rsidRPr="00C45431" w:rsidP="00B45929" w14:paraId="2717231F" w14:textId="77777777">
      <w:pPr>
        <w:numPr>
          <w:ilvl w:val="0"/>
          <w:numId w:val="19"/>
        </w:numPr>
        <w:spacing w:before="240"/>
        <w:rPr>
          <w:rFonts w:ascii="Arial" w:hAnsi="Arial" w:cs="Arial"/>
          <w:b/>
          <w:sz w:val="24"/>
        </w:rPr>
      </w:pPr>
      <w:r w:rsidRPr="00C45431">
        <w:rPr>
          <w:rFonts w:ascii="Arial" w:hAnsi="Arial" w:cs="Arial"/>
          <w:b/>
          <w:sz w:val="24"/>
          <w:u w:val="single"/>
        </w:rPr>
        <w:t>Explanation of any Payment/Gift to Respondents</w:t>
      </w:r>
    </w:p>
    <w:p w:rsidR="00B45929" w:rsidP="00C35798" w14:paraId="68B81E1C" w14:textId="35607564">
      <w:pPr>
        <w:ind w:left="720"/>
        <w:rPr>
          <w:rFonts w:ascii="Arial" w:hAnsi="Arial" w:cs="Arial"/>
          <w:sz w:val="24"/>
        </w:rPr>
      </w:pPr>
      <w:r>
        <w:rPr>
          <w:rFonts w:ascii="Arial" w:hAnsi="Arial" w:cs="Arial"/>
          <w:sz w:val="24"/>
        </w:rPr>
        <w:t>Respondents will not receive any payments or gifts.</w:t>
      </w:r>
    </w:p>
    <w:p w:rsidR="00C35798" w:rsidP="00C35798" w14:paraId="508453DF" w14:textId="77777777">
      <w:pPr>
        <w:ind w:left="720"/>
        <w:rPr>
          <w:rFonts w:ascii="Arial" w:hAnsi="Arial" w:cs="Arial"/>
          <w:sz w:val="24"/>
        </w:rPr>
      </w:pPr>
    </w:p>
    <w:p w:rsidR="007B2464" w:rsidRPr="00B45929" w:rsidP="00C35798" w14:paraId="06B849D6" w14:textId="77777777">
      <w:pPr>
        <w:pStyle w:val="ListParagraph"/>
        <w:numPr>
          <w:ilvl w:val="0"/>
          <w:numId w:val="19"/>
        </w:numPr>
        <w:rPr>
          <w:rFonts w:ascii="Arial" w:hAnsi="Arial" w:cs="Arial"/>
          <w:sz w:val="24"/>
        </w:rPr>
      </w:pPr>
      <w:r w:rsidRPr="00B45929">
        <w:rPr>
          <w:rFonts w:ascii="Arial" w:hAnsi="Arial" w:cs="Arial"/>
          <w:b/>
          <w:sz w:val="24"/>
          <w:u w:val="single"/>
        </w:rPr>
        <w:t>Assurance of Confidentiality Provided to Respondents</w:t>
      </w:r>
    </w:p>
    <w:p w:rsidR="001844BF" w:rsidP="00AC0FAC" w14:paraId="1804187D" w14:textId="400FAF4F">
      <w:pPr>
        <w:widowControl/>
        <w:spacing w:before="120"/>
        <w:ind w:left="720"/>
        <w:rPr>
          <w:rFonts w:ascii="Arial" w:hAnsi="Arial" w:cs="Arial"/>
          <w:sz w:val="24"/>
        </w:rPr>
      </w:pPr>
      <w:r>
        <w:rPr>
          <w:rFonts w:ascii="Arial" w:hAnsi="Arial" w:cs="Arial"/>
          <w:sz w:val="24"/>
        </w:rPr>
        <w:t>The information collected will be kept secure and protected. Information containing personal identifiers will not be requested.</w:t>
      </w:r>
      <w:r w:rsidR="000E1074">
        <w:rPr>
          <w:rFonts w:ascii="Arial" w:hAnsi="Arial" w:cs="Arial"/>
          <w:sz w:val="24"/>
        </w:rPr>
        <w:t xml:space="preserve"> </w:t>
      </w:r>
      <w:r w:rsidRPr="000E1074" w:rsidR="000E1074">
        <w:rPr>
          <w:rFonts w:ascii="Arial" w:hAnsi="Arial" w:cs="Arial"/>
          <w:sz w:val="24"/>
        </w:rPr>
        <w:t>Data will be kept private to the extent allowed by law</w:t>
      </w:r>
      <w:r w:rsidR="000E1074">
        <w:rPr>
          <w:rFonts w:ascii="Arial" w:hAnsi="Arial" w:cs="Arial"/>
          <w:sz w:val="24"/>
        </w:rPr>
        <w:t>.</w:t>
      </w:r>
    </w:p>
    <w:p w:rsidR="004B6AC6" w:rsidRPr="00C45431" w:rsidP="00B45929" w14:paraId="2696E9B7" w14:textId="77777777">
      <w:pPr>
        <w:numPr>
          <w:ilvl w:val="0"/>
          <w:numId w:val="19"/>
        </w:numPr>
        <w:spacing w:before="240"/>
        <w:rPr>
          <w:rFonts w:ascii="Arial" w:hAnsi="Arial" w:cs="Arial"/>
          <w:b/>
          <w:sz w:val="24"/>
        </w:rPr>
      </w:pPr>
      <w:r w:rsidRPr="00C45431">
        <w:rPr>
          <w:rFonts w:ascii="Arial" w:hAnsi="Arial" w:cs="Arial"/>
          <w:b/>
          <w:sz w:val="24"/>
          <w:u w:val="single"/>
        </w:rPr>
        <w:t>Justification for Sensitive Questions</w:t>
      </w:r>
    </w:p>
    <w:p w:rsidR="007B2464" w:rsidRPr="00C45431" w:rsidP="6452BE15" w14:paraId="7D00043B" w14:textId="17FC50CB">
      <w:pPr>
        <w:widowControl/>
        <w:spacing w:before="120"/>
        <w:ind w:left="720"/>
        <w:rPr>
          <w:rFonts w:ascii="Arial" w:hAnsi="Arial" w:cs="Arial"/>
          <w:sz w:val="24"/>
        </w:rPr>
      </w:pPr>
      <w:r w:rsidRPr="6452BE15">
        <w:rPr>
          <w:rFonts w:ascii="Arial" w:hAnsi="Arial" w:cs="Arial"/>
          <w:sz w:val="24"/>
        </w:rPr>
        <w:t>This is not applicable. No information of a sensitive nature is requested in the</w:t>
      </w:r>
      <w:r w:rsidRPr="6452BE15" w:rsidR="2F7338BD">
        <w:rPr>
          <w:rFonts w:ascii="Arial" w:hAnsi="Arial" w:cs="Arial"/>
          <w:sz w:val="24"/>
        </w:rPr>
        <w:t xml:space="preserve"> SWP or</w:t>
      </w:r>
      <w:r w:rsidRPr="6452BE15">
        <w:rPr>
          <w:rFonts w:ascii="Arial" w:hAnsi="Arial" w:cs="Arial"/>
          <w:sz w:val="24"/>
        </w:rPr>
        <w:t xml:space="preserve"> </w:t>
      </w:r>
      <w:r w:rsidRPr="6452BE15" w:rsidR="007E58EF">
        <w:rPr>
          <w:rFonts w:ascii="Arial" w:hAnsi="Arial" w:cs="Arial"/>
          <w:sz w:val="24"/>
        </w:rPr>
        <w:t>QPU</w:t>
      </w:r>
      <w:r w:rsidRPr="6452BE15" w:rsidR="003834CB">
        <w:rPr>
          <w:rFonts w:ascii="Arial" w:hAnsi="Arial" w:cs="Arial"/>
          <w:sz w:val="24"/>
        </w:rPr>
        <w:t>.</w:t>
      </w:r>
    </w:p>
    <w:p w:rsidR="004B6AC6" w:rsidRPr="00C45431" w:rsidP="00D149A6" w14:paraId="04AF3F94" w14:textId="77777777">
      <w:pPr>
        <w:numPr>
          <w:ilvl w:val="0"/>
          <w:numId w:val="19"/>
        </w:numPr>
        <w:spacing w:before="240"/>
        <w:rPr>
          <w:rFonts w:ascii="Arial" w:hAnsi="Arial" w:cs="Arial"/>
          <w:sz w:val="24"/>
        </w:rPr>
      </w:pPr>
      <w:r w:rsidRPr="00C45431">
        <w:rPr>
          <w:rFonts w:ascii="Arial" w:hAnsi="Arial" w:cs="Arial"/>
          <w:b/>
          <w:sz w:val="24"/>
          <w:u w:val="single"/>
        </w:rPr>
        <w:t xml:space="preserve">Estimates of Annualized Hour and Cost Burden  </w:t>
      </w:r>
    </w:p>
    <w:p w:rsidR="00D149A6" w:rsidRPr="00C45431" w:rsidP="00D149A6" w14:paraId="31A86E33" w14:textId="53C4C36C">
      <w:pPr>
        <w:widowControl/>
        <w:spacing w:before="120"/>
        <w:ind w:left="720"/>
        <w:rPr>
          <w:rFonts w:ascii="Arial" w:hAnsi="Arial" w:cs="Arial"/>
          <w:sz w:val="24"/>
        </w:rPr>
      </w:pPr>
      <w:r w:rsidRPr="00AC0FAC">
        <w:rPr>
          <w:rFonts w:ascii="Arial" w:hAnsi="Arial" w:cs="Arial"/>
          <w:b/>
          <w:sz w:val="24"/>
        </w:rPr>
        <w:t>12A.</w:t>
      </w:r>
      <w:r>
        <w:rPr>
          <w:rFonts w:ascii="Arial" w:hAnsi="Arial" w:cs="Arial"/>
          <w:sz w:val="24"/>
        </w:rPr>
        <w:t xml:space="preserve"> The</w:t>
      </w:r>
      <w:r w:rsidRPr="000A0E8D">
        <w:rPr>
          <w:rFonts w:ascii="Arial" w:hAnsi="Arial" w:cs="Arial"/>
          <w:sz w:val="24"/>
        </w:rPr>
        <w:t xml:space="preserve"> following is the hour burden estimate for this information collection request</w:t>
      </w:r>
      <w:r w:rsidRPr="000A0E8D" w:rsidR="004F3B25">
        <w:rPr>
          <w:rFonts w:ascii="Arial" w:hAnsi="Arial" w:cs="Arial"/>
          <w:sz w:val="24"/>
        </w:rPr>
        <w:t xml:space="preserve">. As part of the program’s NOFO, most programs require that applicants describe the activities, timeframes, deliverables, and key partners that will be required during the grant period of performance to address the needs described in the </w:t>
      </w:r>
      <w:r w:rsidRPr="000A0E8D">
        <w:rPr>
          <w:rFonts w:ascii="Arial" w:hAnsi="Arial" w:cs="Arial"/>
          <w:sz w:val="24"/>
        </w:rPr>
        <w:t xml:space="preserve">NOFO </w:t>
      </w:r>
      <w:r w:rsidRPr="000A0E8D" w:rsidR="004F3B25">
        <w:rPr>
          <w:rFonts w:ascii="Arial" w:hAnsi="Arial" w:cs="Arial"/>
          <w:sz w:val="24"/>
        </w:rPr>
        <w:t xml:space="preserve">Purpose and Need section. </w:t>
      </w:r>
    </w:p>
    <w:p w:rsidR="004B6AC6" w:rsidRPr="00C45431" w:rsidP="004B6AC6" w14:paraId="259870EC" w14:textId="77777777">
      <w:pPr>
        <w:widowControl/>
        <w:tabs>
          <w:tab w:val="num" w:pos="720"/>
        </w:tabs>
        <w:spacing w:before="120"/>
        <w:rPr>
          <w:rFonts w:ascii="Arial" w:hAnsi="Arial" w:cs="Arial"/>
          <w:sz w:val="24"/>
        </w:rPr>
      </w:pPr>
    </w:p>
    <w:tbl>
      <w:tblPr>
        <w:tblW w:w="9270" w:type="dxa"/>
        <w:jc w:val="center"/>
        <w:tblLayout w:type="fixed"/>
        <w:tblCellMar>
          <w:left w:w="97" w:type="dxa"/>
          <w:right w:w="97" w:type="dxa"/>
        </w:tblCellMar>
        <w:tblLook w:val="0000"/>
      </w:tblPr>
      <w:tblGrid>
        <w:gridCol w:w="1800"/>
        <w:gridCol w:w="1610"/>
        <w:gridCol w:w="1630"/>
        <w:gridCol w:w="1440"/>
        <w:gridCol w:w="1350"/>
        <w:gridCol w:w="1440"/>
      </w:tblGrid>
      <w:tr w14:paraId="5114642F" w14:textId="77777777" w:rsidTr="00C35798">
        <w:tblPrEx>
          <w:tblW w:w="9270" w:type="dxa"/>
          <w:jc w:val="center"/>
          <w:tblLayout w:type="fixed"/>
          <w:tblCellMar>
            <w:left w:w="97" w:type="dxa"/>
            <w:right w:w="97" w:type="dxa"/>
          </w:tblCellMar>
          <w:tblLook w:val="0000"/>
        </w:tblPrEx>
        <w:trPr>
          <w:jc w:val="center"/>
        </w:trPr>
        <w:tc>
          <w:tcPr>
            <w:tcW w:w="180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585A5D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rPr>
            </w:pPr>
            <w:r w:rsidRPr="00647D1D">
              <w:rPr>
                <w:rFonts w:ascii="Arial" w:hAnsi="Arial" w:cs="Arial"/>
                <w:b/>
              </w:rPr>
              <w:t>Form Name</w:t>
            </w:r>
          </w:p>
        </w:tc>
        <w:tc>
          <w:tcPr>
            <w:tcW w:w="161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1DC438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Number of Respondents</w:t>
            </w:r>
          </w:p>
        </w:tc>
        <w:tc>
          <w:tcPr>
            <w:tcW w:w="163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3BA817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77652B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63849D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7E58EF" w:rsidRPr="00647D1D" w:rsidP="005C75E5" w14:paraId="71A7E5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Total Annual Burden Hours</w:t>
            </w:r>
          </w:p>
        </w:tc>
      </w:tr>
      <w:tr w14:paraId="3DF8AFB0" w14:textId="77777777" w:rsidTr="00C35798">
        <w:tblPrEx>
          <w:tblW w:w="9270" w:type="dxa"/>
          <w:jc w:val="center"/>
          <w:tblLayout w:type="fixed"/>
          <w:tblCellMar>
            <w:left w:w="97" w:type="dxa"/>
            <w:right w:w="97" w:type="dxa"/>
          </w:tblCellMar>
          <w:tblLook w:val="0000"/>
        </w:tblPrEx>
        <w:trPr>
          <w:jc w:val="center"/>
        </w:trPr>
        <w:tc>
          <w:tcPr>
            <w:tcW w:w="1800" w:type="dxa"/>
            <w:tcBorders>
              <w:top w:val="single" w:sz="2" w:space="0" w:color="auto"/>
              <w:left w:val="single" w:sz="2" w:space="0" w:color="auto"/>
              <w:bottom w:val="single" w:sz="2" w:space="0" w:color="auto"/>
              <w:right w:val="single" w:sz="2" w:space="0" w:color="auto"/>
            </w:tcBorders>
          </w:tcPr>
          <w:p w:rsidR="007E58EF" w:rsidRPr="00647D1D" w:rsidP="005C75E5" w14:paraId="16543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7D1D">
              <w:rPr>
                <w:rFonts w:ascii="Arial" w:hAnsi="Arial" w:cs="Arial"/>
              </w:rPr>
              <w:t>Standardized Work Plan (SWP)</w:t>
            </w:r>
          </w:p>
        </w:tc>
        <w:tc>
          <w:tcPr>
            <w:tcW w:w="1610" w:type="dxa"/>
            <w:tcBorders>
              <w:top w:val="single" w:sz="2" w:space="0" w:color="auto"/>
              <w:left w:val="single" w:sz="2" w:space="0" w:color="auto"/>
              <w:bottom w:val="single" w:sz="2" w:space="0" w:color="auto"/>
              <w:right w:val="single" w:sz="2" w:space="0" w:color="auto"/>
            </w:tcBorders>
          </w:tcPr>
          <w:p w:rsidR="007E58EF" w:rsidRPr="00647D1D" w:rsidP="005C75E5" w14:paraId="378E40E3" w14:textId="2E011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r w:rsidR="00866EA7">
              <w:rPr>
                <w:rFonts w:ascii="Arial" w:hAnsi="Arial" w:cs="Arial"/>
                <w:lang w:val="fr-FR"/>
              </w:rPr>
              <w:t>,</w:t>
            </w:r>
            <w:r w:rsidRPr="00647D1D">
              <w:rPr>
                <w:rFonts w:ascii="Arial" w:hAnsi="Arial" w:cs="Arial"/>
                <w:lang w:val="fr-FR"/>
              </w:rPr>
              <w:t>000</w:t>
            </w:r>
          </w:p>
        </w:tc>
        <w:tc>
          <w:tcPr>
            <w:tcW w:w="1630" w:type="dxa"/>
            <w:tcBorders>
              <w:top w:val="single" w:sz="2" w:space="0" w:color="auto"/>
              <w:left w:val="single" w:sz="2" w:space="0" w:color="auto"/>
              <w:bottom w:val="single" w:sz="2" w:space="0" w:color="auto"/>
              <w:right w:val="single" w:sz="2" w:space="0" w:color="auto"/>
            </w:tcBorders>
          </w:tcPr>
          <w:p w:rsidR="007E58EF" w:rsidRPr="00647D1D" w:rsidP="005C75E5" w14:paraId="675C23D9" w14:textId="77777777">
            <w:pPr>
              <w:tabs>
                <w:tab w:val="left" w:pos="-1440"/>
                <w:tab w:val="left" w:pos="-720"/>
                <w:tab w:val="left" w:pos="0"/>
                <w:tab w:val="left" w:pos="452"/>
                <w:tab w:val="left" w:pos="720"/>
                <w:tab w:val="center" w:pos="8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54D81E70" w14:textId="642C3B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r w:rsidR="00866EA7">
              <w:rPr>
                <w:rFonts w:ascii="Arial" w:hAnsi="Arial" w:cs="Arial"/>
                <w:lang w:val="fr-FR"/>
              </w:rPr>
              <w:t>,</w:t>
            </w:r>
            <w:r w:rsidRPr="00647D1D">
              <w:rPr>
                <w:rFonts w:ascii="Arial" w:hAnsi="Arial" w:cs="Arial"/>
                <w:lang w:val="fr-FR"/>
              </w:rPr>
              <w:t>000</w:t>
            </w:r>
          </w:p>
        </w:tc>
        <w:tc>
          <w:tcPr>
            <w:tcW w:w="1350" w:type="dxa"/>
            <w:tcBorders>
              <w:top w:val="single" w:sz="2" w:space="0" w:color="auto"/>
              <w:left w:val="single" w:sz="2" w:space="0" w:color="auto"/>
              <w:bottom w:val="single" w:sz="2" w:space="0" w:color="auto"/>
              <w:right w:val="single" w:sz="2" w:space="0" w:color="auto"/>
            </w:tcBorders>
          </w:tcPr>
          <w:p w:rsidR="007E58EF" w:rsidRPr="00647D1D" w:rsidP="005C75E5" w14:paraId="02148A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68FFF220" w14:textId="2AB944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r w:rsidR="00866EA7">
              <w:rPr>
                <w:rFonts w:ascii="Arial" w:hAnsi="Arial" w:cs="Arial"/>
                <w:lang w:val="fr-FR"/>
              </w:rPr>
              <w:t>,</w:t>
            </w:r>
            <w:r w:rsidRPr="00647D1D">
              <w:rPr>
                <w:rFonts w:ascii="Arial" w:hAnsi="Arial" w:cs="Arial"/>
                <w:lang w:val="fr-FR"/>
              </w:rPr>
              <w:t>000</w:t>
            </w:r>
          </w:p>
        </w:tc>
      </w:tr>
      <w:tr w14:paraId="1C508F86" w14:textId="77777777" w:rsidTr="00C35798">
        <w:tblPrEx>
          <w:tblW w:w="9270" w:type="dxa"/>
          <w:jc w:val="center"/>
          <w:tblLayout w:type="fixed"/>
          <w:tblCellMar>
            <w:left w:w="97" w:type="dxa"/>
            <w:right w:w="97" w:type="dxa"/>
          </w:tblCellMar>
          <w:tblLook w:val="0000"/>
        </w:tblPrEx>
        <w:trPr>
          <w:jc w:val="center"/>
        </w:trPr>
        <w:tc>
          <w:tcPr>
            <w:tcW w:w="1800" w:type="dxa"/>
            <w:tcBorders>
              <w:top w:val="single" w:sz="2" w:space="0" w:color="auto"/>
              <w:left w:val="single" w:sz="2" w:space="0" w:color="auto"/>
              <w:bottom w:val="single" w:sz="2" w:space="0" w:color="auto"/>
              <w:right w:val="single" w:sz="2" w:space="0" w:color="auto"/>
            </w:tcBorders>
          </w:tcPr>
          <w:p w:rsidR="007E58EF" w:rsidRPr="00647D1D" w:rsidP="005C75E5" w14:paraId="0878B9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7D1D">
              <w:rPr>
                <w:rFonts w:ascii="Arial" w:hAnsi="Arial" w:cs="Arial"/>
              </w:rPr>
              <w:t>Quarterly Progress Update (QPU) Form</w:t>
            </w:r>
          </w:p>
        </w:tc>
        <w:tc>
          <w:tcPr>
            <w:tcW w:w="1610" w:type="dxa"/>
            <w:tcBorders>
              <w:top w:val="single" w:sz="2" w:space="0" w:color="auto"/>
              <w:left w:val="single" w:sz="2" w:space="0" w:color="auto"/>
              <w:bottom w:val="single" w:sz="2" w:space="0" w:color="auto"/>
              <w:right w:val="single" w:sz="2" w:space="0" w:color="auto"/>
            </w:tcBorders>
          </w:tcPr>
          <w:p w:rsidR="007E58EF" w:rsidRPr="00647D1D" w:rsidP="005C75E5" w14:paraId="1A696198" w14:textId="1CD3E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r w:rsidR="00866EA7">
              <w:rPr>
                <w:rFonts w:ascii="Arial" w:hAnsi="Arial" w:cs="Arial"/>
                <w:lang w:val="fr-FR"/>
              </w:rPr>
              <w:t>,</w:t>
            </w:r>
            <w:r w:rsidRPr="00647D1D">
              <w:rPr>
                <w:rFonts w:ascii="Arial" w:hAnsi="Arial" w:cs="Arial"/>
                <w:lang w:val="fr-FR"/>
              </w:rPr>
              <w:t>000</w:t>
            </w:r>
          </w:p>
        </w:tc>
        <w:tc>
          <w:tcPr>
            <w:tcW w:w="1630" w:type="dxa"/>
            <w:tcBorders>
              <w:top w:val="single" w:sz="2" w:space="0" w:color="auto"/>
              <w:left w:val="single" w:sz="2" w:space="0" w:color="auto"/>
              <w:bottom w:val="single" w:sz="2" w:space="0" w:color="auto"/>
              <w:right w:val="single" w:sz="2" w:space="0" w:color="auto"/>
            </w:tcBorders>
          </w:tcPr>
          <w:p w:rsidR="007E58EF" w:rsidRPr="00647D1D" w:rsidP="005C75E5" w14:paraId="57D1B48C" w14:textId="77777777">
            <w:pPr>
              <w:tabs>
                <w:tab w:val="left" w:pos="-1440"/>
                <w:tab w:val="left" w:pos="-720"/>
                <w:tab w:val="left" w:pos="0"/>
                <w:tab w:val="left" w:pos="452"/>
                <w:tab w:val="left" w:pos="720"/>
                <w:tab w:val="center" w:pos="8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ab/>
            </w:r>
            <w:r w:rsidRPr="00647D1D">
              <w:rPr>
                <w:rFonts w:ascii="Arial" w:hAnsi="Arial" w:cs="Arial"/>
                <w:lang w:val="fr-FR"/>
              </w:rPr>
              <w:tab/>
            </w:r>
            <w:r w:rsidRPr="00647D1D">
              <w:rPr>
                <w:rFonts w:ascii="Arial" w:hAnsi="Arial" w:cs="Arial"/>
                <w:lang w:val="fr-FR"/>
              </w:rPr>
              <w:tab/>
              <w:t>4</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23083E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4,000</w:t>
            </w:r>
          </w:p>
        </w:tc>
        <w:tc>
          <w:tcPr>
            <w:tcW w:w="1350" w:type="dxa"/>
            <w:tcBorders>
              <w:top w:val="single" w:sz="2" w:space="0" w:color="auto"/>
              <w:left w:val="single" w:sz="2" w:space="0" w:color="auto"/>
              <w:bottom w:val="single" w:sz="2" w:space="0" w:color="auto"/>
              <w:right w:val="single" w:sz="2" w:space="0" w:color="auto"/>
            </w:tcBorders>
          </w:tcPr>
          <w:p w:rsidR="007E58EF" w:rsidRPr="00647D1D" w:rsidP="005C75E5" w14:paraId="0E5CD2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 xml:space="preserve">.10 </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19F9B9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400</w:t>
            </w:r>
          </w:p>
        </w:tc>
      </w:tr>
      <w:tr w14:paraId="0F5B9ED5" w14:textId="77777777" w:rsidTr="00C35798">
        <w:tblPrEx>
          <w:tblW w:w="9270" w:type="dxa"/>
          <w:jc w:val="center"/>
          <w:tblLayout w:type="fixed"/>
          <w:tblCellMar>
            <w:left w:w="97" w:type="dxa"/>
            <w:right w:w="97" w:type="dxa"/>
          </w:tblCellMar>
          <w:tblLook w:val="0000"/>
        </w:tblPrEx>
        <w:trPr>
          <w:trHeight w:val="337"/>
          <w:jc w:val="center"/>
        </w:trPr>
        <w:tc>
          <w:tcPr>
            <w:tcW w:w="1800" w:type="dxa"/>
            <w:tcBorders>
              <w:top w:val="single" w:sz="2" w:space="0" w:color="auto"/>
              <w:left w:val="single" w:sz="2" w:space="0" w:color="auto"/>
              <w:bottom w:val="single" w:sz="2" w:space="0" w:color="auto"/>
              <w:right w:val="single" w:sz="2" w:space="0" w:color="auto"/>
            </w:tcBorders>
          </w:tcPr>
          <w:p w:rsidR="007E58EF" w:rsidRPr="00647D1D" w:rsidP="005C75E5" w14:paraId="599EC2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lang w:val="fr-FR"/>
              </w:rPr>
            </w:pPr>
            <w:r w:rsidRPr="00647D1D">
              <w:rPr>
                <w:rFonts w:ascii="Arial" w:hAnsi="Arial" w:cs="Arial"/>
                <w:b/>
                <w:lang w:val="fr-FR"/>
              </w:rPr>
              <w:t xml:space="preserve">Total </w:t>
            </w:r>
          </w:p>
        </w:tc>
        <w:tc>
          <w:tcPr>
            <w:tcW w:w="1610" w:type="dxa"/>
            <w:tcBorders>
              <w:top w:val="single" w:sz="2" w:space="0" w:color="auto"/>
              <w:left w:val="single" w:sz="2" w:space="0" w:color="auto"/>
              <w:bottom w:val="single" w:sz="2" w:space="0" w:color="auto"/>
              <w:right w:val="single" w:sz="2" w:space="0" w:color="auto"/>
            </w:tcBorders>
          </w:tcPr>
          <w:p w:rsidR="007E58EF" w:rsidRPr="00647D1D" w:rsidP="005C75E5" w14:paraId="3AA11224" w14:textId="59C026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1</w:t>
            </w:r>
            <w:r w:rsidR="00866EA7">
              <w:rPr>
                <w:rFonts w:ascii="Arial" w:hAnsi="Arial" w:cs="Arial"/>
                <w:b/>
                <w:lang w:val="fr-FR"/>
              </w:rPr>
              <w:t>,</w:t>
            </w:r>
            <w:r w:rsidRPr="00647D1D">
              <w:rPr>
                <w:rFonts w:ascii="Arial" w:hAnsi="Arial" w:cs="Arial"/>
                <w:b/>
                <w:lang w:val="fr-FR"/>
              </w:rPr>
              <w:t>000</w:t>
            </w:r>
            <w:r w:rsidRPr="00647D1D">
              <w:rPr>
                <w:rFonts w:ascii="Arial" w:hAnsi="Arial" w:cs="Arial"/>
                <w:vertAlign w:val="superscript"/>
                <w:lang w:val="fr-FR"/>
              </w:rPr>
              <w:t>1</w:t>
            </w:r>
          </w:p>
        </w:tc>
        <w:tc>
          <w:tcPr>
            <w:tcW w:w="1630" w:type="dxa"/>
            <w:tcBorders>
              <w:top w:val="single" w:sz="2" w:space="0" w:color="auto"/>
              <w:left w:val="single" w:sz="2" w:space="0" w:color="auto"/>
              <w:bottom w:val="single" w:sz="2" w:space="0" w:color="auto"/>
              <w:right w:val="single" w:sz="2" w:space="0" w:color="auto"/>
            </w:tcBorders>
          </w:tcPr>
          <w:p w:rsidR="007E58EF" w:rsidRPr="00647D1D" w:rsidP="005C75E5" w14:paraId="5041C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0791C7DD" w14:textId="02AE7A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5</w:t>
            </w:r>
            <w:r w:rsidR="00866EA7">
              <w:rPr>
                <w:rFonts w:ascii="Arial" w:hAnsi="Arial" w:cs="Arial"/>
                <w:b/>
                <w:lang w:val="fr-FR"/>
              </w:rPr>
              <w:t>,</w:t>
            </w:r>
            <w:r w:rsidRPr="00647D1D">
              <w:rPr>
                <w:rFonts w:ascii="Arial" w:hAnsi="Arial" w:cs="Arial"/>
                <w:b/>
                <w:lang w:val="fr-FR"/>
              </w:rPr>
              <w:t>000</w:t>
            </w:r>
          </w:p>
        </w:tc>
        <w:tc>
          <w:tcPr>
            <w:tcW w:w="1350" w:type="dxa"/>
            <w:tcBorders>
              <w:top w:val="single" w:sz="2" w:space="0" w:color="auto"/>
              <w:left w:val="single" w:sz="2" w:space="0" w:color="auto"/>
              <w:bottom w:val="single" w:sz="2" w:space="0" w:color="auto"/>
              <w:right w:val="single" w:sz="2" w:space="0" w:color="auto"/>
            </w:tcBorders>
          </w:tcPr>
          <w:p w:rsidR="007E58EF" w:rsidRPr="00647D1D" w:rsidP="005C75E5" w14:paraId="7EAD2A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w:t>
            </w:r>
          </w:p>
        </w:tc>
        <w:tc>
          <w:tcPr>
            <w:tcW w:w="1440" w:type="dxa"/>
            <w:tcBorders>
              <w:top w:val="single" w:sz="2" w:space="0" w:color="auto"/>
              <w:left w:val="single" w:sz="2" w:space="0" w:color="auto"/>
              <w:bottom w:val="single" w:sz="2" w:space="0" w:color="auto"/>
              <w:right w:val="single" w:sz="2" w:space="0" w:color="auto"/>
            </w:tcBorders>
          </w:tcPr>
          <w:p w:rsidR="007E58EF" w:rsidRPr="00647D1D" w:rsidP="005C75E5" w14:paraId="5448FE96" w14:textId="6C0FBB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rPr>
            </w:pPr>
            <w:r w:rsidRPr="00647D1D">
              <w:rPr>
                <w:rFonts w:ascii="Arial" w:hAnsi="Arial" w:cs="Arial"/>
                <w:b/>
                <w:lang w:val="fr-FR"/>
              </w:rPr>
              <w:t>1</w:t>
            </w:r>
            <w:r w:rsidR="00866EA7">
              <w:rPr>
                <w:rFonts w:ascii="Arial" w:hAnsi="Arial" w:cs="Arial"/>
                <w:b/>
                <w:lang w:val="fr-FR"/>
              </w:rPr>
              <w:t>,</w:t>
            </w:r>
            <w:r w:rsidRPr="00647D1D">
              <w:rPr>
                <w:rFonts w:ascii="Arial" w:hAnsi="Arial" w:cs="Arial"/>
                <w:b/>
                <w:lang w:val="fr-FR"/>
              </w:rPr>
              <w:t>400</w:t>
            </w:r>
          </w:p>
        </w:tc>
      </w:tr>
    </w:tbl>
    <w:p w:rsidR="00670ED7" w:rsidP="00C47A0D" w14:paraId="101A3187" w14:textId="49FA4E06">
      <w:pPr>
        <w:spacing w:after="240"/>
        <w:ind w:left="810" w:hanging="90"/>
        <w:rPr>
          <w:rFonts w:ascii="Arial" w:hAnsi="Arial" w:cs="Arial"/>
          <w:b/>
          <w:sz w:val="24"/>
        </w:rPr>
      </w:pPr>
      <w:r w:rsidRPr="00D971E3">
        <w:rPr>
          <w:rFonts w:ascii="Arial" w:hAnsi="Arial" w:cs="Arial"/>
          <w:vertAlign w:val="superscript"/>
        </w:rPr>
        <w:t>1</w:t>
      </w:r>
      <w:r w:rsidRPr="00D971E3">
        <w:rPr>
          <w:rFonts w:ascii="Arial" w:hAnsi="Arial" w:cs="Arial"/>
        </w:rPr>
        <w:t xml:space="preserve"> The 1,000 Standardized Work Plan (SWP) respondents reflects the number of new grant applications submitted annually. The 1,000 Quarterly Progress Update (QPU) respondents reflects the current volume of funded, active grants. </w:t>
      </w:r>
    </w:p>
    <w:p w:rsidR="004B6AC6" w:rsidRPr="00D149A6" w:rsidP="004360EE" w14:paraId="73BC1F54" w14:textId="44627473">
      <w:pPr>
        <w:widowControl/>
        <w:spacing w:before="120" w:after="240"/>
        <w:ind w:left="810"/>
        <w:rPr>
          <w:rFonts w:ascii="Arial" w:hAnsi="Arial" w:cs="Arial"/>
          <w:b/>
          <w:sz w:val="24"/>
        </w:rPr>
      </w:pPr>
      <w:r>
        <w:rPr>
          <w:rFonts w:ascii="Arial" w:hAnsi="Arial" w:cs="Arial"/>
          <w:b/>
          <w:sz w:val="24"/>
        </w:rPr>
        <w:t xml:space="preserve">12B. </w:t>
      </w:r>
      <w:r w:rsidRPr="00AC0FAC">
        <w:rPr>
          <w:rFonts w:ascii="Arial" w:hAnsi="Arial" w:cs="Arial"/>
          <w:sz w:val="24"/>
        </w:rPr>
        <w:t>Estimated</w:t>
      </w:r>
      <w:r w:rsidRPr="00AC0FAC" w:rsidR="00F62291">
        <w:rPr>
          <w:rFonts w:ascii="Arial" w:hAnsi="Arial" w:cs="Arial"/>
          <w:sz w:val="24"/>
        </w:rPr>
        <w:t xml:space="preserve"> Total Annual Burden Hours: 14</w:t>
      </w:r>
      <w:r w:rsidRPr="00AC0FAC" w:rsidR="00D149A6">
        <w:rPr>
          <w:rFonts w:ascii="Arial" w:hAnsi="Arial" w:cs="Arial"/>
          <w:sz w:val="24"/>
        </w:rPr>
        <w:t>00</w:t>
      </w:r>
    </w:p>
    <w:p w:rsidR="003B5449" w:rsidRPr="004360EE" w:rsidP="003B5449" w14:paraId="17E72799" w14:textId="7306EAE7">
      <w:pPr>
        <w:widowControl/>
        <w:spacing w:before="120"/>
        <w:ind w:left="720"/>
        <w:rPr>
          <w:rFonts w:ascii="Arial" w:hAnsi="Arial" w:cs="Arial"/>
          <w:b/>
          <w:sz w:val="24"/>
        </w:rPr>
      </w:pPr>
      <w:r w:rsidRPr="004360EE">
        <w:rPr>
          <w:rFonts w:ascii="Arial" w:hAnsi="Arial" w:cs="Arial"/>
          <w:b/>
          <w:sz w:val="24"/>
        </w:rPr>
        <w:t>Estimated Annualized Burden Costs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5"/>
        <w:gridCol w:w="2445"/>
        <w:gridCol w:w="1710"/>
        <w:gridCol w:w="2880"/>
      </w:tblGrid>
      <w:tr w14:paraId="397A785C" w14:textId="77777777" w:rsidTr="00F65E8D">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2415" w:type="dxa"/>
            <w:vAlign w:val="bottom"/>
          </w:tcPr>
          <w:p w:rsidR="003B5449" w:rsidRPr="004360EE" w:rsidP="004360EE" w14:paraId="19E6DA72" w14:textId="77777777">
            <w:pPr>
              <w:widowControl/>
              <w:jc w:val="center"/>
              <w:rPr>
                <w:rFonts w:ascii="Arial" w:hAnsi="Arial" w:cs="Arial"/>
                <w:b/>
                <w:bCs/>
                <w:szCs w:val="20"/>
              </w:rPr>
            </w:pPr>
            <w:r w:rsidRPr="004360EE">
              <w:rPr>
                <w:rFonts w:ascii="Arial" w:hAnsi="Arial" w:cs="Arial"/>
                <w:b/>
                <w:bCs/>
                <w:szCs w:val="20"/>
              </w:rPr>
              <w:t>Type of</w:t>
            </w:r>
          </w:p>
          <w:p w:rsidR="003B5449" w:rsidRPr="004360EE" w:rsidP="004360EE" w14:paraId="4FB242A8" w14:textId="7AF2498A">
            <w:pPr>
              <w:widowControl/>
              <w:jc w:val="center"/>
              <w:rPr>
                <w:rFonts w:ascii="Arial" w:hAnsi="Arial" w:cs="Arial"/>
                <w:b/>
                <w:bCs/>
                <w:szCs w:val="20"/>
              </w:rPr>
            </w:pPr>
            <w:r w:rsidRPr="004360EE">
              <w:rPr>
                <w:rFonts w:ascii="Arial" w:hAnsi="Arial" w:cs="Arial"/>
                <w:b/>
                <w:bCs/>
                <w:szCs w:val="20"/>
              </w:rPr>
              <w:t>Respondent</w:t>
            </w:r>
          </w:p>
        </w:tc>
        <w:tc>
          <w:tcPr>
            <w:tcW w:w="2445" w:type="dxa"/>
            <w:vAlign w:val="bottom"/>
          </w:tcPr>
          <w:p w:rsidR="003B5449" w:rsidRPr="004360EE" w:rsidP="004360EE" w14:paraId="04B416D4" w14:textId="77777777">
            <w:pPr>
              <w:widowControl/>
              <w:jc w:val="center"/>
              <w:rPr>
                <w:rFonts w:ascii="Arial" w:hAnsi="Arial" w:cs="Arial"/>
                <w:b/>
                <w:bCs/>
                <w:szCs w:val="20"/>
              </w:rPr>
            </w:pPr>
            <w:r w:rsidRPr="004360EE">
              <w:rPr>
                <w:rFonts w:ascii="Arial" w:hAnsi="Arial" w:cs="Arial"/>
                <w:b/>
                <w:bCs/>
                <w:szCs w:val="20"/>
              </w:rPr>
              <w:t>Total Burden</w:t>
            </w:r>
          </w:p>
          <w:p w:rsidR="003B5449" w:rsidRPr="004360EE" w:rsidP="004360EE" w14:paraId="23C610EE" w14:textId="40A6685A">
            <w:pPr>
              <w:widowControl/>
              <w:jc w:val="center"/>
              <w:rPr>
                <w:rFonts w:ascii="Arial" w:hAnsi="Arial" w:cs="Arial"/>
                <w:b/>
                <w:bCs/>
                <w:szCs w:val="20"/>
              </w:rPr>
            </w:pPr>
            <w:r w:rsidRPr="004360EE">
              <w:rPr>
                <w:rFonts w:ascii="Arial" w:hAnsi="Arial" w:cs="Arial"/>
                <w:b/>
                <w:bCs/>
                <w:szCs w:val="20"/>
              </w:rPr>
              <w:t>Hours</w:t>
            </w:r>
          </w:p>
        </w:tc>
        <w:tc>
          <w:tcPr>
            <w:tcW w:w="1710" w:type="dxa"/>
            <w:vAlign w:val="bottom"/>
          </w:tcPr>
          <w:p w:rsidR="003B5449" w:rsidRPr="004360EE" w:rsidP="004360EE" w14:paraId="0084435F" w14:textId="77777777">
            <w:pPr>
              <w:widowControl/>
              <w:jc w:val="center"/>
              <w:rPr>
                <w:rFonts w:ascii="Arial" w:hAnsi="Arial" w:cs="Arial"/>
                <w:b/>
                <w:bCs/>
                <w:szCs w:val="20"/>
              </w:rPr>
            </w:pPr>
            <w:r w:rsidRPr="004360EE">
              <w:rPr>
                <w:rFonts w:ascii="Arial" w:hAnsi="Arial" w:cs="Arial"/>
                <w:b/>
                <w:bCs/>
                <w:szCs w:val="20"/>
              </w:rPr>
              <w:t>Hourly</w:t>
            </w:r>
          </w:p>
          <w:p w:rsidR="003B5449" w:rsidRPr="004360EE" w:rsidP="004360EE" w14:paraId="7C411B0A" w14:textId="3996EC26">
            <w:pPr>
              <w:widowControl/>
              <w:jc w:val="center"/>
              <w:rPr>
                <w:rFonts w:ascii="Arial" w:hAnsi="Arial" w:cs="Arial"/>
                <w:b/>
                <w:bCs/>
                <w:szCs w:val="20"/>
              </w:rPr>
            </w:pPr>
            <w:r w:rsidRPr="004360EE">
              <w:rPr>
                <w:rFonts w:ascii="Arial" w:hAnsi="Arial" w:cs="Arial"/>
                <w:b/>
                <w:bCs/>
                <w:szCs w:val="20"/>
              </w:rPr>
              <w:t>Wage Rate</w:t>
            </w:r>
            <w:r w:rsidR="000D2518">
              <w:rPr>
                <w:rFonts w:ascii="Arial" w:hAnsi="Arial" w:cs="Arial"/>
                <w:b/>
                <w:bCs/>
                <w:szCs w:val="20"/>
              </w:rPr>
              <w:t xml:space="preserve"> (x2)</w:t>
            </w:r>
          </w:p>
        </w:tc>
        <w:tc>
          <w:tcPr>
            <w:tcW w:w="2880" w:type="dxa"/>
            <w:vAlign w:val="bottom"/>
          </w:tcPr>
          <w:p w:rsidR="003B5449" w:rsidRPr="004360EE" w:rsidP="004360EE" w14:paraId="5A278732" w14:textId="25B497BF">
            <w:pPr>
              <w:widowControl/>
              <w:jc w:val="center"/>
              <w:rPr>
                <w:rFonts w:ascii="Arial" w:hAnsi="Arial" w:cs="Arial"/>
                <w:b/>
                <w:bCs/>
                <w:szCs w:val="20"/>
              </w:rPr>
            </w:pPr>
            <w:r w:rsidRPr="004360EE">
              <w:rPr>
                <w:rFonts w:ascii="Arial" w:hAnsi="Arial" w:cs="Arial"/>
                <w:b/>
                <w:bCs/>
                <w:szCs w:val="20"/>
              </w:rPr>
              <w:t>Total Respondent Costs</w:t>
            </w:r>
          </w:p>
        </w:tc>
      </w:tr>
      <w:tr w14:paraId="19E7B524" w14:textId="77777777" w:rsidTr="00F65E8D">
        <w:tblPrEx>
          <w:tblW w:w="9450" w:type="dxa"/>
          <w:tblInd w:w="-5" w:type="dxa"/>
          <w:tblLook w:val="01E0"/>
        </w:tblPrEx>
        <w:tc>
          <w:tcPr>
            <w:tcW w:w="2415" w:type="dxa"/>
            <w:vAlign w:val="center"/>
          </w:tcPr>
          <w:p w:rsidR="003B5449" w:rsidRPr="004360EE" w:rsidP="00050336" w14:paraId="2A682A2E" w14:textId="4522146E">
            <w:pPr>
              <w:spacing w:before="120"/>
              <w:jc w:val="center"/>
              <w:rPr>
                <w:rFonts w:ascii="Arial" w:hAnsi="Arial" w:cs="Arial"/>
                <w:szCs w:val="20"/>
              </w:rPr>
            </w:pPr>
            <w:r w:rsidRPr="004360EE">
              <w:rPr>
                <w:rFonts w:ascii="Arial" w:hAnsi="Arial" w:cs="Arial"/>
                <w:szCs w:val="20"/>
              </w:rPr>
              <w:t>Grant Recipients</w:t>
            </w:r>
          </w:p>
        </w:tc>
        <w:tc>
          <w:tcPr>
            <w:tcW w:w="2445" w:type="dxa"/>
            <w:vAlign w:val="center"/>
          </w:tcPr>
          <w:p w:rsidR="003B5449" w:rsidRPr="004360EE" w:rsidP="00050336" w14:paraId="7926E87F" w14:textId="2008246F">
            <w:pPr>
              <w:spacing w:before="120"/>
              <w:jc w:val="center"/>
              <w:rPr>
                <w:rFonts w:ascii="Arial" w:hAnsi="Arial" w:cs="Arial"/>
                <w:szCs w:val="20"/>
              </w:rPr>
            </w:pPr>
            <w:r w:rsidRPr="004360EE">
              <w:rPr>
                <w:rFonts w:ascii="Arial" w:hAnsi="Arial" w:cs="Arial"/>
                <w:szCs w:val="20"/>
              </w:rPr>
              <w:t>1</w:t>
            </w:r>
            <w:r w:rsidR="00866EA7">
              <w:rPr>
                <w:rFonts w:ascii="Arial" w:hAnsi="Arial" w:cs="Arial"/>
                <w:szCs w:val="20"/>
              </w:rPr>
              <w:t>,</w:t>
            </w:r>
            <w:r w:rsidRPr="004360EE">
              <w:rPr>
                <w:rFonts w:ascii="Arial" w:hAnsi="Arial" w:cs="Arial"/>
                <w:szCs w:val="20"/>
              </w:rPr>
              <w:t>400</w:t>
            </w:r>
          </w:p>
        </w:tc>
        <w:tc>
          <w:tcPr>
            <w:tcW w:w="1710" w:type="dxa"/>
            <w:vAlign w:val="center"/>
          </w:tcPr>
          <w:p w:rsidR="003B5449" w:rsidRPr="004360EE" w14:paraId="64B23C68" w14:textId="6919A770">
            <w:pPr>
              <w:spacing w:before="120"/>
              <w:jc w:val="center"/>
              <w:rPr>
                <w:rFonts w:ascii="Arial" w:hAnsi="Arial" w:cs="Arial"/>
              </w:rPr>
            </w:pPr>
            <w:r>
              <w:rPr>
                <w:rFonts w:ascii="Arial" w:hAnsi="Arial" w:cs="Arial"/>
              </w:rPr>
              <w:t>$</w:t>
            </w:r>
            <w:r w:rsidR="000D2518">
              <w:rPr>
                <w:rFonts w:ascii="Arial" w:hAnsi="Arial" w:cs="Arial"/>
              </w:rPr>
              <w:t>91.70</w:t>
            </w:r>
            <w:r>
              <w:rPr>
                <w:rStyle w:val="FootnoteReference"/>
                <w:rFonts w:ascii="Arial" w:hAnsi="Arial" w:cs="Arial"/>
                <w:vertAlign w:val="superscript"/>
              </w:rPr>
              <w:footnoteReference w:id="3"/>
            </w:r>
          </w:p>
        </w:tc>
        <w:tc>
          <w:tcPr>
            <w:tcW w:w="2880" w:type="dxa"/>
            <w:vAlign w:val="center"/>
          </w:tcPr>
          <w:p w:rsidR="003B5449" w:rsidRPr="004360EE" w:rsidP="54C9370D" w14:paraId="24C44DC1" w14:textId="222B6BCE">
            <w:pPr>
              <w:spacing w:before="120"/>
              <w:jc w:val="center"/>
              <w:rPr>
                <w:rFonts w:ascii="Arial" w:hAnsi="Arial" w:cs="Arial"/>
              </w:rPr>
            </w:pPr>
            <w:r w:rsidRPr="54C9370D">
              <w:rPr>
                <w:rFonts w:ascii="Arial" w:hAnsi="Arial" w:cs="Arial"/>
              </w:rPr>
              <w:t>$</w:t>
            </w:r>
            <w:r w:rsidRPr="000D2518" w:rsidR="000D2518">
              <w:rPr>
                <w:rFonts w:ascii="Arial" w:hAnsi="Arial" w:cs="Arial"/>
              </w:rPr>
              <w:t>128,380</w:t>
            </w:r>
            <w:r w:rsidR="000D2518">
              <w:rPr>
                <w:rFonts w:ascii="Arial" w:hAnsi="Arial" w:cs="Arial"/>
              </w:rPr>
              <w:t>.00</w:t>
            </w:r>
          </w:p>
        </w:tc>
      </w:tr>
      <w:tr w14:paraId="348BAD1C" w14:textId="77777777" w:rsidTr="00F65E8D">
        <w:tblPrEx>
          <w:tblW w:w="9450" w:type="dxa"/>
          <w:tblInd w:w="-5" w:type="dxa"/>
          <w:tblLook w:val="01E0"/>
        </w:tblPrEx>
        <w:trPr>
          <w:trHeight w:val="440"/>
        </w:trPr>
        <w:tc>
          <w:tcPr>
            <w:tcW w:w="2415" w:type="dxa"/>
            <w:vAlign w:val="center"/>
          </w:tcPr>
          <w:p w:rsidR="000D2518" w:rsidRPr="004360EE" w:rsidP="000D2518" w14:paraId="27C099D7" w14:textId="77777777">
            <w:pPr>
              <w:widowControl/>
              <w:spacing w:before="120"/>
              <w:jc w:val="center"/>
              <w:rPr>
                <w:rFonts w:ascii="Arial" w:hAnsi="Arial" w:cs="Arial"/>
                <w:szCs w:val="20"/>
              </w:rPr>
            </w:pPr>
            <w:r w:rsidRPr="004360EE">
              <w:rPr>
                <w:rFonts w:ascii="Arial" w:hAnsi="Arial" w:cs="Arial"/>
                <w:szCs w:val="20"/>
              </w:rPr>
              <w:t>Total</w:t>
            </w:r>
          </w:p>
        </w:tc>
        <w:tc>
          <w:tcPr>
            <w:tcW w:w="2445" w:type="dxa"/>
            <w:vAlign w:val="center"/>
          </w:tcPr>
          <w:p w:rsidR="000D2518" w:rsidRPr="004360EE" w:rsidP="000D2518" w14:paraId="22DAA67F" w14:textId="3D9330F7">
            <w:pPr>
              <w:widowControl/>
              <w:spacing w:before="120"/>
              <w:jc w:val="center"/>
              <w:rPr>
                <w:rFonts w:ascii="Arial" w:hAnsi="Arial" w:cs="Arial"/>
                <w:szCs w:val="20"/>
              </w:rPr>
            </w:pPr>
            <w:r w:rsidRPr="004360EE">
              <w:rPr>
                <w:rFonts w:ascii="Arial" w:hAnsi="Arial" w:cs="Arial"/>
                <w:szCs w:val="20"/>
              </w:rPr>
              <w:t>1</w:t>
            </w:r>
            <w:r>
              <w:rPr>
                <w:rFonts w:ascii="Arial" w:hAnsi="Arial" w:cs="Arial"/>
                <w:szCs w:val="20"/>
              </w:rPr>
              <w:t>,</w:t>
            </w:r>
            <w:r w:rsidRPr="004360EE">
              <w:rPr>
                <w:rFonts w:ascii="Arial" w:hAnsi="Arial" w:cs="Arial"/>
                <w:szCs w:val="20"/>
              </w:rPr>
              <w:t>400</w:t>
            </w:r>
          </w:p>
        </w:tc>
        <w:tc>
          <w:tcPr>
            <w:tcW w:w="1710" w:type="dxa"/>
            <w:vAlign w:val="center"/>
          </w:tcPr>
          <w:p w:rsidR="000D2518" w:rsidRPr="004360EE" w:rsidP="000D2518" w14:paraId="3932245D" w14:textId="77777777">
            <w:pPr>
              <w:widowControl/>
              <w:spacing w:before="120"/>
              <w:jc w:val="center"/>
              <w:rPr>
                <w:rFonts w:ascii="Arial" w:hAnsi="Arial" w:cs="Arial"/>
                <w:szCs w:val="20"/>
              </w:rPr>
            </w:pPr>
          </w:p>
        </w:tc>
        <w:tc>
          <w:tcPr>
            <w:tcW w:w="2880" w:type="dxa"/>
            <w:vAlign w:val="center"/>
          </w:tcPr>
          <w:p w:rsidR="000D2518" w:rsidRPr="004360EE" w:rsidP="000D2518" w14:paraId="53A9CF89" w14:textId="5055C237">
            <w:pPr>
              <w:widowControl/>
              <w:spacing w:before="120"/>
              <w:jc w:val="center"/>
              <w:rPr>
                <w:rFonts w:ascii="Arial" w:hAnsi="Arial" w:cs="Arial"/>
              </w:rPr>
            </w:pPr>
            <w:r w:rsidRPr="54C9370D">
              <w:rPr>
                <w:rFonts w:ascii="Arial" w:hAnsi="Arial" w:cs="Arial"/>
              </w:rPr>
              <w:t>$</w:t>
            </w:r>
            <w:r w:rsidRPr="000D2518">
              <w:rPr>
                <w:rFonts w:ascii="Arial" w:hAnsi="Arial" w:cs="Arial"/>
              </w:rPr>
              <w:t>128,380</w:t>
            </w:r>
            <w:r>
              <w:rPr>
                <w:rFonts w:ascii="Arial" w:hAnsi="Arial" w:cs="Arial"/>
              </w:rPr>
              <w:t>.00</w:t>
            </w:r>
          </w:p>
        </w:tc>
      </w:tr>
    </w:tbl>
    <w:p w:rsidR="00D149A6" w:rsidRPr="00D149A6" w:rsidP="00D149A6" w14:paraId="2269185B" w14:textId="77777777">
      <w:pPr>
        <w:numPr>
          <w:ilvl w:val="0"/>
          <w:numId w:val="19"/>
        </w:numPr>
        <w:spacing w:before="24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4B6AC6" w:rsidRPr="00D149A6" w:rsidP="00D149A6" w14:paraId="34D80F5C" w14:textId="77777777">
      <w:pPr>
        <w:spacing w:before="240"/>
        <w:ind w:left="720"/>
        <w:rPr>
          <w:rFonts w:ascii="Arial" w:hAnsi="Arial" w:cs="Arial"/>
          <w:sz w:val="24"/>
        </w:rPr>
      </w:pPr>
      <w:r w:rsidRPr="00D149A6">
        <w:rPr>
          <w:rFonts w:ascii="Arial" w:hAnsi="Arial" w:cs="Arial"/>
          <w:sz w:val="24"/>
        </w:rPr>
        <w:t>Other than their time, t</w:t>
      </w:r>
      <w:r w:rsidRPr="00D149A6" w:rsidR="00D149A6">
        <w:rPr>
          <w:rFonts w:ascii="Arial" w:hAnsi="Arial" w:cs="Arial"/>
          <w:sz w:val="24"/>
        </w:rPr>
        <w:t>here is no cost to respondents.</w:t>
      </w:r>
    </w:p>
    <w:p w:rsidR="004B6AC6" w:rsidRPr="00C45431" w:rsidP="00D149A6" w14:paraId="5FD20E04" w14:textId="77777777">
      <w:pPr>
        <w:numPr>
          <w:ilvl w:val="0"/>
          <w:numId w:val="19"/>
        </w:numPr>
        <w:spacing w:before="240"/>
        <w:rPr>
          <w:rFonts w:ascii="Arial" w:hAnsi="Arial" w:cs="Arial"/>
          <w:b/>
          <w:sz w:val="24"/>
        </w:rPr>
      </w:pPr>
      <w:r w:rsidRPr="00C45431">
        <w:rPr>
          <w:rFonts w:ascii="Arial" w:hAnsi="Arial" w:cs="Arial"/>
          <w:b/>
          <w:sz w:val="24"/>
          <w:u w:val="single"/>
        </w:rPr>
        <w:t>Annualized Cost to Federal Government</w:t>
      </w:r>
    </w:p>
    <w:p w:rsidR="004F3B25" w:rsidP="00D971E3" w14:paraId="48703296" w14:textId="00067E9E">
      <w:pPr>
        <w:pStyle w:val="BodyTextIndent"/>
        <w:spacing w:before="120" w:after="240"/>
        <w:rPr>
          <w:rFonts w:ascii="Arial" w:hAnsi="Arial" w:cs="Arial"/>
        </w:rPr>
      </w:pPr>
      <w:r w:rsidRPr="39C548A6">
        <w:rPr>
          <w:rFonts w:ascii="Arial" w:hAnsi="Arial" w:cs="Arial"/>
        </w:rPr>
        <w:t>An estimated 0.1 FTE at the GS 11 Step 9 level is needed to serve as the coordinator for data evaluation and to provide technical assistance to grantees regarding the data collection process and subsequent evaluation at an estimated cost of $</w:t>
      </w:r>
      <w:r w:rsidRPr="000D2518" w:rsidR="000D2518">
        <w:rPr>
          <w:rFonts w:ascii="Arial" w:hAnsi="Arial" w:cs="Arial"/>
        </w:rPr>
        <w:t>14,931.9</w:t>
      </w:r>
      <w:r w:rsidR="000D2518">
        <w:rPr>
          <w:rFonts w:ascii="Arial" w:hAnsi="Arial" w:cs="Arial"/>
        </w:rPr>
        <w:t>0</w:t>
      </w:r>
      <w:r w:rsidRPr="39C548A6">
        <w:rPr>
          <w:rFonts w:ascii="Arial" w:hAnsi="Arial" w:cs="Arial"/>
        </w:rPr>
        <w:t xml:space="preserve"> annually.</w:t>
      </w:r>
      <w:r w:rsidRPr="000D2518" w:rsidR="000D2518">
        <w:rPr>
          <w:rStyle w:val="FootnoteReference"/>
          <w:rFonts w:ascii="Arial" w:hAnsi="Arial" w:cs="Arial"/>
          <w:sz w:val="20"/>
          <w:vertAlign w:val="superscript"/>
        </w:rPr>
        <w:t xml:space="preserve"> </w:t>
      </w:r>
      <w:r>
        <w:rPr>
          <w:rStyle w:val="FootnoteReference"/>
          <w:rFonts w:ascii="Arial" w:hAnsi="Arial" w:cs="Arial"/>
          <w:sz w:val="20"/>
          <w:vertAlign w:val="superscript"/>
        </w:rPr>
        <w:footnoteReference w:id="4"/>
      </w:r>
    </w:p>
    <w:p w:rsidR="004B6AC6" w:rsidRPr="00D149A6" w:rsidP="00D971E3" w14:paraId="3A90E5CF" w14:textId="77777777">
      <w:pPr>
        <w:pStyle w:val="BodyTextIndent"/>
        <w:numPr>
          <w:ilvl w:val="0"/>
          <w:numId w:val="19"/>
        </w:numPr>
        <w:spacing w:before="120" w:after="240"/>
        <w:rPr>
          <w:rFonts w:ascii="Arial" w:hAnsi="Arial" w:cs="Arial"/>
        </w:rPr>
      </w:pPr>
      <w:r w:rsidRPr="00C45431">
        <w:rPr>
          <w:rFonts w:ascii="Arial" w:hAnsi="Arial" w:cs="Arial"/>
          <w:b/>
          <w:u w:val="single"/>
        </w:rPr>
        <w:t>Explanation for Program Changes or Adjustments</w:t>
      </w:r>
    </w:p>
    <w:p w:rsidR="00807A0F" w:rsidP="000E1074" w14:paraId="63CD0552" w14:textId="03CCCB7A">
      <w:pPr>
        <w:pStyle w:val="BodyTextIndent"/>
        <w:rPr>
          <w:rFonts w:ascii="Arial" w:hAnsi="Arial" w:cs="Arial"/>
        </w:rPr>
      </w:pPr>
      <w:r w:rsidRPr="6452BE15">
        <w:rPr>
          <w:rFonts w:ascii="Arial" w:hAnsi="Arial" w:cs="Arial"/>
        </w:rPr>
        <w:t>The current burden inventory is 1,</w:t>
      </w:r>
      <w:r w:rsidR="00172119">
        <w:rPr>
          <w:rFonts w:ascii="Arial" w:hAnsi="Arial" w:cs="Arial"/>
        </w:rPr>
        <w:t>4</w:t>
      </w:r>
      <w:r w:rsidRPr="6452BE15">
        <w:rPr>
          <w:rFonts w:ascii="Arial" w:hAnsi="Arial" w:cs="Arial"/>
        </w:rPr>
        <w:t>00 hours and this request is for 1,400 hours.</w:t>
      </w:r>
      <w:r w:rsidRPr="6452BE15" w:rsidR="50A4F846">
        <w:rPr>
          <w:rFonts w:ascii="Arial" w:hAnsi="Arial" w:cs="Arial"/>
        </w:rPr>
        <w:t xml:space="preserve"> There are no proposed changes.</w:t>
      </w:r>
      <w:r w:rsidRPr="6452BE15">
        <w:rPr>
          <w:rFonts w:ascii="Arial" w:hAnsi="Arial" w:cs="Arial"/>
        </w:rPr>
        <w:t xml:space="preserve">    </w:t>
      </w:r>
    </w:p>
    <w:p w:rsidR="007B2464" w:rsidP="00D971E3" w14:paraId="56538ECC" w14:textId="77777777">
      <w:pPr>
        <w:numPr>
          <w:ilvl w:val="0"/>
          <w:numId w:val="19"/>
        </w:numPr>
        <w:spacing w:before="240"/>
        <w:rPr>
          <w:rFonts w:ascii="Arial" w:hAnsi="Arial" w:cs="Arial"/>
          <w:b/>
          <w:sz w:val="24"/>
        </w:rPr>
      </w:pPr>
      <w:r w:rsidRPr="00C45431">
        <w:rPr>
          <w:rFonts w:ascii="Arial" w:hAnsi="Arial" w:cs="Arial"/>
          <w:b/>
          <w:sz w:val="24"/>
          <w:u w:val="single"/>
        </w:rPr>
        <w:t>Plans for Tabulation, Publication, and Project Time Schedule</w:t>
      </w:r>
    </w:p>
    <w:p w:rsidR="007B2464" w:rsidP="6452BE15" w14:paraId="59A7C6A4" w14:textId="1F2930E1">
      <w:pPr>
        <w:spacing w:before="120"/>
        <w:ind w:left="720"/>
        <w:rPr>
          <w:rFonts w:ascii="Arial" w:hAnsi="Arial" w:cs="Arial"/>
          <w:sz w:val="24"/>
        </w:rPr>
      </w:pPr>
      <w:r w:rsidRPr="6452BE15">
        <w:rPr>
          <w:rFonts w:ascii="Arial" w:hAnsi="Arial" w:cs="Arial"/>
          <w:sz w:val="24"/>
        </w:rPr>
        <w:t xml:space="preserve">The </w:t>
      </w:r>
      <w:r w:rsidRPr="6452BE15" w:rsidR="00275905">
        <w:rPr>
          <w:rFonts w:ascii="Arial" w:hAnsi="Arial" w:cs="Arial"/>
          <w:sz w:val="24"/>
        </w:rPr>
        <w:t>QPU</w:t>
      </w:r>
      <w:r w:rsidRPr="6452BE15">
        <w:rPr>
          <w:rFonts w:ascii="Arial" w:hAnsi="Arial" w:cs="Arial"/>
          <w:sz w:val="24"/>
        </w:rPr>
        <w:t xml:space="preserve"> form </w:t>
      </w:r>
      <w:r w:rsidRPr="6452BE15" w:rsidR="17D43E3D">
        <w:rPr>
          <w:rFonts w:ascii="Arial" w:hAnsi="Arial" w:cs="Arial"/>
          <w:sz w:val="24"/>
        </w:rPr>
        <w:t xml:space="preserve">is made </w:t>
      </w:r>
      <w:r w:rsidRPr="6452BE15">
        <w:rPr>
          <w:rFonts w:ascii="Arial" w:hAnsi="Arial" w:cs="Arial"/>
          <w:sz w:val="24"/>
        </w:rPr>
        <w:t>available on</w:t>
      </w:r>
      <w:r w:rsidRPr="6452BE15" w:rsidR="00275905">
        <w:rPr>
          <w:rFonts w:ascii="Arial" w:hAnsi="Arial" w:cs="Arial"/>
          <w:sz w:val="24"/>
        </w:rPr>
        <w:t xml:space="preserve"> HRSA’s</w:t>
      </w:r>
      <w:r w:rsidR="00CD12C3">
        <w:rPr>
          <w:rFonts w:ascii="Arial" w:hAnsi="Arial" w:cs="Arial"/>
          <w:sz w:val="24"/>
        </w:rPr>
        <w:t xml:space="preserve"> EHBs</w:t>
      </w:r>
      <w:r w:rsidRPr="6452BE15" w:rsidR="00275905">
        <w:rPr>
          <w:rFonts w:ascii="Arial" w:hAnsi="Arial" w:cs="Arial"/>
          <w:sz w:val="24"/>
        </w:rPr>
        <w:t>, an award and program management system used by HRSA and its award recipients.</w:t>
      </w:r>
      <w:r w:rsidRPr="6452BE15" w:rsidR="2B7A103F">
        <w:rPr>
          <w:rFonts w:ascii="Arial" w:hAnsi="Arial" w:cs="Arial"/>
          <w:sz w:val="24"/>
        </w:rPr>
        <w:t xml:space="preserve"> This extension maintains the current schedule with no changes.</w:t>
      </w:r>
    </w:p>
    <w:p w:rsidR="004B6AC6" w:rsidRPr="00C45431" w:rsidP="00D149A6" w14:paraId="02F3FC3A" w14:textId="77777777">
      <w:pPr>
        <w:numPr>
          <w:ilvl w:val="0"/>
          <w:numId w:val="19"/>
        </w:numPr>
        <w:spacing w:before="240"/>
        <w:rPr>
          <w:rFonts w:ascii="Arial" w:hAnsi="Arial" w:cs="Arial"/>
          <w:b/>
          <w:sz w:val="24"/>
        </w:rPr>
      </w:pPr>
      <w:r w:rsidRPr="00C45431">
        <w:rPr>
          <w:rFonts w:ascii="Arial" w:hAnsi="Arial" w:cs="Arial"/>
          <w:b/>
          <w:sz w:val="24"/>
          <w:u w:val="single"/>
        </w:rPr>
        <w:t>Reason(s) Display of OMB Expiration Date is Inappropriate</w:t>
      </w:r>
    </w:p>
    <w:p w:rsidR="00807A0F" w:rsidRPr="00807A0F" w:rsidP="00275905" w14:paraId="3839BC10" w14:textId="516CBA2A">
      <w:pPr>
        <w:pStyle w:val="BodyTextIndent"/>
        <w:spacing w:before="120"/>
        <w:rPr>
          <w:rFonts w:ascii="Arial" w:hAnsi="Arial" w:cs="Arial"/>
          <w:b/>
        </w:rPr>
      </w:pPr>
      <w:r>
        <w:rPr>
          <w:rFonts w:ascii="Arial" w:hAnsi="Arial" w:cs="Arial"/>
        </w:rPr>
        <w:t>The OMB number and Expiration date will be displayed on every page of every form/instrument.</w:t>
      </w:r>
    </w:p>
    <w:p w:rsidR="004B6AC6" w:rsidRPr="00C45431" w:rsidP="00394986" w14:paraId="19F08EBA" w14:textId="77777777">
      <w:pPr>
        <w:numPr>
          <w:ilvl w:val="0"/>
          <w:numId w:val="19"/>
        </w:numPr>
        <w:spacing w:before="240"/>
        <w:rPr>
          <w:rFonts w:ascii="Arial" w:hAnsi="Arial" w:cs="Arial"/>
          <w:b/>
          <w:sz w:val="24"/>
        </w:rPr>
      </w:pPr>
      <w:r w:rsidRPr="00C45431">
        <w:rPr>
          <w:rFonts w:ascii="Arial" w:hAnsi="Arial" w:cs="Arial"/>
          <w:b/>
          <w:sz w:val="24"/>
          <w:u w:val="single"/>
        </w:rPr>
        <w:t>Exceptions to Certification for Paperwork Reduction Act Submissions</w:t>
      </w:r>
    </w:p>
    <w:p w:rsidR="00807A0F" w14:paraId="68AC7383" w14:textId="77777777">
      <w:pPr>
        <w:rPr>
          <w:rFonts w:ascii="Arial" w:hAnsi="Arial" w:cs="Arial"/>
          <w:sz w:val="24"/>
        </w:rPr>
      </w:pPr>
    </w:p>
    <w:p w:rsidR="00394986" w:rsidRPr="00394986" w:rsidP="00D971E3" w14:paraId="1609012B" w14:textId="645558F3">
      <w:pPr>
        <w:ind w:left="720"/>
        <w:rPr>
          <w:rFonts w:ascii="Arial" w:hAnsi="Arial" w:cs="Arial"/>
          <w:sz w:val="24"/>
        </w:rPr>
      </w:pPr>
      <w:r w:rsidRPr="00807A0F">
        <w:rPr>
          <w:rFonts w:ascii="Arial" w:hAnsi="Arial" w:cs="Arial"/>
          <w:sz w:val="24"/>
        </w:rPr>
        <w:t>There are no exceptions to the certification.</w:t>
      </w:r>
    </w:p>
    <w:sectPr w:rsidSect="00C35798">
      <w:footerReference w:type="default" r:id="rId10"/>
      <w:endnotePr>
        <w:numFmt w:val="decimal"/>
      </w:endnotePr>
      <w:pgSz w:w="12240" w:h="15840"/>
      <w:pgMar w:top="1440" w:right="1440" w:bottom="1440" w:left="1440" w:header="144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1A16A03F" w14:textId="77777777">
    <w:pPr>
      <w:spacing w:line="240" w:lineRule="exact"/>
    </w:pPr>
  </w:p>
  <w:p w:rsidR="00D92E1D" w:rsidRPr="00C35798" w14:paraId="710E3E5E" w14:textId="78FC125E">
    <w:pPr>
      <w:framePr w:w="9361" w:wrap="notBeside" w:vAnchor="text" w:hAnchor="text" w:x="1" w:y="1"/>
      <w:jc w:val="center"/>
      <w:rPr>
        <w:rFonts w:ascii="Arial" w:hAnsi="Arial" w:cs="Arial"/>
        <w:sz w:val="24"/>
      </w:rPr>
    </w:pPr>
    <w:r w:rsidRPr="00C35798">
      <w:rPr>
        <w:rFonts w:ascii="Arial" w:hAnsi="Arial" w:cs="Arial"/>
        <w:sz w:val="24"/>
      </w:rPr>
      <w:fldChar w:fldCharType="begin"/>
    </w:r>
    <w:r w:rsidRPr="00C35798">
      <w:rPr>
        <w:rFonts w:ascii="Arial" w:hAnsi="Arial" w:cs="Arial"/>
        <w:sz w:val="24"/>
      </w:rPr>
      <w:instrText xml:space="preserve">PAGE </w:instrText>
    </w:r>
    <w:r w:rsidRPr="00C35798">
      <w:rPr>
        <w:rFonts w:ascii="Arial" w:hAnsi="Arial" w:cs="Arial"/>
        <w:sz w:val="24"/>
      </w:rPr>
      <w:fldChar w:fldCharType="separate"/>
    </w:r>
    <w:r w:rsidR="00670ED7">
      <w:rPr>
        <w:rFonts w:ascii="Arial" w:hAnsi="Arial" w:cs="Arial"/>
        <w:noProof/>
        <w:sz w:val="24"/>
      </w:rPr>
      <w:t>5</w:t>
    </w:r>
    <w:r w:rsidRPr="00C35798">
      <w:rPr>
        <w:rFonts w:ascii="Arial" w:hAnsi="Arial" w:cs="Arial"/>
        <w:sz w:val="24"/>
      </w:rPr>
      <w:fldChar w:fldCharType="end"/>
    </w:r>
  </w:p>
  <w:p w:rsidR="00D92E1D" w14:paraId="4A7B7FCE"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1CAE" w14:paraId="0033CD78" w14:textId="77777777">
      <w:r>
        <w:separator/>
      </w:r>
    </w:p>
  </w:footnote>
  <w:footnote w:type="continuationSeparator" w:id="1">
    <w:p w:rsidR="00E61CAE" w14:paraId="5B768042" w14:textId="77777777">
      <w:r>
        <w:continuationSeparator/>
      </w:r>
    </w:p>
  </w:footnote>
  <w:footnote w:type="continuationNotice" w:id="2">
    <w:p w:rsidR="00E61CAE" w14:paraId="1F1B6BB2" w14:textId="77777777"/>
  </w:footnote>
  <w:footnote w:id="3">
    <w:p w:rsidR="00C47A0D" w:rsidP="00C47A0D" w14:paraId="54327397" w14:textId="29EAA2A1">
      <w:pPr>
        <w:pStyle w:val="FootnoteText"/>
      </w:pPr>
      <w:r w:rsidRPr="001D5809">
        <w:rPr>
          <w:rStyle w:val="FootnoteReference"/>
          <w:rFonts w:ascii="Arial" w:hAnsi="Arial" w:cs="Arial"/>
          <w:vertAlign w:val="superscript"/>
        </w:rPr>
        <w:footnoteRef/>
      </w:r>
      <w:r w:rsidRPr="00E20927">
        <w:rPr>
          <w:rFonts w:ascii="Arial" w:hAnsi="Arial" w:cs="Arial"/>
        </w:rPr>
        <w:t xml:space="preserve"> </w:t>
      </w:r>
      <w:r w:rsidRPr="00D971E3" w:rsidR="00F420BB">
        <w:rPr>
          <w:rFonts w:ascii="Arial" w:hAnsi="Arial" w:cs="Arial"/>
        </w:rPr>
        <w:t xml:space="preserve">The annualized burden costs for recipients </w:t>
      </w:r>
      <w:r w:rsidRPr="00D971E3" w:rsidR="00F420BB">
        <w:rPr>
          <w:rFonts w:ascii="Arial" w:hAnsi="Arial" w:cs="Arial"/>
        </w:rPr>
        <w:t>is</w:t>
      </w:r>
      <w:r w:rsidRPr="00D971E3" w:rsidR="00F420BB">
        <w:rPr>
          <w:rFonts w:ascii="Arial" w:hAnsi="Arial" w:cs="Arial"/>
        </w:rPr>
        <w:t xml:space="preserve"> based on the May 2022 National Occupational Employment and Wage Estimates </w:t>
      </w:r>
      <w:r w:rsidRPr="4EF784C8" w:rsidR="00F420BB">
        <w:rPr>
          <w:rFonts w:ascii="Arial" w:hAnsi="Arial" w:cs="Arial"/>
        </w:rPr>
        <w:t xml:space="preserve">(for Project Management Specialists) </w:t>
      </w:r>
      <w:r w:rsidRPr="00D971E3" w:rsidR="00F420BB">
        <w:rPr>
          <w:rFonts w:ascii="Arial" w:hAnsi="Arial" w:cs="Arial"/>
        </w:rPr>
        <w:t xml:space="preserve">by the Bureau of Labor Statistics. </w:t>
      </w:r>
      <w:hyperlink r:id="rId1" w:history="1">
        <w:r w:rsidRPr="002A0CCF" w:rsidR="00F420BB">
          <w:rPr>
            <w:rStyle w:val="Hyperlink"/>
            <w:rFonts w:ascii="Arial" w:hAnsi="Arial" w:cs="Arial"/>
          </w:rPr>
          <w:t>https://www.bls.gov/oes/current/oes131082.htm</w:t>
        </w:r>
      </w:hyperlink>
      <w:r w:rsidR="000D2518">
        <w:rPr>
          <w:rStyle w:val="Hyperlink"/>
          <w:rFonts w:ascii="Arial" w:hAnsi="Arial" w:cs="Arial"/>
        </w:rPr>
        <w:t>.</w:t>
      </w:r>
      <w:r w:rsidR="00F420BB">
        <w:rPr>
          <w:rFonts w:ascii="Arial" w:hAnsi="Arial" w:cs="Arial"/>
        </w:rPr>
        <w:t xml:space="preserve"> </w:t>
      </w:r>
      <w:r w:rsidR="000D2518">
        <w:rPr>
          <w:rFonts w:ascii="Arial" w:hAnsi="Arial" w:cs="Arial"/>
        </w:rPr>
        <w:t>The median hourly wage of $45.85 has been multiplied by 2 to account for overhead costs.</w:t>
      </w:r>
    </w:p>
  </w:footnote>
  <w:footnote w:id="4">
    <w:p w:rsidR="000D2518" w:rsidP="000D2518" w14:paraId="416872D8" w14:textId="3760B7D5">
      <w:pPr>
        <w:pStyle w:val="BodyTextIndent"/>
        <w:spacing w:before="120"/>
        <w:ind w:left="0"/>
        <w:rPr>
          <w:rFonts w:ascii="Arial" w:hAnsi="Arial" w:cs="Arial"/>
        </w:rPr>
      </w:pPr>
      <w:r w:rsidRPr="00E3232D">
        <w:rPr>
          <w:rStyle w:val="FootnoteReference"/>
          <w:rFonts w:ascii="Arial" w:hAnsi="Arial" w:cs="Arial"/>
          <w:sz w:val="20"/>
          <w:szCs w:val="20"/>
          <w:vertAlign w:val="superscript"/>
        </w:rPr>
        <w:footnoteRef/>
      </w:r>
      <w:r w:rsidRPr="00E20927">
        <w:rPr>
          <w:rStyle w:val="FootnoteReference"/>
          <w:rFonts w:ascii="Arial" w:hAnsi="Arial" w:cs="Arial"/>
          <w:sz w:val="20"/>
          <w:szCs w:val="20"/>
        </w:rPr>
        <w:t xml:space="preserve"> </w:t>
      </w:r>
      <w:hyperlink r:id="rId2" w:history="1">
        <w:r w:rsidRPr="00936D30">
          <w:rPr>
            <w:rStyle w:val="Hyperlink"/>
            <w:rFonts w:ascii="Arial" w:hAnsi="Arial" w:cs="Arial"/>
            <w:sz w:val="20"/>
            <w:szCs w:val="20"/>
          </w:rPr>
          <w:t>https://www.opm.gov/policy-data-oversight/pay-leave/salaries-wages/salary-tables/pdf/2023/DCB.pdf</w:t>
        </w:r>
      </w:hyperlink>
      <w:r>
        <w:rPr>
          <w:rFonts w:ascii="Arial" w:hAnsi="Arial" w:cs="Arial"/>
          <w:sz w:val="20"/>
          <w:szCs w:val="20"/>
        </w:rPr>
        <w:t xml:space="preserve">.  The cost of 0.1 FTE at the GS 11, Step 9 level is $9,954.60, which was multiplied by 1.5 to account for overhead costs. </w:t>
      </w:r>
    </w:p>
    <w:p w:rsidR="000D2518" w:rsidP="000D2518" w14:paraId="5F0AAB13"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23AD6EB5"/>
    <w:multiLevelType w:val="hybridMultilevel"/>
    <w:tmpl w:val="50E60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63667C4"/>
    <w:multiLevelType w:val="hybridMultilevel"/>
    <w:tmpl w:val="9FEA47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3D215B53"/>
    <w:multiLevelType w:val="hybridMultilevel"/>
    <w:tmpl w:val="B21212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89664A3"/>
    <w:multiLevelType w:val="hybridMultilevel"/>
    <w:tmpl w:val="144617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CC03765"/>
    <w:multiLevelType w:val="hybridMultilevel"/>
    <w:tmpl w:val="4446AC3A"/>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2043706211">
    <w:abstractNumId w:val="9"/>
  </w:num>
  <w:num w:numId="2" w16cid:durableId="1201699852">
    <w:abstractNumId w:val="10"/>
  </w:num>
  <w:num w:numId="3" w16cid:durableId="852300409">
    <w:abstractNumId w:val="2"/>
  </w:num>
  <w:num w:numId="4" w16cid:durableId="1410538253">
    <w:abstractNumId w:val="0"/>
  </w:num>
  <w:num w:numId="5" w16cid:durableId="477068728">
    <w:abstractNumId w:val="16"/>
  </w:num>
  <w:num w:numId="6" w16cid:durableId="1332609268">
    <w:abstractNumId w:val="14"/>
  </w:num>
  <w:num w:numId="7" w16cid:durableId="767971248">
    <w:abstractNumId w:val="15"/>
  </w:num>
  <w:num w:numId="8" w16cid:durableId="76365645">
    <w:abstractNumId w:val="20"/>
  </w:num>
  <w:num w:numId="9" w16cid:durableId="1380395745">
    <w:abstractNumId w:val="19"/>
  </w:num>
  <w:num w:numId="10" w16cid:durableId="1706901326">
    <w:abstractNumId w:val="1"/>
  </w:num>
  <w:num w:numId="11" w16cid:durableId="179047348">
    <w:abstractNumId w:val="6"/>
  </w:num>
  <w:num w:numId="12" w16cid:durableId="686566381">
    <w:abstractNumId w:val="18"/>
  </w:num>
  <w:num w:numId="13" w16cid:durableId="1620186976">
    <w:abstractNumId w:val="17"/>
  </w:num>
  <w:num w:numId="14" w16cid:durableId="1766656183">
    <w:abstractNumId w:val="12"/>
  </w:num>
  <w:num w:numId="15" w16cid:durableId="1201480482">
    <w:abstractNumId w:val="3"/>
  </w:num>
  <w:num w:numId="16" w16cid:durableId="1609391246">
    <w:abstractNumId w:val="13"/>
  </w:num>
  <w:num w:numId="17" w16cid:durableId="534082669">
    <w:abstractNumId w:val="8"/>
  </w:num>
  <w:num w:numId="18" w16cid:durableId="384913524">
    <w:abstractNumId w:val="7"/>
  </w:num>
  <w:num w:numId="19" w16cid:durableId="1920558986">
    <w:abstractNumId w:val="11"/>
  </w:num>
  <w:num w:numId="20" w16cid:durableId="1838154989">
    <w:abstractNumId w:val="4"/>
  </w:num>
  <w:num w:numId="21" w16cid:durableId="232546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C6"/>
    <w:rsid w:val="000031CF"/>
    <w:rsid w:val="00033B73"/>
    <w:rsid w:val="00050336"/>
    <w:rsid w:val="00057FC3"/>
    <w:rsid w:val="00071FD0"/>
    <w:rsid w:val="00072452"/>
    <w:rsid w:val="000858F8"/>
    <w:rsid w:val="000877BA"/>
    <w:rsid w:val="00092358"/>
    <w:rsid w:val="00094AAD"/>
    <w:rsid w:val="000A0E8D"/>
    <w:rsid w:val="000A5816"/>
    <w:rsid w:val="000B52C6"/>
    <w:rsid w:val="000D2518"/>
    <w:rsid w:val="000D67F3"/>
    <w:rsid w:val="000E1074"/>
    <w:rsid w:val="000F2E40"/>
    <w:rsid w:val="001004CA"/>
    <w:rsid w:val="00102BEC"/>
    <w:rsid w:val="001034A7"/>
    <w:rsid w:val="00130FB0"/>
    <w:rsid w:val="00133A71"/>
    <w:rsid w:val="001560FA"/>
    <w:rsid w:val="00170AB8"/>
    <w:rsid w:val="00172119"/>
    <w:rsid w:val="00180876"/>
    <w:rsid w:val="001844BF"/>
    <w:rsid w:val="001A77D5"/>
    <w:rsid w:val="001F5729"/>
    <w:rsid w:val="00204C04"/>
    <w:rsid w:val="00206894"/>
    <w:rsid w:val="00211441"/>
    <w:rsid w:val="00242FEA"/>
    <w:rsid w:val="00250696"/>
    <w:rsid w:val="00275905"/>
    <w:rsid w:val="0029079A"/>
    <w:rsid w:val="00297E0A"/>
    <w:rsid w:val="002A0CCF"/>
    <w:rsid w:val="002A20B7"/>
    <w:rsid w:val="002A4849"/>
    <w:rsid w:val="002F38ED"/>
    <w:rsid w:val="002F6C81"/>
    <w:rsid w:val="00317B89"/>
    <w:rsid w:val="00336116"/>
    <w:rsid w:val="003510E8"/>
    <w:rsid w:val="003834CB"/>
    <w:rsid w:val="00387F41"/>
    <w:rsid w:val="00394986"/>
    <w:rsid w:val="003B5449"/>
    <w:rsid w:val="003D119D"/>
    <w:rsid w:val="003D42CD"/>
    <w:rsid w:val="003E5877"/>
    <w:rsid w:val="003F6B90"/>
    <w:rsid w:val="0041589B"/>
    <w:rsid w:val="004360EE"/>
    <w:rsid w:val="004471DA"/>
    <w:rsid w:val="0045308D"/>
    <w:rsid w:val="00464CD9"/>
    <w:rsid w:val="00467C49"/>
    <w:rsid w:val="004703D2"/>
    <w:rsid w:val="00472F1B"/>
    <w:rsid w:val="004933D0"/>
    <w:rsid w:val="004B04F8"/>
    <w:rsid w:val="004B0540"/>
    <w:rsid w:val="004B153E"/>
    <w:rsid w:val="004B5E06"/>
    <w:rsid w:val="004B6AC6"/>
    <w:rsid w:val="004C5E6C"/>
    <w:rsid w:val="004D2928"/>
    <w:rsid w:val="004D3A2E"/>
    <w:rsid w:val="004E6373"/>
    <w:rsid w:val="004F0637"/>
    <w:rsid w:val="004F3B25"/>
    <w:rsid w:val="004F4E30"/>
    <w:rsid w:val="00502672"/>
    <w:rsid w:val="00503EE7"/>
    <w:rsid w:val="005300FB"/>
    <w:rsid w:val="005339DC"/>
    <w:rsid w:val="00542D8F"/>
    <w:rsid w:val="00565411"/>
    <w:rsid w:val="0057319F"/>
    <w:rsid w:val="00574444"/>
    <w:rsid w:val="005A24B1"/>
    <w:rsid w:val="005B2249"/>
    <w:rsid w:val="005C13FA"/>
    <w:rsid w:val="005C1F2F"/>
    <w:rsid w:val="005C296A"/>
    <w:rsid w:val="005C75E5"/>
    <w:rsid w:val="00606773"/>
    <w:rsid w:val="006112F9"/>
    <w:rsid w:val="00612DB9"/>
    <w:rsid w:val="00614190"/>
    <w:rsid w:val="006426BC"/>
    <w:rsid w:val="00647D1D"/>
    <w:rsid w:val="00653D33"/>
    <w:rsid w:val="00655708"/>
    <w:rsid w:val="00665727"/>
    <w:rsid w:val="00670ED7"/>
    <w:rsid w:val="0067282F"/>
    <w:rsid w:val="00675A32"/>
    <w:rsid w:val="006A67FC"/>
    <w:rsid w:val="006A6D2D"/>
    <w:rsid w:val="006C37D3"/>
    <w:rsid w:val="006C52FC"/>
    <w:rsid w:val="006D4619"/>
    <w:rsid w:val="006D6DA5"/>
    <w:rsid w:val="006D7C84"/>
    <w:rsid w:val="00725E7E"/>
    <w:rsid w:val="00727023"/>
    <w:rsid w:val="00762EC6"/>
    <w:rsid w:val="00773332"/>
    <w:rsid w:val="00782454"/>
    <w:rsid w:val="0078321D"/>
    <w:rsid w:val="007A70DF"/>
    <w:rsid w:val="007B2464"/>
    <w:rsid w:val="007E5522"/>
    <w:rsid w:val="007E58EF"/>
    <w:rsid w:val="007F4768"/>
    <w:rsid w:val="00800300"/>
    <w:rsid w:val="00807A0F"/>
    <w:rsid w:val="00837875"/>
    <w:rsid w:val="00843BD4"/>
    <w:rsid w:val="00847229"/>
    <w:rsid w:val="00847610"/>
    <w:rsid w:val="0085368D"/>
    <w:rsid w:val="00866EA7"/>
    <w:rsid w:val="008866D4"/>
    <w:rsid w:val="00896821"/>
    <w:rsid w:val="008D3F75"/>
    <w:rsid w:val="008D6577"/>
    <w:rsid w:val="008E742A"/>
    <w:rsid w:val="008F359E"/>
    <w:rsid w:val="0090340B"/>
    <w:rsid w:val="00936D30"/>
    <w:rsid w:val="0094436B"/>
    <w:rsid w:val="0094497A"/>
    <w:rsid w:val="00944E0B"/>
    <w:rsid w:val="009463A3"/>
    <w:rsid w:val="00975384"/>
    <w:rsid w:val="00975DDE"/>
    <w:rsid w:val="00982E31"/>
    <w:rsid w:val="00990521"/>
    <w:rsid w:val="009A54BB"/>
    <w:rsid w:val="00A04487"/>
    <w:rsid w:val="00A04976"/>
    <w:rsid w:val="00A0513A"/>
    <w:rsid w:val="00A13F87"/>
    <w:rsid w:val="00A16927"/>
    <w:rsid w:val="00A313A3"/>
    <w:rsid w:val="00A44397"/>
    <w:rsid w:val="00A46162"/>
    <w:rsid w:val="00A71D6B"/>
    <w:rsid w:val="00A779F4"/>
    <w:rsid w:val="00AA72C2"/>
    <w:rsid w:val="00AC0FAC"/>
    <w:rsid w:val="00AD47D3"/>
    <w:rsid w:val="00AE6D4F"/>
    <w:rsid w:val="00B20EED"/>
    <w:rsid w:val="00B237D5"/>
    <w:rsid w:val="00B45929"/>
    <w:rsid w:val="00B513CA"/>
    <w:rsid w:val="00B87831"/>
    <w:rsid w:val="00BD0321"/>
    <w:rsid w:val="00BD0A6B"/>
    <w:rsid w:val="00BD1F57"/>
    <w:rsid w:val="00BF4B14"/>
    <w:rsid w:val="00C0039E"/>
    <w:rsid w:val="00C35798"/>
    <w:rsid w:val="00C449C0"/>
    <w:rsid w:val="00C45431"/>
    <w:rsid w:val="00C47A0D"/>
    <w:rsid w:val="00C5369C"/>
    <w:rsid w:val="00C53C88"/>
    <w:rsid w:val="00C7060B"/>
    <w:rsid w:val="00C836DF"/>
    <w:rsid w:val="00C9002C"/>
    <w:rsid w:val="00CA0308"/>
    <w:rsid w:val="00CD12C3"/>
    <w:rsid w:val="00CD21E4"/>
    <w:rsid w:val="00CE1A45"/>
    <w:rsid w:val="00CF6C8F"/>
    <w:rsid w:val="00D1049F"/>
    <w:rsid w:val="00D1149F"/>
    <w:rsid w:val="00D149A6"/>
    <w:rsid w:val="00D209D5"/>
    <w:rsid w:val="00D31C34"/>
    <w:rsid w:val="00D32E73"/>
    <w:rsid w:val="00D411AE"/>
    <w:rsid w:val="00D46A7F"/>
    <w:rsid w:val="00D50FA8"/>
    <w:rsid w:val="00D60F66"/>
    <w:rsid w:val="00D80DCB"/>
    <w:rsid w:val="00D83734"/>
    <w:rsid w:val="00D92E1D"/>
    <w:rsid w:val="00D971E3"/>
    <w:rsid w:val="00DA3D45"/>
    <w:rsid w:val="00DA6B2B"/>
    <w:rsid w:val="00DD0313"/>
    <w:rsid w:val="00DD7281"/>
    <w:rsid w:val="00E20927"/>
    <w:rsid w:val="00E24CC1"/>
    <w:rsid w:val="00E3232D"/>
    <w:rsid w:val="00E37BA1"/>
    <w:rsid w:val="00E4701B"/>
    <w:rsid w:val="00E61CAE"/>
    <w:rsid w:val="00E645B3"/>
    <w:rsid w:val="00E7207F"/>
    <w:rsid w:val="00E82AB3"/>
    <w:rsid w:val="00E910DE"/>
    <w:rsid w:val="00E93367"/>
    <w:rsid w:val="00EA3DBC"/>
    <w:rsid w:val="00EB31C5"/>
    <w:rsid w:val="00ED390F"/>
    <w:rsid w:val="00EE72D1"/>
    <w:rsid w:val="00F05076"/>
    <w:rsid w:val="00F109D7"/>
    <w:rsid w:val="00F364E7"/>
    <w:rsid w:val="00F40FBA"/>
    <w:rsid w:val="00F420BB"/>
    <w:rsid w:val="00F4767C"/>
    <w:rsid w:val="00F52315"/>
    <w:rsid w:val="00F55400"/>
    <w:rsid w:val="00F62291"/>
    <w:rsid w:val="00F643EF"/>
    <w:rsid w:val="00F65E8D"/>
    <w:rsid w:val="00FF3D76"/>
    <w:rsid w:val="02DAEAE0"/>
    <w:rsid w:val="0308FCE6"/>
    <w:rsid w:val="0461A0DD"/>
    <w:rsid w:val="04FC8E01"/>
    <w:rsid w:val="0533B258"/>
    <w:rsid w:val="09E829C6"/>
    <w:rsid w:val="0A44051F"/>
    <w:rsid w:val="0C3125A3"/>
    <w:rsid w:val="0CB39EF3"/>
    <w:rsid w:val="0E3FBA7C"/>
    <w:rsid w:val="10166BFA"/>
    <w:rsid w:val="113A6264"/>
    <w:rsid w:val="113D2547"/>
    <w:rsid w:val="12323993"/>
    <w:rsid w:val="12F11B39"/>
    <w:rsid w:val="13784248"/>
    <w:rsid w:val="14720326"/>
    <w:rsid w:val="147E04E8"/>
    <w:rsid w:val="156514F8"/>
    <w:rsid w:val="16859DC3"/>
    <w:rsid w:val="16ED9409"/>
    <w:rsid w:val="17D43E3D"/>
    <w:rsid w:val="197FC11D"/>
    <w:rsid w:val="1AD1D378"/>
    <w:rsid w:val="1F5386D8"/>
    <w:rsid w:val="213D1B51"/>
    <w:rsid w:val="2172F3A1"/>
    <w:rsid w:val="222A6FA3"/>
    <w:rsid w:val="22661846"/>
    <w:rsid w:val="22DB406C"/>
    <w:rsid w:val="22F44415"/>
    <w:rsid w:val="23EC1B44"/>
    <w:rsid w:val="24839A20"/>
    <w:rsid w:val="25CEF47B"/>
    <w:rsid w:val="26199A38"/>
    <w:rsid w:val="26D8561F"/>
    <w:rsid w:val="275E4526"/>
    <w:rsid w:val="27EAB75B"/>
    <w:rsid w:val="280ACC16"/>
    <w:rsid w:val="28A6640A"/>
    <w:rsid w:val="2A712A2B"/>
    <w:rsid w:val="2B7A103F"/>
    <w:rsid w:val="2C3AF528"/>
    <w:rsid w:val="2E58C5E1"/>
    <w:rsid w:val="2F366639"/>
    <w:rsid w:val="2F7338BD"/>
    <w:rsid w:val="30825244"/>
    <w:rsid w:val="308F0EB3"/>
    <w:rsid w:val="318534AF"/>
    <w:rsid w:val="31BDEDB8"/>
    <w:rsid w:val="3406FC85"/>
    <w:rsid w:val="34C5544B"/>
    <w:rsid w:val="357D96E5"/>
    <w:rsid w:val="35C47B0D"/>
    <w:rsid w:val="366CA843"/>
    <w:rsid w:val="385FD9B6"/>
    <w:rsid w:val="38954274"/>
    <w:rsid w:val="38C92B42"/>
    <w:rsid w:val="39BC260E"/>
    <w:rsid w:val="39C548A6"/>
    <w:rsid w:val="3B6E2C2F"/>
    <w:rsid w:val="3CAA4EC3"/>
    <w:rsid w:val="3D1CF16E"/>
    <w:rsid w:val="3E4343EC"/>
    <w:rsid w:val="3EFA8A4E"/>
    <w:rsid w:val="3FE4EDAC"/>
    <w:rsid w:val="41D7BE29"/>
    <w:rsid w:val="43E14CC1"/>
    <w:rsid w:val="44D9D511"/>
    <w:rsid w:val="44DDE703"/>
    <w:rsid w:val="45BCBBAB"/>
    <w:rsid w:val="4668C0B9"/>
    <w:rsid w:val="48B48C0E"/>
    <w:rsid w:val="49D5C49F"/>
    <w:rsid w:val="4C068695"/>
    <w:rsid w:val="4DECD001"/>
    <w:rsid w:val="4EF784C8"/>
    <w:rsid w:val="503697B6"/>
    <w:rsid w:val="50A4F846"/>
    <w:rsid w:val="510365F2"/>
    <w:rsid w:val="533B8439"/>
    <w:rsid w:val="534490A7"/>
    <w:rsid w:val="53BAB808"/>
    <w:rsid w:val="549E6415"/>
    <w:rsid w:val="54C9370D"/>
    <w:rsid w:val="54EB337E"/>
    <w:rsid w:val="55E14A53"/>
    <w:rsid w:val="56081205"/>
    <w:rsid w:val="56DF1612"/>
    <w:rsid w:val="58DC2540"/>
    <w:rsid w:val="5992C179"/>
    <w:rsid w:val="59BF55C2"/>
    <w:rsid w:val="5C0035D6"/>
    <w:rsid w:val="5CC8D5E8"/>
    <w:rsid w:val="5D1FE912"/>
    <w:rsid w:val="5D76448B"/>
    <w:rsid w:val="5EA7B010"/>
    <w:rsid w:val="5F42BBA4"/>
    <w:rsid w:val="60A04BD6"/>
    <w:rsid w:val="6100615F"/>
    <w:rsid w:val="6254BA88"/>
    <w:rsid w:val="637239CA"/>
    <w:rsid w:val="643F6F4D"/>
    <w:rsid w:val="6452BE15"/>
    <w:rsid w:val="64D0E400"/>
    <w:rsid w:val="652F88E8"/>
    <w:rsid w:val="6584091D"/>
    <w:rsid w:val="65D3D282"/>
    <w:rsid w:val="65EF9616"/>
    <w:rsid w:val="67875B2D"/>
    <w:rsid w:val="6875E8EC"/>
    <w:rsid w:val="68A84450"/>
    <w:rsid w:val="68AA5403"/>
    <w:rsid w:val="6917A9B0"/>
    <w:rsid w:val="69191CAD"/>
    <w:rsid w:val="6933BD44"/>
    <w:rsid w:val="698F15B5"/>
    <w:rsid w:val="69BBC99F"/>
    <w:rsid w:val="6A7EF5D4"/>
    <w:rsid w:val="6AF55805"/>
    <w:rsid w:val="6E171883"/>
    <w:rsid w:val="71579A0E"/>
    <w:rsid w:val="715BC9E4"/>
    <w:rsid w:val="726A376D"/>
    <w:rsid w:val="7494C7B5"/>
    <w:rsid w:val="76C490E2"/>
    <w:rsid w:val="76DDB93F"/>
    <w:rsid w:val="773C289C"/>
    <w:rsid w:val="780A13D6"/>
    <w:rsid w:val="79298494"/>
    <w:rsid w:val="7968A040"/>
    <w:rsid w:val="7AC779D1"/>
    <w:rsid w:val="7AD239AE"/>
    <w:rsid w:val="7B651689"/>
    <w:rsid w:val="7D5074B5"/>
    <w:rsid w:val="7D588E23"/>
    <w:rsid w:val="7EFD4E3F"/>
    <w:rsid w:val="7EFD9D63"/>
    <w:rsid w:val="7FD0A3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50CAD"/>
  <w15:docId w15:val="{FCCE8217-0431-4DAB-BB29-6D6F38F5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AC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B6AC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4B6AC6"/>
    <w:rPr>
      <w:rFonts w:ascii="Baskerville Old Face" w:eastAsia="Times New Roman" w:hAnsi="Baskerville Old Face" w:cs="Times New Roman"/>
      <w:sz w:val="24"/>
      <w:szCs w:val="24"/>
    </w:rPr>
  </w:style>
  <w:style w:type="character" w:styleId="Hyperlink">
    <w:name w:val="Hyperlink"/>
    <w:basedOn w:val="DefaultParagraphFont"/>
    <w:rsid w:val="004B6AC6"/>
    <w:rPr>
      <w:color w:val="0000FF"/>
      <w:u w:val="single"/>
    </w:rPr>
  </w:style>
  <w:style w:type="paragraph" w:styleId="ListParagraph">
    <w:name w:val="List Paragraph"/>
    <w:basedOn w:val="Normal"/>
    <w:uiPriority w:val="34"/>
    <w:qFormat/>
    <w:rsid w:val="00B45929"/>
    <w:pPr>
      <w:ind w:left="720"/>
      <w:contextualSpacing/>
    </w:pPr>
  </w:style>
  <w:style w:type="paragraph" w:styleId="BodyText">
    <w:name w:val="Body Text"/>
    <w:basedOn w:val="Normal"/>
    <w:link w:val="BodyTextChar"/>
    <w:uiPriority w:val="99"/>
    <w:semiHidden/>
    <w:unhideWhenUsed/>
    <w:rsid w:val="00D149A6"/>
    <w:pPr>
      <w:spacing w:after="120"/>
    </w:pPr>
  </w:style>
  <w:style w:type="character" w:customStyle="1" w:styleId="BodyTextChar">
    <w:name w:val="Body Text Char"/>
    <w:basedOn w:val="DefaultParagraphFont"/>
    <w:link w:val="BodyText"/>
    <w:uiPriority w:val="99"/>
    <w:semiHidden/>
    <w:rsid w:val="00D149A6"/>
    <w:rPr>
      <w:rFonts w:ascii="Times New Roman" w:eastAsia="Times New Roman" w:hAnsi="Times New Roman" w:cs="Times New Roman"/>
      <w:sz w:val="20"/>
      <w:szCs w:val="24"/>
    </w:rPr>
  </w:style>
  <w:style w:type="character" w:styleId="CommentReference">
    <w:name w:val="annotation reference"/>
    <w:basedOn w:val="DefaultParagraphFont"/>
    <w:rsid w:val="00D149A6"/>
    <w:rPr>
      <w:sz w:val="16"/>
      <w:szCs w:val="16"/>
    </w:rPr>
  </w:style>
  <w:style w:type="paragraph" w:styleId="CommentText">
    <w:name w:val="annotation text"/>
    <w:basedOn w:val="Normal"/>
    <w:link w:val="CommentTextChar"/>
    <w:rsid w:val="00D149A6"/>
    <w:pPr>
      <w:widowControl/>
      <w:autoSpaceDE/>
      <w:autoSpaceDN/>
      <w:adjustRightInd/>
    </w:pPr>
    <w:rPr>
      <w:szCs w:val="20"/>
    </w:rPr>
  </w:style>
  <w:style w:type="character" w:customStyle="1" w:styleId="CommentTextChar">
    <w:name w:val="Comment Text Char"/>
    <w:basedOn w:val="DefaultParagraphFont"/>
    <w:link w:val="CommentText"/>
    <w:rsid w:val="00D149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4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9A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7282F"/>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67282F"/>
    <w:rPr>
      <w:rFonts w:ascii="Times New Roman" w:eastAsia="Times New Roman" w:hAnsi="Times New Roman" w:cs="Times New Roman"/>
      <w:b/>
      <w:bCs/>
      <w:sz w:val="20"/>
      <w:szCs w:val="20"/>
    </w:rPr>
  </w:style>
  <w:style w:type="paragraph" w:styleId="Revision">
    <w:name w:val="Revision"/>
    <w:hidden/>
    <w:uiPriority w:val="99"/>
    <w:semiHidden/>
    <w:rsid w:val="00727023"/>
    <w:pPr>
      <w:spacing w:after="0" w:line="240" w:lineRule="auto"/>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E645B3"/>
    <w:rPr>
      <w:color w:val="954F72" w:themeColor="followedHyperlink"/>
      <w:u w:val="single"/>
    </w:rPr>
  </w:style>
  <w:style w:type="character" w:styleId="FootnoteReference">
    <w:name w:val="footnote reference"/>
    <w:semiHidden/>
    <w:rsid w:val="000A0E8D"/>
  </w:style>
  <w:style w:type="paragraph" w:styleId="Header">
    <w:name w:val="header"/>
    <w:basedOn w:val="Normal"/>
    <w:link w:val="HeaderChar"/>
    <w:uiPriority w:val="99"/>
    <w:unhideWhenUsed/>
    <w:rsid w:val="00542D8F"/>
    <w:pPr>
      <w:tabs>
        <w:tab w:val="center" w:pos="4680"/>
        <w:tab w:val="right" w:pos="9360"/>
      </w:tabs>
    </w:pPr>
  </w:style>
  <w:style w:type="character" w:customStyle="1" w:styleId="HeaderChar">
    <w:name w:val="Header Char"/>
    <w:basedOn w:val="DefaultParagraphFont"/>
    <w:link w:val="Header"/>
    <w:uiPriority w:val="99"/>
    <w:rsid w:val="00542D8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D8F"/>
    <w:pPr>
      <w:tabs>
        <w:tab w:val="center" w:pos="4680"/>
        <w:tab w:val="right" w:pos="9360"/>
      </w:tabs>
    </w:pPr>
  </w:style>
  <w:style w:type="character" w:customStyle="1" w:styleId="FooterChar">
    <w:name w:val="Footer Char"/>
    <w:basedOn w:val="DefaultParagraphFont"/>
    <w:link w:val="Footer"/>
    <w:uiPriority w:val="99"/>
    <w:rsid w:val="00542D8F"/>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E20927"/>
    <w:rPr>
      <w:szCs w:val="20"/>
    </w:rPr>
  </w:style>
  <w:style w:type="character" w:customStyle="1" w:styleId="FootnoteTextChar">
    <w:name w:val="Footnote Text Char"/>
    <w:basedOn w:val="DefaultParagraphFont"/>
    <w:link w:val="FootnoteText"/>
    <w:uiPriority w:val="99"/>
    <w:semiHidden/>
    <w:rsid w:val="00E20927"/>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1A77D5"/>
    <w:rPr>
      <w:color w:val="605E5C"/>
      <w:shd w:val="clear" w:color="auto" w:fill="E1DFDD"/>
    </w:rPr>
  </w:style>
  <w:style w:type="character" w:styleId="Mention">
    <w:name w:val="Mention"/>
    <w:basedOn w:val="DefaultParagraphFont"/>
    <w:uiPriority w:val="99"/>
    <w:unhideWhenUsed/>
    <w:rsid w:val="001A77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082.htm" TargetMode="External" /><Relationship Id="rId2"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53DKEVC37KCK-63020003-3814</_dlc_DocId>
    <_dlc_DocIdUrl xmlns="563d4085-1561-447a-8505-e75e0907b9a5">
      <Url>https://nih.sharepoint.com/sites/HRSA-BHW-DPSD/frns-regs/_layouts/15/DocIdRedir.aspx?ID=53DKEVC37KCK-63020003-3814</Url>
      <Description>53DKEVC37KCK-63020003-3814</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0C8D-3931-4E0A-892B-9C763F06605E}">
  <ds:schemaRefs>
    <ds:schemaRef ds:uri="http://schemas.microsoft.com/sharepoint/v3/contenttype/forms"/>
  </ds:schemaRefs>
</ds:datastoreItem>
</file>

<file path=customXml/itemProps2.xml><?xml version="1.0" encoding="utf-8"?>
<ds:datastoreItem xmlns:ds="http://schemas.openxmlformats.org/officeDocument/2006/customXml" ds:itemID="{62BC7B1D-3980-4D3B-829C-9108C96EC3F9}">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D90426D4-AEA4-40B7-8CA2-D074414B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331CE-09DB-4F7B-B69E-38C443C05C9E}">
  <ds:schemaRefs>
    <ds:schemaRef ds:uri="http://schemas.microsoft.com/sharepoint/events"/>
  </ds:schemaRefs>
</ds:datastoreItem>
</file>

<file path=customXml/itemProps5.xml><?xml version="1.0" encoding="utf-8"?>
<ds:datastoreItem xmlns:ds="http://schemas.openxmlformats.org/officeDocument/2006/customXml" ds:itemID="{B526BC08-4DE3-4B78-91C7-8E376A537FDF}">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A BHW Standardized Work Plan</vt:lpstr>
    </vt:vector>
  </TitlesOfParts>
  <Company>HRSA</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BHW Standardized Work Plan</dc:title>
  <dc:creator>Vieira, Daniel (HRSA)</dc:creator>
  <cp:lastModifiedBy>Cooper, Laura (HRSA)</cp:lastModifiedBy>
  <cp:revision>3</cp:revision>
  <dcterms:created xsi:type="dcterms:W3CDTF">2023-11-03T14:05:00Z</dcterms:created>
  <dcterms:modified xsi:type="dcterms:W3CDTF">2023-11-03T14:44:00Z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Order">
    <vt:r8>139900</vt:r8>
  </property>
  <property fmtid="{D5CDD505-2E9C-101B-9397-08002B2CF9AE}" pid="5" name="_dlc_DocIdItemGuid">
    <vt:lpwstr>9af9908a-6dcf-42db-aba8-8ddaacfeb47d</vt:lpwstr>
  </property>
</Properties>
</file>