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F7332C" w14:paraId="64C30909" w14:textId="6EB21137">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F7332C" w14:paraId="293E8E24" w14:textId="77777777">
      <w:pPr>
        <w:jc w:val="center"/>
        <w:rPr>
          <w:rFonts w:eastAsia="Calibri"/>
        </w:rPr>
      </w:pPr>
    </w:p>
    <w:p w:rsidR="00357C8A" w:rsidP="00F7332C" w14:paraId="5FDFB5D2" w14:textId="612D8FEE">
      <w:pPr>
        <w:jc w:val="center"/>
        <w:rPr>
          <w:rFonts w:eastAsia="Calibri"/>
        </w:rPr>
      </w:pPr>
      <w:r w:rsidRPr="00BF5B21">
        <w:rPr>
          <w:rFonts w:eastAsia="Calibri"/>
        </w:rPr>
        <w:t>Allegations of Regulatory Misconduct</w:t>
      </w:r>
      <w:r>
        <w:rPr>
          <w:rFonts w:eastAsia="Calibri"/>
        </w:rPr>
        <w:t xml:space="preserve"> </w:t>
      </w:r>
      <w:r w:rsidRPr="00BF5B21">
        <w:rPr>
          <w:rFonts w:eastAsia="Calibri"/>
        </w:rPr>
        <w:t>Voluntarily Submitted to the Center for</w:t>
      </w:r>
      <w:r>
        <w:rPr>
          <w:rFonts w:eastAsia="Calibri"/>
        </w:rPr>
        <w:t xml:space="preserve"> </w:t>
      </w:r>
      <w:r w:rsidRPr="00BF5B21">
        <w:rPr>
          <w:rFonts w:eastAsia="Calibri"/>
        </w:rPr>
        <w:t>Devices and Radiological Health</w:t>
      </w:r>
    </w:p>
    <w:p w:rsidR="00357C8A" w:rsidP="00F7332C" w14:paraId="244F22B7" w14:textId="77777777">
      <w:pPr>
        <w:jc w:val="center"/>
        <w:rPr>
          <w:rFonts w:eastAsia="Calibri"/>
        </w:rPr>
      </w:pPr>
    </w:p>
    <w:p w:rsidR="00357C8A" w:rsidRPr="0088441F" w:rsidP="00F7332C" w14:paraId="0AF38FC4" w14:textId="078BFE1E">
      <w:pPr>
        <w:jc w:val="center"/>
        <w:rPr>
          <w:rFonts w:eastAsia="Calibri"/>
        </w:rPr>
      </w:pPr>
      <w:r w:rsidRPr="0088441F">
        <w:rPr>
          <w:rFonts w:eastAsia="Calibri"/>
          <w:u w:val="single"/>
        </w:rPr>
        <w:t>OMB Control No. 0910-</w:t>
      </w:r>
      <w:r w:rsidRPr="0088441F" w:rsidR="00BF5B21">
        <w:rPr>
          <w:rFonts w:eastAsia="Calibri"/>
          <w:u w:val="single"/>
        </w:rPr>
        <w:t>0769</w:t>
      </w:r>
      <w:r w:rsidR="0088441F">
        <w:rPr>
          <w:rFonts w:eastAsia="Calibri"/>
        </w:rPr>
        <w:t xml:space="preserve"> – Extension</w:t>
      </w:r>
    </w:p>
    <w:p w:rsidR="00357C8A" w:rsidP="00F7332C" w14:paraId="3CDEF80B" w14:textId="77777777">
      <w:pPr>
        <w:jc w:val="center"/>
        <w:rPr>
          <w:rFonts w:eastAsia="Calibri"/>
        </w:rPr>
      </w:pPr>
    </w:p>
    <w:p w:rsidR="00357C8A" w:rsidP="00F7332C" w14:paraId="3417D699" w14:textId="59065C15">
      <w:pPr>
        <w:rPr>
          <w:rFonts w:eastAsia="Calibri"/>
        </w:rPr>
      </w:pPr>
      <w:r w:rsidRPr="00357C8A">
        <w:rPr>
          <w:rFonts w:eastAsia="Calibri"/>
        </w:rPr>
        <w:t>SUPPORTING STATEMENT</w:t>
      </w:r>
      <w:r w:rsidR="0088441F">
        <w:rPr>
          <w:rFonts w:eastAsia="Calibri"/>
        </w:rPr>
        <w:t xml:space="preserve"> </w:t>
      </w:r>
      <w:r w:rsidRPr="0088441F" w:rsidR="0088441F">
        <w:rPr>
          <w:rFonts w:eastAsia="Calibri"/>
          <w:b/>
          <w:bCs/>
        </w:rPr>
        <w:t>Part A – Justification</w:t>
      </w:r>
      <w:r w:rsidR="0088441F">
        <w:rPr>
          <w:rFonts w:eastAsia="Calibri"/>
        </w:rPr>
        <w:t>:</w:t>
      </w:r>
    </w:p>
    <w:p w:rsidR="000D79CC" w:rsidRPr="00357C8A" w:rsidP="00F7332C" w14:paraId="6CDD5A20" w14:textId="77777777">
      <w:pPr>
        <w:rPr>
          <w:rFonts w:eastAsia="Calibri"/>
        </w:rPr>
      </w:pPr>
    </w:p>
    <w:p w:rsidR="00357C8A" w:rsidRPr="00357C8A" w:rsidP="00F7332C" w14:paraId="02D766AE" w14:textId="77777777">
      <w:pPr>
        <w:numPr>
          <w:ilvl w:val="0"/>
          <w:numId w:val="6"/>
        </w:numPr>
        <w:ind w:left="0"/>
        <w:rPr>
          <w:rFonts w:eastAsia="Calibri"/>
        </w:rPr>
      </w:pPr>
      <w:r w:rsidRPr="00357C8A">
        <w:rPr>
          <w:rFonts w:eastAsia="Calibri"/>
          <w:u w:val="single"/>
        </w:rPr>
        <w:t>Circumstances Making the Collection of Information Necessary</w:t>
      </w:r>
    </w:p>
    <w:p w:rsidR="00F7332C" w:rsidP="00F7332C" w14:paraId="0BDE6289" w14:textId="77777777">
      <w:pPr>
        <w:rPr>
          <w:rFonts w:eastAsia="Calibri"/>
        </w:rPr>
      </w:pPr>
    </w:p>
    <w:p w:rsidR="00F7332C" w:rsidP="00F7332C" w14:paraId="0C296829" w14:textId="2618726F">
      <w:pPr>
        <w:rPr>
          <w:rFonts w:eastAsia="Calibri"/>
        </w:rPr>
      </w:pPr>
      <w:r w:rsidRPr="005C71CA">
        <w:rPr>
          <w:rFonts w:eastAsia="Calibri"/>
        </w:rPr>
        <w:t>This information collection support</w:t>
      </w:r>
      <w:r w:rsidR="0088441F">
        <w:rPr>
          <w:rFonts w:eastAsia="Calibri"/>
        </w:rPr>
        <w:t xml:space="preserve">s implementation of section </w:t>
      </w:r>
      <w:r w:rsidRPr="00F40A64" w:rsidR="00F40A64">
        <w:rPr>
          <w:rFonts w:eastAsia="Calibri"/>
        </w:rPr>
        <w:t>301 of the Public Health Service Act (</w:t>
      </w:r>
      <w:r w:rsidR="004E3353">
        <w:rPr>
          <w:rFonts w:eastAsia="Calibri"/>
        </w:rPr>
        <w:t>42</w:t>
      </w:r>
      <w:r w:rsidRPr="00F40A64" w:rsidR="00F40A64">
        <w:rPr>
          <w:rFonts w:eastAsia="Calibri"/>
        </w:rPr>
        <w:t xml:space="preserve"> U.S.C. 241)</w:t>
      </w:r>
      <w:r w:rsidR="0088441F">
        <w:rPr>
          <w:rFonts w:eastAsia="Calibri"/>
        </w:rPr>
        <w:t xml:space="preserve">.  </w:t>
      </w:r>
      <w:r w:rsidRPr="00F40A64" w:rsidR="00F40A64">
        <w:rPr>
          <w:rFonts w:eastAsia="Calibri"/>
        </w:rPr>
        <w:t>Historically</w:t>
      </w:r>
      <w:r w:rsidR="0088441F">
        <w:rPr>
          <w:rFonts w:eastAsia="Calibri"/>
        </w:rPr>
        <w:t xml:space="preserve">, under this authority, FDA’s </w:t>
      </w:r>
      <w:r w:rsidRPr="00F40A64" w:rsidR="00F40A64">
        <w:rPr>
          <w:rFonts w:eastAsia="Calibri"/>
        </w:rPr>
        <w:t xml:space="preserve">Center for Devices and Radiological Health (CDRH) has </w:t>
      </w:r>
      <w:r>
        <w:rPr>
          <w:rFonts w:eastAsia="Calibri"/>
        </w:rPr>
        <w:t xml:space="preserve">accepted </w:t>
      </w:r>
      <w:r w:rsidRPr="00F40A64" w:rsidR="00F40A64">
        <w:rPr>
          <w:rFonts w:eastAsia="Calibri"/>
        </w:rPr>
        <w:t>allegations about medical devices via phone calls, emails, and even conversationally during formal and informal meetings and conferences.</w:t>
      </w:r>
      <w:r w:rsidR="004E3353">
        <w:rPr>
          <w:rFonts w:eastAsia="Calibri"/>
        </w:rPr>
        <w:t xml:space="preserve">  Accordingly, </w:t>
      </w:r>
      <w:r w:rsidRPr="00F40A64" w:rsidR="00F40A64">
        <w:rPr>
          <w:rFonts w:eastAsia="Calibri"/>
        </w:rPr>
        <w:t xml:space="preserve">to improve the consistency and quality of </w:t>
      </w:r>
      <w:r w:rsidR="00A75F57">
        <w:rPr>
          <w:rFonts w:eastAsia="Calibri"/>
        </w:rPr>
        <w:t xml:space="preserve">the information </w:t>
      </w:r>
      <w:r w:rsidRPr="00F40A64" w:rsidR="00F40A64">
        <w:rPr>
          <w:rFonts w:eastAsia="Calibri"/>
        </w:rPr>
        <w:t xml:space="preserve">received; </w:t>
      </w:r>
    </w:p>
    <w:p w:rsidR="00357C8A" w:rsidP="00F7332C" w14:paraId="019F0B5B" w14:textId="6C858D0B">
      <w:pPr>
        <w:rPr>
          <w:rFonts w:eastAsia="Calibri"/>
        </w:rPr>
      </w:pPr>
      <w:r w:rsidRPr="00F40A64">
        <w:rPr>
          <w:rFonts w:eastAsia="Calibri"/>
        </w:rPr>
        <w:t xml:space="preserve">to enhance </w:t>
      </w:r>
      <w:r w:rsidR="00A75F57">
        <w:rPr>
          <w:rFonts w:eastAsia="Calibri"/>
        </w:rPr>
        <w:t xml:space="preserve">respondents’ </w:t>
      </w:r>
      <w:r w:rsidRPr="00F40A64">
        <w:rPr>
          <w:rFonts w:eastAsia="Calibri"/>
        </w:rPr>
        <w:t>ability to convey allegations and concerns to CDRH; and</w:t>
      </w:r>
      <w:r w:rsidR="00F7332C">
        <w:rPr>
          <w:rFonts w:eastAsia="Calibri"/>
        </w:rPr>
        <w:t xml:space="preserve"> to </w:t>
      </w:r>
      <w:r w:rsidRPr="00F40A64">
        <w:rPr>
          <w:rFonts w:eastAsia="Calibri"/>
        </w:rPr>
        <w:t>facilitate CDRH’s ability to detect and intervene to mitigate significant device issues in a timely fashion</w:t>
      </w:r>
      <w:r w:rsidR="00F7332C">
        <w:rPr>
          <w:rFonts w:eastAsia="Calibri"/>
        </w:rPr>
        <w:t xml:space="preserve">, we have </w:t>
      </w:r>
      <w:r w:rsidRPr="00F7332C" w:rsidR="00F7332C">
        <w:rPr>
          <w:rFonts w:eastAsia="Calibri"/>
        </w:rPr>
        <w:t xml:space="preserve">established a process for the public submission of allegations </w:t>
      </w:r>
      <w:r w:rsidR="00F7332C">
        <w:rPr>
          <w:rFonts w:eastAsia="Calibri"/>
        </w:rPr>
        <w:t xml:space="preserve">of regulatory misconduct.  Submissions </w:t>
      </w:r>
      <w:r w:rsidRPr="004E3353" w:rsidR="004E3353">
        <w:rPr>
          <w:rFonts w:eastAsia="Calibri"/>
        </w:rPr>
        <w:t xml:space="preserve">are </w:t>
      </w:r>
      <w:r w:rsidR="00F7332C">
        <w:rPr>
          <w:rFonts w:eastAsia="Calibri"/>
        </w:rPr>
        <w:t xml:space="preserve">voluntary, </w:t>
      </w:r>
      <w:r w:rsidR="00A75F57">
        <w:rPr>
          <w:rFonts w:eastAsia="Calibri"/>
        </w:rPr>
        <w:t>however,</w:t>
      </w:r>
      <w:r w:rsidR="00F7332C">
        <w:rPr>
          <w:rFonts w:eastAsia="Calibri"/>
        </w:rPr>
        <w:t xml:space="preserve"> to</w:t>
      </w:r>
      <w:r w:rsidR="00A75F57">
        <w:rPr>
          <w:rFonts w:eastAsia="Calibri"/>
        </w:rPr>
        <w:t xml:space="preserve"> streamline</w:t>
      </w:r>
      <w:r w:rsidR="00F7332C">
        <w:rPr>
          <w:rFonts w:eastAsia="Calibri"/>
        </w:rPr>
        <w:t xml:space="preserve"> our evaluation </w:t>
      </w:r>
      <w:r w:rsidR="00A75F57">
        <w:rPr>
          <w:rFonts w:eastAsia="Calibri"/>
        </w:rPr>
        <w:t xml:space="preserve">process </w:t>
      </w:r>
      <w:r w:rsidR="00F7332C">
        <w:rPr>
          <w:rFonts w:eastAsia="Calibri"/>
        </w:rPr>
        <w:t xml:space="preserve">we have developed an electronic format for certain data elements.  As determined appropriate, CDRH </w:t>
      </w:r>
      <w:r w:rsidR="009533C6">
        <w:rPr>
          <w:rFonts w:eastAsia="Calibri"/>
        </w:rPr>
        <w:t>may</w:t>
      </w:r>
      <w:r w:rsidRPr="00F40A64">
        <w:rPr>
          <w:rFonts w:eastAsia="Calibri"/>
        </w:rPr>
        <w:t xml:space="preserve"> follow-up</w:t>
      </w:r>
      <w:r w:rsidR="00F7332C">
        <w:rPr>
          <w:rFonts w:eastAsia="Calibri"/>
        </w:rPr>
        <w:t xml:space="preserve"> on</w:t>
      </w:r>
      <w:r w:rsidRPr="00F40A64">
        <w:rPr>
          <w:rFonts w:eastAsia="Calibri"/>
        </w:rPr>
        <w:t xml:space="preserve"> the allegation to more fully understand the nature of the health risks associated with the</w:t>
      </w:r>
      <w:r w:rsidR="00F7332C">
        <w:rPr>
          <w:rFonts w:eastAsia="Calibri"/>
        </w:rPr>
        <w:t xml:space="preserve"> report</w:t>
      </w:r>
      <w:r w:rsidRPr="00F40A64">
        <w:rPr>
          <w:rFonts w:eastAsia="Calibri"/>
        </w:rPr>
        <w:t>.</w:t>
      </w:r>
      <w:r w:rsidR="00F7332C">
        <w:rPr>
          <w:rFonts w:eastAsia="Calibri"/>
        </w:rPr>
        <w:t xml:space="preserve">  </w:t>
      </w:r>
      <w:r w:rsidRPr="005C71CA" w:rsidR="00423272">
        <w:rPr>
          <w:rFonts w:eastAsia="Calibri"/>
        </w:rPr>
        <w:t xml:space="preserve">We </w:t>
      </w:r>
      <w:r w:rsidR="00F7332C">
        <w:rPr>
          <w:rFonts w:eastAsia="Calibri"/>
        </w:rPr>
        <w:t xml:space="preserve">are </w:t>
      </w:r>
      <w:r w:rsidRPr="005C71CA" w:rsidR="00423272">
        <w:rPr>
          <w:rFonts w:eastAsia="Calibri"/>
        </w:rPr>
        <w:t>therefore request</w:t>
      </w:r>
      <w:r w:rsidR="00F7332C">
        <w:rPr>
          <w:rFonts w:eastAsia="Calibri"/>
        </w:rPr>
        <w:t>ing</w:t>
      </w:r>
      <w:r w:rsidRPr="005C71CA" w:rsidR="00423272">
        <w:rPr>
          <w:rFonts w:eastAsia="Calibri"/>
        </w:rPr>
        <w:t xml:space="preserve"> extension of OMB approval </w:t>
      </w:r>
      <w:r w:rsidR="00F7332C">
        <w:rPr>
          <w:rFonts w:eastAsia="Calibri"/>
        </w:rPr>
        <w:t xml:space="preserve">for the collection of information regarding </w:t>
      </w:r>
      <w:r w:rsidR="003B7293">
        <w:rPr>
          <w:rFonts w:eastAsia="Calibri"/>
        </w:rPr>
        <w:t>a</w:t>
      </w:r>
      <w:r w:rsidRPr="00BF5B21" w:rsidR="003B7293">
        <w:rPr>
          <w:rFonts w:eastAsia="Calibri"/>
        </w:rPr>
        <w:t xml:space="preserve">llegations of </w:t>
      </w:r>
      <w:r w:rsidR="003B7293">
        <w:rPr>
          <w:rFonts w:eastAsia="Calibri"/>
        </w:rPr>
        <w:t>r</w:t>
      </w:r>
      <w:r w:rsidRPr="00BF5B21" w:rsidR="003B7293">
        <w:rPr>
          <w:rFonts w:eastAsia="Calibri"/>
        </w:rPr>
        <w:t xml:space="preserve">egulatory </w:t>
      </w:r>
      <w:r w:rsidR="003B7293">
        <w:rPr>
          <w:rFonts w:eastAsia="Calibri"/>
        </w:rPr>
        <w:t>m</w:t>
      </w:r>
      <w:r w:rsidRPr="00BF5B21" w:rsidR="003B7293">
        <w:rPr>
          <w:rFonts w:eastAsia="Calibri"/>
        </w:rPr>
        <w:t>isconduct</w:t>
      </w:r>
      <w:r w:rsidR="003B7293">
        <w:rPr>
          <w:rFonts w:eastAsia="Calibri"/>
        </w:rPr>
        <w:t xml:space="preserve"> v</w:t>
      </w:r>
      <w:r w:rsidRPr="00BF5B21" w:rsidR="003B7293">
        <w:rPr>
          <w:rFonts w:eastAsia="Calibri"/>
        </w:rPr>
        <w:t xml:space="preserve">oluntarily </w:t>
      </w:r>
      <w:r w:rsidR="003B7293">
        <w:rPr>
          <w:rFonts w:eastAsia="Calibri"/>
        </w:rPr>
        <w:t>s</w:t>
      </w:r>
      <w:r w:rsidRPr="00BF5B21" w:rsidR="003B7293">
        <w:rPr>
          <w:rFonts w:eastAsia="Calibri"/>
        </w:rPr>
        <w:t xml:space="preserve">ubmitted to </w:t>
      </w:r>
      <w:r w:rsidR="003B7293">
        <w:rPr>
          <w:rFonts w:eastAsia="Calibri"/>
        </w:rPr>
        <w:t xml:space="preserve">CDRH, </w:t>
      </w:r>
      <w:r w:rsidRPr="005C71CA" w:rsidR="00423272">
        <w:rPr>
          <w:rFonts w:eastAsia="Calibri"/>
        </w:rPr>
        <w:t>as discussed in this supporting statement.</w:t>
      </w:r>
    </w:p>
    <w:p w:rsidR="003B7293" w:rsidRPr="00357C8A" w:rsidP="00F7332C" w14:paraId="4B3E28A2" w14:textId="77777777">
      <w:pPr>
        <w:rPr>
          <w:rFonts w:eastAsia="Calibri"/>
          <w:color w:val="FF0000"/>
        </w:rPr>
      </w:pPr>
    </w:p>
    <w:p w:rsidR="00357C8A" w:rsidRPr="00357C8A" w:rsidP="00F7332C" w14:paraId="4D835648" w14:textId="77777777">
      <w:pPr>
        <w:numPr>
          <w:ilvl w:val="0"/>
          <w:numId w:val="6"/>
        </w:numPr>
        <w:ind w:left="0"/>
        <w:rPr>
          <w:rFonts w:eastAsia="Calibri"/>
          <w:u w:val="single"/>
        </w:rPr>
      </w:pPr>
      <w:r w:rsidRPr="00357C8A">
        <w:rPr>
          <w:rFonts w:eastAsia="Calibri"/>
          <w:u w:val="single"/>
        </w:rPr>
        <w:t xml:space="preserve">Purpose and Use of the Information Collection </w:t>
      </w:r>
    </w:p>
    <w:p w:rsidR="00F7332C" w:rsidP="00F7332C" w14:paraId="217C4C44" w14:textId="77777777">
      <w:pPr>
        <w:rPr>
          <w:rFonts w:eastAsia="Calibri"/>
        </w:rPr>
      </w:pPr>
    </w:p>
    <w:p w:rsidR="00357C8A" w:rsidP="00F7332C" w14:paraId="751008CF" w14:textId="115B2995">
      <w:pPr>
        <w:rPr>
          <w:rFonts w:eastAsia="Calibri"/>
        </w:rPr>
      </w:pPr>
      <w:r w:rsidRPr="005B201B">
        <w:rPr>
          <w:rFonts w:eastAsia="Calibri"/>
        </w:rPr>
        <w:t>Respondents to th</w:t>
      </w:r>
      <w:r w:rsidR="00F7332C">
        <w:rPr>
          <w:rFonts w:eastAsia="Calibri"/>
        </w:rPr>
        <w:t>e</w:t>
      </w:r>
      <w:r w:rsidRPr="005B201B">
        <w:rPr>
          <w:rFonts w:eastAsia="Calibri"/>
        </w:rPr>
        <w:t xml:space="preserve"> information are individuals or households, private sector businesses or other for-profit, not-for-profit institutions, State, local or tribal governments,</w:t>
      </w:r>
      <w:r w:rsidR="00F7332C">
        <w:rPr>
          <w:rFonts w:eastAsia="Calibri"/>
        </w:rPr>
        <w:t xml:space="preserve"> or anyone submitting an allegation of regulatory misconduct associated with a medical device</w:t>
      </w:r>
      <w:r w:rsidRPr="005B201B">
        <w:rPr>
          <w:rFonts w:eastAsia="Calibri"/>
        </w:rPr>
        <w:t>.</w:t>
      </w:r>
      <w:r w:rsidR="00F7332C">
        <w:rPr>
          <w:rFonts w:eastAsia="Calibri"/>
        </w:rPr>
        <w:t xml:space="preserve">  We use the information to help identify </w:t>
      </w:r>
      <w:r w:rsidRPr="005B201B">
        <w:rPr>
          <w:rFonts w:eastAsia="Calibri"/>
        </w:rPr>
        <w:t>emerging risks associated with medical devices and radiological health products.</w:t>
      </w:r>
      <w:r w:rsidR="00F7332C">
        <w:rPr>
          <w:rFonts w:eastAsia="Calibri"/>
        </w:rPr>
        <w:t xml:space="preserve">  </w:t>
      </w:r>
      <w:r w:rsidRPr="005B201B">
        <w:rPr>
          <w:rFonts w:eastAsia="Calibri"/>
        </w:rPr>
        <w:t xml:space="preserve">Allegations are evaluated and given a risk assessment score which helps define how to best make use of </w:t>
      </w:r>
      <w:r w:rsidR="00F7332C">
        <w:rPr>
          <w:rFonts w:eastAsia="Calibri"/>
        </w:rPr>
        <w:t xml:space="preserve">limited resources.  </w:t>
      </w:r>
      <w:r w:rsidRPr="005B201B">
        <w:rPr>
          <w:rFonts w:eastAsia="Calibri"/>
        </w:rPr>
        <w:t>Individual or clusters of allegations have been used to support regulatory action directed towards product manufactures, importers</w:t>
      </w:r>
      <w:r w:rsidR="00650EFE">
        <w:rPr>
          <w:rFonts w:eastAsia="Calibri"/>
        </w:rPr>
        <w:t>,</w:t>
      </w:r>
      <w:r w:rsidRPr="005B201B">
        <w:rPr>
          <w:rFonts w:eastAsia="Calibri"/>
        </w:rPr>
        <w:t xml:space="preserve"> or distributors, and have clarified the need for educational outreach to users.</w:t>
      </w:r>
    </w:p>
    <w:p w:rsidR="00F7332C" w:rsidRPr="00F7332C" w:rsidP="00F7332C" w14:paraId="0D892B4A" w14:textId="77777777">
      <w:pPr>
        <w:rPr>
          <w:rFonts w:eastAsia="Calibri"/>
        </w:rPr>
      </w:pPr>
    </w:p>
    <w:p w:rsidR="00357C8A" w:rsidRPr="00357C8A" w:rsidP="00F7332C" w14:paraId="032EDD85" w14:textId="77777777">
      <w:pPr>
        <w:numPr>
          <w:ilvl w:val="0"/>
          <w:numId w:val="6"/>
        </w:numPr>
        <w:ind w:left="0"/>
        <w:rPr>
          <w:rFonts w:eastAsia="Calibri"/>
          <w:u w:val="single"/>
        </w:rPr>
      </w:pPr>
      <w:r w:rsidRPr="00357C8A">
        <w:rPr>
          <w:rFonts w:eastAsia="Calibri"/>
          <w:u w:val="single"/>
        </w:rPr>
        <w:t>Use of Improved Information Technology and Burden Reduction</w:t>
      </w:r>
    </w:p>
    <w:p w:rsidR="00F7332C" w:rsidP="00F7332C" w14:paraId="760CF601" w14:textId="77777777"/>
    <w:p w:rsidR="00DA5B97" w:rsidP="00DA5B97" w14:paraId="64036A00" w14:textId="16DE22C9">
      <w:r>
        <w:t xml:space="preserve">To assist respondents with the information collection, we maintain a website at </w:t>
      </w:r>
      <w:hyperlink r:id="rId4" w:history="1">
        <w:r w:rsidRPr="00DA5B97">
          <w:rPr>
            <w:rStyle w:val="Hyperlink"/>
          </w:rPr>
          <w:t>https://www.fda.gov/medical-devices/medical-device-safety/reporting-allegations-regulatory-misconduct</w:t>
        </w:r>
      </w:hyperlink>
      <w:r w:rsidRPr="00DA5B97">
        <w:t xml:space="preserve"> </w:t>
      </w:r>
      <w:r>
        <w:t xml:space="preserve">that includes instruction on submitting information.  Allegations of regulatory misconduct associated with medical devices may be submitted </w:t>
      </w:r>
      <w:r>
        <w:t>by email</w:t>
      </w:r>
      <w:r>
        <w:t xml:space="preserve"> to </w:t>
      </w:r>
      <w:hyperlink r:id="rId5" w:history="1">
        <w:r w:rsidRPr="00E62DDA">
          <w:rPr>
            <w:rStyle w:val="Hyperlink"/>
          </w:rPr>
          <w:t>CDRHDeviceAllegations@fda.hhs.gov</w:t>
        </w:r>
      </w:hyperlink>
      <w:r>
        <w:t xml:space="preserve">, or by </w:t>
      </w:r>
      <w:r>
        <w:t>regular mail</w:t>
      </w:r>
      <w:r>
        <w:t xml:space="preserve"> </w:t>
      </w:r>
      <w:r w:rsidR="00A75F57">
        <w:t xml:space="preserve">addressed </w:t>
      </w:r>
      <w:r>
        <w:t>as follows:</w:t>
      </w:r>
    </w:p>
    <w:p w:rsidR="00DA5B97" w:rsidP="00DA5B97" w14:paraId="17889674" w14:textId="6E0090C4"/>
    <w:p w:rsidR="00357C8A" w:rsidP="00F7332C" w14:paraId="4B7E2CCC" w14:textId="57D2CBD8">
      <w:r w:rsidRPr="00DA5B97">
        <w:rPr>
          <w:b/>
          <w:bCs/>
        </w:rPr>
        <w:t>Attention:</w:t>
      </w:r>
      <w:r w:rsidRPr="00DA5B97">
        <w:t xml:space="preserve"> </w:t>
      </w:r>
      <w:r>
        <w:t xml:space="preserve"> </w:t>
      </w:r>
      <w:r w:rsidRPr="00DA5B97">
        <w:rPr>
          <w:i/>
          <w:iCs/>
        </w:rPr>
        <w:t>Allegations of Regulatory Misconduct Team</w:t>
      </w:r>
      <w:r w:rsidRPr="00DA5B97">
        <w:br/>
        <w:t>Office of Regulatory Programs</w:t>
      </w:r>
      <w:r w:rsidRPr="00DA5B97">
        <w:br/>
        <w:t>Center for Devices and Radiological Health</w:t>
      </w:r>
      <w:r w:rsidRPr="00DA5B97">
        <w:br/>
        <w:t>Food and Drug Administration</w:t>
      </w:r>
      <w:r w:rsidRPr="00DA5B97">
        <w:br/>
        <w:t>WO Bldg. 66 RM 1523</w:t>
      </w:r>
      <w:r w:rsidRPr="00DA5B97">
        <w:br/>
        <w:t>10903 New Hampshire Ave</w:t>
      </w:r>
      <w:r w:rsidRPr="00DA5B97">
        <w:br/>
        <w:t>Silver Spring, MD 20993</w:t>
      </w:r>
      <w:r w:rsidR="00721008">
        <w:t>.</w:t>
      </w:r>
    </w:p>
    <w:p w:rsidR="00DA5B97" w:rsidRPr="00DA5B97" w:rsidP="00F7332C" w14:paraId="290249B7" w14:textId="77777777"/>
    <w:p w:rsidR="00357C8A" w:rsidRPr="00357C8A" w:rsidP="00F7332C" w14:paraId="42896C85" w14:textId="77777777">
      <w:pPr>
        <w:numPr>
          <w:ilvl w:val="0"/>
          <w:numId w:val="6"/>
        </w:numPr>
        <w:ind w:left="0"/>
        <w:rPr>
          <w:rFonts w:eastAsia="Calibri"/>
        </w:rPr>
      </w:pPr>
      <w:r w:rsidRPr="00357C8A">
        <w:rPr>
          <w:rFonts w:eastAsia="Calibri"/>
          <w:u w:val="single"/>
        </w:rPr>
        <w:t xml:space="preserve">Efforts to Identify Duplication and Use of Similar Information </w:t>
      </w:r>
    </w:p>
    <w:p w:rsidR="00DA5B97" w:rsidP="00F7332C" w14:paraId="3A8C9F7E" w14:textId="77777777"/>
    <w:p w:rsidR="009039E9" w:rsidP="00F7332C" w14:paraId="4CE03D6A" w14:textId="22C43524">
      <w:r>
        <w:t>We are unaware of duplicative information collection</w:t>
      </w:r>
      <w:r w:rsidRPr="005C71CA" w:rsidR="007D00BF">
        <w:t>.</w:t>
      </w:r>
    </w:p>
    <w:p w:rsidR="00DA5B97" w:rsidP="00F7332C" w14:paraId="5C3774FA" w14:textId="77777777"/>
    <w:p w:rsidR="00357C8A" w:rsidRPr="00357C8A" w:rsidP="00F7332C" w14:paraId="568A37B7" w14:textId="77777777">
      <w:pPr>
        <w:numPr>
          <w:ilvl w:val="0"/>
          <w:numId w:val="6"/>
        </w:numPr>
        <w:ind w:left="0"/>
        <w:rPr>
          <w:rFonts w:eastAsia="Calibri"/>
        </w:rPr>
      </w:pPr>
      <w:r w:rsidRPr="00357C8A">
        <w:rPr>
          <w:rFonts w:eastAsia="Calibri"/>
          <w:u w:val="single"/>
        </w:rPr>
        <w:t>Impact on Small Businesses or Other Small Entities</w:t>
      </w:r>
    </w:p>
    <w:p w:rsidR="00DA5B97" w:rsidP="00F7332C" w14:paraId="5A051759" w14:textId="77777777"/>
    <w:p w:rsidR="00721008" w:rsidP="00F7332C" w14:paraId="585F75A8" w14:textId="1CE3AFB1">
      <w:r>
        <w:t>The information collection should impose no undue burden on small entities</w:t>
      </w:r>
      <w:r w:rsidR="0051537D">
        <w:t>.</w:t>
      </w:r>
    </w:p>
    <w:p w:rsidR="00DA5B97" w:rsidP="00F7332C" w14:paraId="65D7C8E1" w14:textId="77777777">
      <w:pPr>
        <w:rPr>
          <w:rFonts w:eastAsia="Calibri"/>
        </w:rPr>
      </w:pPr>
    </w:p>
    <w:p w:rsidR="00357C8A" w:rsidRPr="00357C8A" w:rsidP="00F7332C" w14:paraId="48E46866" w14:textId="77777777">
      <w:pPr>
        <w:numPr>
          <w:ilvl w:val="0"/>
          <w:numId w:val="6"/>
        </w:numPr>
        <w:ind w:left="0"/>
        <w:rPr>
          <w:rFonts w:eastAsia="Calibri"/>
          <w:u w:val="single"/>
        </w:rPr>
      </w:pPr>
      <w:r w:rsidRPr="00357C8A">
        <w:rPr>
          <w:rFonts w:eastAsia="Calibri"/>
          <w:u w:val="single"/>
        </w:rPr>
        <w:t>Consequences of Collecting the Information Less Frequently</w:t>
      </w:r>
    </w:p>
    <w:p w:rsidR="00DA5B97" w:rsidP="00F7332C" w14:paraId="639EBDCE" w14:textId="77777777"/>
    <w:p w:rsidR="0051537D" w:rsidP="00F7332C" w14:paraId="7102EF87" w14:textId="58FAB471">
      <w:r>
        <w:t>The information collection is voluntary</w:t>
      </w:r>
      <w:r w:rsidR="001710D8">
        <w:t>.</w:t>
      </w:r>
    </w:p>
    <w:p w:rsidR="00DA5B97" w:rsidRPr="00DA5B97" w:rsidP="00F7332C" w14:paraId="24E93C41" w14:textId="77777777"/>
    <w:p w:rsidR="00357C8A" w:rsidRPr="00357C8A" w:rsidP="00F7332C" w14:paraId="318BEB43" w14:textId="77777777">
      <w:pPr>
        <w:numPr>
          <w:ilvl w:val="0"/>
          <w:numId w:val="6"/>
        </w:numPr>
        <w:ind w:left="0"/>
        <w:rPr>
          <w:rFonts w:eastAsia="Calibri"/>
        </w:rPr>
      </w:pPr>
      <w:r w:rsidRPr="00357C8A">
        <w:rPr>
          <w:rFonts w:eastAsia="Calibri"/>
          <w:u w:val="single"/>
        </w:rPr>
        <w:t>Special Circumstances Relating to the Guidelines of 5 CFR 1320.5</w:t>
      </w:r>
    </w:p>
    <w:p w:rsidR="00DA5B97" w:rsidP="00F7332C" w14:paraId="378BEB7A" w14:textId="77777777"/>
    <w:p w:rsidR="001710D8" w:rsidP="00F7332C" w14:paraId="4E8D0601" w14:textId="0DD575A0">
      <w:r w:rsidRPr="004C7AC3">
        <w:t xml:space="preserve">There are no special circumstances for </w:t>
      </w:r>
      <w:r>
        <w:t>this collection of information.</w:t>
      </w:r>
    </w:p>
    <w:p w:rsidR="00DA5B97" w:rsidP="00F7332C" w14:paraId="510E277B" w14:textId="77777777">
      <w:pPr>
        <w:rPr>
          <w:rFonts w:eastAsia="Calibri"/>
        </w:rPr>
      </w:pPr>
    </w:p>
    <w:p w:rsidR="00357C8A" w:rsidRPr="00357C8A" w:rsidP="00F7332C" w14:paraId="5D1ED558" w14:textId="77777777">
      <w:pPr>
        <w:numPr>
          <w:ilvl w:val="0"/>
          <w:numId w:val="6"/>
        </w:numPr>
        <w:ind w:left="0"/>
        <w:rPr>
          <w:rFonts w:eastAsia="Calibri"/>
        </w:rPr>
      </w:pPr>
      <w:r w:rsidRPr="00357C8A">
        <w:rPr>
          <w:rFonts w:eastAsia="Calibri"/>
          <w:u w:val="single"/>
        </w:rPr>
        <w:t>Comments in Response to the Federal Register Notice and Efforts to Consult Outside the Agency</w:t>
      </w:r>
    </w:p>
    <w:p w:rsidR="00DA5B97" w:rsidP="00F7332C" w14:paraId="4D238A2D" w14:textId="77777777">
      <w:pPr>
        <w:contextualSpacing/>
      </w:pPr>
    </w:p>
    <w:p w:rsidR="00A75F57" w:rsidP="00DA5B97" w14:paraId="1E5D8B9D" w14:textId="77777777">
      <w:pPr>
        <w:contextualSpacing/>
      </w:pPr>
      <w:r>
        <w:t xml:space="preserve">We </w:t>
      </w:r>
      <w:r w:rsidRPr="00EF3845" w:rsidR="00EF3845">
        <w:t>published a 60-day notice</w:t>
      </w:r>
      <w:r>
        <w:t xml:space="preserve"> inviting</w:t>
      </w:r>
      <w:r w:rsidRPr="00EF3845" w:rsidR="00EF3845">
        <w:t xml:space="preserve"> public comment</w:t>
      </w:r>
      <w:r>
        <w:t xml:space="preserve"> on the proposed information collection</w:t>
      </w:r>
      <w:r w:rsidRPr="00EF3845" w:rsidR="00EF3845">
        <w:t xml:space="preserve"> in the </w:t>
      </w:r>
      <w:r w:rsidRPr="00DA5B97" w:rsidR="00EF3845">
        <w:rPr>
          <w:i/>
          <w:iCs/>
        </w:rPr>
        <w:t>Federal Register</w:t>
      </w:r>
      <w:r w:rsidRPr="00EF3845" w:rsidR="00EF3845">
        <w:t xml:space="preserve"> of </w:t>
      </w:r>
      <w:r w:rsidR="00ED643F">
        <w:t>June</w:t>
      </w:r>
      <w:r w:rsidRPr="00E83DE6" w:rsidR="00ED643F">
        <w:t xml:space="preserve"> </w:t>
      </w:r>
      <w:r w:rsidR="00ED643F">
        <w:t>1</w:t>
      </w:r>
      <w:r w:rsidRPr="00E83DE6" w:rsidR="00ED643F">
        <w:t>2, 202</w:t>
      </w:r>
      <w:r w:rsidR="00ED643F">
        <w:t>3</w:t>
      </w:r>
      <w:r w:rsidRPr="00E83DE6" w:rsidR="00ED643F">
        <w:t xml:space="preserve"> (</w:t>
      </w:r>
      <w:r w:rsidR="00ED643F">
        <w:t>88</w:t>
      </w:r>
      <w:r w:rsidRPr="00E83DE6" w:rsidR="00ED643F">
        <w:t xml:space="preserve"> FR </w:t>
      </w:r>
      <w:r w:rsidR="00ED643F">
        <w:t>38061</w:t>
      </w:r>
      <w:r w:rsidRPr="00E83DE6" w:rsidR="00ED643F">
        <w:t>)</w:t>
      </w:r>
      <w:r w:rsidR="00ED7F18">
        <w:t xml:space="preserve">.  </w:t>
      </w:r>
      <w:r w:rsidRPr="00E83DE6" w:rsidR="00ED643F">
        <w:t xml:space="preserve">Two comments were received.  While one comment appeared to question the purpose of the information collection, the second comment supported FDA activities regarding the reporting of information covered by the collection.  Neither comment suggested that we revise our </w:t>
      </w:r>
      <w:r w:rsidR="00ED643F">
        <w:t xml:space="preserve">burden </w:t>
      </w:r>
      <w:r w:rsidRPr="00E83DE6" w:rsidR="00ED643F">
        <w:t>estimate</w:t>
      </w:r>
      <w:r>
        <w:t xml:space="preserve">, but included </w:t>
      </w:r>
      <w:r>
        <w:t>suggestions on how our submission form might be improved.</w:t>
      </w:r>
      <w:r>
        <w:t xml:space="preserve">  </w:t>
      </w:r>
      <w:r>
        <w:t>In</w:t>
      </w:r>
      <w:r>
        <w:t xml:space="preserve"> </w:t>
      </w:r>
      <w:r>
        <w:t xml:space="preserve">response, we are revising the submission form using asterisks to </w:t>
      </w:r>
      <w:r>
        <w:t xml:space="preserve">indicate more clearly which fields </w:t>
      </w:r>
      <w:r>
        <w:t xml:space="preserve">are required </w:t>
      </w:r>
      <w:r>
        <w:t xml:space="preserve">to complete the </w:t>
      </w:r>
      <w:r>
        <w:t>submission versus non-required fields.</w:t>
      </w:r>
      <w:r>
        <w:t xml:space="preserve">  </w:t>
      </w:r>
      <w:r>
        <w:t>The form has</w:t>
      </w:r>
      <w:r>
        <w:t xml:space="preserve"> </w:t>
      </w:r>
      <w:r>
        <w:t xml:space="preserve">also </w:t>
      </w:r>
      <w:r>
        <w:t>been updated to allow submission of the company’s website</w:t>
      </w:r>
      <w:r>
        <w:t xml:space="preserve"> information</w:t>
      </w:r>
      <w:r>
        <w:t>.</w:t>
      </w:r>
      <w:r>
        <w:t xml:space="preserve"> </w:t>
      </w:r>
    </w:p>
    <w:p w:rsidR="00A75F57" w:rsidP="00DA5B97" w14:paraId="745E239A" w14:textId="77777777">
      <w:pPr>
        <w:contextualSpacing/>
      </w:pPr>
    </w:p>
    <w:p w:rsidR="00DA5B97" w:rsidP="00DA5B97" w14:paraId="511A85A2" w14:textId="65FDDABC">
      <w:pPr>
        <w:contextualSpacing/>
      </w:pPr>
      <w:r>
        <w:t xml:space="preserve">Another </w:t>
      </w:r>
      <w:r>
        <w:t>comment noted that current procedures do not allow for complete</w:t>
      </w:r>
      <w:r>
        <w:t xml:space="preserve"> </w:t>
      </w:r>
      <w:r>
        <w:t>anonymity when submitting allegations of regulatory misconduct to FDA.</w:t>
      </w:r>
      <w:r>
        <w:t xml:space="preserve">  </w:t>
      </w:r>
      <w:r>
        <w:t>The comment</w:t>
      </w:r>
      <w:r>
        <w:t xml:space="preserve"> </w:t>
      </w:r>
      <w:r>
        <w:t>suggests changing the submission process to allow submission of attachments to the form, rather</w:t>
      </w:r>
      <w:r>
        <w:t xml:space="preserve"> </w:t>
      </w:r>
      <w:r>
        <w:t>than via separate email.</w:t>
      </w:r>
      <w:r>
        <w:t xml:space="preserve">  </w:t>
      </w:r>
      <w:r>
        <w:t>While we have not made changes regarding the submission process at</w:t>
      </w:r>
      <w:r>
        <w:t xml:space="preserve"> </w:t>
      </w:r>
      <w:r>
        <w:t>this time, we appreciate these suggestions and continue to consider enhancements and updates to</w:t>
      </w:r>
      <w:r>
        <w:t xml:space="preserve"> </w:t>
      </w:r>
      <w:r>
        <w:t>our systems as our limited resources permit.</w:t>
      </w:r>
      <w:r w:rsidR="004125A1">
        <w:t xml:space="preserve">  </w:t>
      </w:r>
      <w:r>
        <w:t>We recognize that confidentiality is an important</w:t>
      </w:r>
      <w:r>
        <w:t xml:space="preserve"> </w:t>
      </w:r>
      <w:r>
        <w:t>concern. Under the Freedom of Information Act (FOIA) (5 U.S.C. 552), the public has broad</w:t>
      </w:r>
      <w:r>
        <w:t xml:space="preserve"> </w:t>
      </w:r>
      <w:r>
        <w:t>access to government documents. However, FOIA provides certain exemptions from mandatory</w:t>
      </w:r>
      <w:r>
        <w:t xml:space="preserve"> </w:t>
      </w:r>
      <w:r>
        <w:t>public disclosure of government records (5 U.S.C. 552(b)(1-9)).</w:t>
      </w:r>
      <w:r w:rsidR="004125A1">
        <w:t xml:space="preserve">  </w:t>
      </w:r>
      <w:r>
        <w:t xml:space="preserve">FDA will make the </w:t>
      </w:r>
      <w:r w:rsidR="004125A1">
        <w:t>fullest possible</w:t>
      </w:r>
      <w:r>
        <w:t xml:space="preserve"> </w:t>
      </w:r>
      <w:r>
        <w:t>disclosure of records to the public, consistent with the rights of individuals to privacy,</w:t>
      </w:r>
      <w:r w:rsidR="004125A1">
        <w:t xml:space="preserve"> </w:t>
      </w:r>
      <w:r>
        <w:t>the property rights of persons in trade and confidential commercial or financial information.</w:t>
      </w:r>
    </w:p>
    <w:p w:rsidR="004125A1" w:rsidP="00DA5B97" w14:paraId="77383E37" w14:textId="77777777">
      <w:pPr>
        <w:contextualSpacing/>
      </w:pPr>
    </w:p>
    <w:p w:rsidR="00DA5B97" w:rsidP="00DA5B97" w14:paraId="01858999" w14:textId="7D95CF22">
      <w:pPr>
        <w:contextualSpacing/>
      </w:pPr>
      <w:r>
        <w:t>Finally, one comment expressed concern regarding verification by FDA of the accuracy</w:t>
      </w:r>
    </w:p>
    <w:p w:rsidR="00DA5B97" w:rsidP="00DA5B97" w14:paraId="7AFC5BB7" w14:textId="36912B0B">
      <w:pPr>
        <w:contextualSpacing/>
      </w:pPr>
      <w:r>
        <w:t>and validity of the information (allegations) submitted.</w:t>
      </w:r>
      <w:r w:rsidR="004125A1">
        <w:t xml:space="preserve">  </w:t>
      </w:r>
      <w:r>
        <w:t>Allegations of regulatory misconduct</w:t>
      </w:r>
    </w:p>
    <w:p w:rsidR="00DA5B97" w:rsidP="00DA5B97" w14:paraId="3E5770F8" w14:textId="3115480C">
      <w:pPr>
        <w:contextualSpacing/>
      </w:pPr>
      <w:r>
        <w:t>related to medical devices are reviewed by CDRH.</w:t>
      </w:r>
      <w:r w:rsidR="004125A1">
        <w:t xml:space="preserve">  </w:t>
      </w:r>
      <w:r>
        <w:t>CDRH prioritizes the review of allegations</w:t>
      </w:r>
    </w:p>
    <w:p w:rsidR="00DA5B97" w:rsidP="00DA5B97" w14:paraId="3B95B847" w14:textId="77777777">
      <w:pPr>
        <w:contextualSpacing/>
      </w:pPr>
      <w:r>
        <w:t>based on the level of potential risks, within the context of an overall benefit-risk profile, to</w:t>
      </w:r>
    </w:p>
    <w:p w:rsidR="00DA5B97" w:rsidP="00DA5B97" w14:paraId="79CB61FE" w14:textId="54428F84">
      <w:pPr>
        <w:contextualSpacing/>
      </w:pPr>
      <w:r>
        <w:t>patients, and takes responsive action accordingly.</w:t>
      </w:r>
      <w:r w:rsidR="004125A1">
        <w:t xml:space="preserve">  </w:t>
      </w:r>
      <w:r>
        <w:t>We note, however, that subsequent questions</w:t>
      </w:r>
    </w:p>
    <w:p w:rsidR="00DA5B97" w:rsidP="00DA5B97" w14:paraId="0A7B4430" w14:textId="77777777">
      <w:pPr>
        <w:contextualSpacing/>
      </w:pPr>
      <w:r>
        <w:t>or inquiry intended to clarify information submitted is not considered a collection of information</w:t>
      </w:r>
    </w:p>
    <w:p w:rsidR="00335C5D" w:rsidP="00F7332C" w14:paraId="101433E2" w14:textId="0D3DDE72">
      <w:pPr>
        <w:contextualSpacing/>
        <w:rPr>
          <w:rStyle w:val="Hyperlink"/>
        </w:rPr>
      </w:pPr>
      <w:r>
        <w:t>under the PRA (see 5 CFR 1320.3(h)(9)) subject to OMB review and approval.</w:t>
      </w:r>
    </w:p>
    <w:p w:rsidR="004125A1" w:rsidRPr="004125A1" w:rsidP="00F7332C" w14:paraId="198B6933" w14:textId="77777777">
      <w:pPr>
        <w:contextualSpacing/>
        <w:rPr>
          <w:color w:val="0563C1"/>
          <w:u w:val="single"/>
        </w:rPr>
      </w:pPr>
    </w:p>
    <w:p w:rsidR="00357C8A" w:rsidRPr="00357C8A" w:rsidP="00F7332C" w14:paraId="4FC0804F" w14:textId="77777777">
      <w:pPr>
        <w:numPr>
          <w:ilvl w:val="0"/>
          <w:numId w:val="6"/>
        </w:numPr>
        <w:ind w:left="0"/>
        <w:rPr>
          <w:rFonts w:eastAsia="Calibri"/>
        </w:rPr>
      </w:pPr>
      <w:r w:rsidRPr="00357C8A">
        <w:rPr>
          <w:rFonts w:eastAsia="Calibri"/>
          <w:u w:val="single"/>
        </w:rPr>
        <w:t>Explanation of Any Payment or Gift to Respondents</w:t>
      </w:r>
    </w:p>
    <w:p w:rsidR="004125A1" w:rsidP="00F7332C" w14:paraId="0EFAD4D8" w14:textId="77777777"/>
    <w:p w:rsidR="00ED643F" w:rsidP="00F7332C" w14:paraId="3850D34B" w14:textId="47C42D2C">
      <w:r>
        <w:t>There are no incentives, payments or gifts associated with this information collection.</w:t>
      </w:r>
    </w:p>
    <w:p w:rsidR="004125A1" w:rsidP="00F7332C" w14:paraId="4C05CE7F" w14:textId="77777777">
      <w:pPr>
        <w:rPr>
          <w:rFonts w:eastAsia="Calibri"/>
        </w:rPr>
      </w:pPr>
    </w:p>
    <w:p w:rsidR="00357C8A" w:rsidRPr="00357C8A" w:rsidP="00F7332C" w14:paraId="0349E985" w14:textId="77777777">
      <w:pPr>
        <w:numPr>
          <w:ilvl w:val="0"/>
          <w:numId w:val="6"/>
        </w:numPr>
        <w:ind w:left="0"/>
        <w:rPr>
          <w:rFonts w:eastAsia="Calibri"/>
        </w:rPr>
      </w:pPr>
      <w:r w:rsidRPr="00357C8A">
        <w:rPr>
          <w:rFonts w:eastAsia="Calibri"/>
          <w:u w:val="single"/>
        </w:rPr>
        <w:t>Assurance of Confidentiality Provided to Respondents</w:t>
      </w:r>
    </w:p>
    <w:p w:rsidR="004125A1" w:rsidP="00F7332C" w14:paraId="5B05D82F" w14:textId="77777777">
      <w:pPr>
        <w:rPr>
          <w:rFonts w:eastAsia="Calibri"/>
        </w:rPr>
      </w:pPr>
    </w:p>
    <w:p w:rsidR="004125A1" w:rsidRPr="004125A1" w:rsidP="00F7332C" w14:paraId="20D969C2" w14:textId="77777777">
      <w:pPr>
        <w:rPr>
          <w:rFonts w:eastAsia="Calibri"/>
          <w:i/>
          <w:iCs/>
        </w:rPr>
      </w:pPr>
      <w:r w:rsidRPr="004125A1">
        <w:rPr>
          <w:rFonts w:eastAsia="Calibri"/>
          <w:i/>
          <w:iCs/>
        </w:rPr>
        <w:t>The Privacy Act of 1974</w:t>
      </w:r>
    </w:p>
    <w:p w:rsidR="004125A1" w:rsidP="00F7332C" w14:paraId="5474DA8A" w14:textId="77777777">
      <w:pPr>
        <w:rPr>
          <w:rFonts w:eastAsia="Calibri"/>
        </w:rPr>
      </w:pPr>
    </w:p>
    <w:p w:rsidR="00883B62" w:rsidP="00F7332C" w14:paraId="12242A42" w14:textId="3024753F">
      <w:pPr>
        <w:rPr>
          <w:rFonts w:eastAsia="Calibri"/>
        </w:rPr>
      </w:pPr>
      <w:r w:rsidRPr="00883B62">
        <w:rPr>
          <w:rFonts w:eastAsia="Calibri"/>
        </w:rPr>
        <w:t xml:space="preserve">In preparing this </w:t>
      </w:r>
      <w:r w:rsidR="004125A1">
        <w:rPr>
          <w:rFonts w:eastAsia="Calibri"/>
        </w:rPr>
        <w:t>s</w:t>
      </w:r>
      <w:r w:rsidRPr="00883B62">
        <w:rPr>
          <w:rFonts w:eastAsia="Calibri"/>
        </w:rPr>
        <w:t xml:space="preserve">upporting </w:t>
      </w:r>
      <w:r w:rsidR="004125A1">
        <w:rPr>
          <w:rFonts w:eastAsia="Calibri"/>
        </w:rPr>
        <w:t>s</w:t>
      </w:r>
      <w:r w:rsidRPr="00883B62">
        <w:rPr>
          <w:rFonts w:eastAsia="Calibri"/>
        </w:rPr>
        <w:t>tatement, we consulted our Privacy Office to ensure appropriate identification and handling of information collected.</w:t>
      </w:r>
      <w:r w:rsidR="004125A1">
        <w:rPr>
          <w:rFonts w:eastAsia="Calibri"/>
        </w:rPr>
        <w:t xml:space="preserve">  Although this </w:t>
      </w:r>
      <w:r w:rsidRPr="00883B62">
        <w:rPr>
          <w:rFonts w:eastAsia="Calibri"/>
        </w:rPr>
        <w:t>ICR collects personally identifiable information (PII)</w:t>
      </w:r>
      <w:r w:rsidR="004125A1">
        <w:rPr>
          <w:rFonts w:eastAsia="Calibri"/>
        </w:rPr>
        <w:t xml:space="preserve">, the PII </w:t>
      </w:r>
      <w:r w:rsidRPr="00883B62">
        <w:rPr>
          <w:rFonts w:eastAsia="Calibri"/>
        </w:rPr>
        <w:t>submitted via FDA web page (Allegations of Regulatory Misconduct Form) is name and email address</w:t>
      </w:r>
      <w:r w:rsidR="004125A1">
        <w:rPr>
          <w:rFonts w:eastAsia="Calibri"/>
        </w:rPr>
        <w:t xml:space="preserve"> of the respondent, and we have </w:t>
      </w:r>
      <w:r w:rsidRPr="00883B62">
        <w:rPr>
          <w:rFonts w:eastAsia="Calibri"/>
        </w:rPr>
        <w:t xml:space="preserve">determined that the collection is not subject to the Privacy Act of 1974 and the particular notice and other requirements of the </w:t>
      </w:r>
      <w:r w:rsidR="004125A1">
        <w:rPr>
          <w:rFonts w:eastAsia="Calibri"/>
        </w:rPr>
        <w:t xml:space="preserve">Privacy </w:t>
      </w:r>
      <w:r w:rsidRPr="00883B62">
        <w:rPr>
          <w:rFonts w:eastAsia="Calibri"/>
        </w:rPr>
        <w:t>Act do not apply.</w:t>
      </w:r>
      <w:r w:rsidR="004125A1">
        <w:rPr>
          <w:rFonts w:eastAsia="Calibri"/>
        </w:rPr>
        <w:t xml:space="preserve">  </w:t>
      </w:r>
      <w:r w:rsidRPr="00883B62">
        <w:rPr>
          <w:rFonts w:eastAsia="Calibri"/>
        </w:rPr>
        <w:t>Specifically, FDA does not use name or any other personal identifier to retrieve records from the information collected.</w:t>
      </w:r>
      <w:r w:rsidR="004125A1">
        <w:rPr>
          <w:rFonts w:eastAsia="Calibri"/>
        </w:rPr>
        <w:t xml:space="preserve">  </w:t>
      </w:r>
      <w:r w:rsidRPr="00883B62">
        <w:rPr>
          <w:rFonts w:eastAsia="Calibri"/>
        </w:rPr>
        <w:t>Through appropriate webpage design, FDA limit</w:t>
      </w:r>
      <w:r w:rsidR="004125A1">
        <w:rPr>
          <w:rFonts w:eastAsia="Calibri"/>
        </w:rPr>
        <w:t>s</w:t>
      </w:r>
      <w:r w:rsidRPr="00883B62">
        <w:rPr>
          <w:rFonts w:eastAsia="Calibri"/>
        </w:rPr>
        <w:t xml:space="preserve"> submission fields and minimize</w:t>
      </w:r>
      <w:r w:rsidR="004125A1">
        <w:rPr>
          <w:rFonts w:eastAsia="Calibri"/>
        </w:rPr>
        <w:t>s</w:t>
      </w:r>
      <w:r w:rsidRPr="00883B62">
        <w:rPr>
          <w:rFonts w:eastAsia="Calibri"/>
        </w:rPr>
        <w:t xml:space="preserve"> the PII collected to protect the privacy of the individuals.</w:t>
      </w:r>
      <w:r w:rsidR="004125A1">
        <w:rPr>
          <w:rFonts w:eastAsia="Calibri"/>
        </w:rPr>
        <w:br/>
      </w:r>
    </w:p>
    <w:p w:rsidR="004125A1" w:rsidRPr="004125A1" w:rsidP="00F7332C" w14:paraId="01B2BAA5" w14:textId="6E5EB976">
      <w:pPr>
        <w:rPr>
          <w:rFonts w:eastAsia="Calibri"/>
          <w:i/>
          <w:iCs/>
        </w:rPr>
      </w:pPr>
      <w:r w:rsidRPr="004125A1">
        <w:rPr>
          <w:rFonts w:eastAsia="Calibri"/>
          <w:i/>
          <w:iCs/>
        </w:rPr>
        <w:t>The Freedom of Information Act (FOIA)</w:t>
      </w:r>
    </w:p>
    <w:p w:rsidR="004125A1" w:rsidRPr="00883B62" w:rsidP="00F7332C" w14:paraId="42FDD72F" w14:textId="77777777">
      <w:pPr>
        <w:rPr>
          <w:rFonts w:eastAsia="Calibri"/>
        </w:rPr>
      </w:pPr>
    </w:p>
    <w:p w:rsidR="001075D3" w:rsidP="00F7332C" w14:paraId="63078701" w14:textId="2DFF0698">
      <w:pPr>
        <w:rPr>
          <w:rFonts w:eastAsia="Calibri"/>
        </w:rPr>
      </w:pPr>
      <w:r w:rsidRPr="00883B62">
        <w:rPr>
          <w:rFonts w:eastAsia="Calibri"/>
        </w:rPr>
        <w:t xml:space="preserve">Under </w:t>
      </w:r>
      <w:r w:rsidR="004125A1">
        <w:rPr>
          <w:rFonts w:eastAsia="Calibri"/>
        </w:rPr>
        <w:t xml:space="preserve">FOIA </w:t>
      </w:r>
      <w:r w:rsidRPr="00883B62">
        <w:rPr>
          <w:rFonts w:eastAsia="Calibri"/>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4125A1" w:rsidRPr="001075D3" w:rsidP="00F7332C" w14:paraId="2BACBF66" w14:textId="77777777"/>
    <w:p w:rsidR="00357C8A" w:rsidRPr="00357C8A" w:rsidP="00F7332C" w14:paraId="32D3159E" w14:textId="77777777">
      <w:pPr>
        <w:keepNext/>
        <w:numPr>
          <w:ilvl w:val="0"/>
          <w:numId w:val="6"/>
        </w:numPr>
        <w:ind w:left="0"/>
        <w:rPr>
          <w:rFonts w:eastAsia="Calibri"/>
        </w:rPr>
      </w:pPr>
      <w:r w:rsidRPr="00357C8A">
        <w:rPr>
          <w:rFonts w:eastAsia="Calibri"/>
          <w:u w:val="single"/>
        </w:rPr>
        <w:t>Justification for Sensitive Questions</w:t>
      </w:r>
    </w:p>
    <w:p w:rsidR="004125A1" w:rsidP="00F7332C" w14:paraId="7515BF80" w14:textId="77777777"/>
    <w:p w:rsidR="00357C8A" w:rsidP="00F7332C" w14:paraId="4CD53B81" w14:textId="37C88EE6">
      <w:pPr>
        <w:rPr>
          <w:rFonts w:eastAsia="Calibri"/>
          <w:color w:val="FF0000"/>
        </w:rPr>
      </w:pPr>
      <w:r>
        <w:t>The electronic submission of an allegation does not generally involve the collection of any sensitive information. Allegations received by FDA are not routinely made public, though may be required to be released and would be managed per the FOIA.</w:t>
      </w:r>
    </w:p>
    <w:p w:rsidR="004125A1" w:rsidRPr="00357C8A" w:rsidP="00F7332C" w14:paraId="241EEA51" w14:textId="77777777">
      <w:pPr>
        <w:rPr>
          <w:rFonts w:eastAsia="Calibri"/>
          <w:color w:val="FF0000"/>
        </w:rPr>
      </w:pPr>
    </w:p>
    <w:p w:rsidR="004125A1" w14:paraId="2649AA9F" w14:textId="77777777">
      <w:pPr>
        <w:rPr>
          <w:rFonts w:eastAsia="Calibri"/>
          <w:u w:val="single"/>
        </w:rPr>
      </w:pPr>
      <w:r>
        <w:rPr>
          <w:rFonts w:eastAsia="Calibri"/>
          <w:u w:val="single"/>
        </w:rPr>
        <w:br w:type="page"/>
      </w:r>
    </w:p>
    <w:p w:rsidR="00357C8A" w:rsidRPr="00357C8A" w:rsidP="00F7332C" w14:paraId="2B589FCD" w14:textId="246DE07C">
      <w:pPr>
        <w:numPr>
          <w:ilvl w:val="0"/>
          <w:numId w:val="6"/>
        </w:numPr>
        <w:ind w:left="0"/>
        <w:rPr>
          <w:rFonts w:eastAsia="Calibri"/>
          <w:u w:val="single"/>
        </w:rPr>
      </w:pPr>
      <w:r w:rsidRPr="00357C8A">
        <w:rPr>
          <w:rFonts w:eastAsia="Calibri"/>
          <w:u w:val="single"/>
        </w:rPr>
        <w:t>Estimates of Annualized Burden Hours and Cost</w:t>
      </w:r>
    </w:p>
    <w:p w:rsidR="004125A1" w:rsidP="00F7332C" w14:paraId="6D02EDE8" w14:textId="77777777">
      <w:pPr>
        <w:rPr>
          <w:rFonts w:eastAsia="Calibri"/>
        </w:rPr>
      </w:pPr>
    </w:p>
    <w:p w:rsidR="00357C8A" w:rsidP="00F7332C" w14:paraId="01F75072" w14:textId="51D91C54">
      <w:pPr>
        <w:rPr>
          <w:rFonts w:eastAsia="Calibri"/>
        </w:rPr>
      </w:pPr>
      <w:r w:rsidRPr="004125A1">
        <w:rPr>
          <w:rFonts w:eastAsia="Calibri"/>
          <w:i/>
          <w:iCs/>
        </w:rPr>
        <w:t>12a.  Annualized Hour Burden Estimate</w:t>
      </w:r>
      <w:r w:rsidR="004125A1">
        <w:rPr>
          <w:rFonts w:eastAsia="Calibri"/>
          <w:i/>
          <w:iCs/>
        </w:rPr>
        <w:t>:</w:t>
      </w:r>
    </w:p>
    <w:p w:rsidR="004125A1" w:rsidRPr="004125A1" w:rsidP="00F7332C" w14:paraId="30C26106" w14:textId="77777777">
      <w:pPr>
        <w:rPr>
          <w:rFonts w:eastAsia="Calibri"/>
        </w:rPr>
      </w:pPr>
    </w:p>
    <w:tbl>
      <w:tblPr>
        <w:tblStyle w:val="TableGrid"/>
        <w:tblW w:w="0" w:type="auto"/>
        <w:tblLook w:val="04A0"/>
      </w:tblPr>
      <w:tblGrid>
        <w:gridCol w:w="2335"/>
        <w:gridCol w:w="1260"/>
        <w:gridCol w:w="2070"/>
        <w:gridCol w:w="1350"/>
        <w:gridCol w:w="1620"/>
        <w:gridCol w:w="715"/>
      </w:tblGrid>
      <w:tr w14:paraId="43F67582" w14:textId="77777777" w:rsidTr="004125A1">
        <w:tblPrEx>
          <w:tblW w:w="0" w:type="auto"/>
          <w:tblLook w:val="04A0"/>
        </w:tblPrEx>
        <w:tc>
          <w:tcPr>
            <w:tcW w:w="9350" w:type="dxa"/>
            <w:gridSpan w:val="6"/>
          </w:tcPr>
          <w:p w:rsidR="0088219E" w:rsidRPr="005B6385" w:rsidP="00F7332C" w14:paraId="4AAC02DB" w14:textId="6EAAC3F7">
            <w:pPr>
              <w:contextualSpacing/>
              <w:jc w:val="center"/>
              <w:rPr>
                <w:sz w:val="20"/>
                <w:szCs w:val="20"/>
              </w:rPr>
            </w:pPr>
            <w:r w:rsidRPr="005B6385">
              <w:rPr>
                <w:sz w:val="20"/>
                <w:szCs w:val="20"/>
              </w:rPr>
              <w:t>Table 1.--Estimated Annual Reporting Burden</w:t>
            </w:r>
          </w:p>
        </w:tc>
      </w:tr>
      <w:tr w14:paraId="5E9B8C21" w14:textId="77777777" w:rsidTr="004125A1">
        <w:tblPrEx>
          <w:tblW w:w="0" w:type="auto"/>
          <w:tblLook w:val="04A0"/>
        </w:tblPrEx>
        <w:tc>
          <w:tcPr>
            <w:tcW w:w="2335" w:type="dxa"/>
          </w:tcPr>
          <w:p w:rsidR="0088219E" w:rsidRPr="005B6385" w:rsidP="00F7332C" w14:paraId="00903FAD" w14:textId="3A42D951">
            <w:pPr>
              <w:contextualSpacing/>
              <w:jc w:val="center"/>
              <w:rPr>
                <w:sz w:val="20"/>
                <w:szCs w:val="20"/>
              </w:rPr>
            </w:pPr>
            <w:r>
              <w:rPr>
                <w:sz w:val="20"/>
                <w:szCs w:val="20"/>
              </w:rPr>
              <w:t>Electronic Submissions</w:t>
            </w:r>
          </w:p>
        </w:tc>
        <w:tc>
          <w:tcPr>
            <w:tcW w:w="1260" w:type="dxa"/>
          </w:tcPr>
          <w:p w:rsidR="0088219E" w:rsidRPr="005B6385" w:rsidP="00F7332C" w14:paraId="38E77BE8" w14:textId="77777777">
            <w:pPr>
              <w:contextualSpacing/>
              <w:jc w:val="center"/>
              <w:rPr>
                <w:sz w:val="20"/>
                <w:szCs w:val="20"/>
              </w:rPr>
            </w:pPr>
            <w:r w:rsidRPr="005B6385">
              <w:rPr>
                <w:sz w:val="20"/>
                <w:szCs w:val="20"/>
              </w:rPr>
              <w:t>No. of Respondents</w:t>
            </w:r>
          </w:p>
        </w:tc>
        <w:tc>
          <w:tcPr>
            <w:tcW w:w="2070" w:type="dxa"/>
          </w:tcPr>
          <w:p w:rsidR="0088219E" w:rsidRPr="005B6385" w:rsidP="00F7332C" w14:paraId="238945A1" w14:textId="77777777">
            <w:pPr>
              <w:contextualSpacing/>
              <w:jc w:val="center"/>
              <w:rPr>
                <w:sz w:val="20"/>
                <w:szCs w:val="20"/>
              </w:rPr>
            </w:pPr>
            <w:r w:rsidRPr="005B6385">
              <w:rPr>
                <w:sz w:val="20"/>
                <w:szCs w:val="20"/>
              </w:rPr>
              <w:t>Number of Responses per Respondent</w:t>
            </w:r>
          </w:p>
        </w:tc>
        <w:tc>
          <w:tcPr>
            <w:tcW w:w="1350" w:type="dxa"/>
          </w:tcPr>
          <w:p w:rsidR="0088219E" w:rsidRPr="005B6385" w:rsidP="00F7332C" w14:paraId="64410854" w14:textId="77777777">
            <w:pPr>
              <w:contextualSpacing/>
              <w:jc w:val="center"/>
              <w:rPr>
                <w:sz w:val="20"/>
                <w:szCs w:val="20"/>
              </w:rPr>
            </w:pPr>
            <w:r w:rsidRPr="005B6385">
              <w:rPr>
                <w:sz w:val="20"/>
                <w:szCs w:val="20"/>
              </w:rPr>
              <w:t>Total Annual Responses</w:t>
            </w:r>
          </w:p>
        </w:tc>
        <w:tc>
          <w:tcPr>
            <w:tcW w:w="1620" w:type="dxa"/>
          </w:tcPr>
          <w:p w:rsidR="0088219E" w:rsidRPr="005B6385" w:rsidP="00F7332C" w14:paraId="2DE96C5D" w14:textId="77777777">
            <w:pPr>
              <w:contextualSpacing/>
              <w:jc w:val="center"/>
              <w:rPr>
                <w:sz w:val="20"/>
                <w:szCs w:val="20"/>
              </w:rPr>
            </w:pPr>
            <w:r w:rsidRPr="005B6385">
              <w:rPr>
                <w:sz w:val="20"/>
                <w:szCs w:val="20"/>
              </w:rPr>
              <w:t>Average Burden per Response</w:t>
            </w:r>
          </w:p>
        </w:tc>
        <w:tc>
          <w:tcPr>
            <w:tcW w:w="715" w:type="dxa"/>
          </w:tcPr>
          <w:p w:rsidR="0088219E" w:rsidRPr="005B6385" w:rsidP="00F7332C" w14:paraId="6EEEEA33" w14:textId="77777777">
            <w:pPr>
              <w:contextualSpacing/>
              <w:jc w:val="center"/>
              <w:rPr>
                <w:sz w:val="20"/>
                <w:szCs w:val="20"/>
              </w:rPr>
            </w:pPr>
            <w:r w:rsidRPr="005B6385">
              <w:rPr>
                <w:sz w:val="20"/>
                <w:szCs w:val="20"/>
              </w:rPr>
              <w:t>Total Hours</w:t>
            </w:r>
          </w:p>
        </w:tc>
      </w:tr>
      <w:tr w14:paraId="15CCBDCE" w14:textId="77777777" w:rsidTr="004125A1">
        <w:tblPrEx>
          <w:tblW w:w="0" w:type="auto"/>
          <w:tblLook w:val="04A0"/>
        </w:tblPrEx>
        <w:tc>
          <w:tcPr>
            <w:tcW w:w="2335" w:type="dxa"/>
          </w:tcPr>
          <w:p w:rsidR="0088219E" w:rsidRPr="005B6385" w:rsidP="00F7332C" w14:paraId="105BB385" w14:textId="2EB98CE0">
            <w:pPr>
              <w:contextualSpacing/>
              <w:rPr>
                <w:sz w:val="20"/>
                <w:szCs w:val="20"/>
              </w:rPr>
            </w:pPr>
            <w:r>
              <w:rPr>
                <w:sz w:val="20"/>
                <w:szCs w:val="20"/>
              </w:rPr>
              <w:t xml:space="preserve">Allegations of regulatory misconduct to </w:t>
            </w:r>
            <w:r w:rsidRPr="005B6385">
              <w:rPr>
                <w:sz w:val="20"/>
                <w:szCs w:val="20"/>
              </w:rPr>
              <w:t>CDRH</w:t>
            </w:r>
          </w:p>
        </w:tc>
        <w:tc>
          <w:tcPr>
            <w:tcW w:w="1260" w:type="dxa"/>
          </w:tcPr>
          <w:p w:rsidR="0088219E" w:rsidRPr="005B6385" w:rsidP="00F7332C" w14:paraId="2902AD84" w14:textId="77777777">
            <w:pPr>
              <w:contextualSpacing/>
              <w:jc w:val="right"/>
              <w:rPr>
                <w:sz w:val="20"/>
                <w:szCs w:val="20"/>
              </w:rPr>
            </w:pPr>
            <w:r w:rsidRPr="005B6385">
              <w:rPr>
                <w:sz w:val="20"/>
                <w:szCs w:val="20"/>
              </w:rPr>
              <w:t>2,500</w:t>
            </w:r>
          </w:p>
        </w:tc>
        <w:tc>
          <w:tcPr>
            <w:tcW w:w="2070" w:type="dxa"/>
          </w:tcPr>
          <w:p w:rsidR="0088219E" w:rsidRPr="005B6385" w:rsidP="00F7332C" w14:paraId="66C75D45" w14:textId="77777777">
            <w:pPr>
              <w:contextualSpacing/>
              <w:jc w:val="right"/>
              <w:rPr>
                <w:sz w:val="20"/>
                <w:szCs w:val="20"/>
              </w:rPr>
            </w:pPr>
            <w:r w:rsidRPr="005B6385">
              <w:rPr>
                <w:sz w:val="20"/>
                <w:szCs w:val="20"/>
              </w:rPr>
              <w:t>1</w:t>
            </w:r>
          </w:p>
        </w:tc>
        <w:tc>
          <w:tcPr>
            <w:tcW w:w="1350" w:type="dxa"/>
          </w:tcPr>
          <w:p w:rsidR="0088219E" w:rsidRPr="005B6385" w:rsidP="00F7332C" w14:paraId="09520260" w14:textId="77777777">
            <w:pPr>
              <w:contextualSpacing/>
              <w:jc w:val="right"/>
              <w:rPr>
                <w:sz w:val="20"/>
                <w:szCs w:val="20"/>
              </w:rPr>
            </w:pPr>
            <w:r w:rsidRPr="005B6385">
              <w:rPr>
                <w:sz w:val="20"/>
                <w:szCs w:val="20"/>
              </w:rPr>
              <w:t>2,500</w:t>
            </w:r>
          </w:p>
        </w:tc>
        <w:tc>
          <w:tcPr>
            <w:tcW w:w="1620" w:type="dxa"/>
          </w:tcPr>
          <w:p w:rsidR="0088219E" w:rsidRPr="005B6385" w:rsidP="00F7332C" w14:paraId="2A31DC57" w14:textId="11D1A1B1">
            <w:pPr>
              <w:contextualSpacing/>
              <w:jc w:val="right"/>
              <w:rPr>
                <w:sz w:val="20"/>
                <w:szCs w:val="20"/>
              </w:rPr>
            </w:pPr>
            <w:r w:rsidRPr="005B6385">
              <w:rPr>
                <w:sz w:val="20"/>
                <w:szCs w:val="20"/>
              </w:rPr>
              <w:t>0.25</w:t>
            </w:r>
          </w:p>
          <w:p w:rsidR="0088219E" w:rsidRPr="005B6385" w:rsidP="00F7332C" w14:paraId="55DEC9AD" w14:textId="77777777">
            <w:pPr>
              <w:contextualSpacing/>
              <w:jc w:val="right"/>
              <w:rPr>
                <w:sz w:val="20"/>
                <w:szCs w:val="20"/>
              </w:rPr>
            </w:pPr>
            <w:r w:rsidRPr="005B6385">
              <w:rPr>
                <w:sz w:val="20"/>
                <w:szCs w:val="20"/>
              </w:rPr>
              <w:t>(15 minutes)</w:t>
            </w:r>
          </w:p>
        </w:tc>
        <w:tc>
          <w:tcPr>
            <w:tcW w:w="715" w:type="dxa"/>
          </w:tcPr>
          <w:p w:rsidR="0088219E" w:rsidRPr="005B6385" w:rsidP="00F7332C" w14:paraId="5EEBC40B" w14:textId="77777777">
            <w:pPr>
              <w:contextualSpacing/>
              <w:jc w:val="right"/>
              <w:rPr>
                <w:sz w:val="20"/>
                <w:szCs w:val="20"/>
              </w:rPr>
            </w:pPr>
            <w:r w:rsidRPr="005B6385">
              <w:rPr>
                <w:sz w:val="20"/>
                <w:szCs w:val="20"/>
              </w:rPr>
              <w:t>625</w:t>
            </w:r>
          </w:p>
        </w:tc>
      </w:tr>
    </w:tbl>
    <w:p w:rsidR="00C40A0D" w:rsidP="00F7332C" w14:paraId="55381FFA" w14:textId="2D3BB3A4">
      <w:pPr>
        <w:rPr>
          <w:rFonts w:eastAsia="Calibri"/>
          <w:i/>
        </w:rPr>
      </w:pPr>
    </w:p>
    <w:p w:rsidR="00357C8A" w:rsidRPr="004125A1" w:rsidP="00F7332C" w14:paraId="1B2365A4" w14:textId="1120B1DD">
      <w:pPr>
        <w:rPr>
          <w:rFonts w:eastAsia="Calibri"/>
          <w:i/>
          <w:iCs/>
        </w:rPr>
      </w:pPr>
      <w:r w:rsidRPr="004125A1">
        <w:rPr>
          <w:rFonts w:eastAsia="Calibri"/>
          <w:i/>
          <w:iCs/>
        </w:rPr>
        <w:t>12b.  Annualized Cost Burden Estimate</w:t>
      </w:r>
      <w:r w:rsidR="004125A1">
        <w:rPr>
          <w:rFonts w:eastAsia="Calibri"/>
          <w:i/>
          <w:iCs/>
        </w:rPr>
        <w:t>:</w:t>
      </w:r>
    </w:p>
    <w:p w:rsidR="004125A1" w:rsidP="00F7332C" w14:paraId="229F3C4D" w14:textId="77777777"/>
    <w:p w:rsidR="005A6EB3" w:rsidP="00F7332C" w14:paraId="3E36A581" w14:textId="2C10FBF9">
      <w:pPr>
        <w:rPr>
          <w:rFonts w:eastAsia="Calibri"/>
        </w:rPr>
      </w:pPr>
      <w:r>
        <w:t>The electronic submission of an allegation to CDRH is a voluntary action; no professional cost can be assigned to this activity.</w:t>
      </w:r>
    </w:p>
    <w:p w:rsidR="00357C8A" w:rsidRPr="00357C8A" w:rsidP="00F7332C" w14:paraId="47DA5A71" w14:textId="77777777">
      <w:pPr>
        <w:rPr>
          <w:rFonts w:eastAsia="Calibri"/>
        </w:rPr>
      </w:pPr>
    </w:p>
    <w:p w:rsidR="00357C8A" w:rsidRPr="00357C8A" w:rsidP="00F7332C" w14:paraId="1ECC7A71" w14:textId="77777777">
      <w:pPr>
        <w:numPr>
          <w:ilvl w:val="0"/>
          <w:numId w:val="6"/>
        </w:numPr>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4125A1" w:rsidP="00F7332C" w14:paraId="7CD3B230" w14:textId="77777777"/>
    <w:p w:rsidR="00113F40" w:rsidP="00F7332C" w14:paraId="7FA1CAAF" w14:textId="1EFD5651">
      <w:r>
        <w:t xml:space="preserve">There </w:t>
      </w:r>
      <w:r w:rsidR="00265E20">
        <w:t>are</w:t>
      </w:r>
      <w:r>
        <w:t xml:space="preserve"> no capital, start-up, operating or maintenance costs associated with this information collection.</w:t>
      </w:r>
    </w:p>
    <w:p w:rsidR="004125A1" w:rsidP="00F7332C" w14:paraId="77E51FD7" w14:textId="77777777">
      <w:pPr>
        <w:rPr>
          <w:rFonts w:eastAsia="Calibri"/>
        </w:rPr>
      </w:pPr>
    </w:p>
    <w:p w:rsidR="00357C8A" w:rsidRPr="00357C8A" w:rsidP="00F7332C" w14:paraId="164FE0D7" w14:textId="77777777">
      <w:pPr>
        <w:numPr>
          <w:ilvl w:val="0"/>
          <w:numId w:val="6"/>
        </w:numPr>
        <w:ind w:left="0"/>
        <w:rPr>
          <w:rFonts w:eastAsia="Calibri"/>
          <w:u w:val="single"/>
        </w:rPr>
      </w:pPr>
      <w:r w:rsidRPr="00357C8A">
        <w:rPr>
          <w:rFonts w:eastAsia="Calibri"/>
          <w:u w:val="single"/>
        </w:rPr>
        <w:t>Annualized Cost to the Federal Government</w:t>
      </w:r>
    </w:p>
    <w:p w:rsidR="004125A1" w:rsidP="00F7332C" w14:paraId="08BB92D9" w14:textId="77777777">
      <w:pPr>
        <w:rPr>
          <w:rFonts w:eastAsia="Calibri"/>
        </w:rPr>
      </w:pPr>
    </w:p>
    <w:p w:rsidR="00357C8A" w:rsidP="00F7332C" w14:paraId="437B98A5" w14:textId="4109E02F">
      <w:pPr>
        <w:rPr>
          <w:rFonts w:eastAsia="Calibri"/>
        </w:rPr>
      </w:pPr>
      <w:r w:rsidRPr="00BE17B9">
        <w:rPr>
          <w:rFonts w:eastAsia="Calibri"/>
        </w:rPr>
        <w:t xml:space="preserve">FDA estimates that </w:t>
      </w:r>
      <w:r w:rsidR="00E9044B">
        <w:rPr>
          <w:rFonts w:eastAsia="Calibri"/>
        </w:rPr>
        <w:t>four</w:t>
      </w:r>
      <w:r w:rsidRPr="00BE17B9">
        <w:rPr>
          <w:rFonts w:eastAsia="Calibri"/>
        </w:rPr>
        <w:t xml:space="preserve"> full time equivalent (FTE) positions are needed for the </w:t>
      </w:r>
      <w:r w:rsidR="00D61A1C">
        <w:rPr>
          <w:rFonts w:eastAsia="Calibri"/>
        </w:rPr>
        <w:t xml:space="preserve">administration of the </w:t>
      </w:r>
      <w:r w:rsidRPr="00BE17B9">
        <w:rPr>
          <w:rFonts w:eastAsia="Calibri"/>
        </w:rPr>
        <w:t>information</w:t>
      </w:r>
      <w:r w:rsidR="00D61A1C">
        <w:rPr>
          <w:rFonts w:eastAsia="Calibri"/>
        </w:rPr>
        <w:t xml:space="preserve"> collection</w:t>
      </w:r>
      <w:r w:rsidRPr="00BE17B9">
        <w:rPr>
          <w:rFonts w:eastAsia="Calibri"/>
        </w:rPr>
        <w:t>. Based on a</w:t>
      </w:r>
      <w:r w:rsidR="00D61A1C">
        <w:rPr>
          <w:rFonts w:eastAsia="Calibri"/>
        </w:rPr>
        <w:t>n internal</w:t>
      </w:r>
      <w:r w:rsidRPr="00BE17B9">
        <w:rPr>
          <w:rFonts w:eastAsia="Calibri"/>
        </w:rPr>
        <w:t xml:space="preserve"> cost </w:t>
      </w:r>
      <w:r w:rsidR="00D61A1C">
        <w:rPr>
          <w:rFonts w:eastAsia="Calibri"/>
        </w:rPr>
        <w:t xml:space="preserve">model, we assume a fully-loaded cost </w:t>
      </w:r>
      <w:r w:rsidRPr="00BE17B9">
        <w:rPr>
          <w:rFonts w:eastAsia="Calibri"/>
        </w:rPr>
        <w:t>of $</w:t>
      </w:r>
      <w:r w:rsidR="00D61A1C">
        <w:rPr>
          <w:rFonts w:eastAsia="Calibri"/>
        </w:rPr>
        <w:t>297,561</w:t>
      </w:r>
      <w:r w:rsidRPr="00BE17B9">
        <w:rPr>
          <w:rFonts w:eastAsia="Calibri"/>
        </w:rPr>
        <w:t xml:space="preserve"> per position</w:t>
      </w:r>
      <w:r w:rsidR="00D61A1C">
        <w:rPr>
          <w:rFonts w:eastAsia="Calibri"/>
        </w:rPr>
        <w:t xml:space="preserve">.  We calculate annual Federal costs to be </w:t>
      </w:r>
      <w:r w:rsidR="00663381">
        <w:rPr>
          <w:rFonts w:eastAsia="Calibri"/>
        </w:rPr>
        <w:t>$1,190,244.</w:t>
      </w:r>
      <w:r w:rsidRPr="00357C8A">
        <w:rPr>
          <w:rFonts w:eastAsia="Calibri"/>
        </w:rPr>
        <w:t xml:space="preserve"> </w:t>
      </w:r>
    </w:p>
    <w:p w:rsidR="004125A1" w:rsidRPr="00357C8A" w:rsidP="00F7332C" w14:paraId="32EA4EE1" w14:textId="77777777">
      <w:pPr>
        <w:rPr>
          <w:rFonts w:eastAsia="Calibri"/>
        </w:rPr>
      </w:pPr>
    </w:p>
    <w:p w:rsidR="00357C8A" w:rsidP="00F7332C" w14:paraId="779BC795" w14:textId="3B034680">
      <w:pPr>
        <w:numPr>
          <w:ilvl w:val="0"/>
          <w:numId w:val="6"/>
        </w:numPr>
        <w:ind w:left="0"/>
        <w:rPr>
          <w:rFonts w:eastAsia="Calibri"/>
          <w:u w:val="single"/>
        </w:rPr>
      </w:pPr>
      <w:r w:rsidRPr="00357C8A">
        <w:rPr>
          <w:rFonts w:eastAsia="Calibri"/>
          <w:u w:val="single"/>
        </w:rPr>
        <w:t>Explanation for Program Changes or Adjustments</w:t>
      </w:r>
    </w:p>
    <w:p w:rsidR="004125A1" w:rsidP="00F7332C" w14:paraId="18A1E549" w14:textId="77777777"/>
    <w:p w:rsidR="00BE17B9" w:rsidP="00F7332C" w14:paraId="6E3DE507" w14:textId="63A63DBA">
      <w:r>
        <w:t>We have increased our estimate of burden by</w:t>
      </w:r>
      <w:r w:rsidRPr="00C5011E" w:rsidR="00274A69">
        <w:t xml:space="preserve"> 900 responses </w:t>
      </w:r>
      <w:r>
        <w:t xml:space="preserve">and 225 </w:t>
      </w:r>
      <w:r w:rsidRPr="00C5011E" w:rsidR="00274A69">
        <w:t>hours.</w:t>
      </w:r>
      <w:r>
        <w:t xml:space="preserve">  We attribute the adjustment to improved efficiencies regarding the tracking of submissions.</w:t>
      </w:r>
      <w:r w:rsidRPr="004125A1">
        <w:t xml:space="preserve"> </w:t>
      </w:r>
    </w:p>
    <w:p w:rsidR="004125A1" w:rsidP="00F7332C" w14:paraId="0BD06E10" w14:textId="77777777">
      <w:pPr>
        <w:rPr>
          <w:rFonts w:eastAsia="Calibri"/>
        </w:rPr>
      </w:pPr>
    </w:p>
    <w:p w:rsidR="00357C8A" w:rsidRPr="00357C8A" w:rsidP="00F7332C" w14:paraId="4F3C2067" w14:textId="77777777">
      <w:pPr>
        <w:numPr>
          <w:ilvl w:val="0"/>
          <w:numId w:val="6"/>
        </w:numPr>
        <w:ind w:left="0"/>
        <w:rPr>
          <w:rFonts w:eastAsia="Calibri"/>
          <w:u w:val="single"/>
        </w:rPr>
      </w:pPr>
      <w:r w:rsidRPr="00357C8A">
        <w:rPr>
          <w:rFonts w:eastAsia="Calibri"/>
          <w:u w:val="single"/>
        </w:rPr>
        <w:t>Plans for Tabulation and Publication and Project Time Schedule</w:t>
      </w:r>
    </w:p>
    <w:p w:rsidR="004125A1" w:rsidP="00F7332C" w14:paraId="67209BD0" w14:textId="77777777">
      <w:pPr>
        <w:rPr>
          <w:rFonts w:eastAsia="Calibri"/>
        </w:rPr>
      </w:pPr>
    </w:p>
    <w:p w:rsidR="00357C8A" w:rsidP="00F7332C" w14:paraId="6244EA25" w14:textId="7FF6065D">
      <w:pPr>
        <w:rPr>
          <w:rFonts w:eastAsia="Calibri"/>
        </w:rPr>
      </w:pPr>
      <w:r w:rsidRPr="005C71CA">
        <w:rPr>
          <w:rFonts w:eastAsia="Calibri"/>
        </w:rPr>
        <w:t>This information collect</w:t>
      </w:r>
      <w:r w:rsidR="00A2462D">
        <w:rPr>
          <w:rFonts w:eastAsia="Calibri"/>
        </w:rPr>
        <w:t>ion</w:t>
      </w:r>
      <w:r w:rsidRPr="005C71CA">
        <w:rPr>
          <w:rFonts w:eastAsia="Calibri"/>
        </w:rPr>
        <w:t xml:space="preserve"> will not be published or tabulated.</w:t>
      </w:r>
    </w:p>
    <w:p w:rsidR="004125A1" w:rsidRPr="00357C8A" w:rsidP="00F7332C" w14:paraId="1C5F22DC" w14:textId="77777777">
      <w:pPr>
        <w:rPr>
          <w:rFonts w:eastAsia="Calibri"/>
          <w:color w:val="FF0000"/>
        </w:rPr>
      </w:pPr>
    </w:p>
    <w:p w:rsidR="00357C8A" w:rsidRPr="00357C8A" w:rsidP="00F7332C" w14:paraId="08D78568" w14:textId="77777777">
      <w:pPr>
        <w:numPr>
          <w:ilvl w:val="0"/>
          <w:numId w:val="6"/>
        </w:numPr>
        <w:ind w:left="0"/>
        <w:rPr>
          <w:rFonts w:eastAsia="Calibri"/>
          <w:u w:val="single"/>
        </w:rPr>
      </w:pPr>
      <w:r w:rsidRPr="00357C8A">
        <w:rPr>
          <w:rFonts w:eastAsia="Calibri"/>
          <w:u w:val="single"/>
        </w:rPr>
        <w:t>Reason(s) Display of OMB Expiration Date is Inappropriate</w:t>
      </w:r>
    </w:p>
    <w:p w:rsidR="004125A1" w:rsidP="00F7332C" w14:paraId="340BB7A4" w14:textId="77777777">
      <w:pPr>
        <w:rPr>
          <w:rFonts w:eastAsia="Calibri"/>
        </w:rPr>
      </w:pPr>
    </w:p>
    <w:p w:rsidR="002A49C0" w:rsidP="00F7332C" w14:paraId="68B4A8B8" w14:textId="042C262B">
      <w:pPr>
        <w:rPr>
          <w:rFonts w:eastAsia="Calibri"/>
        </w:rPr>
      </w:pPr>
      <w:r>
        <w:rPr>
          <w:rFonts w:eastAsia="Calibri"/>
        </w:rPr>
        <w:t>FDA will display the expiration date as required.</w:t>
      </w:r>
    </w:p>
    <w:p w:rsidR="004125A1" w:rsidP="00F7332C" w14:paraId="2CC0EAA2" w14:textId="77777777">
      <w:pPr>
        <w:rPr>
          <w:rFonts w:eastAsia="Calibri"/>
        </w:rPr>
      </w:pPr>
    </w:p>
    <w:p w:rsidR="00357C8A" w:rsidRPr="00357C8A" w:rsidP="00F7332C" w14:paraId="384FCAF7" w14:textId="77777777">
      <w:pPr>
        <w:numPr>
          <w:ilvl w:val="0"/>
          <w:numId w:val="6"/>
        </w:numPr>
        <w:ind w:left="0"/>
        <w:rPr>
          <w:rFonts w:eastAsia="Calibri"/>
          <w:u w:val="single"/>
        </w:rPr>
      </w:pPr>
      <w:r w:rsidRPr="00357C8A">
        <w:rPr>
          <w:rFonts w:eastAsia="Calibri"/>
          <w:u w:val="single"/>
        </w:rPr>
        <w:t>Exceptions to Certification for Paperwork Reduction Act Submissions</w:t>
      </w:r>
    </w:p>
    <w:p w:rsidR="004125A1" w:rsidP="00F7332C" w14:paraId="1122EEB4" w14:textId="77777777"/>
    <w:p w:rsidR="00BF671D" w:rsidP="00F7332C" w14:paraId="0DAC8EC3" w14:textId="4090E160">
      <w:pPr>
        <w:rPr>
          <w:rFonts w:eastAsia="Calibri"/>
        </w:rPr>
      </w:pPr>
      <w:r>
        <w:t>There are no exceptions to the certification.</w:t>
      </w:r>
    </w:p>
    <w:sectPr w:rsidSect="00A75F57">
      <w:footerReference w:type="even" r:id="rId6"/>
      <w:footerReference w:type="defaul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651A5FD" w14:textId="5917C0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A3E">
      <w:rPr>
        <w:rStyle w:val="PageNumber"/>
        <w:noProof/>
      </w:rPr>
      <w:t>2</w:t>
    </w:r>
    <w:r>
      <w:rPr>
        <w:rStyle w:val="PageNumber"/>
      </w:rPr>
      <w:fldChar w:fldCharType="end"/>
    </w:r>
  </w:p>
  <w:p w:rsidR="00E63DE5" w14:paraId="3559CA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591A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C590D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67591778">
    <w:abstractNumId w:val="5"/>
  </w:num>
  <w:num w:numId="2" w16cid:durableId="38290280">
    <w:abstractNumId w:val="1"/>
  </w:num>
  <w:num w:numId="3" w16cid:durableId="654918205">
    <w:abstractNumId w:val="6"/>
  </w:num>
  <w:num w:numId="4" w16cid:durableId="1607303149">
    <w:abstractNumId w:val="3"/>
  </w:num>
  <w:num w:numId="5" w16cid:durableId="19208630">
    <w:abstractNumId w:val="7"/>
  </w:num>
  <w:num w:numId="6" w16cid:durableId="2134984728">
    <w:abstractNumId w:val="0"/>
  </w:num>
  <w:num w:numId="7" w16cid:durableId="311759245">
    <w:abstractNumId w:val="2"/>
  </w:num>
  <w:num w:numId="8" w16cid:durableId="19914731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21A76"/>
    <w:rsid w:val="000279B1"/>
    <w:rsid w:val="00031A2C"/>
    <w:rsid w:val="00042B93"/>
    <w:rsid w:val="00043C7F"/>
    <w:rsid w:val="000467A8"/>
    <w:rsid w:val="000533A0"/>
    <w:rsid w:val="0006570F"/>
    <w:rsid w:val="00066C94"/>
    <w:rsid w:val="00075DE8"/>
    <w:rsid w:val="00087439"/>
    <w:rsid w:val="0009320E"/>
    <w:rsid w:val="000A2DB9"/>
    <w:rsid w:val="000C1260"/>
    <w:rsid w:val="000C560C"/>
    <w:rsid w:val="000D080B"/>
    <w:rsid w:val="000D48FD"/>
    <w:rsid w:val="000D79CC"/>
    <w:rsid w:val="000E1C64"/>
    <w:rsid w:val="000F7119"/>
    <w:rsid w:val="00100739"/>
    <w:rsid w:val="0010493E"/>
    <w:rsid w:val="001075D3"/>
    <w:rsid w:val="00107885"/>
    <w:rsid w:val="00113F40"/>
    <w:rsid w:val="00114FC4"/>
    <w:rsid w:val="0012329C"/>
    <w:rsid w:val="00134FA7"/>
    <w:rsid w:val="00137950"/>
    <w:rsid w:val="00142201"/>
    <w:rsid w:val="00152F29"/>
    <w:rsid w:val="001710D8"/>
    <w:rsid w:val="00174D54"/>
    <w:rsid w:val="0017702C"/>
    <w:rsid w:val="00185270"/>
    <w:rsid w:val="001A3B5A"/>
    <w:rsid w:val="001A458C"/>
    <w:rsid w:val="001B7CE9"/>
    <w:rsid w:val="001D495A"/>
    <w:rsid w:val="001E244C"/>
    <w:rsid w:val="001F1437"/>
    <w:rsid w:val="00202F1B"/>
    <w:rsid w:val="002033DF"/>
    <w:rsid w:val="00206799"/>
    <w:rsid w:val="002074FE"/>
    <w:rsid w:val="0022425B"/>
    <w:rsid w:val="002259EF"/>
    <w:rsid w:val="00237FD6"/>
    <w:rsid w:val="00242ED1"/>
    <w:rsid w:val="002444BB"/>
    <w:rsid w:val="00254069"/>
    <w:rsid w:val="00265E20"/>
    <w:rsid w:val="00270748"/>
    <w:rsid w:val="002734E5"/>
    <w:rsid w:val="002746DB"/>
    <w:rsid w:val="00274A69"/>
    <w:rsid w:val="00280CAF"/>
    <w:rsid w:val="00282F09"/>
    <w:rsid w:val="00291810"/>
    <w:rsid w:val="00294D62"/>
    <w:rsid w:val="00297532"/>
    <w:rsid w:val="00297FFD"/>
    <w:rsid w:val="002A1210"/>
    <w:rsid w:val="002A2F20"/>
    <w:rsid w:val="002A47D2"/>
    <w:rsid w:val="002A49C0"/>
    <w:rsid w:val="002A7FB5"/>
    <w:rsid w:val="002B2074"/>
    <w:rsid w:val="002D14D8"/>
    <w:rsid w:val="002D4799"/>
    <w:rsid w:val="002E3FA4"/>
    <w:rsid w:val="002E53A5"/>
    <w:rsid w:val="002E64B8"/>
    <w:rsid w:val="002E6834"/>
    <w:rsid w:val="003113FF"/>
    <w:rsid w:val="00312622"/>
    <w:rsid w:val="0032277F"/>
    <w:rsid w:val="00335C5D"/>
    <w:rsid w:val="00336B69"/>
    <w:rsid w:val="0034302B"/>
    <w:rsid w:val="00350523"/>
    <w:rsid w:val="0035189D"/>
    <w:rsid w:val="00355B62"/>
    <w:rsid w:val="00357C8A"/>
    <w:rsid w:val="003740BC"/>
    <w:rsid w:val="0037456B"/>
    <w:rsid w:val="003801A3"/>
    <w:rsid w:val="00383D90"/>
    <w:rsid w:val="003870AE"/>
    <w:rsid w:val="003A1A27"/>
    <w:rsid w:val="003A2849"/>
    <w:rsid w:val="003A50CC"/>
    <w:rsid w:val="003B42B3"/>
    <w:rsid w:val="003B6384"/>
    <w:rsid w:val="003B7293"/>
    <w:rsid w:val="003C0FE2"/>
    <w:rsid w:val="003C4EBB"/>
    <w:rsid w:val="003D1531"/>
    <w:rsid w:val="003E4EC6"/>
    <w:rsid w:val="003E527E"/>
    <w:rsid w:val="003E553E"/>
    <w:rsid w:val="003E7078"/>
    <w:rsid w:val="003F3DF5"/>
    <w:rsid w:val="003F73B8"/>
    <w:rsid w:val="0040297E"/>
    <w:rsid w:val="00411D11"/>
    <w:rsid w:val="004125A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6979"/>
    <w:rsid w:val="004C7AC3"/>
    <w:rsid w:val="004D13A2"/>
    <w:rsid w:val="004D2711"/>
    <w:rsid w:val="004D3E7A"/>
    <w:rsid w:val="004E3353"/>
    <w:rsid w:val="004F594B"/>
    <w:rsid w:val="004F61E1"/>
    <w:rsid w:val="0051537D"/>
    <w:rsid w:val="0053380B"/>
    <w:rsid w:val="00543194"/>
    <w:rsid w:val="00544138"/>
    <w:rsid w:val="00554E34"/>
    <w:rsid w:val="00584583"/>
    <w:rsid w:val="00590E90"/>
    <w:rsid w:val="00590EEB"/>
    <w:rsid w:val="005A4099"/>
    <w:rsid w:val="005A6EB3"/>
    <w:rsid w:val="005B201B"/>
    <w:rsid w:val="005B6385"/>
    <w:rsid w:val="005C368F"/>
    <w:rsid w:val="005C38B2"/>
    <w:rsid w:val="005C5029"/>
    <w:rsid w:val="005C55C2"/>
    <w:rsid w:val="005C71CA"/>
    <w:rsid w:val="005C745C"/>
    <w:rsid w:val="005D4DF5"/>
    <w:rsid w:val="005E42BA"/>
    <w:rsid w:val="005E7B64"/>
    <w:rsid w:val="00611D6B"/>
    <w:rsid w:val="0061467C"/>
    <w:rsid w:val="00625CFD"/>
    <w:rsid w:val="00631A32"/>
    <w:rsid w:val="006326EC"/>
    <w:rsid w:val="00650EFE"/>
    <w:rsid w:val="00663381"/>
    <w:rsid w:val="00663A42"/>
    <w:rsid w:val="006641C7"/>
    <w:rsid w:val="006705EA"/>
    <w:rsid w:val="00670BE2"/>
    <w:rsid w:val="00674E35"/>
    <w:rsid w:val="006916D9"/>
    <w:rsid w:val="006A0E05"/>
    <w:rsid w:val="006A26C6"/>
    <w:rsid w:val="006A465A"/>
    <w:rsid w:val="006A7D5D"/>
    <w:rsid w:val="006D0C12"/>
    <w:rsid w:val="006D5D57"/>
    <w:rsid w:val="006E2538"/>
    <w:rsid w:val="006E302F"/>
    <w:rsid w:val="006F4D6D"/>
    <w:rsid w:val="00705086"/>
    <w:rsid w:val="00721008"/>
    <w:rsid w:val="00722001"/>
    <w:rsid w:val="00744525"/>
    <w:rsid w:val="00751E66"/>
    <w:rsid w:val="00754497"/>
    <w:rsid w:val="00773201"/>
    <w:rsid w:val="00787C39"/>
    <w:rsid w:val="00792947"/>
    <w:rsid w:val="00795DF3"/>
    <w:rsid w:val="007A373C"/>
    <w:rsid w:val="007B225C"/>
    <w:rsid w:val="007C75B1"/>
    <w:rsid w:val="007D00BF"/>
    <w:rsid w:val="007D3DFC"/>
    <w:rsid w:val="007E2F07"/>
    <w:rsid w:val="007E59A8"/>
    <w:rsid w:val="007F7D7D"/>
    <w:rsid w:val="0080776D"/>
    <w:rsid w:val="00810145"/>
    <w:rsid w:val="008108FA"/>
    <w:rsid w:val="00810FF1"/>
    <w:rsid w:val="00822336"/>
    <w:rsid w:val="00823797"/>
    <w:rsid w:val="00823DFA"/>
    <w:rsid w:val="00824DE0"/>
    <w:rsid w:val="00842DB7"/>
    <w:rsid w:val="00843752"/>
    <w:rsid w:val="0084479F"/>
    <w:rsid w:val="0085725E"/>
    <w:rsid w:val="00863F8C"/>
    <w:rsid w:val="00871F7A"/>
    <w:rsid w:val="00873D4F"/>
    <w:rsid w:val="0087509F"/>
    <w:rsid w:val="0088219E"/>
    <w:rsid w:val="00883B62"/>
    <w:rsid w:val="0088441F"/>
    <w:rsid w:val="00885B09"/>
    <w:rsid w:val="00892400"/>
    <w:rsid w:val="008A209D"/>
    <w:rsid w:val="008A22BB"/>
    <w:rsid w:val="008B035D"/>
    <w:rsid w:val="008B0E29"/>
    <w:rsid w:val="008B0EFA"/>
    <w:rsid w:val="008B30AB"/>
    <w:rsid w:val="008C3BB8"/>
    <w:rsid w:val="008C4B65"/>
    <w:rsid w:val="008E5F55"/>
    <w:rsid w:val="009009E7"/>
    <w:rsid w:val="009039E9"/>
    <w:rsid w:val="00905DEF"/>
    <w:rsid w:val="00906056"/>
    <w:rsid w:val="009122AE"/>
    <w:rsid w:val="00913B43"/>
    <w:rsid w:val="00930203"/>
    <w:rsid w:val="009311D2"/>
    <w:rsid w:val="009311E6"/>
    <w:rsid w:val="00931275"/>
    <w:rsid w:val="00936AC7"/>
    <w:rsid w:val="00947761"/>
    <w:rsid w:val="009533C6"/>
    <w:rsid w:val="00953B64"/>
    <w:rsid w:val="00961F98"/>
    <w:rsid w:val="009646A7"/>
    <w:rsid w:val="00970A88"/>
    <w:rsid w:val="009818A1"/>
    <w:rsid w:val="009A1674"/>
    <w:rsid w:val="009B38BE"/>
    <w:rsid w:val="009B4DF2"/>
    <w:rsid w:val="009C684F"/>
    <w:rsid w:val="009D074C"/>
    <w:rsid w:val="009D6E73"/>
    <w:rsid w:val="009F1F1D"/>
    <w:rsid w:val="009F2B4F"/>
    <w:rsid w:val="009F3B05"/>
    <w:rsid w:val="009F3C63"/>
    <w:rsid w:val="009F66B5"/>
    <w:rsid w:val="00A02F10"/>
    <w:rsid w:val="00A1060C"/>
    <w:rsid w:val="00A14FA0"/>
    <w:rsid w:val="00A16221"/>
    <w:rsid w:val="00A20A7D"/>
    <w:rsid w:val="00A2462D"/>
    <w:rsid w:val="00A35D42"/>
    <w:rsid w:val="00A46CCF"/>
    <w:rsid w:val="00A506DE"/>
    <w:rsid w:val="00A53451"/>
    <w:rsid w:val="00A5619C"/>
    <w:rsid w:val="00A70426"/>
    <w:rsid w:val="00A707CC"/>
    <w:rsid w:val="00A71410"/>
    <w:rsid w:val="00A75F57"/>
    <w:rsid w:val="00A91E9A"/>
    <w:rsid w:val="00A93ED9"/>
    <w:rsid w:val="00A96221"/>
    <w:rsid w:val="00AC2DBB"/>
    <w:rsid w:val="00AC4810"/>
    <w:rsid w:val="00AC6A99"/>
    <w:rsid w:val="00AD13EC"/>
    <w:rsid w:val="00AD6048"/>
    <w:rsid w:val="00AF0A45"/>
    <w:rsid w:val="00B055EF"/>
    <w:rsid w:val="00B06B5B"/>
    <w:rsid w:val="00B23769"/>
    <w:rsid w:val="00B26932"/>
    <w:rsid w:val="00B41789"/>
    <w:rsid w:val="00B51814"/>
    <w:rsid w:val="00B81808"/>
    <w:rsid w:val="00B86DFA"/>
    <w:rsid w:val="00B936D0"/>
    <w:rsid w:val="00B93750"/>
    <w:rsid w:val="00BA5C27"/>
    <w:rsid w:val="00BB15FB"/>
    <w:rsid w:val="00BD3D5B"/>
    <w:rsid w:val="00BE17B9"/>
    <w:rsid w:val="00BE3600"/>
    <w:rsid w:val="00BF5B21"/>
    <w:rsid w:val="00BF671D"/>
    <w:rsid w:val="00C01F6F"/>
    <w:rsid w:val="00C041EA"/>
    <w:rsid w:val="00C13BBD"/>
    <w:rsid w:val="00C149AB"/>
    <w:rsid w:val="00C16382"/>
    <w:rsid w:val="00C16929"/>
    <w:rsid w:val="00C20690"/>
    <w:rsid w:val="00C36020"/>
    <w:rsid w:val="00C40694"/>
    <w:rsid w:val="00C40A0D"/>
    <w:rsid w:val="00C479BF"/>
    <w:rsid w:val="00C5011E"/>
    <w:rsid w:val="00C5124B"/>
    <w:rsid w:val="00C70542"/>
    <w:rsid w:val="00C75CBF"/>
    <w:rsid w:val="00CB5965"/>
    <w:rsid w:val="00CC19F3"/>
    <w:rsid w:val="00CC2894"/>
    <w:rsid w:val="00CD4B55"/>
    <w:rsid w:val="00CD77C3"/>
    <w:rsid w:val="00CE112C"/>
    <w:rsid w:val="00CF55D4"/>
    <w:rsid w:val="00D0402C"/>
    <w:rsid w:val="00D14A0B"/>
    <w:rsid w:val="00D54657"/>
    <w:rsid w:val="00D608DA"/>
    <w:rsid w:val="00D61A1C"/>
    <w:rsid w:val="00D730BF"/>
    <w:rsid w:val="00D734D1"/>
    <w:rsid w:val="00D77142"/>
    <w:rsid w:val="00D852F4"/>
    <w:rsid w:val="00DA4B5B"/>
    <w:rsid w:val="00DA5B97"/>
    <w:rsid w:val="00DB1110"/>
    <w:rsid w:val="00DB3730"/>
    <w:rsid w:val="00DC371B"/>
    <w:rsid w:val="00DC3788"/>
    <w:rsid w:val="00DC76C7"/>
    <w:rsid w:val="00DD09F5"/>
    <w:rsid w:val="00DD0E02"/>
    <w:rsid w:val="00DD4201"/>
    <w:rsid w:val="00DD5E9F"/>
    <w:rsid w:val="00DE5711"/>
    <w:rsid w:val="00DF2A3E"/>
    <w:rsid w:val="00DF7CE0"/>
    <w:rsid w:val="00E00EA0"/>
    <w:rsid w:val="00E021CB"/>
    <w:rsid w:val="00E138F1"/>
    <w:rsid w:val="00E2309D"/>
    <w:rsid w:val="00E26758"/>
    <w:rsid w:val="00E4357B"/>
    <w:rsid w:val="00E443A7"/>
    <w:rsid w:val="00E45904"/>
    <w:rsid w:val="00E62DDA"/>
    <w:rsid w:val="00E63DE5"/>
    <w:rsid w:val="00E647AF"/>
    <w:rsid w:val="00E647C7"/>
    <w:rsid w:val="00E65A37"/>
    <w:rsid w:val="00E65EF7"/>
    <w:rsid w:val="00E77B48"/>
    <w:rsid w:val="00E83DE6"/>
    <w:rsid w:val="00E857FB"/>
    <w:rsid w:val="00E9044B"/>
    <w:rsid w:val="00E915BF"/>
    <w:rsid w:val="00E91799"/>
    <w:rsid w:val="00E97DF8"/>
    <w:rsid w:val="00EA21FE"/>
    <w:rsid w:val="00EA34E3"/>
    <w:rsid w:val="00EB7538"/>
    <w:rsid w:val="00EC1868"/>
    <w:rsid w:val="00ED643F"/>
    <w:rsid w:val="00ED7F18"/>
    <w:rsid w:val="00EE6468"/>
    <w:rsid w:val="00EF2441"/>
    <w:rsid w:val="00EF3845"/>
    <w:rsid w:val="00F1299B"/>
    <w:rsid w:val="00F207A4"/>
    <w:rsid w:val="00F25173"/>
    <w:rsid w:val="00F25C70"/>
    <w:rsid w:val="00F355AC"/>
    <w:rsid w:val="00F40A64"/>
    <w:rsid w:val="00F40CF7"/>
    <w:rsid w:val="00F44194"/>
    <w:rsid w:val="00F71A5A"/>
    <w:rsid w:val="00F7332C"/>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BAF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721008"/>
    <w:rPr>
      <w:sz w:val="16"/>
      <w:szCs w:val="16"/>
    </w:rPr>
  </w:style>
  <w:style w:type="paragraph" w:styleId="CommentText">
    <w:name w:val="annotation text"/>
    <w:basedOn w:val="Normal"/>
    <w:link w:val="CommentTextChar"/>
    <w:rsid w:val="00721008"/>
    <w:rPr>
      <w:sz w:val="20"/>
      <w:szCs w:val="20"/>
    </w:rPr>
  </w:style>
  <w:style w:type="character" w:customStyle="1" w:styleId="CommentTextChar">
    <w:name w:val="Comment Text Char"/>
    <w:basedOn w:val="DefaultParagraphFont"/>
    <w:link w:val="CommentText"/>
    <w:rsid w:val="00721008"/>
  </w:style>
  <w:style w:type="paragraph" w:styleId="CommentSubject">
    <w:name w:val="annotation subject"/>
    <w:basedOn w:val="CommentText"/>
    <w:next w:val="CommentText"/>
    <w:link w:val="CommentSubjectChar"/>
    <w:rsid w:val="00883B62"/>
    <w:rPr>
      <w:b/>
      <w:bCs/>
    </w:rPr>
  </w:style>
  <w:style w:type="character" w:customStyle="1" w:styleId="CommentSubjectChar">
    <w:name w:val="Comment Subject Char"/>
    <w:basedOn w:val="CommentTextChar"/>
    <w:link w:val="CommentSubject"/>
    <w:rsid w:val="00883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medical-devices/medical-device-safety/reporting-allegations-regulatory-misconduct" TargetMode="External" /><Relationship Id="rId5" Type="http://schemas.openxmlformats.org/officeDocument/2006/relationships/hyperlink" Target="mailto:CDRHDeviceAllegations@fda.hh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8189</Characters>
  <Application>Microsoft Office Word</Application>
  <DocSecurity>0</DocSecurity>
  <Lines>68</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2023-10-11T14:45:00Z</dcterms:created>
  <dcterms:modified xsi:type="dcterms:W3CDTF">2023-10-11T14:45:00Z</dcterms:modified>
</cp:coreProperties>
</file>