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10EE" w:rsidRPr="00677BAB" w:rsidP="00550295" w14:paraId="39AE064E" w14:textId="7918FBF7">
      <w:pPr>
        <w:jc w:val="center"/>
        <w:rPr>
          <w:rFonts w:ascii="Times New Roman" w:hAnsi="Times New Roman"/>
          <w:szCs w:val="24"/>
        </w:rPr>
      </w:pPr>
      <w:r w:rsidRPr="002F5438">
        <w:rPr>
          <w:rFonts w:ascii="Times New Roman" w:hAnsi="Times New Roman"/>
          <w:szCs w:val="24"/>
        </w:rPr>
        <w:t>United States Food and Drug Administration</w:t>
      </w:r>
    </w:p>
    <w:p w:rsidR="00FA10EE" w:rsidRPr="00677BAB" w:rsidP="00550295" w14:paraId="6434A943" w14:textId="77777777">
      <w:pPr>
        <w:jc w:val="center"/>
        <w:rPr>
          <w:rFonts w:ascii="Times New Roman" w:hAnsi="Times New Roman"/>
          <w:szCs w:val="24"/>
        </w:rPr>
      </w:pPr>
    </w:p>
    <w:p w:rsidR="00FA10EE" w:rsidRPr="00677BAB" w:rsidP="00550295" w14:paraId="534E61C1" w14:textId="1193C90F">
      <w:pPr>
        <w:jc w:val="center"/>
        <w:rPr>
          <w:rFonts w:ascii="Times New Roman" w:hAnsi="Times New Roman"/>
          <w:szCs w:val="24"/>
        </w:rPr>
      </w:pPr>
      <w:r w:rsidRPr="00677BAB">
        <w:rPr>
          <w:rFonts w:ascii="Times New Roman" w:hAnsi="Times New Roman"/>
          <w:szCs w:val="24"/>
        </w:rPr>
        <w:t>Shortages Data Collection</w:t>
      </w:r>
    </w:p>
    <w:p w:rsidR="00FA10EE" w:rsidRPr="00677BAB" w:rsidP="00550295" w14:paraId="010910F8" w14:textId="77777777">
      <w:pPr>
        <w:jc w:val="center"/>
        <w:rPr>
          <w:rFonts w:ascii="Times New Roman" w:hAnsi="Times New Roman"/>
          <w:szCs w:val="24"/>
        </w:rPr>
      </w:pPr>
    </w:p>
    <w:p w:rsidR="00FA10EE" w:rsidP="00550295" w14:paraId="53DCA421" w14:textId="702C71A2">
      <w:pPr>
        <w:jc w:val="center"/>
        <w:rPr>
          <w:rFonts w:ascii="Times New Roman" w:hAnsi="Times New Roman"/>
          <w:szCs w:val="24"/>
        </w:rPr>
      </w:pPr>
      <w:r w:rsidRPr="00677BAB">
        <w:rPr>
          <w:rFonts w:ascii="Times New Roman" w:hAnsi="Times New Roman"/>
          <w:szCs w:val="24"/>
          <w:u w:val="single"/>
        </w:rPr>
        <w:t>OMB Control No. 0910-0491</w:t>
      </w:r>
    </w:p>
    <w:p w:rsidR="00677BAB" w:rsidP="00677BAB" w14:paraId="23FA325E" w14:textId="77777777">
      <w:pPr>
        <w:rPr>
          <w:rFonts w:ascii="Times New Roman" w:hAnsi="Times New Roman"/>
          <w:szCs w:val="24"/>
        </w:rPr>
      </w:pPr>
    </w:p>
    <w:p w:rsidR="00D80243" w:rsidP="00D80243" w14:paraId="3221FE01" w14:textId="52C34C84">
      <w:pPr>
        <w:jc w:val="center"/>
        <w:rPr>
          <w:rFonts w:ascii="Times New Roman" w:hAnsi="Times New Roman"/>
          <w:szCs w:val="24"/>
        </w:rPr>
      </w:pPr>
      <w:r w:rsidRPr="00677BAB">
        <w:rPr>
          <w:rFonts w:ascii="Times New Roman" w:hAnsi="Times New Roman"/>
          <w:szCs w:val="24"/>
        </w:rPr>
        <w:t>SUPPORTING STATEMENT</w:t>
      </w:r>
    </w:p>
    <w:p w:rsidR="00D80243" w:rsidP="00677BAB" w14:paraId="500A7858" w14:textId="77777777">
      <w:pPr>
        <w:rPr>
          <w:rFonts w:ascii="Times New Roman" w:hAnsi="Times New Roman"/>
          <w:szCs w:val="24"/>
        </w:rPr>
      </w:pPr>
    </w:p>
    <w:p w:rsidR="00892703" w:rsidP="00677BAB" w14:paraId="41E37667" w14:textId="3CB7A268">
      <w:pPr>
        <w:rPr>
          <w:rFonts w:ascii="Times New Roman" w:hAnsi="Times New Roman"/>
          <w:szCs w:val="24"/>
        </w:rPr>
      </w:pPr>
      <w:r w:rsidRPr="00550295">
        <w:rPr>
          <w:rFonts w:ascii="Times New Roman" w:hAnsi="Times New Roman"/>
          <w:b/>
          <w:bCs/>
          <w:szCs w:val="24"/>
        </w:rPr>
        <w:t>Part A:  Justification</w:t>
      </w:r>
    </w:p>
    <w:p w:rsidR="00677BAB" w:rsidP="00677BAB" w14:paraId="08F14E5F" w14:textId="2C584C5C">
      <w:pPr>
        <w:rPr>
          <w:rFonts w:ascii="Times New Roman" w:hAnsi="Times New Roman"/>
          <w:szCs w:val="24"/>
        </w:rPr>
      </w:pPr>
    </w:p>
    <w:p w:rsidR="00677BAB" w:rsidP="00677BAB" w14:paraId="5EDC05A6" w14:textId="77777777">
      <w:pPr>
        <w:rPr>
          <w:rFonts w:ascii="Times New Roman" w:hAnsi="Times New Roman"/>
          <w:szCs w:val="24"/>
        </w:rPr>
      </w:pPr>
      <w:r>
        <w:rPr>
          <w:rFonts w:ascii="Times New Roman" w:hAnsi="Times New Roman"/>
          <w:szCs w:val="24"/>
        </w:rPr>
        <w:t xml:space="preserve">1.  </w:t>
      </w:r>
      <w:r w:rsidRPr="00550295" w:rsidR="00892703">
        <w:rPr>
          <w:rFonts w:ascii="Times New Roman" w:hAnsi="Times New Roman"/>
          <w:szCs w:val="24"/>
          <w:u w:val="single"/>
        </w:rPr>
        <w:t>Circumstances Making the Collection of Information Necessary</w:t>
      </w:r>
    </w:p>
    <w:p w:rsidR="00677BAB" w:rsidP="00677BAB" w14:paraId="390FE261" w14:textId="77777777">
      <w:pPr>
        <w:rPr>
          <w:rFonts w:ascii="Times New Roman" w:hAnsi="Times New Roman"/>
          <w:szCs w:val="24"/>
        </w:rPr>
      </w:pPr>
    </w:p>
    <w:p w:rsidR="00DB5C64" w:rsidP="00677BAB" w14:paraId="42DB63A5" w14:textId="77777777">
      <w:pPr>
        <w:rPr>
          <w:rFonts w:ascii="Times New Roman" w:hAnsi="Times New Roman"/>
          <w:szCs w:val="24"/>
        </w:rPr>
      </w:pPr>
      <w:r>
        <w:rPr>
          <w:rFonts w:ascii="Times New Roman" w:hAnsi="Times New Roman"/>
          <w:szCs w:val="24"/>
        </w:rPr>
        <w:t xml:space="preserve">This information collection supports </w:t>
      </w:r>
      <w:r w:rsidR="00BD40F5">
        <w:rPr>
          <w:rFonts w:ascii="Times New Roman" w:hAnsi="Times New Roman"/>
          <w:szCs w:val="24"/>
        </w:rPr>
        <w:t xml:space="preserve">implementation of provisions </w:t>
      </w:r>
      <w:r>
        <w:rPr>
          <w:rFonts w:ascii="Times New Roman" w:hAnsi="Times New Roman"/>
          <w:szCs w:val="24"/>
        </w:rPr>
        <w:t xml:space="preserve">of </w:t>
      </w:r>
      <w:r w:rsidRPr="00677BAB" w:rsidR="0086299F">
        <w:rPr>
          <w:rFonts w:ascii="Times New Roman" w:hAnsi="Times New Roman"/>
          <w:szCs w:val="24"/>
        </w:rPr>
        <w:t xml:space="preserve">the </w:t>
      </w:r>
      <w:r>
        <w:rPr>
          <w:rFonts w:ascii="Times New Roman" w:hAnsi="Times New Roman"/>
          <w:szCs w:val="24"/>
        </w:rPr>
        <w:t>Federal Food, Drug, and Cosmetic Act (</w:t>
      </w:r>
      <w:r w:rsidRPr="00677BAB" w:rsidR="0086299F">
        <w:rPr>
          <w:rFonts w:ascii="Times New Roman" w:hAnsi="Times New Roman"/>
          <w:szCs w:val="24"/>
        </w:rPr>
        <w:t>FD&amp;C Act</w:t>
      </w:r>
      <w:r>
        <w:rPr>
          <w:rFonts w:ascii="Times New Roman" w:hAnsi="Times New Roman"/>
          <w:szCs w:val="24"/>
        </w:rPr>
        <w:t>)</w:t>
      </w:r>
      <w:r w:rsidR="00BD40F5">
        <w:rPr>
          <w:rFonts w:ascii="Times New Roman" w:hAnsi="Times New Roman"/>
          <w:szCs w:val="24"/>
        </w:rPr>
        <w:t xml:space="preserve">, along with provisions of the Public Health Service Act (PHS Act), </w:t>
      </w:r>
      <w:r>
        <w:rPr>
          <w:rFonts w:ascii="Times New Roman" w:hAnsi="Times New Roman"/>
          <w:szCs w:val="24"/>
        </w:rPr>
        <w:t>with regard to</w:t>
      </w:r>
      <w:r>
        <w:rPr>
          <w:rFonts w:ascii="Times New Roman" w:hAnsi="Times New Roman"/>
          <w:szCs w:val="24"/>
        </w:rPr>
        <w:t xml:space="preserve"> medical device shortages</w:t>
      </w:r>
      <w:r w:rsidRPr="00677BAB" w:rsidR="0086299F">
        <w:rPr>
          <w:rFonts w:ascii="Times New Roman" w:hAnsi="Times New Roman"/>
          <w:szCs w:val="24"/>
        </w:rPr>
        <w:t>.</w:t>
      </w:r>
      <w:r>
        <w:rPr>
          <w:rFonts w:ascii="Times New Roman" w:hAnsi="Times New Roman"/>
          <w:szCs w:val="24"/>
        </w:rPr>
        <w:t xml:space="preserve">  </w:t>
      </w:r>
    </w:p>
    <w:p w:rsidR="00DB5C64" w:rsidP="00677BAB" w14:paraId="5E7C7204" w14:textId="77777777">
      <w:pPr>
        <w:rPr>
          <w:rFonts w:ascii="Times New Roman" w:hAnsi="Times New Roman"/>
          <w:szCs w:val="24"/>
        </w:rPr>
      </w:pPr>
    </w:p>
    <w:p w:rsidR="00981679" w:rsidP="00677BAB" w14:paraId="7F47A8F7" w14:textId="3B7A5597">
      <w:pPr>
        <w:rPr>
          <w:rFonts w:ascii="Times New Roman" w:hAnsi="Times New Roman"/>
          <w:szCs w:val="24"/>
        </w:rPr>
      </w:pPr>
      <w:r w:rsidRPr="00677BAB">
        <w:rPr>
          <w:rFonts w:ascii="Times New Roman" w:hAnsi="Times New Roman"/>
          <w:szCs w:val="24"/>
        </w:rPr>
        <w:t xml:space="preserve">Under section 1003(d)(2) </w:t>
      </w:r>
      <w:r w:rsidR="00677BAB">
        <w:rPr>
          <w:rFonts w:ascii="Times New Roman" w:hAnsi="Times New Roman"/>
          <w:szCs w:val="24"/>
        </w:rPr>
        <w:t xml:space="preserve">of the </w:t>
      </w:r>
      <w:r w:rsidRPr="00677BAB">
        <w:rPr>
          <w:rFonts w:ascii="Times New Roman" w:hAnsi="Times New Roman"/>
          <w:szCs w:val="24"/>
        </w:rPr>
        <w:t>FD&amp;C Act (21 U.S.C. 393(d)(2)), the Commissioner of Food and Drugs is authorized to implement general powers (including conducting research) to carry out effectively the mission of FDA.</w:t>
      </w:r>
      <w:r w:rsidR="00677BAB">
        <w:rPr>
          <w:rFonts w:ascii="Times New Roman" w:hAnsi="Times New Roman"/>
          <w:szCs w:val="24"/>
        </w:rPr>
        <w:t xml:space="preserve">  </w:t>
      </w:r>
      <w:r w:rsidRPr="00677BAB">
        <w:rPr>
          <w:rFonts w:ascii="Times New Roman" w:hAnsi="Times New Roman"/>
          <w:szCs w:val="24"/>
        </w:rPr>
        <w:t xml:space="preserve">After the events of September 11, 2001, and as part of broader counterterrorism and emergency preparedness activities, </w:t>
      </w:r>
      <w:r w:rsidR="00BA7432">
        <w:rPr>
          <w:rFonts w:ascii="Times New Roman" w:hAnsi="Times New Roman"/>
          <w:szCs w:val="24"/>
        </w:rPr>
        <w:t>FDA’s</w:t>
      </w:r>
      <w:r w:rsidR="00677BAB">
        <w:rPr>
          <w:rFonts w:ascii="Times New Roman" w:hAnsi="Times New Roman"/>
          <w:szCs w:val="24"/>
        </w:rPr>
        <w:t xml:space="preserve"> </w:t>
      </w:r>
      <w:r w:rsidRPr="00677BAB">
        <w:rPr>
          <w:rFonts w:ascii="Times New Roman" w:hAnsi="Times New Roman"/>
          <w:szCs w:val="24"/>
        </w:rPr>
        <w:t>Center for Devices and Radiological Health (CDRH) began developing operational plans and interventions that would enable CDRH to anticipate and respond to medical device shortages that might arise in the context of federally declared disasters/emergencies or regulatory actions.</w:t>
      </w:r>
      <w:r w:rsidR="00BD40F5">
        <w:rPr>
          <w:rFonts w:ascii="Times New Roman" w:hAnsi="Times New Roman"/>
          <w:szCs w:val="24"/>
        </w:rPr>
        <w:t xml:space="preserve"> </w:t>
      </w:r>
      <w:r w:rsidRPr="00677BAB">
        <w:rPr>
          <w:rFonts w:ascii="Times New Roman" w:hAnsi="Times New Roman"/>
          <w:szCs w:val="24"/>
        </w:rPr>
        <w:t>This voluntary data collection process consists of outreach to firms who have been identified as producing or distributing medical devices that may be considered essential to the response effort.</w:t>
      </w:r>
      <w:r w:rsidR="00BD40F5">
        <w:rPr>
          <w:rFonts w:ascii="Times New Roman" w:hAnsi="Times New Roman"/>
          <w:szCs w:val="24"/>
        </w:rPr>
        <w:t xml:space="preserve">  </w:t>
      </w:r>
      <w:r w:rsidRPr="00677BAB">
        <w:rPr>
          <w:rFonts w:ascii="Times New Roman" w:hAnsi="Times New Roman"/>
          <w:szCs w:val="24"/>
        </w:rPr>
        <w:t>Additional follow-up correspondence may occasionally be needed to verify/validate data, confirm receipt of follow-up correspondence(s), and/or request additional details to further inform FDA's public health response.</w:t>
      </w:r>
    </w:p>
    <w:p w:rsidR="00BD40F5" w:rsidRPr="00677BAB" w:rsidP="00677BAB" w14:paraId="20E4AD6A" w14:textId="77777777">
      <w:pPr>
        <w:rPr>
          <w:rFonts w:ascii="Times New Roman" w:hAnsi="Times New Roman"/>
          <w:szCs w:val="24"/>
        </w:rPr>
      </w:pPr>
    </w:p>
    <w:p w:rsidR="00981679" w:rsidRPr="00677BAB" w:rsidP="00677BAB" w14:paraId="15A5D255" w14:textId="63D89AEB">
      <w:pPr>
        <w:rPr>
          <w:rFonts w:ascii="Times New Roman" w:hAnsi="Times New Roman"/>
          <w:szCs w:val="24"/>
        </w:rPr>
      </w:pPr>
      <w:r>
        <w:rPr>
          <w:rFonts w:ascii="Times New Roman" w:hAnsi="Times New Roman"/>
          <w:szCs w:val="24"/>
        </w:rPr>
        <w:t xml:space="preserve">Enacted on March 27, 2020, the </w:t>
      </w:r>
      <w:r w:rsidRPr="00677BAB">
        <w:rPr>
          <w:rFonts w:ascii="Times New Roman" w:hAnsi="Times New Roman"/>
          <w:szCs w:val="24"/>
        </w:rPr>
        <w:t xml:space="preserve">Coronavirus Aid, Relief, and Economic Security Act (CARES Act) </w:t>
      </w:r>
      <w:r>
        <w:rPr>
          <w:rFonts w:ascii="Times New Roman" w:hAnsi="Times New Roman"/>
          <w:szCs w:val="24"/>
        </w:rPr>
        <w:t xml:space="preserve">added section </w:t>
      </w:r>
      <w:r w:rsidRPr="00677BAB">
        <w:rPr>
          <w:rFonts w:ascii="Times New Roman" w:hAnsi="Times New Roman"/>
          <w:szCs w:val="24"/>
        </w:rPr>
        <w:t xml:space="preserve">506J </w:t>
      </w:r>
      <w:r>
        <w:rPr>
          <w:rFonts w:ascii="Times New Roman" w:hAnsi="Times New Roman"/>
          <w:szCs w:val="24"/>
        </w:rPr>
        <w:t xml:space="preserve">to the FD&amp;C Act.  </w:t>
      </w:r>
      <w:r w:rsidRPr="00677BAB">
        <w:rPr>
          <w:rFonts w:ascii="Times New Roman" w:hAnsi="Times New Roman"/>
          <w:szCs w:val="24"/>
        </w:rPr>
        <w:t>Section 506J of the FD&amp;C Act requires manufacturers of certain devices to</w:t>
      </w:r>
      <w:r w:rsidRPr="00677BAB">
        <w:rPr>
          <w:rFonts w:ascii="Times New Roman" w:hAnsi="Times New Roman"/>
          <w:szCs w:val="24"/>
        </w:rPr>
        <w:t xml:space="preserve"> </w:t>
      </w:r>
      <w:r w:rsidRPr="00677BAB">
        <w:rPr>
          <w:rFonts w:ascii="Times New Roman" w:hAnsi="Times New Roman"/>
          <w:szCs w:val="24"/>
        </w:rPr>
        <w:t>notify FDA “</w:t>
      </w:r>
      <w:r w:rsidRPr="00BD40F5">
        <w:rPr>
          <w:rFonts w:ascii="Times New Roman" w:hAnsi="Times New Roman"/>
          <w:i/>
          <w:iCs/>
          <w:szCs w:val="24"/>
        </w:rPr>
        <w:t>of a permanent discontinuance in the manufacture of the device</w:t>
      </w:r>
      <w:r w:rsidRPr="00677BAB">
        <w:rPr>
          <w:rFonts w:ascii="Times New Roman" w:hAnsi="Times New Roman"/>
          <w:szCs w:val="24"/>
        </w:rPr>
        <w:t>” or “</w:t>
      </w:r>
      <w:r w:rsidRPr="00BD40F5">
        <w:rPr>
          <w:rFonts w:ascii="Times New Roman" w:hAnsi="Times New Roman"/>
          <w:i/>
          <w:iCs/>
          <w:szCs w:val="24"/>
        </w:rPr>
        <w:t>an interruption in the manufacture of the device that is likely to lead to a meaningful disruption in supply of that device in the United States</w:t>
      </w:r>
      <w:r w:rsidRPr="00677BAB">
        <w:rPr>
          <w:rFonts w:ascii="Times New Roman" w:hAnsi="Times New Roman"/>
          <w:szCs w:val="24"/>
        </w:rPr>
        <w:t>” during or in advance of a declared public health emergency, and the reason for such discontinuance or interruption.</w:t>
      </w:r>
      <w:r>
        <w:rPr>
          <w:rFonts w:ascii="Times New Roman" w:hAnsi="Times New Roman"/>
          <w:szCs w:val="24"/>
        </w:rPr>
        <w:t xml:space="preserve">  </w:t>
      </w:r>
      <w:r w:rsidRPr="00677BAB">
        <w:rPr>
          <w:rFonts w:ascii="Times New Roman" w:hAnsi="Times New Roman"/>
          <w:szCs w:val="24"/>
        </w:rPr>
        <w:t xml:space="preserve">Section 506J </w:t>
      </w:r>
      <w:r>
        <w:rPr>
          <w:rFonts w:ascii="Times New Roman" w:hAnsi="Times New Roman"/>
          <w:szCs w:val="24"/>
        </w:rPr>
        <w:t xml:space="preserve">sets forth content and timing requirements and provides for FDA action on </w:t>
      </w:r>
      <w:r w:rsidRPr="00677BAB">
        <w:rPr>
          <w:rFonts w:ascii="Times New Roman" w:hAnsi="Times New Roman"/>
          <w:szCs w:val="24"/>
        </w:rPr>
        <w:t xml:space="preserve">information, including (1) publicly posting a list of devices it determines to be in shortage, (2) publicly posting the reasons for the shortage, and (3) issuing letters to manufacturers that fail to comply with the notification requirements of section 506J.       </w:t>
      </w:r>
    </w:p>
    <w:p w:rsidR="000741B6" w:rsidP="00677BAB" w14:paraId="7E11F31C" w14:textId="77777777">
      <w:pPr>
        <w:rPr>
          <w:rFonts w:ascii="Times New Roman" w:hAnsi="Times New Roman"/>
          <w:szCs w:val="24"/>
        </w:rPr>
      </w:pPr>
    </w:p>
    <w:p w:rsidR="000741B6" w:rsidRPr="000741B6" w:rsidP="000741B6" w14:paraId="65FB562B" w14:textId="77777777">
      <w:pPr>
        <w:rPr>
          <w:rFonts w:ascii="Times New Roman" w:hAnsi="Times New Roman"/>
          <w:szCs w:val="24"/>
        </w:rPr>
      </w:pPr>
      <w:r w:rsidRPr="000741B6">
        <w:rPr>
          <w:rFonts w:ascii="Times New Roman" w:hAnsi="Times New Roman"/>
          <w:szCs w:val="24"/>
        </w:rPr>
        <w:t xml:space="preserve">On December 29, 2022, the Prepare for and Respond to Existing Viruses, Emerging New Threats, and Pandemics Act (“PREVENT Pandemics Act”) was signed into law as part of the Consolidated Appropriations Act, 2023, Pub. L. 117–328 (hereafter referred to as the “FY 2023 Omnibus”). Section 2514(c) of the FY 2023 Omnibus directed FDA to issue or revise guidance regarding requirements under section 506J and include a list of each device product code for which a manufacturer of such device is required to notify FDA in accordance with </w:t>
      </w:r>
      <w:r w:rsidRPr="000741B6">
        <w:rPr>
          <w:rFonts w:ascii="Times New Roman" w:hAnsi="Times New Roman"/>
          <w:szCs w:val="24"/>
        </w:rPr>
        <w:t>section 506J. Section 2514 the FY 2023 Omnibus amended section 506J to add section 506J(h), “Additional Notifications” and directed FDA to issue guidance “to facilitate voluntary notifications.”</w:t>
      </w:r>
    </w:p>
    <w:p w:rsidR="000741B6" w:rsidRPr="000741B6" w:rsidP="000741B6" w14:paraId="7625AF72" w14:textId="77777777">
      <w:pPr>
        <w:rPr>
          <w:rFonts w:ascii="Times New Roman" w:hAnsi="Times New Roman"/>
          <w:szCs w:val="24"/>
        </w:rPr>
      </w:pPr>
    </w:p>
    <w:p w:rsidR="000741B6" w:rsidRPr="000741B6" w:rsidP="000741B6" w14:paraId="1EC8A3F9" w14:textId="7C0B801C">
      <w:pPr>
        <w:rPr>
          <w:rFonts w:ascii="Times New Roman" w:hAnsi="Times New Roman"/>
          <w:szCs w:val="24"/>
        </w:rPr>
      </w:pPr>
      <w:r w:rsidRPr="000741B6">
        <w:rPr>
          <w:rFonts w:ascii="Times New Roman" w:hAnsi="Times New Roman"/>
          <w:szCs w:val="24"/>
        </w:rPr>
        <w:t>In the Federal Register of November 17, 2023 (88 FR 80310),</w:t>
      </w:r>
      <w:r>
        <w:rPr>
          <w:rStyle w:val="FootnoteReference"/>
          <w:rFonts w:ascii="Times New Roman" w:hAnsi="Times New Roman"/>
          <w:szCs w:val="24"/>
        </w:rPr>
        <w:footnoteReference w:id="2"/>
      </w:r>
      <w:r w:rsidRPr="000741B6">
        <w:rPr>
          <w:rFonts w:ascii="Times New Roman" w:hAnsi="Times New Roman"/>
          <w:szCs w:val="24"/>
        </w:rPr>
        <w:t xml:space="preserve"> FDA announced the availability of the final guidance entitled “Notifying FDA of a Permanent Discontinuance or Interruption in Manufacturing of a Device Under Section 506J of the FD&amp;C Act” and the draft guidance entitled “Select Updates for the 506J Guidance: 506J Device List and Additional Notifications.”   </w:t>
      </w:r>
    </w:p>
    <w:p w:rsidR="000741B6" w:rsidRPr="000741B6" w:rsidP="000741B6" w14:paraId="12474F2B" w14:textId="77777777">
      <w:pPr>
        <w:rPr>
          <w:rFonts w:ascii="Times New Roman" w:hAnsi="Times New Roman"/>
          <w:szCs w:val="24"/>
        </w:rPr>
      </w:pPr>
    </w:p>
    <w:p w:rsidR="000741B6" w:rsidRPr="000741B6" w:rsidP="000741B6" w14:paraId="54B4D194" w14:textId="5E2037B6">
      <w:pPr>
        <w:rPr>
          <w:rFonts w:ascii="Times New Roman" w:hAnsi="Times New Roman"/>
          <w:szCs w:val="24"/>
        </w:rPr>
      </w:pPr>
      <w:r>
        <w:rPr>
          <w:rFonts w:ascii="Times New Roman" w:hAnsi="Times New Roman"/>
          <w:szCs w:val="24"/>
        </w:rPr>
        <w:t>T</w:t>
      </w:r>
      <w:r w:rsidRPr="000741B6">
        <w:rPr>
          <w:rFonts w:ascii="Times New Roman" w:hAnsi="Times New Roman"/>
          <w:szCs w:val="24"/>
        </w:rPr>
        <w:t>he final guidance, “Notifying FDA of a Permanent Discontinuance or Interruption in Manufacturing of a Device Under Section 506J of the FD&amp;C Act” (hereafter referred to as the “506J Guidance”) assists stakeholders in the Agency's implementation of section 506J. This guidance serves as the baseline for information about notifications under section 506J during or in advance of any PHE. FDA provides additional clarification on who is required to notify FDA, when such notifications are required, what information FDA expects manufacturers to include in such notifications, and how to submit notifications. Additionally, FDA describes how FDA determines that a device is in shortage and additional actions FDA may take to help prevent or mitigate a potential device shortage.</w:t>
      </w:r>
    </w:p>
    <w:p w:rsidR="000741B6" w:rsidRPr="000741B6" w:rsidP="000741B6" w14:paraId="37D8F402" w14:textId="77777777">
      <w:pPr>
        <w:rPr>
          <w:rFonts w:ascii="Times New Roman" w:hAnsi="Times New Roman"/>
          <w:szCs w:val="24"/>
        </w:rPr>
      </w:pPr>
    </w:p>
    <w:p w:rsidR="000741B6" w:rsidP="000741B6" w14:paraId="22E5F58F" w14:textId="25DF7BE6">
      <w:pPr>
        <w:rPr>
          <w:rFonts w:ascii="Times New Roman" w:hAnsi="Times New Roman"/>
          <w:szCs w:val="24"/>
        </w:rPr>
      </w:pPr>
      <w:r w:rsidRPr="000741B6">
        <w:rPr>
          <w:rFonts w:ascii="Times New Roman" w:hAnsi="Times New Roman"/>
          <w:szCs w:val="24"/>
        </w:rPr>
        <w:t>In the draft guidance “Select Updates for the 506J Guidance: 506J Device List and Additional Notifications,” FDA proposes updates to the 506J Guidance. Specifically, FDA has developed a list of devices, by FDA product code, for which a manufacturer of such devices is required to notify FDA in accordance with section 506J (hereafter referred to as the “506J Device List”). The 506J Device List is based on the requirements under section 506J(a). In section 2514 of the FY 2023 Omnibus, Congress directed FDA to issue guidance on the requirements under section 506J and to include “a list of each device product code for which a manufacturer of such device is required to notify the Secretary in accordance with section 506J.” Thus, manufacturers of a device on the 506J Device List must notify FDA in accordance with 506J for each such device. For more information, see the 506J Device List web page, available at https://www.fda.gov/medical-devices/medical-device-supply-chain-and-shortages/506j-device-list.  Additionally, consistent with section 506J(h), FDA is proposing to clarify for stakeholders that manufacturers may submit, and FDA may receive, voluntary notifications regarding supply chain issues at any time, unrelated to the declaration or potential declaration of a PHE.</w:t>
      </w:r>
    </w:p>
    <w:p w:rsidR="001412C2" w:rsidRPr="00677BAB" w:rsidP="00677BAB" w14:paraId="57133821" w14:textId="77777777">
      <w:pPr>
        <w:rPr>
          <w:rFonts w:ascii="Times New Roman" w:hAnsi="Times New Roman"/>
          <w:szCs w:val="24"/>
        </w:rPr>
      </w:pPr>
    </w:p>
    <w:p w:rsidR="00892703" w:rsidRPr="00677BAB" w:rsidP="006A3970" w14:paraId="508D5C84" w14:textId="6B9A86BE">
      <w:pPr>
        <w:keepNext/>
        <w:rPr>
          <w:rFonts w:ascii="Times New Roman" w:hAnsi="Times New Roman"/>
          <w:szCs w:val="24"/>
        </w:rPr>
      </w:pPr>
      <w:r w:rsidRPr="00677BAB">
        <w:rPr>
          <w:rFonts w:ascii="Times New Roman" w:hAnsi="Times New Roman"/>
          <w:szCs w:val="24"/>
        </w:rPr>
        <w:t>2.</w:t>
      </w:r>
      <w:r w:rsidR="00C9454F">
        <w:rPr>
          <w:rFonts w:ascii="Times New Roman" w:hAnsi="Times New Roman"/>
          <w:szCs w:val="24"/>
        </w:rPr>
        <w:t xml:space="preserve">  </w:t>
      </w:r>
      <w:r w:rsidRPr="00AD7F02">
        <w:rPr>
          <w:rFonts w:ascii="Times New Roman" w:hAnsi="Times New Roman"/>
          <w:szCs w:val="24"/>
          <w:u w:val="single"/>
        </w:rPr>
        <w:t>Purpose and Use of the Information</w:t>
      </w:r>
      <w:r w:rsidRPr="00AD7F02" w:rsidR="00C04E1B">
        <w:rPr>
          <w:rFonts w:ascii="Times New Roman" w:hAnsi="Times New Roman"/>
          <w:szCs w:val="24"/>
          <w:u w:val="single"/>
        </w:rPr>
        <w:t xml:space="preserve"> Collection</w:t>
      </w:r>
    </w:p>
    <w:p w:rsidR="00892703" w:rsidRPr="00677BAB" w:rsidP="006A3970" w14:paraId="5A23186E" w14:textId="77777777">
      <w:pPr>
        <w:keepNext/>
        <w:rPr>
          <w:rFonts w:ascii="Times New Roman" w:hAnsi="Times New Roman"/>
          <w:szCs w:val="24"/>
        </w:rPr>
      </w:pPr>
    </w:p>
    <w:p w:rsidR="007E37A4" w:rsidRPr="00677BAB" w:rsidP="00AD7F02" w14:paraId="41E738AF" w14:textId="79BE668E">
      <w:pPr>
        <w:rPr>
          <w:rFonts w:ascii="Times New Roman" w:hAnsi="Times New Roman"/>
          <w:szCs w:val="24"/>
        </w:rPr>
      </w:pPr>
      <w:r>
        <w:rPr>
          <w:rFonts w:ascii="Times New Roman" w:hAnsi="Times New Roman"/>
          <w:szCs w:val="24"/>
        </w:rPr>
        <w:t>We use the information to help</w:t>
      </w:r>
      <w:r w:rsidRPr="00677BAB" w:rsidR="00892703">
        <w:rPr>
          <w:rFonts w:ascii="Times New Roman" w:hAnsi="Times New Roman"/>
          <w:szCs w:val="24"/>
        </w:rPr>
        <w:t xml:space="preserve"> </w:t>
      </w:r>
      <w:r w:rsidRPr="00677BAB" w:rsidR="00D17CD3">
        <w:rPr>
          <w:rFonts w:ascii="Times New Roman" w:hAnsi="Times New Roman"/>
          <w:szCs w:val="24"/>
        </w:rPr>
        <w:t xml:space="preserve">mitigate </w:t>
      </w:r>
      <w:r>
        <w:rPr>
          <w:rFonts w:ascii="Times New Roman" w:hAnsi="Times New Roman"/>
          <w:szCs w:val="24"/>
        </w:rPr>
        <w:t xml:space="preserve">potential and </w:t>
      </w:r>
      <w:r w:rsidRPr="00677BAB" w:rsidR="00FA54B2">
        <w:rPr>
          <w:rFonts w:ascii="Times New Roman" w:hAnsi="Times New Roman"/>
          <w:szCs w:val="24"/>
        </w:rPr>
        <w:t xml:space="preserve">actual </w:t>
      </w:r>
      <w:r w:rsidRPr="00677BAB" w:rsidR="00D17CD3">
        <w:rPr>
          <w:rFonts w:ascii="Times New Roman" w:hAnsi="Times New Roman"/>
          <w:szCs w:val="24"/>
        </w:rPr>
        <w:t>medical device shortages.</w:t>
      </w:r>
      <w:r w:rsidR="00AD7F02">
        <w:rPr>
          <w:rFonts w:ascii="Times New Roman" w:hAnsi="Times New Roman"/>
          <w:szCs w:val="24"/>
        </w:rPr>
        <w:t xml:space="preserve">  We also use the information as prescribed in section 506J regarding the public posting </w:t>
      </w:r>
      <w:r w:rsidR="00001BEE">
        <w:rPr>
          <w:rFonts w:ascii="Times New Roman" w:hAnsi="Times New Roman"/>
          <w:szCs w:val="24"/>
        </w:rPr>
        <w:t xml:space="preserve">of </w:t>
      </w:r>
      <w:r w:rsidR="00AD7F02">
        <w:rPr>
          <w:rFonts w:ascii="Times New Roman" w:hAnsi="Times New Roman"/>
          <w:szCs w:val="24"/>
        </w:rPr>
        <w:t>device shortage information.</w:t>
      </w:r>
    </w:p>
    <w:p w:rsidR="00892703" w:rsidRPr="00677BAB" w:rsidP="00677BAB" w14:paraId="690CFCBC" w14:textId="77777777">
      <w:pPr>
        <w:rPr>
          <w:rFonts w:ascii="Times New Roman" w:hAnsi="Times New Roman"/>
          <w:szCs w:val="24"/>
        </w:rPr>
      </w:pPr>
    </w:p>
    <w:p w:rsidR="00892703" w:rsidRPr="00677BAB" w:rsidP="00677BAB" w14:paraId="3248955C" w14:textId="5B36CD1E">
      <w:pPr>
        <w:rPr>
          <w:rFonts w:ascii="Times New Roman" w:hAnsi="Times New Roman"/>
          <w:szCs w:val="24"/>
        </w:rPr>
      </w:pPr>
      <w:r w:rsidRPr="00677BAB">
        <w:rPr>
          <w:rFonts w:ascii="Times New Roman" w:hAnsi="Times New Roman"/>
          <w:szCs w:val="24"/>
        </w:rPr>
        <w:t>3.</w:t>
      </w:r>
      <w:r w:rsidR="00AD7F02">
        <w:rPr>
          <w:rFonts w:ascii="Times New Roman" w:hAnsi="Times New Roman"/>
          <w:szCs w:val="24"/>
        </w:rPr>
        <w:t xml:space="preserve">  </w:t>
      </w:r>
      <w:r w:rsidRPr="00AD7F02">
        <w:rPr>
          <w:rFonts w:ascii="Times New Roman" w:hAnsi="Times New Roman"/>
          <w:szCs w:val="24"/>
          <w:u w:val="single"/>
        </w:rPr>
        <w:t xml:space="preserve">Use of </w:t>
      </w:r>
      <w:r w:rsidRPr="00AD7F02" w:rsidR="00C04E1B">
        <w:rPr>
          <w:rFonts w:ascii="Times New Roman" w:hAnsi="Times New Roman"/>
          <w:szCs w:val="24"/>
          <w:u w:val="single"/>
        </w:rPr>
        <w:t xml:space="preserve">Improved </w:t>
      </w:r>
      <w:r w:rsidRPr="00AD7F02">
        <w:rPr>
          <w:rFonts w:ascii="Times New Roman" w:hAnsi="Times New Roman"/>
          <w:szCs w:val="24"/>
          <w:u w:val="single"/>
        </w:rPr>
        <w:t>Information Technology and Burden Reduction</w:t>
      </w:r>
    </w:p>
    <w:p w:rsidR="00892703" w:rsidRPr="00677BAB" w:rsidP="00677BAB" w14:paraId="2596B4D4" w14:textId="77777777">
      <w:pPr>
        <w:rPr>
          <w:rFonts w:ascii="Times New Roman" w:hAnsi="Times New Roman"/>
          <w:szCs w:val="24"/>
        </w:rPr>
      </w:pPr>
    </w:p>
    <w:p w:rsidR="00742E55" w:rsidRPr="00677BAB" w:rsidP="00677BAB" w14:paraId="195C6CFC" w14:textId="2F257FC9">
      <w:pPr>
        <w:rPr>
          <w:rFonts w:ascii="Times New Roman" w:hAnsi="Times New Roman"/>
          <w:szCs w:val="24"/>
        </w:rPr>
      </w:pPr>
      <w:r>
        <w:rPr>
          <w:rFonts w:ascii="Times New Roman" w:hAnsi="Times New Roman"/>
          <w:szCs w:val="24"/>
        </w:rPr>
        <w:t>We utilize electronic means to implement the information collection, seeking least burdensome ways to gather and receive necessary data.</w:t>
      </w:r>
      <w:r w:rsidR="00460124">
        <w:rPr>
          <w:rFonts w:ascii="Times New Roman" w:hAnsi="Times New Roman"/>
          <w:szCs w:val="24"/>
        </w:rPr>
        <w:t xml:space="preserve">  </w:t>
      </w:r>
      <w:r w:rsidRPr="00460124" w:rsidR="00460124">
        <w:rPr>
          <w:rFonts w:ascii="Times New Roman" w:hAnsi="Times New Roman"/>
          <w:szCs w:val="24"/>
        </w:rPr>
        <w:t xml:space="preserve">Respondents may notify FDA about an interruption or permanent discontinuance in device manufacturing (506J notification) on our website at </w:t>
      </w:r>
      <w:hyperlink r:id="rId6" w:history="1">
        <w:r w:rsidRPr="00D736E1" w:rsidR="00460124">
          <w:rPr>
            <w:rStyle w:val="Hyperlink"/>
            <w:rFonts w:ascii="Times New Roman" w:hAnsi="Times New Roman"/>
            <w:b w:val="0"/>
            <w:bCs w:val="0"/>
            <w:szCs w:val="24"/>
          </w:rPr>
          <w:t>https://fda-cdrh.my.salesforce-sites.com/shortages/</w:t>
        </w:r>
      </w:hyperlink>
      <w:r w:rsidRPr="00D736E1" w:rsidR="00460124">
        <w:rPr>
          <w:rFonts w:ascii="Times New Roman" w:hAnsi="Times New Roman"/>
          <w:szCs w:val="24"/>
        </w:rPr>
        <w:t>.</w:t>
      </w:r>
    </w:p>
    <w:p w:rsidR="00892703" w:rsidRPr="00677BAB" w:rsidP="00677BAB" w14:paraId="3E866788" w14:textId="77777777">
      <w:pPr>
        <w:rPr>
          <w:rFonts w:ascii="Times New Roman" w:hAnsi="Times New Roman"/>
          <w:szCs w:val="24"/>
        </w:rPr>
      </w:pPr>
    </w:p>
    <w:p w:rsidR="00892703" w:rsidRPr="00677BAB" w:rsidP="00677BAB" w14:paraId="453EA3EC" w14:textId="495575A5">
      <w:pPr>
        <w:rPr>
          <w:rFonts w:ascii="Times New Roman" w:hAnsi="Times New Roman"/>
          <w:szCs w:val="24"/>
        </w:rPr>
      </w:pPr>
      <w:r w:rsidRPr="00677BAB">
        <w:rPr>
          <w:rFonts w:ascii="Times New Roman" w:hAnsi="Times New Roman"/>
          <w:szCs w:val="24"/>
        </w:rPr>
        <w:t>4.</w:t>
      </w:r>
      <w:r w:rsidR="00AD7F02">
        <w:rPr>
          <w:rFonts w:ascii="Times New Roman" w:hAnsi="Times New Roman"/>
          <w:szCs w:val="24"/>
        </w:rPr>
        <w:t xml:space="preserve">  </w:t>
      </w:r>
      <w:r w:rsidRPr="00AD7F02">
        <w:rPr>
          <w:rFonts w:ascii="Times New Roman" w:hAnsi="Times New Roman"/>
          <w:szCs w:val="24"/>
          <w:u w:val="single"/>
        </w:rPr>
        <w:t>Efforts to Identify Duplication and Use of Similar Information</w:t>
      </w:r>
    </w:p>
    <w:p w:rsidR="00892703" w:rsidRPr="00677BAB" w:rsidP="00677BAB" w14:paraId="0F237492" w14:textId="77777777">
      <w:pPr>
        <w:rPr>
          <w:rFonts w:ascii="Times New Roman" w:hAnsi="Times New Roman"/>
          <w:szCs w:val="24"/>
        </w:rPr>
      </w:pPr>
    </w:p>
    <w:p w:rsidR="00992965" w:rsidRPr="00677BAB" w:rsidP="00AD7F02" w14:paraId="4DDB4776" w14:textId="0EC7898D">
      <w:pPr>
        <w:rPr>
          <w:rFonts w:ascii="Times New Roman" w:hAnsi="Times New Roman"/>
          <w:szCs w:val="24"/>
        </w:rPr>
      </w:pPr>
      <w:r>
        <w:rPr>
          <w:rFonts w:ascii="Times New Roman" w:hAnsi="Times New Roman"/>
          <w:szCs w:val="24"/>
        </w:rPr>
        <w:t xml:space="preserve">We are </w:t>
      </w:r>
      <w:r w:rsidR="000D5A40">
        <w:rPr>
          <w:rFonts w:ascii="Times New Roman" w:hAnsi="Times New Roman"/>
          <w:szCs w:val="24"/>
        </w:rPr>
        <w:t>unaware</w:t>
      </w:r>
      <w:r>
        <w:rPr>
          <w:rFonts w:ascii="Times New Roman" w:hAnsi="Times New Roman"/>
          <w:szCs w:val="24"/>
        </w:rPr>
        <w:t xml:space="preserve"> of duplicative information collection.</w:t>
      </w:r>
      <w:r w:rsidRPr="00677BAB" w:rsidR="009E307B">
        <w:rPr>
          <w:rFonts w:ascii="Times New Roman" w:hAnsi="Times New Roman"/>
          <w:szCs w:val="24"/>
        </w:rPr>
        <w:t xml:space="preserve"> </w:t>
      </w:r>
    </w:p>
    <w:p w:rsidR="00F64A7D" w:rsidRPr="00677BAB" w:rsidP="00677BAB" w14:paraId="33E2073B" w14:textId="77777777">
      <w:pPr>
        <w:rPr>
          <w:rFonts w:ascii="Times New Roman" w:hAnsi="Times New Roman"/>
          <w:szCs w:val="24"/>
        </w:rPr>
      </w:pPr>
    </w:p>
    <w:p w:rsidR="00892703" w:rsidRPr="00677BAB" w:rsidP="00677BAB" w14:paraId="013C2F9D" w14:textId="7C185051">
      <w:pPr>
        <w:rPr>
          <w:rFonts w:ascii="Times New Roman" w:hAnsi="Times New Roman"/>
          <w:szCs w:val="24"/>
        </w:rPr>
      </w:pPr>
      <w:r w:rsidRPr="00677BAB">
        <w:rPr>
          <w:rFonts w:ascii="Times New Roman" w:hAnsi="Times New Roman"/>
          <w:szCs w:val="24"/>
        </w:rPr>
        <w:t>5.</w:t>
      </w:r>
      <w:r w:rsidR="00AD7F02">
        <w:rPr>
          <w:rFonts w:ascii="Times New Roman" w:hAnsi="Times New Roman"/>
          <w:szCs w:val="24"/>
        </w:rPr>
        <w:t xml:space="preserve">  </w:t>
      </w:r>
      <w:r w:rsidRPr="00AD7F02">
        <w:rPr>
          <w:rFonts w:ascii="Times New Roman" w:hAnsi="Times New Roman"/>
          <w:szCs w:val="24"/>
          <w:u w:val="single"/>
        </w:rPr>
        <w:t>Impact on Small Business</w:t>
      </w:r>
      <w:r w:rsidRPr="00AD7F02" w:rsidR="0035468B">
        <w:rPr>
          <w:rFonts w:ascii="Times New Roman" w:hAnsi="Times New Roman"/>
          <w:szCs w:val="24"/>
          <w:u w:val="single"/>
        </w:rPr>
        <w:t>es</w:t>
      </w:r>
      <w:r w:rsidRPr="00AD7F02">
        <w:rPr>
          <w:rFonts w:ascii="Times New Roman" w:hAnsi="Times New Roman"/>
          <w:szCs w:val="24"/>
          <w:u w:val="single"/>
        </w:rPr>
        <w:t xml:space="preserve"> or Other Small Entities</w:t>
      </w:r>
    </w:p>
    <w:p w:rsidR="00892703" w:rsidRPr="00677BAB" w:rsidP="00677BAB" w14:paraId="7CFB50F4" w14:textId="77777777">
      <w:pPr>
        <w:rPr>
          <w:rFonts w:ascii="Times New Roman" w:hAnsi="Times New Roman"/>
          <w:szCs w:val="24"/>
        </w:rPr>
      </w:pPr>
    </w:p>
    <w:p w:rsidR="00892703" w:rsidRPr="00677BAB" w:rsidP="00AD7F02" w14:paraId="505DA650" w14:textId="7B51AA09">
      <w:pPr>
        <w:rPr>
          <w:rFonts w:ascii="Times New Roman" w:hAnsi="Times New Roman"/>
          <w:szCs w:val="24"/>
        </w:rPr>
      </w:pPr>
      <w:r>
        <w:rPr>
          <w:rFonts w:ascii="Times New Roman" w:hAnsi="Times New Roman"/>
          <w:szCs w:val="24"/>
        </w:rPr>
        <w:t xml:space="preserve">Although some respondents to the information collection may be small businesses, FDA </w:t>
      </w:r>
      <w:r w:rsidR="000D5A40">
        <w:rPr>
          <w:rFonts w:ascii="Times New Roman" w:hAnsi="Times New Roman"/>
          <w:szCs w:val="24"/>
        </w:rPr>
        <w:t>utilizes</w:t>
      </w:r>
      <w:r>
        <w:rPr>
          <w:rFonts w:ascii="Times New Roman" w:hAnsi="Times New Roman"/>
          <w:szCs w:val="24"/>
        </w:rPr>
        <w:t xml:space="preserve"> the least burdensome means to gather information.</w:t>
      </w:r>
    </w:p>
    <w:p w:rsidR="00892703" w:rsidRPr="00677BAB" w:rsidP="00677BAB" w14:paraId="33C2323D" w14:textId="77777777">
      <w:pPr>
        <w:rPr>
          <w:rFonts w:ascii="Times New Roman" w:hAnsi="Times New Roman"/>
          <w:szCs w:val="24"/>
        </w:rPr>
      </w:pPr>
    </w:p>
    <w:p w:rsidR="00892703" w:rsidP="00677BAB" w14:paraId="3C0E2C92" w14:textId="67CA734B">
      <w:pPr>
        <w:rPr>
          <w:rFonts w:ascii="Times New Roman" w:hAnsi="Times New Roman"/>
          <w:szCs w:val="24"/>
        </w:rPr>
      </w:pPr>
      <w:r w:rsidRPr="00677BAB">
        <w:rPr>
          <w:rFonts w:ascii="Times New Roman" w:hAnsi="Times New Roman"/>
          <w:szCs w:val="24"/>
        </w:rPr>
        <w:t>6.</w:t>
      </w:r>
      <w:r w:rsidR="00AD7F02">
        <w:rPr>
          <w:rFonts w:ascii="Times New Roman" w:hAnsi="Times New Roman"/>
          <w:szCs w:val="24"/>
        </w:rPr>
        <w:t xml:space="preserve">  </w:t>
      </w:r>
      <w:r w:rsidRPr="00550295">
        <w:rPr>
          <w:rFonts w:ascii="Times New Roman" w:hAnsi="Times New Roman"/>
          <w:szCs w:val="24"/>
          <w:u w:val="single"/>
        </w:rPr>
        <w:t>Consequences of Collecting the Information Less Frequently</w:t>
      </w:r>
    </w:p>
    <w:p w:rsidR="00AD7F02" w:rsidP="00677BAB" w14:paraId="5CB5FE01" w14:textId="4CDE4C92">
      <w:pPr>
        <w:rPr>
          <w:rFonts w:ascii="Times New Roman" w:hAnsi="Times New Roman"/>
          <w:szCs w:val="24"/>
        </w:rPr>
      </w:pPr>
    </w:p>
    <w:p w:rsidR="005A24FD" w:rsidRPr="00677BAB" w:rsidP="00677BAB" w14:paraId="5E579DCC" w14:textId="6F4105AC">
      <w:pPr>
        <w:rPr>
          <w:rFonts w:ascii="Times New Roman" w:hAnsi="Times New Roman"/>
          <w:szCs w:val="24"/>
        </w:rPr>
      </w:pPr>
      <w:r>
        <w:rPr>
          <w:rFonts w:ascii="Times New Roman" w:hAnsi="Times New Roman"/>
          <w:szCs w:val="24"/>
        </w:rPr>
        <w:t xml:space="preserve">The timing of mandatory information collection is consistent with statutory requirements.  Voluntary information collection is conducted </w:t>
      </w:r>
      <w:r w:rsidRPr="00677BAB" w:rsidR="000578D7">
        <w:rPr>
          <w:rFonts w:ascii="Times New Roman" w:hAnsi="Times New Roman"/>
          <w:szCs w:val="24"/>
        </w:rPr>
        <w:t>quarter</w:t>
      </w:r>
      <w:r w:rsidRPr="00677BAB" w:rsidR="0039199B">
        <w:rPr>
          <w:rFonts w:ascii="Times New Roman" w:hAnsi="Times New Roman"/>
          <w:szCs w:val="24"/>
        </w:rPr>
        <w:t>ly</w:t>
      </w:r>
      <w:r w:rsidRPr="00677BAB" w:rsidR="000578D7">
        <w:rPr>
          <w:rFonts w:ascii="Times New Roman" w:hAnsi="Times New Roman"/>
          <w:szCs w:val="24"/>
        </w:rPr>
        <w:t xml:space="preserve"> (</w:t>
      </w:r>
      <w:r w:rsidRPr="00677BAB" w:rsidR="0039199B">
        <w:rPr>
          <w:rFonts w:ascii="Times New Roman" w:hAnsi="Times New Roman"/>
          <w:szCs w:val="24"/>
        </w:rPr>
        <w:t xml:space="preserve">every </w:t>
      </w:r>
      <w:r w:rsidRPr="00677BAB" w:rsidR="000578D7">
        <w:rPr>
          <w:rFonts w:ascii="Times New Roman" w:hAnsi="Times New Roman"/>
          <w:szCs w:val="24"/>
        </w:rPr>
        <w:t xml:space="preserve">3 months), or upon a significant change in a manufacturer’s ability to </w:t>
      </w:r>
      <w:r w:rsidRPr="00677BAB" w:rsidR="0039199B">
        <w:rPr>
          <w:rFonts w:ascii="Times New Roman" w:hAnsi="Times New Roman"/>
          <w:szCs w:val="24"/>
        </w:rPr>
        <w:t xml:space="preserve">produce and/or </w:t>
      </w:r>
      <w:r w:rsidRPr="00677BAB" w:rsidR="000578D7">
        <w:rPr>
          <w:rFonts w:ascii="Times New Roman" w:hAnsi="Times New Roman"/>
          <w:szCs w:val="24"/>
        </w:rPr>
        <w:t>market a</w:t>
      </w:r>
      <w:r w:rsidRPr="00677BAB" w:rsidR="0039199B">
        <w:rPr>
          <w:rFonts w:ascii="Times New Roman" w:hAnsi="Times New Roman"/>
          <w:szCs w:val="24"/>
        </w:rPr>
        <w:t xml:space="preserve">n essential </w:t>
      </w:r>
      <w:r w:rsidRPr="00677BAB" w:rsidR="000578D7">
        <w:rPr>
          <w:rFonts w:ascii="Times New Roman" w:hAnsi="Times New Roman"/>
          <w:szCs w:val="24"/>
        </w:rPr>
        <w:t>device.</w:t>
      </w:r>
      <w:r w:rsidR="00550295">
        <w:rPr>
          <w:rFonts w:ascii="Times New Roman" w:hAnsi="Times New Roman"/>
          <w:szCs w:val="24"/>
        </w:rPr>
        <w:t xml:space="preserve">  </w:t>
      </w:r>
      <w:r w:rsidRPr="00677BAB" w:rsidR="000578D7">
        <w:rPr>
          <w:rFonts w:ascii="Times New Roman" w:hAnsi="Times New Roman"/>
          <w:szCs w:val="24"/>
        </w:rPr>
        <w:t xml:space="preserve">The consequence of collecting this information less frequently is that CDRH’s ability to make the correct decision or to disseminate the correct information </w:t>
      </w:r>
      <w:r w:rsidRPr="00677BAB" w:rsidR="0039199B">
        <w:rPr>
          <w:rFonts w:ascii="Times New Roman" w:hAnsi="Times New Roman"/>
          <w:szCs w:val="24"/>
        </w:rPr>
        <w:t xml:space="preserve">to the public </w:t>
      </w:r>
      <w:r w:rsidRPr="00677BAB" w:rsidR="000578D7">
        <w:rPr>
          <w:rFonts w:ascii="Times New Roman" w:hAnsi="Times New Roman"/>
          <w:szCs w:val="24"/>
        </w:rPr>
        <w:t xml:space="preserve">may be compromised, hampering its mission to protect the public health. </w:t>
      </w:r>
    </w:p>
    <w:p w:rsidR="00892703" w:rsidRPr="00677BAB" w:rsidP="00677BAB" w14:paraId="52E31FF8" w14:textId="77777777">
      <w:pPr>
        <w:rPr>
          <w:rFonts w:ascii="Times New Roman" w:hAnsi="Times New Roman"/>
          <w:szCs w:val="24"/>
        </w:rPr>
      </w:pPr>
    </w:p>
    <w:p w:rsidR="00892703" w:rsidRPr="00677BAB" w:rsidP="00677BAB" w14:paraId="6E4E4834" w14:textId="11075342">
      <w:pPr>
        <w:rPr>
          <w:rFonts w:ascii="Times New Roman" w:hAnsi="Times New Roman"/>
          <w:szCs w:val="24"/>
        </w:rPr>
      </w:pPr>
      <w:r w:rsidRPr="00677BAB">
        <w:rPr>
          <w:rFonts w:ascii="Times New Roman" w:hAnsi="Times New Roman"/>
          <w:szCs w:val="24"/>
        </w:rPr>
        <w:t>7.</w:t>
      </w:r>
      <w:r w:rsidR="00550295">
        <w:rPr>
          <w:rFonts w:ascii="Times New Roman" w:hAnsi="Times New Roman"/>
          <w:szCs w:val="24"/>
        </w:rPr>
        <w:t xml:space="preserve">  </w:t>
      </w:r>
      <w:r w:rsidRPr="00550295">
        <w:rPr>
          <w:rFonts w:ascii="Times New Roman" w:hAnsi="Times New Roman"/>
          <w:szCs w:val="24"/>
          <w:u w:val="single"/>
        </w:rPr>
        <w:t>Special Circumstances Relating to the Guidelines of 5 CFR 1320.5</w:t>
      </w:r>
    </w:p>
    <w:p w:rsidR="00892703" w:rsidRPr="00677BAB" w:rsidP="00677BAB" w14:paraId="4C34EE4C" w14:textId="77777777">
      <w:pPr>
        <w:rPr>
          <w:rFonts w:ascii="Times New Roman" w:hAnsi="Times New Roman"/>
          <w:szCs w:val="24"/>
        </w:rPr>
      </w:pPr>
    </w:p>
    <w:p w:rsidR="00892703" w:rsidRPr="00677BAB" w:rsidP="00677BAB" w14:paraId="25A6B9BF" w14:textId="77777777">
      <w:pPr>
        <w:rPr>
          <w:rFonts w:ascii="Times New Roman" w:hAnsi="Times New Roman"/>
          <w:szCs w:val="24"/>
        </w:rPr>
      </w:pPr>
      <w:r w:rsidRPr="00677BAB">
        <w:rPr>
          <w:rFonts w:ascii="Times New Roman" w:hAnsi="Times New Roman"/>
          <w:szCs w:val="24"/>
        </w:rPr>
        <w:t>There are no special circumstances for this collection of information.</w:t>
      </w:r>
    </w:p>
    <w:p w:rsidR="00892703" w:rsidRPr="00677BAB" w:rsidP="00677BAB" w14:paraId="08308997" w14:textId="77777777">
      <w:pPr>
        <w:rPr>
          <w:rFonts w:ascii="Times New Roman" w:hAnsi="Times New Roman"/>
          <w:szCs w:val="24"/>
        </w:rPr>
      </w:pPr>
    </w:p>
    <w:p w:rsidR="00892703" w:rsidRPr="00677BAB" w:rsidP="00D736E1" w14:paraId="491B17FB" w14:textId="0C2EF410">
      <w:pPr>
        <w:keepNext/>
        <w:rPr>
          <w:rFonts w:ascii="Times New Roman" w:hAnsi="Times New Roman"/>
          <w:szCs w:val="24"/>
        </w:rPr>
      </w:pPr>
      <w:r w:rsidRPr="00677BAB">
        <w:rPr>
          <w:rFonts w:ascii="Times New Roman" w:hAnsi="Times New Roman"/>
          <w:szCs w:val="24"/>
        </w:rPr>
        <w:t>8.</w:t>
      </w:r>
      <w:r w:rsidR="00550295">
        <w:rPr>
          <w:rFonts w:ascii="Times New Roman" w:hAnsi="Times New Roman"/>
          <w:szCs w:val="24"/>
        </w:rPr>
        <w:t xml:space="preserve">  </w:t>
      </w:r>
      <w:r w:rsidRPr="00550295">
        <w:rPr>
          <w:rFonts w:ascii="Times New Roman" w:hAnsi="Times New Roman"/>
          <w:szCs w:val="24"/>
          <w:u w:val="single"/>
        </w:rPr>
        <w:t xml:space="preserve">Comments in Response to the Federal Register Notice and Efforts to Consult Outside </w:t>
      </w:r>
      <w:r w:rsidRPr="00550295" w:rsidR="00E21309">
        <w:rPr>
          <w:rFonts w:ascii="Times New Roman" w:hAnsi="Times New Roman"/>
          <w:szCs w:val="24"/>
          <w:u w:val="single"/>
        </w:rPr>
        <w:t xml:space="preserve">the </w:t>
      </w:r>
      <w:r w:rsidRPr="00550295">
        <w:rPr>
          <w:rFonts w:ascii="Times New Roman" w:hAnsi="Times New Roman"/>
          <w:szCs w:val="24"/>
          <w:u w:val="single"/>
        </w:rPr>
        <w:t>Agency</w:t>
      </w:r>
    </w:p>
    <w:p w:rsidR="00892703" w:rsidRPr="00677BAB" w:rsidP="00D736E1" w14:paraId="2F73E5E1" w14:textId="77777777">
      <w:pPr>
        <w:keepNext/>
        <w:rPr>
          <w:rFonts w:ascii="Times New Roman" w:hAnsi="Times New Roman"/>
          <w:szCs w:val="24"/>
        </w:rPr>
      </w:pPr>
    </w:p>
    <w:p w:rsidR="0074312E" w:rsidP="00677BAB" w14:paraId="3ECFC5C6" w14:textId="447B2D3D">
      <w:pPr>
        <w:rPr>
          <w:rFonts w:ascii="Times New Roman" w:hAnsi="Times New Roman"/>
          <w:szCs w:val="24"/>
        </w:rPr>
      </w:pPr>
      <w:r w:rsidRPr="00677BAB">
        <w:rPr>
          <w:rFonts w:ascii="Times New Roman" w:hAnsi="Times New Roman"/>
          <w:szCs w:val="24"/>
        </w:rPr>
        <w:t xml:space="preserve">In accordance with 5 CFR 1320.8(d), </w:t>
      </w:r>
      <w:r w:rsidR="000B6E39">
        <w:rPr>
          <w:rFonts w:ascii="Times New Roman" w:hAnsi="Times New Roman"/>
          <w:szCs w:val="24"/>
        </w:rPr>
        <w:t>FDA</w:t>
      </w:r>
      <w:r w:rsidR="00550295">
        <w:rPr>
          <w:rFonts w:ascii="Times New Roman" w:hAnsi="Times New Roman"/>
          <w:szCs w:val="24"/>
        </w:rPr>
        <w:t xml:space="preserve"> </w:t>
      </w:r>
      <w:r w:rsidRPr="00677BAB" w:rsidR="00892703">
        <w:rPr>
          <w:rFonts w:ascii="Times New Roman" w:hAnsi="Times New Roman"/>
          <w:szCs w:val="24"/>
        </w:rPr>
        <w:t>published</w:t>
      </w:r>
      <w:r w:rsidRPr="00677BAB">
        <w:rPr>
          <w:rFonts w:ascii="Times New Roman" w:hAnsi="Times New Roman"/>
          <w:szCs w:val="24"/>
        </w:rPr>
        <w:t xml:space="preserve"> a 60-day notice for public comment</w:t>
      </w:r>
      <w:r w:rsidRPr="00677BAB" w:rsidR="00892703">
        <w:rPr>
          <w:rFonts w:ascii="Times New Roman" w:hAnsi="Times New Roman"/>
          <w:szCs w:val="24"/>
        </w:rPr>
        <w:t xml:space="preserve"> in the </w:t>
      </w:r>
      <w:r w:rsidRPr="000B6E39" w:rsidR="00892703">
        <w:rPr>
          <w:rFonts w:ascii="Times New Roman" w:hAnsi="Times New Roman"/>
          <w:i/>
          <w:iCs/>
          <w:szCs w:val="24"/>
        </w:rPr>
        <w:t>Federal Register</w:t>
      </w:r>
      <w:r w:rsidRPr="00677BAB" w:rsidR="00892703">
        <w:rPr>
          <w:rFonts w:ascii="Times New Roman" w:hAnsi="Times New Roman"/>
          <w:szCs w:val="24"/>
        </w:rPr>
        <w:t xml:space="preserve"> </w:t>
      </w:r>
      <w:r w:rsidRPr="00677BAB">
        <w:rPr>
          <w:rFonts w:ascii="Times New Roman" w:hAnsi="Times New Roman"/>
          <w:szCs w:val="24"/>
        </w:rPr>
        <w:t>of</w:t>
      </w:r>
      <w:r w:rsidRPr="00677BAB" w:rsidR="00A76034">
        <w:rPr>
          <w:rFonts w:ascii="Times New Roman" w:hAnsi="Times New Roman"/>
          <w:szCs w:val="24"/>
        </w:rPr>
        <w:t xml:space="preserve"> </w:t>
      </w:r>
      <w:r w:rsidR="003A22E8">
        <w:rPr>
          <w:rFonts w:ascii="Times New Roman" w:hAnsi="Times New Roman"/>
          <w:szCs w:val="24"/>
        </w:rPr>
        <w:t>November 28, 2023</w:t>
      </w:r>
      <w:r w:rsidRPr="00677BAB" w:rsidR="00A76034">
        <w:rPr>
          <w:rFonts w:ascii="Times New Roman" w:hAnsi="Times New Roman"/>
          <w:szCs w:val="24"/>
        </w:rPr>
        <w:t xml:space="preserve"> </w:t>
      </w:r>
      <w:r w:rsidRPr="00677BAB" w:rsidR="006F52A6">
        <w:rPr>
          <w:rFonts w:ascii="Times New Roman" w:hAnsi="Times New Roman"/>
          <w:szCs w:val="24"/>
        </w:rPr>
        <w:t>(</w:t>
      </w:r>
      <w:r w:rsidRPr="00976E29" w:rsidR="00976E29">
        <w:rPr>
          <w:rFonts w:ascii="Times New Roman" w:hAnsi="Times New Roman"/>
          <w:szCs w:val="24"/>
        </w:rPr>
        <w:t>88 FR 83134</w:t>
      </w:r>
      <w:r w:rsidRPr="00677BAB" w:rsidR="006F52A6">
        <w:rPr>
          <w:rFonts w:ascii="Times New Roman" w:hAnsi="Times New Roman"/>
          <w:szCs w:val="24"/>
        </w:rPr>
        <w:t>)</w:t>
      </w:r>
      <w:r w:rsidRPr="00677BAB" w:rsidR="00892703">
        <w:rPr>
          <w:rFonts w:ascii="Times New Roman" w:hAnsi="Times New Roman"/>
          <w:szCs w:val="24"/>
        </w:rPr>
        <w:t>.</w:t>
      </w:r>
      <w:r w:rsidR="00550295">
        <w:rPr>
          <w:rFonts w:ascii="Times New Roman" w:hAnsi="Times New Roman"/>
          <w:szCs w:val="24"/>
        </w:rPr>
        <w:t xml:space="preserve">  No comments were received.</w:t>
      </w:r>
      <w:bookmarkStart w:id="0" w:name="sec301"/>
      <w:bookmarkEnd w:id="0"/>
    </w:p>
    <w:p w:rsidR="0074312E" w:rsidP="00677BAB" w14:paraId="78C8226D" w14:textId="77777777">
      <w:pPr>
        <w:rPr>
          <w:rFonts w:ascii="Times New Roman" w:hAnsi="Times New Roman"/>
          <w:szCs w:val="24"/>
        </w:rPr>
      </w:pPr>
    </w:p>
    <w:p w:rsidR="00892703" w:rsidRPr="00677BAB" w:rsidP="00677BAB" w14:paraId="11C10EC5" w14:textId="43E30F20">
      <w:pPr>
        <w:rPr>
          <w:rFonts w:ascii="Times New Roman" w:hAnsi="Times New Roman"/>
          <w:szCs w:val="24"/>
        </w:rPr>
      </w:pPr>
      <w:r w:rsidRPr="00677BAB">
        <w:rPr>
          <w:rFonts w:ascii="Times New Roman" w:hAnsi="Times New Roman"/>
          <w:szCs w:val="24"/>
        </w:rPr>
        <w:t>9.</w:t>
      </w:r>
      <w:r w:rsidR="00550295">
        <w:rPr>
          <w:rFonts w:ascii="Times New Roman" w:hAnsi="Times New Roman"/>
          <w:szCs w:val="24"/>
        </w:rPr>
        <w:t xml:space="preserve">  </w:t>
      </w:r>
      <w:r w:rsidRPr="00550295">
        <w:rPr>
          <w:rFonts w:ascii="Times New Roman" w:hAnsi="Times New Roman"/>
          <w:szCs w:val="24"/>
          <w:u w:val="single"/>
        </w:rPr>
        <w:t>Explanation of Any Payment or Gift to Respondents</w:t>
      </w:r>
    </w:p>
    <w:p w:rsidR="00892703" w:rsidRPr="00677BAB" w:rsidP="00677BAB" w14:paraId="366053C3" w14:textId="77777777">
      <w:pPr>
        <w:rPr>
          <w:rFonts w:ascii="Times New Roman" w:hAnsi="Times New Roman"/>
          <w:szCs w:val="24"/>
        </w:rPr>
      </w:pPr>
    </w:p>
    <w:p w:rsidR="00892703" w:rsidRPr="00677BAB" w:rsidP="00677BAB" w14:paraId="287A4286" w14:textId="5F98DCBA">
      <w:pPr>
        <w:rPr>
          <w:rFonts w:ascii="Times New Roman" w:hAnsi="Times New Roman"/>
          <w:szCs w:val="24"/>
        </w:rPr>
      </w:pPr>
      <w:r w:rsidRPr="00953441">
        <w:rPr>
          <w:rFonts w:ascii="Times New Roman" w:hAnsi="Times New Roman"/>
          <w:szCs w:val="24"/>
        </w:rPr>
        <w:t>There are no incentives, payments or gifts associated with this information collection.</w:t>
      </w:r>
    </w:p>
    <w:p w:rsidR="00892703" w:rsidRPr="00677BAB" w:rsidP="00677BAB" w14:paraId="7556CA9F" w14:textId="77777777">
      <w:pPr>
        <w:rPr>
          <w:rFonts w:ascii="Times New Roman" w:hAnsi="Times New Roman"/>
          <w:szCs w:val="24"/>
        </w:rPr>
      </w:pPr>
    </w:p>
    <w:p w:rsidR="00892703" w:rsidRPr="00677BAB" w:rsidP="00E04A0E" w14:paraId="1DA81B97" w14:textId="7ED3B37E">
      <w:pPr>
        <w:keepNext/>
        <w:rPr>
          <w:rFonts w:ascii="Times New Roman" w:hAnsi="Times New Roman"/>
          <w:szCs w:val="24"/>
        </w:rPr>
      </w:pPr>
      <w:r w:rsidRPr="00677BAB">
        <w:rPr>
          <w:rFonts w:ascii="Times New Roman" w:hAnsi="Times New Roman"/>
          <w:szCs w:val="24"/>
        </w:rPr>
        <w:t>10.</w:t>
      </w:r>
      <w:r w:rsidR="00550295">
        <w:rPr>
          <w:rFonts w:ascii="Times New Roman" w:hAnsi="Times New Roman"/>
          <w:szCs w:val="24"/>
        </w:rPr>
        <w:t xml:space="preserve">  </w:t>
      </w:r>
      <w:r w:rsidRPr="00550295">
        <w:rPr>
          <w:rFonts w:ascii="Times New Roman" w:hAnsi="Times New Roman"/>
          <w:szCs w:val="24"/>
          <w:u w:val="single"/>
        </w:rPr>
        <w:t>Assurance of Confidentiality Provided to Respondent</w:t>
      </w:r>
      <w:r w:rsidRPr="00550295" w:rsidR="00657222">
        <w:rPr>
          <w:rFonts w:ascii="Times New Roman" w:hAnsi="Times New Roman"/>
          <w:szCs w:val="24"/>
          <w:u w:val="single"/>
        </w:rPr>
        <w:t>s</w:t>
      </w:r>
    </w:p>
    <w:p w:rsidR="00892703" w:rsidRPr="00F166EF" w:rsidP="00E04A0E" w14:paraId="55374400" w14:textId="77777777">
      <w:pPr>
        <w:keepNext/>
        <w:rPr>
          <w:rFonts w:ascii="Times New Roman" w:hAnsi="Times New Roman"/>
          <w:szCs w:val="24"/>
        </w:rPr>
      </w:pPr>
    </w:p>
    <w:p w:rsidR="00C76AC7" w:rsidRPr="00F166EF" w:rsidP="00C76AC7" w14:paraId="291ECC2F" w14:textId="704A31E0">
      <w:pPr>
        <w:rPr>
          <w:rFonts w:ascii="Times New Roman" w:hAnsi="Times New Roman"/>
          <w:szCs w:val="24"/>
        </w:rPr>
      </w:pPr>
      <w:r w:rsidRPr="00F166EF">
        <w:rPr>
          <w:rFonts w:ascii="Times New Roman" w:hAnsi="Times New Roman"/>
          <w:szCs w:val="24"/>
        </w:rPr>
        <w:t>In preparing this Supporting Statement, we consulted our Privacy Office to ensure appropriate identification and handling of information collected.</w:t>
      </w:r>
    </w:p>
    <w:p w:rsidR="00C76AC7" w:rsidRPr="00F166EF" w:rsidP="00C76AC7" w14:paraId="69684387" w14:textId="77777777">
      <w:pPr>
        <w:rPr>
          <w:rFonts w:ascii="Times New Roman" w:hAnsi="Times New Roman"/>
          <w:szCs w:val="24"/>
        </w:rPr>
      </w:pPr>
    </w:p>
    <w:p w:rsidR="00C76AC7" w:rsidRPr="00F166EF" w:rsidP="00C76AC7" w14:paraId="1D8BF96C" w14:textId="33871AD3">
      <w:pPr>
        <w:rPr>
          <w:rFonts w:ascii="Times New Roman" w:hAnsi="Times New Roman"/>
          <w:szCs w:val="24"/>
        </w:rPr>
      </w:pPr>
      <w:r w:rsidRPr="00F166EF">
        <w:rPr>
          <w:rFonts w:ascii="Times New Roman" w:hAnsi="Times New Roman"/>
          <w:szCs w:val="24"/>
        </w:rPr>
        <w:t xml:space="preserve">This ICR collects personally identifiable information (PII).  PII is collected in the context of the subject individuals’ professional capacity and the FDA-related work they perform for their employer (e.g., point of contact at a regulated entity).  The PII submitted via Section 506J Template (webform) (available online: https://fda-cdrh.my.salesforce-sites.com/shortages) is </w:t>
      </w:r>
      <w:r w:rsidRPr="00F166EF">
        <w:rPr>
          <w:rFonts w:ascii="Times New Roman" w:hAnsi="Times New Roman"/>
          <w:szCs w:val="24"/>
        </w:rPr>
        <w:t xml:space="preserve">name, phone number, email address, fax number, and address. FDA determined that although PII is collected, the collection is not subject to the Privacy Act of 1974 and the </w:t>
      </w:r>
      <w:r w:rsidRPr="00F166EF">
        <w:rPr>
          <w:rFonts w:ascii="Times New Roman" w:hAnsi="Times New Roman"/>
          <w:szCs w:val="24"/>
        </w:rPr>
        <w:t>particular notice</w:t>
      </w:r>
      <w:r w:rsidRPr="00F166EF">
        <w:rPr>
          <w:rFonts w:ascii="Times New Roman" w:hAnsi="Times New Roman"/>
          <w:szCs w:val="24"/>
        </w:rPr>
        <w:t xml:space="preserve"> and other requirements of the Act do not apply. Specifically, FDA does not use name or any other personal identifier to retrieve records from the information collected. Through appropriate form and webpage design, FDA limited submission fields and minimized the PII collected to protect the privacy of the individuals.</w:t>
      </w:r>
    </w:p>
    <w:p w:rsidR="00C76AC7" w:rsidRPr="00F166EF" w:rsidP="00C76AC7" w14:paraId="07DA59DC" w14:textId="5EB61454">
      <w:pPr>
        <w:rPr>
          <w:rFonts w:ascii="Times New Roman" w:hAnsi="Times New Roman"/>
          <w:szCs w:val="24"/>
        </w:rPr>
      </w:pPr>
    </w:p>
    <w:p w:rsidR="00C76AC7" w:rsidRPr="00F166EF" w:rsidP="00C76AC7" w14:paraId="1DEC6F9D" w14:textId="2266F1E1">
      <w:pPr>
        <w:rPr>
          <w:rFonts w:ascii="Times New Roman" w:hAnsi="Times New Roman"/>
          <w:szCs w:val="24"/>
        </w:rPr>
      </w:pPr>
      <w:r w:rsidRPr="00F166EF">
        <w:rPr>
          <w:rFonts w:ascii="Times New Roman" w:hAnsi="Times New Roman"/>
          <w:szCs w:val="24"/>
        </w:rPr>
        <w:t>Under the Freedom of Information Act (FOIA) (5 U.S.C. 552), the public has broad access to government documents. However, FOIA provides certain exemptions from mandatory public disclosure of government records (5 U.S.C. 552(b</w:t>
      </w:r>
      <w:r w:rsidRPr="00F166EF">
        <w:rPr>
          <w:rFonts w:ascii="Times New Roman" w:hAnsi="Times New Roman"/>
          <w:szCs w:val="24"/>
        </w:rPr>
        <w:t>)(</w:t>
      </w:r>
      <w:r w:rsidRPr="00F166EF">
        <w:rPr>
          <w:rFonts w:ascii="Times New Roman" w:hAnsi="Times New Roman"/>
          <w:szCs w:val="24"/>
        </w:rPr>
        <w:t xml:space="preserve">1-9)).  FDA will make the fullest possible disclosure of records to the public, consistent with the rights of individuals to privacy, the property rights of persons in trade and confidential </w:t>
      </w:r>
      <w:r w:rsidRPr="00A20AAD">
        <w:rPr>
          <w:rFonts w:ascii="Times New Roman" w:hAnsi="Times New Roman"/>
          <w:szCs w:val="24"/>
        </w:rPr>
        <w:t xml:space="preserve">commercial or financial information. </w:t>
      </w:r>
      <w:r w:rsidRPr="00A20AAD" w:rsidR="00A20AAD">
        <w:rPr>
          <w:rFonts w:ascii="Times New Roman" w:hAnsi="Times New Roman"/>
          <w:szCs w:val="24"/>
        </w:rPr>
        <w:t>T</w:t>
      </w:r>
      <w:r w:rsidRPr="00A20AAD" w:rsidR="00A20AAD">
        <w:rPr>
          <w:rFonts w:ascii="Times New Roman" w:hAnsi="Times New Roman"/>
          <w:szCs w:val="24"/>
        </w:rPr>
        <w:t>he data will be kept private to the extent allowed by law</w:t>
      </w:r>
      <w:r w:rsidRPr="00A20AAD" w:rsidR="00A20AAD">
        <w:rPr>
          <w:rFonts w:ascii="Times New Roman" w:hAnsi="Times New Roman"/>
          <w:szCs w:val="24"/>
        </w:rPr>
        <w:t>.</w:t>
      </w:r>
    </w:p>
    <w:p w:rsidR="003B0A72" w:rsidRPr="00677BAB" w:rsidP="00677BAB" w14:paraId="64758A72" w14:textId="77777777">
      <w:pPr>
        <w:rPr>
          <w:rFonts w:ascii="Times New Roman" w:hAnsi="Times New Roman"/>
          <w:szCs w:val="24"/>
        </w:rPr>
      </w:pPr>
    </w:p>
    <w:p w:rsidR="00892703" w:rsidRPr="00677BAB" w:rsidP="00E04A0E" w14:paraId="4CE2ECAA" w14:textId="3A2EFEAC">
      <w:pPr>
        <w:keepNext/>
        <w:rPr>
          <w:rFonts w:ascii="Times New Roman" w:hAnsi="Times New Roman"/>
          <w:szCs w:val="24"/>
        </w:rPr>
      </w:pPr>
      <w:r w:rsidRPr="00677BAB">
        <w:rPr>
          <w:rFonts w:ascii="Times New Roman" w:hAnsi="Times New Roman"/>
          <w:szCs w:val="24"/>
        </w:rPr>
        <w:t>11.</w:t>
      </w:r>
      <w:r w:rsidR="0048006F">
        <w:rPr>
          <w:rFonts w:ascii="Times New Roman" w:hAnsi="Times New Roman"/>
          <w:szCs w:val="24"/>
        </w:rPr>
        <w:t xml:space="preserve">  </w:t>
      </w:r>
      <w:r w:rsidRPr="0048006F">
        <w:rPr>
          <w:rFonts w:ascii="Times New Roman" w:hAnsi="Times New Roman"/>
          <w:szCs w:val="24"/>
          <w:u w:val="single"/>
        </w:rPr>
        <w:t>Justification for Sensitive Questions</w:t>
      </w:r>
    </w:p>
    <w:p w:rsidR="00892703" w:rsidRPr="00677BAB" w:rsidP="00E04A0E" w14:paraId="389E26FA" w14:textId="77777777">
      <w:pPr>
        <w:keepNext/>
        <w:rPr>
          <w:rFonts w:ascii="Times New Roman" w:hAnsi="Times New Roman"/>
          <w:szCs w:val="24"/>
        </w:rPr>
      </w:pPr>
    </w:p>
    <w:p w:rsidR="00892703" w:rsidRPr="00677BAB" w:rsidP="00677BAB" w14:paraId="264A09E8" w14:textId="0D52096B">
      <w:pPr>
        <w:rPr>
          <w:rFonts w:ascii="Times New Roman" w:hAnsi="Times New Roman"/>
          <w:szCs w:val="24"/>
        </w:rPr>
      </w:pPr>
      <w:r w:rsidRPr="0058265D">
        <w:rPr>
          <w:rFonts w:ascii="Times New Roman" w:hAnsi="Times New Roman"/>
          <w:szCs w:val="24"/>
        </w:rPr>
        <w:t>The collection of information does not involve sensitive questions.</w:t>
      </w:r>
    </w:p>
    <w:p w:rsidR="00892703" w:rsidP="00677BAB" w14:paraId="016ACEE5" w14:textId="77777777">
      <w:pPr>
        <w:rPr>
          <w:rFonts w:ascii="Times New Roman" w:hAnsi="Times New Roman"/>
          <w:szCs w:val="24"/>
        </w:rPr>
      </w:pPr>
    </w:p>
    <w:p w:rsidR="00892703" w:rsidRPr="00677BAB" w:rsidP="00E04A0E" w14:paraId="798FD0D9" w14:textId="0C2539D5">
      <w:pPr>
        <w:keepNext/>
        <w:rPr>
          <w:rFonts w:ascii="Times New Roman" w:hAnsi="Times New Roman"/>
          <w:szCs w:val="24"/>
        </w:rPr>
      </w:pPr>
      <w:r w:rsidRPr="00677BAB">
        <w:rPr>
          <w:rFonts w:ascii="Times New Roman" w:hAnsi="Times New Roman"/>
          <w:szCs w:val="24"/>
        </w:rPr>
        <w:t>12.</w:t>
      </w:r>
      <w:r w:rsidR="0048006F">
        <w:rPr>
          <w:rFonts w:ascii="Times New Roman" w:hAnsi="Times New Roman"/>
          <w:szCs w:val="24"/>
        </w:rPr>
        <w:t xml:space="preserve">  </w:t>
      </w:r>
      <w:r w:rsidRPr="0048006F">
        <w:rPr>
          <w:rFonts w:ascii="Times New Roman" w:hAnsi="Times New Roman"/>
          <w:szCs w:val="24"/>
          <w:u w:val="single"/>
        </w:rPr>
        <w:t>Estimate</w:t>
      </w:r>
      <w:r w:rsidRPr="0048006F" w:rsidR="00B006AA">
        <w:rPr>
          <w:rFonts w:ascii="Times New Roman" w:hAnsi="Times New Roman"/>
          <w:szCs w:val="24"/>
          <w:u w:val="single"/>
        </w:rPr>
        <w:t>s</w:t>
      </w:r>
      <w:r w:rsidRPr="0048006F">
        <w:rPr>
          <w:rFonts w:ascii="Times New Roman" w:hAnsi="Times New Roman"/>
          <w:szCs w:val="24"/>
          <w:u w:val="single"/>
        </w:rPr>
        <w:t xml:space="preserve"> of </w:t>
      </w:r>
      <w:r w:rsidRPr="0048006F" w:rsidR="00B006AA">
        <w:rPr>
          <w:rFonts w:ascii="Times New Roman" w:hAnsi="Times New Roman"/>
          <w:szCs w:val="24"/>
          <w:u w:val="single"/>
        </w:rPr>
        <w:t xml:space="preserve">Annualized </w:t>
      </w:r>
      <w:r w:rsidRPr="0048006F">
        <w:rPr>
          <w:rFonts w:ascii="Times New Roman" w:hAnsi="Times New Roman"/>
          <w:szCs w:val="24"/>
          <w:u w:val="single"/>
        </w:rPr>
        <w:t xml:space="preserve">Burden </w:t>
      </w:r>
      <w:r w:rsidRPr="0048006F" w:rsidR="00B006AA">
        <w:rPr>
          <w:rFonts w:ascii="Times New Roman" w:hAnsi="Times New Roman"/>
          <w:szCs w:val="24"/>
          <w:u w:val="single"/>
        </w:rPr>
        <w:t>Hours and</w:t>
      </w:r>
      <w:r w:rsidRPr="0048006F">
        <w:rPr>
          <w:rFonts w:ascii="Times New Roman" w:hAnsi="Times New Roman"/>
          <w:szCs w:val="24"/>
          <w:u w:val="single"/>
        </w:rPr>
        <w:t xml:space="preserve"> Costs</w:t>
      </w:r>
    </w:p>
    <w:p w:rsidR="0048006F" w:rsidP="00E04A0E" w14:paraId="300380A3" w14:textId="77777777">
      <w:pPr>
        <w:keepNext/>
        <w:rPr>
          <w:rFonts w:ascii="Times New Roman" w:hAnsi="Times New Roman"/>
          <w:szCs w:val="24"/>
        </w:rPr>
      </w:pPr>
    </w:p>
    <w:p w:rsidR="00BF18BC" w:rsidRPr="0048006F" w:rsidP="00E04A0E" w14:paraId="46B9BDD2" w14:textId="47E4BB73">
      <w:pPr>
        <w:keepNext/>
        <w:rPr>
          <w:rFonts w:ascii="Times New Roman" w:hAnsi="Times New Roman"/>
          <w:i/>
          <w:iCs/>
          <w:szCs w:val="24"/>
        </w:rPr>
      </w:pPr>
      <w:r>
        <w:rPr>
          <w:rFonts w:ascii="Times New Roman" w:hAnsi="Times New Roman"/>
          <w:szCs w:val="24"/>
        </w:rPr>
        <w:tab/>
      </w:r>
      <w:r w:rsidRPr="0048006F" w:rsidR="00B006AA">
        <w:rPr>
          <w:rFonts w:ascii="Times New Roman" w:hAnsi="Times New Roman"/>
          <w:i/>
          <w:iCs/>
          <w:szCs w:val="24"/>
        </w:rPr>
        <w:t>12a. Annualized Hour Burden Estimate</w:t>
      </w:r>
    </w:p>
    <w:p w:rsidR="00BF18BC" w:rsidRPr="00677BAB" w:rsidP="00E04A0E" w14:paraId="3C2B7657" w14:textId="77777777">
      <w:pPr>
        <w:keepNext/>
        <w:rPr>
          <w:rFonts w:ascii="Times New Roman" w:hAnsi="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1482"/>
        <w:gridCol w:w="1308"/>
        <w:gridCol w:w="1221"/>
        <w:gridCol w:w="1221"/>
        <w:gridCol w:w="960"/>
      </w:tblGrid>
      <w:tr w14:paraId="0FDD6508" w14:textId="77777777" w:rsidTr="00B9211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0"/>
          <w:tblHeader/>
        </w:trPr>
        <w:tc>
          <w:tcPr>
            <w:tcW w:w="5000" w:type="pct"/>
            <w:gridSpan w:val="6"/>
            <w:tcBorders>
              <w:top w:val="nil"/>
              <w:left w:val="nil"/>
              <w:bottom w:val="single" w:sz="4" w:space="0" w:color="auto"/>
              <w:right w:val="nil"/>
            </w:tcBorders>
            <w:shd w:val="clear" w:color="auto" w:fill="auto"/>
          </w:tcPr>
          <w:p w:rsidR="00B92112" w:rsidRPr="006926D4" w:rsidP="003C1839" w14:paraId="6B5DFDC5" w14:textId="55A8563E">
            <w:pPr>
              <w:jc w:val="center"/>
              <w:rPr>
                <w:rFonts w:ascii="Times New Roman" w:hAnsi="Times New Roman"/>
                <w:sz w:val="22"/>
                <w:szCs w:val="22"/>
              </w:rPr>
            </w:pPr>
            <w:r w:rsidRPr="006926D4">
              <w:rPr>
                <w:rFonts w:ascii="Times New Roman" w:hAnsi="Times New Roman"/>
                <w:sz w:val="22"/>
                <w:szCs w:val="22"/>
              </w:rPr>
              <w:t xml:space="preserve">Table </w:t>
            </w:r>
            <w:r w:rsidRPr="006926D4">
              <w:rPr>
                <w:rFonts w:ascii="Times New Roman" w:hAnsi="Times New Roman"/>
                <w:sz w:val="22"/>
                <w:szCs w:val="22"/>
              </w:rPr>
              <w:t>1.--</w:t>
            </w:r>
            <w:r w:rsidRPr="006926D4">
              <w:rPr>
                <w:rFonts w:ascii="Times New Roman" w:hAnsi="Times New Roman"/>
                <w:sz w:val="22"/>
                <w:szCs w:val="22"/>
              </w:rPr>
              <w:t>Estimated Annual Reporting Burden</w:t>
            </w:r>
          </w:p>
        </w:tc>
      </w:tr>
      <w:tr w14:paraId="2574D280" w14:textId="77777777" w:rsidTr="0066787E">
        <w:tblPrEx>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tblPrEx>
        <w:trPr>
          <w:cantSplit/>
          <w:jc w:val="center"/>
        </w:trPr>
        <w:tc>
          <w:tcPr>
            <w:tcW w:w="1587" w:type="pct"/>
            <w:tcBorders>
              <w:top w:val="single" w:sz="2" w:space="0" w:color="auto"/>
              <w:left w:val="single" w:sz="2" w:space="0" w:color="auto"/>
              <w:bottom w:val="single" w:sz="2" w:space="0" w:color="auto"/>
              <w:right w:val="single" w:sz="2" w:space="0" w:color="auto"/>
            </w:tcBorders>
          </w:tcPr>
          <w:p w:rsidR="00B92112" w:rsidRPr="006926D4" w:rsidP="0066787E" w14:paraId="3B799E20" w14:textId="77777777">
            <w:pPr>
              <w:jc w:val="center"/>
              <w:rPr>
                <w:rFonts w:ascii="Times New Roman" w:hAnsi="Times New Roman"/>
                <w:sz w:val="22"/>
                <w:szCs w:val="22"/>
              </w:rPr>
            </w:pPr>
            <w:r w:rsidRPr="006926D4">
              <w:rPr>
                <w:rFonts w:ascii="Times New Roman" w:hAnsi="Times New Roman"/>
                <w:sz w:val="22"/>
                <w:szCs w:val="22"/>
              </w:rPr>
              <w:t>Activity</w:t>
            </w:r>
          </w:p>
        </w:tc>
        <w:tc>
          <w:tcPr>
            <w:tcW w:w="817" w:type="pct"/>
            <w:tcBorders>
              <w:top w:val="single" w:sz="2" w:space="0" w:color="auto"/>
              <w:left w:val="single" w:sz="2" w:space="0" w:color="auto"/>
              <w:bottom w:val="single" w:sz="2" w:space="0" w:color="auto"/>
              <w:right w:val="single" w:sz="2" w:space="0" w:color="auto"/>
            </w:tcBorders>
          </w:tcPr>
          <w:p w:rsidR="00B92112" w:rsidRPr="006926D4" w:rsidP="0066787E" w14:paraId="43B410A2" w14:textId="77777777">
            <w:pPr>
              <w:jc w:val="center"/>
              <w:rPr>
                <w:rFonts w:ascii="Times New Roman" w:hAnsi="Times New Roman"/>
                <w:sz w:val="22"/>
                <w:szCs w:val="22"/>
              </w:rPr>
            </w:pPr>
            <w:r w:rsidRPr="006926D4">
              <w:rPr>
                <w:rFonts w:ascii="Times New Roman" w:hAnsi="Times New Roman"/>
                <w:sz w:val="22"/>
                <w:szCs w:val="22"/>
              </w:rPr>
              <w:t>No. of Respondents</w:t>
            </w:r>
          </w:p>
        </w:tc>
        <w:tc>
          <w:tcPr>
            <w:tcW w:w="721" w:type="pct"/>
            <w:tcBorders>
              <w:top w:val="single" w:sz="2" w:space="0" w:color="auto"/>
              <w:left w:val="single" w:sz="2" w:space="0" w:color="auto"/>
              <w:bottom w:val="single" w:sz="2" w:space="0" w:color="auto"/>
              <w:right w:val="single" w:sz="2" w:space="0" w:color="auto"/>
            </w:tcBorders>
          </w:tcPr>
          <w:p w:rsidR="00B92112" w:rsidRPr="006926D4" w:rsidP="0066787E" w14:paraId="6DEEFCFA" w14:textId="3843734E">
            <w:pPr>
              <w:jc w:val="center"/>
              <w:rPr>
                <w:rFonts w:ascii="Times New Roman" w:hAnsi="Times New Roman"/>
                <w:sz w:val="22"/>
                <w:szCs w:val="22"/>
              </w:rPr>
            </w:pPr>
            <w:r w:rsidRPr="006926D4">
              <w:rPr>
                <w:rFonts w:ascii="Times New Roman" w:hAnsi="Times New Roman"/>
                <w:sz w:val="22"/>
                <w:szCs w:val="22"/>
              </w:rPr>
              <w:t>No. of Responses per Respondent</w:t>
            </w:r>
          </w:p>
        </w:tc>
        <w:tc>
          <w:tcPr>
            <w:tcW w:w="673" w:type="pct"/>
            <w:tcBorders>
              <w:top w:val="single" w:sz="2" w:space="0" w:color="auto"/>
              <w:left w:val="single" w:sz="2" w:space="0" w:color="auto"/>
              <w:bottom w:val="single" w:sz="2" w:space="0" w:color="auto"/>
              <w:right w:val="single" w:sz="2" w:space="0" w:color="auto"/>
            </w:tcBorders>
          </w:tcPr>
          <w:p w:rsidR="00B92112" w:rsidRPr="006926D4" w:rsidP="0066787E" w14:paraId="046BF2C4" w14:textId="77777777">
            <w:pPr>
              <w:jc w:val="center"/>
              <w:rPr>
                <w:rFonts w:ascii="Times New Roman" w:hAnsi="Times New Roman"/>
                <w:sz w:val="22"/>
                <w:szCs w:val="22"/>
              </w:rPr>
            </w:pPr>
            <w:r w:rsidRPr="006926D4">
              <w:rPr>
                <w:rFonts w:ascii="Times New Roman" w:hAnsi="Times New Roman"/>
                <w:sz w:val="22"/>
                <w:szCs w:val="22"/>
              </w:rPr>
              <w:t>Total Annual Responses</w:t>
            </w:r>
          </w:p>
        </w:tc>
        <w:tc>
          <w:tcPr>
            <w:tcW w:w="673" w:type="pct"/>
            <w:tcBorders>
              <w:top w:val="single" w:sz="2" w:space="0" w:color="auto"/>
              <w:left w:val="single" w:sz="2" w:space="0" w:color="auto"/>
              <w:bottom w:val="single" w:sz="2" w:space="0" w:color="auto"/>
              <w:right w:val="single" w:sz="2" w:space="0" w:color="auto"/>
            </w:tcBorders>
          </w:tcPr>
          <w:p w:rsidR="00B92112" w:rsidRPr="006926D4" w:rsidP="0066787E" w14:paraId="3C4D0B11" w14:textId="77777777">
            <w:pPr>
              <w:jc w:val="center"/>
              <w:rPr>
                <w:rFonts w:ascii="Times New Roman" w:hAnsi="Times New Roman"/>
                <w:sz w:val="22"/>
                <w:szCs w:val="22"/>
              </w:rPr>
            </w:pPr>
            <w:r w:rsidRPr="006926D4">
              <w:rPr>
                <w:rFonts w:ascii="Times New Roman" w:hAnsi="Times New Roman"/>
                <w:sz w:val="22"/>
                <w:szCs w:val="22"/>
              </w:rPr>
              <w:t>Average Burden per Response (hours)</w:t>
            </w:r>
          </w:p>
        </w:tc>
        <w:tc>
          <w:tcPr>
            <w:tcW w:w="529" w:type="pct"/>
            <w:tcBorders>
              <w:top w:val="single" w:sz="2" w:space="0" w:color="auto"/>
              <w:left w:val="single" w:sz="2" w:space="0" w:color="auto"/>
              <w:bottom w:val="single" w:sz="2" w:space="0" w:color="auto"/>
              <w:right w:val="single" w:sz="2" w:space="0" w:color="auto"/>
            </w:tcBorders>
          </w:tcPr>
          <w:p w:rsidR="00B92112" w:rsidRPr="006926D4" w:rsidP="0066787E" w14:paraId="72AE580D" w14:textId="31E1EEF7">
            <w:pPr>
              <w:jc w:val="center"/>
              <w:rPr>
                <w:rFonts w:ascii="Times New Roman" w:hAnsi="Times New Roman"/>
                <w:sz w:val="22"/>
                <w:szCs w:val="22"/>
              </w:rPr>
            </w:pPr>
            <w:r w:rsidRPr="006926D4">
              <w:rPr>
                <w:rFonts w:ascii="Times New Roman" w:hAnsi="Times New Roman"/>
                <w:sz w:val="22"/>
                <w:szCs w:val="22"/>
              </w:rPr>
              <w:t>Total Hours</w:t>
            </w:r>
          </w:p>
        </w:tc>
      </w:tr>
      <w:tr w14:paraId="51A52112" w14:textId="77777777" w:rsidTr="0066787E">
        <w:tblPrEx>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tblPrEx>
        <w:trPr>
          <w:cantSplit/>
          <w:jc w:val="center"/>
        </w:trPr>
        <w:tc>
          <w:tcPr>
            <w:tcW w:w="1587" w:type="pct"/>
            <w:tcBorders>
              <w:top w:val="single" w:sz="2" w:space="0" w:color="auto"/>
              <w:left w:val="single" w:sz="2" w:space="0" w:color="auto"/>
              <w:bottom w:val="single" w:sz="2" w:space="0" w:color="auto"/>
              <w:right w:val="single" w:sz="2" w:space="0" w:color="auto"/>
            </w:tcBorders>
          </w:tcPr>
          <w:p w:rsidR="00B92112" w:rsidRPr="006926D4" w:rsidP="00677BAB" w14:paraId="0DBC4202" w14:textId="1CE644F2">
            <w:pPr>
              <w:rPr>
                <w:rFonts w:ascii="Times New Roman" w:hAnsi="Times New Roman"/>
                <w:sz w:val="22"/>
                <w:szCs w:val="22"/>
              </w:rPr>
            </w:pPr>
            <w:r w:rsidRPr="006926D4">
              <w:rPr>
                <w:rFonts w:ascii="Times New Roman" w:hAnsi="Times New Roman"/>
                <w:sz w:val="22"/>
                <w:szCs w:val="22"/>
              </w:rPr>
              <w:t xml:space="preserve">Shortages </w:t>
            </w:r>
            <w:r w:rsidR="00B35A59">
              <w:rPr>
                <w:rFonts w:ascii="Times New Roman" w:hAnsi="Times New Roman"/>
                <w:sz w:val="22"/>
                <w:szCs w:val="22"/>
              </w:rPr>
              <w:t xml:space="preserve">outreach </w:t>
            </w:r>
            <w:r w:rsidRPr="006926D4">
              <w:rPr>
                <w:rFonts w:ascii="Times New Roman" w:hAnsi="Times New Roman"/>
                <w:sz w:val="22"/>
                <w:szCs w:val="22"/>
              </w:rPr>
              <w:t>data collection</w:t>
            </w:r>
          </w:p>
        </w:tc>
        <w:tc>
          <w:tcPr>
            <w:tcW w:w="817" w:type="pct"/>
            <w:tcBorders>
              <w:top w:val="single" w:sz="2" w:space="0" w:color="auto"/>
              <w:left w:val="single" w:sz="2" w:space="0" w:color="auto"/>
              <w:bottom w:val="single" w:sz="2" w:space="0" w:color="auto"/>
              <w:right w:val="single" w:sz="2" w:space="0" w:color="auto"/>
            </w:tcBorders>
          </w:tcPr>
          <w:p w:rsidR="00B92112" w:rsidRPr="006926D4" w:rsidP="003C1839" w14:paraId="0A3D0179" w14:textId="36ECB0D0">
            <w:pPr>
              <w:jc w:val="right"/>
              <w:rPr>
                <w:rFonts w:ascii="Times New Roman" w:hAnsi="Times New Roman"/>
                <w:sz w:val="22"/>
                <w:szCs w:val="22"/>
              </w:rPr>
            </w:pPr>
            <w:r>
              <w:rPr>
                <w:rFonts w:ascii="Times New Roman" w:hAnsi="Times New Roman"/>
                <w:sz w:val="22"/>
                <w:szCs w:val="22"/>
              </w:rPr>
              <w:t>1,000</w:t>
            </w:r>
          </w:p>
        </w:tc>
        <w:tc>
          <w:tcPr>
            <w:tcW w:w="721" w:type="pct"/>
            <w:tcBorders>
              <w:top w:val="single" w:sz="2" w:space="0" w:color="auto"/>
              <w:left w:val="single" w:sz="2" w:space="0" w:color="auto"/>
              <w:bottom w:val="single" w:sz="2" w:space="0" w:color="auto"/>
              <w:right w:val="single" w:sz="2" w:space="0" w:color="auto"/>
            </w:tcBorders>
          </w:tcPr>
          <w:p w:rsidR="00B92112" w:rsidRPr="006926D4" w:rsidP="003C1839" w14:paraId="616E4204" w14:textId="77777777">
            <w:pPr>
              <w:jc w:val="right"/>
              <w:rPr>
                <w:rFonts w:ascii="Times New Roman" w:hAnsi="Times New Roman"/>
                <w:sz w:val="22"/>
                <w:szCs w:val="22"/>
              </w:rPr>
            </w:pPr>
            <w:r w:rsidRPr="006926D4">
              <w:rPr>
                <w:rFonts w:ascii="Times New Roman" w:hAnsi="Times New Roman"/>
                <w:sz w:val="22"/>
                <w:szCs w:val="22"/>
              </w:rPr>
              <w:t>4</w:t>
            </w:r>
          </w:p>
        </w:tc>
        <w:tc>
          <w:tcPr>
            <w:tcW w:w="673" w:type="pct"/>
            <w:tcBorders>
              <w:top w:val="single" w:sz="2" w:space="0" w:color="auto"/>
              <w:left w:val="single" w:sz="2" w:space="0" w:color="auto"/>
              <w:bottom w:val="single" w:sz="2" w:space="0" w:color="auto"/>
              <w:right w:val="single" w:sz="2" w:space="0" w:color="auto"/>
            </w:tcBorders>
          </w:tcPr>
          <w:p w:rsidR="00B92112" w:rsidRPr="006926D4" w:rsidP="003C1839" w14:paraId="5DE78318" w14:textId="45BADFCB">
            <w:pPr>
              <w:jc w:val="right"/>
              <w:rPr>
                <w:rFonts w:ascii="Times New Roman" w:hAnsi="Times New Roman"/>
                <w:sz w:val="22"/>
                <w:szCs w:val="22"/>
              </w:rPr>
            </w:pPr>
            <w:r>
              <w:rPr>
                <w:rFonts w:ascii="Times New Roman" w:hAnsi="Times New Roman"/>
                <w:sz w:val="22"/>
                <w:szCs w:val="22"/>
              </w:rPr>
              <w:t>4,000</w:t>
            </w:r>
          </w:p>
        </w:tc>
        <w:tc>
          <w:tcPr>
            <w:tcW w:w="673" w:type="pct"/>
            <w:tcBorders>
              <w:top w:val="single" w:sz="2" w:space="0" w:color="auto"/>
              <w:left w:val="single" w:sz="2" w:space="0" w:color="auto"/>
              <w:bottom w:val="single" w:sz="2" w:space="0" w:color="auto"/>
              <w:right w:val="single" w:sz="2" w:space="0" w:color="auto"/>
            </w:tcBorders>
          </w:tcPr>
          <w:p w:rsidR="00B92112" w:rsidRPr="006926D4" w:rsidP="003C1839" w14:paraId="159D2249" w14:textId="7BE02665">
            <w:pPr>
              <w:jc w:val="right"/>
              <w:rPr>
                <w:rFonts w:ascii="Times New Roman" w:hAnsi="Times New Roman"/>
                <w:sz w:val="22"/>
                <w:szCs w:val="22"/>
              </w:rPr>
            </w:pPr>
            <w:r>
              <w:rPr>
                <w:rFonts w:ascii="Times New Roman" w:hAnsi="Times New Roman"/>
                <w:sz w:val="22"/>
                <w:szCs w:val="22"/>
              </w:rPr>
              <w:t>1</w:t>
            </w:r>
          </w:p>
        </w:tc>
        <w:tc>
          <w:tcPr>
            <w:tcW w:w="529" w:type="pct"/>
            <w:tcBorders>
              <w:top w:val="single" w:sz="2" w:space="0" w:color="auto"/>
              <w:left w:val="single" w:sz="2" w:space="0" w:color="auto"/>
              <w:bottom w:val="single" w:sz="2" w:space="0" w:color="auto"/>
              <w:right w:val="single" w:sz="2" w:space="0" w:color="auto"/>
            </w:tcBorders>
          </w:tcPr>
          <w:p w:rsidR="00B92112" w:rsidRPr="006926D4" w:rsidP="003C1839" w14:paraId="483919F1" w14:textId="3B45A9F1">
            <w:pPr>
              <w:jc w:val="right"/>
              <w:rPr>
                <w:rFonts w:ascii="Times New Roman" w:hAnsi="Times New Roman"/>
                <w:sz w:val="22"/>
                <w:szCs w:val="22"/>
              </w:rPr>
            </w:pPr>
            <w:r>
              <w:rPr>
                <w:rFonts w:ascii="Times New Roman" w:hAnsi="Times New Roman"/>
                <w:sz w:val="22"/>
                <w:szCs w:val="22"/>
              </w:rPr>
              <w:t>4</w:t>
            </w:r>
            <w:r w:rsidRPr="006926D4">
              <w:rPr>
                <w:rFonts w:ascii="Times New Roman" w:hAnsi="Times New Roman"/>
                <w:sz w:val="22"/>
                <w:szCs w:val="22"/>
              </w:rPr>
              <w:t>,000</w:t>
            </w:r>
          </w:p>
        </w:tc>
      </w:tr>
      <w:tr w14:paraId="1E393C21" w14:textId="77777777" w:rsidTr="0066787E">
        <w:tblPrEx>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tblPrEx>
        <w:trPr>
          <w:cantSplit/>
          <w:jc w:val="center"/>
        </w:trPr>
        <w:tc>
          <w:tcPr>
            <w:tcW w:w="1587" w:type="pct"/>
            <w:tcBorders>
              <w:top w:val="single" w:sz="2" w:space="0" w:color="auto"/>
              <w:left w:val="single" w:sz="2" w:space="0" w:color="auto"/>
              <w:bottom w:val="single" w:sz="2" w:space="0" w:color="auto"/>
              <w:right w:val="single" w:sz="2" w:space="0" w:color="auto"/>
            </w:tcBorders>
          </w:tcPr>
          <w:p w:rsidR="00B92112" w:rsidRPr="006926D4" w:rsidP="00677BAB" w14:paraId="46F2864E" w14:textId="77777777">
            <w:pPr>
              <w:rPr>
                <w:rFonts w:ascii="Times New Roman" w:hAnsi="Times New Roman"/>
                <w:sz w:val="22"/>
                <w:szCs w:val="22"/>
              </w:rPr>
            </w:pPr>
            <w:r w:rsidRPr="006926D4">
              <w:rPr>
                <w:rFonts w:ascii="Times New Roman" w:hAnsi="Times New Roman"/>
                <w:sz w:val="22"/>
                <w:szCs w:val="22"/>
              </w:rPr>
              <w:t>Information collection under Section 506J</w:t>
            </w:r>
          </w:p>
        </w:tc>
        <w:tc>
          <w:tcPr>
            <w:tcW w:w="817" w:type="pct"/>
            <w:tcBorders>
              <w:top w:val="single" w:sz="2" w:space="0" w:color="auto"/>
              <w:left w:val="single" w:sz="2" w:space="0" w:color="auto"/>
              <w:bottom w:val="single" w:sz="2" w:space="0" w:color="auto"/>
              <w:right w:val="single" w:sz="2" w:space="0" w:color="auto"/>
            </w:tcBorders>
          </w:tcPr>
          <w:p w:rsidR="00B92112" w:rsidRPr="006926D4" w:rsidP="003C1839" w14:paraId="61174536" w14:textId="77777777">
            <w:pPr>
              <w:jc w:val="right"/>
              <w:rPr>
                <w:rFonts w:ascii="Times New Roman" w:hAnsi="Times New Roman"/>
                <w:sz w:val="22"/>
                <w:szCs w:val="22"/>
              </w:rPr>
            </w:pPr>
            <w:r w:rsidRPr="006926D4">
              <w:rPr>
                <w:rFonts w:ascii="Times New Roman" w:hAnsi="Times New Roman"/>
                <w:sz w:val="22"/>
                <w:szCs w:val="22"/>
              </w:rPr>
              <w:t>8,400</w:t>
            </w:r>
          </w:p>
        </w:tc>
        <w:tc>
          <w:tcPr>
            <w:tcW w:w="721" w:type="pct"/>
            <w:tcBorders>
              <w:top w:val="single" w:sz="2" w:space="0" w:color="auto"/>
              <w:left w:val="single" w:sz="2" w:space="0" w:color="auto"/>
              <w:bottom w:val="single" w:sz="2" w:space="0" w:color="auto"/>
              <w:right w:val="single" w:sz="2" w:space="0" w:color="auto"/>
            </w:tcBorders>
          </w:tcPr>
          <w:p w:rsidR="00B92112" w:rsidRPr="006926D4" w:rsidP="003C1839" w14:paraId="54C71184" w14:textId="77777777">
            <w:pPr>
              <w:jc w:val="right"/>
              <w:rPr>
                <w:rFonts w:ascii="Times New Roman" w:hAnsi="Times New Roman"/>
                <w:sz w:val="22"/>
                <w:szCs w:val="22"/>
              </w:rPr>
            </w:pPr>
            <w:r w:rsidRPr="006926D4">
              <w:rPr>
                <w:rFonts w:ascii="Times New Roman" w:hAnsi="Times New Roman"/>
                <w:sz w:val="22"/>
                <w:szCs w:val="22"/>
              </w:rPr>
              <w:t>1</w:t>
            </w:r>
          </w:p>
        </w:tc>
        <w:tc>
          <w:tcPr>
            <w:tcW w:w="673" w:type="pct"/>
            <w:tcBorders>
              <w:top w:val="single" w:sz="2" w:space="0" w:color="auto"/>
              <w:left w:val="single" w:sz="2" w:space="0" w:color="auto"/>
              <w:bottom w:val="single" w:sz="2" w:space="0" w:color="auto"/>
              <w:right w:val="single" w:sz="2" w:space="0" w:color="auto"/>
            </w:tcBorders>
          </w:tcPr>
          <w:p w:rsidR="00B92112" w:rsidRPr="006926D4" w:rsidP="003C1839" w14:paraId="73F7DA2E" w14:textId="77777777">
            <w:pPr>
              <w:jc w:val="right"/>
              <w:rPr>
                <w:rFonts w:ascii="Times New Roman" w:hAnsi="Times New Roman"/>
                <w:sz w:val="22"/>
                <w:szCs w:val="22"/>
              </w:rPr>
            </w:pPr>
            <w:r w:rsidRPr="006926D4">
              <w:rPr>
                <w:rFonts w:ascii="Times New Roman" w:hAnsi="Times New Roman"/>
                <w:sz w:val="22"/>
                <w:szCs w:val="22"/>
              </w:rPr>
              <w:t>8,400</w:t>
            </w:r>
          </w:p>
        </w:tc>
        <w:tc>
          <w:tcPr>
            <w:tcW w:w="673" w:type="pct"/>
            <w:tcBorders>
              <w:top w:val="single" w:sz="2" w:space="0" w:color="auto"/>
              <w:left w:val="single" w:sz="2" w:space="0" w:color="auto"/>
              <w:bottom w:val="single" w:sz="2" w:space="0" w:color="auto"/>
              <w:right w:val="single" w:sz="2" w:space="0" w:color="auto"/>
            </w:tcBorders>
          </w:tcPr>
          <w:p w:rsidR="00B92112" w:rsidRPr="006926D4" w:rsidP="003C1839" w14:paraId="0679FFC4" w14:textId="77777777">
            <w:pPr>
              <w:jc w:val="right"/>
              <w:rPr>
                <w:rFonts w:ascii="Times New Roman" w:hAnsi="Times New Roman"/>
                <w:sz w:val="22"/>
                <w:szCs w:val="22"/>
              </w:rPr>
            </w:pPr>
            <w:r w:rsidRPr="006926D4">
              <w:rPr>
                <w:rFonts w:ascii="Times New Roman" w:hAnsi="Times New Roman"/>
                <w:sz w:val="22"/>
                <w:szCs w:val="22"/>
              </w:rPr>
              <w:t>0.25</w:t>
            </w:r>
          </w:p>
        </w:tc>
        <w:tc>
          <w:tcPr>
            <w:tcW w:w="529" w:type="pct"/>
            <w:tcBorders>
              <w:top w:val="single" w:sz="2" w:space="0" w:color="auto"/>
              <w:left w:val="single" w:sz="2" w:space="0" w:color="auto"/>
              <w:bottom w:val="single" w:sz="2" w:space="0" w:color="auto"/>
              <w:right w:val="single" w:sz="2" w:space="0" w:color="auto"/>
            </w:tcBorders>
          </w:tcPr>
          <w:p w:rsidR="00B92112" w:rsidRPr="006926D4" w:rsidP="003C1839" w14:paraId="1155A8CB" w14:textId="77777777">
            <w:pPr>
              <w:jc w:val="right"/>
              <w:rPr>
                <w:rFonts w:ascii="Times New Roman" w:hAnsi="Times New Roman"/>
                <w:sz w:val="22"/>
                <w:szCs w:val="22"/>
              </w:rPr>
            </w:pPr>
            <w:r w:rsidRPr="006926D4">
              <w:rPr>
                <w:rFonts w:ascii="Times New Roman" w:hAnsi="Times New Roman"/>
                <w:sz w:val="22"/>
                <w:szCs w:val="22"/>
              </w:rPr>
              <w:t>2,100</w:t>
            </w:r>
          </w:p>
        </w:tc>
      </w:tr>
      <w:tr w14:paraId="035071A2" w14:textId="77777777" w:rsidTr="0066787E">
        <w:tblPrEx>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tblPrEx>
        <w:trPr>
          <w:cantSplit/>
          <w:jc w:val="center"/>
        </w:trPr>
        <w:tc>
          <w:tcPr>
            <w:tcW w:w="1587" w:type="pct"/>
            <w:tcBorders>
              <w:top w:val="single" w:sz="2" w:space="0" w:color="auto"/>
              <w:left w:val="single" w:sz="2" w:space="0" w:color="auto"/>
              <w:bottom w:val="single" w:sz="2" w:space="0" w:color="auto"/>
              <w:right w:val="single" w:sz="2" w:space="0" w:color="auto"/>
            </w:tcBorders>
          </w:tcPr>
          <w:p w:rsidR="00B92112" w:rsidRPr="006926D4" w:rsidP="00677BAB" w14:paraId="14C4834D" w14:textId="77777777">
            <w:pPr>
              <w:rPr>
                <w:rFonts w:ascii="Times New Roman" w:hAnsi="Times New Roman"/>
                <w:sz w:val="22"/>
                <w:szCs w:val="22"/>
              </w:rPr>
            </w:pPr>
            <w:r w:rsidRPr="006926D4">
              <w:rPr>
                <w:rFonts w:ascii="Times New Roman" w:hAnsi="Times New Roman"/>
                <w:sz w:val="22"/>
                <w:szCs w:val="22"/>
              </w:rPr>
              <w:t>Additional voluntary collections related to 506J</w:t>
            </w:r>
          </w:p>
        </w:tc>
        <w:tc>
          <w:tcPr>
            <w:tcW w:w="817" w:type="pct"/>
            <w:tcBorders>
              <w:top w:val="single" w:sz="2" w:space="0" w:color="auto"/>
              <w:left w:val="single" w:sz="2" w:space="0" w:color="auto"/>
              <w:bottom w:val="single" w:sz="2" w:space="0" w:color="auto"/>
              <w:right w:val="single" w:sz="2" w:space="0" w:color="auto"/>
            </w:tcBorders>
          </w:tcPr>
          <w:p w:rsidR="00B92112" w:rsidRPr="006926D4" w:rsidP="003C1839" w14:paraId="51EDD51F" w14:textId="77777777">
            <w:pPr>
              <w:jc w:val="right"/>
              <w:rPr>
                <w:rFonts w:ascii="Times New Roman" w:hAnsi="Times New Roman"/>
                <w:sz w:val="22"/>
                <w:szCs w:val="22"/>
              </w:rPr>
            </w:pPr>
            <w:r w:rsidRPr="006926D4">
              <w:rPr>
                <w:rFonts w:ascii="Times New Roman" w:hAnsi="Times New Roman"/>
                <w:sz w:val="22"/>
                <w:szCs w:val="22"/>
              </w:rPr>
              <w:t>8,400</w:t>
            </w:r>
          </w:p>
        </w:tc>
        <w:tc>
          <w:tcPr>
            <w:tcW w:w="721" w:type="pct"/>
            <w:tcBorders>
              <w:top w:val="single" w:sz="2" w:space="0" w:color="auto"/>
              <w:left w:val="single" w:sz="2" w:space="0" w:color="auto"/>
              <w:bottom w:val="single" w:sz="2" w:space="0" w:color="auto"/>
              <w:right w:val="single" w:sz="2" w:space="0" w:color="auto"/>
            </w:tcBorders>
          </w:tcPr>
          <w:p w:rsidR="00B92112" w:rsidRPr="006926D4" w:rsidP="003C1839" w14:paraId="2C15F049" w14:textId="77777777">
            <w:pPr>
              <w:jc w:val="right"/>
              <w:rPr>
                <w:rFonts w:ascii="Times New Roman" w:hAnsi="Times New Roman"/>
                <w:sz w:val="22"/>
                <w:szCs w:val="22"/>
              </w:rPr>
            </w:pPr>
            <w:r w:rsidRPr="006926D4">
              <w:rPr>
                <w:rFonts w:ascii="Times New Roman" w:hAnsi="Times New Roman"/>
                <w:sz w:val="22"/>
                <w:szCs w:val="22"/>
              </w:rPr>
              <w:t>1</w:t>
            </w:r>
          </w:p>
        </w:tc>
        <w:tc>
          <w:tcPr>
            <w:tcW w:w="673" w:type="pct"/>
            <w:tcBorders>
              <w:top w:val="single" w:sz="2" w:space="0" w:color="auto"/>
              <w:left w:val="single" w:sz="2" w:space="0" w:color="auto"/>
              <w:bottom w:val="single" w:sz="2" w:space="0" w:color="auto"/>
              <w:right w:val="single" w:sz="2" w:space="0" w:color="auto"/>
            </w:tcBorders>
          </w:tcPr>
          <w:p w:rsidR="00B92112" w:rsidRPr="006926D4" w:rsidP="003C1839" w14:paraId="60AFFB2E" w14:textId="77777777">
            <w:pPr>
              <w:jc w:val="right"/>
              <w:rPr>
                <w:rFonts w:ascii="Times New Roman" w:hAnsi="Times New Roman"/>
                <w:sz w:val="22"/>
                <w:szCs w:val="22"/>
              </w:rPr>
            </w:pPr>
            <w:r w:rsidRPr="006926D4">
              <w:rPr>
                <w:rFonts w:ascii="Times New Roman" w:hAnsi="Times New Roman"/>
                <w:sz w:val="22"/>
                <w:szCs w:val="22"/>
              </w:rPr>
              <w:t>8,400</w:t>
            </w:r>
          </w:p>
        </w:tc>
        <w:tc>
          <w:tcPr>
            <w:tcW w:w="673" w:type="pct"/>
            <w:tcBorders>
              <w:top w:val="single" w:sz="2" w:space="0" w:color="auto"/>
              <w:left w:val="single" w:sz="2" w:space="0" w:color="auto"/>
              <w:bottom w:val="single" w:sz="2" w:space="0" w:color="auto"/>
              <w:right w:val="single" w:sz="2" w:space="0" w:color="auto"/>
            </w:tcBorders>
          </w:tcPr>
          <w:p w:rsidR="00B92112" w:rsidRPr="006926D4" w:rsidP="003C1839" w14:paraId="5A440BAB" w14:textId="77777777">
            <w:pPr>
              <w:jc w:val="right"/>
              <w:rPr>
                <w:rFonts w:ascii="Times New Roman" w:hAnsi="Times New Roman"/>
                <w:sz w:val="22"/>
                <w:szCs w:val="22"/>
              </w:rPr>
            </w:pPr>
            <w:r w:rsidRPr="006926D4">
              <w:rPr>
                <w:rFonts w:ascii="Times New Roman" w:hAnsi="Times New Roman"/>
                <w:sz w:val="22"/>
                <w:szCs w:val="22"/>
              </w:rPr>
              <w:t>0.25</w:t>
            </w:r>
          </w:p>
        </w:tc>
        <w:tc>
          <w:tcPr>
            <w:tcW w:w="529" w:type="pct"/>
            <w:tcBorders>
              <w:top w:val="single" w:sz="2" w:space="0" w:color="auto"/>
              <w:left w:val="single" w:sz="2" w:space="0" w:color="auto"/>
              <w:bottom w:val="single" w:sz="2" w:space="0" w:color="auto"/>
              <w:right w:val="single" w:sz="2" w:space="0" w:color="auto"/>
            </w:tcBorders>
          </w:tcPr>
          <w:p w:rsidR="00B92112" w:rsidRPr="006926D4" w:rsidP="003C1839" w14:paraId="7F8097E7" w14:textId="77777777">
            <w:pPr>
              <w:jc w:val="right"/>
              <w:rPr>
                <w:rFonts w:ascii="Times New Roman" w:hAnsi="Times New Roman"/>
                <w:sz w:val="22"/>
                <w:szCs w:val="22"/>
              </w:rPr>
            </w:pPr>
            <w:r w:rsidRPr="006926D4">
              <w:rPr>
                <w:rFonts w:ascii="Times New Roman" w:hAnsi="Times New Roman"/>
                <w:sz w:val="22"/>
                <w:szCs w:val="22"/>
              </w:rPr>
              <w:t>2,100</w:t>
            </w:r>
          </w:p>
        </w:tc>
      </w:tr>
      <w:tr w14:paraId="17422814" w14:textId="77777777" w:rsidTr="0066787E">
        <w:tblPrEx>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tblPrEx>
        <w:trPr>
          <w:cantSplit/>
          <w:jc w:val="center"/>
        </w:trPr>
        <w:tc>
          <w:tcPr>
            <w:tcW w:w="1587" w:type="pct"/>
            <w:tcBorders>
              <w:top w:val="single" w:sz="2" w:space="0" w:color="auto"/>
              <w:left w:val="single" w:sz="2" w:space="0" w:color="auto"/>
              <w:bottom w:val="single" w:sz="2" w:space="0" w:color="auto"/>
              <w:right w:val="single" w:sz="2" w:space="0" w:color="auto"/>
            </w:tcBorders>
          </w:tcPr>
          <w:p w:rsidR="00B92112" w:rsidRPr="006926D4" w:rsidP="00677BAB" w14:paraId="4023F8F1" w14:textId="7A07170A">
            <w:pPr>
              <w:rPr>
                <w:rFonts w:ascii="Times New Roman" w:hAnsi="Times New Roman"/>
                <w:sz w:val="22"/>
                <w:szCs w:val="22"/>
              </w:rPr>
            </w:pPr>
            <w:r w:rsidRPr="006926D4">
              <w:rPr>
                <w:rFonts w:ascii="Times New Roman" w:hAnsi="Times New Roman"/>
                <w:sz w:val="22"/>
                <w:szCs w:val="22"/>
              </w:rPr>
              <w:t>T</w:t>
            </w:r>
            <w:r w:rsidR="0066787E">
              <w:rPr>
                <w:rFonts w:ascii="Times New Roman" w:hAnsi="Times New Roman"/>
                <w:sz w:val="22"/>
                <w:szCs w:val="22"/>
              </w:rPr>
              <w:t>OTAL</w:t>
            </w:r>
          </w:p>
        </w:tc>
        <w:tc>
          <w:tcPr>
            <w:tcW w:w="817" w:type="pct"/>
            <w:tcBorders>
              <w:top w:val="single" w:sz="2" w:space="0" w:color="auto"/>
              <w:left w:val="single" w:sz="2" w:space="0" w:color="auto"/>
              <w:bottom w:val="single" w:sz="2" w:space="0" w:color="auto"/>
              <w:right w:val="single" w:sz="2" w:space="0" w:color="auto"/>
            </w:tcBorders>
          </w:tcPr>
          <w:p w:rsidR="00B92112" w:rsidRPr="006926D4" w:rsidP="003C1839" w14:paraId="3F120C05" w14:textId="77777777">
            <w:pPr>
              <w:jc w:val="right"/>
              <w:rPr>
                <w:rFonts w:ascii="Times New Roman" w:hAnsi="Times New Roman"/>
                <w:sz w:val="22"/>
                <w:szCs w:val="22"/>
              </w:rPr>
            </w:pPr>
          </w:p>
        </w:tc>
        <w:tc>
          <w:tcPr>
            <w:tcW w:w="721" w:type="pct"/>
            <w:tcBorders>
              <w:top w:val="single" w:sz="2" w:space="0" w:color="auto"/>
              <w:left w:val="single" w:sz="2" w:space="0" w:color="auto"/>
              <w:bottom w:val="single" w:sz="2" w:space="0" w:color="auto"/>
              <w:right w:val="single" w:sz="2" w:space="0" w:color="auto"/>
            </w:tcBorders>
          </w:tcPr>
          <w:p w:rsidR="00B92112" w:rsidRPr="006926D4" w:rsidP="003C1839" w14:paraId="3263FDD3" w14:textId="77777777">
            <w:pPr>
              <w:jc w:val="right"/>
              <w:rPr>
                <w:rFonts w:ascii="Times New Roman" w:hAnsi="Times New Roman"/>
                <w:sz w:val="22"/>
                <w:szCs w:val="22"/>
              </w:rPr>
            </w:pPr>
          </w:p>
        </w:tc>
        <w:tc>
          <w:tcPr>
            <w:tcW w:w="673" w:type="pct"/>
            <w:tcBorders>
              <w:top w:val="single" w:sz="2" w:space="0" w:color="auto"/>
              <w:left w:val="single" w:sz="2" w:space="0" w:color="auto"/>
              <w:bottom w:val="single" w:sz="2" w:space="0" w:color="auto"/>
              <w:right w:val="single" w:sz="2" w:space="0" w:color="auto"/>
            </w:tcBorders>
          </w:tcPr>
          <w:p w:rsidR="00B92112" w:rsidRPr="006926D4" w:rsidP="003C1839" w14:paraId="410D519B" w14:textId="433C2931">
            <w:pPr>
              <w:jc w:val="right"/>
              <w:rPr>
                <w:rFonts w:ascii="Times New Roman" w:hAnsi="Times New Roman"/>
                <w:sz w:val="22"/>
                <w:szCs w:val="22"/>
              </w:rPr>
            </w:pPr>
            <w:r>
              <w:rPr>
                <w:rFonts w:ascii="Times New Roman" w:hAnsi="Times New Roman"/>
                <w:sz w:val="22"/>
                <w:szCs w:val="22"/>
              </w:rPr>
              <w:t>20</w:t>
            </w:r>
            <w:r w:rsidRPr="006926D4">
              <w:rPr>
                <w:rFonts w:ascii="Times New Roman" w:hAnsi="Times New Roman"/>
                <w:sz w:val="22"/>
                <w:szCs w:val="22"/>
              </w:rPr>
              <w:t>,800</w:t>
            </w:r>
          </w:p>
        </w:tc>
        <w:tc>
          <w:tcPr>
            <w:tcW w:w="673" w:type="pct"/>
            <w:tcBorders>
              <w:top w:val="single" w:sz="2" w:space="0" w:color="auto"/>
              <w:left w:val="single" w:sz="2" w:space="0" w:color="auto"/>
              <w:bottom w:val="single" w:sz="2" w:space="0" w:color="auto"/>
              <w:right w:val="single" w:sz="2" w:space="0" w:color="auto"/>
            </w:tcBorders>
          </w:tcPr>
          <w:p w:rsidR="00B92112" w:rsidRPr="006926D4" w:rsidP="003C1839" w14:paraId="37008BDD" w14:textId="77777777">
            <w:pPr>
              <w:jc w:val="right"/>
              <w:rPr>
                <w:rFonts w:ascii="Times New Roman" w:hAnsi="Times New Roman"/>
                <w:sz w:val="22"/>
                <w:szCs w:val="22"/>
              </w:rPr>
            </w:pPr>
          </w:p>
        </w:tc>
        <w:tc>
          <w:tcPr>
            <w:tcW w:w="529" w:type="pct"/>
            <w:tcBorders>
              <w:top w:val="single" w:sz="2" w:space="0" w:color="auto"/>
              <w:left w:val="single" w:sz="2" w:space="0" w:color="auto"/>
              <w:bottom w:val="single" w:sz="2" w:space="0" w:color="auto"/>
              <w:right w:val="single" w:sz="2" w:space="0" w:color="auto"/>
            </w:tcBorders>
          </w:tcPr>
          <w:p w:rsidR="00B92112" w:rsidRPr="006926D4" w:rsidP="003C1839" w14:paraId="2B026DFC" w14:textId="3AE0D328">
            <w:pPr>
              <w:jc w:val="right"/>
              <w:rPr>
                <w:rFonts w:ascii="Times New Roman" w:hAnsi="Times New Roman"/>
                <w:sz w:val="22"/>
                <w:szCs w:val="22"/>
              </w:rPr>
            </w:pPr>
            <w:r>
              <w:rPr>
                <w:rFonts w:ascii="Times New Roman" w:hAnsi="Times New Roman"/>
                <w:sz w:val="22"/>
                <w:szCs w:val="22"/>
              </w:rPr>
              <w:t>8</w:t>
            </w:r>
            <w:r w:rsidRPr="006926D4">
              <w:rPr>
                <w:rFonts w:ascii="Times New Roman" w:hAnsi="Times New Roman"/>
                <w:sz w:val="22"/>
                <w:szCs w:val="22"/>
              </w:rPr>
              <w:t>,200</w:t>
            </w:r>
            <w:r w:rsidRPr="006926D4">
              <w:rPr>
                <w:rFonts w:ascii="Times New Roman" w:hAnsi="Times New Roman"/>
                <w:sz w:val="22"/>
                <w:szCs w:val="22"/>
              </w:rPr>
              <w:t xml:space="preserve"> </w:t>
            </w:r>
          </w:p>
        </w:tc>
      </w:tr>
    </w:tbl>
    <w:p w:rsidR="00E83069" w:rsidP="00677BAB" w14:paraId="08C11484" w14:textId="77777777">
      <w:pPr>
        <w:rPr>
          <w:rFonts w:ascii="Times New Roman" w:hAnsi="Times New Roman"/>
          <w:szCs w:val="24"/>
        </w:rPr>
      </w:pPr>
    </w:p>
    <w:p w:rsidR="00D03D3A" w:rsidRPr="00E83069" w:rsidP="00E83069" w14:paraId="2AB5665D" w14:textId="335A6FDC">
      <w:pPr>
        <w:jc w:val="center"/>
        <w:rPr>
          <w:rFonts w:ascii="Times New Roman" w:hAnsi="Times New Roman"/>
          <w:szCs w:val="24"/>
          <w:u w:val="single"/>
        </w:rPr>
      </w:pPr>
      <w:r>
        <w:rPr>
          <w:rFonts w:ascii="Times New Roman" w:hAnsi="Times New Roman"/>
          <w:szCs w:val="24"/>
          <w:u w:val="single"/>
        </w:rPr>
        <w:t xml:space="preserve">I.  </w:t>
      </w:r>
      <w:r w:rsidRPr="00E83069">
        <w:rPr>
          <w:rFonts w:ascii="Times New Roman" w:hAnsi="Times New Roman"/>
          <w:szCs w:val="24"/>
          <w:u w:val="single"/>
        </w:rPr>
        <w:t xml:space="preserve">Shortages </w:t>
      </w:r>
      <w:r w:rsidR="00B35A59">
        <w:rPr>
          <w:rFonts w:ascii="Times New Roman" w:hAnsi="Times New Roman"/>
          <w:szCs w:val="24"/>
          <w:u w:val="single"/>
        </w:rPr>
        <w:t xml:space="preserve">Outreach </w:t>
      </w:r>
      <w:r w:rsidRPr="00E83069">
        <w:rPr>
          <w:rFonts w:ascii="Times New Roman" w:hAnsi="Times New Roman"/>
          <w:szCs w:val="24"/>
          <w:u w:val="single"/>
        </w:rPr>
        <w:t xml:space="preserve">Data </w:t>
      </w:r>
      <w:r w:rsidRPr="00E83069" w:rsidR="00E83069">
        <w:rPr>
          <w:rFonts w:ascii="Times New Roman" w:hAnsi="Times New Roman"/>
          <w:szCs w:val="24"/>
          <w:u w:val="single"/>
        </w:rPr>
        <w:t>Collection</w:t>
      </w:r>
    </w:p>
    <w:p w:rsidR="00D03D3A" w:rsidRPr="00677BAB" w:rsidP="00677BAB" w14:paraId="1CC9477C" w14:textId="77777777">
      <w:pPr>
        <w:rPr>
          <w:rFonts w:ascii="Times New Roman" w:hAnsi="Times New Roman"/>
          <w:szCs w:val="24"/>
        </w:rPr>
      </w:pPr>
    </w:p>
    <w:p w:rsidR="00D03D3A" w:rsidRPr="00677BAB" w:rsidP="00677BAB" w14:paraId="7C206A6A" w14:textId="3EE01856">
      <w:pPr>
        <w:rPr>
          <w:rFonts w:ascii="Times New Roman" w:hAnsi="Times New Roman"/>
          <w:szCs w:val="24"/>
        </w:rPr>
      </w:pPr>
      <w:r>
        <w:rPr>
          <w:rFonts w:ascii="Times New Roman" w:hAnsi="Times New Roman"/>
          <w:szCs w:val="24"/>
        </w:rPr>
        <w:tab/>
        <w:t xml:space="preserve">Our estimate is based on our </w:t>
      </w:r>
      <w:r w:rsidR="00EC4F7F">
        <w:rPr>
          <w:rFonts w:ascii="Times New Roman" w:hAnsi="Times New Roman"/>
          <w:szCs w:val="24"/>
        </w:rPr>
        <w:t xml:space="preserve">recent </w:t>
      </w:r>
      <w:r>
        <w:rPr>
          <w:rFonts w:ascii="Times New Roman" w:hAnsi="Times New Roman"/>
          <w:szCs w:val="24"/>
        </w:rPr>
        <w:t xml:space="preserve">experience with the collection and informal </w:t>
      </w:r>
      <w:r w:rsidRPr="00677BAB">
        <w:rPr>
          <w:rFonts w:ascii="Times New Roman" w:hAnsi="Times New Roman"/>
          <w:szCs w:val="24"/>
        </w:rPr>
        <w:t xml:space="preserve">direct contact with </w:t>
      </w:r>
      <w:r w:rsidR="00A64903">
        <w:rPr>
          <w:rFonts w:ascii="Times New Roman" w:hAnsi="Times New Roman"/>
          <w:szCs w:val="24"/>
        </w:rPr>
        <w:t>respondents</w:t>
      </w:r>
      <w:r w:rsidR="00696E25">
        <w:rPr>
          <w:rFonts w:ascii="Times New Roman" w:hAnsi="Times New Roman"/>
          <w:szCs w:val="24"/>
        </w:rPr>
        <w:t xml:space="preserve">.  We </w:t>
      </w:r>
      <w:r w:rsidR="00F05605">
        <w:rPr>
          <w:rFonts w:ascii="Times New Roman" w:hAnsi="Times New Roman"/>
          <w:szCs w:val="24"/>
        </w:rPr>
        <w:t xml:space="preserve">estimate </w:t>
      </w:r>
      <w:r w:rsidRPr="00677BAB">
        <w:rPr>
          <w:rFonts w:ascii="Times New Roman" w:hAnsi="Times New Roman"/>
          <w:szCs w:val="24"/>
        </w:rPr>
        <w:t xml:space="preserve">up to </w:t>
      </w:r>
      <w:r w:rsidR="00EC4F7F">
        <w:rPr>
          <w:rFonts w:ascii="Times New Roman" w:hAnsi="Times New Roman"/>
          <w:szCs w:val="24"/>
        </w:rPr>
        <w:t>1,0</w:t>
      </w:r>
      <w:r w:rsidRPr="00677BAB">
        <w:rPr>
          <w:rFonts w:ascii="Times New Roman" w:hAnsi="Times New Roman"/>
          <w:szCs w:val="24"/>
        </w:rPr>
        <w:t>00 manufacturers</w:t>
      </w:r>
      <w:r w:rsidRPr="69578D2D" w:rsidR="00630D84">
        <w:rPr>
          <w:rFonts w:ascii="Times New Roman" w:hAnsi="Times New Roman"/>
        </w:rPr>
        <w:t>, distributors, healthcare systems, healthcare providers, group purchasing organizations, and sterilizers</w:t>
      </w:r>
      <w:r w:rsidRPr="00677BAB">
        <w:rPr>
          <w:rFonts w:ascii="Times New Roman" w:hAnsi="Times New Roman"/>
          <w:szCs w:val="24"/>
        </w:rPr>
        <w:t xml:space="preserve"> for which there may be targeted outreach because their devices may be essential to the response effort.  This targeted outreach will be conducted </w:t>
      </w:r>
      <w:r w:rsidR="006B2B8C">
        <w:rPr>
          <w:rFonts w:ascii="Times New Roman" w:hAnsi="Times New Roman"/>
          <w:szCs w:val="24"/>
        </w:rPr>
        <w:t>periodically</w:t>
      </w:r>
      <w:r w:rsidRPr="00677BAB">
        <w:rPr>
          <w:rFonts w:ascii="Times New Roman" w:hAnsi="Times New Roman"/>
          <w:szCs w:val="24"/>
        </w:rPr>
        <w:t xml:space="preserve"> to either obtain primary data or to verify/validate updated data (although additional outreach may be undertaken as needed). </w:t>
      </w:r>
      <w:r w:rsidR="00F05605">
        <w:rPr>
          <w:rFonts w:ascii="Times New Roman" w:hAnsi="Times New Roman"/>
          <w:szCs w:val="24"/>
        </w:rPr>
        <w:t xml:space="preserve">  </w:t>
      </w:r>
      <w:r w:rsidR="006C6541">
        <w:rPr>
          <w:rFonts w:ascii="Times New Roman" w:hAnsi="Times New Roman"/>
          <w:szCs w:val="24"/>
        </w:rPr>
        <w:t>T</w:t>
      </w:r>
      <w:r w:rsidRPr="00677BAB">
        <w:rPr>
          <w:rFonts w:ascii="Times New Roman" w:hAnsi="Times New Roman"/>
          <w:szCs w:val="24"/>
        </w:rPr>
        <w:t xml:space="preserve">he data being requested represent common data elements that </w:t>
      </w:r>
      <w:r w:rsidR="00302F50">
        <w:rPr>
          <w:rFonts w:ascii="Times New Roman" w:hAnsi="Times New Roman"/>
          <w:szCs w:val="24"/>
        </w:rPr>
        <w:t>respondents</w:t>
      </w:r>
      <w:r w:rsidRPr="00677BAB">
        <w:rPr>
          <w:rFonts w:ascii="Times New Roman" w:hAnsi="Times New Roman"/>
          <w:szCs w:val="24"/>
        </w:rPr>
        <w:t xml:space="preserve"> monitor and track as part of routine business operations and</w:t>
      </w:r>
      <w:r w:rsidR="00302F50">
        <w:rPr>
          <w:rFonts w:ascii="Times New Roman" w:hAnsi="Times New Roman"/>
          <w:szCs w:val="24"/>
        </w:rPr>
        <w:t>,</w:t>
      </w:r>
      <w:r w:rsidRPr="00677BAB">
        <w:rPr>
          <w:rFonts w:ascii="Times New Roman" w:hAnsi="Times New Roman"/>
          <w:szCs w:val="24"/>
        </w:rPr>
        <w:t xml:space="preserve"> therefore</w:t>
      </w:r>
      <w:r w:rsidR="00302F50">
        <w:rPr>
          <w:rFonts w:ascii="Times New Roman" w:hAnsi="Times New Roman"/>
          <w:szCs w:val="24"/>
        </w:rPr>
        <w:t>,</w:t>
      </w:r>
      <w:r w:rsidRPr="00677BAB">
        <w:rPr>
          <w:rFonts w:ascii="Times New Roman" w:hAnsi="Times New Roman"/>
          <w:szCs w:val="24"/>
        </w:rPr>
        <w:t xml:space="preserve"> are readily available.  It is anticipated </w:t>
      </w:r>
      <w:r w:rsidRPr="00677BAB">
        <w:rPr>
          <w:rFonts w:ascii="Times New Roman" w:hAnsi="Times New Roman"/>
          <w:szCs w:val="24"/>
        </w:rPr>
        <w:t xml:space="preserve">that for most </w:t>
      </w:r>
      <w:r w:rsidR="00302F50">
        <w:rPr>
          <w:rFonts w:ascii="Times New Roman" w:hAnsi="Times New Roman"/>
          <w:szCs w:val="24"/>
        </w:rPr>
        <w:t>respondents</w:t>
      </w:r>
      <w:r w:rsidRPr="00677BAB">
        <w:rPr>
          <w:rFonts w:ascii="Times New Roman" w:hAnsi="Times New Roman"/>
          <w:szCs w:val="24"/>
        </w:rPr>
        <w:t xml:space="preserve">, the estimated time to fulfill CDRH's data request will not exceed </w:t>
      </w:r>
      <w:r w:rsidR="00453818">
        <w:rPr>
          <w:rFonts w:ascii="Times New Roman" w:hAnsi="Times New Roman"/>
          <w:szCs w:val="24"/>
        </w:rPr>
        <w:t>1 hour</w:t>
      </w:r>
      <w:r w:rsidRPr="00677BAB">
        <w:rPr>
          <w:rFonts w:ascii="Times New Roman" w:hAnsi="Times New Roman"/>
          <w:szCs w:val="24"/>
        </w:rPr>
        <w:t xml:space="preserve"> per request, or </w:t>
      </w:r>
      <w:r w:rsidR="00453818">
        <w:rPr>
          <w:rFonts w:ascii="Times New Roman" w:hAnsi="Times New Roman"/>
          <w:szCs w:val="24"/>
        </w:rPr>
        <w:t>4</w:t>
      </w:r>
      <w:r w:rsidRPr="00677BAB">
        <w:rPr>
          <w:rFonts w:ascii="Times New Roman" w:hAnsi="Times New Roman"/>
          <w:szCs w:val="24"/>
        </w:rPr>
        <w:t xml:space="preserve"> hours per year.</w:t>
      </w:r>
    </w:p>
    <w:p w:rsidR="00D03D3A" w:rsidRPr="00677BAB" w:rsidP="00677BAB" w14:paraId="398F8A67" w14:textId="77777777">
      <w:pPr>
        <w:rPr>
          <w:rFonts w:ascii="Times New Roman" w:hAnsi="Times New Roman"/>
          <w:szCs w:val="24"/>
        </w:rPr>
      </w:pPr>
    </w:p>
    <w:p w:rsidR="00D03D3A" w:rsidRPr="00F05605" w:rsidP="00F05605" w14:paraId="029F6490" w14:textId="4A460BCE">
      <w:pPr>
        <w:jc w:val="center"/>
        <w:rPr>
          <w:rFonts w:ascii="Times New Roman" w:hAnsi="Times New Roman"/>
          <w:szCs w:val="24"/>
          <w:u w:val="single"/>
        </w:rPr>
      </w:pPr>
      <w:r w:rsidRPr="00F05605">
        <w:rPr>
          <w:rFonts w:ascii="Times New Roman" w:hAnsi="Times New Roman"/>
          <w:szCs w:val="24"/>
          <w:u w:val="single"/>
        </w:rPr>
        <w:t xml:space="preserve">II.  </w:t>
      </w:r>
      <w:r w:rsidRPr="00F05605">
        <w:rPr>
          <w:rFonts w:ascii="Times New Roman" w:hAnsi="Times New Roman"/>
          <w:szCs w:val="24"/>
          <w:u w:val="single"/>
        </w:rPr>
        <w:t>Information Collection Under Section 506J of the FD&amp;C Act and Related Voluntary Collections</w:t>
      </w:r>
    </w:p>
    <w:p w:rsidR="00D03D3A" w:rsidRPr="00677BAB" w:rsidP="00677BAB" w14:paraId="4ADD7C98" w14:textId="77777777">
      <w:pPr>
        <w:rPr>
          <w:rFonts w:ascii="Times New Roman" w:hAnsi="Times New Roman"/>
          <w:szCs w:val="24"/>
        </w:rPr>
      </w:pPr>
    </w:p>
    <w:p w:rsidR="002916B7" w:rsidP="00677BAB" w14:paraId="2A1625A8" w14:textId="4A09AC2F">
      <w:pPr>
        <w:rPr>
          <w:rFonts w:ascii="Times New Roman" w:hAnsi="Times New Roman"/>
          <w:szCs w:val="24"/>
        </w:rPr>
      </w:pPr>
      <w:r>
        <w:rPr>
          <w:rFonts w:ascii="Times New Roman" w:hAnsi="Times New Roman"/>
          <w:szCs w:val="24"/>
        </w:rPr>
        <w:tab/>
      </w:r>
      <w:r w:rsidRPr="00677BAB" w:rsidR="00D03D3A">
        <w:rPr>
          <w:rFonts w:ascii="Times New Roman" w:hAnsi="Times New Roman"/>
          <w:szCs w:val="24"/>
        </w:rPr>
        <w:t xml:space="preserve">Based on current registration and listing data (approved under OMB control number 0910-0625), we estimate the number of respondents that will submit a notification under section 506J of the FD&amp;C Act to be approximately 20 percent of currently registered manufacturers.  Data from our Registration &amp; Listing system indicates that there are approximately 42,000 unique FDA Establishment Identification registered manufacturers.  Therefore, we estimate 8,400 respondents per year.  We believe that the burden as well as the provision of required information under section 506J of the FD&amp;C Act--as well as additional voluntary information related to the determination (including additional issues that may impact the availability of the device, such as information about critical suppliers, potential mitigations, production capacity and market share, and notification </w:t>
      </w:r>
      <w:r w:rsidRPr="00677BAB" w:rsidR="00D03D3A">
        <w:rPr>
          <w:rFonts w:ascii="Times New Roman" w:hAnsi="Times New Roman"/>
          <w:szCs w:val="24"/>
        </w:rPr>
        <w:t>updates)--</w:t>
      </w:r>
      <w:r w:rsidRPr="00677BAB" w:rsidR="00D03D3A">
        <w:rPr>
          <w:rFonts w:ascii="Times New Roman" w:hAnsi="Times New Roman"/>
          <w:szCs w:val="24"/>
        </w:rPr>
        <w:t xml:space="preserve">is minimal and such information is readily available to </w:t>
      </w:r>
      <w:r w:rsidR="008028AA">
        <w:rPr>
          <w:rFonts w:ascii="Times New Roman" w:hAnsi="Times New Roman"/>
          <w:szCs w:val="24"/>
        </w:rPr>
        <w:t>respondents</w:t>
      </w:r>
      <w:r w:rsidRPr="00677BAB" w:rsidR="00D03D3A">
        <w:rPr>
          <w:rFonts w:ascii="Times New Roman" w:hAnsi="Times New Roman"/>
          <w:szCs w:val="24"/>
        </w:rPr>
        <w:t>.  Therefore, we estimate the burden of this information collection to be 15 minutes or less per determination and notification.</w:t>
      </w:r>
    </w:p>
    <w:p w:rsidR="002916B7" w:rsidP="00677BAB" w14:paraId="1741151E" w14:textId="77777777">
      <w:pPr>
        <w:rPr>
          <w:rFonts w:ascii="Times New Roman" w:hAnsi="Times New Roman"/>
          <w:szCs w:val="24"/>
        </w:rPr>
      </w:pPr>
    </w:p>
    <w:p w:rsidR="0077620F" w:rsidRPr="00D842DF" w:rsidP="00677BAB" w14:paraId="22CF8FC1" w14:textId="2EAF5448">
      <w:pPr>
        <w:rPr>
          <w:rFonts w:ascii="Times New Roman" w:hAnsi="Times New Roman"/>
          <w:szCs w:val="24"/>
        </w:rPr>
      </w:pPr>
      <w:r>
        <w:rPr>
          <w:rFonts w:ascii="Times New Roman" w:hAnsi="Times New Roman"/>
          <w:szCs w:val="24"/>
        </w:rPr>
        <w:tab/>
      </w:r>
      <w:r w:rsidRPr="004D5EC0">
        <w:rPr>
          <w:rFonts w:ascii="Times New Roman" w:hAnsi="Times New Roman"/>
          <w:i/>
          <w:iCs/>
          <w:szCs w:val="24"/>
        </w:rPr>
        <w:t>12b. Annualized Cost Burden Estimate</w:t>
      </w:r>
    </w:p>
    <w:p w:rsidR="0077620F" w:rsidRPr="00677BAB" w:rsidP="00677BAB" w14:paraId="0FCAB6B5" w14:textId="77777777">
      <w:pPr>
        <w:rPr>
          <w:rFonts w:ascii="Times New Roman" w:hAnsi="Times New Roman"/>
          <w:szCs w:val="24"/>
        </w:rPr>
      </w:pPr>
    </w:p>
    <w:p w:rsidR="001E2ED8" w:rsidP="00677BAB" w14:paraId="6ECFFE31" w14:textId="101B5B35">
      <w:pPr>
        <w:rPr>
          <w:rFonts w:ascii="Times New Roman" w:hAnsi="Times New Roman"/>
          <w:szCs w:val="24"/>
        </w:rPr>
      </w:pPr>
      <w:r w:rsidRPr="00677BAB">
        <w:rPr>
          <w:rFonts w:ascii="Times New Roman" w:hAnsi="Times New Roman"/>
          <w:szCs w:val="24"/>
        </w:rPr>
        <w:t xml:space="preserve">We </w:t>
      </w:r>
      <w:r w:rsidR="00A64903">
        <w:rPr>
          <w:rFonts w:ascii="Times New Roman" w:hAnsi="Times New Roman"/>
          <w:szCs w:val="24"/>
        </w:rPr>
        <w:t>calculate</w:t>
      </w:r>
      <w:r w:rsidR="004D5EC0">
        <w:rPr>
          <w:rFonts w:ascii="Times New Roman" w:hAnsi="Times New Roman"/>
          <w:szCs w:val="24"/>
        </w:rPr>
        <w:t xml:space="preserve"> an </w:t>
      </w:r>
      <w:r w:rsidR="001C1428">
        <w:rPr>
          <w:rFonts w:ascii="Times New Roman" w:hAnsi="Times New Roman"/>
          <w:szCs w:val="24"/>
        </w:rPr>
        <w:t xml:space="preserve">estimated </w:t>
      </w:r>
      <w:r w:rsidRPr="00677BAB" w:rsidR="00212859">
        <w:rPr>
          <w:rFonts w:ascii="Times New Roman" w:hAnsi="Times New Roman"/>
          <w:szCs w:val="24"/>
        </w:rPr>
        <w:t>annual cost</w:t>
      </w:r>
      <w:r w:rsidR="004D5EC0">
        <w:rPr>
          <w:rFonts w:ascii="Times New Roman" w:hAnsi="Times New Roman"/>
          <w:szCs w:val="24"/>
        </w:rPr>
        <w:t xml:space="preserve"> of </w:t>
      </w:r>
      <w:r w:rsidRPr="00677BAB" w:rsidR="00212859">
        <w:rPr>
          <w:rFonts w:ascii="Times New Roman" w:hAnsi="Times New Roman"/>
          <w:szCs w:val="24"/>
        </w:rPr>
        <w:t>$</w:t>
      </w:r>
      <w:r w:rsidR="002107B1">
        <w:rPr>
          <w:rFonts w:ascii="Times New Roman" w:hAnsi="Times New Roman"/>
          <w:szCs w:val="24"/>
        </w:rPr>
        <w:t>476,666</w:t>
      </w:r>
      <w:r w:rsidR="00E446D2">
        <w:rPr>
          <w:rFonts w:ascii="Times New Roman" w:hAnsi="Times New Roman"/>
          <w:szCs w:val="24"/>
        </w:rPr>
        <w:t xml:space="preserve"> by</w:t>
      </w:r>
      <w:r w:rsidR="00063CF6">
        <w:rPr>
          <w:rFonts w:ascii="Times New Roman" w:hAnsi="Times New Roman"/>
          <w:szCs w:val="24"/>
        </w:rPr>
        <w:t xml:space="preserve"> multiplying the estimated </w:t>
      </w:r>
      <w:r w:rsidRPr="00677BAB">
        <w:rPr>
          <w:rFonts w:ascii="Times New Roman" w:hAnsi="Times New Roman"/>
          <w:szCs w:val="24"/>
        </w:rPr>
        <w:t xml:space="preserve">total annual burden hours </w:t>
      </w:r>
      <w:r w:rsidR="008F39C1">
        <w:rPr>
          <w:rFonts w:ascii="Times New Roman" w:hAnsi="Times New Roman"/>
          <w:szCs w:val="24"/>
        </w:rPr>
        <w:t>(</w:t>
      </w:r>
      <w:r w:rsidR="004653F1">
        <w:rPr>
          <w:rFonts w:ascii="Times New Roman" w:hAnsi="Times New Roman"/>
          <w:szCs w:val="24"/>
        </w:rPr>
        <w:t>8</w:t>
      </w:r>
      <w:r w:rsidR="008F39C1">
        <w:rPr>
          <w:rFonts w:ascii="Times New Roman" w:hAnsi="Times New Roman"/>
          <w:szCs w:val="24"/>
        </w:rPr>
        <w:t xml:space="preserve">,200) </w:t>
      </w:r>
      <w:r w:rsidR="00E446D2">
        <w:rPr>
          <w:rFonts w:ascii="Times New Roman" w:hAnsi="Times New Roman"/>
          <w:szCs w:val="24"/>
        </w:rPr>
        <w:t xml:space="preserve">by </w:t>
      </w:r>
      <w:r w:rsidR="00DD08CE">
        <w:rPr>
          <w:rFonts w:ascii="Times New Roman" w:hAnsi="Times New Roman"/>
          <w:szCs w:val="24"/>
        </w:rPr>
        <w:t xml:space="preserve">a </w:t>
      </w:r>
      <w:r w:rsidRPr="00677BAB" w:rsidR="00065184">
        <w:rPr>
          <w:rFonts w:ascii="Times New Roman" w:hAnsi="Times New Roman"/>
          <w:szCs w:val="24"/>
        </w:rPr>
        <w:t>median</w:t>
      </w:r>
      <w:r w:rsidRPr="00677BAB" w:rsidR="00641AB4">
        <w:rPr>
          <w:rFonts w:ascii="Times New Roman" w:hAnsi="Times New Roman"/>
          <w:szCs w:val="24"/>
        </w:rPr>
        <w:t xml:space="preserve"> hourly wage of $</w:t>
      </w:r>
      <w:r w:rsidR="003815C5">
        <w:rPr>
          <w:rFonts w:ascii="Times New Roman" w:hAnsi="Times New Roman"/>
          <w:szCs w:val="24"/>
        </w:rPr>
        <w:t>58.13</w:t>
      </w:r>
      <w:r w:rsidRPr="00677BAB" w:rsidR="00641AB4">
        <w:rPr>
          <w:rFonts w:ascii="Times New Roman" w:hAnsi="Times New Roman"/>
          <w:szCs w:val="24"/>
        </w:rPr>
        <w:t xml:space="preserve"> </w:t>
      </w:r>
      <w:r w:rsidR="00DD08CE">
        <w:rPr>
          <w:rFonts w:ascii="Times New Roman" w:hAnsi="Times New Roman"/>
          <w:szCs w:val="24"/>
        </w:rPr>
        <w:t xml:space="preserve">(using Bureau of Labor Statistics Data) </w:t>
      </w:r>
      <w:r w:rsidRPr="00677BAB" w:rsidR="00065184">
        <w:rPr>
          <w:rFonts w:ascii="Times New Roman" w:hAnsi="Times New Roman"/>
          <w:szCs w:val="24"/>
        </w:rPr>
        <w:t xml:space="preserve">for the profession of </w:t>
      </w:r>
      <w:r w:rsidRPr="00677BAB" w:rsidR="00641AB4">
        <w:rPr>
          <w:rFonts w:ascii="Times New Roman" w:hAnsi="Times New Roman"/>
          <w:szCs w:val="24"/>
        </w:rPr>
        <w:t>‘</w:t>
      </w:r>
      <w:r w:rsidRPr="00DD08CE" w:rsidR="00641AB4">
        <w:rPr>
          <w:rFonts w:ascii="Times New Roman" w:hAnsi="Times New Roman"/>
          <w:i/>
          <w:iCs/>
          <w:szCs w:val="24"/>
        </w:rPr>
        <w:t>Industrial production managers</w:t>
      </w:r>
      <w:r w:rsidRPr="00677BAB" w:rsidR="00641AB4">
        <w:rPr>
          <w:rFonts w:ascii="Times New Roman" w:hAnsi="Times New Roman"/>
          <w:szCs w:val="24"/>
        </w:rPr>
        <w:t>’ (SOC Code Number 11-3051).</w:t>
      </w:r>
    </w:p>
    <w:p w:rsidR="00D72D35" w:rsidP="00677BAB" w14:paraId="720A71DF" w14:textId="77777777">
      <w:pPr>
        <w:rPr>
          <w:rFonts w:ascii="Times New Roman" w:hAnsi="Times New Roman"/>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7"/>
        <w:gridCol w:w="2069"/>
        <w:gridCol w:w="2128"/>
        <w:gridCol w:w="2108"/>
      </w:tblGrid>
      <w:tr w14:paraId="0A36A05C" w14:textId="77777777" w:rsidTr="002107B1">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jc w:val="center"/>
        </w:trPr>
        <w:tc>
          <w:tcPr>
            <w:tcW w:w="2757" w:type="dxa"/>
            <w:shd w:val="clear" w:color="auto" w:fill="auto"/>
          </w:tcPr>
          <w:p w:rsidR="00D26591" w:rsidRPr="00D26591" w:rsidP="00D26591" w14:paraId="11D61E3F" w14:textId="7C63509D">
            <w:pPr>
              <w:rPr>
                <w:rFonts w:ascii="Times New Roman" w:hAnsi="Times New Roman"/>
                <w:szCs w:val="24"/>
              </w:rPr>
            </w:pPr>
            <w:r w:rsidRPr="00D26591">
              <w:rPr>
                <w:rFonts w:ascii="Times New Roman" w:hAnsi="Times New Roman"/>
                <w:szCs w:val="24"/>
              </w:rPr>
              <w:t>Type of Respondent</w:t>
            </w:r>
          </w:p>
        </w:tc>
        <w:tc>
          <w:tcPr>
            <w:tcW w:w="2069" w:type="dxa"/>
            <w:shd w:val="clear" w:color="auto" w:fill="auto"/>
          </w:tcPr>
          <w:p w:rsidR="00D26591" w:rsidRPr="00D26591" w:rsidP="00D26591" w14:paraId="5E531394" w14:textId="77777777">
            <w:pPr>
              <w:rPr>
                <w:rFonts w:ascii="Times New Roman" w:hAnsi="Times New Roman"/>
                <w:szCs w:val="24"/>
              </w:rPr>
            </w:pPr>
            <w:r w:rsidRPr="00D26591">
              <w:rPr>
                <w:rFonts w:ascii="Times New Roman" w:hAnsi="Times New Roman"/>
                <w:szCs w:val="24"/>
              </w:rPr>
              <w:t>Total Burden Hours</w:t>
            </w:r>
          </w:p>
        </w:tc>
        <w:tc>
          <w:tcPr>
            <w:tcW w:w="2128" w:type="dxa"/>
            <w:shd w:val="clear" w:color="auto" w:fill="auto"/>
          </w:tcPr>
          <w:p w:rsidR="00D26591" w:rsidRPr="00D26591" w:rsidP="00D26591" w14:paraId="3422F38D" w14:textId="77777777">
            <w:pPr>
              <w:rPr>
                <w:rFonts w:ascii="Times New Roman" w:hAnsi="Times New Roman"/>
                <w:szCs w:val="24"/>
              </w:rPr>
            </w:pPr>
            <w:r w:rsidRPr="00D26591">
              <w:rPr>
                <w:rFonts w:ascii="Times New Roman" w:hAnsi="Times New Roman"/>
                <w:szCs w:val="24"/>
              </w:rPr>
              <w:t>Hourly Wage Rate</w:t>
            </w:r>
          </w:p>
        </w:tc>
        <w:tc>
          <w:tcPr>
            <w:tcW w:w="2108" w:type="dxa"/>
            <w:shd w:val="clear" w:color="auto" w:fill="auto"/>
          </w:tcPr>
          <w:p w:rsidR="00D26591" w:rsidRPr="00D26591" w:rsidP="00D26591" w14:paraId="3BE63972" w14:textId="77777777">
            <w:pPr>
              <w:rPr>
                <w:rFonts w:ascii="Times New Roman" w:hAnsi="Times New Roman"/>
                <w:szCs w:val="24"/>
              </w:rPr>
            </w:pPr>
            <w:r w:rsidRPr="00D26591">
              <w:rPr>
                <w:rFonts w:ascii="Times New Roman" w:hAnsi="Times New Roman"/>
                <w:szCs w:val="24"/>
              </w:rPr>
              <w:t>Total Respondent Costs</w:t>
            </w:r>
          </w:p>
        </w:tc>
      </w:tr>
      <w:tr w14:paraId="514093EF" w14:textId="77777777" w:rsidTr="002107B1">
        <w:tblPrEx>
          <w:tblW w:w="5000" w:type="pct"/>
          <w:jc w:val="center"/>
          <w:tblLook w:val="01E0"/>
        </w:tblPrEx>
        <w:trPr>
          <w:cantSplit/>
          <w:jc w:val="center"/>
        </w:trPr>
        <w:tc>
          <w:tcPr>
            <w:tcW w:w="2757" w:type="dxa"/>
            <w:shd w:val="clear" w:color="auto" w:fill="auto"/>
          </w:tcPr>
          <w:p w:rsidR="00D26591" w:rsidRPr="00D26591" w:rsidP="00D26591" w14:paraId="6CB2AA02" w14:textId="461B82E0">
            <w:pPr>
              <w:rPr>
                <w:rFonts w:ascii="Times New Roman" w:hAnsi="Times New Roman"/>
                <w:szCs w:val="24"/>
              </w:rPr>
            </w:pPr>
            <w:r>
              <w:rPr>
                <w:rFonts w:ascii="Times New Roman" w:hAnsi="Times New Roman"/>
                <w:szCs w:val="24"/>
              </w:rPr>
              <w:t>Industrial production managers</w:t>
            </w:r>
          </w:p>
        </w:tc>
        <w:tc>
          <w:tcPr>
            <w:tcW w:w="2069" w:type="dxa"/>
            <w:shd w:val="clear" w:color="auto" w:fill="auto"/>
          </w:tcPr>
          <w:p w:rsidR="00D26591" w:rsidRPr="00D26591" w:rsidP="00A31143" w14:paraId="1D30FE99" w14:textId="6193C116">
            <w:pPr>
              <w:jc w:val="right"/>
              <w:rPr>
                <w:rFonts w:ascii="Times New Roman" w:hAnsi="Times New Roman"/>
                <w:szCs w:val="24"/>
              </w:rPr>
            </w:pPr>
            <w:r>
              <w:rPr>
                <w:rFonts w:ascii="Times New Roman" w:hAnsi="Times New Roman"/>
                <w:szCs w:val="24"/>
              </w:rPr>
              <w:t>8,200</w:t>
            </w:r>
          </w:p>
        </w:tc>
        <w:tc>
          <w:tcPr>
            <w:tcW w:w="2128" w:type="dxa"/>
            <w:shd w:val="clear" w:color="auto" w:fill="auto"/>
          </w:tcPr>
          <w:p w:rsidR="00D26591" w:rsidRPr="00D26591" w:rsidP="00A31143" w14:paraId="7BA3EE66" w14:textId="17881856">
            <w:pPr>
              <w:jc w:val="right"/>
              <w:rPr>
                <w:rFonts w:ascii="Times New Roman" w:hAnsi="Times New Roman"/>
                <w:szCs w:val="24"/>
              </w:rPr>
            </w:pPr>
            <w:r>
              <w:rPr>
                <w:rFonts w:ascii="Times New Roman" w:hAnsi="Times New Roman"/>
                <w:szCs w:val="24"/>
              </w:rPr>
              <w:t>$</w:t>
            </w:r>
            <w:r w:rsidR="00BB199B">
              <w:rPr>
                <w:rFonts w:ascii="Times New Roman" w:hAnsi="Times New Roman"/>
                <w:szCs w:val="24"/>
              </w:rPr>
              <w:t>58.13</w:t>
            </w:r>
          </w:p>
        </w:tc>
        <w:tc>
          <w:tcPr>
            <w:tcW w:w="2108" w:type="dxa"/>
            <w:shd w:val="clear" w:color="auto" w:fill="auto"/>
          </w:tcPr>
          <w:p w:rsidR="00D26591" w:rsidRPr="00D26591" w:rsidP="00A31143" w14:paraId="5AFDAF72" w14:textId="4C2F0F0A">
            <w:pPr>
              <w:jc w:val="right"/>
              <w:rPr>
                <w:rFonts w:ascii="Times New Roman" w:hAnsi="Times New Roman"/>
                <w:szCs w:val="24"/>
              </w:rPr>
            </w:pPr>
            <w:r>
              <w:rPr>
                <w:rFonts w:ascii="Times New Roman" w:hAnsi="Times New Roman"/>
                <w:szCs w:val="24"/>
              </w:rPr>
              <w:t>476,666</w:t>
            </w:r>
          </w:p>
        </w:tc>
      </w:tr>
    </w:tbl>
    <w:p w:rsidR="00D72D35" w:rsidRPr="00677BAB" w:rsidP="00677BAB" w14:paraId="6BA4DC9F" w14:textId="77777777">
      <w:pPr>
        <w:rPr>
          <w:rFonts w:ascii="Times New Roman" w:hAnsi="Times New Roman"/>
          <w:szCs w:val="24"/>
        </w:rPr>
      </w:pPr>
    </w:p>
    <w:p w:rsidR="001E2ED8" w:rsidRPr="00677BAB" w:rsidP="00677BAB" w14:paraId="287C6011" w14:textId="77777777">
      <w:pPr>
        <w:rPr>
          <w:rFonts w:ascii="Times New Roman" w:hAnsi="Times New Roman"/>
          <w:szCs w:val="24"/>
        </w:rPr>
      </w:pPr>
    </w:p>
    <w:p w:rsidR="00892703" w:rsidRPr="00677BAB" w:rsidP="00677BAB" w14:paraId="467E23C6" w14:textId="6185972E">
      <w:pPr>
        <w:rPr>
          <w:rFonts w:ascii="Times New Roman" w:hAnsi="Times New Roman"/>
          <w:szCs w:val="24"/>
        </w:rPr>
      </w:pPr>
      <w:r w:rsidRPr="00677BAB">
        <w:rPr>
          <w:rFonts w:ascii="Times New Roman" w:hAnsi="Times New Roman"/>
          <w:szCs w:val="24"/>
        </w:rPr>
        <w:t>13.</w:t>
      </w:r>
      <w:r w:rsidR="008F39C1">
        <w:rPr>
          <w:rFonts w:ascii="Times New Roman" w:hAnsi="Times New Roman"/>
          <w:szCs w:val="24"/>
        </w:rPr>
        <w:t xml:space="preserve">  </w:t>
      </w:r>
      <w:r w:rsidRPr="008F39C1" w:rsidR="00776D14">
        <w:rPr>
          <w:rFonts w:ascii="Times New Roman" w:hAnsi="Times New Roman"/>
          <w:szCs w:val="24"/>
          <w:u w:val="single"/>
        </w:rPr>
        <w:t>Estimates of Other Total Annual Costs to Respondents/Recordkeepers or Capital Costs</w:t>
      </w:r>
    </w:p>
    <w:p w:rsidR="00892703" w:rsidRPr="00677BAB" w:rsidP="00677BAB" w14:paraId="702F3439" w14:textId="77777777">
      <w:pPr>
        <w:rPr>
          <w:rFonts w:ascii="Times New Roman" w:hAnsi="Times New Roman"/>
          <w:szCs w:val="24"/>
        </w:rPr>
      </w:pPr>
    </w:p>
    <w:p w:rsidR="00892703" w:rsidRPr="00677BAB" w:rsidP="00677BAB" w14:paraId="5DF371FB" w14:textId="77777777">
      <w:pPr>
        <w:rPr>
          <w:rFonts w:ascii="Times New Roman" w:hAnsi="Times New Roman"/>
          <w:szCs w:val="24"/>
        </w:rPr>
      </w:pPr>
      <w:r w:rsidRPr="00677BAB">
        <w:rPr>
          <w:rFonts w:ascii="Times New Roman" w:hAnsi="Times New Roman"/>
          <w:szCs w:val="24"/>
        </w:rPr>
        <w:t>There are no capital costs or operating and maintenance costs associated with this collection of information.</w:t>
      </w:r>
    </w:p>
    <w:p w:rsidR="00074C1A" w:rsidRPr="00677BAB" w:rsidP="00677BAB" w14:paraId="5F688D03" w14:textId="77777777">
      <w:pPr>
        <w:rPr>
          <w:rFonts w:ascii="Times New Roman" w:hAnsi="Times New Roman"/>
          <w:szCs w:val="24"/>
        </w:rPr>
      </w:pPr>
    </w:p>
    <w:p w:rsidR="00892703" w:rsidRPr="00677BAB" w:rsidP="00677BAB" w14:paraId="48F69C55" w14:textId="4A169F5D">
      <w:pPr>
        <w:rPr>
          <w:rFonts w:ascii="Times New Roman" w:hAnsi="Times New Roman"/>
          <w:szCs w:val="24"/>
        </w:rPr>
      </w:pPr>
      <w:r w:rsidRPr="00677BAB">
        <w:rPr>
          <w:rFonts w:ascii="Times New Roman" w:hAnsi="Times New Roman"/>
          <w:szCs w:val="24"/>
        </w:rPr>
        <w:t>14.</w:t>
      </w:r>
      <w:r w:rsidR="008F39C1">
        <w:rPr>
          <w:rFonts w:ascii="Times New Roman" w:hAnsi="Times New Roman"/>
          <w:szCs w:val="24"/>
        </w:rPr>
        <w:t xml:space="preserve">  </w:t>
      </w:r>
      <w:r w:rsidRPr="008F39C1">
        <w:rPr>
          <w:rFonts w:ascii="Times New Roman" w:hAnsi="Times New Roman"/>
          <w:szCs w:val="24"/>
          <w:u w:val="single"/>
        </w:rPr>
        <w:t>Annualized Cost to the Federal Government</w:t>
      </w:r>
    </w:p>
    <w:p w:rsidR="00892703" w:rsidRPr="00677BAB" w:rsidP="00677BAB" w14:paraId="37D84677" w14:textId="77777777">
      <w:pPr>
        <w:rPr>
          <w:rFonts w:ascii="Times New Roman" w:hAnsi="Times New Roman"/>
          <w:szCs w:val="24"/>
        </w:rPr>
      </w:pPr>
    </w:p>
    <w:p w:rsidR="00E879F7" w:rsidP="00677BAB" w14:paraId="7F14180C" w14:textId="7A22CDA8">
      <w:pPr>
        <w:rPr>
          <w:rFonts w:ascii="Times New Roman" w:hAnsi="Times New Roman"/>
          <w:szCs w:val="24"/>
        </w:rPr>
      </w:pPr>
      <w:r w:rsidRPr="00677BAB">
        <w:rPr>
          <w:rFonts w:ascii="Times New Roman" w:hAnsi="Times New Roman"/>
          <w:szCs w:val="24"/>
        </w:rPr>
        <w:t xml:space="preserve">The </w:t>
      </w:r>
      <w:r w:rsidRPr="00677BAB">
        <w:rPr>
          <w:rFonts w:ascii="Times New Roman" w:hAnsi="Times New Roman"/>
          <w:szCs w:val="24"/>
        </w:rPr>
        <w:t xml:space="preserve">activities and ongoing support for </w:t>
      </w:r>
      <w:r w:rsidRPr="00677BAB" w:rsidR="00C64F9D">
        <w:rPr>
          <w:rFonts w:ascii="Times New Roman" w:hAnsi="Times New Roman"/>
          <w:szCs w:val="24"/>
        </w:rPr>
        <w:t>shortage data collection</w:t>
      </w:r>
      <w:r w:rsidRPr="00677BAB" w:rsidR="00D10ECD">
        <w:rPr>
          <w:rFonts w:ascii="Times New Roman" w:hAnsi="Times New Roman"/>
          <w:szCs w:val="24"/>
        </w:rPr>
        <w:t>, including</w:t>
      </w:r>
      <w:r w:rsidRPr="00677BAB">
        <w:rPr>
          <w:rFonts w:ascii="Times New Roman" w:hAnsi="Times New Roman"/>
          <w:szCs w:val="24"/>
        </w:rPr>
        <w:t xml:space="preserve"> </w:t>
      </w:r>
      <w:r w:rsidRPr="00677BAB" w:rsidR="00E4071F">
        <w:rPr>
          <w:rFonts w:ascii="Times New Roman" w:hAnsi="Times New Roman"/>
          <w:szCs w:val="24"/>
        </w:rPr>
        <w:t xml:space="preserve">contact time, data </w:t>
      </w:r>
      <w:r w:rsidRPr="00677BAB" w:rsidR="00B67F32">
        <w:rPr>
          <w:rFonts w:ascii="Times New Roman" w:hAnsi="Times New Roman"/>
          <w:szCs w:val="24"/>
        </w:rPr>
        <w:t>verification/</w:t>
      </w:r>
      <w:r w:rsidRPr="00677BAB" w:rsidR="00E4071F">
        <w:rPr>
          <w:rFonts w:ascii="Times New Roman" w:hAnsi="Times New Roman"/>
          <w:szCs w:val="24"/>
        </w:rPr>
        <w:t>normalization, data input</w:t>
      </w:r>
      <w:r w:rsidRPr="00677BAB" w:rsidR="00FE7012">
        <w:rPr>
          <w:rFonts w:ascii="Times New Roman" w:hAnsi="Times New Roman"/>
          <w:szCs w:val="24"/>
        </w:rPr>
        <w:t>, data analysis</w:t>
      </w:r>
      <w:r w:rsidRPr="00677BAB" w:rsidR="00F719BB">
        <w:rPr>
          <w:rFonts w:ascii="Times New Roman" w:hAnsi="Times New Roman"/>
          <w:szCs w:val="24"/>
        </w:rPr>
        <w:t>,</w:t>
      </w:r>
      <w:r w:rsidRPr="00677BAB" w:rsidR="00E4071F">
        <w:rPr>
          <w:rFonts w:ascii="Times New Roman" w:hAnsi="Times New Roman"/>
          <w:szCs w:val="24"/>
        </w:rPr>
        <w:t xml:space="preserve"> and </w:t>
      </w:r>
      <w:r w:rsidRPr="00677BAB" w:rsidR="00D10ECD">
        <w:rPr>
          <w:rFonts w:ascii="Times New Roman" w:hAnsi="Times New Roman"/>
          <w:szCs w:val="24"/>
        </w:rPr>
        <w:t xml:space="preserve">database </w:t>
      </w:r>
      <w:r w:rsidRPr="00677BAB" w:rsidR="00E4071F">
        <w:rPr>
          <w:rFonts w:ascii="Times New Roman" w:hAnsi="Times New Roman"/>
          <w:szCs w:val="24"/>
        </w:rPr>
        <w:t>maintenance activities</w:t>
      </w:r>
      <w:r w:rsidRPr="00677BAB" w:rsidR="00D10ECD">
        <w:rPr>
          <w:rFonts w:ascii="Times New Roman" w:hAnsi="Times New Roman"/>
          <w:szCs w:val="24"/>
        </w:rPr>
        <w:t xml:space="preserve">, involve approximately </w:t>
      </w:r>
      <w:r w:rsidRPr="00677BAB" w:rsidR="004E4768">
        <w:rPr>
          <w:rFonts w:ascii="Times New Roman" w:hAnsi="Times New Roman"/>
          <w:szCs w:val="24"/>
        </w:rPr>
        <w:t>5</w:t>
      </w:r>
      <w:r w:rsidRPr="00677BAB" w:rsidR="00D10ECD">
        <w:rPr>
          <w:rFonts w:ascii="Times New Roman" w:hAnsi="Times New Roman"/>
          <w:szCs w:val="24"/>
        </w:rPr>
        <w:t xml:space="preserve"> full time equivalent employees (FTEs)</w:t>
      </w:r>
      <w:r w:rsidRPr="00677BAB" w:rsidR="004E4768">
        <w:rPr>
          <w:rFonts w:ascii="Times New Roman" w:hAnsi="Times New Roman"/>
          <w:szCs w:val="24"/>
        </w:rPr>
        <w:t>, though this number may increase during public health emergency events</w:t>
      </w:r>
      <w:r w:rsidRPr="00677BAB" w:rsidR="00E4071F">
        <w:rPr>
          <w:rFonts w:ascii="Times New Roman" w:hAnsi="Times New Roman"/>
          <w:szCs w:val="24"/>
        </w:rPr>
        <w:t>.</w:t>
      </w:r>
      <w:r w:rsidRPr="00677BAB" w:rsidR="00D10ECD">
        <w:rPr>
          <w:rFonts w:ascii="Times New Roman" w:hAnsi="Times New Roman"/>
          <w:szCs w:val="24"/>
        </w:rPr>
        <w:t xml:space="preserve"> </w:t>
      </w:r>
      <w:r w:rsidRPr="005821BC" w:rsidR="005821BC">
        <w:rPr>
          <w:rFonts w:ascii="Times New Roman" w:hAnsi="Times New Roman"/>
          <w:szCs w:val="24"/>
        </w:rPr>
        <w:t xml:space="preserve">Based on an internal cost model, we assume a </w:t>
      </w:r>
      <w:r w:rsidRPr="005821BC" w:rsidR="005821BC">
        <w:rPr>
          <w:rFonts w:ascii="Times New Roman" w:hAnsi="Times New Roman"/>
          <w:szCs w:val="24"/>
        </w:rPr>
        <w:t>fully-loaded</w:t>
      </w:r>
      <w:r w:rsidRPr="005821BC" w:rsidR="005821BC">
        <w:rPr>
          <w:rFonts w:ascii="Times New Roman" w:hAnsi="Times New Roman"/>
          <w:szCs w:val="24"/>
        </w:rPr>
        <w:t xml:space="preserve"> cost of $297,561 per position.</w:t>
      </w:r>
      <w:r w:rsidRPr="00677BAB" w:rsidR="00E4071F">
        <w:rPr>
          <w:rFonts w:ascii="Times New Roman" w:hAnsi="Times New Roman"/>
          <w:szCs w:val="24"/>
        </w:rPr>
        <w:t xml:space="preserve"> </w:t>
      </w:r>
      <w:r w:rsidRPr="00677BAB" w:rsidR="00DD0B45">
        <w:rPr>
          <w:rFonts w:ascii="Times New Roman" w:hAnsi="Times New Roman"/>
          <w:szCs w:val="24"/>
        </w:rPr>
        <w:t xml:space="preserve"> </w:t>
      </w:r>
      <w:r w:rsidR="001A0FDA">
        <w:rPr>
          <w:rFonts w:ascii="Times New Roman" w:hAnsi="Times New Roman"/>
          <w:szCs w:val="24"/>
        </w:rPr>
        <w:t>We t</w:t>
      </w:r>
      <w:r w:rsidRPr="00677BAB" w:rsidR="00DD0B45">
        <w:rPr>
          <w:rFonts w:ascii="Times New Roman" w:hAnsi="Times New Roman"/>
          <w:szCs w:val="24"/>
        </w:rPr>
        <w:t>he</w:t>
      </w:r>
      <w:r w:rsidRPr="00677BAB" w:rsidR="00D10ECD">
        <w:rPr>
          <w:rFonts w:ascii="Times New Roman" w:hAnsi="Times New Roman"/>
          <w:szCs w:val="24"/>
        </w:rPr>
        <w:t>refore</w:t>
      </w:r>
      <w:r w:rsidR="001A0FDA">
        <w:rPr>
          <w:rFonts w:ascii="Times New Roman" w:hAnsi="Times New Roman"/>
          <w:szCs w:val="24"/>
        </w:rPr>
        <w:t xml:space="preserve"> calculate an </w:t>
      </w:r>
      <w:r w:rsidRPr="00677BAB" w:rsidR="00BD786A">
        <w:rPr>
          <w:rFonts w:ascii="Times New Roman" w:hAnsi="Times New Roman"/>
          <w:szCs w:val="24"/>
        </w:rPr>
        <w:t xml:space="preserve">annualized </w:t>
      </w:r>
      <w:r w:rsidRPr="00677BAB" w:rsidR="00DD0B45">
        <w:rPr>
          <w:rFonts w:ascii="Times New Roman" w:hAnsi="Times New Roman"/>
          <w:szCs w:val="24"/>
        </w:rPr>
        <w:t xml:space="preserve">cost </w:t>
      </w:r>
      <w:r w:rsidR="001A0FDA">
        <w:rPr>
          <w:rFonts w:ascii="Times New Roman" w:hAnsi="Times New Roman"/>
          <w:szCs w:val="24"/>
        </w:rPr>
        <w:t>of</w:t>
      </w:r>
      <w:r w:rsidRPr="00677BAB" w:rsidR="00DD0B45">
        <w:rPr>
          <w:rFonts w:ascii="Times New Roman" w:hAnsi="Times New Roman"/>
          <w:szCs w:val="24"/>
        </w:rPr>
        <w:t xml:space="preserve"> $</w:t>
      </w:r>
      <w:r w:rsidR="00225532">
        <w:rPr>
          <w:rFonts w:ascii="Times New Roman" w:hAnsi="Times New Roman"/>
          <w:szCs w:val="24"/>
        </w:rPr>
        <w:t>1,487,805</w:t>
      </w:r>
      <w:r w:rsidR="009D0301">
        <w:rPr>
          <w:rFonts w:ascii="Times New Roman" w:hAnsi="Times New Roman"/>
          <w:szCs w:val="24"/>
        </w:rPr>
        <w:t xml:space="preserve"> to FDA</w:t>
      </w:r>
      <w:r w:rsidRPr="00677BAB" w:rsidR="00DD0B45">
        <w:rPr>
          <w:rFonts w:ascii="Times New Roman" w:hAnsi="Times New Roman"/>
          <w:szCs w:val="24"/>
        </w:rPr>
        <w:t>.</w:t>
      </w:r>
    </w:p>
    <w:p w:rsidR="00E67B35" w:rsidRPr="00677BAB" w:rsidP="00677BAB" w14:paraId="24389168" w14:textId="77777777">
      <w:pPr>
        <w:rPr>
          <w:rFonts w:ascii="Times New Roman" w:hAnsi="Times New Roman"/>
          <w:szCs w:val="24"/>
        </w:rPr>
      </w:pPr>
    </w:p>
    <w:p w:rsidR="00E879F7" w:rsidRPr="00677BAB" w:rsidP="00677BAB" w14:paraId="40EB75E0" w14:textId="77777777">
      <w:pPr>
        <w:rPr>
          <w:rFonts w:ascii="Times New Roman" w:hAnsi="Times New Roman"/>
          <w:szCs w:val="24"/>
        </w:rPr>
      </w:pPr>
    </w:p>
    <w:p w:rsidR="00892703" w:rsidRPr="00677BAB" w:rsidP="00677BAB" w14:paraId="2415F369" w14:textId="495C4E80">
      <w:pPr>
        <w:rPr>
          <w:rFonts w:ascii="Times New Roman" w:hAnsi="Times New Roman"/>
          <w:szCs w:val="24"/>
        </w:rPr>
      </w:pPr>
      <w:r>
        <w:rPr>
          <w:rFonts w:ascii="Times New Roman" w:hAnsi="Times New Roman"/>
          <w:szCs w:val="24"/>
        </w:rPr>
        <w:t xml:space="preserve">15.  </w:t>
      </w:r>
      <w:r w:rsidRPr="001E1823">
        <w:rPr>
          <w:rFonts w:ascii="Times New Roman" w:hAnsi="Times New Roman"/>
          <w:szCs w:val="24"/>
          <w:u w:val="single"/>
        </w:rPr>
        <w:t>Explanation for Program Changes or Adjustments</w:t>
      </w:r>
    </w:p>
    <w:p w:rsidR="00FB18FA" w:rsidRPr="00677BAB" w:rsidP="00677BAB" w14:paraId="7927BF3C" w14:textId="77777777">
      <w:pPr>
        <w:rPr>
          <w:rFonts w:ascii="Times New Roman" w:hAnsi="Times New Roman"/>
          <w:szCs w:val="24"/>
        </w:rPr>
      </w:pPr>
    </w:p>
    <w:p w:rsidR="00FB18FA" w:rsidRPr="00677BAB" w:rsidP="00677BAB" w14:paraId="2D18E437" w14:textId="453C4F32">
      <w:pPr>
        <w:rPr>
          <w:rFonts w:ascii="Times New Roman" w:hAnsi="Times New Roman"/>
          <w:szCs w:val="24"/>
        </w:rPr>
      </w:pPr>
      <w:r w:rsidRPr="00677BAB">
        <w:rPr>
          <w:rFonts w:ascii="Times New Roman" w:hAnsi="Times New Roman"/>
          <w:szCs w:val="24"/>
        </w:rPr>
        <w:t xml:space="preserve">We have </w:t>
      </w:r>
      <w:r w:rsidR="00052393">
        <w:rPr>
          <w:rFonts w:ascii="Times New Roman" w:hAnsi="Times New Roman"/>
          <w:szCs w:val="24"/>
        </w:rPr>
        <w:t xml:space="preserve">updated the </w:t>
      </w:r>
      <w:r w:rsidR="00644B87">
        <w:rPr>
          <w:rFonts w:ascii="Times New Roman" w:hAnsi="Times New Roman"/>
          <w:szCs w:val="24"/>
        </w:rPr>
        <w:t>Number of Respondents and Average Burden per Response for the Shortages</w:t>
      </w:r>
      <w:r w:rsidR="00A42585">
        <w:rPr>
          <w:rFonts w:ascii="Times New Roman" w:hAnsi="Times New Roman"/>
          <w:szCs w:val="24"/>
        </w:rPr>
        <w:t xml:space="preserve"> Outreach</w:t>
      </w:r>
      <w:r w:rsidR="00644B87">
        <w:rPr>
          <w:rFonts w:ascii="Times New Roman" w:hAnsi="Times New Roman"/>
          <w:szCs w:val="24"/>
        </w:rPr>
        <w:t xml:space="preserve"> Data Collection element </w:t>
      </w:r>
      <w:r w:rsidR="002D64C9">
        <w:rPr>
          <w:rFonts w:ascii="Times New Roman" w:hAnsi="Times New Roman"/>
          <w:szCs w:val="24"/>
        </w:rPr>
        <w:t>based on our recent experience with the information collection and informal direct contact with respondents</w:t>
      </w:r>
      <w:r w:rsidR="009D0301">
        <w:rPr>
          <w:rFonts w:ascii="Times New Roman" w:hAnsi="Times New Roman"/>
          <w:szCs w:val="24"/>
        </w:rPr>
        <w:t>.  Th</w:t>
      </w:r>
      <w:r w:rsidR="0010224A">
        <w:rPr>
          <w:rFonts w:ascii="Times New Roman" w:hAnsi="Times New Roman"/>
          <w:szCs w:val="24"/>
        </w:rPr>
        <w:t>e updates</w:t>
      </w:r>
      <w:r w:rsidR="009D0301">
        <w:rPr>
          <w:rFonts w:ascii="Times New Roman" w:hAnsi="Times New Roman"/>
          <w:szCs w:val="24"/>
        </w:rPr>
        <w:t xml:space="preserve"> result in </w:t>
      </w:r>
      <w:r w:rsidR="00583D29">
        <w:rPr>
          <w:rFonts w:ascii="Times New Roman" w:hAnsi="Times New Roman"/>
          <w:szCs w:val="24"/>
        </w:rPr>
        <w:t>a</w:t>
      </w:r>
      <w:r w:rsidR="009845CA">
        <w:rPr>
          <w:rFonts w:ascii="Times New Roman" w:hAnsi="Times New Roman"/>
          <w:szCs w:val="24"/>
        </w:rPr>
        <w:t xml:space="preserve">n adjustment </w:t>
      </w:r>
      <w:r w:rsidRPr="00677BAB" w:rsidR="001036A4">
        <w:rPr>
          <w:rFonts w:ascii="Times New Roman" w:hAnsi="Times New Roman"/>
          <w:szCs w:val="24"/>
        </w:rPr>
        <w:t xml:space="preserve">of </w:t>
      </w:r>
      <w:r w:rsidR="001E1823">
        <w:rPr>
          <w:rFonts w:ascii="Times New Roman" w:hAnsi="Times New Roman"/>
          <w:szCs w:val="24"/>
        </w:rPr>
        <w:t xml:space="preserve">an additional </w:t>
      </w:r>
      <w:r w:rsidR="009774D7">
        <w:rPr>
          <w:rFonts w:ascii="Times New Roman" w:hAnsi="Times New Roman"/>
          <w:szCs w:val="24"/>
        </w:rPr>
        <w:t>3,000</w:t>
      </w:r>
      <w:r w:rsidRPr="00677BAB" w:rsidR="001036A4">
        <w:rPr>
          <w:rFonts w:ascii="Times New Roman" w:hAnsi="Times New Roman"/>
          <w:szCs w:val="24"/>
        </w:rPr>
        <w:t xml:space="preserve"> hours </w:t>
      </w:r>
      <w:r w:rsidR="001E1823">
        <w:rPr>
          <w:rFonts w:ascii="Times New Roman" w:hAnsi="Times New Roman"/>
          <w:szCs w:val="24"/>
        </w:rPr>
        <w:t>and</w:t>
      </w:r>
      <w:r w:rsidR="00D10CD0">
        <w:rPr>
          <w:rFonts w:ascii="Times New Roman" w:hAnsi="Times New Roman"/>
          <w:szCs w:val="24"/>
        </w:rPr>
        <w:t xml:space="preserve"> </w:t>
      </w:r>
      <w:r w:rsidR="00D10D75">
        <w:rPr>
          <w:rFonts w:ascii="Times New Roman" w:hAnsi="Times New Roman"/>
          <w:szCs w:val="24"/>
        </w:rPr>
        <w:t>2,000</w:t>
      </w:r>
      <w:r w:rsidR="001E1823">
        <w:rPr>
          <w:rFonts w:ascii="Times New Roman" w:hAnsi="Times New Roman"/>
          <w:szCs w:val="24"/>
        </w:rPr>
        <w:t xml:space="preserve"> responses annually.</w:t>
      </w:r>
    </w:p>
    <w:p w:rsidR="001036A4" w:rsidRPr="00677BAB" w:rsidP="00677BAB" w14:paraId="0C9911AC" w14:textId="77777777">
      <w:pPr>
        <w:rPr>
          <w:rFonts w:ascii="Times New Roman" w:hAnsi="Times New Roman"/>
          <w:szCs w:val="24"/>
        </w:rPr>
      </w:pPr>
    </w:p>
    <w:p w:rsidR="00892703" w:rsidRPr="00677BAB" w:rsidP="00677BAB" w14:paraId="2EF7EBE5" w14:textId="2D524995">
      <w:pPr>
        <w:rPr>
          <w:rFonts w:ascii="Times New Roman" w:hAnsi="Times New Roman"/>
          <w:szCs w:val="24"/>
        </w:rPr>
      </w:pPr>
      <w:r w:rsidRPr="00677BAB">
        <w:rPr>
          <w:rFonts w:ascii="Times New Roman" w:hAnsi="Times New Roman"/>
          <w:szCs w:val="24"/>
        </w:rPr>
        <w:t>16.</w:t>
      </w:r>
      <w:r w:rsidR="001E1823">
        <w:rPr>
          <w:rFonts w:ascii="Times New Roman" w:hAnsi="Times New Roman"/>
          <w:szCs w:val="24"/>
        </w:rPr>
        <w:t xml:space="preserve">  </w:t>
      </w:r>
      <w:r w:rsidRPr="001E1823">
        <w:rPr>
          <w:rFonts w:ascii="Times New Roman" w:hAnsi="Times New Roman"/>
          <w:szCs w:val="24"/>
          <w:u w:val="single"/>
        </w:rPr>
        <w:t>Plans for Tabulation and Publication and Project Time Schedule</w:t>
      </w:r>
    </w:p>
    <w:p w:rsidR="00892703" w:rsidRPr="00677BAB" w:rsidP="00677BAB" w14:paraId="782188D4" w14:textId="77777777">
      <w:pPr>
        <w:rPr>
          <w:rFonts w:ascii="Times New Roman" w:hAnsi="Times New Roman"/>
          <w:szCs w:val="24"/>
        </w:rPr>
      </w:pPr>
    </w:p>
    <w:p w:rsidR="00892703" w:rsidRPr="00677BAB" w:rsidP="00677BAB" w14:paraId="398B28A6" w14:textId="3EA772DF">
      <w:pPr>
        <w:rPr>
          <w:rFonts w:ascii="Times New Roman" w:hAnsi="Times New Roman"/>
          <w:szCs w:val="24"/>
        </w:rPr>
      </w:pPr>
      <w:r w:rsidRPr="007B4E21">
        <w:rPr>
          <w:rFonts w:ascii="Times New Roman" w:hAnsi="Times New Roman"/>
          <w:szCs w:val="24"/>
        </w:rPr>
        <w:t>This information collected will not be published or tabulated.</w:t>
      </w:r>
    </w:p>
    <w:p w:rsidR="00892703" w:rsidRPr="00677BAB" w:rsidP="00677BAB" w14:paraId="2AA3370E" w14:textId="77777777">
      <w:pPr>
        <w:rPr>
          <w:rFonts w:ascii="Times New Roman" w:hAnsi="Times New Roman"/>
          <w:szCs w:val="24"/>
        </w:rPr>
      </w:pPr>
    </w:p>
    <w:p w:rsidR="00892703" w:rsidRPr="00677BAB" w:rsidP="00677BAB" w14:paraId="5283EA41" w14:textId="7C75C7D7">
      <w:pPr>
        <w:rPr>
          <w:rFonts w:ascii="Times New Roman" w:hAnsi="Times New Roman"/>
          <w:szCs w:val="24"/>
        </w:rPr>
      </w:pPr>
      <w:r w:rsidRPr="00677BAB">
        <w:rPr>
          <w:rFonts w:ascii="Times New Roman" w:hAnsi="Times New Roman"/>
          <w:szCs w:val="24"/>
        </w:rPr>
        <w:t>17.</w:t>
      </w:r>
      <w:r w:rsidR="001E1823">
        <w:rPr>
          <w:rFonts w:ascii="Times New Roman" w:hAnsi="Times New Roman"/>
          <w:szCs w:val="24"/>
        </w:rPr>
        <w:t xml:space="preserve">  </w:t>
      </w:r>
      <w:r w:rsidRPr="001E1823">
        <w:rPr>
          <w:rFonts w:ascii="Times New Roman" w:hAnsi="Times New Roman"/>
          <w:szCs w:val="24"/>
          <w:u w:val="single"/>
        </w:rPr>
        <w:t>Reason(s) Display of OMB Expiration Date is Inappropriate</w:t>
      </w:r>
    </w:p>
    <w:p w:rsidR="00892703" w:rsidRPr="00677BAB" w:rsidP="00677BAB" w14:paraId="29BE951C" w14:textId="77777777">
      <w:pPr>
        <w:rPr>
          <w:rFonts w:ascii="Times New Roman" w:hAnsi="Times New Roman"/>
          <w:szCs w:val="24"/>
        </w:rPr>
      </w:pPr>
    </w:p>
    <w:p w:rsidR="00170BBC" w:rsidRPr="00677BAB" w:rsidP="00170BBC" w14:paraId="6B3C81BD" w14:textId="77777777">
      <w:pPr>
        <w:rPr>
          <w:rFonts w:ascii="Times New Roman" w:hAnsi="Times New Roman"/>
          <w:szCs w:val="24"/>
        </w:rPr>
      </w:pPr>
      <w:r w:rsidRPr="00CA2F12">
        <w:rPr>
          <w:rFonts w:ascii="Times New Roman" w:hAnsi="Times New Roman"/>
          <w:szCs w:val="24"/>
        </w:rPr>
        <w:t xml:space="preserve">Consistent with established practice FDA will publish a </w:t>
      </w:r>
      <w:r w:rsidRPr="00CA2F12">
        <w:rPr>
          <w:rFonts w:ascii="Times New Roman" w:hAnsi="Times New Roman"/>
          <w:i/>
          <w:iCs/>
          <w:szCs w:val="24"/>
        </w:rPr>
        <w:t>Federal Register</w:t>
      </w:r>
      <w:r w:rsidRPr="00CA2F12">
        <w:rPr>
          <w:rFonts w:ascii="Times New Roman" w:hAnsi="Times New Roman"/>
          <w:szCs w:val="24"/>
        </w:rPr>
        <w:t xml:space="preserve"> notice announcing OMB approval of the information collection associated with this guidance document and will display in that notice both the OMB control number and its current expiration date. In addition, the OMB control number will be displayed on the guidance document cover page and include a link to </w:t>
      </w:r>
      <w:hyperlink r:id="rId7" w:history="1">
        <w:r w:rsidRPr="00CA2F12">
          <w:rPr>
            <w:rStyle w:val="Hyperlink"/>
            <w:rFonts w:ascii="Times New Roman" w:hAnsi="Times New Roman"/>
            <w:szCs w:val="24"/>
          </w:rPr>
          <w:t>www.reginfo.gov</w:t>
        </w:r>
      </w:hyperlink>
      <w:r w:rsidRPr="00CA2F12">
        <w:rPr>
          <w:rFonts w:ascii="Times New Roman" w:hAnsi="Times New Roman"/>
          <w:szCs w:val="24"/>
        </w:rPr>
        <w:t xml:space="preserve"> to identify the current expiration date.</w:t>
      </w:r>
    </w:p>
    <w:p w:rsidR="00892703" w:rsidRPr="00677BAB" w:rsidP="00677BAB" w14:paraId="195DAF4C" w14:textId="77777777">
      <w:pPr>
        <w:rPr>
          <w:rFonts w:ascii="Times New Roman" w:hAnsi="Times New Roman"/>
          <w:szCs w:val="24"/>
        </w:rPr>
      </w:pPr>
    </w:p>
    <w:p w:rsidR="00892703" w:rsidRPr="00677BAB" w:rsidP="00AC3480" w14:paraId="3A1AAF1B" w14:textId="33463CDD">
      <w:pPr>
        <w:keepNext/>
        <w:rPr>
          <w:rFonts w:ascii="Times New Roman" w:hAnsi="Times New Roman"/>
          <w:szCs w:val="24"/>
        </w:rPr>
      </w:pPr>
      <w:r w:rsidRPr="00677BAB">
        <w:rPr>
          <w:rFonts w:ascii="Times New Roman" w:hAnsi="Times New Roman"/>
          <w:szCs w:val="24"/>
        </w:rPr>
        <w:t>18.</w:t>
      </w:r>
      <w:r w:rsidR="001E1823">
        <w:rPr>
          <w:rFonts w:ascii="Times New Roman" w:hAnsi="Times New Roman"/>
          <w:szCs w:val="24"/>
        </w:rPr>
        <w:t xml:space="preserve">  </w:t>
      </w:r>
      <w:r w:rsidRPr="001E1823">
        <w:rPr>
          <w:rFonts w:ascii="Times New Roman" w:hAnsi="Times New Roman"/>
          <w:szCs w:val="24"/>
          <w:u w:val="single"/>
        </w:rPr>
        <w:t>Exceptions to Certification for Paperwork Reduction Act Submissions</w:t>
      </w:r>
    </w:p>
    <w:p w:rsidR="00892703" w:rsidRPr="00677BAB" w:rsidP="00AC3480" w14:paraId="2CBC7700" w14:textId="77777777">
      <w:pPr>
        <w:keepNext/>
        <w:rPr>
          <w:rFonts w:ascii="Times New Roman" w:hAnsi="Times New Roman"/>
          <w:szCs w:val="24"/>
        </w:rPr>
      </w:pPr>
    </w:p>
    <w:p w:rsidR="00892703" w:rsidRPr="00677BAB" w:rsidP="00677BAB" w14:paraId="552E0CD2" w14:textId="77777777">
      <w:pPr>
        <w:rPr>
          <w:rFonts w:ascii="Times New Roman" w:hAnsi="Times New Roman"/>
          <w:szCs w:val="24"/>
        </w:rPr>
      </w:pPr>
      <w:r w:rsidRPr="00677BAB">
        <w:rPr>
          <w:rFonts w:ascii="Times New Roman" w:hAnsi="Times New Roman"/>
          <w:szCs w:val="24"/>
        </w:rPr>
        <w:t>There are no exceptions to the certification.</w:t>
      </w:r>
    </w:p>
    <w:p w:rsidR="00600545" w:rsidRPr="00677BAB" w:rsidP="00677BAB" w14:paraId="62AEBB9D" w14:textId="77777777">
      <w:pPr>
        <w:rPr>
          <w:rFonts w:ascii="Times New Roman" w:hAnsi="Times New Roman"/>
          <w:szCs w:val="24"/>
        </w:rPr>
      </w:pPr>
    </w:p>
    <w:p w:rsidR="008C314A" w:rsidRPr="00677BAB" w:rsidP="00677BAB" w14:paraId="64606261" w14:textId="77777777">
      <w:pPr>
        <w:rPr>
          <w:rFonts w:ascii="Times New Roman" w:hAnsi="Times New Roman"/>
          <w:szCs w:val="24"/>
        </w:rPr>
      </w:pPr>
      <w:r w:rsidRPr="00677BAB">
        <w:rPr>
          <w:rFonts w:ascii="Times New Roman" w:hAnsi="Times New Roman"/>
          <w:szCs w:val="24"/>
        </w:rPr>
        <w:t xml:space="preserve"> </w:t>
      </w:r>
    </w:p>
    <w:sectPr w:rsidSect="00774866">
      <w:footerReference w:type="even" r:id="rId8"/>
      <w:footerReference w:type="default" r:id="rId9"/>
      <w:pgSz w:w="12240" w:h="15840" w:code="1"/>
      <w:pgMar w:top="1440" w:right="1584" w:bottom="1440" w:left="1584"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4D87" w14:paraId="1802E86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54D87" w14:paraId="4299E81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4D87" w:rsidRPr="00550295" w14:paraId="3F9A5694" w14:textId="0818050E">
    <w:pPr>
      <w:pStyle w:val="Footer"/>
      <w:framePr w:wrap="around" w:vAnchor="text" w:hAnchor="margin" w:xAlign="center" w:y="1"/>
      <w:rPr>
        <w:rStyle w:val="PageNumber"/>
        <w:rFonts w:ascii="Times New Roman" w:hAnsi="Times New Roman"/>
        <w:sz w:val="22"/>
        <w:szCs w:val="22"/>
      </w:rPr>
    </w:pPr>
    <w:r w:rsidRPr="00550295">
      <w:rPr>
        <w:rStyle w:val="PageNumber"/>
        <w:rFonts w:ascii="Times New Roman" w:hAnsi="Times New Roman"/>
        <w:sz w:val="22"/>
        <w:szCs w:val="22"/>
      </w:rPr>
      <w:fldChar w:fldCharType="begin"/>
    </w:r>
    <w:r w:rsidRPr="00550295">
      <w:rPr>
        <w:rStyle w:val="PageNumber"/>
        <w:rFonts w:ascii="Times New Roman" w:hAnsi="Times New Roman"/>
        <w:sz w:val="22"/>
        <w:szCs w:val="22"/>
      </w:rPr>
      <w:instrText xml:space="preserve">PAGE  </w:instrText>
    </w:r>
    <w:r w:rsidRPr="00550295">
      <w:rPr>
        <w:rStyle w:val="PageNumber"/>
        <w:rFonts w:ascii="Times New Roman" w:hAnsi="Times New Roman"/>
        <w:sz w:val="22"/>
        <w:szCs w:val="22"/>
      </w:rPr>
      <w:fldChar w:fldCharType="separate"/>
    </w:r>
    <w:r w:rsidRPr="00550295" w:rsidR="00EC52FC">
      <w:rPr>
        <w:rStyle w:val="PageNumber"/>
        <w:rFonts w:ascii="Times New Roman" w:hAnsi="Times New Roman"/>
        <w:noProof/>
        <w:sz w:val="22"/>
        <w:szCs w:val="22"/>
      </w:rPr>
      <w:t>4</w:t>
    </w:r>
    <w:r w:rsidRPr="00550295">
      <w:rPr>
        <w:rStyle w:val="PageNumber"/>
        <w:rFonts w:ascii="Times New Roman" w:hAnsi="Times New Roman"/>
        <w:sz w:val="22"/>
        <w:szCs w:val="22"/>
      </w:rPr>
      <w:fldChar w:fldCharType="end"/>
    </w:r>
  </w:p>
  <w:p w:rsidR="00F54D87" w14:paraId="1EF8380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47ECE" w14:paraId="6E4533A3" w14:textId="77777777">
      <w:r>
        <w:separator/>
      </w:r>
    </w:p>
  </w:footnote>
  <w:footnote w:type="continuationSeparator" w:id="1">
    <w:p w:rsidR="00D47ECE" w14:paraId="3C9D8D1A" w14:textId="77777777">
      <w:r>
        <w:continuationSeparator/>
      </w:r>
    </w:p>
  </w:footnote>
  <w:footnote w:id="2">
    <w:p w:rsidR="001E5665" w:rsidP="001E5665" w14:paraId="0863EB2F" w14:textId="7D8F2AC5">
      <w:pPr>
        <w:pStyle w:val="FootnoteText"/>
      </w:pPr>
      <w:r>
        <w:rPr>
          <w:rStyle w:val="FootnoteReference"/>
        </w:rPr>
        <w:footnoteRef/>
      </w:r>
      <w:r>
        <w:t xml:space="preserve"> </w:t>
      </w:r>
      <w:hyperlink r:id="rId1" w:history="1">
        <w:r w:rsidRPr="00BD2D9D">
          <w:rPr>
            <w:rStyle w:val="Hyperlink"/>
          </w:rPr>
          <w:t>https://www.federalregister.gov/documents/2023/11/17/2023-25458/notifying-the-food-and-drug-administration-of-a-permanent-discontinuance-or-interruption-in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A1A0A"/>
    <w:multiLevelType w:val="hybridMultilevel"/>
    <w:tmpl w:val="5C22F908"/>
    <w:lvl w:ilvl="0">
      <w:start w:val="1"/>
      <w:numFmt w:val="decimal"/>
      <w:lvlText w:val="%1."/>
      <w:lvlJc w:val="left"/>
      <w:pPr>
        <w:ind w:left="1440" w:hanging="90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
    <w:nsid w:val="0DB213BA"/>
    <w:multiLevelType w:val="singleLevel"/>
    <w:tmpl w:val="FE6640E2"/>
    <w:lvl w:ilvl="0">
      <w:start w:val="1"/>
      <w:numFmt w:val="decimal"/>
      <w:lvlText w:val="%1."/>
      <w:lvlJc w:val="left"/>
      <w:pPr>
        <w:tabs>
          <w:tab w:val="num" w:pos="540"/>
        </w:tabs>
        <w:ind w:left="540" w:hanging="540"/>
      </w:pPr>
      <w:rPr>
        <w:rFonts w:hint="default"/>
        <w:u w:val="none"/>
      </w:rPr>
    </w:lvl>
  </w:abstractNum>
  <w:abstractNum w:abstractNumId="2">
    <w:nsid w:val="13ED3148"/>
    <w:multiLevelType w:val="singleLevel"/>
    <w:tmpl w:val="332476D6"/>
    <w:lvl w:ilvl="0">
      <w:start w:val="1"/>
      <w:numFmt w:val="decimal"/>
      <w:lvlText w:val="%1."/>
      <w:lvlJc w:val="left"/>
      <w:pPr>
        <w:tabs>
          <w:tab w:val="num" w:pos="360"/>
        </w:tabs>
        <w:ind w:left="360" w:hanging="360"/>
      </w:pPr>
      <w:rPr>
        <w:rFonts w:hint="default"/>
      </w:rPr>
    </w:lvl>
  </w:abstractNum>
  <w:abstractNum w:abstractNumId="3">
    <w:nsid w:val="19BF640C"/>
    <w:multiLevelType w:val="hybridMultilevel"/>
    <w:tmpl w:val="E81AE5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5E1048"/>
    <w:multiLevelType w:val="hybridMultilevel"/>
    <w:tmpl w:val="BBF8AD96"/>
    <w:lvl w:ilvl="0">
      <w:start w:val="1"/>
      <w:numFmt w:val="decimal"/>
      <w:lvlText w:val="%1."/>
      <w:lvlJc w:val="left"/>
      <w:pPr>
        <w:tabs>
          <w:tab w:val="num" w:pos="1260"/>
        </w:tabs>
        <w:ind w:left="1260" w:hanging="360"/>
      </w:pPr>
      <w:rPr>
        <w:rFonts w:hint="default"/>
      </w:rPr>
    </w:lvl>
    <w:lvl w:ilvl="1" w:tentative="1">
      <w:start w:val="1"/>
      <w:numFmt w:val="bullet"/>
      <w:lvlText w:val="o"/>
      <w:lvlJc w:val="left"/>
      <w:pPr>
        <w:tabs>
          <w:tab w:val="num" w:pos="1980"/>
        </w:tabs>
        <w:ind w:left="1980" w:hanging="360"/>
      </w:pPr>
      <w:rPr>
        <w:rFonts w:ascii="Courier New" w:hAnsi="Courier New" w:cs="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cs="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cs="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5">
    <w:nsid w:val="235A7F58"/>
    <w:multiLevelType w:val="hybridMultilevel"/>
    <w:tmpl w:val="1180A0B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A6D54A9"/>
    <w:multiLevelType w:val="hybridMultilevel"/>
    <w:tmpl w:val="C3BC8E7C"/>
    <w:lvl w:ilvl="0">
      <w:start w:val="15"/>
      <w:numFmt w:val="decimal"/>
      <w:lvlText w:val="%1."/>
      <w:lvlJc w:val="left"/>
      <w:pPr>
        <w:tabs>
          <w:tab w:val="num" w:pos="540"/>
        </w:tabs>
        <w:ind w:left="540" w:hanging="540"/>
      </w:pPr>
      <w:rPr>
        <w:rFonts w:hint="default"/>
        <w:b w:val="0"/>
        <w:u w:val="non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2CE210CC"/>
    <w:multiLevelType w:val="hybridMultilevel"/>
    <w:tmpl w:val="36CA66DE"/>
    <w:lvl w:ilvl="0">
      <w:start w:val="1"/>
      <w:numFmt w:val="decimal"/>
      <w:lvlText w:val="%1."/>
      <w:lvlJc w:val="left"/>
      <w:pPr>
        <w:tabs>
          <w:tab w:val="num" w:pos="1440"/>
        </w:tabs>
        <w:ind w:left="1440" w:hanging="36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438F0236"/>
    <w:multiLevelType w:val="singleLevel"/>
    <w:tmpl w:val="F274D150"/>
    <w:lvl w:ilvl="0">
      <w:start w:val="1"/>
      <w:numFmt w:val="lowerLetter"/>
      <w:lvlText w:val="%1."/>
      <w:lvlJc w:val="left"/>
      <w:pPr>
        <w:tabs>
          <w:tab w:val="num" w:pos="900"/>
        </w:tabs>
        <w:ind w:left="900" w:hanging="360"/>
      </w:pPr>
      <w:rPr>
        <w:rFonts w:hint="default"/>
      </w:rPr>
    </w:lvl>
  </w:abstractNum>
  <w:abstractNum w:abstractNumId="9">
    <w:nsid w:val="4F466F80"/>
    <w:multiLevelType w:val="hybridMultilevel"/>
    <w:tmpl w:val="A100F60C"/>
    <w:lvl w:ilvl="0">
      <w:start w:val="1"/>
      <w:numFmt w:val="bullet"/>
      <w:lvlText w:val="-"/>
      <w:lvlJc w:val="left"/>
      <w:pPr>
        <w:tabs>
          <w:tab w:val="num" w:pos="1080"/>
        </w:tabs>
        <w:ind w:left="1080" w:hanging="360"/>
      </w:pPr>
      <w:rPr>
        <w:rFonts w:ascii="Arial" w:hAnsi="Arial" w:hint="default"/>
        <w:color w:val="0000FF"/>
        <w:sz w:val="2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60DA4823"/>
    <w:multiLevelType w:val="hybridMultilevel"/>
    <w:tmpl w:val="E1CE1704"/>
    <w:lvl w:ilvl="0">
      <w:start w:val="1"/>
      <w:numFmt w:val="bullet"/>
      <w:lvlText w:val="-"/>
      <w:lvlJc w:val="left"/>
      <w:pPr>
        <w:ind w:left="1260" w:hanging="360"/>
      </w:pPr>
      <w:rPr>
        <w:rFonts w:ascii="Arial" w:hAnsi="Arial" w:hint="default"/>
        <w:color w:val="0000FF"/>
        <w:sz w:val="20"/>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1">
    <w:nsid w:val="63FF0B05"/>
    <w:multiLevelType w:val="hybridMultilevel"/>
    <w:tmpl w:val="D93C4D62"/>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2">
    <w:nsid w:val="6DD978D9"/>
    <w:multiLevelType w:val="hybridMultilevel"/>
    <w:tmpl w:val="F96A07D8"/>
    <w:lvl w:ilvl="0">
      <w:start w:val="1"/>
      <w:numFmt w:val="bullet"/>
      <w:lvlText w:val=""/>
      <w:lvlJc w:val="left"/>
      <w:pPr>
        <w:tabs>
          <w:tab w:val="num" w:pos="1260"/>
        </w:tabs>
        <w:ind w:left="1260" w:hanging="360"/>
      </w:pPr>
      <w:rPr>
        <w:rFonts w:ascii="Symbol" w:hAnsi="Symbol" w:hint="default"/>
      </w:rPr>
    </w:lvl>
    <w:lvl w:ilvl="1" w:tentative="1">
      <w:start w:val="1"/>
      <w:numFmt w:val="bullet"/>
      <w:lvlText w:val="o"/>
      <w:lvlJc w:val="left"/>
      <w:pPr>
        <w:tabs>
          <w:tab w:val="num" w:pos="1980"/>
        </w:tabs>
        <w:ind w:left="1980" w:hanging="360"/>
      </w:pPr>
      <w:rPr>
        <w:rFonts w:ascii="Courier New" w:hAnsi="Courier New" w:cs="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cs="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cs="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13">
    <w:nsid w:val="73D808F3"/>
    <w:multiLevelType w:val="hybridMultilevel"/>
    <w:tmpl w:val="0E147F42"/>
    <w:lvl w:ilvl="0">
      <w:start w:val="1"/>
      <w:numFmt w:val="bullet"/>
      <w:lvlText w:val=""/>
      <w:lvlJc w:val="left"/>
      <w:pPr>
        <w:tabs>
          <w:tab w:val="num" w:pos="1530"/>
        </w:tabs>
        <w:ind w:left="1530" w:hanging="360"/>
      </w:pPr>
      <w:rPr>
        <w:rFonts w:ascii="Symbol" w:hAnsi="Symbol" w:hint="default"/>
      </w:rPr>
    </w:lvl>
    <w:lvl w:ilvl="1" w:tentative="1">
      <w:start w:val="1"/>
      <w:numFmt w:val="bullet"/>
      <w:lvlText w:val="o"/>
      <w:lvlJc w:val="left"/>
      <w:pPr>
        <w:tabs>
          <w:tab w:val="num" w:pos="2250"/>
        </w:tabs>
        <w:ind w:left="2250" w:hanging="360"/>
      </w:pPr>
      <w:rPr>
        <w:rFonts w:ascii="Courier New" w:hAnsi="Courier New" w:cs="Courier New" w:hint="default"/>
      </w:rPr>
    </w:lvl>
    <w:lvl w:ilvl="2" w:tentative="1">
      <w:start w:val="1"/>
      <w:numFmt w:val="bullet"/>
      <w:lvlText w:val=""/>
      <w:lvlJc w:val="left"/>
      <w:pPr>
        <w:tabs>
          <w:tab w:val="num" w:pos="2970"/>
        </w:tabs>
        <w:ind w:left="2970" w:hanging="360"/>
      </w:pPr>
      <w:rPr>
        <w:rFonts w:ascii="Wingdings" w:hAnsi="Wingdings" w:hint="default"/>
      </w:rPr>
    </w:lvl>
    <w:lvl w:ilvl="3" w:tentative="1">
      <w:start w:val="1"/>
      <w:numFmt w:val="bullet"/>
      <w:lvlText w:val=""/>
      <w:lvlJc w:val="left"/>
      <w:pPr>
        <w:tabs>
          <w:tab w:val="num" w:pos="3690"/>
        </w:tabs>
        <w:ind w:left="3690" w:hanging="360"/>
      </w:pPr>
      <w:rPr>
        <w:rFonts w:ascii="Symbol" w:hAnsi="Symbol" w:hint="default"/>
      </w:rPr>
    </w:lvl>
    <w:lvl w:ilvl="4" w:tentative="1">
      <w:start w:val="1"/>
      <w:numFmt w:val="bullet"/>
      <w:lvlText w:val="o"/>
      <w:lvlJc w:val="left"/>
      <w:pPr>
        <w:tabs>
          <w:tab w:val="num" w:pos="4410"/>
        </w:tabs>
        <w:ind w:left="4410" w:hanging="360"/>
      </w:pPr>
      <w:rPr>
        <w:rFonts w:ascii="Courier New" w:hAnsi="Courier New" w:cs="Courier New" w:hint="default"/>
      </w:rPr>
    </w:lvl>
    <w:lvl w:ilvl="5" w:tentative="1">
      <w:start w:val="1"/>
      <w:numFmt w:val="bullet"/>
      <w:lvlText w:val=""/>
      <w:lvlJc w:val="left"/>
      <w:pPr>
        <w:tabs>
          <w:tab w:val="num" w:pos="5130"/>
        </w:tabs>
        <w:ind w:left="5130" w:hanging="360"/>
      </w:pPr>
      <w:rPr>
        <w:rFonts w:ascii="Wingdings" w:hAnsi="Wingdings" w:hint="default"/>
      </w:rPr>
    </w:lvl>
    <w:lvl w:ilvl="6" w:tentative="1">
      <w:start w:val="1"/>
      <w:numFmt w:val="bullet"/>
      <w:lvlText w:val=""/>
      <w:lvlJc w:val="left"/>
      <w:pPr>
        <w:tabs>
          <w:tab w:val="num" w:pos="5850"/>
        </w:tabs>
        <w:ind w:left="5850" w:hanging="360"/>
      </w:pPr>
      <w:rPr>
        <w:rFonts w:ascii="Symbol" w:hAnsi="Symbol" w:hint="default"/>
      </w:rPr>
    </w:lvl>
    <w:lvl w:ilvl="7" w:tentative="1">
      <w:start w:val="1"/>
      <w:numFmt w:val="bullet"/>
      <w:lvlText w:val="o"/>
      <w:lvlJc w:val="left"/>
      <w:pPr>
        <w:tabs>
          <w:tab w:val="num" w:pos="6570"/>
        </w:tabs>
        <w:ind w:left="6570" w:hanging="360"/>
      </w:pPr>
      <w:rPr>
        <w:rFonts w:ascii="Courier New" w:hAnsi="Courier New" w:cs="Courier New" w:hint="default"/>
      </w:rPr>
    </w:lvl>
    <w:lvl w:ilvl="8" w:tentative="1">
      <w:start w:val="1"/>
      <w:numFmt w:val="bullet"/>
      <w:lvlText w:val=""/>
      <w:lvlJc w:val="left"/>
      <w:pPr>
        <w:tabs>
          <w:tab w:val="num" w:pos="7290"/>
        </w:tabs>
        <w:ind w:left="7290" w:hanging="360"/>
      </w:pPr>
      <w:rPr>
        <w:rFonts w:ascii="Wingdings" w:hAnsi="Wingdings" w:hint="default"/>
      </w:rPr>
    </w:lvl>
  </w:abstractNum>
  <w:abstractNum w:abstractNumId="14">
    <w:nsid w:val="779842BE"/>
    <w:multiLevelType w:val="hybridMultilevel"/>
    <w:tmpl w:val="8278A26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5">
    <w:nsid w:val="7CA354A8"/>
    <w:multiLevelType w:val="hybridMultilevel"/>
    <w:tmpl w:val="73144C4E"/>
    <w:lvl w:ilvl="0">
      <w:start w:val="1"/>
      <w:numFmt w:val="bullet"/>
      <w:lvlText w:val=""/>
      <w:lvlJc w:val="left"/>
      <w:pPr>
        <w:ind w:left="720" w:hanging="360"/>
      </w:pPr>
      <w:rPr>
        <w:rFonts w:ascii="Symbol" w:hAnsi="Symbo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13469376">
    <w:abstractNumId w:val="1"/>
  </w:num>
  <w:num w:numId="2" w16cid:durableId="452870070">
    <w:abstractNumId w:val="2"/>
  </w:num>
  <w:num w:numId="3" w16cid:durableId="452940237">
    <w:abstractNumId w:val="8"/>
  </w:num>
  <w:num w:numId="4" w16cid:durableId="821234179">
    <w:abstractNumId w:val="12"/>
  </w:num>
  <w:num w:numId="5" w16cid:durableId="717053522">
    <w:abstractNumId w:val="4"/>
  </w:num>
  <w:num w:numId="6" w16cid:durableId="880946495">
    <w:abstractNumId w:val="14"/>
  </w:num>
  <w:num w:numId="7" w16cid:durableId="496464783">
    <w:abstractNumId w:val="13"/>
  </w:num>
  <w:num w:numId="8" w16cid:durableId="2072919363">
    <w:abstractNumId w:val="6"/>
  </w:num>
  <w:num w:numId="9" w16cid:durableId="1395853258">
    <w:abstractNumId w:val="5"/>
  </w:num>
  <w:num w:numId="10" w16cid:durableId="2041474006">
    <w:abstractNumId w:val="7"/>
  </w:num>
  <w:num w:numId="11" w16cid:durableId="56248225">
    <w:abstractNumId w:val="9"/>
  </w:num>
  <w:num w:numId="12" w16cid:durableId="1266687983">
    <w:abstractNumId w:val="10"/>
  </w:num>
  <w:num w:numId="13" w16cid:durableId="1436484808">
    <w:abstractNumId w:val="11"/>
  </w:num>
  <w:num w:numId="14" w16cid:durableId="157966590">
    <w:abstractNumId w:val="0"/>
  </w:num>
  <w:num w:numId="15" w16cid:durableId="1729955920">
    <w:abstractNumId w:val="3"/>
  </w:num>
  <w:num w:numId="16" w16cid:durableId="11326010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3FC"/>
    <w:rsid w:val="00001BEE"/>
    <w:rsid w:val="00004C33"/>
    <w:rsid w:val="00005F73"/>
    <w:rsid w:val="00012A23"/>
    <w:rsid w:val="000150BC"/>
    <w:rsid w:val="00015F72"/>
    <w:rsid w:val="00025B8E"/>
    <w:rsid w:val="00030C39"/>
    <w:rsid w:val="00034216"/>
    <w:rsid w:val="00036F64"/>
    <w:rsid w:val="00037B2E"/>
    <w:rsid w:val="0005004C"/>
    <w:rsid w:val="00050171"/>
    <w:rsid w:val="00052393"/>
    <w:rsid w:val="000529D7"/>
    <w:rsid w:val="000535C0"/>
    <w:rsid w:val="000569AB"/>
    <w:rsid w:val="000578D7"/>
    <w:rsid w:val="00060608"/>
    <w:rsid w:val="00063CF6"/>
    <w:rsid w:val="00065184"/>
    <w:rsid w:val="000653E4"/>
    <w:rsid w:val="00072DBC"/>
    <w:rsid w:val="00072FB2"/>
    <w:rsid w:val="000741B6"/>
    <w:rsid w:val="00074C1A"/>
    <w:rsid w:val="00081DDF"/>
    <w:rsid w:val="0008214A"/>
    <w:rsid w:val="0008637E"/>
    <w:rsid w:val="000874D0"/>
    <w:rsid w:val="000B4F5E"/>
    <w:rsid w:val="000B6E39"/>
    <w:rsid w:val="000B71AB"/>
    <w:rsid w:val="000C36E0"/>
    <w:rsid w:val="000C5C32"/>
    <w:rsid w:val="000D3C3A"/>
    <w:rsid w:val="000D5671"/>
    <w:rsid w:val="000D5A40"/>
    <w:rsid w:val="000D7729"/>
    <w:rsid w:val="000E51E4"/>
    <w:rsid w:val="000F1B5F"/>
    <w:rsid w:val="000F3F23"/>
    <w:rsid w:val="000F7044"/>
    <w:rsid w:val="00100C73"/>
    <w:rsid w:val="001014EB"/>
    <w:rsid w:val="0010224A"/>
    <w:rsid w:val="00103030"/>
    <w:rsid w:val="001036A4"/>
    <w:rsid w:val="00104A53"/>
    <w:rsid w:val="00106A3F"/>
    <w:rsid w:val="00111DB1"/>
    <w:rsid w:val="001139BF"/>
    <w:rsid w:val="00117A0A"/>
    <w:rsid w:val="0012710F"/>
    <w:rsid w:val="001278E4"/>
    <w:rsid w:val="00127EAF"/>
    <w:rsid w:val="0013135D"/>
    <w:rsid w:val="00136C1D"/>
    <w:rsid w:val="00140071"/>
    <w:rsid w:val="001412C2"/>
    <w:rsid w:val="00151EE5"/>
    <w:rsid w:val="0015772A"/>
    <w:rsid w:val="00161B75"/>
    <w:rsid w:val="00162744"/>
    <w:rsid w:val="00170BBC"/>
    <w:rsid w:val="00173EF8"/>
    <w:rsid w:val="00174BD7"/>
    <w:rsid w:val="0018017C"/>
    <w:rsid w:val="001801A9"/>
    <w:rsid w:val="001826B7"/>
    <w:rsid w:val="00182785"/>
    <w:rsid w:val="00183307"/>
    <w:rsid w:val="001909E5"/>
    <w:rsid w:val="001976BC"/>
    <w:rsid w:val="001A0FDA"/>
    <w:rsid w:val="001A319C"/>
    <w:rsid w:val="001A4740"/>
    <w:rsid w:val="001C1428"/>
    <w:rsid w:val="001C3F95"/>
    <w:rsid w:val="001D0423"/>
    <w:rsid w:val="001D4A1A"/>
    <w:rsid w:val="001D585F"/>
    <w:rsid w:val="001D617E"/>
    <w:rsid w:val="001E1823"/>
    <w:rsid w:val="001E2518"/>
    <w:rsid w:val="001E2ED8"/>
    <w:rsid w:val="001E5665"/>
    <w:rsid w:val="001F2B37"/>
    <w:rsid w:val="001F4CBA"/>
    <w:rsid w:val="001F64EC"/>
    <w:rsid w:val="002049E9"/>
    <w:rsid w:val="00204A03"/>
    <w:rsid w:val="00205AC6"/>
    <w:rsid w:val="00205EF7"/>
    <w:rsid w:val="002107B1"/>
    <w:rsid w:val="00212859"/>
    <w:rsid w:val="002129A8"/>
    <w:rsid w:val="00213113"/>
    <w:rsid w:val="00214DDE"/>
    <w:rsid w:val="002200F2"/>
    <w:rsid w:val="002214A0"/>
    <w:rsid w:val="00225532"/>
    <w:rsid w:val="00230489"/>
    <w:rsid w:val="0023279B"/>
    <w:rsid w:val="00246526"/>
    <w:rsid w:val="00254C61"/>
    <w:rsid w:val="002641A6"/>
    <w:rsid w:val="002763E0"/>
    <w:rsid w:val="002776AD"/>
    <w:rsid w:val="002776DE"/>
    <w:rsid w:val="00277FD6"/>
    <w:rsid w:val="00281DF6"/>
    <w:rsid w:val="002828A9"/>
    <w:rsid w:val="00285577"/>
    <w:rsid w:val="002865CF"/>
    <w:rsid w:val="002916B7"/>
    <w:rsid w:val="00296DA6"/>
    <w:rsid w:val="002B67E2"/>
    <w:rsid w:val="002B6A81"/>
    <w:rsid w:val="002C1ADC"/>
    <w:rsid w:val="002C58EC"/>
    <w:rsid w:val="002D53EA"/>
    <w:rsid w:val="002D64C9"/>
    <w:rsid w:val="002E0380"/>
    <w:rsid w:val="002F2A8C"/>
    <w:rsid w:val="002F5438"/>
    <w:rsid w:val="00302F50"/>
    <w:rsid w:val="003165A2"/>
    <w:rsid w:val="00317703"/>
    <w:rsid w:val="0032078B"/>
    <w:rsid w:val="0032199F"/>
    <w:rsid w:val="0032361C"/>
    <w:rsid w:val="00323939"/>
    <w:rsid w:val="00333BBA"/>
    <w:rsid w:val="00341C02"/>
    <w:rsid w:val="00342B66"/>
    <w:rsid w:val="003456BF"/>
    <w:rsid w:val="0034633F"/>
    <w:rsid w:val="003469E7"/>
    <w:rsid w:val="00351397"/>
    <w:rsid w:val="00352133"/>
    <w:rsid w:val="0035468B"/>
    <w:rsid w:val="00355266"/>
    <w:rsid w:val="00367927"/>
    <w:rsid w:val="00370883"/>
    <w:rsid w:val="00371023"/>
    <w:rsid w:val="003815C5"/>
    <w:rsid w:val="00381D73"/>
    <w:rsid w:val="003847D4"/>
    <w:rsid w:val="003852AD"/>
    <w:rsid w:val="0038721B"/>
    <w:rsid w:val="0039199B"/>
    <w:rsid w:val="003A22E8"/>
    <w:rsid w:val="003A401E"/>
    <w:rsid w:val="003A67D8"/>
    <w:rsid w:val="003B0A72"/>
    <w:rsid w:val="003C0CF8"/>
    <w:rsid w:val="003C1839"/>
    <w:rsid w:val="003C5DC5"/>
    <w:rsid w:val="003C6CF2"/>
    <w:rsid w:val="003D059F"/>
    <w:rsid w:val="003D1641"/>
    <w:rsid w:val="003E2D9C"/>
    <w:rsid w:val="003E3D7B"/>
    <w:rsid w:val="003E564B"/>
    <w:rsid w:val="003E571B"/>
    <w:rsid w:val="0041635C"/>
    <w:rsid w:val="004258D2"/>
    <w:rsid w:val="004310CB"/>
    <w:rsid w:val="0045038D"/>
    <w:rsid w:val="00453818"/>
    <w:rsid w:val="00460124"/>
    <w:rsid w:val="00463782"/>
    <w:rsid w:val="00465042"/>
    <w:rsid w:val="004653F1"/>
    <w:rsid w:val="00465615"/>
    <w:rsid w:val="00470186"/>
    <w:rsid w:val="00473C6A"/>
    <w:rsid w:val="0047790D"/>
    <w:rsid w:val="0048006F"/>
    <w:rsid w:val="00490DA2"/>
    <w:rsid w:val="00494A27"/>
    <w:rsid w:val="00497DFA"/>
    <w:rsid w:val="004A3186"/>
    <w:rsid w:val="004A44D6"/>
    <w:rsid w:val="004A44DA"/>
    <w:rsid w:val="004B05BA"/>
    <w:rsid w:val="004B3C62"/>
    <w:rsid w:val="004D46AC"/>
    <w:rsid w:val="004D476D"/>
    <w:rsid w:val="004D5EC0"/>
    <w:rsid w:val="004D7C62"/>
    <w:rsid w:val="004E0774"/>
    <w:rsid w:val="004E0AE2"/>
    <w:rsid w:val="004E4768"/>
    <w:rsid w:val="004F1749"/>
    <w:rsid w:val="004F7696"/>
    <w:rsid w:val="004F7738"/>
    <w:rsid w:val="005022A7"/>
    <w:rsid w:val="00504407"/>
    <w:rsid w:val="005048F2"/>
    <w:rsid w:val="00507925"/>
    <w:rsid w:val="00510CF8"/>
    <w:rsid w:val="00511565"/>
    <w:rsid w:val="005127F2"/>
    <w:rsid w:val="0051541A"/>
    <w:rsid w:val="00522C9B"/>
    <w:rsid w:val="00525265"/>
    <w:rsid w:val="00535E38"/>
    <w:rsid w:val="00550295"/>
    <w:rsid w:val="00550D39"/>
    <w:rsid w:val="00550D61"/>
    <w:rsid w:val="00560B38"/>
    <w:rsid w:val="005705E5"/>
    <w:rsid w:val="005814D1"/>
    <w:rsid w:val="005821BC"/>
    <w:rsid w:val="0058265D"/>
    <w:rsid w:val="00583D29"/>
    <w:rsid w:val="0058416A"/>
    <w:rsid w:val="00590819"/>
    <w:rsid w:val="00590866"/>
    <w:rsid w:val="00590B0A"/>
    <w:rsid w:val="00593A93"/>
    <w:rsid w:val="005A0F9D"/>
    <w:rsid w:val="005A24FD"/>
    <w:rsid w:val="005C4567"/>
    <w:rsid w:val="005C46CB"/>
    <w:rsid w:val="005C7061"/>
    <w:rsid w:val="005D70B0"/>
    <w:rsid w:val="005E522A"/>
    <w:rsid w:val="005F1ECB"/>
    <w:rsid w:val="00600209"/>
    <w:rsid w:val="00600545"/>
    <w:rsid w:val="00600F72"/>
    <w:rsid w:val="006025F2"/>
    <w:rsid w:val="00604308"/>
    <w:rsid w:val="006071F2"/>
    <w:rsid w:val="00613E12"/>
    <w:rsid w:val="00614E83"/>
    <w:rsid w:val="00623641"/>
    <w:rsid w:val="006257CA"/>
    <w:rsid w:val="00630D84"/>
    <w:rsid w:val="0063216F"/>
    <w:rsid w:val="0063495E"/>
    <w:rsid w:val="00640674"/>
    <w:rsid w:val="00641AB4"/>
    <w:rsid w:val="00644B87"/>
    <w:rsid w:val="00651C28"/>
    <w:rsid w:val="00657222"/>
    <w:rsid w:val="0066486B"/>
    <w:rsid w:val="0066787E"/>
    <w:rsid w:val="006720D1"/>
    <w:rsid w:val="0067306E"/>
    <w:rsid w:val="00673A67"/>
    <w:rsid w:val="00676E28"/>
    <w:rsid w:val="00677BAB"/>
    <w:rsid w:val="00677F13"/>
    <w:rsid w:val="00680542"/>
    <w:rsid w:val="00681957"/>
    <w:rsid w:val="006926D4"/>
    <w:rsid w:val="00696186"/>
    <w:rsid w:val="00696E25"/>
    <w:rsid w:val="006A1007"/>
    <w:rsid w:val="006A158B"/>
    <w:rsid w:val="006A23FC"/>
    <w:rsid w:val="006A3970"/>
    <w:rsid w:val="006A7976"/>
    <w:rsid w:val="006B0469"/>
    <w:rsid w:val="006B069F"/>
    <w:rsid w:val="006B2AAA"/>
    <w:rsid w:val="006B2B8C"/>
    <w:rsid w:val="006B2E28"/>
    <w:rsid w:val="006B3E96"/>
    <w:rsid w:val="006B70F0"/>
    <w:rsid w:val="006C0BB5"/>
    <w:rsid w:val="006C5BE2"/>
    <w:rsid w:val="006C6541"/>
    <w:rsid w:val="006D339B"/>
    <w:rsid w:val="006D5994"/>
    <w:rsid w:val="006D725F"/>
    <w:rsid w:val="006E475B"/>
    <w:rsid w:val="006E4F52"/>
    <w:rsid w:val="006E6DA6"/>
    <w:rsid w:val="006F0C6A"/>
    <w:rsid w:val="006F2E82"/>
    <w:rsid w:val="006F3CF5"/>
    <w:rsid w:val="006F52A6"/>
    <w:rsid w:val="0070484E"/>
    <w:rsid w:val="0070494E"/>
    <w:rsid w:val="0070697D"/>
    <w:rsid w:val="00707CB5"/>
    <w:rsid w:val="00710B1C"/>
    <w:rsid w:val="007155C7"/>
    <w:rsid w:val="00717B78"/>
    <w:rsid w:val="00727A29"/>
    <w:rsid w:val="00732439"/>
    <w:rsid w:val="007414E4"/>
    <w:rsid w:val="00742E55"/>
    <w:rsid w:val="0074312E"/>
    <w:rsid w:val="007469B2"/>
    <w:rsid w:val="0074756E"/>
    <w:rsid w:val="007617CA"/>
    <w:rsid w:val="007620E1"/>
    <w:rsid w:val="00766E39"/>
    <w:rsid w:val="007737B5"/>
    <w:rsid w:val="00774866"/>
    <w:rsid w:val="0077620F"/>
    <w:rsid w:val="00776D14"/>
    <w:rsid w:val="007811D1"/>
    <w:rsid w:val="0078447E"/>
    <w:rsid w:val="00784D05"/>
    <w:rsid w:val="00786654"/>
    <w:rsid w:val="007874A3"/>
    <w:rsid w:val="00792F05"/>
    <w:rsid w:val="007A5E74"/>
    <w:rsid w:val="007B4E21"/>
    <w:rsid w:val="007B7A02"/>
    <w:rsid w:val="007C1DBD"/>
    <w:rsid w:val="007C216B"/>
    <w:rsid w:val="007C6413"/>
    <w:rsid w:val="007C7110"/>
    <w:rsid w:val="007E0D1E"/>
    <w:rsid w:val="007E37A4"/>
    <w:rsid w:val="007E4D04"/>
    <w:rsid w:val="007F5D62"/>
    <w:rsid w:val="008028AA"/>
    <w:rsid w:val="00805419"/>
    <w:rsid w:val="00813B84"/>
    <w:rsid w:val="00814B6A"/>
    <w:rsid w:val="00821529"/>
    <w:rsid w:val="00822651"/>
    <w:rsid w:val="0082363B"/>
    <w:rsid w:val="00824362"/>
    <w:rsid w:val="0082450D"/>
    <w:rsid w:val="0082632A"/>
    <w:rsid w:val="008277DB"/>
    <w:rsid w:val="00830D12"/>
    <w:rsid w:val="0083279C"/>
    <w:rsid w:val="00833A97"/>
    <w:rsid w:val="00834322"/>
    <w:rsid w:val="0085149B"/>
    <w:rsid w:val="00855F80"/>
    <w:rsid w:val="0086299F"/>
    <w:rsid w:val="008658F9"/>
    <w:rsid w:val="008659F2"/>
    <w:rsid w:val="00867E17"/>
    <w:rsid w:val="00871262"/>
    <w:rsid w:val="00875F9A"/>
    <w:rsid w:val="008854B5"/>
    <w:rsid w:val="00887ECF"/>
    <w:rsid w:val="00890716"/>
    <w:rsid w:val="00892703"/>
    <w:rsid w:val="0089664F"/>
    <w:rsid w:val="00897994"/>
    <w:rsid w:val="008A587D"/>
    <w:rsid w:val="008A5903"/>
    <w:rsid w:val="008B1034"/>
    <w:rsid w:val="008B1E5A"/>
    <w:rsid w:val="008B2B6A"/>
    <w:rsid w:val="008B4845"/>
    <w:rsid w:val="008C1F72"/>
    <w:rsid w:val="008C1F80"/>
    <w:rsid w:val="008C24CC"/>
    <w:rsid w:val="008C314A"/>
    <w:rsid w:val="008D09C3"/>
    <w:rsid w:val="008D25CD"/>
    <w:rsid w:val="008E61F5"/>
    <w:rsid w:val="008E655D"/>
    <w:rsid w:val="008E7ACD"/>
    <w:rsid w:val="008E7E7D"/>
    <w:rsid w:val="008F04FF"/>
    <w:rsid w:val="008F39C1"/>
    <w:rsid w:val="008F5B64"/>
    <w:rsid w:val="008F791B"/>
    <w:rsid w:val="009028DE"/>
    <w:rsid w:val="009057AE"/>
    <w:rsid w:val="00912854"/>
    <w:rsid w:val="00916854"/>
    <w:rsid w:val="009303BB"/>
    <w:rsid w:val="009305C4"/>
    <w:rsid w:val="0093484C"/>
    <w:rsid w:val="009362A9"/>
    <w:rsid w:val="00953441"/>
    <w:rsid w:val="00957B28"/>
    <w:rsid w:val="009641AB"/>
    <w:rsid w:val="00965CE4"/>
    <w:rsid w:val="00966C04"/>
    <w:rsid w:val="00976E29"/>
    <w:rsid w:val="009774D7"/>
    <w:rsid w:val="00981679"/>
    <w:rsid w:val="009845CA"/>
    <w:rsid w:val="00990C71"/>
    <w:rsid w:val="009922E5"/>
    <w:rsid w:val="009923EC"/>
    <w:rsid w:val="00992965"/>
    <w:rsid w:val="009A191B"/>
    <w:rsid w:val="009B2F1C"/>
    <w:rsid w:val="009B3AA2"/>
    <w:rsid w:val="009B3BF5"/>
    <w:rsid w:val="009B4142"/>
    <w:rsid w:val="009B790C"/>
    <w:rsid w:val="009C0367"/>
    <w:rsid w:val="009D0301"/>
    <w:rsid w:val="009E307B"/>
    <w:rsid w:val="009E5077"/>
    <w:rsid w:val="00A00E97"/>
    <w:rsid w:val="00A07439"/>
    <w:rsid w:val="00A12418"/>
    <w:rsid w:val="00A176C3"/>
    <w:rsid w:val="00A20AAD"/>
    <w:rsid w:val="00A21FD7"/>
    <w:rsid w:val="00A31143"/>
    <w:rsid w:val="00A42585"/>
    <w:rsid w:val="00A42BBF"/>
    <w:rsid w:val="00A456C0"/>
    <w:rsid w:val="00A52BD7"/>
    <w:rsid w:val="00A61494"/>
    <w:rsid w:val="00A64903"/>
    <w:rsid w:val="00A71498"/>
    <w:rsid w:val="00A73627"/>
    <w:rsid w:val="00A76034"/>
    <w:rsid w:val="00A80191"/>
    <w:rsid w:val="00A860DC"/>
    <w:rsid w:val="00A86B41"/>
    <w:rsid w:val="00A91FBF"/>
    <w:rsid w:val="00A942F5"/>
    <w:rsid w:val="00A96BB0"/>
    <w:rsid w:val="00AB073A"/>
    <w:rsid w:val="00AC0BE8"/>
    <w:rsid w:val="00AC3480"/>
    <w:rsid w:val="00AC6FE7"/>
    <w:rsid w:val="00AD2E87"/>
    <w:rsid w:val="00AD3F7C"/>
    <w:rsid w:val="00AD4FBB"/>
    <w:rsid w:val="00AD5819"/>
    <w:rsid w:val="00AD7F02"/>
    <w:rsid w:val="00AD7F0F"/>
    <w:rsid w:val="00AE1053"/>
    <w:rsid w:val="00AF3C50"/>
    <w:rsid w:val="00AF6160"/>
    <w:rsid w:val="00AF6755"/>
    <w:rsid w:val="00B006AA"/>
    <w:rsid w:val="00B10E9E"/>
    <w:rsid w:val="00B116CC"/>
    <w:rsid w:val="00B141B2"/>
    <w:rsid w:val="00B14D74"/>
    <w:rsid w:val="00B14F54"/>
    <w:rsid w:val="00B20A95"/>
    <w:rsid w:val="00B20AA9"/>
    <w:rsid w:val="00B2270B"/>
    <w:rsid w:val="00B237E9"/>
    <w:rsid w:val="00B24120"/>
    <w:rsid w:val="00B24E62"/>
    <w:rsid w:val="00B24EDB"/>
    <w:rsid w:val="00B300B4"/>
    <w:rsid w:val="00B335B9"/>
    <w:rsid w:val="00B35A59"/>
    <w:rsid w:val="00B51AA5"/>
    <w:rsid w:val="00B5240E"/>
    <w:rsid w:val="00B54B27"/>
    <w:rsid w:val="00B56858"/>
    <w:rsid w:val="00B56BFF"/>
    <w:rsid w:val="00B6012E"/>
    <w:rsid w:val="00B6217E"/>
    <w:rsid w:val="00B63595"/>
    <w:rsid w:val="00B63E9B"/>
    <w:rsid w:val="00B67F32"/>
    <w:rsid w:val="00B71780"/>
    <w:rsid w:val="00B92112"/>
    <w:rsid w:val="00B93C0B"/>
    <w:rsid w:val="00B940CB"/>
    <w:rsid w:val="00B95DE2"/>
    <w:rsid w:val="00B96BDA"/>
    <w:rsid w:val="00BA294D"/>
    <w:rsid w:val="00BA63B9"/>
    <w:rsid w:val="00BA7432"/>
    <w:rsid w:val="00BB199B"/>
    <w:rsid w:val="00BB4ACC"/>
    <w:rsid w:val="00BC0C31"/>
    <w:rsid w:val="00BC368D"/>
    <w:rsid w:val="00BC488A"/>
    <w:rsid w:val="00BC6A81"/>
    <w:rsid w:val="00BD2D9D"/>
    <w:rsid w:val="00BD40F5"/>
    <w:rsid w:val="00BD52F1"/>
    <w:rsid w:val="00BD786A"/>
    <w:rsid w:val="00BD7A5A"/>
    <w:rsid w:val="00BD7CAE"/>
    <w:rsid w:val="00BF18BC"/>
    <w:rsid w:val="00BF3FB3"/>
    <w:rsid w:val="00BF63A9"/>
    <w:rsid w:val="00BF7170"/>
    <w:rsid w:val="00BF7576"/>
    <w:rsid w:val="00C04E1B"/>
    <w:rsid w:val="00C15F63"/>
    <w:rsid w:val="00C17983"/>
    <w:rsid w:val="00C227AF"/>
    <w:rsid w:val="00C254D4"/>
    <w:rsid w:val="00C32BE5"/>
    <w:rsid w:val="00C35693"/>
    <w:rsid w:val="00C429A8"/>
    <w:rsid w:val="00C4585F"/>
    <w:rsid w:val="00C502A3"/>
    <w:rsid w:val="00C512DF"/>
    <w:rsid w:val="00C53DBC"/>
    <w:rsid w:val="00C5445D"/>
    <w:rsid w:val="00C5479D"/>
    <w:rsid w:val="00C5689A"/>
    <w:rsid w:val="00C64002"/>
    <w:rsid w:val="00C64F9D"/>
    <w:rsid w:val="00C65A48"/>
    <w:rsid w:val="00C70EE6"/>
    <w:rsid w:val="00C76AC7"/>
    <w:rsid w:val="00C76B20"/>
    <w:rsid w:val="00C90D53"/>
    <w:rsid w:val="00C92C8E"/>
    <w:rsid w:val="00C9454F"/>
    <w:rsid w:val="00C950AE"/>
    <w:rsid w:val="00CA2F12"/>
    <w:rsid w:val="00CA6F95"/>
    <w:rsid w:val="00CA7DD3"/>
    <w:rsid w:val="00CB31F7"/>
    <w:rsid w:val="00CB431F"/>
    <w:rsid w:val="00CC2299"/>
    <w:rsid w:val="00CC7172"/>
    <w:rsid w:val="00CD1B20"/>
    <w:rsid w:val="00CE06A4"/>
    <w:rsid w:val="00CE17F0"/>
    <w:rsid w:val="00CE76CD"/>
    <w:rsid w:val="00CE7A6A"/>
    <w:rsid w:val="00D0157E"/>
    <w:rsid w:val="00D02F7A"/>
    <w:rsid w:val="00D030D4"/>
    <w:rsid w:val="00D03D3A"/>
    <w:rsid w:val="00D069D5"/>
    <w:rsid w:val="00D10CD0"/>
    <w:rsid w:val="00D10D75"/>
    <w:rsid w:val="00D10ECD"/>
    <w:rsid w:val="00D11845"/>
    <w:rsid w:val="00D14711"/>
    <w:rsid w:val="00D15234"/>
    <w:rsid w:val="00D15BB4"/>
    <w:rsid w:val="00D17CD3"/>
    <w:rsid w:val="00D2098B"/>
    <w:rsid w:val="00D20A24"/>
    <w:rsid w:val="00D26591"/>
    <w:rsid w:val="00D46B1B"/>
    <w:rsid w:val="00D47235"/>
    <w:rsid w:val="00D47ECE"/>
    <w:rsid w:val="00D51964"/>
    <w:rsid w:val="00D52836"/>
    <w:rsid w:val="00D57446"/>
    <w:rsid w:val="00D61922"/>
    <w:rsid w:val="00D65360"/>
    <w:rsid w:val="00D72D35"/>
    <w:rsid w:val="00D736E1"/>
    <w:rsid w:val="00D767A4"/>
    <w:rsid w:val="00D80243"/>
    <w:rsid w:val="00D8093F"/>
    <w:rsid w:val="00D824F1"/>
    <w:rsid w:val="00D842DF"/>
    <w:rsid w:val="00D845BB"/>
    <w:rsid w:val="00D93DBD"/>
    <w:rsid w:val="00DA5F9D"/>
    <w:rsid w:val="00DA6A76"/>
    <w:rsid w:val="00DB1E82"/>
    <w:rsid w:val="00DB540E"/>
    <w:rsid w:val="00DB5418"/>
    <w:rsid w:val="00DB5C64"/>
    <w:rsid w:val="00DC1D31"/>
    <w:rsid w:val="00DC2FF0"/>
    <w:rsid w:val="00DC7542"/>
    <w:rsid w:val="00DD08CE"/>
    <w:rsid w:val="00DD0B45"/>
    <w:rsid w:val="00DD2C50"/>
    <w:rsid w:val="00DD2E96"/>
    <w:rsid w:val="00DD43FA"/>
    <w:rsid w:val="00DE030C"/>
    <w:rsid w:val="00DE31F1"/>
    <w:rsid w:val="00DF5584"/>
    <w:rsid w:val="00DF5FF5"/>
    <w:rsid w:val="00E005BB"/>
    <w:rsid w:val="00E03F94"/>
    <w:rsid w:val="00E04A0E"/>
    <w:rsid w:val="00E12918"/>
    <w:rsid w:val="00E21309"/>
    <w:rsid w:val="00E21554"/>
    <w:rsid w:val="00E223AD"/>
    <w:rsid w:val="00E32F26"/>
    <w:rsid w:val="00E4071F"/>
    <w:rsid w:val="00E415C5"/>
    <w:rsid w:val="00E41651"/>
    <w:rsid w:val="00E43AD4"/>
    <w:rsid w:val="00E446D2"/>
    <w:rsid w:val="00E4550A"/>
    <w:rsid w:val="00E52CB6"/>
    <w:rsid w:val="00E5351F"/>
    <w:rsid w:val="00E6135D"/>
    <w:rsid w:val="00E63ED1"/>
    <w:rsid w:val="00E64426"/>
    <w:rsid w:val="00E67B35"/>
    <w:rsid w:val="00E722E9"/>
    <w:rsid w:val="00E76970"/>
    <w:rsid w:val="00E83069"/>
    <w:rsid w:val="00E83E1B"/>
    <w:rsid w:val="00E859B4"/>
    <w:rsid w:val="00E879F7"/>
    <w:rsid w:val="00E94270"/>
    <w:rsid w:val="00E94796"/>
    <w:rsid w:val="00EA1249"/>
    <w:rsid w:val="00EA2747"/>
    <w:rsid w:val="00EA79E8"/>
    <w:rsid w:val="00EB4390"/>
    <w:rsid w:val="00EB5B63"/>
    <w:rsid w:val="00EB781D"/>
    <w:rsid w:val="00EC0EF2"/>
    <w:rsid w:val="00EC10CC"/>
    <w:rsid w:val="00EC439D"/>
    <w:rsid w:val="00EC4662"/>
    <w:rsid w:val="00EC4F7F"/>
    <w:rsid w:val="00EC504A"/>
    <w:rsid w:val="00EC52FC"/>
    <w:rsid w:val="00EC5BA0"/>
    <w:rsid w:val="00EC6FB8"/>
    <w:rsid w:val="00EC72E2"/>
    <w:rsid w:val="00ED4BBE"/>
    <w:rsid w:val="00EE2384"/>
    <w:rsid w:val="00EE4A77"/>
    <w:rsid w:val="00EE4B0D"/>
    <w:rsid w:val="00EF4C43"/>
    <w:rsid w:val="00F01924"/>
    <w:rsid w:val="00F020AC"/>
    <w:rsid w:val="00F035C7"/>
    <w:rsid w:val="00F05108"/>
    <w:rsid w:val="00F05605"/>
    <w:rsid w:val="00F115A0"/>
    <w:rsid w:val="00F1202A"/>
    <w:rsid w:val="00F13A8E"/>
    <w:rsid w:val="00F166EF"/>
    <w:rsid w:val="00F2005D"/>
    <w:rsid w:val="00F32EB6"/>
    <w:rsid w:val="00F33DFD"/>
    <w:rsid w:val="00F34DBC"/>
    <w:rsid w:val="00F41EAC"/>
    <w:rsid w:val="00F42AFB"/>
    <w:rsid w:val="00F5412F"/>
    <w:rsid w:val="00F54D87"/>
    <w:rsid w:val="00F6003C"/>
    <w:rsid w:val="00F604FE"/>
    <w:rsid w:val="00F64A7D"/>
    <w:rsid w:val="00F65FD8"/>
    <w:rsid w:val="00F66269"/>
    <w:rsid w:val="00F719BB"/>
    <w:rsid w:val="00F7341C"/>
    <w:rsid w:val="00F74A2E"/>
    <w:rsid w:val="00F77757"/>
    <w:rsid w:val="00F87A01"/>
    <w:rsid w:val="00F90902"/>
    <w:rsid w:val="00F90A2A"/>
    <w:rsid w:val="00F93167"/>
    <w:rsid w:val="00F974D3"/>
    <w:rsid w:val="00FA10EE"/>
    <w:rsid w:val="00FA130F"/>
    <w:rsid w:val="00FA303A"/>
    <w:rsid w:val="00FA54B2"/>
    <w:rsid w:val="00FA58C0"/>
    <w:rsid w:val="00FB007E"/>
    <w:rsid w:val="00FB0F6A"/>
    <w:rsid w:val="00FB18FA"/>
    <w:rsid w:val="00FB2D03"/>
    <w:rsid w:val="00FC3973"/>
    <w:rsid w:val="00FC6D81"/>
    <w:rsid w:val="00FC7460"/>
    <w:rsid w:val="00FD52DF"/>
    <w:rsid w:val="00FD5C06"/>
    <w:rsid w:val="00FD64EF"/>
    <w:rsid w:val="00FD7E8B"/>
    <w:rsid w:val="00FD7F04"/>
    <w:rsid w:val="00FE45B3"/>
    <w:rsid w:val="00FE5655"/>
    <w:rsid w:val="00FE6619"/>
    <w:rsid w:val="00FE7012"/>
    <w:rsid w:val="00FF471E"/>
    <w:rsid w:val="00FF4831"/>
    <w:rsid w:val="69578D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62E3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ind w:left="540"/>
      <w:outlineLvl w:val="0"/>
    </w:pPr>
    <w:rPr>
      <w:rFonts w:ascii="Times New Roman" w:hAnsi="Times New Roman"/>
      <w:b/>
      <w:snapToGrid w:val="0"/>
      <w:u w:val="single"/>
    </w:rPr>
  </w:style>
  <w:style w:type="paragraph" w:styleId="Heading2">
    <w:name w:val="heading 2"/>
    <w:basedOn w:val="Normal"/>
    <w:next w:val="Normal"/>
    <w:qFormat/>
    <w:pPr>
      <w:keepNext/>
      <w:outlineLvl w:val="1"/>
    </w:pPr>
    <w:rPr>
      <w:rFonts w:ascii="Times New Roman" w:hAnsi="Times New Roman"/>
      <w:i/>
      <w:snapToGrid w:val="0"/>
    </w:rPr>
  </w:style>
  <w:style w:type="paragraph" w:styleId="Heading4">
    <w:name w:val="heading 4"/>
    <w:basedOn w:val="Normal"/>
    <w:next w:val="Normal"/>
    <w:qFormat/>
    <w:pPr>
      <w:keepNext/>
      <w:spacing w:line="480" w:lineRule="auto"/>
      <w:ind w:firstLine="540"/>
      <w:jc w:val="center"/>
      <w:outlineLvl w:val="3"/>
    </w:pPr>
    <w:rPr>
      <w:rFonts w:ascii="Times New Roman" w:hAnsi="Times New Roman"/>
    </w:rPr>
  </w:style>
  <w:style w:type="paragraph" w:styleId="Heading7">
    <w:name w:val="heading 7"/>
    <w:basedOn w:val="Normal"/>
    <w:next w:val="Normal"/>
    <w:qFormat/>
    <w:pPr>
      <w:keepNext/>
      <w:widowControl w:val="0"/>
      <w:tabs>
        <w:tab w:val="center" w:pos="4680"/>
      </w:tabs>
      <w:jc w:val="center"/>
      <w:outlineLvl w:val="6"/>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tabs>
        <w:tab w:val="center" w:pos="4680"/>
      </w:tabs>
      <w:jc w:val="center"/>
    </w:pPr>
    <w:rPr>
      <w:rFonts w:ascii="Times New Roman" w:hAnsi="Times New Roman"/>
      <w:b/>
    </w:rPr>
  </w:style>
  <w:style w:type="paragraph" w:styleId="BodyTextIndent">
    <w:name w:val="Body Text Indent"/>
    <w:basedOn w:val="Normal"/>
    <w:pPr>
      <w:ind w:left="540"/>
    </w:pPr>
    <w:rPr>
      <w:rFonts w:ascii="Times New Roman" w:hAnsi="Times New Roman"/>
      <w:snapToGrid w:val="0"/>
    </w:rPr>
  </w:style>
  <w:style w:type="paragraph" w:styleId="BodyTextIndent2">
    <w:name w:val="Body Text Indent 2"/>
    <w:basedOn w:val="Normal"/>
    <w:pPr>
      <w:ind w:left="2160" w:hanging="2160"/>
    </w:pPr>
    <w:rPr>
      <w:rFonts w:ascii="Times New Roman" w:hAnsi="Times New Roman"/>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
    <w:name w:val="Body Text"/>
    <w:basedOn w:val="Normal"/>
    <w:link w:val="BodyTextChar"/>
    <w:pPr>
      <w:widowControl w:val="0"/>
      <w:tabs>
        <w:tab w:val="left" w:pos="-1440"/>
        <w:tab w:val="left" w:pos="-720"/>
        <w:tab w:val="left" w:pos="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spacing w:line="480" w:lineRule="auto"/>
    </w:pPr>
    <w:rPr>
      <w:rFonts w:ascii="Times New Roman" w:hAnsi="Times New Roman"/>
    </w:rPr>
  </w:style>
  <w:style w:type="paragraph" w:styleId="BalloonText">
    <w:name w:val="Balloon Text"/>
    <w:basedOn w:val="Normal"/>
    <w:semiHidden/>
    <w:rPr>
      <w:rFonts w:ascii="Tahoma" w:hAnsi="Tahoma" w:cs="Tahoma"/>
      <w:sz w:val="16"/>
      <w:szCs w:val="16"/>
    </w:rPr>
  </w:style>
  <w:style w:type="paragraph" w:styleId="BodyText2">
    <w:name w:val="Body Text 2"/>
    <w:basedOn w:val="Normal"/>
    <w:rsid w:val="00D15BB4"/>
    <w:pPr>
      <w:spacing w:after="120" w:line="480" w:lineRule="auto"/>
    </w:pPr>
  </w:style>
  <w:style w:type="paragraph" w:styleId="HTMLPreformatted">
    <w:name w:val="HTML Preformatted"/>
    <w:basedOn w:val="Normal"/>
    <w:rsid w:val="00072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CommentSubject">
    <w:name w:val="annotation subject"/>
    <w:basedOn w:val="CommentText"/>
    <w:next w:val="CommentText"/>
    <w:semiHidden/>
    <w:rsid w:val="00370883"/>
    <w:rPr>
      <w:b/>
      <w:bCs/>
    </w:rPr>
  </w:style>
  <w:style w:type="paragraph" w:styleId="FootnoteText">
    <w:name w:val="footnote text"/>
    <w:basedOn w:val="Normal"/>
    <w:link w:val="FootnoteTextChar"/>
    <w:uiPriority w:val="99"/>
    <w:rsid w:val="00C227AF"/>
    <w:rPr>
      <w:sz w:val="20"/>
    </w:rPr>
  </w:style>
  <w:style w:type="character" w:styleId="FootnoteReference">
    <w:name w:val="footnote reference"/>
    <w:rsid w:val="00C227AF"/>
    <w:rPr>
      <w:vertAlign w:val="superscript"/>
    </w:rPr>
  </w:style>
  <w:style w:type="character" w:styleId="Hyperlink">
    <w:name w:val="Hyperlink"/>
    <w:rsid w:val="00C227AF"/>
    <w:rPr>
      <w:b/>
      <w:bCs/>
      <w:color w:val="0000FF"/>
      <w:u w:val="single"/>
    </w:rPr>
  </w:style>
  <w:style w:type="paragraph" w:customStyle="1" w:styleId="indent1">
    <w:name w:val="indent1"/>
    <w:basedOn w:val="Normal"/>
    <w:rsid w:val="00C227AF"/>
    <w:rPr>
      <w:rFonts w:ascii="Times New Roman" w:hAnsi="Times New Roman"/>
      <w:sz w:val="20"/>
    </w:rPr>
  </w:style>
  <w:style w:type="paragraph" w:styleId="NormalWeb">
    <w:name w:val="Normal (Web)"/>
    <w:basedOn w:val="Normal"/>
    <w:rsid w:val="00C227AF"/>
    <w:pPr>
      <w:spacing w:before="100" w:beforeAutospacing="1" w:after="100" w:afterAutospacing="1"/>
    </w:pPr>
    <w:rPr>
      <w:rFonts w:ascii="Times New Roman" w:hAnsi="Times New Roman"/>
      <w:sz w:val="20"/>
    </w:rPr>
  </w:style>
  <w:style w:type="character" w:styleId="Strong">
    <w:name w:val="Strong"/>
    <w:qFormat/>
    <w:rsid w:val="00C227AF"/>
    <w:rPr>
      <w:b/>
      <w:bCs/>
    </w:rPr>
  </w:style>
  <w:style w:type="character" w:styleId="FollowedHyperlink">
    <w:name w:val="FollowedHyperlink"/>
    <w:rsid w:val="00F34DBC"/>
    <w:rPr>
      <w:color w:val="800080"/>
      <w:u w:val="single"/>
    </w:rPr>
  </w:style>
  <w:style w:type="table" w:styleId="TableGrid">
    <w:name w:val="Table Grid"/>
    <w:basedOn w:val="TableNormal"/>
    <w:rsid w:val="001E2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2BBF"/>
    <w:rPr>
      <w:rFonts w:ascii="Arial" w:hAnsi="Arial"/>
      <w:sz w:val="24"/>
    </w:rPr>
  </w:style>
  <w:style w:type="character" w:customStyle="1" w:styleId="UnresolvedMention1">
    <w:name w:val="Unresolved Mention1"/>
    <w:basedOn w:val="DefaultParagraphFont"/>
    <w:uiPriority w:val="99"/>
    <w:semiHidden/>
    <w:unhideWhenUsed/>
    <w:rsid w:val="00E43AD4"/>
    <w:rPr>
      <w:color w:val="808080"/>
      <w:shd w:val="clear" w:color="auto" w:fill="E6E6E6"/>
    </w:rPr>
  </w:style>
  <w:style w:type="paragraph" w:styleId="ListParagraph">
    <w:name w:val="List Paragraph"/>
    <w:basedOn w:val="Normal"/>
    <w:uiPriority w:val="34"/>
    <w:qFormat/>
    <w:rsid w:val="00C429A8"/>
    <w:pPr>
      <w:ind w:left="720"/>
      <w:contextualSpacing/>
    </w:pPr>
  </w:style>
  <w:style w:type="character" w:customStyle="1" w:styleId="BodyTextChar">
    <w:name w:val="Body Text Char"/>
    <w:basedOn w:val="DefaultParagraphFont"/>
    <w:link w:val="BodyText"/>
    <w:rsid w:val="00D17CD3"/>
    <w:rPr>
      <w:sz w:val="24"/>
    </w:rPr>
  </w:style>
  <w:style w:type="character" w:customStyle="1" w:styleId="FootnoteTextChar">
    <w:name w:val="Footnote Text Char"/>
    <w:basedOn w:val="DefaultParagraphFont"/>
    <w:link w:val="FootnoteText"/>
    <w:uiPriority w:val="99"/>
    <w:rsid w:val="00981679"/>
    <w:rPr>
      <w:rFonts w:ascii="Arial" w:hAnsi="Arial"/>
    </w:rPr>
  </w:style>
  <w:style w:type="paragraph" w:customStyle="1" w:styleId="Default">
    <w:name w:val="Default"/>
    <w:rsid w:val="00981679"/>
    <w:pPr>
      <w:autoSpaceDE w:val="0"/>
      <w:autoSpaceDN w:val="0"/>
      <w:adjustRightInd w:val="0"/>
    </w:pPr>
    <w:rPr>
      <w:rFonts w:eastAsiaTheme="minorHAnsi"/>
      <w:color w:val="000000"/>
      <w:sz w:val="24"/>
      <w:szCs w:val="24"/>
    </w:rPr>
  </w:style>
  <w:style w:type="character" w:customStyle="1" w:styleId="CommentTextChar">
    <w:name w:val="Comment Text Char"/>
    <w:basedOn w:val="DefaultParagraphFont"/>
    <w:link w:val="CommentText"/>
    <w:semiHidden/>
    <w:rsid w:val="00B92112"/>
    <w:rPr>
      <w:rFonts w:ascii="Arial" w:hAnsi="Arial"/>
    </w:rPr>
  </w:style>
  <w:style w:type="character" w:styleId="UnresolvedMention">
    <w:name w:val="Unresolved Mention"/>
    <w:basedOn w:val="DefaultParagraphFont"/>
    <w:uiPriority w:val="99"/>
    <w:semiHidden/>
    <w:unhideWhenUsed/>
    <w:rsid w:val="00460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fda-cdrh.my.salesforce-sites.com/shortages/" TargetMode="External" /><Relationship Id="rId7" Type="http://schemas.openxmlformats.org/officeDocument/2006/relationships/hyperlink" Target="http://www.reginfo.gov" TargetMode="Externa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3/11/17/2023-25458/notifying-the-food-and-drug-administration-of-a-permanent-discontinuance-or-interruption-i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53284-EAFC-4D66-92BD-7E58D8EEB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2076</Words>
  <Characters>12300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2024-02-12T19:22:00Z</dcterms:created>
  <dcterms:modified xsi:type="dcterms:W3CDTF">2024-05-17T18:35:00Z</dcterms:modified>
</cp:coreProperties>
</file>