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4E79" w:rsidP="00622C4D" w:rsidRDefault="0067070A" w14:paraId="5B7CA628" w14:textId="77777777">
      <w:pPr>
        <w:jc w:val="center"/>
        <w:rPr>
          <w:szCs w:val="24"/>
        </w:rPr>
      </w:pPr>
      <w:r>
        <w:rPr>
          <w:szCs w:val="24"/>
        </w:rPr>
        <w:t>U</w:t>
      </w:r>
      <w:r w:rsidR="00CD2B49">
        <w:rPr>
          <w:szCs w:val="24"/>
        </w:rPr>
        <w:t xml:space="preserve">NITED STATES FOOD &amp; DRUG </w:t>
      </w:r>
      <w:r w:rsidR="00F13BFC">
        <w:rPr>
          <w:szCs w:val="24"/>
        </w:rPr>
        <w:t>ADMINISTRATION</w:t>
      </w:r>
    </w:p>
    <w:p w:rsidR="00CD2B49" w:rsidP="00622C4D" w:rsidRDefault="00CD2B49" w14:paraId="57FF453D" w14:textId="77777777">
      <w:pPr>
        <w:jc w:val="center"/>
        <w:rPr>
          <w:szCs w:val="24"/>
        </w:rPr>
      </w:pPr>
    </w:p>
    <w:p w:rsidR="00F673F4" w:rsidP="00622C4D" w:rsidRDefault="00F673F4" w14:paraId="771026E6" w14:textId="77777777">
      <w:pPr>
        <w:jc w:val="center"/>
        <w:rPr>
          <w:szCs w:val="24"/>
        </w:rPr>
      </w:pPr>
      <w:r>
        <w:rPr>
          <w:szCs w:val="24"/>
        </w:rPr>
        <w:t>G</w:t>
      </w:r>
      <w:r w:rsidR="0067070A">
        <w:rPr>
          <w:szCs w:val="24"/>
        </w:rPr>
        <w:t>eneric Drug User Fee Program</w:t>
      </w:r>
    </w:p>
    <w:p w:rsidRPr="00EE34EF" w:rsidR="00CD2B49" w:rsidP="00622C4D" w:rsidRDefault="00CD2B49" w14:paraId="41B13B6B" w14:textId="77777777">
      <w:pPr>
        <w:jc w:val="center"/>
        <w:rPr>
          <w:szCs w:val="24"/>
        </w:rPr>
      </w:pPr>
    </w:p>
    <w:p w:rsidRPr="00775C32" w:rsidR="002F0EC2" w:rsidP="00622C4D" w:rsidRDefault="00CD2B49" w14:paraId="47414712" w14:textId="5923DD7B">
      <w:pPr>
        <w:jc w:val="center"/>
        <w:rPr>
          <w:szCs w:val="24"/>
          <w:u w:val="single"/>
        </w:rPr>
      </w:pPr>
      <w:r w:rsidRPr="00775C32">
        <w:rPr>
          <w:szCs w:val="24"/>
          <w:u w:val="single"/>
        </w:rPr>
        <w:t>OMB Control Number 0910-0727</w:t>
      </w:r>
    </w:p>
    <w:p w:rsidR="00CD2B49" w:rsidP="00622C4D" w:rsidRDefault="00CD2B49" w14:paraId="2E505728" w14:textId="77777777">
      <w:pPr>
        <w:jc w:val="center"/>
        <w:rPr>
          <w:szCs w:val="24"/>
        </w:rPr>
      </w:pPr>
    </w:p>
    <w:p w:rsidR="00CD2B49" w:rsidP="00622C4D" w:rsidRDefault="00CD2B49" w14:paraId="5B2C564C" w14:textId="77777777">
      <w:pPr>
        <w:jc w:val="center"/>
        <w:rPr>
          <w:szCs w:val="24"/>
        </w:rPr>
      </w:pPr>
    </w:p>
    <w:p w:rsidRPr="00EE34EF" w:rsidR="002F0EC2" w:rsidP="00CD2B49" w:rsidRDefault="00CD2B49" w14:paraId="4EF7875D" w14:textId="3F0EC32A">
      <w:pPr>
        <w:rPr>
          <w:szCs w:val="24"/>
        </w:rPr>
      </w:pPr>
      <w:r>
        <w:rPr>
          <w:szCs w:val="24"/>
        </w:rPr>
        <w:t>SUPPORTING STATEMENT</w:t>
      </w:r>
      <w:r w:rsidR="00775C32">
        <w:rPr>
          <w:szCs w:val="24"/>
        </w:rPr>
        <w:t xml:space="preserve"> –</w:t>
      </w:r>
      <w:r>
        <w:rPr>
          <w:szCs w:val="24"/>
        </w:rPr>
        <w:t xml:space="preserve"> </w:t>
      </w:r>
      <w:r w:rsidRPr="00525C95">
        <w:rPr>
          <w:b/>
          <w:szCs w:val="24"/>
        </w:rPr>
        <w:t>Part A:  Justification</w:t>
      </w:r>
    </w:p>
    <w:p w:rsidRPr="00EE34EF" w:rsidR="00754E79" w:rsidP="00622C4D" w:rsidRDefault="00754E79" w14:paraId="0910C7E4" w14:textId="77777777">
      <w:pPr>
        <w:rPr>
          <w:szCs w:val="24"/>
        </w:rPr>
      </w:pPr>
    </w:p>
    <w:p w:rsidRPr="00EE34EF" w:rsidR="00622C4D" w:rsidP="00622C4D" w:rsidRDefault="00622C4D" w14:paraId="63D125C8" w14:textId="77777777">
      <w:pPr>
        <w:rPr>
          <w:szCs w:val="24"/>
        </w:rPr>
      </w:pPr>
      <w:r w:rsidRPr="00EE34EF">
        <w:rPr>
          <w:szCs w:val="24"/>
        </w:rPr>
        <w:t xml:space="preserve">1.  </w:t>
      </w:r>
      <w:r w:rsidRPr="00EE34EF" w:rsidR="00516D5F">
        <w:rPr>
          <w:szCs w:val="24"/>
          <w:u w:val="single"/>
        </w:rPr>
        <w:t>Circumstances Making the Collection of Information Necessary</w:t>
      </w:r>
    </w:p>
    <w:p w:rsidRPr="00EE34EF" w:rsidR="00622C4D" w:rsidP="00622C4D" w:rsidRDefault="00622C4D" w14:paraId="69A34D15" w14:textId="77777777">
      <w:pPr>
        <w:rPr>
          <w:szCs w:val="24"/>
        </w:rPr>
      </w:pPr>
    </w:p>
    <w:p w:rsidR="008B62F2" w:rsidP="005279ED" w:rsidRDefault="005279ED" w14:paraId="3BF4E64C" w14:textId="77777777">
      <w:pPr>
        <w:rPr>
          <w:szCs w:val="24"/>
        </w:rPr>
      </w:pPr>
      <w:r w:rsidRPr="005279ED">
        <w:rPr>
          <w:szCs w:val="24"/>
        </w:rPr>
        <w:t xml:space="preserve">This information collection supports implementation of FDA’s Generic Drug User Fee program.  The Generic Drug User Fee Amendments (GDUFA) (Pub. L. 112-144, Title 111) were enacted to speed the delivery of safe and effective generic drugs to the public and reduce costs to industry.  GDUFA authorizes FDA to assess user fees to fund critical and measurable enhancements to the performance of FDA’s generic drugs program, bringing greater predictability and timeliness to the review of generic drug applications.  GDUFA is currently authorized through September 30, 2022, with reauthorization activities currently underway.  For more information regarding GDUFA and ongoing implementation, we invite you to visit our website at </w:t>
      </w:r>
      <w:hyperlink w:history="1" r:id="rId8">
        <w:r w:rsidRPr="005279ED">
          <w:rPr>
            <w:rStyle w:val="Hyperlink"/>
            <w:szCs w:val="24"/>
          </w:rPr>
          <w:t>https://www.fda.gov/industry/fda-user-fee-programs/generic-drug-user-fee-amendments</w:t>
        </w:r>
      </w:hyperlink>
      <w:r w:rsidRPr="005279ED">
        <w:rPr>
          <w:szCs w:val="24"/>
        </w:rPr>
        <w:t>.</w:t>
      </w:r>
      <w:r w:rsidR="008B62F2">
        <w:rPr>
          <w:szCs w:val="24"/>
        </w:rPr>
        <w:t xml:space="preserve">  </w:t>
      </w:r>
      <w:r w:rsidRPr="005279ED">
        <w:rPr>
          <w:szCs w:val="24"/>
        </w:rPr>
        <w:t xml:space="preserve">GDUFA is based on an agreement negotiated by FDA and representatives of the generic drug industry intended to address continuing regulatory challenges.  GDUFA reflects input received during an open process that includes regular public meetings, posting of meeting minutes, and consideration of comments from a public docket.  </w:t>
      </w:r>
    </w:p>
    <w:p w:rsidR="008B62F2" w:rsidP="005279ED" w:rsidRDefault="008B62F2" w14:paraId="5F7C09C6" w14:textId="77777777">
      <w:pPr>
        <w:rPr>
          <w:szCs w:val="24"/>
        </w:rPr>
      </w:pPr>
    </w:p>
    <w:p w:rsidRPr="005279ED" w:rsidR="005279ED" w:rsidP="005279ED" w:rsidRDefault="005279ED" w14:paraId="0D3BC721" w14:textId="540EE04D">
      <w:pPr>
        <w:rPr>
          <w:szCs w:val="24"/>
        </w:rPr>
      </w:pPr>
      <w:r w:rsidRPr="005279ED">
        <w:rPr>
          <w:szCs w:val="24"/>
        </w:rPr>
        <w:t>We are revising the information collection to include the current GDUFA agreement, or “</w:t>
      </w:r>
      <w:r w:rsidRPr="005279ED">
        <w:rPr>
          <w:i/>
          <w:iCs/>
          <w:szCs w:val="24"/>
        </w:rPr>
        <w:t>goals letter</w:t>
      </w:r>
      <w:r w:rsidRPr="005279ED">
        <w:rPr>
          <w:szCs w:val="24"/>
        </w:rPr>
        <w:t>,” as reflected in the document “</w:t>
      </w:r>
      <w:r w:rsidRPr="00327D7C">
        <w:rPr>
          <w:i/>
          <w:iCs/>
          <w:szCs w:val="24"/>
        </w:rPr>
        <w:t>GDUFA Reauthorization Performance Goals and Program Enhancements Fiscal Years 2018-2022</w:t>
      </w:r>
      <w:r w:rsidRPr="005279ED">
        <w:rPr>
          <w:szCs w:val="24"/>
        </w:rPr>
        <w:t xml:space="preserve">,” available for download from our website at </w:t>
      </w:r>
      <w:hyperlink w:history="1" r:id="rId9">
        <w:r w:rsidRPr="0051218C">
          <w:rPr>
            <w:rStyle w:val="Hyperlink"/>
            <w:szCs w:val="24"/>
          </w:rPr>
          <w:t>https://www.fda.gov/media/101052/download</w:t>
        </w:r>
      </w:hyperlink>
      <w:r w:rsidRPr="005279ED">
        <w:rPr>
          <w:szCs w:val="24"/>
        </w:rPr>
        <w:t>.  The performance goals and program enhancements specified in the goals letter apply to aspects of the generic drug review program that are important for facilitating timely access to quality, affordable generic medicines.  FDA is committed to meeting the performance goals specified in the goals letter and to continuous improvement of its performance.</w:t>
      </w:r>
      <w:r w:rsidR="008B62F2">
        <w:rPr>
          <w:szCs w:val="24"/>
        </w:rPr>
        <w:t xml:space="preserve">  </w:t>
      </w:r>
      <w:r w:rsidRPr="005279ED">
        <w:rPr>
          <w:szCs w:val="24"/>
        </w:rPr>
        <w:t xml:space="preserve">Included among the performance goals is the issuance of topic-specific guidance documents.  </w:t>
      </w:r>
      <w:r w:rsidRPr="005279ED">
        <w:rPr>
          <w:szCs w:val="24"/>
          <w:lang w:val="en"/>
        </w:rPr>
        <w:t xml:space="preserve">We maintain a searchable guidance database on </w:t>
      </w:r>
      <w:r w:rsidRPr="005279ED">
        <w:rPr>
          <w:szCs w:val="24"/>
        </w:rPr>
        <w:t xml:space="preserve">our website at </w:t>
      </w:r>
      <w:hyperlink w:history="1" r:id="rId10">
        <w:r w:rsidRPr="0051218C">
          <w:rPr>
            <w:rStyle w:val="Hyperlink"/>
            <w:szCs w:val="24"/>
          </w:rPr>
          <w:t>https://www.fda.gov/regulatory-information/search-fda-guidance-documents</w:t>
        </w:r>
      </w:hyperlink>
      <w:r w:rsidRPr="005279ED">
        <w:rPr>
          <w:szCs w:val="24"/>
        </w:rPr>
        <w:t xml:space="preserve">.  In publishing the respective notices of availability for each guidance document, we include an analysis under the PRA and invite public comment on </w:t>
      </w:r>
      <w:r w:rsidR="00E24CA0">
        <w:rPr>
          <w:szCs w:val="24"/>
        </w:rPr>
        <w:t xml:space="preserve">any </w:t>
      </w:r>
      <w:r w:rsidRPr="005279ED">
        <w:rPr>
          <w:szCs w:val="24"/>
        </w:rPr>
        <w:t xml:space="preserve">associated information collection recommendations.  In addition, all </w:t>
      </w:r>
      <w:r w:rsidR="00E24CA0">
        <w:rPr>
          <w:szCs w:val="24"/>
        </w:rPr>
        <w:t>a</w:t>
      </w:r>
      <w:r w:rsidRPr="005279ED">
        <w:rPr>
          <w:szCs w:val="24"/>
        </w:rPr>
        <w:t>gency guidance documents are issued in accordance with our Good Guidance Practice regulations in 21 CFR 10.115, which provide for public comment at any time.</w:t>
      </w:r>
    </w:p>
    <w:p w:rsidR="008B62F2" w:rsidP="005279ED" w:rsidRDefault="008B62F2" w14:paraId="1779E53D" w14:textId="77777777">
      <w:pPr>
        <w:rPr>
          <w:szCs w:val="24"/>
        </w:rPr>
      </w:pPr>
    </w:p>
    <w:p w:rsidRPr="005C1D70" w:rsidR="005C1D70" w:rsidP="005C1D70" w:rsidRDefault="005C1D70" w14:paraId="5E6C19C9" w14:textId="6D959E67">
      <w:pPr>
        <w:rPr>
          <w:szCs w:val="24"/>
        </w:rPr>
      </w:pPr>
      <w:r w:rsidRPr="005C1D70">
        <w:rPr>
          <w:szCs w:val="24"/>
        </w:rPr>
        <w:t xml:space="preserve">We have developed Form FDA 3794, the </w:t>
      </w:r>
      <w:r w:rsidRPr="005C1D70">
        <w:rPr>
          <w:i/>
          <w:iCs/>
          <w:szCs w:val="24"/>
        </w:rPr>
        <w:t>Generic Drug User Fee Cover Sheet</w:t>
      </w:r>
      <w:r w:rsidRPr="005C1D70">
        <w:rPr>
          <w:szCs w:val="24"/>
        </w:rPr>
        <w:t xml:space="preserve">, available at </w:t>
      </w:r>
      <w:r w:rsidRPr="005C1D70">
        <w:rPr>
          <w:i/>
          <w:iCs/>
          <w:szCs w:val="24"/>
        </w:rPr>
        <w:t>https://www.fda.gov/industry/fda-user-fee-programs</w:t>
      </w:r>
      <w:r w:rsidRPr="005C1D70">
        <w:rPr>
          <w:szCs w:val="24"/>
        </w:rPr>
        <w:t xml:space="preserve"> </w:t>
      </w:r>
      <w:r w:rsidR="002569D9">
        <w:rPr>
          <w:szCs w:val="24"/>
        </w:rPr>
        <w:t xml:space="preserve">to provide a uniform format for the </w:t>
      </w:r>
      <w:r w:rsidR="001F27AE">
        <w:rPr>
          <w:szCs w:val="24"/>
        </w:rPr>
        <w:t xml:space="preserve">submission of information necessary to </w:t>
      </w:r>
      <w:r w:rsidRPr="005C1D70">
        <w:rPr>
          <w:szCs w:val="24"/>
        </w:rPr>
        <w:t>account for and track user fees</w:t>
      </w:r>
      <w:r w:rsidR="00342B9F">
        <w:rPr>
          <w:szCs w:val="24"/>
        </w:rPr>
        <w:t>,</w:t>
      </w:r>
      <w:r w:rsidRPr="005C1D70">
        <w:rPr>
          <w:szCs w:val="24"/>
        </w:rPr>
        <w:t xml:space="preserve"> and to determine the amount of the fee required. </w:t>
      </w:r>
    </w:p>
    <w:p w:rsidR="00F426C2" w:rsidP="00622C4D" w:rsidRDefault="00F426C2" w14:paraId="7692319C" w14:textId="77777777">
      <w:pPr>
        <w:rPr>
          <w:szCs w:val="24"/>
        </w:rPr>
      </w:pPr>
    </w:p>
    <w:p w:rsidR="00354553" w:rsidP="00622C4D" w:rsidRDefault="00354553" w14:paraId="6186299A" w14:textId="78DC2C33">
      <w:pPr>
        <w:rPr>
          <w:szCs w:val="24"/>
        </w:rPr>
      </w:pPr>
      <w:r>
        <w:rPr>
          <w:szCs w:val="24"/>
        </w:rPr>
        <w:t xml:space="preserve">We </w:t>
      </w:r>
      <w:r w:rsidR="00E35F7A">
        <w:rPr>
          <w:szCs w:val="24"/>
        </w:rPr>
        <w:t xml:space="preserve">are </w:t>
      </w:r>
      <w:r>
        <w:rPr>
          <w:szCs w:val="24"/>
        </w:rPr>
        <w:t>therefore request</w:t>
      </w:r>
      <w:r w:rsidR="00E35F7A">
        <w:rPr>
          <w:szCs w:val="24"/>
        </w:rPr>
        <w:t>ing</w:t>
      </w:r>
      <w:r>
        <w:rPr>
          <w:szCs w:val="24"/>
        </w:rPr>
        <w:t xml:space="preserve"> approval of the information collection </w:t>
      </w:r>
      <w:r w:rsidR="0067070A">
        <w:rPr>
          <w:szCs w:val="24"/>
        </w:rPr>
        <w:t xml:space="preserve">provisions associated with </w:t>
      </w:r>
      <w:r w:rsidR="005473BF">
        <w:rPr>
          <w:szCs w:val="24"/>
        </w:rPr>
        <w:t xml:space="preserve">our </w:t>
      </w:r>
      <w:r w:rsidR="0067070A">
        <w:rPr>
          <w:szCs w:val="24"/>
        </w:rPr>
        <w:t>GDUFA</w:t>
      </w:r>
      <w:r w:rsidR="004E6239">
        <w:rPr>
          <w:szCs w:val="24"/>
        </w:rPr>
        <w:t xml:space="preserve"> program</w:t>
      </w:r>
      <w:r w:rsidR="0067070A">
        <w:rPr>
          <w:szCs w:val="24"/>
        </w:rPr>
        <w:t xml:space="preserve">, including the GDUFA cover sheet </w:t>
      </w:r>
      <w:r>
        <w:rPr>
          <w:szCs w:val="24"/>
        </w:rPr>
        <w:t>Form FDA 3794</w:t>
      </w:r>
      <w:r w:rsidR="00754E37">
        <w:rPr>
          <w:szCs w:val="24"/>
        </w:rPr>
        <w:t>,</w:t>
      </w:r>
      <w:r w:rsidR="00E16DF9">
        <w:rPr>
          <w:szCs w:val="24"/>
        </w:rPr>
        <w:t xml:space="preserve"> as</w:t>
      </w:r>
      <w:r w:rsidR="0067070A">
        <w:rPr>
          <w:szCs w:val="24"/>
        </w:rPr>
        <w:t xml:space="preserve"> discussed in this supporting statement</w:t>
      </w:r>
      <w:r>
        <w:rPr>
          <w:szCs w:val="24"/>
        </w:rPr>
        <w:t>.</w:t>
      </w:r>
    </w:p>
    <w:p w:rsidRPr="00EE34EF" w:rsidR="00F5160B" w:rsidP="00F5160B" w:rsidRDefault="00F5160B" w14:paraId="72F6E391" w14:textId="77777777">
      <w:pPr>
        <w:rPr>
          <w:szCs w:val="24"/>
        </w:rPr>
      </w:pPr>
    </w:p>
    <w:p w:rsidRPr="00EE34EF" w:rsidR="00F5160B" w:rsidP="00F5160B" w:rsidRDefault="00F5160B" w14:paraId="01D2195A" w14:textId="77777777">
      <w:pPr>
        <w:rPr>
          <w:szCs w:val="24"/>
        </w:rPr>
      </w:pPr>
      <w:r w:rsidRPr="00EE34EF">
        <w:rPr>
          <w:szCs w:val="24"/>
        </w:rPr>
        <w:t xml:space="preserve">2.  </w:t>
      </w:r>
      <w:r w:rsidRPr="00EE34EF">
        <w:rPr>
          <w:szCs w:val="24"/>
          <w:u w:val="single"/>
        </w:rPr>
        <w:t>Purpose and Use of the Information Collection</w:t>
      </w:r>
    </w:p>
    <w:p w:rsidR="00F5160B" w:rsidP="00622C4D" w:rsidRDefault="00F5160B" w14:paraId="74234EAF" w14:textId="77777777">
      <w:pPr>
        <w:rPr>
          <w:szCs w:val="24"/>
        </w:rPr>
      </w:pPr>
    </w:p>
    <w:p w:rsidR="008B62F2" w:rsidP="00354553" w:rsidRDefault="00525C95" w14:paraId="4748ED41" w14:textId="7C4225BD">
      <w:pPr>
        <w:rPr>
          <w:szCs w:val="24"/>
        </w:rPr>
      </w:pPr>
      <w:r w:rsidRPr="00525C95">
        <w:rPr>
          <w:szCs w:val="24"/>
        </w:rPr>
        <w:t xml:space="preserve">Respondents to the collection of information are potential or actual generic drug application holders or related </w:t>
      </w:r>
      <w:r w:rsidR="007B6BBA">
        <w:rPr>
          <w:szCs w:val="24"/>
        </w:rPr>
        <w:t>a</w:t>
      </w:r>
      <w:r w:rsidRPr="00525C95">
        <w:rPr>
          <w:szCs w:val="24"/>
        </w:rPr>
        <w:t xml:space="preserve">ctive </w:t>
      </w:r>
      <w:r w:rsidR="007B6BBA">
        <w:rPr>
          <w:szCs w:val="24"/>
        </w:rPr>
        <w:t>p</w:t>
      </w:r>
      <w:r w:rsidRPr="00525C95">
        <w:rPr>
          <w:szCs w:val="24"/>
        </w:rPr>
        <w:t xml:space="preserve">harmaceutical </w:t>
      </w:r>
      <w:r w:rsidR="007B6BBA">
        <w:rPr>
          <w:szCs w:val="24"/>
        </w:rPr>
        <w:t>i</w:t>
      </w:r>
      <w:r w:rsidRPr="00525C95">
        <w:rPr>
          <w:szCs w:val="24"/>
        </w:rPr>
        <w:t xml:space="preserve">ngredient and </w:t>
      </w:r>
      <w:r w:rsidR="007B6BBA">
        <w:rPr>
          <w:szCs w:val="24"/>
        </w:rPr>
        <w:t>f</w:t>
      </w:r>
      <w:r w:rsidRPr="00525C95">
        <w:rPr>
          <w:szCs w:val="24"/>
        </w:rPr>
        <w:t xml:space="preserve">inished </w:t>
      </w:r>
      <w:r w:rsidR="007B6BBA">
        <w:rPr>
          <w:szCs w:val="24"/>
        </w:rPr>
        <w:t>d</w:t>
      </w:r>
      <w:r w:rsidRPr="00525C95">
        <w:rPr>
          <w:szCs w:val="24"/>
        </w:rPr>
        <w:t xml:space="preserve">osage </w:t>
      </w:r>
      <w:r w:rsidR="007B6BBA">
        <w:rPr>
          <w:szCs w:val="24"/>
        </w:rPr>
        <w:t>f</w:t>
      </w:r>
      <w:r w:rsidRPr="00525C95">
        <w:rPr>
          <w:szCs w:val="24"/>
        </w:rPr>
        <w:t>orm manufacturers.  Companies with multiple user fee obligations will submit a cover sheet for each user fee obligation.</w:t>
      </w:r>
      <w:r w:rsidR="0017494C">
        <w:rPr>
          <w:szCs w:val="24"/>
        </w:rPr>
        <w:t xml:space="preserve">  </w:t>
      </w:r>
      <w:r w:rsidRPr="00F5160B" w:rsidR="00354553">
        <w:rPr>
          <w:szCs w:val="24"/>
        </w:rPr>
        <w:t xml:space="preserve">Applicants complete the cover sheets to accompany payments.  While applicants may submit payment through multiple means, all cover sheets are prepared using </w:t>
      </w:r>
      <w:r w:rsidR="00354553">
        <w:rPr>
          <w:szCs w:val="24"/>
        </w:rPr>
        <w:t xml:space="preserve">our </w:t>
      </w:r>
      <w:r w:rsidRPr="00F5160B" w:rsidR="00354553">
        <w:rPr>
          <w:szCs w:val="24"/>
        </w:rPr>
        <w:t xml:space="preserve">web-based electronic User Fee System.  Upon submitting the completed cover sheet, the User Fee System generates a user fee identification number, which is provided to applicants at the bottom of the cover sheet.  It also notes the correct FY user fee assessment that is due for the submission/program.  </w:t>
      </w:r>
      <w:r w:rsidR="00354553">
        <w:rPr>
          <w:szCs w:val="24"/>
        </w:rPr>
        <w:t>We request</w:t>
      </w:r>
      <w:r w:rsidRPr="00F5160B" w:rsidR="00354553">
        <w:rPr>
          <w:szCs w:val="24"/>
        </w:rPr>
        <w:t xml:space="preserve"> that applicants submit a copy of this completed cover sheet along with the abbreviated new drug applicatio</w:t>
      </w:r>
      <w:r w:rsidR="00354553">
        <w:rPr>
          <w:szCs w:val="24"/>
        </w:rPr>
        <w:t>n, and other GDUFA fees, so we c</w:t>
      </w:r>
      <w:r w:rsidRPr="00F5160B" w:rsidR="00354553">
        <w:rPr>
          <w:szCs w:val="24"/>
        </w:rPr>
        <w:t>an verify that the applicant has paid the correct user fee.</w:t>
      </w:r>
    </w:p>
    <w:p w:rsidR="00750462" w:rsidP="00622C4D" w:rsidRDefault="00750462" w14:paraId="3C59F78A" w14:textId="77777777">
      <w:pPr>
        <w:rPr>
          <w:szCs w:val="24"/>
        </w:rPr>
      </w:pPr>
    </w:p>
    <w:p w:rsidRPr="00EE34EF" w:rsidR="005A136E" w:rsidP="00622C4D" w:rsidRDefault="00C640A0" w14:paraId="627A3782" w14:textId="77777777">
      <w:pPr>
        <w:rPr>
          <w:szCs w:val="24"/>
        </w:rPr>
      </w:pPr>
      <w:r w:rsidRPr="00EE34EF">
        <w:rPr>
          <w:szCs w:val="24"/>
        </w:rPr>
        <w:t xml:space="preserve">3.  </w:t>
      </w:r>
      <w:r w:rsidRPr="00EE34EF" w:rsidR="005A136E">
        <w:rPr>
          <w:szCs w:val="24"/>
          <w:u w:val="single"/>
        </w:rPr>
        <w:t>Use of Improved Information Technology and Burden Reductions</w:t>
      </w:r>
    </w:p>
    <w:p w:rsidR="00622C4D" w:rsidP="00622C4D" w:rsidRDefault="00622C4D" w14:paraId="05B04FEB" w14:textId="77777777">
      <w:pPr>
        <w:rPr>
          <w:szCs w:val="24"/>
        </w:rPr>
      </w:pPr>
    </w:p>
    <w:p w:rsidRPr="009B1CD0" w:rsidR="00C54F4B" w:rsidP="00622C4D" w:rsidRDefault="008204DA" w14:paraId="57F6AE1B" w14:textId="468C9059">
      <w:r>
        <w:t xml:space="preserve">The information collection is administered electronically, as required by statute, through FDA’s Electronic Submission Gateway (ESG).  All user fee cover sheets, including the </w:t>
      </w:r>
      <w:r w:rsidRPr="000C729E" w:rsidR="000C729E">
        <w:rPr>
          <w:i/>
          <w:iCs/>
        </w:rPr>
        <w:t xml:space="preserve">Generic </w:t>
      </w:r>
      <w:r w:rsidRPr="000C729E">
        <w:rPr>
          <w:i/>
          <w:iCs/>
        </w:rPr>
        <w:t>D</w:t>
      </w:r>
      <w:r w:rsidRPr="002373FE">
        <w:rPr>
          <w:i/>
          <w:iCs/>
        </w:rPr>
        <w:t>rug User Fee Cover Sheet</w:t>
      </w:r>
      <w:r>
        <w:t>, are accessed and submitted electronically.  We are not aware of any other improved technology, nor legal obstacles to reduce the burden</w:t>
      </w:r>
      <w:r w:rsidR="006B416E">
        <w:t xml:space="preserve">.  We </w:t>
      </w:r>
      <w:r>
        <w:t>continue to pursue methods of reporting that will facilitate submissions</w:t>
      </w:r>
      <w:r w:rsidR="006B416E">
        <w:t xml:space="preserve"> as limited </w:t>
      </w:r>
      <w:r w:rsidR="00604660">
        <w:t>agency resources permit</w:t>
      </w:r>
      <w:r>
        <w:t>.</w:t>
      </w:r>
      <w:r w:rsidR="009B1CD0">
        <w:t xml:space="preserve">  </w:t>
      </w:r>
      <w:r w:rsidR="0017494C">
        <w:rPr>
          <w:szCs w:val="24"/>
        </w:rPr>
        <w:t>I</w:t>
      </w:r>
      <w:r w:rsidRPr="0017494C" w:rsidR="0017494C">
        <w:rPr>
          <w:szCs w:val="24"/>
        </w:rPr>
        <w:t xml:space="preserve">nformation such as the applicant’s name and address, as well as the name, telephone number, and email address of the applicant’s representative and/or United States agent, </w:t>
      </w:r>
      <w:r w:rsidR="0017494C">
        <w:rPr>
          <w:szCs w:val="24"/>
        </w:rPr>
        <w:t xml:space="preserve">are </w:t>
      </w:r>
      <w:r w:rsidRPr="0017494C" w:rsidR="0017494C">
        <w:rPr>
          <w:szCs w:val="24"/>
        </w:rPr>
        <w:t>auto-populated if the organization has registered and has an existing user fee account in the Use</w:t>
      </w:r>
      <w:r w:rsidR="0017494C">
        <w:rPr>
          <w:szCs w:val="24"/>
        </w:rPr>
        <w:t xml:space="preserve">r Fee System.  In addition, we have enabled </w:t>
      </w:r>
      <w:r w:rsidRPr="0017494C" w:rsidR="0017494C">
        <w:rPr>
          <w:szCs w:val="24"/>
        </w:rPr>
        <w:t>new users to locate their organizations in the D</w:t>
      </w:r>
      <w:r w:rsidR="0017494C">
        <w:rPr>
          <w:szCs w:val="24"/>
        </w:rPr>
        <w:t xml:space="preserve">un </w:t>
      </w:r>
      <w:r w:rsidRPr="0017494C" w:rsidR="0017494C">
        <w:rPr>
          <w:szCs w:val="24"/>
        </w:rPr>
        <w:t>&amp;B</w:t>
      </w:r>
      <w:r w:rsidR="0017494C">
        <w:rPr>
          <w:szCs w:val="24"/>
        </w:rPr>
        <w:t>radstreet (D&amp;B)</w:t>
      </w:r>
      <w:r w:rsidRPr="0017494C" w:rsidR="0017494C">
        <w:rPr>
          <w:szCs w:val="24"/>
        </w:rPr>
        <w:t xml:space="preserve"> database.  If an organization is found in the D&amp;B database, </w:t>
      </w:r>
      <w:r w:rsidR="0017494C">
        <w:rPr>
          <w:szCs w:val="24"/>
        </w:rPr>
        <w:t xml:space="preserve">certain fields are </w:t>
      </w:r>
      <w:r w:rsidRPr="0017494C" w:rsidR="0017494C">
        <w:rPr>
          <w:szCs w:val="24"/>
        </w:rPr>
        <w:t>auto-populated as the new user completes the registration process.</w:t>
      </w:r>
      <w:r w:rsidR="0017494C">
        <w:rPr>
          <w:szCs w:val="24"/>
        </w:rPr>
        <w:t xml:space="preserve">  We are unaware of any </w:t>
      </w:r>
      <w:r w:rsidR="00F673F4">
        <w:rPr>
          <w:szCs w:val="24"/>
        </w:rPr>
        <w:t>other improved technology that would facilitate the information collection.</w:t>
      </w:r>
    </w:p>
    <w:p w:rsidRPr="00EE34EF" w:rsidR="00754E79" w:rsidP="00622C4D" w:rsidRDefault="0038748E" w14:paraId="2D822371" w14:textId="77777777">
      <w:pPr>
        <w:rPr>
          <w:szCs w:val="24"/>
        </w:rPr>
      </w:pPr>
      <w:r w:rsidRPr="00EE34EF">
        <w:rPr>
          <w:szCs w:val="24"/>
        </w:rPr>
        <w:br/>
      </w:r>
      <w:r w:rsidRPr="00EE34EF" w:rsidR="00754E79">
        <w:rPr>
          <w:szCs w:val="24"/>
        </w:rPr>
        <w:t xml:space="preserve">4.  </w:t>
      </w:r>
      <w:r w:rsidRPr="00EE34EF" w:rsidR="00754E79">
        <w:rPr>
          <w:szCs w:val="24"/>
          <w:u w:val="single"/>
        </w:rPr>
        <w:t>Efforts to Identify Duplication</w:t>
      </w:r>
      <w:r w:rsidRPr="00EE34EF" w:rsidR="00570DAD">
        <w:rPr>
          <w:szCs w:val="24"/>
          <w:u w:val="single"/>
        </w:rPr>
        <w:t xml:space="preserve"> and Use of Similar Information</w:t>
      </w:r>
    </w:p>
    <w:p w:rsidRPr="00EE34EF" w:rsidR="00622C4D" w:rsidP="00622C4D" w:rsidRDefault="00CD3827" w14:paraId="74967386" w14:textId="77777777">
      <w:pPr>
        <w:rPr>
          <w:szCs w:val="24"/>
        </w:rPr>
      </w:pPr>
      <w:r w:rsidRPr="00EE34EF">
        <w:rPr>
          <w:szCs w:val="24"/>
        </w:rPr>
        <w:tab/>
      </w:r>
    </w:p>
    <w:p w:rsidRPr="00EE34EF" w:rsidR="00754E79" w:rsidP="00622C4D" w:rsidRDefault="0017494C" w14:paraId="4ADAD4D7" w14:textId="34EB464A">
      <w:pPr>
        <w:rPr>
          <w:szCs w:val="24"/>
        </w:rPr>
      </w:pPr>
      <w:r>
        <w:rPr>
          <w:szCs w:val="24"/>
        </w:rPr>
        <w:t xml:space="preserve">Although </w:t>
      </w:r>
      <w:r w:rsidR="002A6FF6">
        <w:rPr>
          <w:szCs w:val="24"/>
        </w:rPr>
        <w:t xml:space="preserve">we </w:t>
      </w:r>
      <w:r>
        <w:rPr>
          <w:szCs w:val="24"/>
        </w:rPr>
        <w:t>administer a number of user fee programs, this information collection specifically supports user fees associated with our generic drug program.</w:t>
      </w:r>
    </w:p>
    <w:p w:rsidRPr="00EE34EF" w:rsidR="003D523B" w:rsidP="00622C4D" w:rsidRDefault="003D523B" w14:paraId="48240B01" w14:textId="77777777">
      <w:pPr>
        <w:rPr>
          <w:szCs w:val="24"/>
        </w:rPr>
      </w:pPr>
    </w:p>
    <w:p w:rsidRPr="00EE34EF" w:rsidR="00622C4D" w:rsidP="00622C4D" w:rsidRDefault="00754E79" w14:paraId="29C70978" w14:textId="77777777">
      <w:pPr>
        <w:rPr>
          <w:szCs w:val="24"/>
        </w:rPr>
      </w:pPr>
      <w:r w:rsidRPr="00EE34EF">
        <w:rPr>
          <w:szCs w:val="24"/>
        </w:rPr>
        <w:t xml:space="preserve">5.  </w:t>
      </w:r>
      <w:r w:rsidRPr="00EE34EF" w:rsidR="005A136E">
        <w:rPr>
          <w:szCs w:val="24"/>
          <w:u w:val="single"/>
        </w:rPr>
        <w:t>Impact on Small Businesses or Other</w:t>
      </w:r>
      <w:r w:rsidRPr="00EE34EF">
        <w:rPr>
          <w:szCs w:val="24"/>
          <w:u w:val="single"/>
        </w:rPr>
        <w:t xml:space="preserve"> Small Entities</w:t>
      </w:r>
    </w:p>
    <w:p w:rsidRPr="00EE34EF" w:rsidR="00622C4D" w:rsidP="00622C4D" w:rsidRDefault="00622C4D" w14:paraId="53C30DD8" w14:textId="77777777">
      <w:pPr>
        <w:rPr>
          <w:szCs w:val="24"/>
        </w:rPr>
      </w:pPr>
    </w:p>
    <w:p w:rsidR="0017494C" w:rsidP="00622C4D" w:rsidRDefault="0017494C" w14:paraId="7CF6FBB8" w14:textId="6ECB813F">
      <w:pPr>
        <w:rPr>
          <w:szCs w:val="24"/>
        </w:rPr>
      </w:pPr>
      <w:r>
        <w:rPr>
          <w:szCs w:val="24"/>
        </w:rPr>
        <w:t xml:space="preserve">The information collection imposes no undue burden on small entities.  User fees are assessed </w:t>
      </w:r>
      <w:r w:rsidR="00C914D3">
        <w:rPr>
          <w:szCs w:val="24"/>
        </w:rPr>
        <w:t xml:space="preserve">in accordance with GDUFA II.  To assist respondents in understanding user fees associated with generic drug applications we have developed the </w:t>
      </w:r>
      <w:r w:rsidRPr="00F13BFC" w:rsidR="00C914D3">
        <w:rPr>
          <w:szCs w:val="24"/>
          <w:u w:val="single"/>
        </w:rPr>
        <w:t>draft</w:t>
      </w:r>
      <w:r w:rsidR="00C914D3">
        <w:rPr>
          <w:szCs w:val="24"/>
        </w:rPr>
        <w:t xml:space="preserve"> guidance document entitled, “</w:t>
      </w:r>
      <w:r w:rsidRPr="00377BDF" w:rsidR="00C914D3">
        <w:rPr>
          <w:i/>
          <w:szCs w:val="24"/>
        </w:rPr>
        <w:t>Assessing User Fees Under the Generic Drug User Fee Amendments of 2017</w:t>
      </w:r>
      <w:r w:rsidR="00C914D3">
        <w:rPr>
          <w:szCs w:val="24"/>
        </w:rPr>
        <w:t xml:space="preserve">.”  </w:t>
      </w:r>
      <w:r w:rsidR="00C914D3">
        <w:rPr>
          <w:szCs w:val="24"/>
        </w:rPr>
        <w:lastRenderedPageBreak/>
        <w:t xml:space="preserve">The guidance explains the various fee assessments, procedures for payments and refunds, as well as other topics.  The guidance is available on our internet at </w:t>
      </w:r>
      <w:hyperlink w:history="1" r:id="rId11">
        <w:r w:rsidRPr="002D3ABF" w:rsidR="00C914D3">
          <w:rPr>
            <w:rStyle w:val="Hyperlink"/>
            <w:szCs w:val="24"/>
          </w:rPr>
          <w:t>https://www.fda.gov/downloads/ForIndustry/UserFees/GenericDrugUserFees/UCM593422.pdf</w:t>
        </w:r>
      </w:hyperlink>
      <w:r w:rsidR="00C914D3">
        <w:rPr>
          <w:szCs w:val="24"/>
        </w:rPr>
        <w:t xml:space="preserve"> </w:t>
      </w:r>
      <w:r w:rsidR="00754E37">
        <w:rPr>
          <w:szCs w:val="24"/>
        </w:rPr>
        <w:t>along with other information relating to implementation of GDUFA.</w:t>
      </w:r>
    </w:p>
    <w:p w:rsidRPr="00EE34EF" w:rsidR="00754E79" w:rsidP="00622C4D" w:rsidRDefault="0038748E" w14:paraId="2A23C365" w14:textId="77777777">
      <w:pPr>
        <w:rPr>
          <w:szCs w:val="24"/>
        </w:rPr>
      </w:pPr>
      <w:r w:rsidRPr="00EE34EF">
        <w:rPr>
          <w:szCs w:val="24"/>
        </w:rPr>
        <w:br/>
      </w:r>
      <w:r w:rsidRPr="00EE34EF" w:rsidR="00754E79">
        <w:rPr>
          <w:szCs w:val="24"/>
        </w:rPr>
        <w:t xml:space="preserve">6.  </w:t>
      </w:r>
      <w:r w:rsidRPr="00EE34EF" w:rsidR="00E40E0F">
        <w:rPr>
          <w:szCs w:val="24"/>
          <w:u w:val="single"/>
        </w:rPr>
        <w:t xml:space="preserve">Consequences of </w:t>
      </w:r>
      <w:r w:rsidRPr="00EE34EF" w:rsidR="005A136E">
        <w:rPr>
          <w:szCs w:val="24"/>
          <w:u w:val="single"/>
        </w:rPr>
        <w:t xml:space="preserve">Collecting the Information </w:t>
      </w:r>
      <w:r w:rsidRPr="00EE34EF" w:rsidR="00754E79">
        <w:rPr>
          <w:szCs w:val="24"/>
          <w:u w:val="single"/>
        </w:rPr>
        <w:t>Less Frequently</w:t>
      </w:r>
    </w:p>
    <w:p w:rsidR="00377BDF" w:rsidP="00622C4D" w:rsidRDefault="00377BDF" w14:paraId="390BD5C7" w14:textId="77777777">
      <w:pPr>
        <w:rPr>
          <w:szCs w:val="24"/>
        </w:rPr>
      </w:pPr>
    </w:p>
    <w:p w:rsidR="004C7FD8" w:rsidP="00622C4D" w:rsidRDefault="00377BDF" w14:paraId="16151634" w14:textId="5A1EF4CB">
      <w:pPr>
        <w:rPr>
          <w:szCs w:val="24"/>
        </w:rPr>
      </w:pPr>
      <w:r>
        <w:rPr>
          <w:szCs w:val="24"/>
        </w:rPr>
        <w:t xml:space="preserve">The </w:t>
      </w:r>
      <w:r w:rsidR="00F13BFC">
        <w:rPr>
          <w:szCs w:val="24"/>
        </w:rPr>
        <w:t>information</w:t>
      </w:r>
      <w:r>
        <w:rPr>
          <w:szCs w:val="24"/>
        </w:rPr>
        <w:t xml:space="preserve"> collection schedule is </w:t>
      </w:r>
      <w:r w:rsidR="00B6638D">
        <w:rPr>
          <w:szCs w:val="24"/>
        </w:rPr>
        <w:t xml:space="preserve">consistent with statutory and regulatory requirements, as well as timeframes agreed to in </w:t>
      </w:r>
      <w:r w:rsidR="000266B4">
        <w:rPr>
          <w:szCs w:val="24"/>
        </w:rPr>
        <w:t xml:space="preserve">our current GDUFA commitment letter </w:t>
      </w:r>
      <w:r w:rsidR="00C72456">
        <w:rPr>
          <w:szCs w:val="24"/>
        </w:rPr>
        <w:t>negotiated</w:t>
      </w:r>
      <w:r w:rsidR="000266B4">
        <w:rPr>
          <w:szCs w:val="24"/>
        </w:rPr>
        <w:t xml:space="preserve"> with industry.  </w:t>
      </w:r>
      <w:r w:rsidRPr="005F16CC" w:rsidR="005F16CC">
        <w:rPr>
          <w:szCs w:val="24"/>
        </w:rPr>
        <w:t xml:space="preserve">Potential or actual human generic drug application holders are required to complete </w:t>
      </w:r>
      <w:r w:rsidR="000266B4">
        <w:rPr>
          <w:szCs w:val="24"/>
        </w:rPr>
        <w:t xml:space="preserve">submit </w:t>
      </w:r>
      <w:r w:rsidR="009A2AAE">
        <w:rPr>
          <w:szCs w:val="24"/>
        </w:rPr>
        <w:t xml:space="preserve">a cover sheet </w:t>
      </w:r>
      <w:r w:rsidRPr="005F16CC" w:rsidR="005F16CC">
        <w:rPr>
          <w:szCs w:val="24"/>
        </w:rPr>
        <w:t>for each</w:t>
      </w:r>
      <w:r w:rsidR="00F13BFC">
        <w:rPr>
          <w:szCs w:val="24"/>
        </w:rPr>
        <w:t xml:space="preserve"> abbreviated new drug application</w:t>
      </w:r>
      <w:r w:rsidRPr="005F16CC" w:rsidR="005F16CC">
        <w:rPr>
          <w:szCs w:val="24"/>
        </w:rPr>
        <w:t xml:space="preserve"> </w:t>
      </w:r>
      <w:r w:rsidR="00F13BFC">
        <w:rPr>
          <w:szCs w:val="24"/>
        </w:rPr>
        <w:t>(</w:t>
      </w:r>
      <w:r w:rsidRPr="005F16CC" w:rsidR="005F16CC">
        <w:rPr>
          <w:szCs w:val="24"/>
        </w:rPr>
        <w:t>ANDA</w:t>
      </w:r>
      <w:r w:rsidR="00F13BFC">
        <w:rPr>
          <w:szCs w:val="24"/>
        </w:rPr>
        <w:t>)</w:t>
      </w:r>
      <w:r w:rsidRPr="005F16CC" w:rsidR="005F16CC">
        <w:rPr>
          <w:szCs w:val="24"/>
        </w:rPr>
        <w:t xml:space="preserve">, applicable amendment to an ANDA or a PAS, backlog ANDA, </w:t>
      </w:r>
      <w:r w:rsidR="009A2AAE">
        <w:rPr>
          <w:szCs w:val="24"/>
        </w:rPr>
        <w:t>and other specified submissions</w:t>
      </w:r>
      <w:r w:rsidRPr="005F16CC" w:rsidR="005F16CC">
        <w:rPr>
          <w:szCs w:val="24"/>
        </w:rPr>
        <w:t xml:space="preserve">.  </w:t>
      </w:r>
      <w:r w:rsidR="000433F8">
        <w:rPr>
          <w:szCs w:val="24"/>
        </w:rPr>
        <w:t>A g</w:t>
      </w:r>
      <w:r w:rsidRPr="005F16CC" w:rsidR="005F16CC">
        <w:rPr>
          <w:szCs w:val="24"/>
        </w:rPr>
        <w:t xml:space="preserve">eneric drug facility identified or intended to be identified in at least one generic drug submission pending or approved to produce a final dosage form of a human generic drug or an API contained in a human generic drug is required to complete </w:t>
      </w:r>
      <w:r w:rsidR="00723D61">
        <w:rPr>
          <w:szCs w:val="24"/>
        </w:rPr>
        <w:t xml:space="preserve">and submit a cover sheet </w:t>
      </w:r>
      <w:r w:rsidRPr="005F16CC" w:rsidR="005F16CC">
        <w:rPr>
          <w:szCs w:val="24"/>
        </w:rPr>
        <w:t xml:space="preserve">annually. </w:t>
      </w:r>
      <w:r w:rsidRPr="00EE34EF" w:rsidR="0038748E">
        <w:rPr>
          <w:szCs w:val="24"/>
        </w:rPr>
        <w:br/>
      </w:r>
    </w:p>
    <w:p w:rsidRPr="00EE34EF" w:rsidR="00754E79" w:rsidP="00622C4D" w:rsidRDefault="00754E79" w14:paraId="42017360" w14:textId="77777777">
      <w:pPr>
        <w:rPr>
          <w:szCs w:val="24"/>
        </w:rPr>
      </w:pPr>
      <w:r w:rsidRPr="00EE34EF">
        <w:rPr>
          <w:szCs w:val="24"/>
        </w:rPr>
        <w:t xml:space="preserve">7.  </w:t>
      </w:r>
      <w:r w:rsidRPr="00EE34EF" w:rsidR="005A136E">
        <w:rPr>
          <w:szCs w:val="24"/>
          <w:u w:val="single"/>
        </w:rPr>
        <w:t>Special Circumstances Relating to</w:t>
      </w:r>
      <w:r w:rsidRPr="00EE34EF">
        <w:rPr>
          <w:szCs w:val="24"/>
          <w:u w:val="single"/>
        </w:rPr>
        <w:t xml:space="preserve"> the Guidelines in 5 CFR 1320.5(d)(2)</w:t>
      </w:r>
    </w:p>
    <w:p w:rsidRPr="00EE34EF" w:rsidR="00622C4D" w:rsidP="00622C4D" w:rsidRDefault="00C27279" w14:paraId="4CB40357" w14:textId="77777777">
      <w:pPr>
        <w:rPr>
          <w:szCs w:val="24"/>
        </w:rPr>
      </w:pPr>
      <w:r w:rsidRPr="00EE34EF">
        <w:rPr>
          <w:szCs w:val="24"/>
        </w:rPr>
        <w:tab/>
      </w:r>
    </w:p>
    <w:p w:rsidR="00F13BFC" w:rsidP="00622C4D" w:rsidRDefault="00754E79" w14:paraId="30F0F5CD" w14:textId="77777777">
      <w:pPr>
        <w:rPr>
          <w:szCs w:val="24"/>
        </w:rPr>
      </w:pPr>
      <w:r w:rsidRPr="00EE34EF">
        <w:rPr>
          <w:szCs w:val="24"/>
        </w:rPr>
        <w:t xml:space="preserve">There are no special circumstances </w:t>
      </w:r>
      <w:r w:rsidRPr="00EE34EF" w:rsidR="00570DAD">
        <w:rPr>
          <w:szCs w:val="24"/>
        </w:rPr>
        <w:t xml:space="preserve">for this collection of </w:t>
      </w:r>
      <w:r w:rsidRPr="00EE34EF">
        <w:rPr>
          <w:szCs w:val="24"/>
        </w:rPr>
        <w:t>information.</w:t>
      </w:r>
      <w:r w:rsidRPr="00EE34EF" w:rsidR="0038748E">
        <w:rPr>
          <w:szCs w:val="24"/>
        </w:rPr>
        <w:br/>
      </w:r>
    </w:p>
    <w:p w:rsidRPr="00EE34EF" w:rsidR="00622C4D" w:rsidP="00622C4D" w:rsidRDefault="00754E79" w14:paraId="2712811B" w14:textId="77777777">
      <w:pPr>
        <w:rPr>
          <w:szCs w:val="24"/>
        </w:rPr>
      </w:pPr>
      <w:r w:rsidRPr="00EE34EF">
        <w:rPr>
          <w:szCs w:val="24"/>
        </w:rPr>
        <w:t xml:space="preserve">8.  </w:t>
      </w:r>
      <w:r w:rsidRPr="00EE34EF" w:rsidR="005A136E">
        <w:rPr>
          <w:szCs w:val="24"/>
          <w:u w:val="single"/>
        </w:rPr>
        <w:t>Comments in Response to the Federal Register Notice and Efforts to Consult Outside the Agency</w:t>
      </w:r>
    </w:p>
    <w:p w:rsidR="005F16CC" w:rsidP="00622C4D" w:rsidRDefault="0038748E" w14:paraId="0BEFB52A" w14:textId="0BF159C3">
      <w:pPr>
        <w:rPr>
          <w:szCs w:val="24"/>
        </w:rPr>
      </w:pPr>
      <w:r w:rsidRPr="00EE34EF">
        <w:rPr>
          <w:szCs w:val="24"/>
        </w:rPr>
        <w:br/>
      </w:r>
      <w:r w:rsidR="00377BDF">
        <w:rPr>
          <w:szCs w:val="24"/>
        </w:rPr>
        <w:t>I</w:t>
      </w:r>
      <w:r w:rsidRPr="00377BDF" w:rsidR="00377BDF">
        <w:rPr>
          <w:szCs w:val="24"/>
        </w:rPr>
        <w:t xml:space="preserve">n the </w:t>
      </w:r>
      <w:r w:rsidRPr="00377BDF" w:rsidR="00377BDF">
        <w:rPr>
          <w:szCs w:val="24"/>
          <w:u w:val="single"/>
        </w:rPr>
        <w:t>Federal Register</w:t>
      </w:r>
      <w:r w:rsidRPr="00377BDF" w:rsidR="00377BDF">
        <w:rPr>
          <w:szCs w:val="24"/>
        </w:rPr>
        <w:t xml:space="preserve"> of</w:t>
      </w:r>
      <w:r w:rsidR="008B62F2">
        <w:rPr>
          <w:szCs w:val="24"/>
        </w:rPr>
        <w:t xml:space="preserve"> </w:t>
      </w:r>
      <w:r w:rsidR="0010629A">
        <w:rPr>
          <w:szCs w:val="24"/>
        </w:rPr>
        <w:t>November 1</w:t>
      </w:r>
      <w:r w:rsidR="00927314">
        <w:rPr>
          <w:szCs w:val="24"/>
        </w:rPr>
        <w:t>9</w:t>
      </w:r>
      <w:r w:rsidR="0010629A">
        <w:rPr>
          <w:szCs w:val="24"/>
        </w:rPr>
        <w:t xml:space="preserve">, 2021 (86 FR </w:t>
      </w:r>
      <w:r w:rsidR="00927314">
        <w:rPr>
          <w:szCs w:val="24"/>
        </w:rPr>
        <w:t>64945)</w:t>
      </w:r>
      <w:r w:rsidRPr="00377BDF" w:rsidR="00377BDF">
        <w:rPr>
          <w:szCs w:val="24"/>
        </w:rPr>
        <w:t>, we published a</w:t>
      </w:r>
      <w:r w:rsidR="00377BDF">
        <w:rPr>
          <w:szCs w:val="24"/>
        </w:rPr>
        <w:t xml:space="preserve"> </w:t>
      </w:r>
      <w:r w:rsidRPr="00377BDF" w:rsidR="00377BDF">
        <w:rPr>
          <w:szCs w:val="24"/>
        </w:rPr>
        <w:t>60-day notice requesting public</w:t>
      </w:r>
      <w:r w:rsidR="00377BDF">
        <w:rPr>
          <w:szCs w:val="24"/>
        </w:rPr>
        <w:t xml:space="preserve"> </w:t>
      </w:r>
      <w:r w:rsidRPr="00377BDF" w:rsidR="00377BDF">
        <w:rPr>
          <w:szCs w:val="24"/>
        </w:rPr>
        <w:t>comment on the collection of</w:t>
      </w:r>
      <w:r w:rsidR="00377BDF">
        <w:rPr>
          <w:szCs w:val="24"/>
        </w:rPr>
        <w:t xml:space="preserve"> information.  </w:t>
      </w:r>
      <w:r w:rsidR="008B62F2">
        <w:rPr>
          <w:szCs w:val="24"/>
        </w:rPr>
        <w:t>No comments were received</w:t>
      </w:r>
      <w:r w:rsidRPr="00377BDF" w:rsidR="00377BDF">
        <w:rPr>
          <w:szCs w:val="24"/>
        </w:rPr>
        <w:t>.</w:t>
      </w:r>
    </w:p>
    <w:p w:rsidRPr="00EE34EF" w:rsidR="00622C4D" w:rsidP="00622C4D" w:rsidRDefault="0038748E" w14:paraId="0605C342" w14:textId="77777777">
      <w:pPr>
        <w:rPr>
          <w:szCs w:val="24"/>
        </w:rPr>
      </w:pPr>
      <w:r w:rsidRPr="00EE34EF">
        <w:rPr>
          <w:szCs w:val="24"/>
        </w:rPr>
        <w:br/>
      </w:r>
      <w:r w:rsidRPr="00EE34EF" w:rsidR="00754E79">
        <w:rPr>
          <w:szCs w:val="24"/>
        </w:rPr>
        <w:t xml:space="preserve">9.  </w:t>
      </w:r>
      <w:r w:rsidRPr="00EE34EF" w:rsidR="005A136E">
        <w:rPr>
          <w:szCs w:val="24"/>
          <w:u w:val="single"/>
        </w:rPr>
        <w:t xml:space="preserve">Explanation of Any </w:t>
      </w:r>
      <w:r w:rsidRPr="00EE34EF" w:rsidR="00570DAD">
        <w:rPr>
          <w:szCs w:val="24"/>
          <w:u w:val="single"/>
        </w:rPr>
        <w:t xml:space="preserve">Payment or </w:t>
      </w:r>
      <w:r w:rsidRPr="00EE34EF" w:rsidR="005A136E">
        <w:rPr>
          <w:szCs w:val="24"/>
          <w:u w:val="single"/>
        </w:rPr>
        <w:t>Gift to</w:t>
      </w:r>
      <w:r w:rsidRPr="00EE34EF" w:rsidR="00754E79">
        <w:rPr>
          <w:szCs w:val="24"/>
          <w:u w:val="single"/>
        </w:rPr>
        <w:t xml:space="preserve"> Respondents</w:t>
      </w:r>
      <w:r w:rsidRPr="00EE34EF">
        <w:rPr>
          <w:szCs w:val="24"/>
        </w:rPr>
        <w:br/>
      </w:r>
    </w:p>
    <w:p w:rsidRPr="00EE34EF" w:rsidR="003E7913" w:rsidP="00622C4D" w:rsidRDefault="00754E79" w14:paraId="26207AE4" w14:textId="77777777">
      <w:pPr>
        <w:rPr>
          <w:szCs w:val="24"/>
        </w:rPr>
      </w:pPr>
      <w:r w:rsidRPr="00EE34EF">
        <w:rPr>
          <w:szCs w:val="24"/>
        </w:rPr>
        <w:t xml:space="preserve">No payment or gift is </w:t>
      </w:r>
      <w:r w:rsidRPr="00EE34EF" w:rsidR="00622C4D">
        <w:rPr>
          <w:szCs w:val="24"/>
        </w:rPr>
        <w:t>provided to respondents.</w:t>
      </w:r>
    </w:p>
    <w:p w:rsidR="00C54F4B" w:rsidP="00622C4D" w:rsidRDefault="00C54F4B" w14:paraId="47175458" w14:textId="77777777">
      <w:pPr>
        <w:rPr>
          <w:szCs w:val="24"/>
        </w:rPr>
      </w:pPr>
    </w:p>
    <w:p w:rsidR="00622C4D" w:rsidP="00622C4D" w:rsidRDefault="00754E79" w14:paraId="650B93CD" w14:textId="77777777">
      <w:pPr>
        <w:rPr>
          <w:szCs w:val="24"/>
        </w:rPr>
      </w:pPr>
      <w:r w:rsidRPr="00EE34EF">
        <w:rPr>
          <w:szCs w:val="24"/>
        </w:rPr>
        <w:t xml:space="preserve">10.  </w:t>
      </w:r>
      <w:r w:rsidRPr="00EE34EF">
        <w:rPr>
          <w:szCs w:val="24"/>
          <w:u w:val="single"/>
        </w:rPr>
        <w:t>Assurance of Confidentialit</w:t>
      </w:r>
      <w:r w:rsidRPr="00EE34EF" w:rsidR="001107E5">
        <w:rPr>
          <w:szCs w:val="24"/>
          <w:u w:val="single"/>
        </w:rPr>
        <w:t>y Provided to Respondents</w:t>
      </w:r>
      <w:r w:rsidRPr="00EE34EF" w:rsidR="0038748E">
        <w:rPr>
          <w:szCs w:val="24"/>
        </w:rPr>
        <w:br/>
      </w:r>
    </w:p>
    <w:p w:rsidRPr="00EE34EF" w:rsidR="005F16CC" w:rsidP="00622C4D" w:rsidRDefault="000A3349" w14:paraId="08320587" w14:textId="77777777">
      <w:pPr>
        <w:rPr>
          <w:szCs w:val="24"/>
        </w:rPr>
      </w:pPr>
      <w:r w:rsidRPr="000A3349">
        <w:rPr>
          <w:szCs w:val="24"/>
        </w:rPr>
        <w:t>Confidentiality of the information submitted is protected under 21 CFR 314.430 and under 21 CFR part 20 and information will be handled consistent with these regulations.  Additionally, the unauthorized use or disclosure of trade secrets that are required in applications is specifically prohibited under section 310(j) of the FD&amp;C Act.</w:t>
      </w:r>
      <w:r>
        <w:rPr>
          <w:szCs w:val="24"/>
        </w:rPr>
        <w:t xml:space="preserve">  </w:t>
      </w:r>
    </w:p>
    <w:p w:rsidR="003E7913" w:rsidP="00622C4D" w:rsidRDefault="0038748E" w14:paraId="020ACEA9" w14:textId="77777777">
      <w:pPr>
        <w:rPr>
          <w:szCs w:val="24"/>
        </w:rPr>
      </w:pPr>
      <w:r w:rsidRPr="00EE34EF">
        <w:rPr>
          <w:szCs w:val="24"/>
        </w:rPr>
        <w:br/>
      </w:r>
      <w:r w:rsidRPr="00EE34EF" w:rsidR="00754E79">
        <w:rPr>
          <w:szCs w:val="24"/>
        </w:rPr>
        <w:t xml:space="preserve">11. </w:t>
      </w:r>
      <w:r w:rsidRPr="00EE34EF" w:rsidR="001107E5">
        <w:rPr>
          <w:szCs w:val="24"/>
        </w:rPr>
        <w:t xml:space="preserve"> </w:t>
      </w:r>
      <w:r w:rsidRPr="00EE34EF" w:rsidR="001107E5">
        <w:rPr>
          <w:szCs w:val="24"/>
          <w:u w:val="single"/>
        </w:rPr>
        <w:t>Justification for Sensitive Questions</w:t>
      </w:r>
      <w:r w:rsidRPr="00EE34EF">
        <w:rPr>
          <w:szCs w:val="24"/>
        </w:rPr>
        <w:br/>
      </w:r>
    </w:p>
    <w:p w:rsidRPr="00EE34EF" w:rsidR="000A3349" w:rsidP="00622C4D" w:rsidRDefault="000A3349" w14:paraId="73A6C8DD" w14:textId="1565C003">
      <w:pPr>
        <w:rPr>
          <w:szCs w:val="24"/>
        </w:rPr>
      </w:pPr>
      <w:r>
        <w:rPr>
          <w:szCs w:val="24"/>
        </w:rPr>
        <w:t>The</w:t>
      </w:r>
      <w:r w:rsidR="008B62F2">
        <w:rPr>
          <w:szCs w:val="24"/>
        </w:rPr>
        <w:t xml:space="preserve"> information collection does not include </w:t>
      </w:r>
      <w:r>
        <w:rPr>
          <w:szCs w:val="24"/>
        </w:rPr>
        <w:t>questions of a sensitive nature.</w:t>
      </w:r>
    </w:p>
    <w:p w:rsidR="00754E37" w:rsidP="00622C4D" w:rsidRDefault="0038748E" w14:paraId="6074AB37" w14:textId="77777777">
      <w:pPr>
        <w:rPr>
          <w:szCs w:val="24"/>
        </w:rPr>
      </w:pPr>
      <w:r w:rsidRPr="00EE34EF">
        <w:rPr>
          <w:szCs w:val="24"/>
        </w:rPr>
        <w:br/>
      </w:r>
    </w:p>
    <w:p w:rsidR="00754E37" w:rsidRDefault="00754E37" w14:paraId="76D94128" w14:textId="77777777">
      <w:pPr>
        <w:rPr>
          <w:szCs w:val="24"/>
        </w:rPr>
      </w:pPr>
      <w:r>
        <w:rPr>
          <w:szCs w:val="24"/>
        </w:rPr>
        <w:br w:type="page"/>
      </w:r>
    </w:p>
    <w:p w:rsidRPr="00EE34EF" w:rsidR="00570DAD" w:rsidP="00622C4D" w:rsidRDefault="0038748E" w14:paraId="07A5961E" w14:textId="77777777">
      <w:pPr>
        <w:rPr>
          <w:szCs w:val="24"/>
        </w:rPr>
      </w:pPr>
      <w:r w:rsidRPr="00EE34EF">
        <w:rPr>
          <w:szCs w:val="24"/>
        </w:rPr>
        <w:lastRenderedPageBreak/>
        <w:t xml:space="preserve">12. </w:t>
      </w:r>
      <w:r w:rsidRPr="00EE34EF" w:rsidR="007F25B4">
        <w:rPr>
          <w:szCs w:val="24"/>
        </w:rPr>
        <w:t xml:space="preserve"> </w:t>
      </w:r>
      <w:r w:rsidRPr="00EE34EF" w:rsidR="008124FF">
        <w:rPr>
          <w:szCs w:val="24"/>
          <w:u w:val="single"/>
        </w:rPr>
        <w:t xml:space="preserve">Estimates of Annualized </w:t>
      </w:r>
      <w:r w:rsidRPr="00EE34EF" w:rsidR="00754E79">
        <w:rPr>
          <w:szCs w:val="24"/>
          <w:u w:val="single"/>
        </w:rPr>
        <w:t>Burde</w:t>
      </w:r>
      <w:r w:rsidRPr="00EE34EF" w:rsidR="008124FF">
        <w:rPr>
          <w:szCs w:val="24"/>
          <w:u w:val="single"/>
        </w:rPr>
        <w:t>n Hours and Costs</w:t>
      </w:r>
    </w:p>
    <w:p w:rsidR="00377BDF" w:rsidP="00622C4D" w:rsidRDefault="00377BDF" w14:paraId="12ACA738" w14:textId="77777777">
      <w:pPr>
        <w:rPr>
          <w:szCs w:val="24"/>
        </w:rPr>
      </w:pPr>
    </w:p>
    <w:p w:rsidRPr="005F16CC" w:rsidR="00622C4D" w:rsidP="00622C4D" w:rsidRDefault="005F16CC" w14:paraId="0497BE41" w14:textId="77777777">
      <w:pPr>
        <w:rPr>
          <w:i/>
          <w:szCs w:val="24"/>
        </w:rPr>
      </w:pPr>
      <w:r>
        <w:rPr>
          <w:szCs w:val="24"/>
        </w:rPr>
        <w:tab/>
      </w:r>
      <w:r w:rsidRPr="005F16CC" w:rsidR="00570DAD">
        <w:rPr>
          <w:i/>
          <w:szCs w:val="24"/>
        </w:rPr>
        <w:t>12a.</w:t>
      </w:r>
      <w:r w:rsidRPr="005F16CC" w:rsidR="00622C4D">
        <w:rPr>
          <w:i/>
          <w:szCs w:val="24"/>
        </w:rPr>
        <w:t xml:space="preserve">  </w:t>
      </w:r>
      <w:r w:rsidRPr="005F16CC" w:rsidR="00570DAD">
        <w:rPr>
          <w:i/>
          <w:szCs w:val="24"/>
        </w:rPr>
        <w:t xml:space="preserve">Annualized Hour Burden Estimate </w:t>
      </w:r>
      <w:r w:rsidRPr="005F16CC" w:rsidR="0038748E">
        <w:rPr>
          <w:i/>
          <w:szCs w:val="24"/>
        </w:rPr>
        <w:br/>
      </w:r>
    </w:p>
    <w:p w:rsidR="00377BDF" w:rsidP="00377BDF" w:rsidRDefault="00377BDF" w14:paraId="4C6A6BD9" w14:textId="77777777">
      <w:pPr>
        <w:jc w:val="center"/>
        <w:rPr>
          <w:lang w:eastAsia="x-none"/>
        </w:rPr>
      </w:pPr>
      <w:r>
        <w:rPr>
          <w:lang w:val="x-none" w:eastAsia="x-none"/>
        </w:rPr>
        <w:t>Table 1</w:t>
      </w:r>
      <w:r>
        <w:rPr>
          <w:lang w:eastAsia="x-none"/>
        </w:rPr>
        <w:t>.--</w:t>
      </w:r>
      <w:r>
        <w:rPr>
          <w:lang w:val="x-none" w:eastAsia="x-none"/>
        </w:rPr>
        <w:t>Estimated Annual Reporting Burden</w:t>
      </w:r>
    </w:p>
    <w:tbl>
      <w:tblPr>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515"/>
        <w:gridCol w:w="1440"/>
        <w:gridCol w:w="1620"/>
        <w:gridCol w:w="1350"/>
        <w:gridCol w:w="1440"/>
        <w:gridCol w:w="983"/>
      </w:tblGrid>
      <w:tr w:rsidR="00377BDF" w:rsidTr="00377BDF" w14:paraId="38BCB8D4" w14:textId="77777777">
        <w:trPr>
          <w:jc w:val="center"/>
        </w:trPr>
        <w:tc>
          <w:tcPr>
            <w:tcW w:w="25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377BDF" w:rsidRDefault="00377BDF" w14:paraId="29B8526E" w14:textId="77777777">
            <w:pPr>
              <w:jc w:val="center"/>
              <w:rPr>
                <w:sz w:val="22"/>
                <w:szCs w:val="22"/>
                <w:lang w:eastAsia="x-none"/>
              </w:rPr>
            </w:pPr>
            <w:r>
              <w:rPr>
                <w:sz w:val="22"/>
                <w:szCs w:val="22"/>
                <w:lang w:val="x-none" w:eastAsia="x-none"/>
              </w:rPr>
              <w:t>Form</w:t>
            </w:r>
            <w:r>
              <w:rPr>
                <w:sz w:val="22"/>
                <w:szCs w:val="22"/>
                <w:lang w:eastAsia="x-none"/>
              </w:rPr>
              <w:t xml:space="preserve"> FDA 3794</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72DF2" w:rsidR="00377BDF" w:rsidRDefault="00377BDF" w14:paraId="1F3EFD56" w14:textId="1036B6CB">
            <w:pPr>
              <w:tabs>
                <w:tab w:val="left" w:pos="2240"/>
              </w:tabs>
              <w:ind w:right="11"/>
              <w:jc w:val="center"/>
              <w:rPr>
                <w:sz w:val="22"/>
                <w:szCs w:val="22"/>
                <w:lang w:eastAsia="x-none"/>
              </w:rPr>
            </w:pPr>
            <w:r>
              <w:rPr>
                <w:sz w:val="22"/>
                <w:szCs w:val="22"/>
                <w:lang w:val="x-none" w:eastAsia="x-none"/>
              </w:rPr>
              <w:t>N</w:t>
            </w:r>
            <w:r>
              <w:rPr>
                <w:sz w:val="22"/>
                <w:szCs w:val="22"/>
                <w:lang w:eastAsia="x-none"/>
              </w:rPr>
              <w:t>o.</w:t>
            </w:r>
            <w:r>
              <w:rPr>
                <w:sz w:val="22"/>
                <w:szCs w:val="22"/>
                <w:lang w:val="x-none" w:eastAsia="x-none"/>
              </w:rPr>
              <w:t xml:space="preserve"> of </w:t>
            </w:r>
            <w:r w:rsidR="00B72DF2">
              <w:rPr>
                <w:sz w:val="22"/>
                <w:szCs w:val="22"/>
                <w:lang w:eastAsia="x-none"/>
              </w:rPr>
              <w:t>Respondents</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72DF2" w:rsidR="00377BDF" w:rsidRDefault="00377BDF" w14:paraId="4E8988A2" w14:textId="10806987">
            <w:pPr>
              <w:jc w:val="center"/>
              <w:rPr>
                <w:sz w:val="22"/>
                <w:szCs w:val="22"/>
                <w:lang w:eastAsia="x-none"/>
              </w:rPr>
            </w:pPr>
            <w:r>
              <w:rPr>
                <w:sz w:val="22"/>
                <w:szCs w:val="22"/>
                <w:lang w:val="x-none" w:eastAsia="x-none"/>
              </w:rPr>
              <w:t>N</w:t>
            </w:r>
            <w:r>
              <w:rPr>
                <w:sz w:val="22"/>
                <w:szCs w:val="22"/>
                <w:lang w:eastAsia="x-none"/>
              </w:rPr>
              <w:t>o.</w:t>
            </w:r>
            <w:r>
              <w:rPr>
                <w:sz w:val="22"/>
                <w:szCs w:val="22"/>
                <w:lang w:val="x-none" w:eastAsia="x-none"/>
              </w:rPr>
              <w:t xml:space="preserve"> of </w:t>
            </w:r>
            <w:r w:rsidR="00B72DF2">
              <w:rPr>
                <w:sz w:val="22"/>
                <w:szCs w:val="22"/>
                <w:lang w:eastAsia="x-none"/>
              </w:rPr>
              <w:t xml:space="preserve">Responses </w:t>
            </w:r>
            <w:r>
              <w:rPr>
                <w:sz w:val="22"/>
                <w:szCs w:val="22"/>
                <w:lang w:val="x-none" w:eastAsia="x-none"/>
              </w:rPr>
              <w:t xml:space="preserve">per </w:t>
            </w:r>
            <w:r w:rsidR="00B72DF2">
              <w:rPr>
                <w:sz w:val="22"/>
                <w:szCs w:val="22"/>
                <w:lang w:eastAsia="x-none"/>
              </w:rPr>
              <w:t>Respondent</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377BDF" w:rsidRDefault="00377BDF" w14:paraId="0D4B9821" w14:textId="77777777">
            <w:pPr>
              <w:jc w:val="center"/>
              <w:rPr>
                <w:sz w:val="22"/>
                <w:szCs w:val="22"/>
                <w:lang w:val="x-none" w:eastAsia="x-none"/>
              </w:rPr>
            </w:pPr>
            <w:r>
              <w:rPr>
                <w:sz w:val="22"/>
                <w:szCs w:val="22"/>
                <w:lang w:eastAsia="x-none"/>
              </w:rPr>
              <w:t>Total Annual Responses</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377BDF" w:rsidRDefault="00377BDF" w14:paraId="2817E555" w14:textId="77777777">
            <w:pPr>
              <w:jc w:val="center"/>
              <w:rPr>
                <w:sz w:val="22"/>
                <w:szCs w:val="22"/>
                <w:lang w:eastAsia="x-none"/>
              </w:rPr>
            </w:pPr>
            <w:r>
              <w:rPr>
                <w:sz w:val="22"/>
                <w:szCs w:val="22"/>
                <w:lang w:eastAsia="x-none"/>
              </w:rPr>
              <w:t>Average Burden per Response</w:t>
            </w:r>
          </w:p>
        </w:tc>
        <w:tc>
          <w:tcPr>
            <w:tcW w:w="9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377BDF" w:rsidRDefault="00377BDF" w14:paraId="37C5C253" w14:textId="77777777">
            <w:pPr>
              <w:jc w:val="center"/>
              <w:rPr>
                <w:sz w:val="22"/>
                <w:szCs w:val="22"/>
                <w:lang w:eastAsia="x-none"/>
              </w:rPr>
            </w:pPr>
            <w:r>
              <w:rPr>
                <w:sz w:val="22"/>
                <w:szCs w:val="22"/>
                <w:lang w:eastAsia="x-none"/>
              </w:rPr>
              <w:t>Total Hours</w:t>
            </w:r>
          </w:p>
        </w:tc>
      </w:tr>
      <w:tr w:rsidR="00377BDF" w:rsidTr="00377BDF" w14:paraId="1FF537B3" w14:textId="77777777">
        <w:trPr>
          <w:jc w:val="center"/>
        </w:trPr>
        <w:tc>
          <w:tcPr>
            <w:tcW w:w="25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377BDF" w:rsidRDefault="00377BDF" w14:paraId="3B0B6C37" w14:textId="77777777">
            <w:pPr>
              <w:rPr>
                <w:sz w:val="22"/>
                <w:szCs w:val="22"/>
                <w:lang w:val="x-none" w:eastAsia="x-none"/>
              </w:rPr>
            </w:pPr>
            <w:r>
              <w:rPr>
                <w:sz w:val="22"/>
                <w:szCs w:val="22"/>
                <w:lang w:eastAsia="x-none"/>
              </w:rPr>
              <w:t>Generic Drug User Fee Cover Sheet</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377BDF" w:rsidRDefault="00377BDF" w14:paraId="40435398" w14:textId="77777777">
            <w:pPr>
              <w:jc w:val="right"/>
              <w:rPr>
                <w:sz w:val="22"/>
                <w:szCs w:val="22"/>
                <w:lang w:eastAsia="x-none"/>
              </w:rPr>
            </w:pPr>
            <w:r>
              <w:rPr>
                <w:sz w:val="22"/>
                <w:szCs w:val="22"/>
                <w:lang w:eastAsia="x-none"/>
              </w:rPr>
              <w:t>500</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377BDF" w:rsidRDefault="00377BDF" w14:paraId="71EAD159" w14:textId="77777777">
            <w:pPr>
              <w:jc w:val="right"/>
              <w:rPr>
                <w:sz w:val="22"/>
                <w:szCs w:val="22"/>
                <w:lang w:val="x-none" w:eastAsia="x-none"/>
              </w:rPr>
            </w:pPr>
            <w:r>
              <w:rPr>
                <w:sz w:val="22"/>
                <w:szCs w:val="22"/>
                <w:lang w:val="x-none" w:eastAsia="x-none"/>
              </w:rPr>
              <w:t>7.6</w:t>
            </w:r>
            <w:r>
              <w:rPr>
                <w:sz w:val="22"/>
                <w:szCs w:val="22"/>
                <w:lang w:eastAsia="x-none"/>
              </w:rPr>
              <w:t>16</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377BDF" w:rsidRDefault="00377BDF" w14:paraId="586E2915" w14:textId="77777777">
            <w:pPr>
              <w:jc w:val="right"/>
              <w:rPr>
                <w:sz w:val="22"/>
                <w:szCs w:val="22"/>
                <w:lang w:eastAsia="x-none"/>
              </w:rPr>
            </w:pPr>
            <w:r>
              <w:rPr>
                <w:sz w:val="22"/>
                <w:szCs w:val="22"/>
                <w:lang w:eastAsia="x-none"/>
              </w:rPr>
              <w:t>3,808</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377BDF" w:rsidRDefault="00377BDF" w14:paraId="152AFE3F" w14:textId="77777777">
            <w:pPr>
              <w:jc w:val="right"/>
              <w:rPr>
                <w:sz w:val="22"/>
                <w:szCs w:val="22"/>
                <w:lang w:eastAsia="x-none"/>
              </w:rPr>
            </w:pPr>
            <w:r>
              <w:rPr>
                <w:sz w:val="22"/>
                <w:szCs w:val="22"/>
                <w:lang w:val="x-none" w:eastAsia="x-none"/>
              </w:rPr>
              <w:t>0.5</w:t>
            </w:r>
          </w:p>
          <w:p w:rsidR="00377BDF" w:rsidRDefault="00377BDF" w14:paraId="2D6874C7" w14:textId="77777777">
            <w:pPr>
              <w:jc w:val="right"/>
              <w:rPr>
                <w:sz w:val="22"/>
                <w:szCs w:val="22"/>
                <w:lang w:eastAsia="x-none"/>
              </w:rPr>
            </w:pPr>
            <w:r>
              <w:rPr>
                <w:sz w:val="22"/>
                <w:szCs w:val="22"/>
                <w:lang w:eastAsia="x-none"/>
              </w:rPr>
              <w:t>(30 minutes)</w:t>
            </w:r>
          </w:p>
        </w:tc>
        <w:tc>
          <w:tcPr>
            <w:tcW w:w="9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377BDF" w:rsidRDefault="00377BDF" w14:paraId="1B54D17C" w14:textId="77777777">
            <w:pPr>
              <w:jc w:val="right"/>
              <w:rPr>
                <w:sz w:val="22"/>
                <w:szCs w:val="22"/>
                <w:lang w:eastAsia="x-none"/>
              </w:rPr>
            </w:pPr>
            <w:r>
              <w:rPr>
                <w:sz w:val="22"/>
                <w:szCs w:val="22"/>
                <w:lang w:eastAsia="x-none"/>
              </w:rPr>
              <w:t>1,904</w:t>
            </w:r>
          </w:p>
        </w:tc>
      </w:tr>
    </w:tbl>
    <w:p w:rsidRPr="005F16CC" w:rsidR="00377BDF" w:rsidP="00377BDF" w:rsidRDefault="00377BDF" w14:paraId="1D66839A" w14:textId="77777777">
      <w:pPr>
        <w:rPr>
          <w:color w:val="000000" w:themeColor="text1"/>
          <w:sz w:val="19"/>
          <w:szCs w:val="19"/>
        </w:rPr>
      </w:pPr>
    </w:p>
    <w:p w:rsidR="000A3349" w:rsidP="00622C4D" w:rsidRDefault="000A3349" w14:paraId="00D37FEB" w14:textId="5B6EC6A8">
      <w:pPr>
        <w:rPr>
          <w:szCs w:val="24"/>
        </w:rPr>
      </w:pPr>
      <w:r>
        <w:rPr>
          <w:szCs w:val="24"/>
        </w:rPr>
        <w:t xml:space="preserve">We base our estimate on the average number of submissions received since last </w:t>
      </w:r>
      <w:r w:rsidR="00F13BFC">
        <w:rPr>
          <w:szCs w:val="24"/>
        </w:rPr>
        <w:t xml:space="preserve">OMB </w:t>
      </w:r>
      <w:r>
        <w:rPr>
          <w:szCs w:val="24"/>
        </w:rPr>
        <w:t>review of the information collection</w:t>
      </w:r>
      <w:r w:rsidR="00996DA2">
        <w:rPr>
          <w:szCs w:val="24"/>
        </w:rPr>
        <w:t>, retaining the currently approved burden</w:t>
      </w:r>
      <w:r w:rsidR="0087693B">
        <w:rPr>
          <w:szCs w:val="24"/>
        </w:rPr>
        <w:t>.</w:t>
      </w:r>
    </w:p>
    <w:p w:rsidR="000A3349" w:rsidP="00622C4D" w:rsidRDefault="000A3349" w14:paraId="4CDF0D19" w14:textId="77777777">
      <w:pPr>
        <w:rPr>
          <w:szCs w:val="24"/>
        </w:rPr>
      </w:pPr>
    </w:p>
    <w:p w:rsidR="00622C4D" w:rsidP="00622C4D" w:rsidRDefault="00622C4D" w14:paraId="240650CD" w14:textId="77777777">
      <w:pPr>
        <w:rPr>
          <w:szCs w:val="24"/>
        </w:rPr>
      </w:pPr>
      <w:r w:rsidRPr="00EE34EF">
        <w:rPr>
          <w:szCs w:val="24"/>
        </w:rPr>
        <w:tab/>
      </w:r>
      <w:r w:rsidRPr="005F16CC" w:rsidR="0038748E">
        <w:rPr>
          <w:i/>
          <w:szCs w:val="24"/>
        </w:rPr>
        <w:t xml:space="preserve">12b. </w:t>
      </w:r>
      <w:r w:rsidRPr="005F16CC" w:rsidR="00570DAD">
        <w:rPr>
          <w:i/>
          <w:szCs w:val="24"/>
        </w:rPr>
        <w:t xml:space="preserve">Annualized </w:t>
      </w:r>
      <w:r w:rsidRPr="005F16CC" w:rsidR="0038748E">
        <w:rPr>
          <w:i/>
          <w:szCs w:val="24"/>
        </w:rPr>
        <w:t xml:space="preserve">Estimated Cost </w:t>
      </w:r>
      <w:r w:rsidRPr="005F16CC" w:rsidR="00570DAD">
        <w:rPr>
          <w:i/>
          <w:szCs w:val="24"/>
        </w:rPr>
        <w:t>Burden Estimate</w:t>
      </w:r>
    </w:p>
    <w:p w:rsidR="005F16CC" w:rsidP="00622C4D" w:rsidRDefault="005F16CC" w14:paraId="215689D0" w14:textId="77777777">
      <w:pPr>
        <w:rPr>
          <w:szCs w:val="24"/>
        </w:rPr>
      </w:pPr>
    </w:p>
    <w:p w:rsidRPr="005F16CC" w:rsidR="005F16CC" w:rsidP="00622C4D" w:rsidRDefault="00F13BFC" w14:paraId="0FF1B307" w14:textId="77777777">
      <w:pPr>
        <w:rPr>
          <w:szCs w:val="24"/>
        </w:rPr>
      </w:pPr>
      <w:r>
        <w:rPr>
          <w:szCs w:val="24"/>
        </w:rPr>
        <w:tab/>
      </w:r>
      <w:r w:rsidRPr="000A3349" w:rsidR="000A3349">
        <w:rPr>
          <w:szCs w:val="24"/>
        </w:rPr>
        <w:t>The estimated annual costs to respondents for all applicable applications and fees is $87,584.  The costs are based on a regulatory affairs specialist’s pay rate at $46/hour.  The estimated average hourly pay rate includes benefits but no overhead costs.</w:t>
      </w:r>
    </w:p>
    <w:p w:rsidR="00C54F4B" w:rsidP="00622C4D" w:rsidRDefault="00C54F4B" w14:paraId="466DCB70" w14:textId="77777777">
      <w:pPr>
        <w:rPr>
          <w:szCs w:val="24"/>
        </w:rPr>
      </w:pPr>
    </w:p>
    <w:p w:rsidRPr="00EE34EF" w:rsidR="00622C4D" w:rsidP="00622C4D" w:rsidRDefault="00754E79" w14:paraId="7D2274DB" w14:textId="77777777">
      <w:pPr>
        <w:rPr>
          <w:szCs w:val="24"/>
        </w:rPr>
      </w:pPr>
      <w:r w:rsidRPr="00EE34EF">
        <w:rPr>
          <w:szCs w:val="24"/>
        </w:rPr>
        <w:t>13.</w:t>
      </w:r>
      <w:r w:rsidRPr="00EE34EF" w:rsidR="007F25B4">
        <w:rPr>
          <w:szCs w:val="24"/>
        </w:rPr>
        <w:t xml:space="preserve"> </w:t>
      </w:r>
      <w:r w:rsidRPr="00EE34EF">
        <w:rPr>
          <w:szCs w:val="24"/>
        </w:rPr>
        <w:t xml:space="preserve"> </w:t>
      </w:r>
      <w:r w:rsidRPr="00EE34EF">
        <w:rPr>
          <w:szCs w:val="24"/>
          <w:u w:val="single"/>
        </w:rPr>
        <w:t xml:space="preserve">Estimates of </w:t>
      </w:r>
      <w:r w:rsidRPr="00EE34EF" w:rsidR="008124FF">
        <w:rPr>
          <w:szCs w:val="24"/>
          <w:u w:val="single"/>
        </w:rPr>
        <w:t>Other Total Annual</w:t>
      </w:r>
      <w:r w:rsidRPr="00EE34EF">
        <w:rPr>
          <w:szCs w:val="24"/>
          <w:u w:val="single"/>
        </w:rPr>
        <w:t xml:space="preserve"> Cost Burden to Respondent</w:t>
      </w:r>
      <w:r w:rsidRPr="00EE34EF" w:rsidR="008124FF">
        <w:rPr>
          <w:szCs w:val="24"/>
          <w:u w:val="single"/>
        </w:rPr>
        <w:t>s and Recordkeepers</w:t>
      </w:r>
      <w:r w:rsidRPr="00EE34EF" w:rsidR="00570DAD">
        <w:rPr>
          <w:szCs w:val="24"/>
          <w:u w:val="single"/>
        </w:rPr>
        <w:t>/Capital Costs</w:t>
      </w:r>
      <w:r w:rsidRPr="00EE34EF" w:rsidR="0038748E">
        <w:rPr>
          <w:szCs w:val="24"/>
        </w:rPr>
        <w:br/>
      </w:r>
    </w:p>
    <w:p w:rsidRPr="00EE34EF" w:rsidR="0038748E" w:rsidP="00622C4D" w:rsidRDefault="0038748E" w14:paraId="2DE9E85A" w14:textId="77777777">
      <w:pPr>
        <w:rPr>
          <w:szCs w:val="24"/>
        </w:rPr>
      </w:pPr>
      <w:r w:rsidRPr="00EE34EF">
        <w:rPr>
          <w:szCs w:val="24"/>
        </w:rPr>
        <w:t>There are no</w:t>
      </w:r>
      <w:r w:rsidRPr="00EE34EF" w:rsidR="00EC22C5">
        <w:rPr>
          <w:szCs w:val="24"/>
        </w:rPr>
        <w:t xml:space="preserve"> </w:t>
      </w:r>
      <w:r w:rsidRPr="00EE34EF">
        <w:rPr>
          <w:szCs w:val="24"/>
        </w:rPr>
        <w:t>capital costs</w:t>
      </w:r>
      <w:r w:rsidRPr="00EE34EF" w:rsidR="00622C4D">
        <w:rPr>
          <w:szCs w:val="24"/>
        </w:rPr>
        <w:t>,</w:t>
      </w:r>
      <w:r w:rsidRPr="00EE34EF">
        <w:rPr>
          <w:szCs w:val="24"/>
        </w:rPr>
        <w:t xml:space="preserve"> or operating and maintenance costs</w:t>
      </w:r>
      <w:r w:rsidRPr="00EE34EF" w:rsidR="00EC22C5">
        <w:rPr>
          <w:szCs w:val="24"/>
        </w:rPr>
        <w:t>,</w:t>
      </w:r>
      <w:r w:rsidRPr="00EE34EF">
        <w:rPr>
          <w:szCs w:val="24"/>
        </w:rPr>
        <w:t xml:space="preserve"> associated with </w:t>
      </w:r>
      <w:r w:rsidRPr="00EE34EF" w:rsidR="00622C4D">
        <w:rPr>
          <w:szCs w:val="24"/>
        </w:rPr>
        <w:t xml:space="preserve">the </w:t>
      </w:r>
      <w:r w:rsidRPr="00EE34EF">
        <w:rPr>
          <w:szCs w:val="24"/>
        </w:rPr>
        <w:t>collection of information</w:t>
      </w:r>
      <w:r w:rsidRPr="00EE34EF" w:rsidR="00905E55">
        <w:rPr>
          <w:szCs w:val="24"/>
        </w:rPr>
        <w:t>.</w:t>
      </w:r>
    </w:p>
    <w:p w:rsidRPr="00EE34EF" w:rsidR="003E7913" w:rsidP="00622C4D" w:rsidRDefault="003E7913" w14:paraId="018382AA" w14:textId="77777777">
      <w:pPr>
        <w:rPr>
          <w:szCs w:val="24"/>
        </w:rPr>
      </w:pPr>
    </w:p>
    <w:p w:rsidRPr="00EE34EF" w:rsidR="00754E79" w:rsidP="00622C4D" w:rsidRDefault="00754E79" w14:paraId="2D386F8D" w14:textId="77777777">
      <w:pPr>
        <w:rPr>
          <w:szCs w:val="24"/>
        </w:rPr>
      </w:pPr>
      <w:r w:rsidRPr="00EE34EF">
        <w:rPr>
          <w:szCs w:val="24"/>
        </w:rPr>
        <w:t xml:space="preserve">14. </w:t>
      </w:r>
      <w:r w:rsidRPr="00EE34EF" w:rsidR="008761C6">
        <w:rPr>
          <w:szCs w:val="24"/>
        </w:rPr>
        <w:t xml:space="preserve"> </w:t>
      </w:r>
      <w:r w:rsidRPr="00EE34EF">
        <w:rPr>
          <w:szCs w:val="24"/>
          <w:u w:val="single"/>
        </w:rPr>
        <w:t xml:space="preserve">Annualized Cost to the </w:t>
      </w:r>
      <w:r w:rsidRPr="00EE34EF" w:rsidR="00570DAD">
        <w:rPr>
          <w:szCs w:val="24"/>
          <w:u w:val="single"/>
        </w:rPr>
        <w:t xml:space="preserve">Federal </w:t>
      </w:r>
      <w:r w:rsidRPr="00EE34EF">
        <w:rPr>
          <w:szCs w:val="24"/>
          <w:u w:val="single"/>
        </w:rPr>
        <w:t>Government</w:t>
      </w:r>
    </w:p>
    <w:p w:rsidRPr="00EE34EF" w:rsidR="00622C4D" w:rsidP="00622C4D" w:rsidRDefault="00622C4D" w14:paraId="691C4C1D" w14:textId="77777777">
      <w:pPr>
        <w:rPr>
          <w:szCs w:val="24"/>
        </w:rPr>
      </w:pPr>
    </w:p>
    <w:p w:rsidR="000A3349" w:rsidP="00622C4D" w:rsidRDefault="008B62F2" w14:paraId="7DA0DC58" w14:textId="2831553E">
      <w:pPr>
        <w:rPr>
          <w:szCs w:val="24"/>
        </w:rPr>
      </w:pPr>
      <w:r>
        <w:rPr>
          <w:szCs w:val="24"/>
        </w:rPr>
        <w:t>Costs of the information collection are absorbed through payment and administration of associated user fees.</w:t>
      </w:r>
    </w:p>
    <w:p w:rsidRPr="00EE34EF" w:rsidR="00634491" w:rsidP="00622C4D" w:rsidRDefault="0038748E" w14:paraId="1F322264" w14:textId="77777777">
      <w:pPr>
        <w:rPr>
          <w:szCs w:val="24"/>
        </w:rPr>
      </w:pPr>
      <w:r w:rsidRPr="00EE34EF">
        <w:rPr>
          <w:szCs w:val="24"/>
        </w:rPr>
        <w:br/>
      </w:r>
      <w:r w:rsidRPr="00EE34EF" w:rsidR="00754E79">
        <w:rPr>
          <w:szCs w:val="24"/>
        </w:rPr>
        <w:t xml:space="preserve">15. </w:t>
      </w:r>
      <w:r w:rsidRPr="00EE34EF" w:rsidR="007F25B4">
        <w:rPr>
          <w:szCs w:val="24"/>
        </w:rPr>
        <w:t xml:space="preserve"> </w:t>
      </w:r>
      <w:r w:rsidRPr="00EE34EF" w:rsidR="008761C6">
        <w:rPr>
          <w:szCs w:val="24"/>
          <w:u w:val="single"/>
        </w:rPr>
        <w:t>Explanation for Program C</w:t>
      </w:r>
      <w:r w:rsidRPr="00EE34EF" w:rsidR="00754E79">
        <w:rPr>
          <w:szCs w:val="24"/>
          <w:u w:val="single"/>
        </w:rPr>
        <w:t xml:space="preserve">hanges </w:t>
      </w:r>
      <w:r w:rsidRPr="00EE34EF" w:rsidR="008761C6">
        <w:rPr>
          <w:szCs w:val="24"/>
          <w:u w:val="single"/>
        </w:rPr>
        <w:t>or Adjustments</w:t>
      </w:r>
    </w:p>
    <w:p w:rsidRPr="00EE34EF" w:rsidR="00622C4D" w:rsidP="00622C4D" w:rsidRDefault="00622C4D" w14:paraId="615E2B12" w14:textId="77777777">
      <w:pPr>
        <w:rPr>
          <w:szCs w:val="24"/>
        </w:rPr>
      </w:pPr>
    </w:p>
    <w:p w:rsidR="006C0687" w:rsidP="00622C4D" w:rsidRDefault="008B62F2" w14:paraId="74A73C16" w14:textId="7CC30B20">
      <w:pPr>
        <w:rPr>
          <w:szCs w:val="24"/>
        </w:rPr>
      </w:pPr>
      <w:r>
        <w:rPr>
          <w:szCs w:val="24"/>
        </w:rPr>
        <w:t xml:space="preserve">Although we have retained the currently approved burden estimate, we have revised the collection to include </w:t>
      </w:r>
      <w:r w:rsidR="00B72DF2">
        <w:rPr>
          <w:szCs w:val="24"/>
        </w:rPr>
        <w:t xml:space="preserve">our </w:t>
      </w:r>
      <w:r>
        <w:rPr>
          <w:szCs w:val="24"/>
        </w:rPr>
        <w:t xml:space="preserve">current GDUFA performance goals.  </w:t>
      </w:r>
      <w:r w:rsidR="00B72DF2">
        <w:rPr>
          <w:szCs w:val="24"/>
        </w:rPr>
        <w:t xml:space="preserve">We are </w:t>
      </w:r>
      <w:r>
        <w:rPr>
          <w:szCs w:val="24"/>
        </w:rPr>
        <w:t xml:space="preserve">currently </w:t>
      </w:r>
      <w:r w:rsidR="00B72DF2">
        <w:rPr>
          <w:szCs w:val="24"/>
        </w:rPr>
        <w:t xml:space="preserve">engaged in outreach activities </w:t>
      </w:r>
      <w:r>
        <w:rPr>
          <w:szCs w:val="24"/>
        </w:rPr>
        <w:t>with regard to reauthorizati</w:t>
      </w:r>
      <w:r w:rsidR="00B72DF2">
        <w:rPr>
          <w:szCs w:val="24"/>
        </w:rPr>
        <w:t>on of user fees, and will revise and/or modify the information collection as necessary upon finalization.</w:t>
      </w:r>
    </w:p>
    <w:p w:rsidR="006C0687" w:rsidP="00622C4D" w:rsidRDefault="0038748E" w14:paraId="4EB8FD12" w14:textId="77777777">
      <w:pPr>
        <w:rPr>
          <w:szCs w:val="24"/>
        </w:rPr>
      </w:pPr>
      <w:r w:rsidRPr="00EE34EF">
        <w:rPr>
          <w:szCs w:val="24"/>
        </w:rPr>
        <w:br/>
      </w:r>
      <w:r w:rsidRPr="00EE34EF" w:rsidR="00754E79">
        <w:rPr>
          <w:szCs w:val="24"/>
        </w:rPr>
        <w:t xml:space="preserve">16. </w:t>
      </w:r>
      <w:r w:rsidRPr="00EE34EF" w:rsidR="007F25B4">
        <w:rPr>
          <w:szCs w:val="24"/>
        </w:rPr>
        <w:t xml:space="preserve"> </w:t>
      </w:r>
      <w:r w:rsidRPr="00EE34EF" w:rsidR="008761C6">
        <w:rPr>
          <w:szCs w:val="24"/>
          <w:u w:val="single"/>
        </w:rPr>
        <w:t>Plans for Tabulation and Publication and Project Time Schedule</w:t>
      </w:r>
      <w:r w:rsidRPr="00EE34EF">
        <w:rPr>
          <w:szCs w:val="24"/>
        </w:rPr>
        <w:br/>
      </w:r>
    </w:p>
    <w:p w:rsidRPr="00EE34EF" w:rsidR="003E7913" w:rsidP="00622C4D" w:rsidRDefault="006C0687" w14:paraId="29D176BA" w14:textId="77777777">
      <w:pPr>
        <w:rPr>
          <w:szCs w:val="24"/>
        </w:rPr>
      </w:pPr>
      <w:r>
        <w:rPr>
          <w:szCs w:val="24"/>
        </w:rPr>
        <w:t xml:space="preserve">There are no plans for publication of the information received and therefore no associated tabulation or time schedules. </w:t>
      </w:r>
    </w:p>
    <w:p w:rsidRPr="00EE34EF" w:rsidR="00622C4D" w:rsidP="00622C4D" w:rsidRDefault="0038748E" w14:paraId="63C49995" w14:textId="77777777">
      <w:pPr>
        <w:rPr>
          <w:szCs w:val="24"/>
        </w:rPr>
      </w:pPr>
      <w:r w:rsidRPr="00EE34EF">
        <w:rPr>
          <w:szCs w:val="24"/>
        </w:rPr>
        <w:br/>
      </w:r>
      <w:r w:rsidRPr="00EE34EF" w:rsidR="00754E79">
        <w:rPr>
          <w:szCs w:val="24"/>
        </w:rPr>
        <w:t xml:space="preserve">17. </w:t>
      </w:r>
      <w:r w:rsidRPr="00EE34EF" w:rsidR="007F25B4">
        <w:rPr>
          <w:szCs w:val="24"/>
        </w:rPr>
        <w:t xml:space="preserve"> </w:t>
      </w:r>
      <w:r w:rsidRPr="00EE34EF" w:rsidR="00D44119">
        <w:rPr>
          <w:szCs w:val="24"/>
          <w:u w:val="single"/>
        </w:rPr>
        <w:t>Reason(s) Display</w:t>
      </w:r>
      <w:r w:rsidRPr="00EE34EF" w:rsidR="00754E79">
        <w:rPr>
          <w:szCs w:val="24"/>
          <w:u w:val="single"/>
        </w:rPr>
        <w:t xml:space="preserve"> of OMB Expiration Dat</w:t>
      </w:r>
      <w:r w:rsidRPr="00EE34EF" w:rsidR="00D44119">
        <w:rPr>
          <w:szCs w:val="24"/>
          <w:u w:val="single"/>
        </w:rPr>
        <w:t>e is Inappropriate</w:t>
      </w:r>
      <w:r w:rsidRPr="00EE34EF">
        <w:rPr>
          <w:szCs w:val="24"/>
        </w:rPr>
        <w:br/>
      </w:r>
    </w:p>
    <w:p w:rsidRPr="00E17B8B" w:rsidR="003E7913" w:rsidP="00622C4D" w:rsidRDefault="00E17B8B" w14:paraId="0844C512" w14:textId="2A683E4C">
      <w:r w:rsidRPr="007B2227">
        <w:t xml:space="preserve">FDA will display the OMB control number as required by 5 CFR 1320.5 (and 21 CFR 1320.8(b)(1)); however, because documents are more frequently being accessed </w:t>
      </w:r>
      <w:r w:rsidRPr="007B2227">
        <w:lastRenderedPageBreak/>
        <w:t>electronically we are considering technological changes that will enable us to display the expiration date by linking to approval information found at www.reginfo.gov.  We intend to include the OMB control number and expiration date on the guidance landing page, allowing those who download the document an easily identifiable option to view this information.  This also allows the agency to more easily update the expiration date upon renewal and/or revision of OMB approval.  We are taking this approach to improve compatibility with our current website platform (Drupal).</w:t>
      </w:r>
    </w:p>
    <w:p w:rsidRPr="00EE34EF" w:rsidR="00622C4D" w:rsidP="00622C4D" w:rsidRDefault="0038748E" w14:paraId="5148F225" w14:textId="77777777">
      <w:pPr>
        <w:rPr>
          <w:szCs w:val="24"/>
        </w:rPr>
      </w:pPr>
      <w:r w:rsidRPr="00EE34EF">
        <w:rPr>
          <w:szCs w:val="24"/>
        </w:rPr>
        <w:br/>
      </w:r>
      <w:r w:rsidRPr="00EE34EF" w:rsidR="00754E79">
        <w:rPr>
          <w:szCs w:val="24"/>
        </w:rPr>
        <w:t xml:space="preserve">18. </w:t>
      </w:r>
      <w:r w:rsidRPr="00EE34EF" w:rsidR="007F25B4">
        <w:rPr>
          <w:szCs w:val="24"/>
        </w:rPr>
        <w:t xml:space="preserve"> </w:t>
      </w:r>
      <w:r w:rsidRPr="00EE34EF" w:rsidR="00D44119">
        <w:rPr>
          <w:szCs w:val="24"/>
          <w:u w:val="single"/>
        </w:rPr>
        <w:t xml:space="preserve">Exceptions to the </w:t>
      </w:r>
      <w:r w:rsidRPr="00EE34EF" w:rsidR="00754E79">
        <w:rPr>
          <w:szCs w:val="24"/>
          <w:u w:val="single"/>
        </w:rPr>
        <w:t>Certification for Paperwork Reduction Act Submissions</w:t>
      </w:r>
      <w:r w:rsidRPr="00EE34EF">
        <w:rPr>
          <w:szCs w:val="24"/>
        </w:rPr>
        <w:br/>
      </w:r>
    </w:p>
    <w:p w:rsidRPr="00EE34EF" w:rsidR="00BA3A06" w:rsidP="00622C4D" w:rsidRDefault="00570DAD" w14:paraId="767E4E87" w14:textId="77777777">
      <w:pPr>
        <w:rPr>
          <w:szCs w:val="24"/>
        </w:rPr>
      </w:pPr>
      <w:r w:rsidRPr="00EE34EF">
        <w:rPr>
          <w:szCs w:val="24"/>
        </w:rPr>
        <w:t>There are no ex</w:t>
      </w:r>
      <w:r w:rsidRPr="00EE34EF" w:rsidR="00622C4D">
        <w:rPr>
          <w:szCs w:val="24"/>
        </w:rPr>
        <w:t>ceptions to the certification.</w:t>
      </w:r>
    </w:p>
    <w:p w:rsidRPr="00EE34EF" w:rsidR="00EE34EF" w:rsidRDefault="00754E37" w14:paraId="6697901F" w14:textId="77777777">
      <w:pPr>
        <w:rPr>
          <w:szCs w:val="24"/>
        </w:rPr>
      </w:pPr>
      <w:r>
        <w:rPr>
          <w:szCs w:val="24"/>
        </w:rPr>
        <w:softHyphen/>
      </w:r>
    </w:p>
    <w:sectPr w:rsidRPr="00EE34EF" w:rsidR="00EE34EF" w:rsidSect="00754E37">
      <w:footerReference w:type="default" r:id="rId12"/>
      <w:pgSz w:w="12240" w:h="15840"/>
      <w:pgMar w:top="1440" w:right="1728" w:bottom="1440" w:left="1584" w:header="360" w:footer="33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4839D" w14:textId="77777777" w:rsidR="00314BEC" w:rsidRDefault="00314BEC">
      <w:r>
        <w:separator/>
      </w:r>
    </w:p>
  </w:endnote>
  <w:endnote w:type="continuationSeparator" w:id="0">
    <w:p w14:paraId="2B951194" w14:textId="77777777" w:rsidR="00314BEC" w:rsidRDefault="0031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7F037" w14:textId="77777777" w:rsidR="00BA3A06" w:rsidRDefault="00BA3A06">
    <w:pPr>
      <w:pStyle w:val="Footer"/>
      <w:jc w:val="center"/>
    </w:pPr>
    <w:r>
      <w:fldChar w:fldCharType="begin"/>
    </w:r>
    <w:r>
      <w:instrText xml:space="preserve"> PAGE   \* MERGEFORMAT </w:instrText>
    </w:r>
    <w:r>
      <w:fldChar w:fldCharType="separate"/>
    </w:r>
    <w:r w:rsidR="007F2A16">
      <w:rPr>
        <w:noProof/>
      </w:rPr>
      <w:t>4</w:t>
    </w:r>
    <w:r>
      <w:rPr>
        <w:noProof/>
      </w:rPr>
      <w:fldChar w:fldCharType="end"/>
    </w:r>
  </w:p>
  <w:p w14:paraId="452733BD" w14:textId="77777777" w:rsidR="002F0EC2" w:rsidRDefault="002F0E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7632E" w14:textId="77777777" w:rsidR="00314BEC" w:rsidRDefault="00314BEC">
      <w:r>
        <w:separator/>
      </w:r>
    </w:p>
  </w:footnote>
  <w:footnote w:type="continuationSeparator" w:id="0">
    <w:p w14:paraId="1042112F" w14:textId="77777777" w:rsidR="00314BEC" w:rsidRDefault="00314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85C"/>
    <w:multiLevelType w:val="hybridMultilevel"/>
    <w:tmpl w:val="C0528CBE"/>
    <w:lvl w:ilvl="0" w:tplc="12F0C2F4">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03"/>
    <w:rsid w:val="000266B4"/>
    <w:rsid w:val="000433F8"/>
    <w:rsid w:val="000A3349"/>
    <w:rsid w:val="000C729E"/>
    <w:rsid w:val="000F33CD"/>
    <w:rsid w:val="000F3799"/>
    <w:rsid w:val="0010629A"/>
    <w:rsid w:val="001107E5"/>
    <w:rsid w:val="00114D11"/>
    <w:rsid w:val="00117B2B"/>
    <w:rsid w:val="0017494C"/>
    <w:rsid w:val="00185C89"/>
    <w:rsid w:val="001F27AE"/>
    <w:rsid w:val="0021316E"/>
    <w:rsid w:val="002138BC"/>
    <w:rsid w:val="002409F2"/>
    <w:rsid w:val="002569D9"/>
    <w:rsid w:val="00291908"/>
    <w:rsid w:val="002A6FF6"/>
    <w:rsid w:val="002B229D"/>
    <w:rsid w:val="002B7A32"/>
    <w:rsid w:val="002F0EC2"/>
    <w:rsid w:val="00314BEC"/>
    <w:rsid w:val="00323EA4"/>
    <w:rsid w:val="00327D7C"/>
    <w:rsid w:val="00342B9F"/>
    <w:rsid w:val="00354553"/>
    <w:rsid w:val="00377BDF"/>
    <w:rsid w:val="0038748E"/>
    <w:rsid w:val="003D523B"/>
    <w:rsid w:val="003D5E56"/>
    <w:rsid w:val="003D6BFF"/>
    <w:rsid w:val="003E7913"/>
    <w:rsid w:val="004301C2"/>
    <w:rsid w:val="00434D9C"/>
    <w:rsid w:val="00472326"/>
    <w:rsid w:val="004726DC"/>
    <w:rsid w:val="004B3E36"/>
    <w:rsid w:val="004C7FD8"/>
    <w:rsid w:val="004D5D0F"/>
    <w:rsid w:val="004D60AB"/>
    <w:rsid w:val="004E6239"/>
    <w:rsid w:val="0051218C"/>
    <w:rsid w:val="00516D5F"/>
    <w:rsid w:val="00525C95"/>
    <w:rsid w:val="005279ED"/>
    <w:rsid w:val="005341C0"/>
    <w:rsid w:val="0054047E"/>
    <w:rsid w:val="005473BF"/>
    <w:rsid w:val="00570DAD"/>
    <w:rsid w:val="005A136E"/>
    <w:rsid w:val="005B0F04"/>
    <w:rsid w:val="005B16E3"/>
    <w:rsid w:val="005B50A1"/>
    <w:rsid w:val="005B6CAD"/>
    <w:rsid w:val="005C1D70"/>
    <w:rsid w:val="005F16CC"/>
    <w:rsid w:val="00604660"/>
    <w:rsid w:val="006160C0"/>
    <w:rsid w:val="00622C4D"/>
    <w:rsid w:val="00634491"/>
    <w:rsid w:val="00636EBA"/>
    <w:rsid w:val="0065714B"/>
    <w:rsid w:val="00665E35"/>
    <w:rsid w:val="0067070A"/>
    <w:rsid w:val="006A0591"/>
    <w:rsid w:val="006A2B1F"/>
    <w:rsid w:val="006B416E"/>
    <w:rsid w:val="006C0687"/>
    <w:rsid w:val="006C78CB"/>
    <w:rsid w:val="006F49D2"/>
    <w:rsid w:val="00704DE1"/>
    <w:rsid w:val="00723D61"/>
    <w:rsid w:val="00733D75"/>
    <w:rsid w:val="00750462"/>
    <w:rsid w:val="00754E37"/>
    <w:rsid w:val="00754E79"/>
    <w:rsid w:val="00775C32"/>
    <w:rsid w:val="007B2A90"/>
    <w:rsid w:val="007B6BBA"/>
    <w:rsid w:val="007F25B4"/>
    <w:rsid w:val="007F2A16"/>
    <w:rsid w:val="0080747C"/>
    <w:rsid w:val="008124FF"/>
    <w:rsid w:val="008204DA"/>
    <w:rsid w:val="008375F9"/>
    <w:rsid w:val="008611DE"/>
    <w:rsid w:val="008761C6"/>
    <w:rsid w:val="0087693B"/>
    <w:rsid w:val="00881E35"/>
    <w:rsid w:val="008823CB"/>
    <w:rsid w:val="00895CB8"/>
    <w:rsid w:val="008B1BE4"/>
    <w:rsid w:val="008B62F2"/>
    <w:rsid w:val="008C1CB6"/>
    <w:rsid w:val="00904A54"/>
    <w:rsid w:val="00905E55"/>
    <w:rsid w:val="00920F55"/>
    <w:rsid w:val="0092254A"/>
    <w:rsid w:val="0092435A"/>
    <w:rsid w:val="00927314"/>
    <w:rsid w:val="0099677C"/>
    <w:rsid w:val="00996DA2"/>
    <w:rsid w:val="00997DDE"/>
    <w:rsid w:val="009A2AAE"/>
    <w:rsid w:val="009B1CD0"/>
    <w:rsid w:val="00A61F0E"/>
    <w:rsid w:val="00AB0052"/>
    <w:rsid w:val="00AB364F"/>
    <w:rsid w:val="00AB3B0F"/>
    <w:rsid w:val="00AC5879"/>
    <w:rsid w:val="00B02877"/>
    <w:rsid w:val="00B1301B"/>
    <w:rsid w:val="00B309F0"/>
    <w:rsid w:val="00B575FF"/>
    <w:rsid w:val="00B642B9"/>
    <w:rsid w:val="00B6638D"/>
    <w:rsid w:val="00B72DF2"/>
    <w:rsid w:val="00BA3A06"/>
    <w:rsid w:val="00BA642C"/>
    <w:rsid w:val="00BD6235"/>
    <w:rsid w:val="00BF3F35"/>
    <w:rsid w:val="00C27279"/>
    <w:rsid w:val="00C3005E"/>
    <w:rsid w:val="00C42AC1"/>
    <w:rsid w:val="00C54F4B"/>
    <w:rsid w:val="00C640A0"/>
    <w:rsid w:val="00C7052C"/>
    <w:rsid w:val="00C72456"/>
    <w:rsid w:val="00C90B45"/>
    <w:rsid w:val="00C914D3"/>
    <w:rsid w:val="00C967ED"/>
    <w:rsid w:val="00CD2B49"/>
    <w:rsid w:val="00CD30AD"/>
    <w:rsid w:val="00CD3827"/>
    <w:rsid w:val="00D36B79"/>
    <w:rsid w:val="00D44119"/>
    <w:rsid w:val="00D45707"/>
    <w:rsid w:val="00D45A61"/>
    <w:rsid w:val="00D811CC"/>
    <w:rsid w:val="00D90AEE"/>
    <w:rsid w:val="00DA4B67"/>
    <w:rsid w:val="00DE3510"/>
    <w:rsid w:val="00DF0403"/>
    <w:rsid w:val="00E16DF9"/>
    <w:rsid w:val="00E17B8B"/>
    <w:rsid w:val="00E24CA0"/>
    <w:rsid w:val="00E35F7A"/>
    <w:rsid w:val="00E40E0F"/>
    <w:rsid w:val="00E74429"/>
    <w:rsid w:val="00E8144F"/>
    <w:rsid w:val="00E92B36"/>
    <w:rsid w:val="00E9715D"/>
    <w:rsid w:val="00EA7389"/>
    <w:rsid w:val="00EB15D4"/>
    <w:rsid w:val="00EC22C5"/>
    <w:rsid w:val="00EE34EF"/>
    <w:rsid w:val="00EE5445"/>
    <w:rsid w:val="00F13BFC"/>
    <w:rsid w:val="00F143AE"/>
    <w:rsid w:val="00F173F2"/>
    <w:rsid w:val="00F32D22"/>
    <w:rsid w:val="00F32F3E"/>
    <w:rsid w:val="00F426C2"/>
    <w:rsid w:val="00F5160B"/>
    <w:rsid w:val="00F673F4"/>
    <w:rsid w:val="00FA0EB3"/>
    <w:rsid w:val="00FC2518"/>
    <w:rsid w:val="00FD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9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403"/>
    <w:pPr>
      <w:widowControl w:val="0"/>
      <w:tabs>
        <w:tab w:val="center" w:pos="4320"/>
        <w:tab w:val="right" w:pos="8640"/>
      </w:tabs>
    </w:pPr>
    <w:rPr>
      <w:snapToGrid w:val="0"/>
    </w:rPr>
  </w:style>
  <w:style w:type="character" w:styleId="PageNumber">
    <w:name w:val="page number"/>
    <w:basedOn w:val="DefaultParagraphFont"/>
    <w:rsid w:val="00DF0403"/>
  </w:style>
  <w:style w:type="character" w:styleId="Hyperlink">
    <w:name w:val="Hyperlink"/>
    <w:rsid w:val="005A136E"/>
    <w:rPr>
      <w:color w:val="0000FF"/>
      <w:u w:val="single"/>
    </w:rPr>
  </w:style>
  <w:style w:type="paragraph" w:styleId="NormalWeb">
    <w:name w:val="Normal (Web)"/>
    <w:basedOn w:val="Normal"/>
    <w:uiPriority w:val="99"/>
    <w:unhideWhenUsed/>
    <w:rsid w:val="00BA3A06"/>
    <w:pPr>
      <w:spacing w:before="100" w:beforeAutospacing="1" w:after="100" w:afterAutospacing="1"/>
    </w:pPr>
    <w:rPr>
      <w:szCs w:val="24"/>
    </w:rPr>
  </w:style>
  <w:style w:type="paragraph" w:styleId="Header">
    <w:name w:val="header"/>
    <w:basedOn w:val="Normal"/>
    <w:link w:val="HeaderChar"/>
    <w:rsid w:val="00BA3A06"/>
    <w:pPr>
      <w:tabs>
        <w:tab w:val="center" w:pos="4680"/>
        <w:tab w:val="right" w:pos="9360"/>
      </w:tabs>
    </w:pPr>
  </w:style>
  <w:style w:type="character" w:customStyle="1" w:styleId="HeaderChar">
    <w:name w:val="Header Char"/>
    <w:basedOn w:val="DefaultParagraphFont"/>
    <w:link w:val="Header"/>
    <w:rsid w:val="00BA3A06"/>
  </w:style>
  <w:style w:type="character" w:customStyle="1" w:styleId="FooterChar">
    <w:name w:val="Footer Char"/>
    <w:link w:val="Footer"/>
    <w:uiPriority w:val="99"/>
    <w:rsid w:val="00BA3A06"/>
    <w:rPr>
      <w:snapToGrid w:val="0"/>
      <w:sz w:val="24"/>
    </w:rPr>
  </w:style>
  <w:style w:type="paragraph" w:styleId="BalloonText">
    <w:name w:val="Balloon Text"/>
    <w:basedOn w:val="Normal"/>
    <w:link w:val="BalloonTextChar"/>
    <w:rsid w:val="00570DAD"/>
    <w:rPr>
      <w:rFonts w:ascii="Tahoma" w:hAnsi="Tahoma" w:cs="Tahoma"/>
      <w:sz w:val="16"/>
      <w:szCs w:val="16"/>
    </w:rPr>
  </w:style>
  <w:style w:type="character" w:customStyle="1" w:styleId="BalloonTextChar">
    <w:name w:val="Balloon Text Char"/>
    <w:link w:val="BalloonText"/>
    <w:rsid w:val="00570DAD"/>
    <w:rPr>
      <w:rFonts w:ascii="Tahoma" w:hAnsi="Tahoma" w:cs="Tahoma"/>
      <w:sz w:val="16"/>
      <w:szCs w:val="16"/>
    </w:rPr>
  </w:style>
  <w:style w:type="character" w:styleId="FollowedHyperlink">
    <w:name w:val="FollowedHyperlink"/>
    <w:basedOn w:val="DefaultParagraphFont"/>
    <w:rsid w:val="00EE34EF"/>
    <w:rPr>
      <w:color w:val="800080" w:themeColor="followedHyperlink"/>
      <w:u w:val="single"/>
    </w:rPr>
  </w:style>
  <w:style w:type="character" w:styleId="UnresolvedMention">
    <w:name w:val="Unresolved Mention"/>
    <w:basedOn w:val="DefaultParagraphFont"/>
    <w:uiPriority w:val="99"/>
    <w:semiHidden/>
    <w:unhideWhenUsed/>
    <w:rsid w:val="00F516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37493">
      <w:bodyDiv w:val="1"/>
      <w:marLeft w:val="0"/>
      <w:marRight w:val="0"/>
      <w:marTop w:val="0"/>
      <w:marBottom w:val="0"/>
      <w:divBdr>
        <w:top w:val="none" w:sz="0" w:space="0" w:color="auto"/>
        <w:left w:val="none" w:sz="0" w:space="0" w:color="auto"/>
        <w:bottom w:val="none" w:sz="0" w:space="0" w:color="auto"/>
        <w:right w:val="none" w:sz="0" w:space="0" w:color="auto"/>
      </w:divBdr>
    </w:div>
    <w:div w:id="140737242">
      <w:bodyDiv w:val="1"/>
      <w:marLeft w:val="0"/>
      <w:marRight w:val="0"/>
      <w:marTop w:val="0"/>
      <w:marBottom w:val="0"/>
      <w:divBdr>
        <w:top w:val="none" w:sz="0" w:space="0" w:color="auto"/>
        <w:left w:val="none" w:sz="0" w:space="0" w:color="auto"/>
        <w:bottom w:val="none" w:sz="0" w:space="0" w:color="auto"/>
        <w:right w:val="none" w:sz="0" w:space="0" w:color="auto"/>
      </w:divBdr>
    </w:div>
    <w:div w:id="196745059">
      <w:bodyDiv w:val="1"/>
      <w:marLeft w:val="0"/>
      <w:marRight w:val="0"/>
      <w:marTop w:val="0"/>
      <w:marBottom w:val="0"/>
      <w:divBdr>
        <w:top w:val="none" w:sz="0" w:space="0" w:color="auto"/>
        <w:left w:val="none" w:sz="0" w:space="0" w:color="auto"/>
        <w:bottom w:val="none" w:sz="0" w:space="0" w:color="auto"/>
        <w:right w:val="none" w:sz="0" w:space="0" w:color="auto"/>
      </w:divBdr>
    </w:div>
    <w:div w:id="928078375">
      <w:bodyDiv w:val="1"/>
      <w:marLeft w:val="0"/>
      <w:marRight w:val="0"/>
      <w:marTop w:val="0"/>
      <w:marBottom w:val="0"/>
      <w:divBdr>
        <w:top w:val="none" w:sz="0" w:space="0" w:color="auto"/>
        <w:left w:val="none" w:sz="0" w:space="0" w:color="auto"/>
        <w:bottom w:val="none" w:sz="0" w:space="0" w:color="auto"/>
        <w:right w:val="none" w:sz="0" w:space="0" w:color="auto"/>
      </w:divBdr>
    </w:div>
    <w:div w:id="9286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industry/fda-user-fee-programs/generic-drug-user-fee-amend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downloads/ForIndustry/UserFees/GenericDrugUserFees/UCM593422.pdf" TargetMode="External"/><Relationship Id="rId5" Type="http://schemas.openxmlformats.org/officeDocument/2006/relationships/webSettings" Target="webSettings.xml"/><Relationship Id="rId10" Type="http://schemas.openxmlformats.org/officeDocument/2006/relationships/hyperlink" Target="https://www.fda.gov/regulatory-information/search-fda-guidance-documents" TargetMode="External"/><Relationship Id="rId4" Type="http://schemas.openxmlformats.org/officeDocument/2006/relationships/settings" Target="settings.xml"/><Relationship Id="rId9" Type="http://schemas.openxmlformats.org/officeDocument/2006/relationships/hyperlink" Target="https://www.fda.gov/media/101052/downl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4003C-D652-4737-87F0-CF1B8283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1656</Words>
  <Characters>9444</Characters>
  <Application>Microsoft Office Word</Application>
  <DocSecurity>0</DocSecurity>
  <Lines>78</Lines>
  <Paragraphs>22</Paragraphs>
  <ScaleCrop>false</ScaleCrop>
  <Company/>
  <LinksUpToDate>false</LinksUpToDate>
  <CharactersWithSpaces>11078</CharactersWithSpaces>
  <SharedDoc>false</SharedDoc>
  <HLinks>
    <vt:vector size="12" baseType="variant">
      <vt:variant>
        <vt:i4>6160403</vt:i4>
      </vt:variant>
      <vt:variant>
        <vt:i4>3</vt:i4>
      </vt:variant>
      <vt:variant>
        <vt:i4>0</vt:i4>
      </vt:variant>
      <vt:variant>
        <vt:i4>5</vt:i4>
      </vt:variant>
      <vt:variant>
        <vt:lpwstr>https://www.federalregister.gov/select-citation/2010/12/15/21-CFR-56.115</vt:lpwstr>
      </vt:variant>
      <vt:variant>
        <vt:lpwstr/>
      </vt:variant>
      <vt:variant>
        <vt:i4>2621474</vt:i4>
      </vt:variant>
      <vt:variant>
        <vt:i4>0</vt:i4>
      </vt:variant>
      <vt:variant>
        <vt:i4>0</vt:i4>
      </vt:variant>
      <vt:variant>
        <vt:i4>5</vt:i4>
      </vt:variant>
      <vt:variant>
        <vt:lpwstr>http://www.fda.gov/Drugs/GuidanceComplianceRegulatoryInformation/Guidances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2022-02-17T13:31:00Z</dcterms:created>
  <dcterms:modified xsi:type="dcterms:W3CDTF">2022-02-22T17:48:00Z</dcterms:modified>
</cp:coreProperties>
</file>