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30D1" w:rsidP="005B24AC" w14:paraId="58E6C0B7" w14:textId="2350C7BD">
      <w:pPr>
        <w:pStyle w:val="Heading2"/>
        <w:tabs>
          <w:tab w:val="left" w:pos="900"/>
        </w:tabs>
        <w:ind w:right="-180"/>
        <w:rPr>
          <w:b w:val="0"/>
        </w:rPr>
      </w:pPr>
      <w:r>
        <w:rPr>
          <w:b w:val="0"/>
        </w:rPr>
        <w:t>United States Food and Drug Administration</w:t>
      </w:r>
    </w:p>
    <w:p w:rsidR="003F1C7A" w:rsidRPr="00F530D1" w:rsidP="005B24AC" w14:paraId="277C0319" w14:textId="66BB8024">
      <w:pPr>
        <w:pStyle w:val="Heading2"/>
        <w:tabs>
          <w:tab w:val="left" w:pos="900"/>
        </w:tabs>
        <w:ind w:right="-180"/>
        <w:rPr>
          <w:b w:val="0"/>
        </w:rPr>
      </w:pPr>
      <w:r w:rsidRPr="00F530D1">
        <w:rPr>
          <w:b w:val="0"/>
        </w:rPr>
        <w:t xml:space="preserve">Generic Clearance: </w:t>
      </w:r>
      <w:r w:rsidR="00E11DC5">
        <w:rPr>
          <w:b w:val="0"/>
        </w:rPr>
        <w:t xml:space="preserve"> </w:t>
      </w:r>
      <w:r w:rsidRPr="00F530D1">
        <w:rPr>
          <w:b w:val="0"/>
        </w:rPr>
        <w:t>Focus Groups as Used by the FDA</w:t>
      </w:r>
    </w:p>
    <w:p w:rsidR="003F1C7A" w:rsidRPr="00F530D1" w:rsidP="005B24AC" w14:paraId="5B8FAF05" w14:textId="77777777">
      <w:pPr>
        <w:jc w:val="center"/>
      </w:pPr>
      <w:r w:rsidRPr="00F530D1">
        <w:t xml:space="preserve">OMB Control Number </w:t>
      </w:r>
      <w:r w:rsidRPr="00F530D1" w:rsidR="000F2F28">
        <w:t>0910-0497</w:t>
      </w:r>
    </w:p>
    <w:p w:rsidR="00C945A3" w:rsidRPr="00F530D1" w:rsidP="005B24AC" w14:paraId="323A43F6" w14:textId="77777777">
      <w:pPr>
        <w:jc w:val="center"/>
      </w:pPr>
      <w:r w:rsidRPr="00F530D1">
        <w:t>G</w:t>
      </w:r>
      <w:r w:rsidR="00F530D1">
        <w:t>en</w:t>
      </w:r>
      <w:r w:rsidRPr="00F530D1">
        <w:t xml:space="preserve"> IC Approval Request</w:t>
      </w:r>
    </w:p>
    <w:p w:rsidR="003F1C7A" w:rsidP="005B24AC" w14:paraId="004DF27D" w14:textId="77777777"/>
    <w:p w:rsidR="005B24AC" w:rsidRPr="005B24AC" w:rsidP="005B24AC" w14:paraId="495C48C7" w14:textId="62B10A1D">
      <w:pPr>
        <w:rPr>
          <w:sz w:val="20"/>
          <w:szCs w:val="20"/>
        </w:rPr>
      </w:pPr>
    </w:p>
    <w:p w:rsidR="005B24AC" w:rsidRPr="005B24AC" w:rsidP="005B24AC" w14:paraId="7460C9F1" w14:textId="77777777">
      <w:pPr>
        <w:rPr>
          <w:sz w:val="20"/>
          <w:szCs w:val="20"/>
        </w:rPr>
      </w:pPr>
    </w:p>
    <w:p w:rsidR="00542CAC" w:rsidRPr="00542CAC" w:rsidP="00542CAC" w14:paraId="4AD0BC3E" w14:textId="4409C25A">
      <w:pPr>
        <w:rPr>
          <w:bCs/>
        </w:rPr>
      </w:pPr>
      <w:r w:rsidRPr="00937D10">
        <w:rPr>
          <w:rFonts w:eastAsia="Calibri"/>
          <w:b/>
        </w:rPr>
        <w:t>Title of Gen IC:</w:t>
      </w:r>
      <w:r w:rsidRPr="00937D10">
        <w:rPr>
          <w:rFonts w:eastAsia="Calibri"/>
        </w:rPr>
        <w:t xml:space="preserve"> </w:t>
      </w:r>
      <w:r w:rsidR="00014802">
        <w:rPr>
          <w:rFonts w:eastAsia="Calibri"/>
        </w:rPr>
        <w:t xml:space="preserve"> </w:t>
      </w:r>
      <w:r w:rsidRPr="007457B7" w:rsidR="007457B7">
        <w:rPr>
          <w:rFonts w:eastAsia="Calibri"/>
        </w:rPr>
        <w:t>Focus Groups Examining Consumer Reporting of Adverse Events</w:t>
      </w:r>
    </w:p>
    <w:p w:rsidR="00542CAC" w:rsidP="00A87218" w14:paraId="39D1804F" w14:textId="77777777">
      <w:pPr>
        <w:spacing w:after="200"/>
        <w:rPr>
          <w:b/>
        </w:rPr>
      </w:pPr>
    </w:p>
    <w:p w:rsidR="00937D10" w:rsidRPr="0084027A" w:rsidP="00FA74BC" w14:paraId="0E95DBC3" w14:textId="681E1489">
      <w:pPr>
        <w:pStyle w:val="ListParagraph"/>
        <w:numPr>
          <w:ilvl w:val="0"/>
          <w:numId w:val="31"/>
        </w:numPr>
        <w:spacing w:after="200"/>
        <w:rPr>
          <w:bCs/>
        </w:rPr>
      </w:pPr>
      <w:r w:rsidRPr="0084027A">
        <w:rPr>
          <w:bCs/>
          <w:u w:val="single"/>
        </w:rPr>
        <w:t>Statement of Need</w:t>
      </w:r>
    </w:p>
    <w:p w:rsidR="00F74C14" w:rsidRPr="00E951D7" w:rsidP="0075019B" w14:paraId="561A59B7" w14:textId="17012C17">
      <w:pPr>
        <w:spacing w:before="100" w:beforeAutospacing="1" w:after="100" w:afterAutospacing="1"/>
        <w:ind w:left="360"/>
      </w:pPr>
      <w:r w:rsidRPr="00E951D7">
        <w:t xml:space="preserve">To protect the health of the public, it is important for </w:t>
      </w:r>
      <w:r w:rsidR="00B40A90">
        <w:t xml:space="preserve">the Food and Drug </w:t>
      </w:r>
      <w:r w:rsidRPr="00672DEC" w:rsidR="00B40A90">
        <w:t>Administration (</w:t>
      </w:r>
      <w:r w:rsidRPr="00672DEC">
        <w:t>FDA</w:t>
      </w:r>
      <w:r w:rsidRPr="00672DEC" w:rsidR="00B40A90">
        <w:t>)</w:t>
      </w:r>
      <w:r w:rsidRPr="00672DEC">
        <w:t xml:space="preserve"> to</w:t>
      </w:r>
      <w:r w:rsidRPr="00E951D7">
        <w:t xml:space="preserve"> promptly identify potential safety signals as early as possible.</w:t>
      </w:r>
      <w:r w:rsidR="00252CD4">
        <w:t xml:space="preserve">  </w:t>
      </w:r>
      <w:r w:rsidRPr="00E951D7">
        <w:t>Voluntary reporting of adverse events related to human medical products</w:t>
      </w:r>
      <w:r w:rsidR="001818C6">
        <w:t xml:space="preserve">, referred to here as adverse drug events </w:t>
      </w:r>
      <w:r w:rsidRPr="00853925" w:rsidR="00853925">
        <w:t>(</w:t>
      </w:r>
      <w:r w:rsidRPr="00853925" w:rsidR="001818C6">
        <w:t>ADEs</w:t>
      </w:r>
      <w:r w:rsidRPr="00853925" w:rsidR="00853925">
        <w:t>)</w:t>
      </w:r>
      <w:r w:rsidR="00790DFD">
        <w:t>,</w:t>
      </w:r>
      <w:r w:rsidRPr="00853925">
        <w:t xml:space="preserve"> by</w:t>
      </w:r>
      <w:r w:rsidRPr="00E951D7">
        <w:t xml:space="preserve"> patients, consumers</w:t>
      </w:r>
      <w:r w:rsidR="00672DEC">
        <w:t>,</w:t>
      </w:r>
      <w:r w:rsidRPr="00E951D7">
        <w:t xml:space="preserve"> and healthcare providers is a critical mechanism by which FDA identifies potential signals related to </w:t>
      </w:r>
      <w:r w:rsidR="000B27A2">
        <w:t>adverse events</w:t>
      </w:r>
      <w:r w:rsidRPr="00E951D7" w:rsidR="000B27A2">
        <w:t xml:space="preserve"> </w:t>
      </w:r>
      <w:r w:rsidRPr="00E951D7">
        <w:t xml:space="preserve">and quality problems with FDA-approved and compounded drug products. </w:t>
      </w:r>
      <w:r w:rsidR="00735040">
        <w:t xml:space="preserve"> </w:t>
      </w:r>
      <w:r w:rsidRPr="00E951D7">
        <w:t xml:space="preserve">This information informs FDA’s regulatory decision-making and actions, such as updating a product’s labeling information, issuing compounding risk alerts, restricting the use of the drug, or removing a product from the market. </w:t>
      </w:r>
      <w:bookmarkStart w:id="0" w:name="_Hlk108789691"/>
      <w:r w:rsidR="00735040">
        <w:t xml:space="preserve"> </w:t>
      </w:r>
      <w:r w:rsidRPr="00E951D7">
        <w:t>It is critical that all racial and ethnic groups participate in voluntary A</w:t>
      </w:r>
      <w:r w:rsidR="001818C6">
        <w:t>D</w:t>
      </w:r>
      <w:r w:rsidRPr="00E951D7">
        <w:t>E reporting so that FDA may identify safety signals with more precision and determine whether the A</w:t>
      </w:r>
      <w:r w:rsidR="000B27A2">
        <w:t>D</w:t>
      </w:r>
      <w:r w:rsidRPr="00E951D7">
        <w:t>Es disproportionately affect certain populations of patients.</w:t>
      </w:r>
      <w:bookmarkEnd w:id="0"/>
      <w:r w:rsidRPr="00E951D7">
        <w:t xml:space="preserve"> </w:t>
      </w:r>
      <w:r w:rsidR="00735040">
        <w:t xml:space="preserve"> </w:t>
      </w:r>
      <w:r w:rsidRPr="00E951D7">
        <w:t>MedWatch is the FDA program for reporting A</w:t>
      </w:r>
      <w:r w:rsidR="001818C6">
        <w:t>D</w:t>
      </w:r>
      <w:r w:rsidRPr="00E951D7">
        <w:t xml:space="preserve">Es and product quality problems associated with human medical products. </w:t>
      </w:r>
      <w:r w:rsidR="00735040">
        <w:t xml:space="preserve"> </w:t>
      </w:r>
      <w:r w:rsidRPr="00E951D7">
        <w:t>FDA Adverse Events Reporting System (FAERS) is the database that contains the voluntary A</w:t>
      </w:r>
      <w:r w:rsidR="001818C6">
        <w:t>D</w:t>
      </w:r>
      <w:r w:rsidRPr="00E951D7">
        <w:t xml:space="preserve">E reports submitted to FDA through MedWatch. </w:t>
      </w:r>
      <w:r w:rsidR="00735040">
        <w:t xml:space="preserve"> </w:t>
      </w:r>
      <w:r w:rsidRPr="00E951D7">
        <w:t xml:space="preserve">Patients and consumers </w:t>
      </w:r>
      <w:r w:rsidR="002F77E4">
        <w:t xml:space="preserve">may </w:t>
      </w:r>
      <w:r w:rsidRPr="00E951D7">
        <w:t>report A</w:t>
      </w:r>
      <w:r w:rsidR="001818C6">
        <w:t>D</w:t>
      </w:r>
      <w:r w:rsidRPr="00E951D7">
        <w:t xml:space="preserve">Es to FDA by submitting </w:t>
      </w:r>
      <w:r w:rsidR="00903D8A">
        <w:t>MedWatch</w:t>
      </w:r>
      <w:r w:rsidRPr="00E951D7">
        <w:t xml:space="preserve"> Form 3500B.</w:t>
      </w:r>
    </w:p>
    <w:p w:rsidR="00F74C14" w:rsidRPr="00E951D7" w:rsidP="0075019B" w14:paraId="6BED4325" w14:textId="4E3E1B3B">
      <w:pPr>
        <w:spacing w:before="100" w:beforeAutospacing="1" w:after="100" w:afterAutospacing="1"/>
        <w:ind w:left="360"/>
      </w:pPr>
      <w:bookmarkStart w:id="1" w:name="_Hlk108766652"/>
      <w:r>
        <w:t>These focus groups will</w:t>
      </w:r>
      <w:r w:rsidRPr="00E951D7">
        <w:t xml:space="preserve"> explore the perceptions of, attitudes about, and access to </w:t>
      </w:r>
      <w:r w:rsidR="0024518B">
        <w:t xml:space="preserve">adverse event reporting using </w:t>
      </w:r>
      <w:r w:rsidRPr="00E951D7">
        <w:t xml:space="preserve">MedWatch among racial and ethnic minority patients and consumers. </w:t>
      </w:r>
    </w:p>
    <w:bookmarkEnd w:id="1"/>
    <w:p w:rsidR="003C5656" w:rsidRPr="00E951D7" w:rsidP="00FA74BC" w14:paraId="452FDD74" w14:textId="45F81FFC">
      <w:pPr>
        <w:numPr>
          <w:ilvl w:val="0"/>
          <w:numId w:val="31"/>
        </w:numPr>
        <w:spacing w:before="100" w:beforeAutospacing="1" w:after="100" w:afterAutospacing="1"/>
        <w:ind w:right="421"/>
      </w:pPr>
      <w:r w:rsidRPr="0084027A">
        <w:rPr>
          <w:u w:val="single"/>
        </w:rPr>
        <w:t>Intended Use of the Information</w:t>
      </w:r>
      <w:r>
        <w:br/>
      </w:r>
      <w:r>
        <w:br/>
      </w:r>
      <w:r w:rsidRPr="003C5656" w:rsidR="00A1348D">
        <w:rPr>
          <w:rFonts w:eastAsia="Calibri"/>
        </w:rPr>
        <w:t xml:space="preserve">The </w:t>
      </w:r>
      <w:r w:rsidR="00B24F5D">
        <w:rPr>
          <w:rFonts w:eastAsia="Calibri"/>
        </w:rPr>
        <w:t xml:space="preserve">proposed research is a </w:t>
      </w:r>
      <w:r w:rsidR="00BA2CD0">
        <w:rPr>
          <w:rFonts w:eastAsia="Calibri"/>
        </w:rPr>
        <w:t>companion study to a retrospective</w:t>
      </w:r>
      <w:r w:rsidR="00B24F5D">
        <w:rPr>
          <w:rFonts w:eastAsia="Calibri"/>
        </w:rPr>
        <w:t xml:space="preserve"> analysis of </w:t>
      </w:r>
      <w:r w:rsidR="00BA2CD0">
        <w:rPr>
          <w:rFonts w:eastAsia="Calibri"/>
        </w:rPr>
        <w:t xml:space="preserve">the MedWatch </w:t>
      </w:r>
      <w:r w:rsidR="00B24F5D">
        <w:rPr>
          <w:rFonts w:eastAsia="Calibri"/>
        </w:rPr>
        <w:t>data</w:t>
      </w:r>
      <w:r w:rsidR="00BA2CD0">
        <w:rPr>
          <w:rFonts w:eastAsia="Calibri"/>
        </w:rPr>
        <w:t>base for ADE reports by race/</w:t>
      </w:r>
      <w:r w:rsidRPr="00672DEC" w:rsidR="00BA2CD0">
        <w:rPr>
          <w:rFonts w:eastAsia="Calibri"/>
        </w:rPr>
        <w:t xml:space="preserve">ethnicity and other demographic variables. </w:t>
      </w:r>
      <w:r w:rsidRPr="00672DEC" w:rsidR="00735040">
        <w:rPr>
          <w:rFonts w:eastAsia="Calibri"/>
        </w:rPr>
        <w:t xml:space="preserve"> </w:t>
      </w:r>
      <w:r w:rsidRPr="00903D8A" w:rsidR="00903D8A">
        <w:rPr>
          <w:rFonts w:eastAsia="Calibri"/>
        </w:rPr>
        <w:t>The purpose of this focus group study is to provide insight to FDA about barriers to reporting adverse event data among minority populations</w:t>
      </w:r>
      <w:r w:rsidR="006B05AC">
        <w:rPr>
          <w:rFonts w:eastAsia="Calibri"/>
        </w:rPr>
        <w:t>. Information shared about these barriers ma</w:t>
      </w:r>
      <w:r w:rsidR="00D31CCE">
        <w:rPr>
          <w:rFonts w:eastAsia="Calibri"/>
        </w:rPr>
        <w:t>y subsequently be used to identify strategie</w:t>
      </w:r>
      <w:r w:rsidR="00C02F7C">
        <w:rPr>
          <w:rFonts w:eastAsia="Calibri"/>
        </w:rPr>
        <w:t xml:space="preserve">s for </w:t>
      </w:r>
      <w:r w:rsidRPr="00903D8A" w:rsidR="00903D8A">
        <w:rPr>
          <w:rFonts w:eastAsia="Calibri"/>
        </w:rPr>
        <w:t>outreach and engagement among these groups to increase the reporting of ADEs to MedWatch.</w:t>
      </w:r>
    </w:p>
    <w:p w:rsidR="00AC2B8F" w:rsidRPr="003A5B5D" w:rsidP="003A5B5D" w14:paraId="1A0FC973" w14:textId="77777777">
      <w:pPr>
        <w:pStyle w:val="BodyText"/>
        <w:ind w:left="360" w:right="215"/>
        <w:rPr>
          <w:i w:val="0"/>
          <w:iCs w:val="0"/>
          <w:sz w:val="24"/>
          <w:szCs w:val="24"/>
        </w:rPr>
      </w:pPr>
    </w:p>
    <w:p w:rsidR="00937D10" w:rsidRPr="00937D10" w:rsidP="00FA74BC" w14:paraId="5BBBFD98" w14:textId="4A520771">
      <w:pPr>
        <w:widowControl w:val="0"/>
        <w:numPr>
          <w:ilvl w:val="0"/>
          <w:numId w:val="31"/>
        </w:numPr>
        <w:spacing w:after="200" w:line="276" w:lineRule="auto"/>
        <w:contextualSpacing/>
        <w:rPr>
          <w:b/>
          <w:snapToGrid w:val="0"/>
        </w:rPr>
      </w:pPr>
      <w:r w:rsidRPr="0084027A">
        <w:rPr>
          <w:bCs/>
          <w:snapToGrid w:val="0"/>
          <w:u w:val="single"/>
        </w:rPr>
        <w:t>Description of Respondents</w:t>
      </w:r>
    </w:p>
    <w:p w:rsidR="00937D10" w:rsidRPr="00937D10" w:rsidP="00937D10" w14:paraId="55FC9C6A" w14:textId="77777777">
      <w:pPr>
        <w:widowControl w:val="0"/>
        <w:ind w:left="360"/>
        <w:contextualSpacing/>
        <w:rPr>
          <w:snapToGrid w:val="0"/>
        </w:rPr>
      </w:pPr>
    </w:p>
    <w:p w:rsidR="00C05CE5" w:rsidRPr="009B4BEC" w:rsidP="00FA74BC" w14:paraId="14B8CF3E" w14:textId="39D1C557">
      <w:pPr>
        <w:ind w:left="360"/>
        <w:rPr>
          <w:b/>
          <w:bCs/>
        </w:rPr>
      </w:pPr>
      <w:r w:rsidRPr="009B4BEC">
        <w:t xml:space="preserve">The research project will consist of </w:t>
      </w:r>
      <w:r w:rsidR="00BA2CD0">
        <w:t xml:space="preserve">a total of </w:t>
      </w:r>
      <w:r w:rsidRPr="009B4BEC">
        <w:t>1</w:t>
      </w:r>
      <w:r w:rsidR="00BA2CD0">
        <w:t>2</w:t>
      </w:r>
      <w:r w:rsidRPr="009B4BEC">
        <w:t xml:space="preserve"> </w:t>
      </w:r>
      <w:r w:rsidRPr="000B158F">
        <w:t>online focus groups</w:t>
      </w:r>
      <w:r w:rsidRPr="009B4BEC">
        <w:t xml:space="preserve"> with adult </w:t>
      </w:r>
      <w:r>
        <w:t xml:space="preserve">(age 18 or older) </w:t>
      </w:r>
      <w:r w:rsidRPr="001B2FA5">
        <w:t>participants who self-identify as</w:t>
      </w:r>
      <w:r>
        <w:t xml:space="preserve"> Hispanic, </w:t>
      </w:r>
      <w:r w:rsidR="00BA2CD0">
        <w:t xml:space="preserve">or </w:t>
      </w:r>
      <w:r w:rsidR="000312CB">
        <w:t>n</w:t>
      </w:r>
      <w:r w:rsidRPr="000312CB" w:rsidR="00BA2CD0">
        <w:t>on-Hispanic</w:t>
      </w:r>
      <w:r w:rsidR="00BA2CD0">
        <w:t xml:space="preserve"> </w:t>
      </w:r>
      <w:r>
        <w:t xml:space="preserve">Black, </w:t>
      </w:r>
      <w:r w:rsidR="000312CB">
        <w:t>n</w:t>
      </w:r>
      <w:r w:rsidR="00BA2CD0">
        <w:t xml:space="preserve">on-Hispanic </w:t>
      </w:r>
      <w:r>
        <w:t xml:space="preserve">Asian, </w:t>
      </w:r>
      <w:r w:rsidR="000312CB">
        <w:t>n</w:t>
      </w:r>
      <w:r w:rsidR="00BA2CD0">
        <w:t xml:space="preserve">on-Hispanic </w:t>
      </w:r>
      <w:r>
        <w:t xml:space="preserve">Native Hawai’ian/Pacific Islander, </w:t>
      </w:r>
      <w:r w:rsidR="006B7747">
        <w:t>n</w:t>
      </w:r>
      <w:r w:rsidR="00BA2CD0">
        <w:t xml:space="preserve">on-Hispanic </w:t>
      </w:r>
      <w:r>
        <w:t xml:space="preserve">American Indian/Alaska Native, </w:t>
      </w:r>
      <w:r w:rsidR="00BA2CD0">
        <w:t xml:space="preserve">or </w:t>
      </w:r>
      <w:r w:rsidR="006B7747">
        <w:t>n</w:t>
      </w:r>
      <w:r w:rsidR="00BA2CD0">
        <w:t>on-Hispanic</w:t>
      </w:r>
      <w:r>
        <w:t xml:space="preserve"> White. </w:t>
      </w:r>
      <w:r w:rsidR="00735040">
        <w:t xml:space="preserve"> </w:t>
      </w:r>
      <w:r w:rsidR="00307484">
        <w:t xml:space="preserve">Each online focus group will consist of </w:t>
      </w:r>
      <w:r w:rsidR="00487373">
        <w:t xml:space="preserve">no more than </w:t>
      </w:r>
      <w:r w:rsidR="00307484">
        <w:t xml:space="preserve">6 participants. </w:t>
      </w:r>
      <w:r w:rsidRPr="00E2704E">
        <w:t>Approximately one third of study partici</w:t>
      </w:r>
      <w:r>
        <w:t xml:space="preserve">pants will be taking (or will have previously taken) one of the prescription </w:t>
      </w:r>
      <w:r w:rsidRPr="00E2704E">
        <w:t>drugs (e.g., allopurinol, diabetes medications, or anticoagulants</w:t>
      </w:r>
      <w:r>
        <w:t xml:space="preserve"> (e.g., warfarin)</w:t>
      </w:r>
      <w:r w:rsidR="006741F8">
        <w:t>)</w:t>
      </w:r>
      <w:r w:rsidRPr="00E2704E">
        <w:t xml:space="preserve"> for which </w:t>
      </w:r>
      <w:r>
        <w:t xml:space="preserve">certain </w:t>
      </w:r>
      <w:r w:rsidRPr="00E2704E">
        <w:t xml:space="preserve">racial </w:t>
      </w:r>
      <w:r>
        <w:t xml:space="preserve">or ethnic </w:t>
      </w:r>
      <w:r w:rsidRPr="00E2704E">
        <w:t xml:space="preserve">minorities are at an increased risk for serious </w:t>
      </w:r>
      <w:r w:rsidR="00903D8A">
        <w:t>ADEs</w:t>
      </w:r>
      <w:r w:rsidRPr="00E2704E">
        <w:t>.</w:t>
      </w:r>
      <w:r w:rsidRPr="009B4BEC">
        <w:t xml:space="preserve"> </w:t>
      </w:r>
      <w:r w:rsidR="00735040">
        <w:t xml:space="preserve"> </w:t>
      </w:r>
      <w:r>
        <w:t>All focus</w:t>
      </w:r>
      <w:r w:rsidRPr="009B4BEC">
        <w:t xml:space="preserve"> groups </w:t>
      </w:r>
      <w:r>
        <w:t xml:space="preserve">will be conducted in English. </w:t>
      </w:r>
      <w:r w:rsidR="00735040">
        <w:t xml:space="preserve"> </w:t>
      </w:r>
      <w:r>
        <w:t xml:space="preserve">The groups </w:t>
      </w:r>
      <w:r w:rsidRPr="009B4BEC">
        <w:t xml:space="preserve">will be </w:t>
      </w:r>
      <w:r w:rsidRPr="004D208D">
        <w:t>segmented by race and ethnicity and</w:t>
      </w:r>
      <w:r>
        <w:t xml:space="preserve"> participants’ level of education (</w:t>
      </w:r>
      <w:r w:rsidR="00637566">
        <w:t>s</w:t>
      </w:r>
      <w:r>
        <w:t>ee Table 1)</w:t>
      </w:r>
      <w:r w:rsidRPr="009B4BEC">
        <w:t xml:space="preserve">. </w:t>
      </w:r>
      <w:r w:rsidR="00735040">
        <w:t xml:space="preserve"> </w:t>
      </w:r>
      <w:r>
        <w:t xml:space="preserve">Gender will not serve as </w:t>
      </w:r>
      <w:r>
        <w:t xml:space="preserve">segmentation variable; however, we will strive to have </w:t>
      </w:r>
      <w:r w:rsidR="000B27A2">
        <w:t>a mix of gender</w:t>
      </w:r>
      <w:r w:rsidR="00BA2CD0">
        <w:t>s</w:t>
      </w:r>
      <w:r>
        <w:t xml:space="preserve"> in each focus group. </w:t>
      </w:r>
      <w:r w:rsidR="00605FF4">
        <w:t xml:space="preserve"> </w:t>
      </w:r>
      <w:r w:rsidRPr="009B4BEC">
        <w:t xml:space="preserve">Participants will be recruited from </w:t>
      </w:r>
      <w:r w:rsidR="00903D8A">
        <w:t xml:space="preserve">areas </w:t>
      </w:r>
      <w:r w:rsidRPr="009B4BEC">
        <w:t>throughout the United States</w:t>
      </w:r>
      <w:r w:rsidR="00906A04">
        <w:t xml:space="preserve"> </w:t>
      </w:r>
      <w:r w:rsidR="00CE0F29">
        <w:t xml:space="preserve">and screened by telephone </w:t>
      </w:r>
      <w:r w:rsidRPr="009B4BEC">
        <w:t>(</w:t>
      </w:r>
      <w:r w:rsidR="00637566">
        <w:t>s</w:t>
      </w:r>
      <w:r w:rsidRPr="009B4BEC">
        <w:t xml:space="preserve">ee </w:t>
      </w:r>
      <w:r w:rsidR="001A7E20">
        <w:t>Attachment</w:t>
      </w:r>
      <w:r>
        <w:t xml:space="preserve"> </w:t>
      </w:r>
      <w:r w:rsidR="001818C6">
        <w:t>A</w:t>
      </w:r>
      <w:r>
        <w:t xml:space="preserve"> – Participant Screener</w:t>
      </w:r>
      <w:r w:rsidRPr="009B4BEC">
        <w:t>)</w:t>
      </w:r>
      <w:r w:rsidR="009D1334">
        <w:t>.</w:t>
      </w:r>
    </w:p>
    <w:p w:rsidR="00C05CE5" w:rsidP="00C05CE5" w14:paraId="10F33D84" w14:textId="77777777">
      <w:pPr>
        <w:rPr>
          <w:b/>
          <w:bCs/>
        </w:rPr>
      </w:pPr>
    </w:p>
    <w:p w:rsidR="00C05CE5" w:rsidP="0033326B" w14:paraId="5E8BA913" w14:textId="57B132D5">
      <w:pPr>
        <w:ind w:left="-144" w:firstLine="720"/>
        <w:rPr>
          <w:b/>
          <w:bCs/>
        </w:rPr>
      </w:pPr>
      <w:r w:rsidRPr="00C64208">
        <w:rPr>
          <w:b/>
          <w:bCs/>
        </w:rPr>
        <w:t xml:space="preserve">Table 1. </w:t>
      </w:r>
      <w:r w:rsidR="00057905">
        <w:rPr>
          <w:b/>
          <w:bCs/>
        </w:rPr>
        <w:t xml:space="preserve"> </w:t>
      </w:r>
      <w:r w:rsidRPr="00C64208">
        <w:rPr>
          <w:b/>
          <w:bCs/>
        </w:rPr>
        <w:t>Composition of the Focus Groups</w:t>
      </w:r>
    </w:p>
    <w:p w:rsidR="00542D3F" w:rsidRPr="00C64208" w:rsidP="00C05CE5" w14:paraId="27CBF7DA" w14:textId="77777777">
      <w:pPr>
        <w:ind w:firstLine="720"/>
      </w:pPr>
    </w:p>
    <w:tbl>
      <w:tblPr>
        <w:tblW w:w="8520" w:type="dxa"/>
        <w:jc w:val="center"/>
        <w:tblLook w:val="0620"/>
      </w:tblPr>
      <w:tblGrid>
        <w:gridCol w:w="1500"/>
        <w:gridCol w:w="4500"/>
        <w:gridCol w:w="2520"/>
      </w:tblGrid>
      <w:tr w14:paraId="2F31F762" w14:textId="77777777">
        <w:tblPrEx>
          <w:tblW w:w="8520" w:type="dxa"/>
          <w:jc w:val="center"/>
          <w:tblLook w:val="0620"/>
        </w:tblPrEx>
        <w:trPr>
          <w:trHeight w:val="700"/>
          <w:jc w:val="center"/>
        </w:trPr>
        <w:tc>
          <w:tcPr>
            <w:tcW w:w="1500" w:type="dxa"/>
            <w:tcBorders>
              <w:top w:val="single" w:sz="8" w:space="0" w:color="FFFFFF"/>
              <w:left w:val="single" w:sz="8" w:space="0" w:color="FFFFFF"/>
              <w:right w:val="single" w:sz="8" w:space="0" w:color="FFFFFF"/>
            </w:tcBorders>
            <w:shd w:val="clear" w:color="000000" w:fill="4472C4"/>
            <w:vAlign w:val="center"/>
            <w:hideMark/>
          </w:tcPr>
          <w:p w:rsidR="00C05CE5" w:rsidRPr="007F0D91" w14:paraId="2EE2199E" w14:textId="77777777">
            <w:pPr>
              <w:rPr>
                <w:b/>
                <w:bCs/>
                <w:color w:val="FFFFFF"/>
              </w:rPr>
            </w:pPr>
            <w:r w:rsidRPr="007F0D91">
              <w:rPr>
                <w:b/>
                <w:bCs/>
                <w:color w:val="FFFFFF"/>
              </w:rPr>
              <w:t>Group</w:t>
            </w:r>
          </w:p>
        </w:tc>
        <w:tc>
          <w:tcPr>
            <w:tcW w:w="4500" w:type="dxa"/>
            <w:tcBorders>
              <w:top w:val="single" w:sz="8" w:space="0" w:color="FFFFFF"/>
              <w:left w:val="single" w:sz="8" w:space="0" w:color="FFFFFF"/>
              <w:bottom w:val="single" w:sz="12" w:space="0" w:color="FFFFFF"/>
              <w:right w:val="single" w:sz="8" w:space="0" w:color="FFFFFF"/>
            </w:tcBorders>
            <w:shd w:val="clear" w:color="000000" w:fill="4472C4"/>
            <w:vAlign w:val="center"/>
            <w:hideMark/>
          </w:tcPr>
          <w:p w:rsidR="00C05CE5" w:rsidRPr="007F0D91" w14:paraId="32FD8277" w14:textId="77777777">
            <w:pPr>
              <w:rPr>
                <w:b/>
                <w:bCs/>
                <w:color w:val="FFFFFF"/>
              </w:rPr>
            </w:pPr>
            <w:r w:rsidRPr="007F0D91">
              <w:rPr>
                <w:b/>
                <w:bCs/>
                <w:color w:val="FFFFFF"/>
              </w:rPr>
              <w:t>Group Demographic Characteristics</w:t>
            </w:r>
          </w:p>
        </w:tc>
        <w:tc>
          <w:tcPr>
            <w:tcW w:w="2520" w:type="dxa"/>
            <w:tcBorders>
              <w:top w:val="single" w:sz="8" w:space="0" w:color="FFFFFF"/>
              <w:left w:val="single" w:sz="8" w:space="0" w:color="FFFFFF"/>
              <w:bottom w:val="single" w:sz="12" w:space="0" w:color="FFFFFF"/>
              <w:right w:val="single" w:sz="8" w:space="0" w:color="FFFFFF"/>
            </w:tcBorders>
            <w:shd w:val="clear" w:color="000000" w:fill="4472C4"/>
            <w:vAlign w:val="center"/>
            <w:hideMark/>
          </w:tcPr>
          <w:p w:rsidR="00C05CE5" w:rsidRPr="007F0D91" w14:paraId="4282CE52" w14:textId="188261C3">
            <w:pPr>
              <w:rPr>
                <w:b/>
                <w:bCs/>
                <w:color w:val="FFFFFF"/>
              </w:rPr>
            </w:pPr>
            <w:r w:rsidRPr="007F0D91">
              <w:rPr>
                <w:b/>
                <w:bCs/>
                <w:color w:val="FFFFFF"/>
              </w:rPr>
              <w:t>Education</w:t>
            </w:r>
            <w:r w:rsidR="00A17B1B">
              <w:rPr>
                <w:b/>
                <w:bCs/>
                <w:color w:val="FFFFFF"/>
              </w:rPr>
              <w:t xml:space="preserve"> Level</w:t>
            </w:r>
          </w:p>
        </w:tc>
      </w:tr>
      <w:tr w14:paraId="342EACE5" w14:textId="77777777">
        <w:tblPrEx>
          <w:tblW w:w="8520" w:type="dxa"/>
          <w:jc w:val="center"/>
          <w:tblLook w:val="0620"/>
        </w:tblPrEx>
        <w:trPr>
          <w:trHeight w:val="340"/>
          <w:jc w:val="center"/>
        </w:trPr>
        <w:tc>
          <w:tcPr>
            <w:tcW w:w="1500" w:type="dxa"/>
            <w:tcBorders>
              <w:top w:val="nil"/>
              <w:left w:val="single" w:sz="8" w:space="0" w:color="FFFFFF"/>
              <w:bottom w:val="nil"/>
              <w:right w:val="single" w:sz="8" w:space="0" w:color="FFFFFF"/>
            </w:tcBorders>
            <w:shd w:val="clear" w:color="000000" w:fill="E9EBF5"/>
            <w:vAlign w:val="center"/>
            <w:hideMark/>
          </w:tcPr>
          <w:p w:rsidR="00C05CE5" w:rsidRPr="007F0D91" w14:paraId="526473DD" w14:textId="77777777">
            <w:pPr>
              <w:rPr>
                <w:color w:val="000000"/>
              </w:rPr>
            </w:pPr>
            <w:r w:rsidRPr="007F0D91">
              <w:rPr>
                <w:color w:val="000000"/>
              </w:rPr>
              <w:t xml:space="preserve">Group 1 </w:t>
            </w:r>
          </w:p>
        </w:tc>
        <w:tc>
          <w:tcPr>
            <w:tcW w:w="4500" w:type="dxa"/>
            <w:vMerge w:val="restart"/>
            <w:tcBorders>
              <w:top w:val="nil"/>
              <w:left w:val="single" w:sz="8" w:space="0" w:color="FFFFFF"/>
              <w:bottom w:val="single" w:sz="8" w:space="0" w:color="FFFFFF"/>
              <w:right w:val="single" w:sz="8" w:space="0" w:color="FFFFFF"/>
            </w:tcBorders>
            <w:shd w:val="clear" w:color="000000" w:fill="E9EBF5"/>
            <w:vAlign w:val="center"/>
            <w:hideMark/>
          </w:tcPr>
          <w:p w:rsidR="00C05CE5" w:rsidRPr="007F0D91" w14:paraId="72BDB455" w14:textId="77777777">
            <w:pPr>
              <w:rPr>
                <w:color w:val="000000"/>
              </w:rPr>
            </w:pPr>
            <w:r w:rsidRPr="007F0D91">
              <w:rPr>
                <w:color w:val="000000"/>
              </w:rPr>
              <w:t>Hispanic</w:t>
            </w:r>
          </w:p>
        </w:tc>
        <w:tc>
          <w:tcPr>
            <w:tcW w:w="2520" w:type="dxa"/>
            <w:tcBorders>
              <w:top w:val="nil"/>
              <w:left w:val="nil"/>
              <w:bottom w:val="nil"/>
              <w:right w:val="single" w:sz="8" w:space="0" w:color="FFFFFF"/>
            </w:tcBorders>
            <w:shd w:val="clear" w:color="000000" w:fill="E9EBF5"/>
            <w:vAlign w:val="center"/>
            <w:hideMark/>
          </w:tcPr>
          <w:p w:rsidR="00C05CE5" w:rsidRPr="007F0D91" w14:paraId="72BC12EB" w14:textId="77777777">
            <w:pPr>
              <w:rPr>
                <w:color w:val="000000"/>
              </w:rPr>
            </w:pPr>
            <w:r w:rsidRPr="007F0D91">
              <w:rPr>
                <w:color w:val="000000"/>
              </w:rPr>
              <w:t>Higher Education</w:t>
            </w:r>
          </w:p>
        </w:tc>
      </w:tr>
      <w:tr w14:paraId="2C2C5AD0" w14:textId="77777777" w:rsidTr="00FA74BC">
        <w:tblPrEx>
          <w:tblW w:w="8520" w:type="dxa"/>
          <w:jc w:val="center"/>
          <w:tblLook w:val="0620"/>
        </w:tblPrEx>
        <w:trPr>
          <w:trHeight w:val="367"/>
          <w:jc w:val="center"/>
        </w:trPr>
        <w:tc>
          <w:tcPr>
            <w:tcW w:w="1500" w:type="dxa"/>
            <w:tcBorders>
              <w:top w:val="nil"/>
              <w:left w:val="single" w:sz="8" w:space="0" w:color="FFFFFF"/>
              <w:bottom w:val="single" w:sz="8" w:space="0" w:color="FFFFFF"/>
              <w:right w:val="single" w:sz="8" w:space="0" w:color="FFFFFF"/>
            </w:tcBorders>
            <w:shd w:val="clear" w:color="000000" w:fill="E9EBF5"/>
            <w:vAlign w:val="center"/>
            <w:hideMark/>
          </w:tcPr>
          <w:p w:rsidR="00C05CE5" w:rsidRPr="007F0D91" w14:paraId="7DAB99D7" w14:textId="77777777">
            <w:pPr>
              <w:rPr>
                <w:color w:val="000000"/>
              </w:rPr>
            </w:pPr>
            <w:r w:rsidRPr="007F0D91">
              <w:rPr>
                <w:color w:val="000000"/>
              </w:rPr>
              <w:t>Group 2</w:t>
            </w:r>
          </w:p>
        </w:tc>
        <w:tc>
          <w:tcPr>
            <w:tcW w:w="4500" w:type="dxa"/>
            <w:vMerge/>
            <w:tcBorders>
              <w:top w:val="nil"/>
              <w:left w:val="single" w:sz="8" w:space="0" w:color="FFFFFF"/>
              <w:bottom w:val="single" w:sz="8" w:space="0" w:color="FFFFFF"/>
              <w:right w:val="single" w:sz="8" w:space="0" w:color="FFFFFF"/>
            </w:tcBorders>
            <w:vAlign w:val="center"/>
            <w:hideMark/>
          </w:tcPr>
          <w:p w:rsidR="00C05CE5" w:rsidRPr="007F0D91" w14:paraId="3B39C657" w14:textId="77777777">
            <w:pPr>
              <w:rPr>
                <w:color w:val="000000"/>
              </w:rPr>
            </w:pPr>
          </w:p>
        </w:tc>
        <w:tc>
          <w:tcPr>
            <w:tcW w:w="2520" w:type="dxa"/>
            <w:tcBorders>
              <w:top w:val="single" w:sz="8" w:space="0" w:color="FFFFFF"/>
              <w:left w:val="nil"/>
              <w:bottom w:val="nil"/>
              <w:right w:val="single" w:sz="8" w:space="0" w:color="FFFFFF"/>
            </w:tcBorders>
            <w:shd w:val="clear" w:color="000000" w:fill="E9EBF5"/>
            <w:vAlign w:val="center"/>
            <w:hideMark/>
          </w:tcPr>
          <w:p w:rsidR="00C05CE5" w:rsidRPr="007F0D91" w14:paraId="327ACD8D" w14:textId="77777777">
            <w:pPr>
              <w:rPr>
                <w:color w:val="000000"/>
              </w:rPr>
            </w:pPr>
            <w:r w:rsidRPr="007F0D91">
              <w:rPr>
                <w:color w:val="000000"/>
              </w:rPr>
              <w:t>Lower Education</w:t>
            </w:r>
          </w:p>
        </w:tc>
      </w:tr>
      <w:tr w14:paraId="6395FC68" w14:textId="77777777">
        <w:tblPrEx>
          <w:tblW w:w="8520" w:type="dxa"/>
          <w:jc w:val="center"/>
          <w:tblLook w:val="0620"/>
        </w:tblPrEx>
        <w:trPr>
          <w:trHeight w:val="340"/>
          <w:jc w:val="center"/>
        </w:trPr>
        <w:tc>
          <w:tcPr>
            <w:tcW w:w="1500" w:type="dxa"/>
            <w:tcBorders>
              <w:top w:val="nil"/>
              <w:left w:val="single" w:sz="8" w:space="0" w:color="FFFFFF"/>
              <w:bottom w:val="nil"/>
              <w:right w:val="single" w:sz="8" w:space="0" w:color="FFFFFF"/>
            </w:tcBorders>
            <w:shd w:val="clear" w:color="auto" w:fill="BDD6EE"/>
            <w:vAlign w:val="center"/>
            <w:hideMark/>
          </w:tcPr>
          <w:p w:rsidR="00C05CE5" w:rsidRPr="007F0D91" w14:paraId="3CA4A711" w14:textId="77777777">
            <w:pPr>
              <w:rPr>
                <w:color w:val="000000"/>
              </w:rPr>
            </w:pPr>
            <w:r w:rsidRPr="007F0D91">
              <w:rPr>
                <w:color w:val="000000"/>
              </w:rPr>
              <w:t xml:space="preserve">Group 3 </w:t>
            </w:r>
          </w:p>
        </w:tc>
        <w:tc>
          <w:tcPr>
            <w:tcW w:w="4500" w:type="dxa"/>
            <w:vMerge w:val="restart"/>
            <w:tcBorders>
              <w:top w:val="nil"/>
              <w:left w:val="single" w:sz="8" w:space="0" w:color="FFFFFF"/>
              <w:bottom w:val="single" w:sz="8" w:space="0" w:color="FFFFFF"/>
              <w:right w:val="single" w:sz="8" w:space="0" w:color="FFFFFF"/>
            </w:tcBorders>
            <w:shd w:val="clear" w:color="auto" w:fill="BDD6EE"/>
            <w:vAlign w:val="center"/>
            <w:hideMark/>
          </w:tcPr>
          <w:p w:rsidR="00C05CE5" w:rsidRPr="007F0D91" w14:paraId="13AA1849" w14:textId="77777777">
            <w:pPr>
              <w:rPr>
                <w:color w:val="000000"/>
              </w:rPr>
            </w:pPr>
            <w:r w:rsidRPr="007F0D91">
              <w:rPr>
                <w:color w:val="000000"/>
              </w:rPr>
              <w:t>Non-Hispanic Black</w:t>
            </w:r>
          </w:p>
        </w:tc>
        <w:tc>
          <w:tcPr>
            <w:tcW w:w="2520" w:type="dxa"/>
            <w:tcBorders>
              <w:top w:val="single" w:sz="8" w:space="0" w:color="FFFFFF"/>
              <w:left w:val="nil"/>
              <w:bottom w:val="nil"/>
              <w:right w:val="single" w:sz="8" w:space="0" w:color="FFFFFF"/>
            </w:tcBorders>
            <w:shd w:val="clear" w:color="auto" w:fill="BDD6EE"/>
            <w:vAlign w:val="center"/>
            <w:hideMark/>
          </w:tcPr>
          <w:p w:rsidR="00C05CE5" w:rsidRPr="007F0D91" w14:paraId="7F726B94" w14:textId="77777777">
            <w:pPr>
              <w:rPr>
                <w:color w:val="000000"/>
              </w:rPr>
            </w:pPr>
            <w:r w:rsidRPr="007F0D91">
              <w:rPr>
                <w:color w:val="000000"/>
              </w:rPr>
              <w:t>Higher Education</w:t>
            </w:r>
          </w:p>
        </w:tc>
      </w:tr>
      <w:tr w14:paraId="75CB6105" w14:textId="77777777">
        <w:tblPrEx>
          <w:tblW w:w="8520" w:type="dxa"/>
          <w:jc w:val="center"/>
          <w:tblLook w:val="0620"/>
        </w:tblPrEx>
        <w:trPr>
          <w:trHeight w:val="340"/>
          <w:jc w:val="center"/>
        </w:trPr>
        <w:tc>
          <w:tcPr>
            <w:tcW w:w="1500" w:type="dxa"/>
            <w:tcBorders>
              <w:top w:val="nil"/>
              <w:left w:val="single" w:sz="8" w:space="0" w:color="FFFFFF"/>
              <w:bottom w:val="single" w:sz="8" w:space="0" w:color="FFFFFF"/>
              <w:right w:val="single" w:sz="8" w:space="0" w:color="FFFFFF"/>
            </w:tcBorders>
            <w:shd w:val="clear" w:color="auto" w:fill="BDD6EE"/>
            <w:vAlign w:val="center"/>
            <w:hideMark/>
          </w:tcPr>
          <w:p w:rsidR="00C05CE5" w:rsidRPr="007F0D91" w14:paraId="0C011480" w14:textId="77777777">
            <w:pPr>
              <w:rPr>
                <w:color w:val="000000"/>
              </w:rPr>
            </w:pPr>
            <w:r w:rsidRPr="007F0D91">
              <w:rPr>
                <w:color w:val="000000"/>
              </w:rPr>
              <w:t>Group 4</w:t>
            </w:r>
          </w:p>
        </w:tc>
        <w:tc>
          <w:tcPr>
            <w:tcW w:w="4500" w:type="dxa"/>
            <w:vMerge/>
            <w:tcBorders>
              <w:top w:val="nil"/>
              <w:left w:val="single" w:sz="8" w:space="0" w:color="FFFFFF"/>
              <w:bottom w:val="single" w:sz="8" w:space="0" w:color="FFFFFF"/>
              <w:right w:val="single" w:sz="8" w:space="0" w:color="FFFFFF"/>
            </w:tcBorders>
            <w:shd w:val="clear" w:color="auto" w:fill="BDD6EE"/>
            <w:vAlign w:val="center"/>
            <w:hideMark/>
          </w:tcPr>
          <w:p w:rsidR="00C05CE5" w:rsidRPr="007F0D91" w14:paraId="207C2980" w14:textId="77777777">
            <w:pPr>
              <w:rPr>
                <w:color w:val="000000"/>
              </w:rPr>
            </w:pPr>
          </w:p>
        </w:tc>
        <w:tc>
          <w:tcPr>
            <w:tcW w:w="2520" w:type="dxa"/>
            <w:tcBorders>
              <w:top w:val="single" w:sz="8" w:space="0" w:color="FFFFFF"/>
              <w:left w:val="nil"/>
              <w:bottom w:val="nil"/>
              <w:right w:val="single" w:sz="8" w:space="0" w:color="FFFFFF"/>
            </w:tcBorders>
            <w:shd w:val="clear" w:color="auto" w:fill="BDD6EE"/>
            <w:vAlign w:val="center"/>
            <w:hideMark/>
          </w:tcPr>
          <w:p w:rsidR="00C05CE5" w:rsidRPr="007F0D91" w14:paraId="5650D36A" w14:textId="77777777">
            <w:pPr>
              <w:rPr>
                <w:color w:val="000000"/>
              </w:rPr>
            </w:pPr>
            <w:r w:rsidRPr="007F0D91">
              <w:rPr>
                <w:color w:val="000000"/>
              </w:rPr>
              <w:t>Lower Education</w:t>
            </w:r>
          </w:p>
        </w:tc>
      </w:tr>
      <w:tr w14:paraId="30C58EF6" w14:textId="77777777">
        <w:tblPrEx>
          <w:tblW w:w="8520" w:type="dxa"/>
          <w:jc w:val="center"/>
          <w:tblLook w:val="0620"/>
        </w:tblPrEx>
        <w:trPr>
          <w:trHeight w:val="430"/>
          <w:jc w:val="center"/>
        </w:trPr>
        <w:tc>
          <w:tcPr>
            <w:tcW w:w="1500" w:type="dxa"/>
            <w:tcBorders>
              <w:top w:val="nil"/>
              <w:left w:val="single" w:sz="8" w:space="0" w:color="FFFFFF"/>
              <w:bottom w:val="nil"/>
              <w:right w:val="single" w:sz="8" w:space="0" w:color="FFFFFF"/>
            </w:tcBorders>
            <w:shd w:val="clear" w:color="000000" w:fill="E9EBF5"/>
            <w:vAlign w:val="center"/>
            <w:hideMark/>
          </w:tcPr>
          <w:p w:rsidR="00C05CE5" w:rsidRPr="007F0D91" w14:paraId="16560304" w14:textId="77777777">
            <w:pPr>
              <w:rPr>
                <w:color w:val="000000"/>
              </w:rPr>
            </w:pPr>
            <w:r w:rsidRPr="007F0D91">
              <w:rPr>
                <w:color w:val="000000"/>
              </w:rPr>
              <w:t>Group 5</w:t>
            </w:r>
          </w:p>
        </w:tc>
        <w:tc>
          <w:tcPr>
            <w:tcW w:w="4500" w:type="dxa"/>
            <w:vMerge w:val="restart"/>
            <w:tcBorders>
              <w:top w:val="nil"/>
              <w:left w:val="single" w:sz="8" w:space="0" w:color="FFFFFF"/>
              <w:bottom w:val="single" w:sz="8" w:space="0" w:color="FFFFFF"/>
              <w:right w:val="single" w:sz="8" w:space="0" w:color="FFFFFF"/>
            </w:tcBorders>
            <w:shd w:val="clear" w:color="000000" w:fill="E9EBF5"/>
            <w:vAlign w:val="center"/>
            <w:hideMark/>
          </w:tcPr>
          <w:p w:rsidR="00C05CE5" w:rsidRPr="007F0D91" w14:paraId="7CBE7037" w14:textId="77777777">
            <w:pPr>
              <w:rPr>
                <w:color w:val="000000"/>
              </w:rPr>
            </w:pPr>
            <w:r w:rsidRPr="007F0D91">
              <w:rPr>
                <w:color w:val="000000"/>
              </w:rPr>
              <w:t>Non-Hispanic Asian</w:t>
            </w:r>
          </w:p>
        </w:tc>
        <w:tc>
          <w:tcPr>
            <w:tcW w:w="2520" w:type="dxa"/>
            <w:tcBorders>
              <w:top w:val="single" w:sz="8" w:space="0" w:color="FFFFFF"/>
              <w:left w:val="nil"/>
              <w:bottom w:val="nil"/>
              <w:right w:val="single" w:sz="8" w:space="0" w:color="FFFFFF"/>
            </w:tcBorders>
            <w:shd w:val="clear" w:color="000000" w:fill="E9EBF5"/>
            <w:vAlign w:val="center"/>
            <w:hideMark/>
          </w:tcPr>
          <w:p w:rsidR="00C05CE5" w:rsidRPr="007F0D91" w14:paraId="30E3DDED" w14:textId="77777777">
            <w:pPr>
              <w:rPr>
                <w:color w:val="000000"/>
              </w:rPr>
            </w:pPr>
            <w:r w:rsidRPr="007F0D91">
              <w:rPr>
                <w:color w:val="000000"/>
              </w:rPr>
              <w:t>Higher Education</w:t>
            </w:r>
          </w:p>
        </w:tc>
      </w:tr>
      <w:tr w14:paraId="04CEF290" w14:textId="77777777">
        <w:tblPrEx>
          <w:tblW w:w="8520" w:type="dxa"/>
          <w:jc w:val="center"/>
          <w:tblLook w:val="0620"/>
        </w:tblPrEx>
        <w:trPr>
          <w:trHeight w:val="340"/>
          <w:jc w:val="center"/>
        </w:trPr>
        <w:tc>
          <w:tcPr>
            <w:tcW w:w="1500" w:type="dxa"/>
            <w:tcBorders>
              <w:top w:val="nil"/>
              <w:left w:val="single" w:sz="8" w:space="0" w:color="FFFFFF"/>
              <w:bottom w:val="single" w:sz="8" w:space="0" w:color="FFFFFF"/>
              <w:right w:val="single" w:sz="8" w:space="0" w:color="FFFFFF"/>
            </w:tcBorders>
            <w:shd w:val="clear" w:color="000000" w:fill="E9EBF5"/>
            <w:vAlign w:val="center"/>
            <w:hideMark/>
          </w:tcPr>
          <w:p w:rsidR="00C05CE5" w:rsidRPr="007F0D91" w14:paraId="260A403F" w14:textId="77777777">
            <w:pPr>
              <w:rPr>
                <w:color w:val="000000"/>
              </w:rPr>
            </w:pPr>
            <w:r w:rsidRPr="007F0D91">
              <w:rPr>
                <w:color w:val="000000"/>
              </w:rPr>
              <w:t>Group 6</w:t>
            </w:r>
          </w:p>
        </w:tc>
        <w:tc>
          <w:tcPr>
            <w:tcW w:w="4500" w:type="dxa"/>
            <w:vMerge/>
            <w:tcBorders>
              <w:top w:val="nil"/>
              <w:left w:val="single" w:sz="8" w:space="0" w:color="FFFFFF"/>
              <w:bottom w:val="single" w:sz="8" w:space="0" w:color="FFFFFF"/>
              <w:right w:val="single" w:sz="8" w:space="0" w:color="FFFFFF"/>
            </w:tcBorders>
            <w:vAlign w:val="center"/>
            <w:hideMark/>
          </w:tcPr>
          <w:p w:rsidR="00C05CE5" w:rsidRPr="007F0D91" w14:paraId="724F724C" w14:textId="77777777">
            <w:pPr>
              <w:rPr>
                <w:color w:val="000000"/>
              </w:rPr>
            </w:pPr>
          </w:p>
        </w:tc>
        <w:tc>
          <w:tcPr>
            <w:tcW w:w="2520" w:type="dxa"/>
            <w:tcBorders>
              <w:top w:val="single" w:sz="8" w:space="0" w:color="FFFFFF"/>
              <w:left w:val="nil"/>
              <w:bottom w:val="nil"/>
              <w:right w:val="single" w:sz="8" w:space="0" w:color="FFFFFF"/>
            </w:tcBorders>
            <w:shd w:val="clear" w:color="000000" w:fill="E9EBF5"/>
            <w:vAlign w:val="center"/>
            <w:hideMark/>
          </w:tcPr>
          <w:p w:rsidR="00C05CE5" w:rsidRPr="007F0D91" w14:paraId="6CE0BD66" w14:textId="77777777">
            <w:pPr>
              <w:rPr>
                <w:color w:val="000000"/>
              </w:rPr>
            </w:pPr>
            <w:r w:rsidRPr="007F0D91">
              <w:rPr>
                <w:color w:val="000000"/>
              </w:rPr>
              <w:t>Lower Education</w:t>
            </w:r>
          </w:p>
        </w:tc>
      </w:tr>
      <w:tr w14:paraId="07D05243" w14:textId="77777777">
        <w:tblPrEx>
          <w:tblW w:w="8520" w:type="dxa"/>
          <w:jc w:val="center"/>
          <w:tblLook w:val="0620"/>
        </w:tblPrEx>
        <w:trPr>
          <w:trHeight w:val="340"/>
          <w:jc w:val="center"/>
        </w:trPr>
        <w:tc>
          <w:tcPr>
            <w:tcW w:w="1500" w:type="dxa"/>
            <w:tcBorders>
              <w:top w:val="nil"/>
              <w:left w:val="single" w:sz="8" w:space="0" w:color="FFFFFF"/>
              <w:bottom w:val="nil"/>
              <w:right w:val="single" w:sz="8" w:space="0" w:color="FFFFFF"/>
            </w:tcBorders>
            <w:shd w:val="clear" w:color="auto" w:fill="BDD6EE"/>
            <w:vAlign w:val="center"/>
            <w:hideMark/>
          </w:tcPr>
          <w:p w:rsidR="00C05CE5" w:rsidRPr="007F0D91" w14:paraId="123C1F36" w14:textId="77777777">
            <w:pPr>
              <w:rPr>
                <w:color w:val="000000"/>
              </w:rPr>
            </w:pPr>
            <w:r w:rsidRPr="007F0D91">
              <w:rPr>
                <w:color w:val="000000"/>
              </w:rPr>
              <w:t xml:space="preserve">Group 7 </w:t>
            </w:r>
          </w:p>
        </w:tc>
        <w:tc>
          <w:tcPr>
            <w:tcW w:w="4500" w:type="dxa"/>
            <w:vMerge w:val="restart"/>
            <w:tcBorders>
              <w:top w:val="nil"/>
              <w:left w:val="single" w:sz="8" w:space="0" w:color="FFFFFF"/>
              <w:bottom w:val="single" w:sz="8" w:space="0" w:color="FFFFFF"/>
              <w:right w:val="single" w:sz="8" w:space="0" w:color="FFFFFF"/>
            </w:tcBorders>
            <w:shd w:val="clear" w:color="auto" w:fill="BDD6EE"/>
            <w:vAlign w:val="center"/>
            <w:hideMark/>
          </w:tcPr>
          <w:p w:rsidR="00C05CE5" w:rsidRPr="007F0D91" w14:paraId="27860421" w14:textId="77777777">
            <w:pPr>
              <w:rPr>
                <w:color w:val="000000"/>
              </w:rPr>
            </w:pPr>
            <w:r w:rsidRPr="007F0D91">
              <w:rPr>
                <w:color w:val="000000"/>
              </w:rPr>
              <w:t>Non-Hispanic American Indian/Alaska Native</w:t>
            </w:r>
          </w:p>
        </w:tc>
        <w:tc>
          <w:tcPr>
            <w:tcW w:w="2520" w:type="dxa"/>
            <w:tcBorders>
              <w:top w:val="single" w:sz="8" w:space="0" w:color="FFFFFF"/>
              <w:left w:val="nil"/>
              <w:bottom w:val="nil"/>
              <w:right w:val="single" w:sz="8" w:space="0" w:color="FFFFFF"/>
            </w:tcBorders>
            <w:shd w:val="clear" w:color="auto" w:fill="BDD6EE"/>
            <w:vAlign w:val="center"/>
            <w:hideMark/>
          </w:tcPr>
          <w:p w:rsidR="00C05CE5" w:rsidRPr="007F0D91" w14:paraId="5B593197" w14:textId="77777777">
            <w:pPr>
              <w:rPr>
                <w:color w:val="000000"/>
              </w:rPr>
            </w:pPr>
            <w:r w:rsidRPr="007F0D91">
              <w:rPr>
                <w:color w:val="000000"/>
              </w:rPr>
              <w:t>Higher Education</w:t>
            </w:r>
          </w:p>
        </w:tc>
      </w:tr>
      <w:tr w14:paraId="740E141E" w14:textId="77777777">
        <w:tblPrEx>
          <w:tblW w:w="8520" w:type="dxa"/>
          <w:jc w:val="center"/>
          <w:tblLook w:val="0620"/>
        </w:tblPrEx>
        <w:trPr>
          <w:trHeight w:val="340"/>
          <w:jc w:val="center"/>
        </w:trPr>
        <w:tc>
          <w:tcPr>
            <w:tcW w:w="1500" w:type="dxa"/>
            <w:tcBorders>
              <w:top w:val="nil"/>
              <w:left w:val="single" w:sz="8" w:space="0" w:color="FFFFFF"/>
              <w:bottom w:val="single" w:sz="8" w:space="0" w:color="FFFFFF"/>
              <w:right w:val="single" w:sz="8" w:space="0" w:color="FFFFFF"/>
            </w:tcBorders>
            <w:shd w:val="clear" w:color="auto" w:fill="BDD6EE"/>
            <w:vAlign w:val="center"/>
            <w:hideMark/>
          </w:tcPr>
          <w:p w:rsidR="00C05CE5" w:rsidRPr="007F0D91" w14:paraId="5DF09719" w14:textId="77777777">
            <w:pPr>
              <w:rPr>
                <w:color w:val="000000"/>
              </w:rPr>
            </w:pPr>
            <w:r w:rsidRPr="007F0D91">
              <w:rPr>
                <w:color w:val="000000"/>
              </w:rPr>
              <w:t>Group 8</w:t>
            </w:r>
          </w:p>
        </w:tc>
        <w:tc>
          <w:tcPr>
            <w:tcW w:w="4500" w:type="dxa"/>
            <w:vMerge/>
            <w:tcBorders>
              <w:top w:val="nil"/>
              <w:left w:val="single" w:sz="8" w:space="0" w:color="FFFFFF"/>
              <w:bottom w:val="single" w:sz="8" w:space="0" w:color="FFFFFF"/>
              <w:right w:val="single" w:sz="8" w:space="0" w:color="FFFFFF"/>
            </w:tcBorders>
            <w:shd w:val="clear" w:color="auto" w:fill="BDD6EE"/>
            <w:vAlign w:val="center"/>
            <w:hideMark/>
          </w:tcPr>
          <w:p w:rsidR="00C05CE5" w:rsidRPr="007F0D91" w14:paraId="71E19436" w14:textId="77777777">
            <w:pPr>
              <w:rPr>
                <w:color w:val="000000"/>
              </w:rPr>
            </w:pPr>
          </w:p>
        </w:tc>
        <w:tc>
          <w:tcPr>
            <w:tcW w:w="2520" w:type="dxa"/>
            <w:tcBorders>
              <w:top w:val="single" w:sz="8" w:space="0" w:color="FFFFFF"/>
              <w:left w:val="nil"/>
              <w:bottom w:val="nil"/>
              <w:right w:val="single" w:sz="8" w:space="0" w:color="FFFFFF"/>
            </w:tcBorders>
            <w:shd w:val="clear" w:color="auto" w:fill="BDD6EE"/>
            <w:vAlign w:val="center"/>
            <w:hideMark/>
          </w:tcPr>
          <w:p w:rsidR="00C05CE5" w:rsidRPr="007F0D91" w14:paraId="75FFDEAA" w14:textId="77777777">
            <w:pPr>
              <w:rPr>
                <w:color w:val="000000"/>
              </w:rPr>
            </w:pPr>
            <w:r w:rsidRPr="007F0D91">
              <w:rPr>
                <w:color w:val="000000"/>
              </w:rPr>
              <w:t>Lower Education</w:t>
            </w:r>
          </w:p>
        </w:tc>
      </w:tr>
      <w:tr w14:paraId="72C62E53" w14:textId="77777777">
        <w:tblPrEx>
          <w:tblW w:w="8520" w:type="dxa"/>
          <w:jc w:val="center"/>
          <w:tblLook w:val="0620"/>
        </w:tblPrEx>
        <w:trPr>
          <w:trHeight w:val="340"/>
          <w:jc w:val="center"/>
        </w:trPr>
        <w:tc>
          <w:tcPr>
            <w:tcW w:w="1500" w:type="dxa"/>
            <w:tcBorders>
              <w:top w:val="nil"/>
              <w:left w:val="single" w:sz="8" w:space="0" w:color="FFFFFF"/>
              <w:bottom w:val="nil"/>
              <w:right w:val="single" w:sz="8" w:space="0" w:color="FFFFFF"/>
            </w:tcBorders>
            <w:shd w:val="clear" w:color="000000" w:fill="E9EBF5"/>
            <w:vAlign w:val="center"/>
            <w:hideMark/>
          </w:tcPr>
          <w:p w:rsidR="00C05CE5" w:rsidRPr="007F0D91" w14:paraId="5B26C68C" w14:textId="77777777">
            <w:pPr>
              <w:rPr>
                <w:color w:val="000000"/>
              </w:rPr>
            </w:pPr>
            <w:r w:rsidRPr="007F0D91">
              <w:rPr>
                <w:color w:val="000000"/>
              </w:rPr>
              <w:t xml:space="preserve">Group 9 </w:t>
            </w:r>
          </w:p>
        </w:tc>
        <w:tc>
          <w:tcPr>
            <w:tcW w:w="4500" w:type="dxa"/>
            <w:vMerge w:val="restart"/>
            <w:tcBorders>
              <w:top w:val="nil"/>
              <w:left w:val="single" w:sz="8" w:space="0" w:color="FFFFFF"/>
              <w:bottom w:val="single" w:sz="8" w:space="0" w:color="FFFFFF"/>
              <w:right w:val="single" w:sz="8" w:space="0" w:color="FFFFFF"/>
            </w:tcBorders>
            <w:shd w:val="clear" w:color="000000" w:fill="E9EBF5"/>
            <w:vAlign w:val="center"/>
            <w:hideMark/>
          </w:tcPr>
          <w:p w:rsidR="00C05CE5" w:rsidRPr="007F0D91" w14:paraId="799BC83D" w14:textId="77777777">
            <w:pPr>
              <w:rPr>
                <w:color w:val="000000"/>
              </w:rPr>
            </w:pPr>
            <w:r w:rsidRPr="007F0D91">
              <w:rPr>
                <w:color w:val="000000"/>
              </w:rPr>
              <w:t>Non-Hispanic Native Hawaiian/Pacific Islander</w:t>
            </w:r>
          </w:p>
        </w:tc>
        <w:tc>
          <w:tcPr>
            <w:tcW w:w="2520" w:type="dxa"/>
            <w:tcBorders>
              <w:top w:val="single" w:sz="8" w:space="0" w:color="FFFFFF"/>
              <w:left w:val="nil"/>
              <w:bottom w:val="nil"/>
              <w:right w:val="single" w:sz="8" w:space="0" w:color="FFFFFF"/>
            </w:tcBorders>
            <w:shd w:val="clear" w:color="000000" w:fill="E9EBF5"/>
            <w:vAlign w:val="center"/>
            <w:hideMark/>
          </w:tcPr>
          <w:p w:rsidR="00C05CE5" w:rsidRPr="007F0D91" w14:paraId="685DD520" w14:textId="77777777">
            <w:pPr>
              <w:rPr>
                <w:color w:val="000000"/>
              </w:rPr>
            </w:pPr>
            <w:r w:rsidRPr="007F0D91">
              <w:rPr>
                <w:color w:val="000000"/>
              </w:rPr>
              <w:t>Higher Education</w:t>
            </w:r>
          </w:p>
        </w:tc>
      </w:tr>
      <w:tr w14:paraId="55C5DB16" w14:textId="77777777">
        <w:tblPrEx>
          <w:tblW w:w="8520" w:type="dxa"/>
          <w:jc w:val="center"/>
          <w:tblLook w:val="0620"/>
        </w:tblPrEx>
        <w:trPr>
          <w:trHeight w:val="340"/>
          <w:jc w:val="center"/>
        </w:trPr>
        <w:tc>
          <w:tcPr>
            <w:tcW w:w="1500" w:type="dxa"/>
            <w:tcBorders>
              <w:top w:val="nil"/>
              <w:left w:val="single" w:sz="8" w:space="0" w:color="FFFFFF"/>
              <w:bottom w:val="single" w:sz="8" w:space="0" w:color="FFFFFF"/>
              <w:right w:val="single" w:sz="8" w:space="0" w:color="FFFFFF"/>
            </w:tcBorders>
            <w:shd w:val="clear" w:color="000000" w:fill="E9EBF5"/>
            <w:vAlign w:val="center"/>
            <w:hideMark/>
          </w:tcPr>
          <w:p w:rsidR="00C05CE5" w:rsidRPr="007F0D91" w14:paraId="37EC101A" w14:textId="77777777">
            <w:pPr>
              <w:rPr>
                <w:color w:val="000000"/>
              </w:rPr>
            </w:pPr>
            <w:r w:rsidRPr="007F0D91">
              <w:rPr>
                <w:color w:val="000000"/>
              </w:rPr>
              <w:t>Group 10</w:t>
            </w:r>
          </w:p>
        </w:tc>
        <w:tc>
          <w:tcPr>
            <w:tcW w:w="4500" w:type="dxa"/>
            <w:vMerge/>
            <w:tcBorders>
              <w:top w:val="nil"/>
              <w:left w:val="single" w:sz="8" w:space="0" w:color="FFFFFF"/>
              <w:bottom w:val="single" w:sz="8" w:space="0" w:color="FFFFFF"/>
              <w:right w:val="single" w:sz="8" w:space="0" w:color="FFFFFF"/>
            </w:tcBorders>
            <w:vAlign w:val="center"/>
            <w:hideMark/>
          </w:tcPr>
          <w:p w:rsidR="00C05CE5" w:rsidRPr="007F0D91" w14:paraId="76328949" w14:textId="77777777">
            <w:pPr>
              <w:rPr>
                <w:color w:val="000000"/>
              </w:rPr>
            </w:pPr>
          </w:p>
        </w:tc>
        <w:tc>
          <w:tcPr>
            <w:tcW w:w="2520" w:type="dxa"/>
            <w:tcBorders>
              <w:top w:val="single" w:sz="8" w:space="0" w:color="FFFFFF"/>
              <w:left w:val="nil"/>
              <w:bottom w:val="nil"/>
              <w:right w:val="single" w:sz="8" w:space="0" w:color="FFFFFF"/>
            </w:tcBorders>
            <w:shd w:val="clear" w:color="000000" w:fill="E9EBF5"/>
            <w:vAlign w:val="center"/>
            <w:hideMark/>
          </w:tcPr>
          <w:p w:rsidR="00C05CE5" w:rsidRPr="007F0D91" w14:paraId="0BC9BF8A" w14:textId="77777777">
            <w:pPr>
              <w:rPr>
                <w:color w:val="000000"/>
              </w:rPr>
            </w:pPr>
            <w:r w:rsidRPr="007F0D91">
              <w:rPr>
                <w:color w:val="000000"/>
              </w:rPr>
              <w:t>Lower Education</w:t>
            </w:r>
          </w:p>
        </w:tc>
      </w:tr>
      <w:tr w14:paraId="7EE0F8C1" w14:textId="77777777">
        <w:tblPrEx>
          <w:tblW w:w="8520" w:type="dxa"/>
          <w:jc w:val="center"/>
          <w:tblLook w:val="0620"/>
        </w:tblPrEx>
        <w:trPr>
          <w:trHeight w:val="340"/>
          <w:jc w:val="center"/>
        </w:trPr>
        <w:tc>
          <w:tcPr>
            <w:tcW w:w="1500" w:type="dxa"/>
            <w:tcBorders>
              <w:top w:val="nil"/>
              <w:left w:val="single" w:sz="8" w:space="0" w:color="FFFFFF"/>
              <w:bottom w:val="nil"/>
              <w:right w:val="single" w:sz="8" w:space="0" w:color="FFFFFF"/>
            </w:tcBorders>
            <w:shd w:val="clear" w:color="auto" w:fill="BDD6EE"/>
            <w:vAlign w:val="center"/>
            <w:hideMark/>
          </w:tcPr>
          <w:p w:rsidR="00C05CE5" w:rsidRPr="007F0D91" w14:paraId="2272BF8C" w14:textId="77777777">
            <w:pPr>
              <w:rPr>
                <w:color w:val="000000"/>
              </w:rPr>
            </w:pPr>
            <w:r w:rsidRPr="007F0D91">
              <w:rPr>
                <w:color w:val="000000"/>
              </w:rPr>
              <w:t xml:space="preserve">Group 11 </w:t>
            </w:r>
          </w:p>
        </w:tc>
        <w:tc>
          <w:tcPr>
            <w:tcW w:w="4500" w:type="dxa"/>
            <w:vMerge w:val="restart"/>
            <w:tcBorders>
              <w:top w:val="nil"/>
              <w:left w:val="single" w:sz="8" w:space="0" w:color="FFFFFF"/>
              <w:bottom w:val="single" w:sz="8" w:space="0" w:color="FFFFFF"/>
              <w:right w:val="single" w:sz="8" w:space="0" w:color="FFFFFF"/>
            </w:tcBorders>
            <w:shd w:val="clear" w:color="auto" w:fill="BDD6EE"/>
            <w:vAlign w:val="center"/>
            <w:hideMark/>
          </w:tcPr>
          <w:p w:rsidR="00C05CE5" w:rsidRPr="007F0D91" w14:paraId="272B2E8F" w14:textId="77777777">
            <w:pPr>
              <w:rPr>
                <w:color w:val="000000"/>
              </w:rPr>
            </w:pPr>
            <w:r w:rsidRPr="007F0D91">
              <w:rPr>
                <w:color w:val="000000"/>
              </w:rPr>
              <w:t>Non-Hispanic White</w:t>
            </w:r>
          </w:p>
        </w:tc>
        <w:tc>
          <w:tcPr>
            <w:tcW w:w="2520" w:type="dxa"/>
            <w:tcBorders>
              <w:top w:val="single" w:sz="8" w:space="0" w:color="FFFFFF"/>
              <w:left w:val="nil"/>
              <w:bottom w:val="nil"/>
              <w:right w:val="single" w:sz="8" w:space="0" w:color="FFFFFF"/>
            </w:tcBorders>
            <w:shd w:val="clear" w:color="auto" w:fill="BDD6EE"/>
            <w:vAlign w:val="center"/>
            <w:hideMark/>
          </w:tcPr>
          <w:p w:rsidR="00C05CE5" w:rsidRPr="007F0D91" w14:paraId="3EA5EF7A" w14:textId="77777777">
            <w:pPr>
              <w:rPr>
                <w:color w:val="000000"/>
              </w:rPr>
            </w:pPr>
            <w:r w:rsidRPr="007F0D91">
              <w:rPr>
                <w:color w:val="000000"/>
              </w:rPr>
              <w:t>Higher Education</w:t>
            </w:r>
          </w:p>
        </w:tc>
      </w:tr>
      <w:tr w14:paraId="64F529D0" w14:textId="77777777">
        <w:tblPrEx>
          <w:tblW w:w="8520" w:type="dxa"/>
          <w:jc w:val="center"/>
          <w:tblLook w:val="0620"/>
        </w:tblPrEx>
        <w:trPr>
          <w:trHeight w:val="340"/>
          <w:jc w:val="center"/>
        </w:trPr>
        <w:tc>
          <w:tcPr>
            <w:tcW w:w="1500" w:type="dxa"/>
            <w:tcBorders>
              <w:top w:val="nil"/>
              <w:left w:val="single" w:sz="8" w:space="0" w:color="FFFFFF"/>
              <w:bottom w:val="single" w:sz="8" w:space="0" w:color="FFFFFF"/>
              <w:right w:val="single" w:sz="8" w:space="0" w:color="FFFFFF"/>
            </w:tcBorders>
            <w:shd w:val="clear" w:color="auto" w:fill="BDD6EE"/>
            <w:vAlign w:val="center"/>
            <w:hideMark/>
          </w:tcPr>
          <w:p w:rsidR="00C05CE5" w:rsidRPr="007F0D91" w14:paraId="17B3F15D" w14:textId="77777777">
            <w:pPr>
              <w:rPr>
                <w:color w:val="000000"/>
              </w:rPr>
            </w:pPr>
            <w:r w:rsidRPr="007F0D91">
              <w:rPr>
                <w:color w:val="000000"/>
              </w:rPr>
              <w:t>Group 12</w:t>
            </w:r>
          </w:p>
        </w:tc>
        <w:tc>
          <w:tcPr>
            <w:tcW w:w="4500" w:type="dxa"/>
            <w:vMerge/>
            <w:tcBorders>
              <w:top w:val="nil"/>
              <w:left w:val="single" w:sz="8" w:space="0" w:color="FFFFFF"/>
              <w:bottom w:val="single" w:sz="8" w:space="0" w:color="FFFFFF"/>
              <w:right w:val="single" w:sz="8" w:space="0" w:color="FFFFFF"/>
            </w:tcBorders>
            <w:shd w:val="clear" w:color="auto" w:fill="BDD6EE"/>
            <w:vAlign w:val="center"/>
            <w:hideMark/>
          </w:tcPr>
          <w:p w:rsidR="00C05CE5" w:rsidRPr="007F0D91" w14:paraId="6D3F29F7" w14:textId="77777777">
            <w:pPr>
              <w:rPr>
                <w:color w:val="000000"/>
              </w:rPr>
            </w:pPr>
          </w:p>
        </w:tc>
        <w:tc>
          <w:tcPr>
            <w:tcW w:w="2520" w:type="dxa"/>
            <w:tcBorders>
              <w:top w:val="single" w:sz="8" w:space="0" w:color="FFFFFF"/>
              <w:left w:val="nil"/>
              <w:bottom w:val="nil"/>
              <w:right w:val="single" w:sz="8" w:space="0" w:color="FFFFFF"/>
            </w:tcBorders>
            <w:shd w:val="clear" w:color="auto" w:fill="BDD6EE"/>
            <w:vAlign w:val="center"/>
            <w:hideMark/>
          </w:tcPr>
          <w:p w:rsidR="00C05CE5" w:rsidRPr="007F0D91" w14:paraId="2B39D6E0" w14:textId="77777777">
            <w:pPr>
              <w:rPr>
                <w:color w:val="000000"/>
              </w:rPr>
            </w:pPr>
            <w:r w:rsidRPr="007F0D91">
              <w:rPr>
                <w:color w:val="000000"/>
              </w:rPr>
              <w:t>Lower Education</w:t>
            </w:r>
          </w:p>
        </w:tc>
      </w:tr>
    </w:tbl>
    <w:p w:rsidR="00C05CE5" w:rsidRPr="007F0D91" w:rsidP="00C05CE5" w14:paraId="2C51F39F" w14:textId="77777777">
      <w:pPr>
        <w:ind w:left="360"/>
        <w:rPr>
          <w:b/>
        </w:rPr>
      </w:pPr>
    </w:p>
    <w:p w:rsidR="005B24AC" w:rsidRPr="0084027A" w:rsidP="00FA74BC" w14:paraId="41F2A6AE" w14:textId="369318DD">
      <w:pPr>
        <w:numPr>
          <w:ilvl w:val="0"/>
          <w:numId w:val="31"/>
        </w:numPr>
        <w:contextualSpacing/>
        <w:rPr>
          <w:bCs/>
          <w:u w:val="single"/>
        </w:rPr>
      </w:pPr>
      <w:r w:rsidRPr="0084027A">
        <w:rPr>
          <w:bCs/>
          <w:u w:val="single"/>
        </w:rPr>
        <w:t>How the Information is Collected</w:t>
      </w:r>
      <w:r w:rsidRPr="0084027A">
        <w:rPr>
          <w:bCs/>
          <w:u w:val="single"/>
        </w:rPr>
        <w:t xml:space="preserve"> </w:t>
      </w:r>
    </w:p>
    <w:p w:rsidR="00363184" w:rsidP="00363184" w14:paraId="1B7ADE91" w14:textId="69F7C203">
      <w:pPr>
        <w:ind w:left="360"/>
      </w:pPr>
    </w:p>
    <w:p w:rsidR="00363184" w:rsidP="00363184" w14:paraId="192ADB03" w14:textId="6086C5C8">
      <w:pPr>
        <w:ind w:left="360"/>
      </w:pPr>
      <w:r>
        <w:t xml:space="preserve">[X]  Focus Group  </w:t>
      </w:r>
    </w:p>
    <w:p w:rsidR="00691713" w:rsidP="00363184" w14:paraId="17703959" w14:textId="3522B28D">
      <w:pPr>
        <w:ind w:left="360"/>
      </w:pPr>
      <w:r>
        <w:t>[   ]  Interview</w:t>
      </w:r>
    </w:p>
    <w:p w:rsidR="00691713" w:rsidRPr="005B24AC" w:rsidP="0084027A" w14:paraId="0F288D03" w14:textId="77777777">
      <w:pPr>
        <w:ind w:left="360"/>
      </w:pPr>
    </w:p>
    <w:p w:rsidR="00C05CE5" w:rsidP="007F0D91" w14:paraId="5B0159EA" w14:textId="681889FF">
      <w:pPr>
        <w:ind w:firstLine="360"/>
        <w:rPr>
          <w:u w:val="single"/>
        </w:rPr>
      </w:pPr>
      <w:r w:rsidRPr="009B4BEC">
        <w:rPr>
          <w:u w:val="single"/>
        </w:rPr>
        <w:t>Recruitment Information</w:t>
      </w:r>
    </w:p>
    <w:p w:rsidR="006931A1" w:rsidRPr="009B4BEC" w:rsidP="007F0D91" w14:paraId="1072ED9B" w14:textId="77777777">
      <w:pPr>
        <w:ind w:firstLine="360"/>
        <w:rPr>
          <w:u w:val="single"/>
        </w:rPr>
      </w:pPr>
    </w:p>
    <w:p w:rsidR="00C05CE5" w:rsidP="00C05CE5" w14:paraId="5DE34CCF" w14:textId="7C6C28B3">
      <w:pPr>
        <w:ind w:left="360"/>
      </w:pPr>
      <w:r w:rsidRPr="009B4BEC">
        <w:t xml:space="preserve">All recruitment will be conducted </w:t>
      </w:r>
      <w:r w:rsidRPr="003C6181">
        <w:t xml:space="preserve">by </w:t>
      </w:r>
      <w:r w:rsidRPr="003C6181" w:rsidR="00B268CB">
        <w:t>PRC Corp. (PRC), a</w:t>
      </w:r>
      <w:r w:rsidRPr="003C6181">
        <w:t xml:space="preserve"> professional</w:t>
      </w:r>
      <w:r w:rsidRPr="009B4BEC">
        <w:t xml:space="preserve"> focus group </w:t>
      </w:r>
      <w:r>
        <w:t>recruiting company subcontracted by Westat</w:t>
      </w:r>
      <w:r w:rsidR="00B268CB">
        <w:t>.</w:t>
      </w:r>
      <w:r w:rsidRPr="009B4BEC">
        <w:t xml:space="preserve"> </w:t>
      </w:r>
      <w:r w:rsidR="00735040">
        <w:t xml:space="preserve"> </w:t>
      </w:r>
      <w:r w:rsidRPr="009F1C5E">
        <w:t>Recruitment strategies for these</w:t>
      </w:r>
      <w:r>
        <w:t xml:space="preserve"> companies</w:t>
      </w:r>
      <w:r w:rsidRPr="009F1C5E">
        <w:t xml:space="preserve"> include outreach to their proprietary databases</w:t>
      </w:r>
      <w:r w:rsidRPr="009B4BEC">
        <w:t xml:space="preserve"> </w:t>
      </w:r>
      <w:r w:rsidR="004E59AC">
        <w:t xml:space="preserve">and ad </w:t>
      </w:r>
      <w:r w:rsidRPr="009B4BEC">
        <w:t>placement in local media outlets such as newspapers and local Craigslist site</w:t>
      </w:r>
      <w:r w:rsidR="00605FF4">
        <w:t>s</w:t>
      </w:r>
      <w:r w:rsidRPr="009B4BEC">
        <w:t xml:space="preserve"> and </w:t>
      </w:r>
      <w:r>
        <w:t>o</w:t>
      </w:r>
      <w:r w:rsidRPr="009B4BEC">
        <w:t xml:space="preserve">n </w:t>
      </w:r>
      <w:r>
        <w:t xml:space="preserve">bulletin boards </w:t>
      </w:r>
      <w:r w:rsidRPr="009B4BEC">
        <w:t>at local grocery stores</w:t>
      </w:r>
      <w:r>
        <w:t xml:space="preserve"> and restaurants.</w:t>
      </w:r>
      <w:r w:rsidRPr="009B4BEC">
        <w:t xml:space="preserve">  Content for the</w:t>
      </w:r>
      <w:r>
        <w:t xml:space="preserve"> </w:t>
      </w:r>
      <w:r w:rsidRPr="009B4BEC">
        <w:t>advertisement</w:t>
      </w:r>
      <w:r>
        <w:t xml:space="preserve"> flyer </w:t>
      </w:r>
      <w:r w:rsidRPr="009B4BEC">
        <w:t xml:space="preserve">can be found in </w:t>
      </w:r>
      <w:r w:rsidR="001A7E20">
        <w:t>Attachment</w:t>
      </w:r>
      <w:r w:rsidRPr="009B4BEC">
        <w:t xml:space="preserve"> </w:t>
      </w:r>
      <w:r w:rsidR="001818C6">
        <w:t>B</w:t>
      </w:r>
      <w:r w:rsidRPr="009B4BEC">
        <w:t>.</w:t>
      </w:r>
      <w:r w:rsidR="009672DE">
        <w:t xml:space="preserve"> </w:t>
      </w:r>
    </w:p>
    <w:p w:rsidR="00C05CE5" w:rsidP="00C05CE5" w14:paraId="74068321" w14:textId="77777777">
      <w:pPr>
        <w:ind w:left="360"/>
      </w:pPr>
    </w:p>
    <w:p w:rsidR="0084027A" w:rsidP="00C05CE5" w14:paraId="5525DD52" w14:textId="25D04EC8">
      <w:pPr>
        <w:ind w:left="360"/>
      </w:pPr>
      <w:r>
        <w:t>PRC</w:t>
      </w:r>
      <w:r w:rsidRPr="009B4BEC">
        <w:t xml:space="preserve"> will provide all necessary information and instructions to </w:t>
      </w:r>
      <w:r>
        <w:t xml:space="preserve">online focus groups participants to </w:t>
      </w:r>
      <w:r w:rsidRPr="009B4BEC">
        <w:t xml:space="preserve">ensure successful login into </w:t>
      </w:r>
      <w:r w:rsidR="00967C7D">
        <w:t xml:space="preserve">the </w:t>
      </w:r>
      <w:r w:rsidRPr="009B4BEC">
        <w:t xml:space="preserve">Zoom Webinar platform on the agreed date and time. </w:t>
      </w:r>
      <w:r w:rsidR="00735040">
        <w:t xml:space="preserve"> </w:t>
      </w:r>
      <w:r w:rsidRPr="009B4BEC">
        <w:t xml:space="preserve">Westat will oversee recruitment. </w:t>
      </w:r>
      <w:r w:rsidR="00735040">
        <w:t xml:space="preserve"> </w:t>
      </w:r>
      <w:r w:rsidRPr="009B4BEC">
        <w:t xml:space="preserve">PRC recruiters will ensure that eligible participants show up for their scheduled time slot by sending confirmation </w:t>
      </w:r>
      <w:r w:rsidR="00FF690A">
        <w:t xml:space="preserve">(Attachment C) </w:t>
      </w:r>
      <w:r w:rsidRPr="009B4BEC">
        <w:t>and reminder correspondences</w:t>
      </w:r>
      <w:r w:rsidR="00FF690A">
        <w:t xml:space="preserve"> (Attachment D)</w:t>
      </w:r>
      <w:r w:rsidRPr="009B4BEC">
        <w:t xml:space="preserve"> </w:t>
      </w:r>
      <w:r w:rsidRPr="009B4BEC" w:rsidR="00B964A4">
        <w:t>to participants</w:t>
      </w:r>
      <w:r w:rsidRPr="009B4BEC">
        <w:t xml:space="preserve">. </w:t>
      </w:r>
      <w:r w:rsidR="00735040">
        <w:t xml:space="preserve"> </w:t>
      </w:r>
      <w:r w:rsidRPr="009B4BEC">
        <w:t>Participants will also</w:t>
      </w:r>
      <w:r>
        <w:t xml:space="preserve"> </w:t>
      </w:r>
      <w:r w:rsidRPr="009B4BEC">
        <w:t>receive a copy of the informed consent (</w:t>
      </w:r>
      <w:r w:rsidR="001A7E20">
        <w:t xml:space="preserve">Attachment </w:t>
      </w:r>
      <w:r w:rsidR="00FF690A">
        <w:t>E</w:t>
      </w:r>
      <w:r w:rsidRPr="009B4BEC">
        <w:t xml:space="preserve">) in one or more of these correspondences from PRC and will be instructed to review the form prior to their scheduled focus group. </w:t>
      </w:r>
    </w:p>
    <w:p w:rsidR="0084027A" w:rsidP="00C05CE5" w14:paraId="586657EE" w14:textId="77777777">
      <w:pPr>
        <w:ind w:left="360"/>
      </w:pPr>
    </w:p>
    <w:p w:rsidR="0084027A" w:rsidRPr="009B4BEC" w:rsidP="0084027A" w14:paraId="79C0033D" w14:textId="2EF14E4B">
      <w:pPr>
        <w:ind w:left="360"/>
      </w:pPr>
      <w:r>
        <w:t>T</w:t>
      </w:r>
      <w:r w:rsidRPr="000A75DA">
        <w:t>welve focus groups</w:t>
      </w:r>
      <w:r>
        <w:t xml:space="preserve"> will be conducted.</w:t>
      </w:r>
      <w:r w:rsidRPr="009B4BEC">
        <w:t xml:space="preserve"> </w:t>
      </w:r>
      <w:r>
        <w:t xml:space="preserve"> PRC will </w:t>
      </w:r>
      <w:r w:rsidRPr="009B4BEC">
        <w:t xml:space="preserve">recruit </w:t>
      </w:r>
      <w:r>
        <w:t>eight</w:t>
      </w:r>
      <w:r w:rsidRPr="009B4BEC">
        <w:t xml:space="preserve"> participants per group; however, only select </w:t>
      </w:r>
      <w:r>
        <w:t>five to six</w:t>
      </w:r>
      <w:r w:rsidRPr="009B4BEC">
        <w:t xml:space="preserve"> </w:t>
      </w:r>
      <w:r>
        <w:t>will</w:t>
      </w:r>
      <w:r w:rsidRPr="009B4BEC">
        <w:t xml:space="preserve"> participate in the discussion</w:t>
      </w:r>
      <w:r>
        <w:t>,</w:t>
      </w:r>
      <w:r w:rsidRPr="009B4BEC">
        <w:t xml:space="preserve"> and the remaining participants will be dismissed.</w:t>
      </w:r>
    </w:p>
    <w:p w:rsidR="00940398" w:rsidP="00C05CE5" w14:paraId="38E17257" w14:textId="32B15714">
      <w:pPr>
        <w:ind w:left="360"/>
      </w:pPr>
      <w:r>
        <w:br w:type="page"/>
      </w:r>
    </w:p>
    <w:p w:rsidR="00C05CE5" w:rsidRPr="009B4BEC" w:rsidP="00C05CE5" w14:paraId="3BEC3611" w14:textId="5A9D99E6">
      <w:pPr>
        <w:spacing w:after="120"/>
        <w:rPr>
          <w:u w:val="single"/>
        </w:rPr>
      </w:pPr>
    </w:p>
    <w:p w:rsidR="00C05CE5" w:rsidP="00C05CE5" w14:paraId="6FE3086F" w14:textId="750E3AE4">
      <w:pPr>
        <w:spacing w:after="120"/>
        <w:ind w:firstLine="360"/>
        <w:rPr>
          <w:u w:val="single"/>
        </w:rPr>
      </w:pPr>
      <w:r w:rsidRPr="00327B8F">
        <w:rPr>
          <w:u w:val="single"/>
        </w:rPr>
        <w:t>Focus Group Discussions</w:t>
      </w:r>
    </w:p>
    <w:p w:rsidR="006F4329" w:rsidP="00C05CE5" w14:paraId="7A5D6F97" w14:textId="77777777">
      <w:pPr>
        <w:ind w:left="360"/>
      </w:pPr>
    </w:p>
    <w:p w:rsidR="00C05CE5" w:rsidP="00C05CE5" w14:paraId="73C7777E" w14:textId="58D7715E">
      <w:pPr>
        <w:ind w:left="360"/>
      </w:pPr>
      <w:r w:rsidRPr="009B4BEC">
        <w:t xml:space="preserve">A </w:t>
      </w:r>
      <w:r w:rsidR="001818C6">
        <w:t xml:space="preserve">trained </w:t>
      </w:r>
      <w:r w:rsidRPr="009B4BEC">
        <w:t xml:space="preserve">Westat senior social science researcher will serve as </w:t>
      </w:r>
      <w:r w:rsidR="00A535EC">
        <w:t>the</w:t>
      </w:r>
      <w:r w:rsidRPr="009B4BEC">
        <w:t xml:space="preserve"> moderator for all focus groups. </w:t>
      </w:r>
      <w:r w:rsidR="005C778B">
        <w:t xml:space="preserve"> </w:t>
      </w:r>
      <w:r w:rsidRPr="009B4BEC">
        <w:t>Prior to beginning each discussion, the moderator will review key elements of the informed consent form (</w:t>
      </w:r>
      <w:r w:rsidR="004C090E">
        <w:t>Attachment</w:t>
      </w:r>
      <w:r w:rsidRPr="009B4BEC">
        <w:t xml:space="preserve"> </w:t>
      </w:r>
      <w:r w:rsidR="001818C6">
        <w:t>C</w:t>
      </w:r>
      <w:r w:rsidRPr="009B4BEC">
        <w:t xml:space="preserve">) and answer any questions participants may have about their rights. </w:t>
      </w:r>
      <w:r w:rsidR="00735040">
        <w:t xml:space="preserve"> </w:t>
      </w:r>
      <w:r w:rsidRPr="009B4BEC">
        <w:t>The moderator will then use the attached moderator’s guide (</w:t>
      </w:r>
      <w:r w:rsidR="004C090E">
        <w:t xml:space="preserve">Attachment </w:t>
      </w:r>
      <w:r w:rsidR="00FF690A">
        <w:t>F</w:t>
      </w:r>
      <w:r w:rsidRPr="009B4BEC">
        <w:t xml:space="preserve">) to ensure that all relevant topic areas are addressed. </w:t>
      </w:r>
      <w:r w:rsidR="00735040">
        <w:t xml:space="preserve"> </w:t>
      </w:r>
      <w:r>
        <w:t xml:space="preserve">First, participants </w:t>
      </w:r>
      <w:r w:rsidR="005E4AAE">
        <w:t xml:space="preserve">will be asked about their </w:t>
      </w:r>
      <w:r>
        <w:t xml:space="preserve">experiences with ADEs, including whether they told anyone about the event and if they filed a MedWatch report. </w:t>
      </w:r>
      <w:r w:rsidR="00735040">
        <w:t xml:space="preserve"> </w:t>
      </w:r>
      <w:r>
        <w:t xml:space="preserve">Then, we will show participants </w:t>
      </w:r>
      <w:r w:rsidR="00CE2CC6">
        <w:t xml:space="preserve">selected items from </w:t>
      </w:r>
      <w:r>
        <w:t xml:space="preserve"> </w:t>
      </w:r>
      <w:r w:rsidRPr="00FA74BC">
        <w:t>MedWatch Form 3500B</w:t>
      </w:r>
      <w:r>
        <w:t xml:space="preserve"> (</w:t>
      </w:r>
      <w:r w:rsidR="00D66CB8">
        <w:t xml:space="preserve">please see screenshots included in Attachment </w:t>
      </w:r>
      <w:r w:rsidR="00FF690A">
        <w:t>F</w:t>
      </w:r>
      <w:r>
        <w:t xml:space="preserve">) to obtain their reactions to each, including their understanding of what the question is asking the reporter to do, if they would complete each question (and if not, why not), and if they would then continue to complete the form (and if not, why not). </w:t>
      </w:r>
    </w:p>
    <w:p w:rsidR="00C05CE5" w:rsidP="00C05CE5" w14:paraId="46400FA3" w14:textId="77777777">
      <w:pPr>
        <w:ind w:left="360"/>
      </w:pPr>
    </w:p>
    <w:p w:rsidR="00C05CE5" w:rsidP="00C05CE5" w14:paraId="22A4CB97" w14:textId="5C24F74B">
      <w:pPr>
        <w:ind w:left="360"/>
      </w:pPr>
      <w:r w:rsidRPr="00307484">
        <w:t xml:space="preserve">At the conclusion, </w:t>
      </w:r>
      <w:r w:rsidRPr="00307484" w:rsidR="00792DAB">
        <w:t xml:space="preserve"> focus group observers </w:t>
      </w:r>
      <w:r w:rsidRPr="00307484" w:rsidR="00454121">
        <w:t xml:space="preserve">may </w:t>
      </w:r>
      <w:r w:rsidRPr="00307484" w:rsidR="00B95B79">
        <w:t xml:space="preserve">ask participants (via the moderator) </w:t>
      </w:r>
      <w:r w:rsidRPr="00307484" w:rsidR="00792DAB">
        <w:t>additional ad-hoc questions</w:t>
      </w:r>
      <w:r w:rsidRPr="00307484" w:rsidR="00F942C7">
        <w:t>.</w:t>
      </w:r>
      <w:r w:rsidRPr="00307484">
        <w:t xml:space="preserve"> </w:t>
      </w:r>
      <w:r w:rsidRPr="00307484" w:rsidR="00F942C7">
        <w:t>T</w:t>
      </w:r>
      <w:r w:rsidRPr="00307484">
        <w:t xml:space="preserve">hese questions are not included in the moderator’s guide as they are clarifying probes linked to what </w:t>
      </w:r>
      <w:r w:rsidRPr="00307484" w:rsidR="00F942C7">
        <w:t>the participants</w:t>
      </w:r>
      <w:r w:rsidRPr="00307484">
        <w:t xml:space="preserve"> said during the focus group discussion.</w:t>
      </w:r>
    </w:p>
    <w:p w:rsidR="00C05CE5" w:rsidRPr="009B4BEC" w:rsidP="00C05CE5" w14:paraId="27231E7F" w14:textId="77777777"/>
    <w:p w:rsidR="00C05CE5" w:rsidRPr="009B4BEC" w:rsidP="00C05CE5" w14:paraId="0955C249" w14:textId="28F87398">
      <w:pPr>
        <w:ind w:left="360"/>
      </w:pPr>
      <w:r w:rsidRPr="009B4BEC">
        <w:t xml:space="preserve">Prior to beginning the discussion, the moderator will ensure that the FDA project director and other </w:t>
      </w:r>
      <w:r w:rsidR="001818C6">
        <w:t xml:space="preserve">project team </w:t>
      </w:r>
      <w:r w:rsidRPr="00627A84">
        <w:t xml:space="preserve">members </w:t>
      </w:r>
      <w:r w:rsidR="00C61EAE">
        <w:t>are able to</w:t>
      </w:r>
      <w:r w:rsidRPr="00627A84">
        <w:t xml:space="preserve"> observe</w:t>
      </w:r>
      <w:r w:rsidRPr="009B4BEC">
        <w:t xml:space="preserve"> all the sessions via </w:t>
      </w:r>
      <w:r w:rsidR="008B645B">
        <w:t xml:space="preserve">the </w:t>
      </w:r>
      <w:r w:rsidRPr="009B4BEC">
        <w:t xml:space="preserve">Zoom Webinar platform. </w:t>
      </w:r>
      <w:r w:rsidR="00735040">
        <w:t xml:space="preserve"> </w:t>
      </w:r>
      <w:r w:rsidRPr="009B4BEC">
        <w:t xml:space="preserve">The streaming technology will allow </w:t>
      </w:r>
      <w:r>
        <w:t xml:space="preserve">the contractor </w:t>
      </w:r>
      <w:r w:rsidRPr="009B4BEC">
        <w:t xml:space="preserve">to produce both audio and video recordings of each group, as well as provide a near-verbatim transcript of each discussion, to ensure that participants’ views and opinions are accurately captured. </w:t>
      </w:r>
      <w:r w:rsidR="00735040">
        <w:t xml:space="preserve"> </w:t>
      </w:r>
      <w:r w:rsidRPr="009B4BEC">
        <w:t>These transcripts will form the basis of the data analysis.</w:t>
      </w:r>
    </w:p>
    <w:p w:rsidR="00C05CE5" w:rsidRPr="009B4BEC" w:rsidP="00C05CE5" w14:paraId="3A0B1D52" w14:textId="77777777">
      <w:pPr>
        <w:ind w:left="360"/>
      </w:pPr>
    </w:p>
    <w:p w:rsidR="00C05CE5" w:rsidP="00C05CE5" w14:paraId="5770B279" w14:textId="226F1F82">
      <w:pPr>
        <w:ind w:left="360"/>
      </w:pPr>
      <w:r w:rsidRPr="009B4BEC">
        <w:t xml:space="preserve">Westat and PRC will comply with safeguards for ensuring participant information is kept secure to the extent permitted by law. </w:t>
      </w:r>
      <w:r w:rsidR="00735040">
        <w:t xml:space="preserve"> </w:t>
      </w:r>
      <w:r w:rsidR="00CD76E6">
        <w:t>Participants’</w:t>
      </w:r>
      <w:r w:rsidRPr="009B4BEC">
        <w:t xml:space="preserve"> last names will not appear on any materials shared with FDA (e.g., recruitment updates) and will be removed from participant screen names upon entry into the Zoom </w:t>
      </w:r>
      <w:r w:rsidR="00F942C7">
        <w:t xml:space="preserve">Webinar </w:t>
      </w:r>
      <w:r w:rsidRPr="009B4BEC">
        <w:t xml:space="preserve">platform. </w:t>
      </w:r>
      <w:r w:rsidR="00735040">
        <w:t xml:space="preserve"> </w:t>
      </w:r>
      <w:r w:rsidRPr="009B4BEC">
        <w:t>Verbatim quotes included in the final report will not be attributed to any individual.</w:t>
      </w:r>
    </w:p>
    <w:p w:rsidR="00186579" w:rsidRPr="00186579" w:rsidP="00186579" w14:paraId="5993AE5E" w14:textId="39B95F2D">
      <w:pPr>
        <w:rPr>
          <w:rFonts w:eastAsia="Calibri"/>
        </w:rPr>
      </w:pPr>
    </w:p>
    <w:p w:rsidR="005B24AC" w:rsidRPr="005B24AC" w:rsidP="00FA74BC" w14:paraId="11952C82" w14:textId="2AF5DEB7">
      <w:pPr>
        <w:widowControl w:val="0"/>
        <w:numPr>
          <w:ilvl w:val="0"/>
          <w:numId w:val="31"/>
        </w:numPr>
        <w:contextualSpacing/>
        <w:rPr>
          <w:b/>
          <w:snapToGrid w:val="0"/>
        </w:rPr>
      </w:pPr>
      <w:r>
        <w:rPr>
          <w:bCs/>
          <w:snapToGrid w:val="0"/>
          <w:u w:val="single"/>
        </w:rPr>
        <w:t>Confidentiality of Respondents</w:t>
      </w:r>
    </w:p>
    <w:p w:rsidR="00C05CE5" w:rsidP="007F0D91" w14:paraId="05A34B55" w14:textId="405F3134">
      <w:pPr>
        <w:widowControl w:val="0"/>
        <w:contextualSpacing/>
        <w:rPr>
          <w:snapToGrid w:val="0"/>
        </w:rPr>
      </w:pPr>
    </w:p>
    <w:p w:rsidR="0084027A" w:rsidP="00C05CE5" w14:paraId="393E5832" w14:textId="112FE86B">
      <w:pPr>
        <w:ind w:left="360"/>
      </w:pPr>
      <w:r>
        <w:t>Participation / nonparticipation is completely voluntary, and participant responses will not affect their eligibility to receive any FDA services. In instances where respondent identity is needed (i.e., to contact participants who are having difficulty with their technology during the focus group), this information collection fully complies with all aspects of the Privacy Act and data will be kept private to the fullest extent allowed by law.</w:t>
      </w:r>
    </w:p>
    <w:p w:rsidR="00C05CE5" w:rsidRPr="0084027A" w:rsidP="007F0D91" w14:paraId="1EEF7434" w14:textId="77777777">
      <w:pPr>
        <w:widowControl w:val="0"/>
        <w:contextualSpacing/>
        <w:rPr>
          <w:bCs/>
          <w:snapToGrid w:val="0"/>
          <w:u w:val="single"/>
        </w:rPr>
      </w:pPr>
    </w:p>
    <w:p w:rsidR="00937D10" w:rsidRPr="0084027A" w:rsidP="00FA74BC" w14:paraId="342A4E5A" w14:textId="7FAD1B20">
      <w:pPr>
        <w:numPr>
          <w:ilvl w:val="0"/>
          <w:numId w:val="31"/>
        </w:numPr>
        <w:spacing w:after="200" w:line="276" w:lineRule="auto"/>
        <w:contextualSpacing/>
        <w:rPr>
          <w:bCs/>
          <w:u w:val="single"/>
        </w:rPr>
      </w:pPr>
      <w:r w:rsidRPr="0084027A">
        <w:rPr>
          <w:bCs/>
          <w:u w:val="single"/>
        </w:rPr>
        <w:t>Amount and Justification for Proposed Incentive</w:t>
      </w:r>
    </w:p>
    <w:p w:rsidR="005B24AC" w:rsidRPr="005B24AC" w:rsidP="005B24AC" w14:paraId="560CA93D" w14:textId="77777777">
      <w:pPr>
        <w:rPr>
          <w:b/>
        </w:rPr>
      </w:pPr>
    </w:p>
    <w:p w:rsidR="00A1348D" w:rsidP="007F0D91" w14:paraId="7256CC07" w14:textId="4786E99A">
      <w:pPr>
        <w:ind w:left="360"/>
      </w:pPr>
      <w:r>
        <w:t xml:space="preserve">Participants will </w:t>
      </w:r>
      <w:r w:rsidR="00205010">
        <w:t>receive</w:t>
      </w:r>
      <w:r>
        <w:t xml:space="preserve"> a gift card of $</w:t>
      </w:r>
      <w:r w:rsidR="000A5FF7">
        <w:t>75</w:t>
      </w:r>
      <w:r w:rsidR="001F3104">
        <w:t xml:space="preserve"> </w:t>
      </w:r>
      <w:r>
        <w:t xml:space="preserve">as a token of appreciation for participation </w:t>
      </w:r>
      <w:r w:rsidR="00BA2CD0">
        <w:t xml:space="preserve">in the focus group </w:t>
      </w:r>
      <w:r>
        <w:t xml:space="preserve">(approximately </w:t>
      </w:r>
      <w:r w:rsidR="00900FBC">
        <w:t xml:space="preserve">60 </w:t>
      </w:r>
      <w:r>
        <w:t xml:space="preserve">minutes). </w:t>
      </w:r>
      <w:r w:rsidR="0015563B">
        <w:t xml:space="preserve"> </w:t>
      </w:r>
      <w:r>
        <w:t xml:space="preserve">Justifications for the dollar amount in compensation are included below: </w:t>
      </w:r>
    </w:p>
    <w:p w:rsidR="00900FBC" w:rsidP="003A5391" w14:paraId="4685DAD8" w14:textId="72382D49"/>
    <w:p w:rsidR="00900FBC" w:rsidRPr="00245362" w:rsidP="007E77B6" w14:paraId="702E49DE" w14:textId="1DBC8680">
      <w:pPr>
        <w:pStyle w:val="ListParagraph"/>
        <w:numPr>
          <w:ilvl w:val="0"/>
          <w:numId w:val="23"/>
        </w:numPr>
        <w:ind w:left="1080"/>
      </w:pPr>
      <w:r w:rsidRPr="00855EF5">
        <w:rPr>
          <w:i/>
          <w:iCs/>
        </w:rPr>
        <w:t>Improved coverage of specialized respondents or rare groups</w:t>
      </w:r>
      <w:r w:rsidRPr="007F0D91" w:rsidR="00855EF5">
        <w:rPr>
          <w:i/>
        </w:rPr>
        <w:t>.</w:t>
      </w:r>
      <w:r w:rsidRPr="00855EF5">
        <w:t xml:space="preserve"> </w:t>
      </w:r>
      <w:r w:rsidR="0015563B">
        <w:t xml:space="preserve"> </w:t>
      </w:r>
      <w:r w:rsidRPr="007F0D91">
        <w:rPr>
          <w:color w:val="000000" w:themeColor="text1"/>
        </w:rPr>
        <w:t xml:space="preserve">A finite number of consumers meet the eligibility requirements for this study. </w:t>
      </w:r>
      <w:r w:rsidR="0080256A">
        <w:rPr>
          <w:color w:val="000000" w:themeColor="text1"/>
        </w:rPr>
        <w:t xml:space="preserve"> </w:t>
      </w:r>
      <w:r w:rsidRPr="007F0D91">
        <w:rPr>
          <w:color w:val="000000" w:themeColor="text1"/>
        </w:rPr>
        <w:t xml:space="preserve">The use of adequate incentives can help improve coverage of hard-to-reach populations. </w:t>
      </w:r>
      <w:r w:rsidR="0080256A">
        <w:rPr>
          <w:color w:val="000000" w:themeColor="text1"/>
        </w:rPr>
        <w:t xml:space="preserve"> </w:t>
      </w:r>
      <w:r w:rsidRPr="007F0D91">
        <w:rPr>
          <w:color w:val="000000" w:themeColor="text1"/>
        </w:rPr>
        <w:t xml:space="preserve">Our proposed sample includes a </w:t>
      </w:r>
      <w:r w:rsidRPr="007F0D91">
        <w:rPr>
          <w:color w:val="000000" w:themeColor="text1"/>
        </w:rPr>
        <w:t>specialized population</w:t>
      </w:r>
      <w:r w:rsidR="0039718E">
        <w:rPr>
          <w:color w:val="000000" w:themeColor="text1"/>
        </w:rPr>
        <w:t>:</w:t>
      </w:r>
      <w:r w:rsidR="000E272E">
        <w:rPr>
          <w:color w:val="000000" w:themeColor="text1"/>
        </w:rPr>
        <w:t xml:space="preserve"> </w:t>
      </w:r>
      <w:r w:rsidRPr="007F0D91">
        <w:rPr>
          <w:color w:val="000000" w:themeColor="text1"/>
        </w:rPr>
        <w:t xml:space="preserve"> racial and ethnic minority consumers who have experienced an ADE.</w:t>
      </w:r>
    </w:p>
    <w:p w:rsidR="00A1348D" w:rsidRPr="00245362" w:rsidP="00A1348D" w14:paraId="06DE0AB4" w14:textId="77777777">
      <w:pPr>
        <w:pStyle w:val="ListParagraph"/>
      </w:pPr>
    </w:p>
    <w:p w:rsidR="00604FC4" w:rsidRPr="00FF6A5F" w:rsidP="00B72D28" w14:paraId="28F6FA9A" w14:textId="41533978">
      <w:pPr>
        <w:pStyle w:val="ListParagraph"/>
        <w:numPr>
          <w:ilvl w:val="0"/>
          <w:numId w:val="23"/>
        </w:numPr>
        <w:ind w:left="1080"/>
        <w:rPr>
          <w:color w:val="000000"/>
          <w:shd w:val="clear" w:color="auto" w:fill="FFFFFF"/>
        </w:rPr>
      </w:pPr>
      <w:r w:rsidRPr="007F0D91">
        <w:rPr>
          <w:i/>
          <w:color w:val="000000"/>
          <w:shd w:val="clear" w:color="auto" w:fill="FFFFFF"/>
        </w:rPr>
        <w:t xml:space="preserve">Racial and </w:t>
      </w:r>
      <w:r w:rsidRPr="007F0D91" w:rsidR="00855EF5">
        <w:rPr>
          <w:i/>
          <w:color w:val="000000"/>
          <w:shd w:val="clear" w:color="auto" w:fill="FFFFFF"/>
        </w:rPr>
        <w:t>e</w:t>
      </w:r>
      <w:r w:rsidRPr="007F0D91">
        <w:rPr>
          <w:i/>
          <w:color w:val="000000"/>
          <w:shd w:val="clear" w:color="auto" w:fill="FFFFFF"/>
        </w:rPr>
        <w:t>thnic minorities are a challenging and unique population to reach.</w:t>
      </w:r>
      <w:r>
        <w:rPr>
          <w:color w:val="000000"/>
          <w:shd w:val="clear" w:color="auto" w:fill="FFFFFF"/>
        </w:rPr>
        <w:t xml:space="preserve">  </w:t>
      </w:r>
      <w:r w:rsidRPr="00FF6A5F">
        <w:rPr>
          <w:color w:val="000000"/>
          <w:shd w:val="clear" w:color="auto" w:fill="FFFFFF"/>
        </w:rPr>
        <w:t>Participation in research studies can create barriers</w:t>
      </w:r>
      <w:r w:rsidR="000E272E">
        <w:rPr>
          <w:color w:val="000000"/>
          <w:shd w:val="clear" w:color="auto" w:fill="FFFFFF"/>
        </w:rPr>
        <w:t>,</w:t>
      </w:r>
      <w:r w:rsidRPr="00FF6A5F">
        <w:rPr>
          <w:color w:val="000000"/>
          <w:shd w:val="clear" w:color="auto" w:fill="FFFFFF"/>
        </w:rPr>
        <w:t xml:space="preserve"> especially to economically disadvantaged populations</w:t>
      </w:r>
      <w:r w:rsidR="000E272E">
        <w:rPr>
          <w:color w:val="000000"/>
          <w:shd w:val="clear" w:color="auto" w:fill="FFFFFF"/>
        </w:rPr>
        <w:t>,</w:t>
      </w:r>
      <w:r w:rsidRPr="00FF6A5F">
        <w:rPr>
          <w:color w:val="000000"/>
          <w:shd w:val="clear" w:color="auto" w:fill="FFFFFF"/>
        </w:rPr>
        <w:t xml:space="preserve"> due to the time commitment required to participate in research. </w:t>
      </w:r>
      <w:r w:rsidR="0080256A">
        <w:rPr>
          <w:color w:val="000000"/>
          <w:shd w:val="clear" w:color="auto" w:fill="FFFFFF"/>
        </w:rPr>
        <w:t xml:space="preserve"> </w:t>
      </w:r>
      <w:r w:rsidRPr="00FF6A5F">
        <w:rPr>
          <w:color w:val="000000"/>
          <w:shd w:val="clear" w:color="auto" w:fill="FFFFFF"/>
        </w:rPr>
        <w:t>Considering the socioeconomic status associated with racial and ethnic minorities, those barriers impact recruitment efforts of hard-to-reach populations.</w:t>
      </w:r>
      <w:r>
        <w:rPr>
          <w:rStyle w:val="FootnoteReference"/>
          <w:color w:val="000000"/>
          <w:shd w:val="clear" w:color="auto" w:fill="FFFFFF"/>
        </w:rPr>
        <w:footnoteReference w:id="3"/>
      </w:r>
      <w:r w:rsidRPr="00FF6A5F">
        <w:rPr>
          <w:color w:val="000000"/>
          <w:shd w:val="clear" w:color="auto" w:fill="FFFFFF"/>
        </w:rPr>
        <w:t xml:space="preserve"> </w:t>
      </w:r>
      <w:r w:rsidRPr="00691E1B">
        <w:rPr>
          <w:color w:val="000000"/>
          <w:shd w:val="clear" w:color="auto" w:fill="FFFFFF"/>
        </w:rPr>
        <w:t>Researchers argue that participation in research can burden the individual participant if there is no reimburse</w:t>
      </w:r>
      <w:r w:rsidRPr="00691E1B" w:rsidR="00691E1B">
        <w:rPr>
          <w:color w:val="000000"/>
          <w:shd w:val="clear" w:color="auto" w:fill="FFFFFF"/>
        </w:rPr>
        <w:t>ment</w:t>
      </w:r>
      <w:r w:rsidRPr="00691E1B">
        <w:rPr>
          <w:color w:val="000000"/>
          <w:shd w:val="clear" w:color="auto" w:fill="FFFFFF"/>
        </w:rPr>
        <w:t xml:space="preserve"> for their efforts and compensat</w:t>
      </w:r>
      <w:r w:rsidRPr="00691E1B" w:rsidR="00691E1B">
        <w:rPr>
          <w:color w:val="000000"/>
          <w:shd w:val="clear" w:color="auto" w:fill="FFFFFF"/>
        </w:rPr>
        <w:t>ion</w:t>
      </w:r>
      <w:r w:rsidRPr="00691E1B">
        <w:rPr>
          <w:color w:val="000000"/>
          <w:shd w:val="clear" w:color="auto" w:fill="FFFFFF"/>
        </w:rPr>
        <w:t xml:space="preserve">. </w:t>
      </w:r>
      <w:r w:rsidRPr="00691E1B" w:rsidR="00010586">
        <w:rPr>
          <w:color w:val="000000"/>
          <w:shd w:val="clear" w:color="auto" w:fill="FFFFFF"/>
        </w:rPr>
        <w:t xml:space="preserve"> </w:t>
      </w:r>
      <w:r w:rsidRPr="00691E1B">
        <w:rPr>
          <w:color w:val="000000"/>
          <w:shd w:val="clear" w:color="auto" w:fill="FFFFFF"/>
        </w:rPr>
        <w:t>Incentives ensure the participant is not left financially worse due to their participation in the research</w:t>
      </w:r>
      <w:r w:rsidRPr="00FF6A5F">
        <w:rPr>
          <w:color w:val="000000"/>
          <w:shd w:val="clear" w:color="auto" w:fill="FFFFFF"/>
        </w:rPr>
        <w:t xml:space="preserve"> study. </w:t>
      </w:r>
      <w:r w:rsidR="00010586">
        <w:rPr>
          <w:color w:val="000000"/>
          <w:shd w:val="clear" w:color="auto" w:fill="FFFFFF"/>
        </w:rPr>
        <w:t xml:space="preserve"> </w:t>
      </w:r>
      <w:r w:rsidRPr="00FF6A5F">
        <w:rPr>
          <w:color w:val="000000"/>
          <w:shd w:val="clear" w:color="auto" w:fill="FFFFFF"/>
        </w:rPr>
        <w:t>The Council for International Organizations of Medical Sciences</w:t>
      </w:r>
      <w:r w:rsidRPr="004739A3">
        <w:rPr>
          <w:color w:val="000000"/>
          <w:shd w:val="clear" w:color="auto" w:fill="FFFFFF"/>
        </w:rPr>
        <w:t xml:space="preserve"> as well as FDA and the office of Human Research Protections support</w:t>
      </w:r>
      <w:r w:rsidRPr="004739A3">
        <w:rPr>
          <w:color w:val="000000" w:themeColor="text1"/>
        </w:rPr>
        <w:t xml:space="preserve"> compensating</w:t>
      </w:r>
      <w:r w:rsidRPr="00FF6A5F">
        <w:rPr>
          <w:color w:val="000000" w:themeColor="text1"/>
        </w:rPr>
        <w:t xml:space="preserve"> research</w:t>
      </w:r>
      <w:r w:rsidRPr="00FF6A5F">
        <w:rPr>
          <w:color w:val="000000"/>
          <w:shd w:val="clear" w:color="auto" w:fill="FFFFFF"/>
        </w:rPr>
        <w:t xml:space="preserve"> participants for expenses incurred due to their contribution to research studies (e.g., costs of child or elder care, transportation, and meals). </w:t>
      </w:r>
      <w:r w:rsidR="00010586">
        <w:rPr>
          <w:color w:val="000000"/>
          <w:shd w:val="clear" w:color="auto" w:fill="FFFFFF"/>
        </w:rPr>
        <w:t xml:space="preserve"> </w:t>
      </w:r>
      <w:r w:rsidRPr="00FF6A5F">
        <w:rPr>
          <w:color w:val="000000"/>
          <w:shd w:val="clear" w:color="auto" w:fill="FFFFFF"/>
        </w:rPr>
        <w:t>Fair compensation encourages the participation of lower socioeconomic status individuals including those from racial and ethnic populations and provides just compensation for their time and effort</w:t>
      </w:r>
      <w:r w:rsidR="000A7A7F">
        <w:rPr>
          <w:color w:val="000000"/>
          <w:shd w:val="clear" w:color="auto" w:fill="FFFFFF"/>
        </w:rPr>
        <w:t>.</w:t>
      </w:r>
      <w:r>
        <w:rPr>
          <w:rStyle w:val="FootnoteReference"/>
          <w:color w:val="000000"/>
          <w:shd w:val="clear" w:color="auto" w:fill="FFFFFF"/>
        </w:rPr>
        <w:footnoteReference w:id="4"/>
      </w:r>
      <w:r w:rsidRPr="007F0D91" w:rsidR="00121005">
        <w:rPr>
          <w:color w:val="000000"/>
          <w:shd w:val="clear" w:color="auto" w:fill="FFFFFF"/>
          <w:vertAlign w:val="superscript"/>
        </w:rPr>
        <w:t>,</w:t>
      </w:r>
      <w:r>
        <w:rPr>
          <w:rStyle w:val="FootnoteReference"/>
          <w:color w:val="000000"/>
          <w:shd w:val="clear" w:color="auto" w:fill="FFFFFF"/>
        </w:rPr>
        <w:footnoteReference w:id="5"/>
      </w:r>
      <w:r w:rsidRPr="00FF6A5F">
        <w:rPr>
          <w:color w:val="000000"/>
          <w:shd w:val="clear" w:color="auto" w:fill="FFFFFF"/>
        </w:rPr>
        <w:t xml:space="preserve"> </w:t>
      </w:r>
    </w:p>
    <w:p w:rsidR="00EC000F" w:rsidRPr="00604FC4" w:rsidP="00604FC4" w14:paraId="5BE11FFB" w14:textId="77777777">
      <w:pPr>
        <w:pStyle w:val="ListParagraph"/>
        <w:ind w:left="1440"/>
        <w:contextualSpacing/>
        <w:rPr>
          <w:rFonts w:eastAsia="Calibri"/>
          <w:color w:val="000000"/>
          <w:shd w:val="clear" w:color="auto" w:fill="FFFFFF"/>
        </w:rPr>
      </w:pPr>
    </w:p>
    <w:p w:rsidR="00AE1EF7" w:rsidRPr="00DD4546" w:rsidP="00B72D28" w14:paraId="387763E1" w14:textId="784C5D0B">
      <w:pPr>
        <w:pStyle w:val="ListParagraph"/>
        <w:numPr>
          <w:ilvl w:val="0"/>
          <w:numId w:val="23"/>
        </w:numPr>
        <w:ind w:left="1080"/>
        <w:contextualSpacing/>
        <w:rPr>
          <w:rFonts w:eastAsia="Calibri"/>
          <w:color w:val="000000"/>
          <w:shd w:val="clear" w:color="auto" w:fill="FFFFFF"/>
        </w:rPr>
      </w:pPr>
      <w:r w:rsidRPr="007F0D91">
        <w:rPr>
          <w:i/>
          <w:color w:val="000000"/>
          <w:shd w:val="clear" w:color="auto" w:fill="FFFFFF"/>
        </w:rPr>
        <w:t>Providing compensation for participants’ effort</w:t>
      </w:r>
      <w:r w:rsidRPr="007F0D91" w:rsidR="001F3104">
        <w:rPr>
          <w:i/>
          <w:shd w:val="clear" w:color="auto" w:fill="FFFFFF"/>
        </w:rPr>
        <w:t xml:space="preserve"> </w:t>
      </w:r>
      <w:r w:rsidRPr="007F0D91">
        <w:rPr>
          <w:i/>
          <w:color w:val="000000"/>
          <w:shd w:val="clear" w:color="auto" w:fill="FFFFFF"/>
        </w:rPr>
        <w:t>rather than an unjust inducement</w:t>
      </w:r>
      <w:r w:rsidRPr="001F3104">
        <w:rPr>
          <w:color w:val="000000" w:themeColor="text1"/>
        </w:rPr>
        <w:t>.</w:t>
      </w:r>
      <w:r>
        <w:rPr>
          <w:rStyle w:val="FootnoteReference"/>
          <w:color w:val="000000" w:themeColor="text1"/>
        </w:rPr>
        <w:footnoteReference w:id="6"/>
      </w:r>
      <w:r w:rsidRPr="007F0D91" w:rsidR="00121005">
        <w:rPr>
          <w:color w:val="000000" w:themeColor="text1"/>
          <w:vertAlign w:val="superscript"/>
        </w:rPr>
        <w:t>,</w:t>
      </w:r>
      <w:r>
        <w:rPr>
          <w:rStyle w:val="FootnoteReference"/>
          <w:color w:val="000000" w:themeColor="text1"/>
        </w:rPr>
        <w:footnoteReference w:id="7"/>
      </w:r>
      <w:r w:rsidRPr="001F3104">
        <w:rPr>
          <w:color w:val="000000" w:themeColor="text1"/>
        </w:rPr>
        <w:t xml:space="preserve"> </w:t>
      </w:r>
      <w:r w:rsidR="00010586">
        <w:rPr>
          <w:color w:val="000000" w:themeColor="text1"/>
        </w:rPr>
        <w:t xml:space="preserve"> </w:t>
      </w:r>
      <w:r w:rsidRPr="001F3104">
        <w:rPr>
          <w:color w:val="000000" w:themeColor="text1"/>
        </w:rPr>
        <w:t xml:space="preserve">The proposed study </w:t>
      </w:r>
      <w:r w:rsidR="00D974C6">
        <w:rPr>
          <w:color w:val="000000" w:themeColor="text1"/>
        </w:rPr>
        <w:t xml:space="preserve">poses </w:t>
      </w:r>
      <w:r w:rsidRPr="001F3104">
        <w:rPr>
          <w:color w:val="000000" w:themeColor="text1"/>
        </w:rPr>
        <w:t>minimal to no risk to individuals participating in the focus groups</w:t>
      </w:r>
      <w:r w:rsidRPr="00553A35">
        <w:rPr>
          <w:color w:val="000000" w:themeColor="text1"/>
        </w:rPr>
        <w:t xml:space="preserve">. </w:t>
      </w:r>
      <w:r w:rsidRPr="00553A35" w:rsidR="00010586">
        <w:rPr>
          <w:color w:val="000000" w:themeColor="text1"/>
        </w:rPr>
        <w:t xml:space="preserve"> </w:t>
      </w:r>
      <w:r w:rsidRPr="00627A84">
        <w:rPr>
          <w:color w:val="000000" w:themeColor="text1"/>
        </w:rPr>
        <w:t xml:space="preserve">However, the amount of time required for the focus groups to obtain sufficient data </w:t>
      </w:r>
      <w:r w:rsidR="000A75DA">
        <w:rPr>
          <w:color w:val="000000" w:themeColor="text1"/>
        </w:rPr>
        <w:t xml:space="preserve">takes up </w:t>
      </w:r>
      <w:r w:rsidRPr="00627A84">
        <w:rPr>
          <w:color w:val="000000" w:themeColor="text1"/>
        </w:rPr>
        <w:t xml:space="preserve">a significant </w:t>
      </w:r>
      <w:r w:rsidRPr="00627A84" w:rsidR="009E5192">
        <w:rPr>
          <w:color w:val="000000" w:themeColor="text1"/>
        </w:rPr>
        <w:t xml:space="preserve">portion </w:t>
      </w:r>
      <w:r w:rsidRPr="00627A84">
        <w:rPr>
          <w:color w:val="000000" w:themeColor="text1"/>
        </w:rPr>
        <w:t xml:space="preserve">of a </w:t>
      </w:r>
      <w:r w:rsidR="000A75DA">
        <w:rPr>
          <w:color w:val="000000" w:themeColor="text1"/>
        </w:rPr>
        <w:t xml:space="preserve">participant’s </w:t>
      </w:r>
      <w:r w:rsidRPr="00627A84">
        <w:rPr>
          <w:color w:val="000000" w:themeColor="text1"/>
        </w:rPr>
        <w:t>day</w:t>
      </w:r>
      <w:r w:rsidRPr="00553A35" w:rsidR="009E5192">
        <w:rPr>
          <w:color w:val="000000" w:themeColor="text1"/>
        </w:rPr>
        <w:t>. Thus,</w:t>
      </w:r>
      <w:r w:rsidRPr="00553A35">
        <w:rPr>
          <w:color w:val="000000" w:themeColor="text1"/>
        </w:rPr>
        <w:t xml:space="preserve"> the </w:t>
      </w:r>
      <w:r w:rsidRPr="00553A35" w:rsidR="009C13AC">
        <w:rPr>
          <w:color w:val="000000" w:themeColor="text1"/>
        </w:rPr>
        <w:t>incentive</w:t>
      </w:r>
      <w:r w:rsidRPr="00553A35">
        <w:rPr>
          <w:color w:val="000000" w:themeColor="text1"/>
        </w:rPr>
        <w:t xml:space="preserve"> </w:t>
      </w:r>
      <w:r w:rsidRPr="00553A35" w:rsidR="001D6A2F">
        <w:rPr>
          <w:color w:val="000000" w:themeColor="text1"/>
        </w:rPr>
        <w:t>of</w:t>
      </w:r>
      <w:r w:rsidRPr="00553A35">
        <w:rPr>
          <w:color w:val="000000" w:themeColor="text1"/>
        </w:rPr>
        <w:t xml:space="preserve"> $</w:t>
      </w:r>
      <w:r w:rsidRPr="00553A35" w:rsidR="00604FC4">
        <w:rPr>
          <w:color w:val="000000" w:themeColor="text1"/>
        </w:rPr>
        <w:t>75</w:t>
      </w:r>
      <w:r w:rsidRPr="00553A35">
        <w:rPr>
          <w:color w:val="000000" w:themeColor="text1"/>
        </w:rPr>
        <w:t xml:space="preserve"> is an appropriate amount for this study as discussed above. </w:t>
      </w:r>
      <w:r w:rsidRPr="00553A35" w:rsidR="00010586">
        <w:rPr>
          <w:color w:val="000000" w:themeColor="text1"/>
        </w:rPr>
        <w:t xml:space="preserve"> </w:t>
      </w:r>
      <w:r w:rsidRPr="00553A35">
        <w:rPr>
          <w:color w:val="000000" w:themeColor="text1"/>
        </w:rPr>
        <w:t>If the incentive is not adequate, participants may initially agree to participate and then fail</w:t>
      </w:r>
      <w:r w:rsidRPr="001F3104">
        <w:rPr>
          <w:color w:val="000000" w:themeColor="text1"/>
        </w:rPr>
        <w:t xml:space="preserve"> to appear for the scheduled time, resulting in incomplete data collection and potential loss of government funds associated with recruitment costs and moderator time.</w:t>
      </w:r>
      <w:r>
        <w:rPr>
          <w:rStyle w:val="FootnoteReference"/>
          <w:color w:val="000000" w:themeColor="text1"/>
        </w:rPr>
        <w:footnoteReference w:id="8"/>
      </w:r>
      <w:r w:rsidRPr="001F3104">
        <w:rPr>
          <w:color w:val="000000" w:themeColor="text1"/>
        </w:rPr>
        <w:t xml:space="preserve"> </w:t>
      </w:r>
      <w:r w:rsidR="00010586">
        <w:rPr>
          <w:color w:val="000000" w:themeColor="text1"/>
        </w:rPr>
        <w:t xml:space="preserve"> </w:t>
      </w:r>
      <w:r w:rsidRPr="001F3104">
        <w:rPr>
          <w:color w:val="000000" w:themeColor="text1"/>
        </w:rPr>
        <w:t xml:space="preserve">Moreover, if </w:t>
      </w:r>
      <w:r w:rsidR="00445570">
        <w:rPr>
          <w:color w:val="000000" w:themeColor="text1"/>
        </w:rPr>
        <w:t>there is</w:t>
      </w:r>
      <w:r w:rsidR="00546BE0">
        <w:rPr>
          <w:color w:val="000000" w:themeColor="text1"/>
        </w:rPr>
        <w:t xml:space="preserve"> no monetary </w:t>
      </w:r>
      <w:r w:rsidRPr="001F3104">
        <w:rPr>
          <w:color w:val="000000" w:themeColor="text1"/>
        </w:rPr>
        <w:t>incentive, it is less likely that individuals will consider participating in research studies</w:t>
      </w:r>
      <w:r w:rsidR="00FE5930">
        <w:rPr>
          <w:color w:val="000000" w:themeColor="text1"/>
        </w:rPr>
        <w:t>,</w:t>
      </w:r>
      <w:r w:rsidRPr="001F3104">
        <w:rPr>
          <w:color w:val="000000" w:themeColor="text1"/>
        </w:rPr>
        <w:t xml:space="preserve"> which may result in insufficient data collection and longer recruitment periods.</w:t>
      </w:r>
      <w:r>
        <w:rPr>
          <w:rStyle w:val="FootnoteReference"/>
          <w:color w:val="000000" w:themeColor="text1"/>
        </w:rPr>
        <w:footnoteReference w:id="9"/>
      </w:r>
      <w:r w:rsidRPr="0086554C" w:rsidR="00121005">
        <w:rPr>
          <w:color w:val="000000" w:themeColor="text1"/>
          <w:vertAlign w:val="superscript"/>
        </w:rPr>
        <w:t>,</w:t>
      </w:r>
      <w:r>
        <w:rPr>
          <w:rStyle w:val="FootnoteReference"/>
          <w:color w:val="000000" w:themeColor="text1"/>
        </w:rPr>
        <w:footnoteReference w:id="10"/>
      </w:r>
      <w:r w:rsidRPr="0086554C" w:rsidR="00121005">
        <w:rPr>
          <w:color w:val="000000" w:themeColor="text1"/>
          <w:vertAlign w:val="superscript"/>
        </w:rPr>
        <w:t>,</w:t>
      </w:r>
      <w:r>
        <w:rPr>
          <w:rStyle w:val="FootnoteReference"/>
          <w:color w:val="000000" w:themeColor="text1"/>
        </w:rPr>
        <w:footnoteReference w:id="11"/>
      </w:r>
    </w:p>
    <w:p w:rsidR="00395C31" w:rsidP="00395C31" w14:paraId="431E82A2" w14:textId="55009C59">
      <w:pPr>
        <w:pStyle w:val="ListParagraph"/>
        <w:autoSpaceDE w:val="0"/>
        <w:autoSpaceDN w:val="0"/>
        <w:adjustRightInd w:val="0"/>
        <w:ind w:left="1440"/>
        <w:rPr>
          <w:lang w:eastAsia="ja-JP"/>
        </w:rPr>
      </w:pPr>
    </w:p>
    <w:p w:rsidR="00B35949" w:rsidRPr="0070742D" w:rsidP="00FA74BC" w14:paraId="697DF9D0" w14:textId="32F54CFD">
      <w:pPr>
        <w:pStyle w:val="ListParagraph"/>
        <w:numPr>
          <w:ilvl w:val="0"/>
          <w:numId w:val="32"/>
        </w:numPr>
        <w:rPr>
          <w:sz w:val="17"/>
          <w:szCs w:val="17"/>
          <w:lang w:eastAsia="ja-JP"/>
        </w:rPr>
      </w:pPr>
      <w:r w:rsidRPr="00395C31">
        <w:rPr>
          <w:lang w:eastAsia="ja-JP"/>
        </w:rPr>
        <w:t xml:space="preserve">In </w:t>
      </w:r>
      <w:r w:rsidR="000A7A7F">
        <w:rPr>
          <w:lang w:eastAsia="ja-JP"/>
        </w:rPr>
        <w:t>two</w:t>
      </w:r>
      <w:r w:rsidRPr="00395C31">
        <w:rPr>
          <w:lang w:eastAsia="ja-JP"/>
        </w:rPr>
        <w:t xml:space="preserve"> randomized clinical trials, financial incentives increased trial enrollment in </w:t>
      </w:r>
      <w:r w:rsidR="000A7A7F">
        <w:rPr>
          <w:lang w:eastAsia="ja-JP"/>
        </w:rPr>
        <w:t>one</w:t>
      </w:r>
      <w:r w:rsidRPr="00395C31">
        <w:rPr>
          <w:lang w:eastAsia="ja-JP"/>
        </w:rPr>
        <w:t xml:space="preserve"> of </w:t>
      </w:r>
      <w:r w:rsidR="000A7A7F">
        <w:rPr>
          <w:lang w:eastAsia="ja-JP"/>
        </w:rPr>
        <w:t>the two</w:t>
      </w:r>
      <w:r w:rsidRPr="00395C31">
        <w:rPr>
          <w:lang w:eastAsia="ja-JP"/>
        </w:rPr>
        <w:t xml:space="preserve"> trials and did not produce undue or unjust inducement or other unintended</w:t>
      </w:r>
      <w:r w:rsidR="00DE283A">
        <w:rPr>
          <w:lang w:eastAsia="ja-JP"/>
        </w:rPr>
        <w:t xml:space="preserve"> </w:t>
      </w:r>
      <w:r w:rsidRPr="00395C31">
        <w:rPr>
          <w:lang w:eastAsia="ja-JP"/>
        </w:rPr>
        <w:t>consequences in either trial.</w:t>
      </w:r>
      <w:r>
        <w:rPr>
          <w:rStyle w:val="FootnoteReference"/>
          <w:lang w:eastAsia="ja-JP"/>
        </w:rPr>
        <w:footnoteReference w:id="12"/>
      </w:r>
      <w:r w:rsidRPr="00395C31" w:rsidR="00AE1EF7">
        <w:rPr>
          <w:color w:val="000000" w:themeColor="text1"/>
        </w:rPr>
        <w:t xml:space="preserve"> </w:t>
      </w:r>
      <w:r w:rsidR="00010586">
        <w:rPr>
          <w:color w:val="000000" w:themeColor="text1"/>
        </w:rPr>
        <w:t xml:space="preserve"> </w:t>
      </w:r>
      <w:r w:rsidRPr="00395C31" w:rsidR="00AE1EF7">
        <w:rPr>
          <w:color w:val="000000" w:themeColor="text1"/>
        </w:rPr>
        <w:t xml:space="preserve">Financial incentives are a valuable option that promote participation in research studies, especially when determination of compensation is based on the cost and effort expended by the participant as a form of respect and just reward for </w:t>
      </w:r>
      <w:r w:rsidR="006A643F">
        <w:rPr>
          <w:color w:val="000000" w:themeColor="text1"/>
        </w:rPr>
        <w:t>their</w:t>
      </w:r>
      <w:r w:rsidRPr="00395C31" w:rsidR="00AE1EF7">
        <w:rPr>
          <w:color w:val="000000" w:themeColor="text1"/>
        </w:rPr>
        <w:t xml:space="preserve"> participat</w:t>
      </w:r>
      <w:r w:rsidR="006A643F">
        <w:rPr>
          <w:color w:val="000000" w:themeColor="text1"/>
        </w:rPr>
        <w:t>ion</w:t>
      </w:r>
      <w:r w:rsidRPr="00395C31" w:rsidR="00AE1EF7">
        <w:rPr>
          <w:color w:val="000000" w:themeColor="text1"/>
        </w:rPr>
        <w:t xml:space="preserve">. </w:t>
      </w:r>
      <w:r w:rsidR="00010586">
        <w:rPr>
          <w:color w:val="000000" w:themeColor="text1"/>
        </w:rPr>
        <w:t xml:space="preserve"> </w:t>
      </w:r>
      <w:r w:rsidRPr="00395C31" w:rsidR="00AE1EF7">
        <w:rPr>
          <w:color w:val="000000" w:themeColor="text1"/>
        </w:rPr>
        <w:t xml:space="preserve">Use of financial incentives can enhance enrollment, </w:t>
      </w:r>
      <w:r w:rsidRPr="00395C31" w:rsidR="00AE1EF7">
        <w:rPr>
          <w:color w:val="000000" w:themeColor="text1"/>
        </w:rPr>
        <w:t>without undue coercion of any particular population, and can serve as a means to</w:t>
      </w:r>
      <w:r w:rsidRPr="00395C31" w:rsidR="00AE1EF7">
        <w:rPr>
          <w:shd w:val="clear" w:color="auto" w:fill="FFFFFF"/>
        </w:rPr>
        <w:t xml:space="preserve"> equalize study participation.</w:t>
      </w:r>
      <w:r>
        <w:rPr>
          <w:rStyle w:val="FootnoteReference"/>
        </w:rPr>
        <w:footnoteReference w:id="13"/>
      </w:r>
    </w:p>
    <w:p w:rsidR="00D34C0E" w:rsidRPr="00D34C0E" w:rsidP="00FA74BC" w14:paraId="7E733048" w14:textId="51571336">
      <w:pPr>
        <w:pStyle w:val="ListParagraph"/>
        <w:ind w:left="1080"/>
        <w:rPr>
          <w:lang w:eastAsia="ja-JP"/>
        </w:rPr>
      </w:pPr>
    </w:p>
    <w:p w:rsidR="00D34C0E" w:rsidP="00FA74BC" w14:paraId="6C4A6E37" w14:textId="07974AEC">
      <w:pPr>
        <w:pStyle w:val="ListParagraph"/>
        <w:numPr>
          <w:ilvl w:val="0"/>
          <w:numId w:val="32"/>
        </w:numPr>
        <w:autoSpaceDE w:val="0"/>
        <w:autoSpaceDN w:val="0"/>
        <w:adjustRightInd w:val="0"/>
        <w:rPr>
          <w:color w:val="000000"/>
          <w:lang w:eastAsia="ja-JP"/>
        </w:rPr>
      </w:pPr>
      <w:r>
        <w:rPr>
          <w:color w:val="000000"/>
          <w:lang w:eastAsia="ja-JP"/>
        </w:rPr>
        <w:t>A</w:t>
      </w:r>
      <w:r w:rsidRPr="0070742D">
        <w:rPr>
          <w:color w:val="000000"/>
          <w:lang w:eastAsia="ja-JP"/>
        </w:rPr>
        <w:t xml:space="preserve"> national survey of IRB members and staff</w:t>
      </w:r>
      <w:r w:rsidR="00DE283A">
        <w:rPr>
          <w:color w:val="000000"/>
          <w:lang w:eastAsia="ja-JP"/>
        </w:rPr>
        <w:t xml:space="preserve"> </w:t>
      </w:r>
      <w:r w:rsidRPr="0070742D">
        <w:rPr>
          <w:color w:val="000000"/>
          <w:lang w:eastAsia="ja-JP"/>
        </w:rPr>
        <w:t>concluded that “excessively expansive or inconsistent views about coercion and undue influence held by IRB members and human subjects professionals may interfere with the recruitment of research participants by needlessly limiting the payments offered to them and may thereby impede valuable research without true cause.”</w:t>
      </w:r>
      <w:r>
        <w:rPr>
          <w:rStyle w:val="FootnoteReference"/>
          <w:color w:val="000000"/>
          <w:lang w:eastAsia="ja-JP"/>
        </w:rPr>
        <w:footnoteReference w:id="14"/>
      </w:r>
    </w:p>
    <w:p w:rsidR="005B24AC" w:rsidRPr="00525133" w:rsidP="007F0D91" w14:paraId="20E58A83" w14:textId="77777777">
      <w:pPr>
        <w:autoSpaceDE w:val="0"/>
        <w:autoSpaceDN w:val="0"/>
        <w:adjustRightInd w:val="0"/>
        <w:rPr>
          <w:rFonts w:ascii="Calibri" w:hAnsi="Calibri" w:cs="Calibri"/>
        </w:rPr>
      </w:pPr>
    </w:p>
    <w:p w:rsidR="00937D10" w:rsidRPr="00B14604" w:rsidP="00FA74BC" w14:paraId="20FF9749" w14:textId="1419CC2F">
      <w:pPr>
        <w:numPr>
          <w:ilvl w:val="0"/>
          <w:numId w:val="31"/>
        </w:numPr>
        <w:spacing w:after="200" w:line="276" w:lineRule="auto"/>
        <w:contextualSpacing/>
        <w:rPr>
          <w:bCs/>
        </w:rPr>
      </w:pPr>
      <w:r w:rsidRPr="00B14604">
        <w:rPr>
          <w:bCs/>
          <w:u w:val="single"/>
        </w:rPr>
        <w:t>Questions of a Sensitive Nature</w:t>
      </w:r>
    </w:p>
    <w:p w:rsidR="005B24AC" w:rsidRPr="005B24AC" w:rsidP="005B24AC" w14:paraId="085BA13E" w14:textId="77777777">
      <w:pPr>
        <w:ind w:left="360"/>
        <w:contextualSpacing/>
      </w:pPr>
    </w:p>
    <w:p w:rsidR="00C05CE5" w:rsidRPr="009B4BEC" w:rsidP="00DF60DE" w14:paraId="7BE83FF3" w14:textId="3CBAEDF5">
      <w:pPr>
        <w:pStyle w:val="ListParagraph"/>
        <w:ind w:left="360"/>
      </w:pPr>
      <w:r>
        <w:t xml:space="preserve">Participants will be asked if they have </w:t>
      </w:r>
      <w:r w:rsidR="00D9616F">
        <w:t>experienced</w:t>
      </w:r>
      <w:r>
        <w:t xml:space="preserve"> an ADE but will be told explicitly that they </w:t>
      </w:r>
      <w:r w:rsidR="000A7A7F">
        <w:t xml:space="preserve">do not </w:t>
      </w:r>
      <w:r>
        <w:t xml:space="preserve">need </w:t>
      </w:r>
      <w:r w:rsidR="000A7A7F">
        <w:t>to</w:t>
      </w:r>
      <w:r>
        <w:t xml:space="preserve"> describ</w:t>
      </w:r>
      <w:r w:rsidR="000A7A7F">
        <w:t xml:space="preserve">e the symptoms they experienced </w:t>
      </w:r>
      <w:r>
        <w:t xml:space="preserve">or discuss the health condition for which they are taking certain drugs. </w:t>
      </w:r>
      <w:r w:rsidR="00010586">
        <w:t xml:space="preserve"> </w:t>
      </w:r>
      <w:r>
        <w:t>T</w:t>
      </w:r>
      <w:r w:rsidRPr="009B4BEC">
        <w:t xml:space="preserve">here will be no </w:t>
      </w:r>
      <w:r>
        <w:t xml:space="preserve">other </w:t>
      </w:r>
      <w:r w:rsidRPr="009B4BEC">
        <w:t>questions of a sensitive nature asked of participants.</w:t>
      </w:r>
    </w:p>
    <w:p w:rsidR="00C05CE5" w:rsidRPr="005B24AC" w:rsidP="005B24AC" w14:paraId="3032BDE1" w14:textId="77777777">
      <w:pPr>
        <w:ind w:left="360"/>
        <w:contextualSpacing/>
        <w:rPr>
          <w:rFonts w:eastAsia="Calibri"/>
        </w:rPr>
      </w:pPr>
    </w:p>
    <w:p w:rsidR="00937D10" w:rsidRPr="00B14604" w:rsidP="00FA74BC" w14:paraId="7E961B3E" w14:textId="0BEE3B34">
      <w:pPr>
        <w:numPr>
          <w:ilvl w:val="0"/>
          <w:numId w:val="31"/>
        </w:numPr>
        <w:spacing w:after="200" w:line="276" w:lineRule="auto"/>
        <w:contextualSpacing/>
        <w:rPr>
          <w:bCs/>
          <w:u w:val="single"/>
        </w:rPr>
      </w:pPr>
      <w:r w:rsidRPr="00B14604">
        <w:rPr>
          <w:bCs/>
          <w:u w:val="single"/>
        </w:rPr>
        <w:t>Description of Statistical Methods</w:t>
      </w:r>
    </w:p>
    <w:p w:rsidR="005B24AC" w:rsidRPr="005B24AC" w:rsidP="005B24AC" w14:paraId="5FA00D83" w14:textId="77777777">
      <w:pPr>
        <w:ind w:left="720"/>
        <w:contextualSpacing/>
      </w:pPr>
    </w:p>
    <w:p w:rsidR="00A1348D" w:rsidP="00DF60DE" w14:paraId="1B1DFB2F" w14:textId="2803A931">
      <w:pPr>
        <w:ind w:left="360"/>
      </w:pPr>
      <w:bookmarkStart w:id="2" w:name="_Hlk65745771"/>
      <w:r w:rsidRPr="000A7A7F">
        <w:t xml:space="preserve">This is a qualitative study using a convenience sample.  It does </w:t>
      </w:r>
      <w:r w:rsidRPr="000A7A7F" w:rsidR="00182D96">
        <w:t xml:space="preserve">not </w:t>
      </w:r>
      <w:r w:rsidRPr="000A7A7F">
        <w:t>use statistical methods.</w:t>
      </w:r>
      <w:bookmarkEnd w:id="2"/>
      <w:r w:rsidRPr="000A7A7F" w:rsidR="00B07D68">
        <w:t xml:space="preserve"> </w:t>
      </w:r>
      <w:r w:rsidR="00010586">
        <w:t xml:space="preserve"> </w:t>
      </w:r>
      <w:r w:rsidRPr="000A7A7F">
        <w:t xml:space="preserve">The information gathered will be qualitative in nature, focusing on participants’ </w:t>
      </w:r>
      <w:r w:rsidRPr="000A7A7F" w:rsidR="0024518B">
        <w:t>perceptions of, attitudes about, and access to adverse event reporting using MedWatch</w:t>
      </w:r>
      <w:r w:rsidRPr="000A7A7F">
        <w:t xml:space="preserve">. </w:t>
      </w:r>
      <w:r w:rsidR="00010586">
        <w:t xml:space="preserve"> </w:t>
      </w:r>
      <w:r w:rsidRPr="000A7A7F" w:rsidR="00E47ECE">
        <w:t xml:space="preserve">The findings will be reported as qualitative summaries </w:t>
      </w:r>
      <w:r w:rsidR="000A7A7F">
        <w:t xml:space="preserve">using such qualitative descriptors as </w:t>
      </w:r>
      <w:r w:rsidRPr="007E2786" w:rsidR="00E47ECE">
        <w:rPr>
          <w:i/>
          <w:iCs/>
        </w:rPr>
        <w:t>most</w:t>
      </w:r>
      <w:r w:rsidRPr="000A7A7F" w:rsidR="00E47ECE">
        <w:t xml:space="preserve">, </w:t>
      </w:r>
      <w:r w:rsidRPr="007E2786" w:rsidR="00E47ECE">
        <w:rPr>
          <w:i/>
          <w:iCs/>
        </w:rPr>
        <w:t>many</w:t>
      </w:r>
      <w:r w:rsidRPr="000A7A7F" w:rsidR="00E47ECE">
        <w:t>,</w:t>
      </w:r>
      <w:r w:rsidR="000A7A7F">
        <w:t xml:space="preserve"> and</w:t>
      </w:r>
      <w:r w:rsidRPr="000A7A7F" w:rsidR="00E47ECE">
        <w:t xml:space="preserve"> </w:t>
      </w:r>
      <w:r w:rsidRPr="007E2786" w:rsidR="00E47ECE">
        <w:rPr>
          <w:i/>
          <w:iCs/>
        </w:rPr>
        <w:t>some</w:t>
      </w:r>
      <w:r w:rsidR="000A7A7F">
        <w:t>.</w:t>
      </w:r>
    </w:p>
    <w:p w:rsidR="00B92FC1" w:rsidP="005B24AC" w14:paraId="683A0467" w14:textId="130C51A4"/>
    <w:p w:rsidR="005B24AC" w:rsidRPr="005B24AC" w:rsidP="00FA74BC" w14:paraId="14C7C474" w14:textId="30FF7C10">
      <w:pPr>
        <w:pStyle w:val="ListParagraph"/>
        <w:numPr>
          <w:ilvl w:val="0"/>
          <w:numId w:val="31"/>
        </w:numPr>
        <w:contextualSpacing/>
      </w:pPr>
      <w:r w:rsidRPr="00B14604">
        <w:rPr>
          <w:u w:val="single"/>
        </w:rPr>
        <w:t>B</w:t>
      </w:r>
      <w:r w:rsidRPr="00B14604" w:rsidR="00A0559D">
        <w:rPr>
          <w:u w:val="single"/>
        </w:rPr>
        <w:t>urden</w:t>
      </w:r>
      <w:r w:rsidRPr="008F2084">
        <w:rPr>
          <w:b/>
          <w:bCs/>
        </w:rPr>
        <w:t xml:space="preserve"> </w:t>
      </w:r>
    </w:p>
    <w:p w:rsidR="005B24AC" w:rsidRPr="005B24AC" w:rsidP="00937D10" w14:paraId="4EC8523C" w14:textId="77777777">
      <w:pPr>
        <w:ind w:left="360"/>
      </w:pPr>
    </w:p>
    <w:p w:rsidR="005B24AC" w:rsidRPr="005B24AC" w:rsidP="00215DA4" w14:paraId="24547D95" w14:textId="76B9F181">
      <w:pPr>
        <w:ind w:left="-144" w:firstLine="720"/>
        <w:rPr>
          <w:b/>
          <w:bCs/>
          <w:i/>
          <w:iCs/>
        </w:rPr>
      </w:pP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6"/>
        <w:gridCol w:w="38"/>
        <w:gridCol w:w="2962"/>
        <w:gridCol w:w="14"/>
        <w:gridCol w:w="1605"/>
        <w:gridCol w:w="13"/>
        <w:gridCol w:w="1864"/>
      </w:tblGrid>
      <w:tr w14:paraId="3F1AF87C" w14:textId="77777777" w:rsidTr="00FA74BC">
        <w:tblPrEx>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4"/>
          <w:jc w:val="center"/>
        </w:trPr>
        <w:tc>
          <w:tcPr>
            <w:tcW w:w="1996" w:type="dxa"/>
            <w:shd w:val="clear" w:color="auto" w:fill="E0E0E0"/>
          </w:tcPr>
          <w:p w:rsidR="004453D1" w:rsidRPr="00186D50" w14:paraId="79AFBD41" w14:textId="77777777">
            <w:pPr>
              <w:jc w:val="center"/>
              <w:rPr>
                <w:b/>
              </w:rPr>
            </w:pPr>
            <w:r w:rsidRPr="00186D50">
              <w:rPr>
                <w:b/>
              </w:rPr>
              <w:t>Type/Category of Respondent</w:t>
            </w:r>
          </w:p>
        </w:tc>
        <w:tc>
          <w:tcPr>
            <w:tcW w:w="3000" w:type="dxa"/>
            <w:gridSpan w:val="2"/>
            <w:shd w:val="clear" w:color="auto" w:fill="E0E0E0"/>
          </w:tcPr>
          <w:p w:rsidR="004453D1" w:rsidRPr="00186D50" w14:paraId="65FC5428" w14:textId="77777777">
            <w:pPr>
              <w:jc w:val="center"/>
              <w:rPr>
                <w:b/>
              </w:rPr>
            </w:pPr>
            <w:r w:rsidRPr="00186D50">
              <w:rPr>
                <w:b/>
              </w:rPr>
              <w:t>No. of Respondents</w:t>
            </w:r>
          </w:p>
        </w:tc>
        <w:tc>
          <w:tcPr>
            <w:tcW w:w="1619" w:type="dxa"/>
            <w:gridSpan w:val="2"/>
            <w:shd w:val="clear" w:color="auto" w:fill="E0E0E0"/>
          </w:tcPr>
          <w:p w:rsidR="004453D1" w:rsidRPr="009B4BEC" w14:paraId="1C3571F4" w14:textId="56AA429D">
            <w:pPr>
              <w:jc w:val="center"/>
              <w:rPr>
                <w:b/>
              </w:rPr>
            </w:pPr>
            <w:r w:rsidRPr="009B4BEC">
              <w:rPr>
                <w:b/>
              </w:rPr>
              <w:t>Participation Time (minutes)</w:t>
            </w:r>
          </w:p>
        </w:tc>
        <w:tc>
          <w:tcPr>
            <w:tcW w:w="1877" w:type="dxa"/>
            <w:gridSpan w:val="2"/>
            <w:shd w:val="clear" w:color="auto" w:fill="E0E0E0"/>
          </w:tcPr>
          <w:p w:rsidR="004453D1" w:rsidRPr="00186D50" w14:paraId="496154F0" w14:textId="6F5D079F">
            <w:pPr>
              <w:jc w:val="center"/>
              <w:rPr>
                <w:b/>
              </w:rPr>
            </w:pPr>
            <w:r>
              <w:rPr>
                <w:b/>
              </w:rPr>
              <w:t xml:space="preserve">Total </w:t>
            </w:r>
            <w:r w:rsidRPr="00186D50">
              <w:rPr>
                <w:b/>
              </w:rPr>
              <w:t>Burden</w:t>
            </w:r>
          </w:p>
          <w:p w:rsidR="004453D1" w:rsidRPr="009B4BEC" w14:paraId="360456FA" w14:textId="77777777">
            <w:pPr>
              <w:jc w:val="center"/>
              <w:rPr>
                <w:b/>
              </w:rPr>
            </w:pPr>
            <w:r w:rsidRPr="00186D50">
              <w:rPr>
                <w:b/>
              </w:rPr>
              <w:t>(hours)</w:t>
            </w:r>
          </w:p>
        </w:tc>
      </w:tr>
      <w:tr w14:paraId="753A1A65" w14:textId="77777777">
        <w:tblPrEx>
          <w:tblW w:w="8492" w:type="dxa"/>
          <w:jc w:val="center"/>
          <w:tblLook w:val="01E0"/>
        </w:tblPrEx>
        <w:trPr>
          <w:trHeight w:val="274"/>
          <w:jc w:val="center"/>
        </w:trPr>
        <w:tc>
          <w:tcPr>
            <w:tcW w:w="1996" w:type="dxa"/>
          </w:tcPr>
          <w:p w:rsidR="004453D1" w:rsidRPr="00186D50" w14:paraId="38613B87" w14:textId="77777777">
            <w:pPr>
              <w:jc w:val="center"/>
            </w:pPr>
            <w:r w:rsidRPr="00186D50">
              <w:t>Screener</w:t>
            </w:r>
          </w:p>
        </w:tc>
        <w:tc>
          <w:tcPr>
            <w:tcW w:w="3000" w:type="dxa"/>
            <w:gridSpan w:val="2"/>
          </w:tcPr>
          <w:p w:rsidR="004453D1" w:rsidRPr="00186D50" w:rsidP="00D13BB9" w14:paraId="05358203" w14:textId="4710CBD3">
            <w:pPr>
              <w:jc w:val="center"/>
            </w:pPr>
            <w:r w:rsidRPr="00186D50">
              <w:t>150</w:t>
            </w:r>
          </w:p>
        </w:tc>
        <w:tc>
          <w:tcPr>
            <w:tcW w:w="1619" w:type="dxa"/>
            <w:gridSpan w:val="2"/>
          </w:tcPr>
          <w:p w:rsidR="004453D1" w:rsidRPr="009B4BEC" w14:paraId="70C96A01" w14:textId="77777777">
            <w:pPr>
              <w:jc w:val="center"/>
            </w:pPr>
            <w:r>
              <w:t>6</w:t>
            </w:r>
            <w:r w:rsidRPr="009B4BEC">
              <w:t xml:space="preserve"> minutes </w:t>
            </w:r>
          </w:p>
          <w:p w:rsidR="004453D1" w:rsidRPr="009B4BEC" w14:paraId="79F49C0D" w14:textId="07B71ECF">
            <w:pPr>
              <w:jc w:val="center"/>
            </w:pPr>
            <w:r w:rsidRPr="009B4BEC">
              <w:t>(0.1 hour)</w:t>
            </w:r>
          </w:p>
        </w:tc>
        <w:tc>
          <w:tcPr>
            <w:tcW w:w="1877" w:type="dxa"/>
            <w:gridSpan w:val="2"/>
          </w:tcPr>
          <w:p w:rsidR="004453D1" w:rsidRPr="009B4BEC" w14:paraId="381389F2" w14:textId="588211ED">
            <w:pPr>
              <w:jc w:val="center"/>
            </w:pPr>
            <w:r>
              <w:t>15</w:t>
            </w:r>
          </w:p>
        </w:tc>
      </w:tr>
      <w:tr w14:paraId="40DDA8CB" w14:textId="77777777" w:rsidTr="00C247E8">
        <w:tblPrEx>
          <w:tblW w:w="8492" w:type="dxa"/>
          <w:jc w:val="center"/>
          <w:tblLook w:val="01E0"/>
        </w:tblPrEx>
        <w:trPr>
          <w:trHeight w:val="274"/>
          <w:jc w:val="center"/>
        </w:trPr>
        <w:tc>
          <w:tcPr>
            <w:tcW w:w="2034" w:type="dxa"/>
            <w:gridSpan w:val="2"/>
          </w:tcPr>
          <w:p w:rsidR="00C247E8" w:rsidP="00D13BB9" w14:paraId="595970D6" w14:textId="77777777">
            <w:pPr>
              <w:jc w:val="center"/>
            </w:pPr>
            <w:r>
              <w:t>Confirmation Letter</w:t>
            </w:r>
          </w:p>
        </w:tc>
        <w:tc>
          <w:tcPr>
            <w:tcW w:w="2976" w:type="dxa"/>
            <w:gridSpan w:val="2"/>
          </w:tcPr>
          <w:p w:rsidR="00C247E8" w:rsidP="00D13BB9" w14:paraId="574AAD57" w14:textId="77777777">
            <w:pPr>
              <w:jc w:val="center"/>
            </w:pPr>
            <w:r>
              <w:t>72</w:t>
            </w:r>
          </w:p>
        </w:tc>
        <w:tc>
          <w:tcPr>
            <w:tcW w:w="1618" w:type="dxa"/>
            <w:gridSpan w:val="2"/>
          </w:tcPr>
          <w:p w:rsidR="00C247E8" w14:paraId="66E8B626" w14:textId="77777777">
            <w:pPr>
              <w:jc w:val="center"/>
            </w:pPr>
            <w:r>
              <w:t>1 minute</w:t>
            </w:r>
          </w:p>
          <w:p w:rsidR="00C247E8" w14:paraId="08A0BDF4" w14:textId="1725A0ED">
            <w:pPr>
              <w:jc w:val="center"/>
            </w:pPr>
            <w:r>
              <w:t>(.0</w:t>
            </w:r>
            <w:r w:rsidR="00910737">
              <w:t>2</w:t>
            </w:r>
            <w:r>
              <w:t xml:space="preserve"> hour) </w:t>
            </w:r>
          </w:p>
        </w:tc>
        <w:tc>
          <w:tcPr>
            <w:tcW w:w="1864" w:type="dxa"/>
          </w:tcPr>
          <w:p w:rsidR="00C247E8" w14:paraId="19A3ED92" w14:textId="199B60A4">
            <w:pPr>
              <w:jc w:val="center"/>
            </w:pPr>
            <w:r>
              <w:t>1.</w:t>
            </w:r>
            <w:r w:rsidR="00910737">
              <w:t>44</w:t>
            </w:r>
          </w:p>
        </w:tc>
      </w:tr>
      <w:tr w14:paraId="29ECF07B" w14:textId="77777777" w:rsidTr="00C247E8">
        <w:tblPrEx>
          <w:tblW w:w="8492" w:type="dxa"/>
          <w:jc w:val="center"/>
          <w:tblLook w:val="01E0"/>
        </w:tblPrEx>
        <w:trPr>
          <w:trHeight w:val="274"/>
          <w:jc w:val="center"/>
        </w:trPr>
        <w:tc>
          <w:tcPr>
            <w:tcW w:w="2034" w:type="dxa"/>
            <w:gridSpan w:val="2"/>
          </w:tcPr>
          <w:p w:rsidR="00C247E8" w:rsidP="00D13BB9" w14:paraId="12A15AC7" w14:textId="77777777">
            <w:pPr>
              <w:jc w:val="center"/>
            </w:pPr>
            <w:r>
              <w:t>Reminder Letter</w:t>
            </w:r>
          </w:p>
        </w:tc>
        <w:tc>
          <w:tcPr>
            <w:tcW w:w="2976" w:type="dxa"/>
            <w:gridSpan w:val="2"/>
          </w:tcPr>
          <w:p w:rsidR="00C247E8" w:rsidP="00D13BB9" w14:paraId="53242E67" w14:textId="77777777">
            <w:pPr>
              <w:jc w:val="center"/>
            </w:pPr>
            <w:r>
              <w:t>72</w:t>
            </w:r>
          </w:p>
        </w:tc>
        <w:tc>
          <w:tcPr>
            <w:tcW w:w="1618" w:type="dxa"/>
            <w:gridSpan w:val="2"/>
          </w:tcPr>
          <w:p w:rsidR="00C247E8" w14:paraId="2E150268" w14:textId="77777777">
            <w:pPr>
              <w:jc w:val="center"/>
            </w:pPr>
            <w:r>
              <w:t>1 minute</w:t>
            </w:r>
          </w:p>
          <w:p w:rsidR="00C247E8" w14:paraId="770A1337" w14:textId="78D7446C">
            <w:pPr>
              <w:jc w:val="center"/>
            </w:pPr>
            <w:r>
              <w:t>(.0</w:t>
            </w:r>
            <w:r w:rsidR="00910737">
              <w:t>2</w:t>
            </w:r>
            <w:r>
              <w:t xml:space="preserve"> hour)</w:t>
            </w:r>
          </w:p>
        </w:tc>
        <w:tc>
          <w:tcPr>
            <w:tcW w:w="1864" w:type="dxa"/>
          </w:tcPr>
          <w:p w:rsidR="00C247E8" w14:paraId="5890111A" w14:textId="7568E30F">
            <w:pPr>
              <w:jc w:val="center"/>
            </w:pPr>
            <w:r>
              <w:t>1.</w:t>
            </w:r>
            <w:r w:rsidR="00910737">
              <w:t>44</w:t>
            </w:r>
          </w:p>
        </w:tc>
      </w:tr>
      <w:tr w14:paraId="55F47FDD" w14:textId="77777777" w:rsidTr="00C247E8">
        <w:tblPrEx>
          <w:tblW w:w="8492" w:type="dxa"/>
          <w:jc w:val="center"/>
          <w:tblLook w:val="01E0"/>
        </w:tblPrEx>
        <w:trPr>
          <w:trHeight w:val="274"/>
          <w:jc w:val="center"/>
        </w:trPr>
        <w:tc>
          <w:tcPr>
            <w:tcW w:w="2034" w:type="dxa"/>
            <w:gridSpan w:val="2"/>
          </w:tcPr>
          <w:p w:rsidR="00C247E8" w:rsidP="00D13BB9" w14:paraId="01D276F4" w14:textId="77777777">
            <w:pPr>
              <w:jc w:val="center"/>
            </w:pPr>
            <w:r>
              <w:t>Informed Consent Form</w:t>
            </w:r>
          </w:p>
        </w:tc>
        <w:tc>
          <w:tcPr>
            <w:tcW w:w="2976" w:type="dxa"/>
            <w:gridSpan w:val="2"/>
          </w:tcPr>
          <w:p w:rsidR="00C247E8" w:rsidP="00D13BB9" w14:paraId="022A2112" w14:textId="77777777">
            <w:pPr>
              <w:jc w:val="center"/>
            </w:pPr>
            <w:r>
              <w:t>72</w:t>
            </w:r>
          </w:p>
        </w:tc>
        <w:tc>
          <w:tcPr>
            <w:tcW w:w="1618" w:type="dxa"/>
            <w:gridSpan w:val="2"/>
          </w:tcPr>
          <w:p w:rsidR="00C247E8" w14:paraId="25436C63" w14:textId="77777777">
            <w:pPr>
              <w:jc w:val="center"/>
            </w:pPr>
            <w:r>
              <w:t xml:space="preserve">5 minutes </w:t>
            </w:r>
          </w:p>
          <w:p w:rsidR="00C247E8" w14:paraId="26A1C8F6" w14:textId="77777777">
            <w:pPr>
              <w:jc w:val="center"/>
            </w:pPr>
            <w:r>
              <w:t>(.08 hour)</w:t>
            </w:r>
          </w:p>
        </w:tc>
        <w:tc>
          <w:tcPr>
            <w:tcW w:w="1864" w:type="dxa"/>
          </w:tcPr>
          <w:p w:rsidR="00C247E8" w14:paraId="27A73DA4" w14:textId="26B72C3A">
            <w:pPr>
              <w:jc w:val="center"/>
            </w:pPr>
            <w:r>
              <w:t>5.7</w:t>
            </w:r>
            <w:r>
              <w:t>6</w:t>
            </w:r>
          </w:p>
        </w:tc>
      </w:tr>
      <w:tr w14:paraId="5EFDFFF9" w14:textId="77777777">
        <w:tblPrEx>
          <w:tblW w:w="8492" w:type="dxa"/>
          <w:jc w:val="center"/>
          <w:tblLook w:val="01E0"/>
        </w:tblPrEx>
        <w:trPr>
          <w:trHeight w:val="274"/>
          <w:jc w:val="center"/>
        </w:trPr>
        <w:tc>
          <w:tcPr>
            <w:tcW w:w="1996" w:type="dxa"/>
          </w:tcPr>
          <w:p w:rsidR="00113E3A" w:rsidRPr="00186D50" w14:paraId="01C5CF85" w14:textId="5B208026">
            <w:pPr>
              <w:jc w:val="center"/>
            </w:pPr>
            <w:r>
              <w:t>Setting up/</w:t>
            </w:r>
            <w:r w:rsidRPr="007F0D91">
              <w:t>Testing Technology</w:t>
            </w:r>
          </w:p>
        </w:tc>
        <w:tc>
          <w:tcPr>
            <w:tcW w:w="3000" w:type="dxa"/>
            <w:gridSpan w:val="2"/>
          </w:tcPr>
          <w:p w:rsidR="00113E3A" w:rsidRPr="00186D50" w:rsidP="00D13BB9" w14:paraId="1CB6C788" w14:textId="74C13B9C">
            <w:pPr>
              <w:jc w:val="center"/>
            </w:pPr>
            <w:r w:rsidRPr="009B4BEC">
              <w:t>72</w:t>
            </w:r>
          </w:p>
        </w:tc>
        <w:tc>
          <w:tcPr>
            <w:tcW w:w="1619" w:type="dxa"/>
            <w:gridSpan w:val="2"/>
          </w:tcPr>
          <w:p w:rsidR="00113E3A" w14:paraId="4C41ECEA" w14:textId="53DBB228">
            <w:pPr>
              <w:jc w:val="center"/>
            </w:pPr>
            <w:r>
              <w:t>15</w:t>
            </w:r>
            <w:r>
              <w:t xml:space="preserve"> minutes</w:t>
            </w:r>
          </w:p>
          <w:p w:rsidR="00203DEE" w14:paraId="2B117850" w14:textId="2E4E7E2D">
            <w:pPr>
              <w:jc w:val="center"/>
            </w:pPr>
            <w:r>
              <w:t>(.</w:t>
            </w:r>
            <w:r w:rsidR="00475B9C">
              <w:t>25</w:t>
            </w:r>
            <w:r>
              <w:t xml:space="preserve"> hours)</w:t>
            </w:r>
          </w:p>
        </w:tc>
        <w:tc>
          <w:tcPr>
            <w:tcW w:w="1877" w:type="dxa"/>
            <w:gridSpan w:val="2"/>
          </w:tcPr>
          <w:p w:rsidR="00113E3A" w14:paraId="58415F9D" w14:textId="144B4F6E">
            <w:pPr>
              <w:jc w:val="center"/>
            </w:pPr>
            <w:r>
              <w:t>18</w:t>
            </w:r>
          </w:p>
        </w:tc>
      </w:tr>
      <w:tr w14:paraId="49F64A86" w14:textId="77777777">
        <w:tblPrEx>
          <w:tblW w:w="8492" w:type="dxa"/>
          <w:jc w:val="center"/>
          <w:tblLook w:val="01E0"/>
        </w:tblPrEx>
        <w:trPr>
          <w:trHeight w:val="274"/>
          <w:jc w:val="center"/>
        </w:trPr>
        <w:tc>
          <w:tcPr>
            <w:tcW w:w="1996" w:type="dxa"/>
          </w:tcPr>
          <w:p w:rsidR="00113E3A" w:rsidRPr="009B4BEC" w14:paraId="70635C70" w14:textId="432B741A">
            <w:pPr>
              <w:jc w:val="center"/>
            </w:pPr>
            <w:r>
              <w:t xml:space="preserve">Focus Group Participation </w:t>
            </w:r>
            <w:r w:rsidRPr="009B4BEC">
              <w:t>Adult</w:t>
            </w:r>
            <w:r>
              <w:t>s</w:t>
            </w:r>
            <w:r w:rsidRPr="009B4BEC">
              <w:t xml:space="preserve"> 18+ </w:t>
            </w:r>
          </w:p>
        </w:tc>
        <w:tc>
          <w:tcPr>
            <w:tcW w:w="3000" w:type="dxa"/>
            <w:gridSpan w:val="2"/>
          </w:tcPr>
          <w:p w:rsidR="00113E3A" w:rsidRPr="009B4BEC" w:rsidP="00D13BB9" w14:paraId="2EDE2F59" w14:textId="27AC796D">
            <w:pPr>
              <w:jc w:val="center"/>
            </w:pPr>
            <w:r>
              <w:t>72</w:t>
            </w:r>
          </w:p>
        </w:tc>
        <w:tc>
          <w:tcPr>
            <w:tcW w:w="1619" w:type="dxa"/>
            <w:gridSpan w:val="2"/>
          </w:tcPr>
          <w:p w:rsidR="00113E3A" w:rsidRPr="009B4BEC" w14:paraId="1CCB2A26" w14:textId="63562488">
            <w:pPr>
              <w:jc w:val="center"/>
            </w:pPr>
            <w:r>
              <w:t>60</w:t>
            </w:r>
            <w:r w:rsidRPr="009B4BEC">
              <w:t xml:space="preserve"> minutes </w:t>
            </w:r>
          </w:p>
          <w:p w:rsidR="00113E3A" w:rsidRPr="009B4BEC" w14:paraId="391CABDA" w14:textId="61AEC61E">
            <w:pPr>
              <w:jc w:val="center"/>
            </w:pPr>
            <w:r w:rsidRPr="009B4BEC">
              <w:t>(</w:t>
            </w:r>
            <w:r>
              <w:t>1</w:t>
            </w:r>
            <w:r w:rsidRPr="009B4BEC">
              <w:t xml:space="preserve"> hour</w:t>
            </w:r>
            <w:r w:rsidR="004C6E0B">
              <w:t>)</w:t>
            </w:r>
          </w:p>
        </w:tc>
        <w:tc>
          <w:tcPr>
            <w:tcW w:w="1877" w:type="dxa"/>
            <w:gridSpan w:val="2"/>
          </w:tcPr>
          <w:p w:rsidR="00113E3A" w:rsidRPr="009B4BEC" w14:paraId="1BF99EF1" w14:textId="7BF583E7">
            <w:pPr>
              <w:jc w:val="center"/>
            </w:pPr>
            <w:r>
              <w:t>72</w:t>
            </w:r>
          </w:p>
        </w:tc>
      </w:tr>
      <w:tr w14:paraId="5B614E10" w14:textId="77777777" w:rsidTr="00900FBC">
        <w:tblPrEx>
          <w:tblW w:w="8492" w:type="dxa"/>
          <w:jc w:val="center"/>
          <w:tblLook w:val="01E0"/>
        </w:tblPrEx>
        <w:trPr>
          <w:trHeight w:val="274"/>
          <w:jc w:val="center"/>
        </w:trPr>
        <w:tc>
          <w:tcPr>
            <w:tcW w:w="1996" w:type="dxa"/>
          </w:tcPr>
          <w:p w:rsidR="00900FBC" w:rsidRPr="007F0D91" w14:paraId="380D9235" w14:textId="77777777">
            <w:pPr>
              <w:rPr>
                <w:b/>
              </w:rPr>
            </w:pPr>
            <w:r w:rsidRPr="007F0D91">
              <w:rPr>
                <w:b/>
              </w:rPr>
              <w:t xml:space="preserve">      Total</w:t>
            </w:r>
          </w:p>
        </w:tc>
        <w:tc>
          <w:tcPr>
            <w:tcW w:w="3000" w:type="dxa"/>
            <w:gridSpan w:val="2"/>
          </w:tcPr>
          <w:p w:rsidR="00900FBC" w:rsidRPr="007F0D91" w:rsidP="007F0D91" w14:paraId="7BAED6AA" w14:textId="256CA802">
            <w:pPr>
              <w:jc w:val="center"/>
              <w:rPr>
                <w:b/>
              </w:rPr>
            </w:pPr>
            <w:r w:rsidRPr="007F0D91">
              <w:rPr>
                <w:b/>
              </w:rPr>
              <w:t>150</w:t>
            </w:r>
          </w:p>
        </w:tc>
        <w:tc>
          <w:tcPr>
            <w:tcW w:w="1619" w:type="dxa"/>
            <w:gridSpan w:val="2"/>
          </w:tcPr>
          <w:p w:rsidR="00900FBC" w:rsidRPr="007F0D91" w14:paraId="5FF3DC60" w14:textId="40C3F151">
            <w:pPr>
              <w:rPr>
                <w:b/>
              </w:rPr>
            </w:pPr>
          </w:p>
        </w:tc>
        <w:tc>
          <w:tcPr>
            <w:tcW w:w="1877" w:type="dxa"/>
            <w:gridSpan w:val="2"/>
          </w:tcPr>
          <w:p w:rsidR="00900FBC" w:rsidRPr="007F0D91" w14:paraId="295A29FD" w14:textId="14D21F05">
            <w:pPr>
              <w:jc w:val="center"/>
              <w:rPr>
                <w:b/>
              </w:rPr>
            </w:pPr>
            <w:r>
              <w:rPr>
                <w:b/>
              </w:rPr>
              <w:t>113.</w:t>
            </w:r>
            <w:r w:rsidR="00910737">
              <w:rPr>
                <w:b/>
              </w:rPr>
              <w:t>6</w:t>
            </w:r>
            <w:r>
              <w:rPr>
                <w:b/>
              </w:rPr>
              <w:t>4</w:t>
            </w:r>
          </w:p>
        </w:tc>
      </w:tr>
    </w:tbl>
    <w:p w:rsidR="004453D1" w:rsidP="007F0D91" w14:paraId="3553971D" w14:textId="18104AB2">
      <w:pPr>
        <w:widowControl w:val="0"/>
        <w:ind w:left="360"/>
        <w:contextualSpacing/>
        <w:rPr>
          <w:b/>
          <w:snapToGrid w:val="0"/>
        </w:rPr>
      </w:pPr>
    </w:p>
    <w:p w:rsidR="00EA3F86" w:rsidP="007F0D91" w14:paraId="440E40B7" w14:textId="71D59334">
      <w:pPr>
        <w:widowControl w:val="0"/>
        <w:ind w:left="360"/>
        <w:contextualSpacing/>
        <w:rPr>
          <w:b/>
          <w:snapToGrid w:val="0"/>
        </w:rPr>
      </w:pPr>
    </w:p>
    <w:p w:rsidR="00EA3F86" w:rsidP="007F0D91" w14:paraId="297D3338" w14:textId="77777777">
      <w:pPr>
        <w:widowControl w:val="0"/>
        <w:ind w:left="360"/>
        <w:contextualSpacing/>
        <w:rPr>
          <w:b/>
          <w:snapToGrid w:val="0"/>
        </w:rPr>
      </w:pPr>
    </w:p>
    <w:p w:rsidR="005B24AC" w:rsidRPr="005B24AC" w:rsidP="00FA74BC" w14:paraId="58627819" w14:textId="7141C416">
      <w:pPr>
        <w:widowControl w:val="0"/>
        <w:numPr>
          <w:ilvl w:val="0"/>
          <w:numId w:val="31"/>
        </w:numPr>
        <w:contextualSpacing/>
        <w:rPr>
          <w:b/>
          <w:snapToGrid w:val="0"/>
        </w:rPr>
      </w:pPr>
      <w:r w:rsidRPr="00B14604">
        <w:rPr>
          <w:bCs/>
          <w:snapToGrid w:val="0"/>
          <w:u w:val="single"/>
        </w:rPr>
        <w:t>D</w:t>
      </w:r>
      <w:r w:rsidRPr="00B14604" w:rsidR="00937D10">
        <w:rPr>
          <w:bCs/>
          <w:snapToGrid w:val="0"/>
          <w:u w:val="single"/>
        </w:rPr>
        <w:t>ate(s) to be Conducted and Locations</w:t>
      </w:r>
    </w:p>
    <w:p w:rsidR="005B24AC" w:rsidRPr="005B24AC" w:rsidP="005B24AC" w14:paraId="54A62F0C" w14:textId="77777777">
      <w:pPr>
        <w:widowControl w:val="0"/>
        <w:ind w:left="360"/>
        <w:contextualSpacing/>
        <w:rPr>
          <w:snapToGrid w:val="0"/>
        </w:rPr>
      </w:pPr>
    </w:p>
    <w:p w:rsidR="005B24AC" w:rsidRPr="005B24AC" w:rsidP="09560D96" w14:paraId="0667C2A5" w14:textId="346E1944">
      <w:pPr>
        <w:widowControl w:val="0"/>
        <w:ind w:left="360"/>
        <w:contextualSpacing/>
        <w:rPr>
          <w:rFonts w:eastAsia="Calibri"/>
          <w:snapToGrid w:val="0"/>
        </w:rPr>
      </w:pPr>
      <w:r w:rsidRPr="09560D96">
        <w:rPr>
          <w:rFonts w:eastAsia="Calibri"/>
        </w:rPr>
        <w:t xml:space="preserve">Focus groups will take place </w:t>
      </w:r>
      <w:r w:rsidR="003B530A">
        <w:rPr>
          <w:rFonts w:eastAsia="Calibri"/>
        </w:rPr>
        <w:t xml:space="preserve">late </w:t>
      </w:r>
      <w:r w:rsidR="00274CE3">
        <w:rPr>
          <w:rFonts w:eastAsia="Calibri"/>
        </w:rPr>
        <w:t>April</w:t>
      </w:r>
      <w:r w:rsidR="008E38BD">
        <w:rPr>
          <w:rFonts w:eastAsia="Calibri"/>
        </w:rPr>
        <w:t xml:space="preserve"> through </w:t>
      </w:r>
      <w:r w:rsidR="003778BB">
        <w:rPr>
          <w:rFonts w:eastAsia="Calibri"/>
        </w:rPr>
        <w:t xml:space="preserve">early </w:t>
      </w:r>
      <w:r w:rsidR="00274CE3">
        <w:rPr>
          <w:rFonts w:eastAsia="Calibri"/>
        </w:rPr>
        <w:t>June</w:t>
      </w:r>
      <w:r w:rsidR="008E38BD">
        <w:rPr>
          <w:rFonts w:eastAsia="Calibri"/>
        </w:rPr>
        <w:t>,</w:t>
      </w:r>
      <w:r w:rsidR="008E38BD">
        <w:rPr>
          <w:rFonts w:eastAsia="Calibri"/>
        </w:rPr>
        <w:t xml:space="preserve"> 2024</w:t>
      </w:r>
      <w:r w:rsidRPr="09560D96">
        <w:rPr>
          <w:rFonts w:eastAsia="Calibri"/>
        </w:rPr>
        <w:t xml:space="preserve">. </w:t>
      </w:r>
      <w:r w:rsidR="00010586">
        <w:rPr>
          <w:rFonts w:eastAsia="Calibri"/>
        </w:rPr>
        <w:t xml:space="preserve"> </w:t>
      </w:r>
    </w:p>
    <w:p w:rsidR="005B24AC" w:rsidRPr="005B24AC" w:rsidP="005B24AC" w14:paraId="55A2DAE7" w14:textId="77777777">
      <w:pPr>
        <w:ind w:left="360"/>
        <w:contextualSpacing/>
      </w:pPr>
    </w:p>
    <w:p w:rsidR="005B24AC" w:rsidRPr="005B24AC" w:rsidP="00FA74BC" w14:paraId="63B4BB23" w14:textId="7ECC029E">
      <w:pPr>
        <w:numPr>
          <w:ilvl w:val="0"/>
          <w:numId w:val="31"/>
        </w:numPr>
        <w:contextualSpacing/>
      </w:pPr>
      <w:r w:rsidRPr="00B14604">
        <w:rPr>
          <w:u w:val="single"/>
        </w:rPr>
        <w:t xml:space="preserve">Requested Approval </w:t>
      </w:r>
      <w:r w:rsidRPr="00B14604">
        <w:rPr>
          <w:u w:val="single"/>
        </w:rPr>
        <w:t>Date</w:t>
      </w:r>
      <w:r w:rsidRPr="09560D96">
        <w:rPr>
          <w:b/>
          <w:bCs/>
        </w:rPr>
        <w:t xml:space="preserve"> </w:t>
      </w:r>
      <w:r w:rsidR="00E11DC5">
        <w:rPr>
          <w:b/>
          <w:bCs/>
        </w:rPr>
        <w:t xml:space="preserve"> </w:t>
      </w:r>
      <w:r w:rsidR="00274CE3">
        <w:rPr>
          <w:bCs/>
        </w:rPr>
        <w:t>April</w:t>
      </w:r>
      <w:r w:rsidRPr="007F0D91" w:rsidR="008E38BD">
        <w:rPr>
          <w:bCs/>
        </w:rPr>
        <w:t xml:space="preserve"> 2024</w:t>
      </w:r>
      <w:r w:rsidR="008E38BD">
        <w:rPr>
          <w:b/>
          <w:bCs/>
        </w:rPr>
        <w:t xml:space="preserve"> </w:t>
      </w:r>
    </w:p>
    <w:p w:rsidR="00AF1C99" w:rsidRPr="005B24AC" w:rsidP="005B24AC" w14:paraId="55ED2C2F" w14:textId="77777777">
      <w:pPr>
        <w:rPr>
          <w:b/>
        </w:rPr>
      </w:pPr>
    </w:p>
    <w:p w:rsidR="005B24AC" w:rsidRPr="005B24AC" w:rsidP="00FA74BC" w14:paraId="619006D4" w14:textId="3B7617FA">
      <w:pPr>
        <w:numPr>
          <w:ilvl w:val="0"/>
          <w:numId w:val="31"/>
        </w:numPr>
        <w:contextualSpacing/>
        <w:rPr>
          <w:b/>
        </w:rPr>
      </w:pPr>
      <w:r w:rsidRPr="00B14604">
        <w:rPr>
          <w:bCs/>
          <w:u w:val="single"/>
        </w:rPr>
        <w:t>FDA C</w:t>
      </w:r>
      <w:r w:rsidRPr="00B14604" w:rsidR="00937D10">
        <w:rPr>
          <w:bCs/>
          <w:u w:val="single"/>
        </w:rPr>
        <w:t>ontacts</w:t>
      </w:r>
    </w:p>
    <w:p w:rsidR="005B24AC" w:rsidRPr="005B24AC" w:rsidP="005B24AC" w14:paraId="6D62CB6E" w14:textId="77777777">
      <w:pPr>
        <w:ind w:left="720"/>
        <w:contextualSpacing/>
        <w:rPr>
          <w:b/>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0"/>
        <w:gridCol w:w="4320"/>
      </w:tblGrid>
      <w:tr w14:paraId="07003FE7" w14:textId="77777777" w:rsidTr="00A55B4C">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20" w:type="dxa"/>
            <w:shd w:val="clear" w:color="auto" w:fill="auto"/>
          </w:tcPr>
          <w:p w:rsidR="005B24AC" w:rsidRPr="005B24AC" w:rsidP="005B24AC" w14:paraId="022321B1" w14:textId="77777777">
            <w:pPr>
              <w:rPr>
                <w:rFonts w:eastAsia="Calibri"/>
                <w:bCs/>
              </w:rPr>
            </w:pPr>
            <w:r w:rsidRPr="005B24AC">
              <w:rPr>
                <w:rFonts w:eastAsia="Calibri"/>
                <w:bCs/>
              </w:rPr>
              <w:t>Program Office Contact</w:t>
            </w:r>
          </w:p>
        </w:tc>
        <w:tc>
          <w:tcPr>
            <w:tcW w:w="4320" w:type="dxa"/>
            <w:shd w:val="clear" w:color="auto" w:fill="auto"/>
          </w:tcPr>
          <w:p w:rsidR="005B24AC" w:rsidRPr="005B24AC" w:rsidP="005B24AC" w14:paraId="18D037FA" w14:textId="77777777">
            <w:pPr>
              <w:rPr>
                <w:rFonts w:eastAsia="Calibri"/>
                <w:bCs/>
              </w:rPr>
            </w:pPr>
            <w:r w:rsidRPr="005B24AC">
              <w:rPr>
                <w:rFonts w:eastAsia="Calibri"/>
                <w:bCs/>
              </w:rPr>
              <w:t>FDA PRA Contact</w:t>
            </w:r>
          </w:p>
        </w:tc>
      </w:tr>
      <w:tr w14:paraId="7B832BFC" w14:textId="77777777" w:rsidTr="00A55B4C">
        <w:tblPrEx>
          <w:tblW w:w="0" w:type="auto"/>
          <w:tblInd w:w="355" w:type="dxa"/>
          <w:tblLook w:val="04A0"/>
        </w:tblPrEx>
        <w:tc>
          <w:tcPr>
            <w:tcW w:w="4320" w:type="dxa"/>
            <w:shd w:val="clear" w:color="auto" w:fill="auto"/>
          </w:tcPr>
          <w:p w:rsidR="005B24AC" w:rsidP="00A1348D" w14:paraId="1EBCFC42" w14:textId="77777777">
            <w:pPr>
              <w:rPr>
                <w:rFonts w:eastAsia="Calibri"/>
              </w:rPr>
            </w:pPr>
            <w:r>
              <w:rPr>
                <w:rFonts w:eastAsia="Calibri"/>
              </w:rPr>
              <w:t xml:space="preserve">Kemi Asante, </w:t>
            </w:r>
            <w:r w:rsidR="000E0917">
              <w:rPr>
                <w:rFonts w:eastAsia="Calibri"/>
              </w:rPr>
              <w:t>Principal</w:t>
            </w:r>
            <w:r>
              <w:rPr>
                <w:rFonts w:eastAsia="Calibri"/>
              </w:rPr>
              <w:t xml:space="preserve"> Investigator</w:t>
            </w:r>
          </w:p>
          <w:p w:rsidR="00590813" w:rsidP="00A1348D" w14:paraId="4B6BC66D" w14:textId="77777777">
            <w:pPr>
              <w:rPr>
                <w:rFonts w:eastAsia="Calibri"/>
                <w:bCs/>
              </w:rPr>
            </w:pPr>
            <w:r>
              <w:rPr>
                <w:rFonts w:eastAsia="Calibri"/>
                <w:bCs/>
              </w:rPr>
              <w:t>301-796-7425</w:t>
            </w:r>
          </w:p>
          <w:p w:rsidR="00590813" w:rsidRPr="005B24AC" w:rsidP="00A1348D" w14:paraId="2F464108" w14:textId="00343845">
            <w:pPr>
              <w:rPr>
                <w:rFonts w:eastAsia="Calibri"/>
                <w:bCs/>
              </w:rPr>
            </w:pPr>
            <w:r>
              <w:rPr>
                <w:rFonts w:eastAsia="Calibri"/>
                <w:bCs/>
              </w:rPr>
              <w:t>Center for Drug Evaluation &amp; Research</w:t>
            </w:r>
          </w:p>
        </w:tc>
        <w:tc>
          <w:tcPr>
            <w:tcW w:w="4320" w:type="dxa"/>
            <w:shd w:val="clear" w:color="auto" w:fill="auto"/>
          </w:tcPr>
          <w:p w:rsidR="00AC2B8F" w:rsidP="005B24AC" w14:paraId="0AA517C1" w14:textId="5BFCBE15">
            <w:pPr>
              <w:rPr>
                <w:rFonts w:eastAsia="Calibri"/>
                <w:bCs/>
              </w:rPr>
            </w:pPr>
            <w:r>
              <w:rPr>
                <w:rFonts w:eastAsia="Calibri"/>
                <w:bCs/>
              </w:rPr>
              <w:t xml:space="preserve">Amber Sanford </w:t>
            </w:r>
          </w:p>
          <w:p w:rsidR="00C83BA7" w:rsidP="005B24AC" w14:paraId="3CCE32E6" w14:textId="77777777">
            <w:pPr>
              <w:rPr>
                <w:rFonts w:eastAsia="Calibri"/>
                <w:bCs/>
              </w:rPr>
            </w:pPr>
            <w:r>
              <w:rPr>
                <w:rFonts w:eastAsia="Calibri"/>
                <w:bCs/>
              </w:rPr>
              <w:t>Paperwork Reduction Act Staff</w:t>
            </w:r>
          </w:p>
          <w:p w:rsidR="00C83BA7" w:rsidP="005B24AC" w14:paraId="2562DC69" w14:textId="77777777">
            <w:pPr>
              <w:rPr>
                <w:rFonts w:eastAsia="Calibri"/>
                <w:bCs/>
              </w:rPr>
            </w:pPr>
            <w:r>
              <w:rPr>
                <w:rFonts w:eastAsia="Calibri"/>
                <w:bCs/>
              </w:rPr>
              <w:t>Office of Enterprise Management Services</w:t>
            </w:r>
          </w:p>
          <w:p w:rsidR="00C83BA7" w:rsidRPr="005B24AC" w:rsidP="005B24AC" w14:paraId="35398A80" w14:textId="5F371A31">
            <w:pPr>
              <w:rPr>
                <w:rFonts w:eastAsia="Calibri"/>
                <w:bCs/>
              </w:rPr>
            </w:pPr>
            <w:r>
              <w:rPr>
                <w:rFonts w:eastAsia="Calibri"/>
                <w:bCs/>
              </w:rPr>
              <w:t>Office of Operations</w:t>
            </w:r>
          </w:p>
        </w:tc>
      </w:tr>
    </w:tbl>
    <w:p w:rsidR="005B24AC" w:rsidRPr="005B24AC" w:rsidP="005B24AC" w14:paraId="723B5A6E" w14:textId="77777777"/>
    <w:p w:rsidR="00992DFB" w:rsidP="00C83BA7" w14:paraId="2EA33BEC" w14:textId="509A92DE">
      <w:pPr>
        <w:spacing w:before="100" w:beforeAutospacing="1" w:after="100" w:afterAutospacing="1"/>
        <w:contextualSpacing/>
      </w:pPr>
    </w:p>
    <w:sectPr w:rsidSect="002664AD">
      <w:footerReference w:type="default" r:id="rId9"/>
      <w:pgSz w:w="12240" w:h="15840"/>
      <w:pgMar w:top="720"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AEE" w14:paraId="4B11A4D0" w14:textId="26E4379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40D6E">
      <w:rPr>
        <w:rStyle w:val="PageNumber"/>
        <w:noProof/>
        <w:sz w:val="20"/>
        <w:szCs w:val="20"/>
      </w:rPr>
      <w:t>6</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96F82" w14:paraId="1C51DB49" w14:textId="77777777">
      <w:r>
        <w:separator/>
      </w:r>
    </w:p>
  </w:footnote>
  <w:footnote w:type="continuationSeparator" w:id="1">
    <w:p w:rsidR="00496F82" w14:paraId="08088E9E" w14:textId="77777777">
      <w:r>
        <w:continuationSeparator/>
      </w:r>
    </w:p>
  </w:footnote>
  <w:footnote w:type="continuationNotice" w:id="2">
    <w:p w:rsidR="00496F82" w14:paraId="7126EA8B" w14:textId="77777777"/>
  </w:footnote>
  <w:footnote w:id="3">
    <w:p w:rsidR="000A7A7F" w:rsidRPr="007F0D91" w14:paraId="2AEDC2FE" w14:textId="0A3660D1">
      <w:pPr>
        <w:pStyle w:val="FootnoteText"/>
        <w:rPr>
          <w:rFonts w:ascii="Times New Roman" w:hAnsi="Times New Roman"/>
        </w:rPr>
      </w:pPr>
      <w:r w:rsidRPr="00420091">
        <w:rPr>
          <w:rStyle w:val="FootnoteReference"/>
        </w:rPr>
        <w:footnoteRef/>
      </w:r>
      <w:r w:rsidRPr="00420091">
        <w:rPr>
          <w:rFonts w:ascii="Times New Roman" w:hAnsi="Times New Roman"/>
        </w:rPr>
        <w:t>Bierer B</w:t>
      </w:r>
      <w:r w:rsidR="00AE6698">
        <w:rPr>
          <w:rFonts w:ascii="Times New Roman" w:hAnsi="Times New Roman"/>
        </w:rPr>
        <w:t>E</w:t>
      </w:r>
      <w:r w:rsidRPr="00420091">
        <w:rPr>
          <w:rFonts w:ascii="Times New Roman" w:hAnsi="Times New Roman"/>
        </w:rPr>
        <w:t>, White S</w:t>
      </w:r>
      <w:r w:rsidR="00AE6698">
        <w:rPr>
          <w:rFonts w:ascii="Times New Roman" w:hAnsi="Times New Roman"/>
        </w:rPr>
        <w:t>A</w:t>
      </w:r>
      <w:r w:rsidRPr="00420091">
        <w:rPr>
          <w:rFonts w:ascii="Times New Roman" w:hAnsi="Times New Roman"/>
        </w:rPr>
        <w:t xml:space="preserve">, Gelinas L, </w:t>
      </w:r>
      <w:r w:rsidR="007C4DC3">
        <w:rPr>
          <w:rFonts w:ascii="Times New Roman" w:hAnsi="Times New Roman"/>
        </w:rPr>
        <w:t>and</w:t>
      </w:r>
      <w:r w:rsidRPr="00420091">
        <w:rPr>
          <w:rFonts w:ascii="Times New Roman" w:hAnsi="Times New Roman"/>
        </w:rPr>
        <w:t xml:space="preserve"> Strauss D</w:t>
      </w:r>
      <w:r w:rsidR="008815F4">
        <w:rPr>
          <w:rFonts w:ascii="Times New Roman" w:hAnsi="Times New Roman"/>
        </w:rPr>
        <w:t>H</w:t>
      </w:r>
      <w:r w:rsidR="007C4DC3">
        <w:rPr>
          <w:rFonts w:ascii="Times New Roman" w:hAnsi="Times New Roman"/>
        </w:rPr>
        <w:t>,</w:t>
      </w:r>
      <w:r w:rsidRPr="00420091">
        <w:rPr>
          <w:rFonts w:ascii="Times New Roman" w:hAnsi="Times New Roman"/>
        </w:rPr>
        <w:t xml:space="preserve"> 2021</w:t>
      </w:r>
      <w:r w:rsidR="007C4DC3">
        <w:rPr>
          <w:rFonts w:ascii="Times New Roman" w:hAnsi="Times New Roman"/>
        </w:rPr>
        <w:t>,</w:t>
      </w:r>
      <w:r w:rsidRPr="00420091">
        <w:rPr>
          <w:rFonts w:ascii="Times New Roman" w:hAnsi="Times New Roman"/>
        </w:rPr>
        <w:t xml:space="preserve"> Fair</w:t>
      </w:r>
      <w:r w:rsidRPr="007F0D91">
        <w:rPr>
          <w:rFonts w:ascii="Times New Roman" w:hAnsi="Times New Roman"/>
        </w:rPr>
        <w:t xml:space="preserve"> </w:t>
      </w:r>
      <w:r w:rsidR="007C4DC3">
        <w:rPr>
          <w:rFonts w:ascii="Times New Roman" w:hAnsi="Times New Roman"/>
        </w:rPr>
        <w:t>P</w:t>
      </w:r>
      <w:r w:rsidRPr="007F0D91">
        <w:rPr>
          <w:rFonts w:ascii="Times New Roman" w:hAnsi="Times New Roman"/>
        </w:rPr>
        <w:t xml:space="preserve">ayment and </w:t>
      </w:r>
      <w:r w:rsidR="007C4DC3">
        <w:rPr>
          <w:rFonts w:ascii="Times New Roman" w:hAnsi="Times New Roman"/>
        </w:rPr>
        <w:t>J</w:t>
      </w:r>
      <w:r w:rsidRPr="007F0D91">
        <w:rPr>
          <w:rFonts w:ascii="Times New Roman" w:hAnsi="Times New Roman"/>
        </w:rPr>
        <w:t xml:space="preserve">ust </w:t>
      </w:r>
      <w:r w:rsidR="007C4DC3">
        <w:rPr>
          <w:rFonts w:ascii="Times New Roman" w:hAnsi="Times New Roman"/>
        </w:rPr>
        <w:t>B</w:t>
      </w:r>
      <w:r w:rsidRPr="007F0D91">
        <w:rPr>
          <w:rFonts w:ascii="Times New Roman" w:hAnsi="Times New Roman"/>
        </w:rPr>
        <w:t xml:space="preserve">enefits to </w:t>
      </w:r>
      <w:r w:rsidR="007C4DC3">
        <w:rPr>
          <w:rFonts w:ascii="Times New Roman" w:hAnsi="Times New Roman"/>
        </w:rPr>
        <w:t>E</w:t>
      </w:r>
      <w:r w:rsidRPr="007F0D91">
        <w:rPr>
          <w:rFonts w:ascii="Times New Roman" w:hAnsi="Times New Roman"/>
        </w:rPr>
        <w:t xml:space="preserve">nhance </w:t>
      </w:r>
      <w:r w:rsidR="007C4DC3">
        <w:rPr>
          <w:rFonts w:ascii="Times New Roman" w:hAnsi="Times New Roman"/>
        </w:rPr>
        <w:t>D</w:t>
      </w:r>
      <w:r w:rsidRPr="007F0D91">
        <w:rPr>
          <w:rFonts w:ascii="Times New Roman" w:hAnsi="Times New Roman"/>
        </w:rPr>
        <w:t xml:space="preserve">iversity in </w:t>
      </w:r>
      <w:r w:rsidR="007C4DC3">
        <w:rPr>
          <w:rFonts w:ascii="Times New Roman" w:hAnsi="Times New Roman"/>
        </w:rPr>
        <w:t>C</w:t>
      </w:r>
      <w:r w:rsidRPr="007F0D91">
        <w:rPr>
          <w:rFonts w:ascii="Times New Roman" w:hAnsi="Times New Roman"/>
        </w:rPr>
        <w:t xml:space="preserve">linical </w:t>
      </w:r>
      <w:r w:rsidR="007C4DC3">
        <w:rPr>
          <w:rFonts w:ascii="Times New Roman" w:hAnsi="Times New Roman"/>
        </w:rPr>
        <w:t>R</w:t>
      </w:r>
      <w:r w:rsidRPr="007F0D91">
        <w:rPr>
          <w:rFonts w:ascii="Times New Roman" w:hAnsi="Times New Roman"/>
        </w:rPr>
        <w:t>esearch</w:t>
      </w:r>
      <w:r w:rsidR="001D2A10">
        <w:rPr>
          <w:rFonts w:ascii="Times New Roman" w:hAnsi="Times New Roman"/>
        </w:rPr>
        <w:t>,</w:t>
      </w:r>
      <w:r w:rsidRPr="007F0D91">
        <w:rPr>
          <w:rFonts w:ascii="Times New Roman" w:hAnsi="Times New Roman"/>
        </w:rPr>
        <w:t xml:space="preserve"> </w:t>
      </w:r>
      <w:r w:rsidRPr="00FA74BC">
        <w:rPr>
          <w:rFonts w:ascii="Times New Roman" w:hAnsi="Times New Roman"/>
        </w:rPr>
        <w:t>J Clin Transl Sci</w:t>
      </w:r>
      <w:r w:rsidRPr="007F0D91">
        <w:rPr>
          <w:rFonts w:ascii="Times New Roman" w:hAnsi="Times New Roman"/>
        </w:rPr>
        <w:t>, 5(1)</w:t>
      </w:r>
      <w:r w:rsidR="00060E15">
        <w:rPr>
          <w:rFonts w:ascii="Times New Roman" w:hAnsi="Times New Roman"/>
        </w:rPr>
        <w:t>:</w:t>
      </w:r>
      <w:r w:rsidRPr="007F0D91">
        <w:rPr>
          <w:rFonts w:ascii="Times New Roman" w:hAnsi="Times New Roman"/>
        </w:rPr>
        <w:t xml:space="preserve"> </w:t>
      </w:r>
      <w:r w:rsidR="00713B6B">
        <w:rPr>
          <w:rFonts w:ascii="Times New Roman" w:hAnsi="Times New Roman"/>
        </w:rPr>
        <w:t>e</w:t>
      </w:r>
      <w:r w:rsidRPr="007F0D91">
        <w:rPr>
          <w:rFonts w:ascii="Times New Roman" w:hAnsi="Times New Roman"/>
        </w:rPr>
        <w:t>159. doi:10.1017/cts.2021.816</w:t>
      </w:r>
      <w:r w:rsidR="008C3E07">
        <w:rPr>
          <w:rFonts w:ascii="Times New Roman" w:hAnsi="Times New Roman"/>
        </w:rPr>
        <w:t>.</w:t>
      </w:r>
    </w:p>
  </w:footnote>
  <w:footnote w:id="4">
    <w:p w:rsidR="000A7A7F" w:rsidRPr="007F0D91" w14:paraId="49C457D2" w14:textId="632CEDB7">
      <w:pPr>
        <w:pStyle w:val="FootnoteText"/>
        <w:rPr>
          <w:rFonts w:ascii="Times New Roman" w:hAnsi="Times New Roman"/>
        </w:rPr>
      </w:pPr>
      <w:r>
        <w:rPr>
          <w:rStyle w:val="FootnoteReference"/>
        </w:rPr>
        <w:footnoteRef/>
      </w:r>
      <w:r w:rsidRPr="007F0D91" w:rsidR="000016D9">
        <w:rPr>
          <w:rFonts w:ascii="Times New Roman" w:hAnsi="Times New Roman"/>
        </w:rPr>
        <w:t>Ibid.</w:t>
      </w:r>
      <w:r w:rsidRPr="007F0D91">
        <w:rPr>
          <w:rFonts w:ascii="Times New Roman" w:hAnsi="Times New Roman"/>
        </w:rPr>
        <w:t xml:space="preserve"> </w:t>
      </w:r>
    </w:p>
  </w:footnote>
  <w:footnote w:id="5">
    <w:p w:rsidR="00121005" w:rsidRPr="007F0D91" w14:paraId="5C253895" w14:textId="4DA883BC">
      <w:pPr>
        <w:pStyle w:val="FootnoteText"/>
        <w:rPr>
          <w:rFonts w:ascii="Times New Roman" w:hAnsi="Times New Roman"/>
        </w:rPr>
      </w:pPr>
      <w:r w:rsidRPr="007F0D91">
        <w:rPr>
          <w:rStyle w:val="FootnoteReference"/>
          <w:rFonts w:ascii="Times New Roman" w:hAnsi="Times New Roman"/>
        </w:rPr>
        <w:footnoteRef/>
      </w:r>
      <w:r w:rsidRPr="007F0D91">
        <w:rPr>
          <w:rFonts w:ascii="Times New Roman" w:hAnsi="Times New Roman"/>
        </w:rPr>
        <w:t>Gelinas L, Largent EA</w:t>
      </w:r>
      <w:r w:rsidR="003416B6">
        <w:rPr>
          <w:rFonts w:ascii="Times New Roman" w:hAnsi="Times New Roman"/>
        </w:rPr>
        <w:t>,</w:t>
      </w:r>
      <w:r w:rsidRPr="007F0D91">
        <w:rPr>
          <w:rFonts w:ascii="Times New Roman" w:hAnsi="Times New Roman"/>
        </w:rPr>
        <w:t xml:space="preserve"> Cohen IG, Kornetsky S, Bierer BE, </w:t>
      </w:r>
      <w:r w:rsidR="0064026F">
        <w:rPr>
          <w:rFonts w:ascii="Times New Roman" w:hAnsi="Times New Roman"/>
        </w:rPr>
        <w:t xml:space="preserve">Fernandez </w:t>
      </w:r>
      <w:r w:rsidRPr="007F0D91">
        <w:rPr>
          <w:rFonts w:ascii="Times New Roman" w:hAnsi="Times New Roman"/>
        </w:rPr>
        <w:t>LH</w:t>
      </w:r>
      <w:r w:rsidR="00964A4C">
        <w:rPr>
          <w:rFonts w:ascii="Times New Roman" w:hAnsi="Times New Roman"/>
        </w:rPr>
        <w:t>,</w:t>
      </w:r>
      <w:r w:rsidRPr="007F0D91">
        <w:rPr>
          <w:rFonts w:ascii="Times New Roman" w:hAnsi="Times New Roman"/>
        </w:rPr>
        <w:t xml:space="preserve"> 2018</w:t>
      </w:r>
      <w:r w:rsidR="00D95588">
        <w:rPr>
          <w:rFonts w:ascii="Times New Roman" w:hAnsi="Times New Roman"/>
        </w:rPr>
        <w:t>,</w:t>
      </w:r>
      <w:r w:rsidRPr="007F0D91">
        <w:rPr>
          <w:rFonts w:ascii="Times New Roman" w:hAnsi="Times New Roman"/>
        </w:rPr>
        <w:t xml:space="preserve"> A </w:t>
      </w:r>
      <w:r w:rsidR="0064026F">
        <w:rPr>
          <w:rFonts w:ascii="Times New Roman" w:hAnsi="Times New Roman"/>
        </w:rPr>
        <w:t>F</w:t>
      </w:r>
      <w:r w:rsidRPr="007F0D91">
        <w:rPr>
          <w:rFonts w:ascii="Times New Roman" w:hAnsi="Times New Roman"/>
        </w:rPr>
        <w:t xml:space="preserve">ramework for </w:t>
      </w:r>
      <w:r w:rsidR="0064026F">
        <w:rPr>
          <w:rFonts w:ascii="Times New Roman" w:hAnsi="Times New Roman"/>
        </w:rPr>
        <w:t>E</w:t>
      </w:r>
      <w:r w:rsidRPr="007F0D91">
        <w:rPr>
          <w:rFonts w:ascii="Times New Roman" w:hAnsi="Times New Roman"/>
        </w:rPr>
        <w:t xml:space="preserve">thical </w:t>
      </w:r>
      <w:r w:rsidR="0064026F">
        <w:rPr>
          <w:rFonts w:ascii="Times New Roman" w:hAnsi="Times New Roman"/>
        </w:rPr>
        <w:t>P</w:t>
      </w:r>
      <w:r w:rsidRPr="007F0D91">
        <w:rPr>
          <w:rFonts w:ascii="Times New Roman" w:hAnsi="Times New Roman"/>
        </w:rPr>
        <w:t xml:space="preserve">ayment to </w:t>
      </w:r>
      <w:r w:rsidR="0064026F">
        <w:rPr>
          <w:rFonts w:ascii="Times New Roman" w:hAnsi="Times New Roman"/>
        </w:rPr>
        <w:t>R</w:t>
      </w:r>
      <w:r w:rsidRPr="007F0D91">
        <w:rPr>
          <w:rFonts w:ascii="Times New Roman" w:hAnsi="Times New Roman"/>
        </w:rPr>
        <w:t xml:space="preserve">esearch </w:t>
      </w:r>
      <w:r w:rsidR="0064026F">
        <w:rPr>
          <w:rFonts w:ascii="Times New Roman" w:hAnsi="Times New Roman"/>
        </w:rPr>
        <w:t>P</w:t>
      </w:r>
      <w:r w:rsidRPr="007F0D91">
        <w:rPr>
          <w:rFonts w:ascii="Times New Roman" w:hAnsi="Times New Roman"/>
        </w:rPr>
        <w:t>articipants</w:t>
      </w:r>
      <w:r w:rsidR="002F0685">
        <w:rPr>
          <w:rFonts w:ascii="Times New Roman" w:hAnsi="Times New Roman"/>
        </w:rPr>
        <w:t>,</w:t>
      </w:r>
      <w:r w:rsidRPr="007F0D91">
        <w:rPr>
          <w:rFonts w:ascii="Times New Roman" w:hAnsi="Times New Roman"/>
        </w:rPr>
        <w:t xml:space="preserve"> </w:t>
      </w:r>
      <w:r w:rsidRPr="0055073C">
        <w:rPr>
          <w:rFonts w:ascii="Times New Roman" w:hAnsi="Times New Roman"/>
        </w:rPr>
        <w:t>N Engl JMed</w:t>
      </w:r>
      <w:r w:rsidRPr="007F0D91" w:rsidR="00770386">
        <w:rPr>
          <w:rFonts w:ascii="Times New Roman" w:hAnsi="Times New Roman"/>
        </w:rPr>
        <w:t>,</w:t>
      </w:r>
      <w:r w:rsidRPr="007F0D91">
        <w:rPr>
          <w:rFonts w:ascii="Times New Roman" w:hAnsi="Times New Roman"/>
        </w:rPr>
        <w:t xml:space="preserve"> 766–771</w:t>
      </w:r>
      <w:r w:rsidRPr="00821F49" w:rsidR="00517879">
        <w:rPr>
          <w:rFonts w:ascii="Times New Roman" w:hAnsi="Times New Roman"/>
        </w:rPr>
        <w:t>,</w:t>
      </w:r>
      <w:r w:rsidRPr="00821F49">
        <w:rPr>
          <w:rFonts w:ascii="Times New Roman" w:hAnsi="Times New Roman"/>
        </w:rPr>
        <w:t xml:space="preserve"> </w:t>
      </w:r>
      <w:r w:rsidRPr="00F2558C" w:rsidR="00821F49">
        <w:rPr>
          <w:rFonts w:ascii="Times New Roman" w:hAnsi="Times New Roman"/>
        </w:rPr>
        <w:t>doi</w:t>
      </w:r>
      <w:r w:rsidRPr="00821F49">
        <w:rPr>
          <w:rFonts w:ascii="Times New Roman" w:hAnsi="Times New Roman"/>
        </w:rPr>
        <w:t>: 10.1056/NEJMsb1710591</w:t>
      </w:r>
      <w:r w:rsidR="004112A3">
        <w:rPr>
          <w:rFonts w:ascii="Times New Roman" w:hAnsi="Times New Roman"/>
        </w:rPr>
        <w:t>.</w:t>
      </w:r>
      <w:r w:rsidRPr="007F0D91">
        <w:rPr>
          <w:rFonts w:ascii="Times New Roman" w:hAnsi="Times New Roman"/>
        </w:rPr>
        <w:t xml:space="preserve"> </w:t>
      </w:r>
    </w:p>
  </w:footnote>
  <w:footnote w:id="6">
    <w:p w:rsidR="000A7A7F" w:rsidRPr="007F0D91" w14:paraId="313B2E71" w14:textId="54D29F9C">
      <w:pPr>
        <w:pStyle w:val="FootnoteText"/>
        <w:rPr>
          <w:rFonts w:ascii="Times New Roman" w:hAnsi="Times New Roman"/>
        </w:rPr>
      </w:pPr>
      <w:r>
        <w:rPr>
          <w:rStyle w:val="FootnoteReference"/>
        </w:rPr>
        <w:footnoteRef/>
      </w:r>
      <w:r w:rsidR="00B609A6">
        <w:rPr>
          <w:rFonts w:ascii="Times New Roman" w:hAnsi="Times New Roman"/>
        </w:rPr>
        <w:t xml:space="preserve">See footnote </w:t>
      </w:r>
      <w:r w:rsidR="000378CE">
        <w:rPr>
          <w:rFonts w:ascii="Times New Roman" w:hAnsi="Times New Roman"/>
        </w:rPr>
        <w:t>1</w:t>
      </w:r>
      <w:r w:rsidR="004A6D24">
        <w:rPr>
          <w:rFonts w:ascii="Times New Roman" w:hAnsi="Times New Roman"/>
        </w:rPr>
        <w:t>.</w:t>
      </w:r>
    </w:p>
  </w:footnote>
  <w:footnote w:id="7">
    <w:p w:rsidR="00121005" w:rsidRPr="007F0D91" w14:paraId="5915483B" w14:textId="2F41F51F">
      <w:pPr>
        <w:pStyle w:val="FootnoteText"/>
        <w:rPr>
          <w:rFonts w:ascii="Times New Roman" w:hAnsi="Times New Roman"/>
        </w:rPr>
      </w:pPr>
      <w:r w:rsidRPr="007F0D91">
        <w:rPr>
          <w:rStyle w:val="FootnoteReference"/>
          <w:rFonts w:ascii="Times New Roman" w:hAnsi="Times New Roman"/>
        </w:rPr>
        <w:footnoteRef/>
      </w:r>
      <w:r w:rsidRPr="007F0D91">
        <w:rPr>
          <w:rFonts w:ascii="Times New Roman" w:hAnsi="Times New Roman"/>
        </w:rPr>
        <w:t>Halpern SD, Chowdhury M, Bayes B, Cooney E, Hitsman B</w:t>
      </w:r>
      <w:r w:rsidR="000F1077">
        <w:rPr>
          <w:rFonts w:ascii="Times New Roman" w:hAnsi="Times New Roman"/>
        </w:rPr>
        <w:t>L</w:t>
      </w:r>
      <w:r w:rsidRPr="007F0D91">
        <w:rPr>
          <w:rFonts w:ascii="Times New Roman" w:hAnsi="Times New Roman"/>
        </w:rPr>
        <w:t>, Schnoll RA, et al.</w:t>
      </w:r>
      <w:r w:rsidR="006708FF">
        <w:rPr>
          <w:rFonts w:ascii="Times New Roman" w:hAnsi="Times New Roman"/>
        </w:rPr>
        <w:t>,</w:t>
      </w:r>
      <w:r w:rsidRPr="007F0D91">
        <w:rPr>
          <w:rFonts w:ascii="Times New Roman" w:hAnsi="Times New Roman"/>
        </w:rPr>
        <w:t xml:space="preserve"> 2021</w:t>
      </w:r>
      <w:r w:rsidR="006708FF">
        <w:rPr>
          <w:rFonts w:ascii="Times New Roman" w:hAnsi="Times New Roman"/>
        </w:rPr>
        <w:t>,</w:t>
      </w:r>
      <w:r w:rsidRPr="007F0D91">
        <w:rPr>
          <w:rFonts w:ascii="Times New Roman" w:hAnsi="Times New Roman"/>
        </w:rPr>
        <w:t xml:space="preserve"> </w:t>
      </w:r>
      <w:r w:rsidR="001C2476">
        <w:rPr>
          <w:rFonts w:ascii="Times New Roman" w:hAnsi="Times New Roman"/>
        </w:rPr>
        <w:t>Effectiveness and</w:t>
      </w:r>
      <w:r w:rsidR="0014272D">
        <w:rPr>
          <w:rFonts w:ascii="Times New Roman" w:hAnsi="Times New Roman"/>
        </w:rPr>
        <w:t xml:space="preserve"> </w:t>
      </w:r>
      <w:r w:rsidRPr="007F0D91">
        <w:rPr>
          <w:rFonts w:ascii="Times New Roman" w:hAnsi="Times New Roman"/>
        </w:rPr>
        <w:t>Ethics of Incentives for Research Participation</w:t>
      </w:r>
      <w:r w:rsidR="0014272D">
        <w:rPr>
          <w:rFonts w:ascii="Times New Roman" w:hAnsi="Times New Roman"/>
        </w:rPr>
        <w:t xml:space="preserve">: </w:t>
      </w:r>
      <w:r w:rsidR="003416B6">
        <w:rPr>
          <w:rFonts w:ascii="Times New Roman" w:hAnsi="Times New Roman"/>
        </w:rPr>
        <w:t xml:space="preserve"> </w:t>
      </w:r>
      <w:r w:rsidR="0014272D">
        <w:rPr>
          <w:rFonts w:ascii="Times New Roman" w:hAnsi="Times New Roman"/>
        </w:rPr>
        <w:t>2 Randomized Clinical Trials,</w:t>
      </w:r>
      <w:r w:rsidRPr="007F0D91">
        <w:rPr>
          <w:rFonts w:ascii="Times New Roman" w:hAnsi="Times New Roman"/>
        </w:rPr>
        <w:t xml:space="preserve"> </w:t>
      </w:r>
      <w:r w:rsidRPr="0014272D">
        <w:rPr>
          <w:rFonts w:ascii="Times New Roman" w:hAnsi="Times New Roman"/>
        </w:rPr>
        <w:t>JAMA Intern Med</w:t>
      </w:r>
      <w:r w:rsidRPr="007F0D91" w:rsidR="00770386">
        <w:rPr>
          <w:rFonts w:ascii="Times New Roman" w:hAnsi="Times New Roman"/>
        </w:rPr>
        <w:t>,</w:t>
      </w:r>
      <w:r w:rsidRPr="007F0D91">
        <w:rPr>
          <w:rFonts w:ascii="Times New Roman" w:hAnsi="Times New Roman"/>
        </w:rPr>
        <w:t xml:space="preserve"> 181(11):1479</w:t>
      </w:r>
      <w:r w:rsidR="00446FD2">
        <w:rPr>
          <w:rFonts w:ascii="Times New Roman" w:hAnsi="Times New Roman"/>
        </w:rPr>
        <w:t>–</w:t>
      </w:r>
      <w:r w:rsidRPr="007F0D91">
        <w:rPr>
          <w:rFonts w:ascii="Times New Roman" w:hAnsi="Times New Roman"/>
        </w:rPr>
        <w:t>1488</w:t>
      </w:r>
      <w:r w:rsidR="00020BDA">
        <w:rPr>
          <w:rFonts w:ascii="Times New Roman" w:hAnsi="Times New Roman"/>
        </w:rPr>
        <w:t>,</w:t>
      </w:r>
      <w:r w:rsidRPr="00A1236A">
        <w:rPr>
          <w:rFonts w:ascii="Times New Roman" w:hAnsi="Times New Roman"/>
        </w:rPr>
        <w:t xml:space="preserve"> doi:10.1001/jamainternmed.2021.5450</w:t>
      </w:r>
      <w:r w:rsidR="00020BDA">
        <w:rPr>
          <w:rFonts w:ascii="Times New Roman" w:hAnsi="Times New Roman"/>
        </w:rPr>
        <w:t>.</w:t>
      </w:r>
    </w:p>
  </w:footnote>
  <w:footnote w:id="8">
    <w:p w:rsidR="00121005" w:rsidRPr="00F05CCC" w14:paraId="3424406D" w14:textId="10656AC0">
      <w:pPr>
        <w:pStyle w:val="FootnoteText"/>
        <w:rPr>
          <w:rFonts w:ascii="Times New Roman" w:hAnsi="Times New Roman"/>
        </w:rPr>
      </w:pPr>
      <w:r w:rsidRPr="00F05CCC">
        <w:rPr>
          <w:rStyle w:val="FootnoteReference"/>
          <w:rFonts w:ascii="Times New Roman" w:hAnsi="Times New Roman"/>
        </w:rPr>
        <w:footnoteRef/>
      </w:r>
      <w:r w:rsidRPr="00F05CCC">
        <w:rPr>
          <w:rFonts w:ascii="Times New Roman" w:hAnsi="Times New Roman"/>
        </w:rPr>
        <w:t xml:space="preserve">Morgan, DL </w:t>
      </w:r>
      <w:r w:rsidRPr="00F05CCC" w:rsidR="00247D12">
        <w:rPr>
          <w:rFonts w:ascii="Times New Roman" w:hAnsi="Times New Roman"/>
        </w:rPr>
        <w:t>and</w:t>
      </w:r>
      <w:r w:rsidRPr="00F05CCC">
        <w:rPr>
          <w:rFonts w:ascii="Times New Roman" w:hAnsi="Times New Roman"/>
        </w:rPr>
        <w:t xml:space="preserve"> A</w:t>
      </w:r>
      <w:r w:rsidRPr="00F05CCC" w:rsidR="0042519A">
        <w:rPr>
          <w:rFonts w:ascii="Times New Roman" w:hAnsi="Times New Roman"/>
        </w:rPr>
        <w:t>U</w:t>
      </w:r>
      <w:r w:rsidRPr="00F05CCC">
        <w:rPr>
          <w:rFonts w:ascii="Times New Roman" w:hAnsi="Times New Roman"/>
        </w:rPr>
        <w:t xml:space="preserve"> Scannell</w:t>
      </w:r>
      <w:r w:rsidRPr="00F05CCC" w:rsidR="00247D12">
        <w:rPr>
          <w:rFonts w:ascii="Times New Roman" w:hAnsi="Times New Roman"/>
        </w:rPr>
        <w:t>,</w:t>
      </w:r>
      <w:r w:rsidRPr="00F05CCC">
        <w:rPr>
          <w:rFonts w:ascii="Times New Roman" w:hAnsi="Times New Roman"/>
        </w:rPr>
        <w:t xml:space="preserve"> 1998</w:t>
      </w:r>
      <w:r w:rsidRPr="00F05CCC" w:rsidR="00247D12">
        <w:rPr>
          <w:rFonts w:ascii="Times New Roman" w:hAnsi="Times New Roman"/>
        </w:rPr>
        <w:t>,</w:t>
      </w:r>
      <w:r w:rsidRPr="00F05CCC">
        <w:rPr>
          <w:rFonts w:ascii="Times New Roman" w:hAnsi="Times New Roman"/>
        </w:rPr>
        <w:t xml:space="preserve"> Planning Focus Groups</w:t>
      </w:r>
      <w:r w:rsidRPr="00F05CCC" w:rsidR="008C5983">
        <w:rPr>
          <w:rFonts w:ascii="Times New Roman" w:hAnsi="Times New Roman"/>
        </w:rPr>
        <w:t>,</w:t>
      </w:r>
      <w:r w:rsidRPr="00F05CCC">
        <w:rPr>
          <w:rFonts w:ascii="Times New Roman" w:hAnsi="Times New Roman"/>
        </w:rPr>
        <w:t xml:space="preserve"> Thousand Oaks </w:t>
      </w:r>
      <w:r w:rsidR="00076025">
        <w:rPr>
          <w:rFonts w:ascii="Times New Roman" w:hAnsi="Times New Roman"/>
        </w:rPr>
        <w:t>(</w:t>
      </w:r>
      <w:r w:rsidRPr="00F05CCC">
        <w:rPr>
          <w:rFonts w:ascii="Times New Roman" w:hAnsi="Times New Roman"/>
        </w:rPr>
        <w:t>CA</w:t>
      </w:r>
      <w:r w:rsidR="00076025">
        <w:rPr>
          <w:rFonts w:ascii="Times New Roman" w:hAnsi="Times New Roman"/>
        </w:rPr>
        <w:t>)</w:t>
      </w:r>
      <w:r w:rsidRPr="00F05CCC">
        <w:rPr>
          <w:rFonts w:ascii="Times New Roman" w:hAnsi="Times New Roman"/>
        </w:rPr>
        <w:t xml:space="preserve">: </w:t>
      </w:r>
      <w:r w:rsidRPr="00F05CCC" w:rsidR="00446FD2">
        <w:rPr>
          <w:rFonts w:ascii="Times New Roman" w:hAnsi="Times New Roman"/>
        </w:rPr>
        <w:t xml:space="preserve"> </w:t>
      </w:r>
      <w:r w:rsidRPr="00F05CCC">
        <w:rPr>
          <w:rFonts w:ascii="Times New Roman" w:hAnsi="Times New Roman"/>
        </w:rPr>
        <w:t>Sage</w:t>
      </w:r>
      <w:r w:rsidRPr="00F05CCC" w:rsidR="00F05CCC">
        <w:rPr>
          <w:rFonts w:ascii="Times New Roman" w:hAnsi="Times New Roman"/>
        </w:rPr>
        <w:t xml:space="preserve"> Publications</w:t>
      </w:r>
      <w:r w:rsidRPr="00F05CCC">
        <w:rPr>
          <w:rFonts w:ascii="Times New Roman" w:hAnsi="Times New Roman"/>
        </w:rPr>
        <w:t>.</w:t>
      </w:r>
    </w:p>
  </w:footnote>
  <w:footnote w:id="9">
    <w:p w:rsidR="00121005" w:rsidRPr="007F0D91" w14:paraId="6E2B7222" w14:textId="1DBCFBFA">
      <w:pPr>
        <w:pStyle w:val="FootnoteText"/>
        <w:rPr>
          <w:rFonts w:ascii="Times New Roman" w:hAnsi="Times New Roman"/>
        </w:rPr>
      </w:pPr>
      <w:r w:rsidRPr="00F05CCC">
        <w:rPr>
          <w:rStyle w:val="FootnoteReference"/>
          <w:rFonts w:ascii="Times New Roman" w:hAnsi="Times New Roman"/>
        </w:rPr>
        <w:footnoteRef/>
      </w:r>
      <w:r w:rsidRPr="00F05CCC">
        <w:rPr>
          <w:rFonts w:ascii="Times New Roman" w:hAnsi="Times New Roman"/>
        </w:rPr>
        <w:t>Phillips T</w:t>
      </w:r>
      <w:r w:rsidRPr="00F05CCC" w:rsidR="00A27BD3">
        <w:rPr>
          <w:rFonts w:ascii="Times New Roman" w:hAnsi="Times New Roman"/>
        </w:rPr>
        <w:t>,</w:t>
      </w:r>
      <w:r w:rsidRPr="00F05CCC">
        <w:rPr>
          <w:rFonts w:ascii="Times New Roman" w:hAnsi="Times New Roman"/>
        </w:rPr>
        <w:t xml:space="preserve"> 2011</w:t>
      </w:r>
      <w:r w:rsidRPr="00F05CCC" w:rsidR="00A27BD3">
        <w:rPr>
          <w:rFonts w:ascii="Times New Roman" w:hAnsi="Times New Roman"/>
        </w:rPr>
        <w:t>,</w:t>
      </w:r>
      <w:r w:rsidRPr="00F05CCC">
        <w:rPr>
          <w:rFonts w:ascii="Times New Roman" w:hAnsi="Times New Roman"/>
        </w:rPr>
        <w:t xml:space="preserve"> Exploitation in </w:t>
      </w:r>
      <w:r w:rsidRPr="00F05CCC" w:rsidR="00E224EA">
        <w:rPr>
          <w:rFonts w:ascii="Times New Roman" w:hAnsi="Times New Roman"/>
        </w:rPr>
        <w:t>P</w:t>
      </w:r>
      <w:r w:rsidRPr="00F05CCC">
        <w:rPr>
          <w:rFonts w:ascii="Times New Roman" w:hAnsi="Times New Roman"/>
        </w:rPr>
        <w:t xml:space="preserve">ayment to </w:t>
      </w:r>
      <w:r w:rsidRPr="00F05CCC" w:rsidR="00E224EA">
        <w:rPr>
          <w:rFonts w:ascii="Times New Roman" w:hAnsi="Times New Roman"/>
        </w:rPr>
        <w:t>R</w:t>
      </w:r>
      <w:r w:rsidRPr="00F05CCC">
        <w:rPr>
          <w:rFonts w:ascii="Times New Roman" w:hAnsi="Times New Roman"/>
        </w:rPr>
        <w:t xml:space="preserve">esearch </w:t>
      </w:r>
      <w:r w:rsidRPr="00F05CCC" w:rsidR="00E224EA">
        <w:rPr>
          <w:rFonts w:ascii="Times New Roman" w:hAnsi="Times New Roman"/>
        </w:rPr>
        <w:t>S</w:t>
      </w:r>
      <w:r w:rsidRPr="00F05CCC">
        <w:rPr>
          <w:rFonts w:ascii="Times New Roman" w:hAnsi="Times New Roman"/>
        </w:rPr>
        <w:t>ubjects</w:t>
      </w:r>
      <w:r w:rsidRPr="00F05CCC" w:rsidR="00E224EA">
        <w:rPr>
          <w:rFonts w:ascii="Times New Roman" w:hAnsi="Times New Roman"/>
        </w:rPr>
        <w:t>,</w:t>
      </w:r>
      <w:r w:rsidRPr="00F05CCC">
        <w:rPr>
          <w:rFonts w:ascii="Times New Roman" w:hAnsi="Times New Roman"/>
        </w:rPr>
        <w:t xml:space="preserve"> Bioethics</w:t>
      </w:r>
      <w:r w:rsidRPr="00F05CCC" w:rsidR="00770386">
        <w:rPr>
          <w:rFonts w:ascii="Times New Roman" w:hAnsi="Times New Roman"/>
          <w:i/>
          <w:iCs/>
        </w:rPr>
        <w:t>,</w:t>
      </w:r>
      <w:r w:rsidRPr="00F05CCC">
        <w:rPr>
          <w:rFonts w:ascii="Times New Roman" w:hAnsi="Times New Roman"/>
        </w:rPr>
        <w:t xml:space="preserve"> 25</w:t>
      </w:r>
      <w:r w:rsidRPr="00F05CCC" w:rsidR="0006029D">
        <w:rPr>
          <w:rFonts w:ascii="Times New Roman" w:hAnsi="Times New Roman"/>
        </w:rPr>
        <w:t>(4)</w:t>
      </w:r>
      <w:r w:rsidRPr="00F05CCC">
        <w:rPr>
          <w:rFonts w:ascii="Times New Roman" w:hAnsi="Times New Roman"/>
        </w:rPr>
        <w:t>:209–219.</w:t>
      </w:r>
    </w:p>
  </w:footnote>
  <w:footnote w:id="10">
    <w:p w:rsidR="00121005" w:rsidRPr="007F0D91" w14:paraId="36478788" w14:textId="761B7072">
      <w:pPr>
        <w:pStyle w:val="FootnoteText"/>
        <w:rPr>
          <w:rFonts w:ascii="Times New Roman" w:hAnsi="Times New Roman"/>
        </w:rPr>
      </w:pPr>
      <w:r w:rsidRPr="007F0D91">
        <w:rPr>
          <w:rStyle w:val="FootnoteReference"/>
          <w:rFonts w:ascii="Times New Roman" w:hAnsi="Times New Roman"/>
        </w:rPr>
        <w:footnoteRef/>
      </w:r>
      <w:r w:rsidRPr="007F0D91">
        <w:rPr>
          <w:rFonts w:ascii="Times New Roman" w:hAnsi="Times New Roman"/>
        </w:rPr>
        <w:t>Roche E, King R, Mohan H</w:t>
      </w:r>
      <w:r w:rsidR="0061197D">
        <w:rPr>
          <w:rFonts w:ascii="Times New Roman" w:hAnsi="Times New Roman"/>
        </w:rPr>
        <w:t>M</w:t>
      </w:r>
      <w:r w:rsidRPr="007F0D91">
        <w:rPr>
          <w:rFonts w:ascii="Times New Roman" w:hAnsi="Times New Roman"/>
        </w:rPr>
        <w:t>, Gavin B, McNichols F</w:t>
      </w:r>
      <w:r w:rsidR="003202DF">
        <w:rPr>
          <w:rFonts w:ascii="Times New Roman" w:hAnsi="Times New Roman"/>
        </w:rPr>
        <w:t>,</w:t>
      </w:r>
      <w:r w:rsidRPr="007F0D91">
        <w:rPr>
          <w:rFonts w:ascii="Times New Roman" w:hAnsi="Times New Roman"/>
        </w:rPr>
        <w:t xml:space="preserve"> 2013</w:t>
      </w:r>
      <w:r w:rsidR="003202DF">
        <w:rPr>
          <w:rFonts w:ascii="Times New Roman" w:hAnsi="Times New Roman"/>
        </w:rPr>
        <w:t>,</w:t>
      </w:r>
      <w:r w:rsidRPr="007F0D91">
        <w:rPr>
          <w:rFonts w:ascii="Times New Roman" w:hAnsi="Times New Roman"/>
        </w:rPr>
        <w:t xml:space="preserve"> Payment of </w:t>
      </w:r>
      <w:r w:rsidR="002D7E2B">
        <w:rPr>
          <w:rFonts w:ascii="Times New Roman" w:hAnsi="Times New Roman"/>
        </w:rPr>
        <w:t>R</w:t>
      </w:r>
      <w:r w:rsidRPr="007F0D91">
        <w:rPr>
          <w:rFonts w:ascii="Times New Roman" w:hAnsi="Times New Roman"/>
        </w:rPr>
        <w:t xml:space="preserve">esearch </w:t>
      </w:r>
      <w:r w:rsidR="002D7E2B">
        <w:rPr>
          <w:rFonts w:ascii="Times New Roman" w:hAnsi="Times New Roman"/>
        </w:rPr>
        <w:t>P</w:t>
      </w:r>
      <w:r w:rsidRPr="007F0D91">
        <w:rPr>
          <w:rFonts w:ascii="Times New Roman" w:hAnsi="Times New Roman"/>
        </w:rPr>
        <w:t xml:space="preserve">articipants: </w:t>
      </w:r>
      <w:r w:rsidR="00CF172F">
        <w:rPr>
          <w:rFonts w:ascii="Times New Roman" w:hAnsi="Times New Roman"/>
        </w:rPr>
        <w:t xml:space="preserve"> </w:t>
      </w:r>
      <w:r w:rsidRPr="007F0D91">
        <w:rPr>
          <w:rFonts w:ascii="Times New Roman" w:hAnsi="Times New Roman"/>
        </w:rPr>
        <w:t xml:space="preserve">Current </w:t>
      </w:r>
      <w:r w:rsidR="002D7E2B">
        <w:rPr>
          <w:rFonts w:ascii="Times New Roman" w:hAnsi="Times New Roman"/>
        </w:rPr>
        <w:t>P</w:t>
      </w:r>
      <w:r w:rsidRPr="007F0D91">
        <w:rPr>
          <w:rFonts w:ascii="Times New Roman" w:hAnsi="Times New Roman"/>
        </w:rPr>
        <w:t xml:space="preserve">ractice and </w:t>
      </w:r>
      <w:r w:rsidR="002D7E2B">
        <w:rPr>
          <w:rFonts w:ascii="Times New Roman" w:hAnsi="Times New Roman"/>
        </w:rPr>
        <w:t>P</w:t>
      </w:r>
      <w:r w:rsidRPr="007F0D91">
        <w:rPr>
          <w:rFonts w:ascii="Times New Roman" w:hAnsi="Times New Roman"/>
        </w:rPr>
        <w:t xml:space="preserve">olicies of Irish </w:t>
      </w:r>
      <w:r w:rsidR="002D7E2B">
        <w:rPr>
          <w:rFonts w:ascii="Times New Roman" w:hAnsi="Times New Roman"/>
        </w:rPr>
        <w:t>R</w:t>
      </w:r>
      <w:r w:rsidRPr="007F0D91">
        <w:rPr>
          <w:rFonts w:ascii="Times New Roman" w:hAnsi="Times New Roman"/>
        </w:rPr>
        <w:t xml:space="preserve">esearch </w:t>
      </w:r>
      <w:r w:rsidR="002D7E2B">
        <w:rPr>
          <w:rFonts w:ascii="Times New Roman" w:hAnsi="Times New Roman"/>
        </w:rPr>
        <w:t>E</w:t>
      </w:r>
      <w:r w:rsidRPr="007F0D91">
        <w:rPr>
          <w:rFonts w:ascii="Times New Roman" w:hAnsi="Times New Roman"/>
        </w:rPr>
        <w:t xml:space="preserve">thics </w:t>
      </w:r>
      <w:r w:rsidR="002D7E2B">
        <w:rPr>
          <w:rFonts w:ascii="Times New Roman" w:hAnsi="Times New Roman"/>
        </w:rPr>
        <w:t>C</w:t>
      </w:r>
      <w:r w:rsidRPr="007F0D91">
        <w:rPr>
          <w:rFonts w:ascii="Times New Roman" w:hAnsi="Times New Roman"/>
        </w:rPr>
        <w:t>ommittees</w:t>
      </w:r>
      <w:r w:rsidR="002D7E2B">
        <w:rPr>
          <w:rFonts w:ascii="Times New Roman" w:hAnsi="Times New Roman"/>
        </w:rPr>
        <w:t>,</w:t>
      </w:r>
      <w:r w:rsidRPr="007F0D91">
        <w:rPr>
          <w:rFonts w:ascii="Times New Roman" w:hAnsi="Times New Roman"/>
        </w:rPr>
        <w:t xml:space="preserve"> </w:t>
      </w:r>
      <w:r w:rsidRPr="000C01F0">
        <w:rPr>
          <w:rFonts w:ascii="Times New Roman" w:hAnsi="Times New Roman"/>
        </w:rPr>
        <w:t>J Med Ethics</w:t>
      </w:r>
      <w:r w:rsidRPr="007F0D91" w:rsidR="00770386">
        <w:rPr>
          <w:rFonts w:ascii="Times New Roman" w:hAnsi="Times New Roman"/>
          <w:i/>
          <w:iCs/>
        </w:rPr>
        <w:t>,</w:t>
      </w:r>
      <w:r w:rsidRPr="007F0D91">
        <w:rPr>
          <w:rFonts w:ascii="Times New Roman" w:hAnsi="Times New Roman"/>
        </w:rPr>
        <w:t xml:space="preserve"> 39</w:t>
      </w:r>
      <w:r w:rsidR="00F2202D">
        <w:rPr>
          <w:rFonts w:ascii="Times New Roman" w:hAnsi="Times New Roman"/>
        </w:rPr>
        <w:t>(9)</w:t>
      </w:r>
      <w:r w:rsidRPr="007F0D91">
        <w:rPr>
          <w:rFonts w:ascii="Times New Roman" w:hAnsi="Times New Roman"/>
        </w:rPr>
        <w:t>:591–593.</w:t>
      </w:r>
    </w:p>
  </w:footnote>
  <w:footnote w:id="11">
    <w:p w:rsidR="00121005" w:rsidRPr="007F0D91" w14:paraId="390D9A27" w14:textId="15B5C253">
      <w:pPr>
        <w:pStyle w:val="FootnoteText"/>
        <w:rPr>
          <w:rFonts w:ascii="Times New Roman" w:hAnsi="Times New Roman"/>
        </w:rPr>
      </w:pPr>
      <w:r w:rsidRPr="007F0D91">
        <w:rPr>
          <w:rStyle w:val="FootnoteReference"/>
          <w:rFonts w:ascii="Times New Roman" w:hAnsi="Times New Roman"/>
        </w:rPr>
        <w:footnoteRef/>
      </w:r>
      <w:r w:rsidRPr="007F0D91">
        <w:rPr>
          <w:rFonts w:ascii="Times New Roman" w:hAnsi="Times New Roman"/>
        </w:rPr>
        <w:t>Wilkinson M, Moore A</w:t>
      </w:r>
      <w:r w:rsidR="00792038">
        <w:rPr>
          <w:rFonts w:ascii="Times New Roman" w:hAnsi="Times New Roman"/>
        </w:rPr>
        <w:t>,</w:t>
      </w:r>
      <w:r w:rsidRPr="007F0D91">
        <w:rPr>
          <w:rFonts w:ascii="Times New Roman" w:hAnsi="Times New Roman"/>
        </w:rPr>
        <w:t xml:space="preserve"> 1997</w:t>
      </w:r>
      <w:r w:rsidR="003A565C">
        <w:rPr>
          <w:rFonts w:ascii="Times New Roman" w:hAnsi="Times New Roman"/>
        </w:rPr>
        <w:t>,</w:t>
      </w:r>
      <w:r w:rsidRPr="007F0D91">
        <w:rPr>
          <w:rFonts w:ascii="Times New Roman" w:hAnsi="Times New Roman"/>
        </w:rPr>
        <w:t xml:space="preserve"> Inducement in </w:t>
      </w:r>
      <w:r w:rsidR="003A565C">
        <w:rPr>
          <w:rFonts w:ascii="Times New Roman" w:hAnsi="Times New Roman"/>
        </w:rPr>
        <w:t>R</w:t>
      </w:r>
      <w:r w:rsidRPr="007F0D91">
        <w:rPr>
          <w:rFonts w:ascii="Times New Roman" w:hAnsi="Times New Roman"/>
        </w:rPr>
        <w:t>esearch</w:t>
      </w:r>
      <w:r w:rsidR="003A565C">
        <w:rPr>
          <w:rFonts w:ascii="Times New Roman" w:hAnsi="Times New Roman"/>
        </w:rPr>
        <w:t>,</w:t>
      </w:r>
      <w:r w:rsidRPr="007F0D91">
        <w:rPr>
          <w:rFonts w:ascii="Times New Roman" w:hAnsi="Times New Roman"/>
        </w:rPr>
        <w:t xml:space="preserve"> </w:t>
      </w:r>
      <w:r w:rsidRPr="003A565C">
        <w:rPr>
          <w:rFonts w:ascii="Times New Roman" w:hAnsi="Times New Roman"/>
        </w:rPr>
        <w:t>Bioethics</w:t>
      </w:r>
      <w:r w:rsidRPr="003A565C" w:rsidR="006F12F2">
        <w:rPr>
          <w:rFonts w:ascii="Times New Roman" w:hAnsi="Times New Roman"/>
        </w:rPr>
        <w:t>,</w:t>
      </w:r>
      <w:r w:rsidRPr="007F0D91">
        <w:rPr>
          <w:rFonts w:ascii="Times New Roman" w:hAnsi="Times New Roman"/>
        </w:rPr>
        <w:t xml:space="preserve"> 11</w:t>
      </w:r>
      <w:r w:rsidR="00DE5747">
        <w:rPr>
          <w:rFonts w:ascii="Times New Roman" w:hAnsi="Times New Roman"/>
        </w:rPr>
        <w:t>(5)</w:t>
      </w:r>
      <w:r w:rsidRPr="007F0D91">
        <w:rPr>
          <w:rFonts w:ascii="Times New Roman" w:hAnsi="Times New Roman"/>
        </w:rPr>
        <w:t>:373–389.</w:t>
      </w:r>
    </w:p>
  </w:footnote>
  <w:footnote w:id="12">
    <w:p w:rsidR="000016D9" w:rsidRPr="007F0D91" w14:paraId="1F73ADB2" w14:textId="78EC95D5">
      <w:pPr>
        <w:pStyle w:val="FootnoteText"/>
        <w:rPr>
          <w:rFonts w:ascii="Times New Roman" w:hAnsi="Times New Roman"/>
        </w:rPr>
      </w:pPr>
      <w:r w:rsidRPr="007F0D91">
        <w:rPr>
          <w:rStyle w:val="FootnoteReference"/>
          <w:rFonts w:ascii="Times New Roman" w:hAnsi="Times New Roman"/>
        </w:rPr>
        <w:footnoteRef/>
      </w:r>
      <w:r w:rsidRPr="007F0D91">
        <w:rPr>
          <w:rFonts w:ascii="Times New Roman" w:hAnsi="Times New Roman"/>
        </w:rPr>
        <w:t>Ibid.</w:t>
      </w:r>
    </w:p>
  </w:footnote>
  <w:footnote w:id="13">
    <w:p w:rsidR="000016D9" w:rsidRPr="007F0D91" w14:paraId="5E5789BE" w14:textId="273D089D">
      <w:pPr>
        <w:pStyle w:val="FootnoteText"/>
        <w:rPr>
          <w:rFonts w:ascii="Times New Roman" w:hAnsi="Times New Roman"/>
        </w:rPr>
      </w:pPr>
      <w:r w:rsidRPr="007F0D91">
        <w:rPr>
          <w:rStyle w:val="FootnoteReference"/>
          <w:rFonts w:ascii="Times New Roman" w:hAnsi="Times New Roman"/>
        </w:rPr>
        <w:footnoteRef/>
      </w:r>
      <w:r w:rsidR="00316DB5">
        <w:rPr>
          <w:rFonts w:ascii="Times New Roman" w:hAnsi="Times New Roman"/>
        </w:rPr>
        <w:t xml:space="preserve">See footnote </w:t>
      </w:r>
      <w:r w:rsidR="009E660A">
        <w:rPr>
          <w:rFonts w:ascii="Times New Roman" w:hAnsi="Times New Roman"/>
        </w:rPr>
        <w:t>1</w:t>
      </w:r>
      <w:r w:rsidR="00316DB5">
        <w:rPr>
          <w:rFonts w:ascii="Times New Roman" w:hAnsi="Times New Roman"/>
        </w:rPr>
        <w:t>.</w:t>
      </w:r>
    </w:p>
  </w:footnote>
  <w:footnote w:id="14">
    <w:p w:rsidR="000016D9" w:rsidRPr="007F0D91" w14:paraId="2ADB9E3F" w14:textId="6B8028CD">
      <w:pPr>
        <w:pStyle w:val="FootnoteText"/>
        <w:rPr>
          <w:rFonts w:ascii="Times New Roman" w:hAnsi="Times New Roman"/>
        </w:rPr>
      </w:pPr>
      <w:r w:rsidRPr="007F0D91">
        <w:rPr>
          <w:rStyle w:val="FootnoteReference"/>
          <w:rFonts w:ascii="Times New Roman" w:hAnsi="Times New Roman"/>
        </w:rPr>
        <w:footnoteRef/>
      </w:r>
      <w:r w:rsidRPr="007F0D91">
        <w:rPr>
          <w:rFonts w:ascii="Times New Roman" w:hAnsi="Times New Roman"/>
        </w:rPr>
        <w:t>Largent E, Grady C, Miller FG, Wertheimer A</w:t>
      </w:r>
      <w:r w:rsidR="00CF172F">
        <w:rPr>
          <w:rFonts w:ascii="Times New Roman" w:hAnsi="Times New Roman"/>
        </w:rPr>
        <w:t>,</w:t>
      </w:r>
      <w:r w:rsidRPr="007F0D91">
        <w:rPr>
          <w:rFonts w:ascii="Times New Roman" w:hAnsi="Times New Roman"/>
        </w:rPr>
        <w:t xml:space="preserve"> </w:t>
      </w:r>
      <w:r w:rsidRPr="007F0D91" w:rsidR="006F12F2">
        <w:rPr>
          <w:rFonts w:ascii="Times New Roman" w:hAnsi="Times New Roman"/>
        </w:rPr>
        <w:t>2013</w:t>
      </w:r>
      <w:r w:rsidR="007F1ED7">
        <w:rPr>
          <w:rFonts w:ascii="Times New Roman" w:hAnsi="Times New Roman"/>
        </w:rPr>
        <w:t>,</w:t>
      </w:r>
      <w:r w:rsidRPr="007F0D91" w:rsidR="006F12F2">
        <w:rPr>
          <w:rFonts w:ascii="Times New Roman" w:hAnsi="Times New Roman"/>
        </w:rPr>
        <w:t xml:space="preserve"> </w:t>
      </w:r>
      <w:r w:rsidRPr="007F0D91">
        <w:rPr>
          <w:rFonts w:ascii="Times New Roman" w:hAnsi="Times New Roman"/>
        </w:rPr>
        <w:t xml:space="preserve">Misconceptions </w:t>
      </w:r>
      <w:r w:rsidR="007F1ED7">
        <w:rPr>
          <w:rFonts w:ascii="Times New Roman" w:hAnsi="Times New Roman"/>
        </w:rPr>
        <w:t>A</w:t>
      </w:r>
      <w:r w:rsidRPr="007F0D91">
        <w:rPr>
          <w:rFonts w:ascii="Times New Roman" w:hAnsi="Times New Roman"/>
        </w:rPr>
        <w:t xml:space="preserve">bout </w:t>
      </w:r>
      <w:r w:rsidR="007F1ED7">
        <w:rPr>
          <w:rFonts w:ascii="Times New Roman" w:hAnsi="Times New Roman"/>
        </w:rPr>
        <w:t>C</w:t>
      </w:r>
      <w:r w:rsidRPr="007F0D91">
        <w:rPr>
          <w:rFonts w:ascii="Times New Roman" w:hAnsi="Times New Roman"/>
        </w:rPr>
        <w:t xml:space="preserve">oercion and </w:t>
      </w:r>
      <w:r w:rsidR="007F1ED7">
        <w:rPr>
          <w:rFonts w:ascii="Times New Roman" w:hAnsi="Times New Roman"/>
        </w:rPr>
        <w:t>U</w:t>
      </w:r>
      <w:r w:rsidRPr="007F0D91">
        <w:rPr>
          <w:rFonts w:ascii="Times New Roman" w:hAnsi="Times New Roman"/>
        </w:rPr>
        <w:t xml:space="preserve">ndue </w:t>
      </w:r>
      <w:r w:rsidR="007F1ED7">
        <w:rPr>
          <w:rFonts w:ascii="Times New Roman" w:hAnsi="Times New Roman"/>
        </w:rPr>
        <w:t>I</w:t>
      </w:r>
      <w:r w:rsidRPr="007F0D91">
        <w:rPr>
          <w:rFonts w:ascii="Times New Roman" w:hAnsi="Times New Roman"/>
        </w:rPr>
        <w:t xml:space="preserve">nfluence: </w:t>
      </w:r>
      <w:r w:rsidR="00CF172F">
        <w:rPr>
          <w:rFonts w:ascii="Times New Roman" w:hAnsi="Times New Roman"/>
        </w:rPr>
        <w:t xml:space="preserve"> </w:t>
      </w:r>
      <w:r w:rsidR="007F1ED7">
        <w:rPr>
          <w:rFonts w:ascii="Times New Roman" w:hAnsi="Times New Roman"/>
        </w:rPr>
        <w:t>R</w:t>
      </w:r>
      <w:r w:rsidRPr="007F0D91">
        <w:rPr>
          <w:rFonts w:ascii="Times New Roman" w:hAnsi="Times New Roman"/>
        </w:rPr>
        <w:t xml:space="preserve">eflections on the </w:t>
      </w:r>
      <w:r w:rsidR="007F1ED7">
        <w:rPr>
          <w:rFonts w:ascii="Times New Roman" w:hAnsi="Times New Roman"/>
        </w:rPr>
        <w:t>V</w:t>
      </w:r>
      <w:r w:rsidRPr="007F0D91">
        <w:rPr>
          <w:rFonts w:ascii="Times New Roman" w:hAnsi="Times New Roman"/>
        </w:rPr>
        <w:t xml:space="preserve">iews of IRB </w:t>
      </w:r>
      <w:r w:rsidR="007F1ED7">
        <w:rPr>
          <w:rFonts w:ascii="Times New Roman" w:hAnsi="Times New Roman"/>
        </w:rPr>
        <w:t>M</w:t>
      </w:r>
      <w:r w:rsidRPr="007F0D91">
        <w:rPr>
          <w:rFonts w:ascii="Times New Roman" w:hAnsi="Times New Roman"/>
        </w:rPr>
        <w:t>embers</w:t>
      </w:r>
      <w:r w:rsidR="007F1ED7">
        <w:rPr>
          <w:rFonts w:ascii="Times New Roman" w:hAnsi="Times New Roman"/>
        </w:rPr>
        <w:t>,</w:t>
      </w:r>
      <w:r w:rsidRPr="007F0D91">
        <w:rPr>
          <w:rFonts w:ascii="Times New Roman" w:hAnsi="Times New Roman"/>
        </w:rPr>
        <w:t xml:space="preserve"> </w:t>
      </w:r>
      <w:r w:rsidRPr="00446330">
        <w:rPr>
          <w:rFonts w:ascii="Times New Roman" w:hAnsi="Times New Roman"/>
        </w:rPr>
        <w:t>Bioethics</w:t>
      </w:r>
      <w:r w:rsidRPr="007F0D91" w:rsidR="006F12F2">
        <w:rPr>
          <w:rFonts w:ascii="Times New Roman" w:hAnsi="Times New Roman"/>
        </w:rPr>
        <w:t>,</w:t>
      </w:r>
      <w:r w:rsidRPr="007F0D91">
        <w:rPr>
          <w:rFonts w:ascii="Times New Roman" w:hAnsi="Times New Roman"/>
        </w:rPr>
        <w:t xml:space="preserve"> 27</w:t>
      </w:r>
      <w:r w:rsidR="002061F7">
        <w:rPr>
          <w:rFonts w:ascii="Times New Roman" w:hAnsi="Times New Roman"/>
        </w:rPr>
        <w:t>(9)</w:t>
      </w:r>
      <w:r w:rsidRPr="007F0D91">
        <w:rPr>
          <w:rFonts w:ascii="Times New Roman" w:hAnsi="Times New Roman"/>
        </w:rPr>
        <w:t>:500–</w:t>
      </w:r>
      <w:r w:rsidRPr="007F0D91" w:rsidR="006F12F2">
        <w:rPr>
          <w:rFonts w:ascii="Times New Roman" w:hAnsi="Times New Roman"/>
        </w:rPr>
        <w:t>50</w:t>
      </w:r>
      <w:r w:rsidRPr="007F0D91">
        <w:rPr>
          <w:rFonts w:ascii="Times New Roman" w:hAnsi="Times New Roman"/>
        </w:rPr>
        <w:t>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12D7B"/>
    <w:multiLevelType w:val="singleLevel"/>
    <w:tmpl w:val="44735331"/>
    <w:lvl w:ilvl="0">
      <w:start w:va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78C28BE"/>
    <w:multiLevelType w:val="hybridMultilevel"/>
    <w:tmpl w:val="9E605DE2"/>
    <w:lvl w:ilvl="0">
      <w:start w:val="1"/>
      <w:numFmt w:val="decimal"/>
      <w:lvlText w:val="%1."/>
      <w:lvlJc w:val="left"/>
      <w:pPr>
        <w:tabs>
          <w:tab w:val="num" w:pos="360"/>
        </w:tabs>
        <w:ind w:left="360" w:hanging="360"/>
      </w:pPr>
      <w:rPr>
        <w:rFonts w:hint="default"/>
        <w:b w:val="0"/>
        <w:i w:val="0"/>
        <w:sz w:val="24"/>
        <w:szCs w:val="24"/>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07DF1836"/>
    <w:multiLevelType w:val="hybridMultilevel"/>
    <w:tmpl w:val="CAA820EE"/>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0AC13A39"/>
    <w:multiLevelType w:val="hybridMultilevel"/>
    <w:tmpl w:val="486A7AD0"/>
    <w:lvl w:ilvl="0">
      <w:start w:val="1"/>
      <w:numFmt w:val="decimal"/>
      <w:lvlText w:val="%1."/>
      <w:lvlJc w:val="left"/>
      <w:pPr>
        <w:ind w:left="36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8">
    <w:nsid w:val="14DE49C1"/>
    <w:multiLevelType w:val="hybridMultilevel"/>
    <w:tmpl w:val="45121F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FFD5FF6"/>
    <w:multiLevelType w:val="hybridMultilevel"/>
    <w:tmpl w:val="FEBAD9E8"/>
    <w:lvl w:ilvl="0">
      <w:start w:val="1"/>
      <w:numFmt w:val="bullet"/>
      <w:lvlText w:val="‒"/>
      <w:lvlJc w:val="left"/>
      <w:pPr>
        <w:ind w:left="1440" w:hanging="360"/>
      </w:pPr>
      <w:rPr>
        <w:rFonts w:ascii="Times New Roman" w:hAnsi="Times New Roman" w:cs="Times New Roman" w:hint="default"/>
        <w:sz w:val="24"/>
        <w:szCs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216C550A"/>
    <w:multiLevelType w:val="singleLevel"/>
    <w:tmpl w:val="241A6F21"/>
    <w:lvl w:ilvl="0">
      <w:start w:val="0"/>
      <w:numFmt w:val="bullet"/>
      <w:lvlText w:val="n"/>
      <w:lvlJc w:val="left"/>
      <w:pPr>
        <w:tabs>
          <w:tab w:val="num" w:pos="1800"/>
        </w:tabs>
        <w:ind w:left="1800" w:hanging="576"/>
      </w:pPr>
      <w:rPr>
        <w:rFonts w:ascii="Wingdings" w:hAnsi="Wingdings" w:cs="Wingdings" w:hint="default"/>
        <w:color w:val="000000"/>
      </w:rPr>
    </w:lvl>
  </w:abstractNum>
  <w:abstractNum w:abstractNumId="12">
    <w:nsid w:val="221F2707"/>
    <w:multiLevelType w:val="hybridMultilevel"/>
    <w:tmpl w:val="407EA8C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E645C6B"/>
    <w:multiLevelType w:val="singleLevel"/>
    <w:tmpl w:val="4DA19B50"/>
    <w:lvl w:ilvl="0">
      <w:start w:val="0"/>
      <w:numFmt w:val="bullet"/>
      <w:lvlText w:val="·"/>
      <w:lvlJc w:val="left"/>
      <w:pPr>
        <w:tabs>
          <w:tab w:val="num" w:pos="1440"/>
        </w:tabs>
        <w:ind w:left="1440" w:hanging="360"/>
      </w:pPr>
      <w:rPr>
        <w:rFonts w:ascii="Symbol" w:hAnsi="Symbol" w:cs="Symbol" w:hint="default"/>
        <w:color w:val="000000"/>
      </w:rPr>
    </w:lvl>
  </w:abstractNum>
  <w:abstractNum w:abstractNumId="15">
    <w:nsid w:val="300746F5"/>
    <w:multiLevelType w:val="hybridMultilevel"/>
    <w:tmpl w:val="B8AE794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7">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40D6EE2"/>
    <w:multiLevelType w:val="hybridMultilevel"/>
    <w:tmpl w:val="7E0ABE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4B205A69"/>
    <w:multiLevelType w:val="hybridMultilevel"/>
    <w:tmpl w:val="5B761C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8701142"/>
    <w:multiLevelType w:val="hybridMultilevel"/>
    <w:tmpl w:val="45121F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94C4C1C"/>
    <w:multiLevelType w:val="hybridMultilevel"/>
    <w:tmpl w:val="11C622B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98C6CF9"/>
    <w:multiLevelType w:val="hybridMultilevel"/>
    <w:tmpl w:val="D534A436"/>
    <w:lvl w:ilvl="0">
      <w:start w:val="1"/>
      <w:numFmt w:val="decimal"/>
      <w:lvlText w:val="%1."/>
      <w:lvlJc w:val="left"/>
      <w:pPr>
        <w:ind w:left="102" w:hanging="238"/>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182" w:hanging="360"/>
      </w:pPr>
      <w:rPr>
        <w:rFonts w:ascii="Arial" w:eastAsia="Arial" w:hAnsi="Arial" w:cs="Arial" w:hint="default"/>
        <w:b w:val="0"/>
        <w:bCs w:val="0"/>
        <w:i w:val="0"/>
        <w:iCs w:val="0"/>
        <w:w w:val="132"/>
        <w:sz w:val="20"/>
        <w:szCs w:val="20"/>
        <w:lang w:val="en-US" w:eastAsia="en-US" w:bidi="ar-SA"/>
      </w:rPr>
    </w:lvl>
    <w:lvl w:ilvl="2">
      <w:start w:val="0"/>
      <w:numFmt w:val="bullet"/>
      <w:lvlText w:val="•"/>
      <w:lvlJc w:val="left"/>
      <w:pPr>
        <w:ind w:left="2124" w:hanging="360"/>
      </w:pPr>
      <w:rPr>
        <w:lang w:val="en-US" w:eastAsia="en-US" w:bidi="ar-SA"/>
      </w:rPr>
    </w:lvl>
    <w:lvl w:ilvl="3">
      <w:start w:val="0"/>
      <w:numFmt w:val="bullet"/>
      <w:lvlText w:val="•"/>
      <w:lvlJc w:val="left"/>
      <w:pPr>
        <w:ind w:left="3068" w:hanging="360"/>
      </w:pPr>
      <w:rPr>
        <w:lang w:val="en-US" w:eastAsia="en-US" w:bidi="ar-SA"/>
      </w:rPr>
    </w:lvl>
    <w:lvl w:ilvl="4">
      <w:start w:val="0"/>
      <w:numFmt w:val="bullet"/>
      <w:lvlText w:val="•"/>
      <w:lvlJc w:val="left"/>
      <w:pPr>
        <w:ind w:left="4013" w:hanging="360"/>
      </w:pPr>
      <w:rPr>
        <w:lang w:val="en-US" w:eastAsia="en-US" w:bidi="ar-SA"/>
      </w:rPr>
    </w:lvl>
    <w:lvl w:ilvl="5">
      <w:start w:val="0"/>
      <w:numFmt w:val="bullet"/>
      <w:lvlText w:val="•"/>
      <w:lvlJc w:val="left"/>
      <w:pPr>
        <w:ind w:left="4957" w:hanging="360"/>
      </w:pPr>
      <w:rPr>
        <w:lang w:val="en-US" w:eastAsia="en-US" w:bidi="ar-SA"/>
      </w:rPr>
    </w:lvl>
    <w:lvl w:ilvl="6">
      <w:start w:val="0"/>
      <w:numFmt w:val="bullet"/>
      <w:lvlText w:val="•"/>
      <w:lvlJc w:val="left"/>
      <w:pPr>
        <w:ind w:left="5902" w:hanging="360"/>
      </w:pPr>
      <w:rPr>
        <w:lang w:val="en-US" w:eastAsia="en-US" w:bidi="ar-SA"/>
      </w:rPr>
    </w:lvl>
    <w:lvl w:ilvl="7">
      <w:start w:val="0"/>
      <w:numFmt w:val="bullet"/>
      <w:lvlText w:val="•"/>
      <w:lvlJc w:val="left"/>
      <w:pPr>
        <w:ind w:left="6846" w:hanging="360"/>
      </w:pPr>
      <w:rPr>
        <w:lang w:val="en-US" w:eastAsia="en-US" w:bidi="ar-SA"/>
      </w:rPr>
    </w:lvl>
    <w:lvl w:ilvl="8">
      <w:start w:val="0"/>
      <w:numFmt w:val="bullet"/>
      <w:lvlText w:val="•"/>
      <w:lvlJc w:val="left"/>
      <w:pPr>
        <w:ind w:left="7791" w:hanging="360"/>
      </w:pPr>
      <w:rPr>
        <w:lang w:val="en-US" w:eastAsia="en-US" w:bidi="ar-SA"/>
      </w:rPr>
    </w:lvl>
  </w:abstractNum>
  <w:abstractNum w:abstractNumId="25">
    <w:nsid w:val="6A156C17"/>
    <w:multiLevelType w:val="hybridMultilevel"/>
    <w:tmpl w:val="45121F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7">
    <w:nsid w:val="6C0D07D9"/>
    <w:multiLevelType w:val="hybridMultilevel"/>
    <w:tmpl w:val="5C7699B8"/>
    <w:lvl w:ilvl="0">
      <w:start w:val="1"/>
      <w:numFmt w:val="decimal"/>
      <w:lvlText w:val="%1."/>
      <w:lvlJc w:val="left"/>
      <w:pPr>
        <w:tabs>
          <w:tab w:val="num" w:pos="1296"/>
        </w:tabs>
        <w:ind w:left="1296" w:hanging="360"/>
      </w:pPr>
    </w:lvl>
    <w:lvl w:ilvl="1">
      <w:start w:val="1"/>
      <w:numFmt w:val="lowerLetter"/>
      <w:lvlText w:val="%2."/>
      <w:lvlJc w:val="left"/>
      <w:pPr>
        <w:tabs>
          <w:tab w:val="num" w:pos="2016"/>
        </w:tabs>
        <w:ind w:left="2016" w:hanging="360"/>
      </w:pPr>
    </w:lvl>
    <w:lvl w:ilvl="2" w:tentative="1">
      <w:start w:val="1"/>
      <w:numFmt w:val="lowerRoman"/>
      <w:lvlText w:val="%3."/>
      <w:lvlJc w:val="right"/>
      <w:pPr>
        <w:tabs>
          <w:tab w:val="num" w:pos="2736"/>
        </w:tabs>
        <w:ind w:left="2736" w:hanging="180"/>
      </w:pPr>
    </w:lvl>
    <w:lvl w:ilvl="3" w:tentative="1">
      <w:start w:val="1"/>
      <w:numFmt w:val="decimal"/>
      <w:lvlText w:val="%4."/>
      <w:lvlJc w:val="left"/>
      <w:pPr>
        <w:tabs>
          <w:tab w:val="num" w:pos="3456"/>
        </w:tabs>
        <w:ind w:left="3456" w:hanging="360"/>
      </w:pPr>
    </w:lvl>
    <w:lvl w:ilvl="4" w:tentative="1">
      <w:start w:val="1"/>
      <w:numFmt w:val="lowerLetter"/>
      <w:lvlText w:val="%5."/>
      <w:lvlJc w:val="left"/>
      <w:pPr>
        <w:tabs>
          <w:tab w:val="num" w:pos="4176"/>
        </w:tabs>
        <w:ind w:left="4176" w:hanging="360"/>
      </w:pPr>
    </w:lvl>
    <w:lvl w:ilvl="5" w:tentative="1">
      <w:start w:val="1"/>
      <w:numFmt w:val="lowerRoman"/>
      <w:lvlText w:val="%6."/>
      <w:lvlJc w:val="right"/>
      <w:pPr>
        <w:tabs>
          <w:tab w:val="num" w:pos="4896"/>
        </w:tabs>
        <w:ind w:left="4896" w:hanging="180"/>
      </w:pPr>
    </w:lvl>
    <w:lvl w:ilvl="6" w:tentative="1">
      <w:start w:val="1"/>
      <w:numFmt w:val="decimal"/>
      <w:lvlText w:val="%7."/>
      <w:lvlJc w:val="left"/>
      <w:pPr>
        <w:tabs>
          <w:tab w:val="num" w:pos="5616"/>
        </w:tabs>
        <w:ind w:left="5616" w:hanging="360"/>
      </w:pPr>
    </w:lvl>
    <w:lvl w:ilvl="7" w:tentative="1">
      <w:start w:val="1"/>
      <w:numFmt w:val="lowerLetter"/>
      <w:lvlText w:val="%8."/>
      <w:lvlJc w:val="left"/>
      <w:pPr>
        <w:tabs>
          <w:tab w:val="num" w:pos="6336"/>
        </w:tabs>
        <w:ind w:left="6336" w:hanging="360"/>
      </w:pPr>
    </w:lvl>
    <w:lvl w:ilvl="8" w:tentative="1">
      <w:start w:val="1"/>
      <w:numFmt w:val="lowerRoman"/>
      <w:lvlText w:val="%9."/>
      <w:lvlJc w:val="right"/>
      <w:pPr>
        <w:tabs>
          <w:tab w:val="num" w:pos="7056"/>
        </w:tabs>
        <w:ind w:left="7056" w:hanging="180"/>
      </w:pPr>
    </w:lvl>
  </w:abstractNum>
  <w:abstractNum w:abstractNumId="2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9">
    <w:nsid w:val="79155C5F"/>
    <w:multiLevelType w:val="hybridMultilevel"/>
    <w:tmpl w:val="FD3EDA9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A321313"/>
    <w:multiLevelType w:val="hybridMultilevel"/>
    <w:tmpl w:val="CBECA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67295419">
    <w:abstractNumId w:val="18"/>
  </w:num>
  <w:num w:numId="2" w16cid:durableId="1328824919">
    <w:abstractNumId w:val="31"/>
  </w:num>
  <w:num w:numId="3" w16cid:durableId="1922372023">
    <w:abstractNumId w:val="28"/>
  </w:num>
  <w:num w:numId="4" w16cid:durableId="1408262647">
    <w:abstractNumId w:val="32"/>
  </w:num>
  <w:num w:numId="5" w16cid:durableId="227887471">
    <w:abstractNumId w:val="7"/>
  </w:num>
  <w:num w:numId="6" w16cid:durableId="151992850">
    <w:abstractNumId w:val="2"/>
  </w:num>
  <w:num w:numId="7" w16cid:durableId="579295486">
    <w:abstractNumId w:val="16"/>
  </w:num>
  <w:num w:numId="8" w16cid:durableId="258872517">
    <w:abstractNumId w:val="26"/>
  </w:num>
  <w:num w:numId="9" w16cid:durableId="274412025">
    <w:abstractNumId w:val="17"/>
  </w:num>
  <w:num w:numId="10" w16cid:durableId="1060203240">
    <w:abstractNumId w:val="3"/>
  </w:num>
  <w:num w:numId="11" w16cid:durableId="806824469">
    <w:abstractNumId w:val="9"/>
  </w:num>
  <w:num w:numId="12" w16cid:durableId="1409884609">
    <w:abstractNumId w:val="13"/>
  </w:num>
  <w:num w:numId="13" w16cid:durableId="1887520545">
    <w:abstractNumId w:val="1"/>
  </w:num>
  <w:num w:numId="14" w16cid:durableId="1861353777">
    <w:abstractNumId w:val="15"/>
  </w:num>
  <w:num w:numId="15" w16cid:durableId="1493177151">
    <w:abstractNumId w:val="27"/>
  </w:num>
  <w:num w:numId="16" w16cid:durableId="1790928106">
    <w:abstractNumId w:val="21"/>
  </w:num>
  <w:num w:numId="17" w16cid:durableId="1331256681">
    <w:abstractNumId w:val="0"/>
  </w:num>
  <w:num w:numId="18" w16cid:durableId="1122920060">
    <w:abstractNumId w:val="14"/>
  </w:num>
  <w:num w:numId="19" w16cid:durableId="1527252035">
    <w:abstractNumId w:val="11"/>
  </w:num>
  <w:num w:numId="20" w16cid:durableId="1888563313">
    <w:abstractNumId w:val="4"/>
  </w:num>
  <w:num w:numId="21" w16cid:durableId="194583903">
    <w:abstractNumId w:val="5"/>
  </w:num>
  <w:num w:numId="22" w16cid:durableId="831601199">
    <w:abstractNumId w:val="23"/>
  </w:num>
  <w:num w:numId="23" w16cid:durableId="1130637109">
    <w:abstractNumId w:val="12"/>
  </w:num>
  <w:num w:numId="24" w16cid:durableId="2109815371">
    <w:abstractNumId w:val="24"/>
    <w:lvlOverride w:ilvl="0">
      <w:startOverride w:val="1"/>
    </w:lvlOverride>
    <w:lvlOverride w:ilvl="1"/>
    <w:lvlOverride w:ilvl="2"/>
    <w:lvlOverride w:ilvl="3"/>
    <w:lvlOverride w:ilvl="4"/>
    <w:lvlOverride w:ilvl="5"/>
    <w:lvlOverride w:ilvl="6"/>
    <w:lvlOverride w:ilvl="7"/>
    <w:lvlOverride w:ilvl="8"/>
  </w:num>
  <w:num w:numId="25" w16cid:durableId="1804347641">
    <w:abstractNumId w:val="8"/>
  </w:num>
  <w:num w:numId="26" w16cid:durableId="1977179249">
    <w:abstractNumId w:val="22"/>
  </w:num>
  <w:num w:numId="27" w16cid:durableId="1146093628">
    <w:abstractNumId w:val="25"/>
  </w:num>
  <w:num w:numId="28" w16cid:durableId="593170506">
    <w:abstractNumId w:val="20"/>
  </w:num>
  <w:num w:numId="29" w16cid:durableId="1889607796">
    <w:abstractNumId w:val="19"/>
  </w:num>
  <w:num w:numId="30" w16cid:durableId="1503088600">
    <w:abstractNumId w:val="29"/>
  </w:num>
  <w:num w:numId="31" w16cid:durableId="802774140">
    <w:abstractNumId w:val="6"/>
  </w:num>
  <w:num w:numId="32" w16cid:durableId="101610333">
    <w:abstractNumId w:val="10"/>
  </w:num>
  <w:num w:numId="33" w16cid:durableId="183240389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5B"/>
    <w:rsid w:val="000016D9"/>
    <w:rsid w:val="00002B14"/>
    <w:rsid w:val="00005D48"/>
    <w:rsid w:val="00010586"/>
    <w:rsid w:val="00011D0B"/>
    <w:rsid w:val="00014802"/>
    <w:rsid w:val="000154D1"/>
    <w:rsid w:val="000171FB"/>
    <w:rsid w:val="000203F6"/>
    <w:rsid w:val="000204EF"/>
    <w:rsid w:val="00020BDA"/>
    <w:rsid w:val="000312CB"/>
    <w:rsid w:val="0003245C"/>
    <w:rsid w:val="00033BB4"/>
    <w:rsid w:val="00035B5C"/>
    <w:rsid w:val="000378CE"/>
    <w:rsid w:val="00040C5B"/>
    <w:rsid w:val="00057905"/>
    <w:rsid w:val="00057DF3"/>
    <w:rsid w:val="0006029D"/>
    <w:rsid w:val="000605B8"/>
    <w:rsid w:val="00060E15"/>
    <w:rsid w:val="0006417A"/>
    <w:rsid w:val="00067670"/>
    <w:rsid w:val="00072568"/>
    <w:rsid w:val="0007409F"/>
    <w:rsid w:val="00076025"/>
    <w:rsid w:val="000807B8"/>
    <w:rsid w:val="000863D3"/>
    <w:rsid w:val="00086680"/>
    <w:rsid w:val="0008692F"/>
    <w:rsid w:val="000875C8"/>
    <w:rsid w:val="00087E55"/>
    <w:rsid w:val="00095004"/>
    <w:rsid w:val="000A0362"/>
    <w:rsid w:val="000A0408"/>
    <w:rsid w:val="000A520F"/>
    <w:rsid w:val="000A525C"/>
    <w:rsid w:val="000A5FF7"/>
    <w:rsid w:val="000A75DA"/>
    <w:rsid w:val="000A7A7F"/>
    <w:rsid w:val="000B158F"/>
    <w:rsid w:val="000B27A2"/>
    <w:rsid w:val="000B355D"/>
    <w:rsid w:val="000B39BF"/>
    <w:rsid w:val="000B5107"/>
    <w:rsid w:val="000C01F0"/>
    <w:rsid w:val="000C0F10"/>
    <w:rsid w:val="000C386B"/>
    <w:rsid w:val="000D6187"/>
    <w:rsid w:val="000E0917"/>
    <w:rsid w:val="000E272E"/>
    <w:rsid w:val="000E56BB"/>
    <w:rsid w:val="000E72AA"/>
    <w:rsid w:val="000F1077"/>
    <w:rsid w:val="000F1CDA"/>
    <w:rsid w:val="000F2F28"/>
    <w:rsid w:val="000F51AB"/>
    <w:rsid w:val="001020AF"/>
    <w:rsid w:val="00106F47"/>
    <w:rsid w:val="0010770E"/>
    <w:rsid w:val="00113E3A"/>
    <w:rsid w:val="001145D5"/>
    <w:rsid w:val="00121005"/>
    <w:rsid w:val="00121E4B"/>
    <w:rsid w:val="00126D06"/>
    <w:rsid w:val="00127B5B"/>
    <w:rsid w:val="00132EF8"/>
    <w:rsid w:val="00135C2E"/>
    <w:rsid w:val="00140343"/>
    <w:rsid w:val="00140A0D"/>
    <w:rsid w:val="0014272D"/>
    <w:rsid w:val="001439DD"/>
    <w:rsid w:val="00145BFF"/>
    <w:rsid w:val="00152FBA"/>
    <w:rsid w:val="00154A82"/>
    <w:rsid w:val="0015563B"/>
    <w:rsid w:val="00171293"/>
    <w:rsid w:val="00172A6E"/>
    <w:rsid w:val="001818C6"/>
    <w:rsid w:val="00181CA6"/>
    <w:rsid w:val="00182085"/>
    <w:rsid w:val="00182D96"/>
    <w:rsid w:val="00186579"/>
    <w:rsid w:val="00186D50"/>
    <w:rsid w:val="00190AA2"/>
    <w:rsid w:val="00190E39"/>
    <w:rsid w:val="0019207A"/>
    <w:rsid w:val="00192C72"/>
    <w:rsid w:val="001A1A87"/>
    <w:rsid w:val="001A57D3"/>
    <w:rsid w:val="001A68F4"/>
    <w:rsid w:val="001A7E20"/>
    <w:rsid w:val="001B2920"/>
    <w:rsid w:val="001B2FA5"/>
    <w:rsid w:val="001B3E8C"/>
    <w:rsid w:val="001B4A73"/>
    <w:rsid w:val="001C0117"/>
    <w:rsid w:val="001C2476"/>
    <w:rsid w:val="001C64E2"/>
    <w:rsid w:val="001D18B7"/>
    <w:rsid w:val="001D19B4"/>
    <w:rsid w:val="001D2702"/>
    <w:rsid w:val="001D2931"/>
    <w:rsid w:val="001D2A10"/>
    <w:rsid w:val="001D5B3A"/>
    <w:rsid w:val="001D6A2F"/>
    <w:rsid w:val="001E1C25"/>
    <w:rsid w:val="001E2137"/>
    <w:rsid w:val="001E39E8"/>
    <w:rsid w:val="001E59DF"/>
    <w:rsid w:val="001E5B5A"/>
    <w:rsid w:val="001F09C0"/>
    <w:rsid w:val="001F3104"/>
    <w:rsid w:val="001F4032"/>
    <w:rsid w:val="00201260"/>
    <w:rsid w:val="002020A0"/>
    <w:rsid w:val="00203DEE"/>
    <w:rsid w:val="0020438A"/>
    <w:rsid w:val="00205010"/>
    <w:rsid w:val="002059E8"/>
    <w:rsid w:val="002061F7"/>
    <w:rsid w:val="002068F9"/>
    <w:rsid w:val="00215DA4"/>
    <w:rsid w:val="00224037"/>
    <w:rsid w:val="00230D2D"/>
    <w:rsid w:val="0023174E"/>
    <w:rsid w:val="00243BAE"/>
    <w:rsid w:val="00244082"/>
    <w:rsid w:val="0024518B"/>
    <w:rsid w:val="00245362"/>
    <w:rsid w:val="00247D12"/>
    <w:rsid w:val="00250073"/>
    <w:rsid w:val="00250B67"/>
    <w:rsid w:val="00252CD4"/>
    <w:rsid w:val="00253785"/>
    <w:rsid w:val="00255B16"/>
    <w:rsid w:val="002664AD"/>
    <w:rsid w:val="00270A27"/>
    <w:rsid w:val="00272D49"/>
    <w:rsid w:val="00273A53"/>
    <w:rsid w:val="00273BAD"/>
    <w:rsid w:val="00274CE3"/>
    <w:rsid w:val="00281168"/>
    <w:rsid w:val="00281292"/>
    <w:rsid w:val="0028366E"/>
    <w:rsid w:val="002923A2"/>
    <w:rsid w:val="00294A29"/>
    <w:rsid w:val="002B5139"/>
    <w:rsid w:val="002B5C5C"/>
    <w:rsid w:val="002B6F9B"/>
    <w:rsid w:val="002C1DDB"/>
    <w:rsid w:val="002C2201"/>
    <w:rsid w:val="002D7E2B"/>
    <w:rsid w:val="002F0685"/>
    <w:rsid w:val="002F2DAA"/>
    <w:rsid w:val="002F77E4"/>
    <w:rsid w:val="0030114B"/>
    <w:rsid w:val="00305468"/>
    <w:rsid w:val="00307484"/>
    <w:rsid w:val="0030778E"/>
    <w:rsid w:val="0031079A"/>
    <w:rsid w:val="00313062"/>
    <w:rsid w:val="00315B3B"/>
    <w:rsid w:val="00316DB5"/>
    <w:rsid w:val="003171A2"/>
    <w:rsid w:val="003202DF"/>
    <w:rsid w:val="00325F37"/>
    <w:rsid w:val="003262BB"/>
    <w:rsid w:val="00327B8F"/>
    <w:rsid w:val="00332C0D"/>
    <w:rsid w:val="0033326B"/>
    <w:rsid w:val="003416B6"/>
    <w:rsid w:val="00343ABF"/>
    <w:rsid w:val="00350788"/>
    <w:rsid w:val="00350ABA"/>
    <w:rsid w:val="00350C25"/>
    <w:rsid w:val="00354D4D"/>
    <w:rsid w:val="0036120A"/>
    <w:rsid w:val="00361259"/>
    <w:rsid w:val="00363184"/>
    <w:rsid w:val="00363491"/>
    <w:rsid w:val="00364051"/>
    <w:rsid w:val="00364C3F"/>
    <w:rsid w:val="003657C1"/>
    <w:rsid w:val="0037405C"/>
    <w:rsid w:val="003778BB"/>
    <w:rsid w:val="00384FAF"/>
    <w:rsid w:val="003870C3"/>
    <w:rsid w:val="00390A3F"/>
    <w:rsid w:val="00395C31"/>
    <w:rsid w:val="0039718E"/>
    <w:rsid w:val="003A1242"/>
    <w:rsid w:val="003A4F97"/>
    <w:rsid w:val="003A5391"/>
    <w:rsid w:val="003A565C"/>
    <w:rsid w:val="003A5B5D"/>
    <w:rsid w:val="003B530A"/>
    <w:rsid w:val="003C5656"/>
    <w:rsid w:val="003C6181"/>
    <w:rsid w:val="003D6691"/>
    <w:rsid w:val="003E0503"/>
    <w:rsid w:val="003E55D5"/>
    <w:rsid w:val="003F1C7A"/>
    <w:rsid w:val="003F3BDC"/>
    <w:rsid w:val="003F3FA8"/>
    <w:rsid w:val="003F795D"/>
    <w:rsid w:val="00400FE8"/>
    <w:rsid w:val="00406A15"/>
    <w:rsid w:val="00406EF3"/>
    <w:rsid w:val="00411149"/>
    <w:rsid w:val="004112A3"/>
    <w:rsid w:val="00411E64"/>
    <w:rsid w:val="0041453B"/>
    <w:rsid w:val="00420091"/>
    <w:rsid w:val="0042519A"/>
    <w:rsid w:val="00426439"/>
    <w:rsid w:val="00431070"/>
    <w:rsid w:val="004407D8"/>
    <w:rsid w:val="004453D1"/>
    <w:rsid w:val="00445570"/>
    <w:rsid w:val="00445A6D"/>
    <w:rsid w:val="00445C0F"/>
    <w:rsid w:val="00446330"/>
    <w:rsid w:val="004464CE"/>
    <w:rsid w:val="00446FD2"/>
    <w:rsid w:val="00450F3B"/>
    <w:rsid w:val="004524B0"/>
    <w:rsid w:val="00454121"/>
    <w:rsid w:val="00456A96"/>
    <w:rsid w:val="00460F1B"/>
    <w:rsid w:val="00461E1F"/>
    <w:rsid w:val="00463B4D"/>
    <w:rsid w:val="004713F9"/>
    <w:rsid w:val="004739A3"/>
    <w:rsid w:val="00475B9C"/>
    <w:rsid w:val="00476987"/>
    <w:rsid w:val="00484772"/>
    <w:rsid w:val="00487373"/>
    <w:rsid w:val="0049419A"/>
    <w:rsid w:val="0049593B"/>
    <w:rsid w:val="00496F82"/>
    <w:rsid w:val="004A0DE9"/>
    <w:rsid w:val="004A4123"/>
    <w:rsid w:val="004A4906"/>
    <w:rsid w:val="004A6D24"/>
    <w:rsid w:val="004B2CEE"/>
    <w:rsid w:val="004B46D6"/>
    <w:rsid w:val="004B48BC"/>
    <w:rsid w:val="004B694D"/>
    <w:rsid w:val="004C090E"/>
    <w:rsid w:val="004C6E0B"/>
    <w:rsid w:val="004D16F4"/>
    <w:rsid w:val="004D208D"/>
    <w:rsid w:val="004D224F"/>
    <w:rsid w:val="004E1499"/>
    <w:rsid w:val="004E2FAF"/>
    <w:rsid w:val="004E3D15"/>
    <w:rsid w:val="004E56EC"/>
    <w:rsid w:val="004E59AC"/>
    <w:rsid w:val="004E5FAF"/>
    <w:rsid w:val="004E6D0C"/>
    <w:rsid w:val="004E7B2E"/>
    <w:rsid w:val="004F1F52"/>
    <w:rsid w:val="004F2263"/>
    <w:rsid w:val="004F4600"/>
    <w:rsid w:val="004F5607"/>
    <w:rsid w:val="004F655C"/>
    <w:rsid w:val="005012F2"/>
    <w:rsid w:val="005033F6"/>
    <w:rsid w:val="005175A6"/>
    <w:rsid w:val="00517618"/>
    <w:rsid w:val="00517879"/>
    <w:rsid w:val="005236D6"/>
    <w:rsid w:val="00525133"/>
    <w:rsid w:val="005262A9"/>
    <w:rsid w:val="00526E66"/>
    <w:rsid w:val="00531A31"/>
    <w:rsid w:val="005340C7"/>
    <w:rsid w:val="005357C6"/>
    <w:rsid w:val="00537242"/>
    <w:rsid w:val="005375DB"/>
    <w:rsid w:val="005376A0"/>
    <w:rsid w:val="00542CAC"/>
    <w:rsid w:val="00542D3F"/>
    <w:rsid w:val="00546B25"/>
    <w:rsid w:val="00546BE0"/>
    <w:rsid w:val="0055073C"/>
    <w:rsid w:val="00553A35"/>
    <w:rsid w:val="00561133"/>
    <w:rsid w:val="005619D3"/>
    <w:rsid w:val="0056613F"/>
    <w:rsid w:val="00590813"/>
    <w:rsid w:val="00597406"/>
    <w:rsid w:val="005A18A4"/>
    <w:rsid w:val="005A4A37"/>
    <w:rsid w:val="005B24AC"/>
    <w:rsid w:val="005B2C7C"/>
    <w:rsid w:val="005B4429"/>
    <w:rsid w:val="005B65BE"/>
    <w:rsid w:val="005C206C"/>
    <w:rsid w:val="005C3352"/>
    <w:rsid w:val="005C4D0F"/>
    <w:rsid w:val="005C778B"/>
    <w:rsid w:val="005D1CCC"/>
    <w:rsid w:val="005D2AD1"/>
    <w:rsid w:val="005D2C78"/>
    <w:rsid w:val="005E14EC"/>
    <w:rsid w:val="005E23BA"/>
    <w:rsid w:val="005E4792"/>
    <w:rsid w:val="005E4981"/>
    <w:rsid w:val="005E4AAE"/>
    <w:rsid w:val="005F3196"/>
    <w:rsid w:val="005F3DF3"/>
    <w:rsid w:val="005F6F29"/>
    <w:rsid w:val="005F763B"/>
    <w:rsid w:val="005F7D93"/>
    <w:rsid w:val="00601F6F"/>
    <w:rsid w:val="00604FC4"/>
    <w:rsid w:val="00605FF4"/>
    <w:rsid w:val="00606D75"/>
    <w:rsid w:val="0061197D"/>
    <w:rsid w:val="00614F12"/>
    <w:rsid w:val="0061617A"/>
    <w:rsid w:val="00620968"/>
    <w:rsid w:val="00627A84"/>
    <w:rsid w:val="00637566"/>
    <w:rsid w:val="0064026F"/>
    <w:rsid w:val="006418DF"/>
    <w:rsid w:val="00660019"/>
    <w:rsid w:val="0066279E"/>
    <w:rsid w:val="00665BC9"/>
    <w:rsid w:val="00666857"/>
    <w:rsid w:val="006708FF"/>
    <w:rsid w:val="00672DEC"/>
    <w:rsid w:val="006741F8"/>
    <w:rsid w:val="00674DB6"/>
    <w:rsid w:val="0068087A"/>
    <w:rsid w:val="00681956"/>
    <w:rsid w:val="00685000"/>
    <w:rsid w:val="00685CC4"/>
    <w:rsid w:val="006915EA"/>
    <w:rsid w:val="00691713"/>
    <w:rsid w:val="00691E1B"/>
    <w:rsid w:val="006931A1"/>
    <w:rsid w:val="00694CAB"/>
    <w:rsid w:val="0069605C"/>
    <w:rsid w:val="00696B03"/>
    <w:rsid w:val="006970B6"/>
    <w:rsid w:val="006A12AF"/>
    <w:rsid w:val="006A2088"/>
    <w:rsid w:val="006A2182"/>
    <w:rsid w:val="006A2F1B"/>
    <w:rsid w:val="006A643F"/>
    <w:rsid w:val="006B05AC"/>
    <w:rsid w:val="006B2264"/>
    <w:rsid w:val="006B7747"/>
    <w:rsid w:val="006C1CAF"/>
    <w:rsid w:val="006C2AC9"/>
    <w:rsid w:val="006D3B31"/>
    <w:rsid w:val="006D623B"/>
    <w:rsid w:val="006E05CD"/>
    <w:rsid w:val="006F12F2"/>
    <w:rsid w:val="006F2AEC"/>
    <w:rsid w:val="006F4329"/>
    <w:rsid w:val="007008A9"/>
    <w:rsid w:val="0070742D"/>
    <w:rsid w:val="0071060E"/>
    <w:rsid w:val="00711511"/>
    <w:rsid w:val="00713B6B"/>
    <w:rsid w:val="00715F9A"/>
    <w:rsid w:val="00716EB1"/>
    <w:rsid w:val="00716FBF"/>
    <w:rsid w:val="007227FD"/>
    <w:rsid w:val="00722EFE"/>
    <w:rsid w:val="00722F05"/>
    <w:rsid w:val="0072757B"/>
    <w:rsid w:val="00727630"/>
    <w:rsid w:val="00735040"/>
    <w:rsid w:val="00740D6E"/>
    <w:rsid w:val="007419B3"/>
    <w:rsid w:val="0074383A"/>
    <w:rsid w:val="0074463A"/>
    <w:rsid w:val="00744F5B"/>
    <w:rsid w:val="007457B7"/>
    <w:rsid w:val="007461E2"/>
    <w:rsid w:val="007465CB"/>
    <w:rsid w:val="0074697C"/>
    <w:rsid w:val="0075019B"/>
    <w:rsid w:val="0075059D"/>
    <w:rsid w:val="00753895"/>
    <w:rsid w:val="00755027"/>
    <w:rsid w:val="007640D9"/>
    <w:rsid w:val="00765CB4"/>
    <w:rsid w:val="007673E0"/>
    <w:rsid w:val="00770386"/>
    <w:rsid w:val="00783892"/>
    <w:rsid w:val="00783AE9"/>
    <w:rsid w:val="007873EA"/>
    <w:rsid w:val="00790DFD"/>
    <w:rsid w:val="00792038"/>
    <w:rsid w:val="0079295D"/>
    <w:rsid w:val="00792DAB"/>
    <w:rsid w:val="00793AEC"/>
    <w:rsid w:val="00793F01"/>
    <w:rsid w:val="007967DE"/>
    <w:rsid w:val="00796C51"/>
    <w:rsid w:val="007A1627"/>
    <w:rsid w:val="007A35DD"/>
    <w:rsid w:val="007A4331"/>
    <w:rsid w:val="007B045B"/>
    <w:rsid w:val="007B0D6C"/>
    <w:rsid w:val="007C251C"/>
    <w:rsid w:val="007C3DEF"/>
    <w:rsid w:val="007C4845"/>
    <w:rsid w:val="007C4DC3"/>
    <w:rsid w:val="007C5164"/>
    <w:rsid w:val="007D26C1"/>
    <w:rsid w:val="007D2E40"/>
    <w:rsid w:val="007D47B1"/>
    <w:rsid w:val="007D59D0"/>
    <w:rsid w:val="007E0218"/>
    <w:rsid w:val="007E2786"/>
    <w:rsid w:val="007E2EEF"/>
    <w:rsid w:val="007E360D"/>
    <w:rsid w:val="007E56D4"/>
    <w:rsid w:val="007E77B6"/>
    <w:rsid w:val="007F0D91"/>
    <w:rsid w:val="007F1ED7"/>
    <w:rsid w:val="007F7636"/>
    <w:rsid w:val="007F7AAB"/>
    <w:rsid w:val="00801B6C"/>
    <w:rsid w:val="0080256A"/>
    <w:rsid w:val="0080497C"/>
    <w:rsid w:val="008068C3"/>
    <w:rsid w:val="00811AAB"/>
    <w:rsid w:val="00812CB3"/>
    <w:rsid w:val="00821F49"/>
    <w:rsid w:val="00826BD6"/>
    <w:rsid w:val="00832BD8"/>
    <w:rsid w:val="0084027A"/>
    <w:rsid w:val="00843D08"/>
    <w:rsid w:val="00851F92"/>
    <w:rsid w:val="00852524"/>
    <w:rsid w:val="00853513"/>
    <w:rsid w:val="00853925"/>
    <w:rsid w:val="008559FB"/>
    <w:rsid w:val="00855EF5"/>
    <w:rsid w:val="00863B5C"/>
    <w:rsid w:val="0086554C"/>
    <w:rsid w:val="00866292"/>
    <w:rsid w:val="00872F14"/>
    <w:rsid w:val="0088080F"/>
    <w:rsid w:val="008812EE"/>
    <w:rsid w:val="008815F4"/>
    <w:rsid w:val="00882AE4"/>
    <w:rsid w:val="008849FF"/>
    <w:rsid w:val="008863D0"/>
    <w:rsid w:val="00893866"/>
    <w:rsid w:val="00894F96"/>
    <w:rsid w:val="0089504F"/>
    <w:rsid w:val="008A3C91"/>
    <w:rsid w:val="008A4B43"/>
    <w:rsid w:val="008A6F8D"/>
    <w:rsid w:val="008A7B89"/>
    <w:rsid w:val="008B0868"/>
    <w:rsid w:val="008B3CAC"/>
    <w:rsid w:val="008B645B"/>
    <w:rsid w:val="008C3E07"/>
    <w:rsid w:val="008C51D7"/>
    <w:rsid w:val="008C5864"/>
    <w:rsid w:val="008C5983"/>
    <w:rsid w:val="008D14E3"/>
    <w:rsid w:val="008D4072"/>
    <w:rsid w:val="008D5F7E"/>
    <w:rsid w:val="008D6353"/>
    <w:rsid w:val="008D7744"/>
    <w:rsid w:val="008E27EA"/>
    <w:rsid w:val="008E38BD"/>
    <w:rsid w:val="008E6145"/>
    <w:rsid w:val="008F1602"/>
    <w:rsid w:val="008F2084"/>
    <w:rsid w:val="008F2514"/>
    <w:rsid w:val="008F6E91"/>
    <w:rsid w:val="00900FBC"/>
    <w:rsid w:val="0090178E"/>
    <w:rsid w:val="00903D8A"/>
    <w:rsid w:val="0090668A"/>
    <w:rsid w:val="00906A04"/>
    <w:rsid w:val="00910737"/>
    <w:rsid w:val="00913142"/>
    <w:rsid w:val="009164F9"/>
    <w:rsid w:val="00933485"/>
    <w:rsid w:val="00934BF4"/>
    <w:rsid w:val="00937D10"/>
    <w:rsid w:val="00940398"/>
    <w:rsid w:val="009404FA"/>
    <w:rsid w:val="009414A2"/>
    <w:rsid w:val="0094168B"/>
    <w:rsid w:val="009434A3"/>
    <w:rsid w:val="00944A05"/>
    <w:rsid w:val="009537A2"/>
    <w:rsid w:val="00955AF2"/>
    <w:rsid w:val="00956137"/>
    <w:rsid w:val="009564F9"/>
    <w:rsid w:val="00960DCB"/>
    <w:rsid w:val="00964A4C"/>
    <w:rsid w:val="00964FCA"/>
    <w:rsid w:val="00966CFC"/>
    <w:rsid w:val="009672DE"/>
    <w:rsid w:val="00967C7D"/>
    <w:rsid w:val="00971DC9"/>
    <w:rsid w:val="00973FE0"/>
    <w:rsid w:val="00977B3A"/>
    <w:rsid w:val="009815A6"/>
    <w:rsid w:val="00983F1D"/>
    <w:rsid w:val="00992AAB"/>
    <w:rsid w:val="00992DFB"/>
    <w:rsid w:val="009969E6"/>
    <w:rsid w:val="0099703E"/>
    <w:rsid w:val="009A32EB"/>
    <w:rsid w:val="009A3FB3"/>
    <w:rsid w:val="009A594E"/>
    <w:rsid w:val="009B18DF"/>
    <w:rsid w:val="009B1D65"/>
    <w:rsid w:val="009B2BF0"/>
    <w:rsid w:val="009B31FB"/>
    <w:rsid w:val="009B36AC"/>
    <w:rsid w:val="009B4BEC"/>
    <w:rsid w:val="009B7687"/>
    <w:rsid w:val="009C13AC"/>
    <w:rsid w:val="009C1729"/>
    <w:rsid w:val="009C2AA1"/>
    <w:rsid w:val="009D1334"/>
    <w:rsid w:val="009D19E0"/>
    <w:rsid w:val="009D68AF"/>
    <w:rsid w:val="009E42A5"/>
    <w:rsid w:val="009E5192"/>
    <w:rsid w:val="009E660A"/>
    <w:rsid w:val="009F1C5E"/>
    <w:rsid w:val="009F223C"/>
    <w:rsid w:val="009F235F"/>
    <w:rsid w:val="009F708E"/>
    <w:rsid w:val="00A00899"/>
    <w:rsid w:val="00A037AF"/>
    <w:rsid w:val="00A04DA9"/>
    <w:rsid w:val="00A0559D"/>
    <w:rsid w:val="00A107A4"/>
    <w:rsid w:val="00A11FDD"/>
    <w:rsid w:val="00A1236A"/>
    <w:rsid w:val="00A1348D"/>
    <w:rsid w:val="00A13D23"/>
    <w:rsid w:val="00A16DD9"/>
    <w:rsid w:val="00A17B1B"/>
    <w:rsid w:val="00A20190"/>
    <w:rsid w:val="00A206B1"/>
    <w:rsid w:val="00A21FC2"/>
    <w:rsid w:val="00A26BA5"/>
    <w:rsid w:val="00A26F08"/>
    <w:rsid w:val="00A27BD3"/>
    <w:rsid w:val="00A314D1"/>
    <w:rsid w:val="00A355E4"/>
    <w:rsid w:val="00A44BF9"/>
    <w:rsid w:val="00A45B59"/>
    <w:rsid w:val="00A46340"/>
    <w:rsid w:val="00A52B55"/>
    <w:rsid w:val="00A52BE1"/>
    <w:rsid w:val="00A535EC"/>
    <w:rsid w:val="00A55B4C"/>
    <w:rsid w:val="00A57265"/>
    <w:rsid w:val="00A64FC5"/>
    <w:rsid w:val="00A666E5"/>
    <w:rsid w:val="00A81225"/>
    <w:rsid w:val="00A81F12"/>
    <w:rsid w:val="00A82DCC"/>
    <w:rsid w:val="00A84676"/>
    <w:rsid w:val="00A87218"/>
    <w:rsid w:val="00A90F32"/>
    <w:rsid w:val="00AA272D"/>
    <w:rsid w:val="00AA4E3C"/>
    <w:rsid w:val="00AA52A5"/>
    <w:rsid w:val="00AA78CB"/>
    <w:rsid w:val="00AB2BF8"/>
    <w:rsid w:val="00AC2B8F"/>
    <w:rsid w:val="00AC4684"/>
    <w:rsid w:val="00AE1EF7"/>
    <w:rsid w:val="00AE1F23"/>
    <w:rsid w:val="00AE4CF2"/>
    <w:rsid w:val="00AE6698"/>
    <w:rsid w:val="00AF09E4"/>
    <w:rsid w:val="00AF1264"/>
    <w:rsid w:val="00AF1589"/>
    <w:rsid w:val="00AF1C99"/>
    <w:rsid w:val="00B00DFD"/>
    <w:rsid w:val="00B07D68"/>
    <w:rsid w:val="00B14604"/>
    <w:rsid w:val="00B151B7"/>
    <w:rsid w:val="00B167E3"/>
    <w:rsid w:val="00B216E1"/>
    <w:rsid w:val="00B21C6F"/>
    <w:rsid w:val="00B24F5D"/>
    <w:rsid w:val="00B25481"/>
    <w:rsid w:val="00B25FE6"/>
    <w:rsid w:val="00B268CB"/>
    <w:rsid w:val="00B336C1"/>
    <w:rsid w:val="00B35949"/>
    <w:rsid w:val="00B3675E"/>
    <w:rsid w:val="00B36CFE"/>
    <w:rsid w:val="00B40A90"/>
    <w:rsid w:val="00B41B69"/>
    <w:rsid w:val="00B42469"/>
    <w:rsid w:val="00B44765"/>
    <w:rsid w:val="00B46D08"/>
    <w:rsid w:val="00B46E5B"/>
    <w:rsid w:val="00B47B84"/>
    <w:rsid w:val="00B50804"/>
    <w:rsid w:val="00B609A6"/>
    <w:rsid w:val="00B628DA"/>
    <w:rsid w:val="00B65B30"/>
    <w:rsid w:val="00B65CD1"/>
    <w:rsid w:val="00B662B8"/>
    <w:rsid w:val="00B70EFF"/>
    <w:rsid w:val="00B723EF"/>
    <w:rsid w:val="00B72D28"/>
    <w:rsid w:val="00B72EDC"/>
    <w:rsid w:val="00B737DA"/>
    <w:rsid w:val="00B77679"/>
    <w:rsid w:val="00B8552C"/>
    <w:rsid w:val="00B859B1"/>
    <w:rsid w:val="00B85F38"/>
    <w:rsid w:val="00B92FC1"/>
    <w:rsid w:val="00B95B79"/>
    <w:rsid w:val="00B964A4"/>
    <w:rsid w:val="00B96DB9"/>
    <w:rsid w:val="00BA02F9"/>
    <w:rsid w:val="00BA2CD0"/>
    <w:rsid w:val="00BA6FC4"/>
    <w:rsid w:val="00BB2A3C"/>
    <w:rsid w:val="00BB3B1E"/>
    <w:rsid w:val="00BC2DC2"/>
    <w:rsid w:val="00BC6306"/>
    <w:rsid w:val="00BC6F9F"/>
    <w:rsid w:val="00BD089A"/>
    <w:rsid w:val="00BD778A"/>
    <w:rsid w:val="00BE0CB2"/>
    <w:rsid w:val="00BE7154"/>
    <w:rsid w:val="00BF1737"/>
    <w:rsid w:val="00BF5D61"/>
    <w:rsid w:val="00C02F7C"/>
    <w:rsid w:val="00C05CE5"/>
    <w:rsid w:val="00C10457"/>
    <w:rsid w:val="00C126C2"/>
    <w:rsid w:val="00C12BA8"/>
    <w:rsid w:val="00C24017"/>
    <w:rsid w:val="00C247E8"/>
    <w:rsid w:val="00C26E9E"/>
    <w:rsid w:val="00C443D2"/>
    <w:rsid w:val="00C53151"/>
    <w:rsid w:val="00C56FC8"/>
    <w:rsid w:val="00C61EAE"/>
    <w:rsid w:val="00C64208"/>
    <w:rsid w:val="00C66E4F"/>
    <w:rsid w:val="00C74A3D"/>
    <w:rsid w:val="00C834C6"/>
    <w:rsid w:val="00C83BA7"/>
    <w:rsid w:val="00C83E6A"/>
    <w:rsid w:val="00C85EDB"/>
    <w:rsid w:val="00C945A3"/>
    <w:rsid w:val="00CA355B"/>
    <w:rsid w:val="00CA3E2A"/>
    <w:rsid w:val="00CA56BA"/>
    <w:rsid w:val="00CB28ED"/>
    <w:rsid w:val="00CB4819"/>
    <w:rsid w:val="00CC1320"/>
    <w:rsid w:val="00CC2F98"/>
    <w:rsid w:val="00CC2FD3"/>
    <w:rsid w:val="00CC43C9"/>
    <w:rsid w:val="00CD1944"/>
    <w:rsid w:val="00CD3666"/>
    <w:rsid w:val="00CD76E6"/>
    <w:rsid w:val="00CE0F29"/>
    <w:rsid w:val="00CE2CC6"/>
    <w:rsid w:val="00CE2FC5"/>
    <w:rsid w:val="00CE57C2"/>
    <w:rsid w:val="00CF0774"/>
    <w:rsid w:val="00CF10F4"/>
    <w:rsid w:val="00CF172F"/>
    <w:rsid w:val="00CF20F8"/>
    <w:rsid w:val="00D02BC2"/>
    <w:rsid w:val="00D05A70"/>
    <w:rsid w:val="00D11E07"/>
    <w:rsid w:val="00D13BB9"/>
    <w:rsid w:val="00D145D2"/>
    <w:rsid w:val="00D175AE"/>
    <w:rsid w:val="00D31CCE"/>
    <w:rsid w:val="00D340AB"/>
    <w:rsid w:val="00D34C0E"/>
    <w:rsid w:val="00D37C1F"/>
    <w:rsid w:val="00D542D4"/>
    <w:rsid w:val="00D5626B"/>
    <w:rsid w:val="00D57778"/>
    <w:rsid w:val="00D6037B"/>
    <w:rsid w:val="00D66CB8"/>
    <w:rsid w:val="00D6789C"/>
    <w:rsid w:val="00D67FF3"/>
    <w:rsid w:val="00D71F9B"/>
    <w:rsid w:val="00D7759B"/>
    <w:rsid w:val="00D8584F"/>
    <w:rsid w:val="00D903CE"/>
    <w:rsid w:val="00D93516"/>
    <w:rsid w:val="00D94819"/>
    <w:rsid w:val="00D95588"/>
    <w:rsid w:val="00D9616F"/>
    <w:rsid w:val="00D974C6"/>
    <w:rsid w:val="00DA2301"/>
    <w:rsid w:val="00DA23EF"/>
    <w:rsid w:val="00DA4F1D"/>
    <w:rsid w:val="00DA55A8"/>
    <w:rsid w:val="00DA59E0"/>
    <w:rsid w:val="00DB39D7"/>
    <w:rsid w:val="00DB6F75"/>
    <w:rsid w:val="00DB7438"/>
    <w:rsid w:val="00DC7212"/>
    <w:rsid w:val="00DC76EE"/>
    <w:rsid w:val="00DC7BAB"/>
    <w:rsid w:val="00DC7F31"/>
    <w:rsid w:val="00DD0BC3"/>
    <w:rsid w:val="00DD17C4"/>
    <w:rsid w:val="00DD192F"/>
    <w:rsid w:val="00DD40D2"/>
    <w:rsid w:val="00DD4546"/>
    <w:rsid w:val="00DD6106"/>
    <w:rsid w:val="00DE283A"/>
    <w:rsid w:val="00DE5169"/>
    <w:rsid w:val="00DE525C"/>
    <w:rsid w:val="00DE5747"/>
    <w:rsid w:val="00DF121C"/>
    <w:rsid w:val="00DF2484"/>
    <w:rsid w:val="00DF60DE"/>
    <w:rsid w:val="00DFF6B6"/>
    <w:rsid w:val="00E01DF7"/>
    <w:rsid w:val="00E03142"/>
    <w:rsid w:val="00E0505F"/>
    <w:rsid w:val="00E10232"/>
    <w:rsid w:val="00E11DC5"/>
    <w:rsid w:val="00E14DF5"/>
    <w:rsid w:val="00E215FA"/>
    <w:rsid w:val="00E224EA"/>
    <w:rsid w:val="00E26798"/>
    <w:rsid w:val="00E2704E"/>
    <w:rsid w:val="00E360D7"/>
    <w:rsid w:val="00E418A4"/>
    <w:rsid w:val="00E45BA0"/>
    <w:rsid w:val="00E47ECE"/>
    <w:rsid w:val="00E505E6"/>
    <w:rsid w:val="00E507C6"/>
    <w:rsid w:val="00E52965"/>
    <w:rsid w:val="00E552C0"/>
    <w:rsid w:val="00E567D2"/>
    <w:rsid w:val="00E60134"/>
    <w:rsid w:val="00E629FF"/>
    <w:rsid w:val="00E709E1"/>
    <w:rsid w:val="00E77351"/>
    <w:rsid w:val="00E87A4F"/>
    <w:rsid w:val="00E9348C"/>
    <w:rsid w:val="00E93E47"/>
    <w:rsid w:val="00E951D7"/>
    <w:rsid w:val="00E97001"/>
    <w:rsid w:val="00E971FC"/>
    <w:rsid w:val="00EA024A"/>
    <w:rsid w:val="00EA0586"/>
    <w:rsid w:val="00EA0CD7"/>
    <w:rsid w:val="00EA33DF"/>
    <w:rsid w:val="00EA3F86"/>
    <w:rsid w:val="00EA4F4C"/>
    <w:rsid w:val="00EA5A99"/>
    <w:rsid w:val="00EA5F94"/>
    <w:rsid w:val="00EB3F81"/>
    <w:rsid w:val="00EB5497"/>
    <w:rsid w:val="00EC000F"/>
    <w:rsid w:val="00EC4AF3"/>
    <w:rsid w:val="00EC4DE6"/>
    <w:rsid w:val="00EC7F8F"/>
    <w:rsid w:val="00ED0739"/>
    <w:rsid w:val="00ED0FD8"/>
    <w:rsid w:val="00ED4647"/>
    <w:rsid w:val="00ED7134"/>
    <w:rsid w:val="00EE10B0"/>
    <w:rsid w:val="00EE44C0"/>
    <w:rsid w:val="00EE7334"/>
    <w:rsid w:val="00EF59EA"/>
    <w:rsid w:val="00EF71CF"/>
    <w:rsid w:val="00F00516"/>
    <w:rsid w:val="00F019FD"/>
    <w:rsid w:val="00F0481D"/>
    <w:rsid w:val="00F05CCC"/>
    <w:rsid w:val="00F125E2"/>
    <w:rsid w:val="00F12AEE"/>
    <w:rsid w:val="00F13CEC"/>
    <w:rsid w:val="00F16A54"/>
    <w:rsid w:val="00F21971"/>
    <w:rsid w:val="00F2202D"/>
    <w:rsid w:val="00F230C3"/>
    <w:rsid w:val="00F2558C"/>
    <w:rsid w:val="00F30709"/>
    <w:rsid w:val="00F36645"/>
    <w:rsid w:val="00F3704A"/>
    <w:rsid w:val="00F450D6"/>
    <w:rsid w:val="00F472E8"/>
    <w:rsid w:val="00F50FA8"/>
    <w:rsid w:val="00F514A8"/>
    <w:rsid w:val="00F530D1"/>
    <w:rsid w:val="00F55A65"/>
    <w:rsid w:val="00F64BAB"/>
    <w:rsid w:val="00F74C14"/>
    <w:rsid w:val="00F767F5"/>
    <w:rsid w:val="00F82376"/>
    <w:rsid w:val="00F847ED"/>
    <w:rsid w:val="00F85E7E"/>
    <w:rsid w:val="00F86108"/>
    <w:rsid w:val="00F87F07"/>
    <w:rsid w:val="00F942C7"/>
    <w:rsid w:val="00FA2A97"/>
    <w:rsid w:val="00FA6651"/>
    <w:rsid w:val="00FA74BC"/>
    <w:rsid w:val="00FB0730"/>
    <w:rsid w:val="00FB42BA"/>
    <w:rsid w:val="00FC4720"/>
    <w:rsid w:val="00FD2CAD"/>
    <w:rsid w:val="00FD2E11"/>
    <w:rsid w:val="00FE0E54"/>
    <w:rsid w:val="00FE4F35"/>
    <w:rsid w:val="00FE5930"/>
    <w:rsid w:val="00FE64AD"/>
    <w:rsid w:val="00FF690A"/>
    <w:rsid w:val="00FF6A5F"/>
    <w:rsid w:val="00FF6AE5"/>
    <w:rsid w:val="08E1219E"/>
    <w:rsid w:val="08F91D3A"/>
    <w:rsid w:val="09560D96"/>
    <w:rsid w:val="0BCFD9FA"/>
    <w:rsid w:val="0D9FFDEB"/>
    <w:rsid w:val="0EEABBF2"/>
    <w:rsid w:val="0F73ADB1"/>
    <w:rsid w:val="10EC982A"/>
    <w:rsid w:val="163884E0"/>
    <w:rsid w:val="178FF5CA"/>
    <w:rsid w:val="1A8B2B6D"/>
    <w:rsid w:val="1C0128F7"/>
    <w:rsid w:val="1E7098EA"/>
    <w:rsid w:val="1EC89BB0"/>
    <w:rsid w:val="1EE1C40D"/>
    <w:rsid w:val="200C694B"/>
    <w:rsid w:val="20646C11"/>
    <w:rsid w:val="20C75E7C"/>
    <w:rsid w:val="2271C2DD"/>
    <w:rsid w:val="23914D8B"/>
    <w:rsid w:val="24363969"/>
    <w:rsid w:val="252C8E41"/>
    <w:rsid w:val="252D1DEC"/>
    <w:rsid w:val="25D209CA"/>
    <w:rsid w:val="28E1B2FA"/>
    <w:rsid w:val="299180A2"/>
    <w:rsid w:val="2B8438D0"/>
    <w:rsid w:val="2E2BF2C4"/>
    <w:rsid w:val="2F7A7FA7"/>
    <w:rsid w:val="34DE6A6D"/>
    <w:rsid w:val="354A9F91"/>
    <w:rsid w:val="36289B94"/>
    <w:rsid w:val="3D292104"/>
    <w:rsid w:val="40A46A3B"/>
    <w:rsid w:val="44A2EEFD"/>
    <w:rsid w:val="44AADC83"/>
    <w:rsid w:val="476B92D5"/>
    <w:rsid w:val="4B2FC756"/>
    <w:rsid w:val="4C9CC60B"/>
    <w:rsid w:val="4E38966C"/>
    <w:rsid w:val="51895F8B"/>
    <w:rsid w:val="530C078F"/>
    <w:rsid w:val="5FDFCB4F"/>
    <w:rsid w:val="6A6C0773"/>
    <w:rsid w:val="70FA7363"/>
    <w:rsid w:val="71AC58D3"/>
    <w:rsid w:val="7412E9B9"/>
    <w:rsid w:val="74AD164F"/>
    <w:rsid w:val="784C26D8"/>
    <w:rsid w:val="78E65ADC"/>
    <w:rsid w:val="78EE4862"/>
    <w:rsid w:val="7B2868A6"/>
    <w:rsid w:val="7B75EE30"/>
    <w:rsid w:val="7C32D458"/>
    <w:rsid w:val="7DD0229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3D500B0"/>
  <w15:chartTrackingRefBased/>
  <w15:docId w15:val="{A0B4A248-3B46-4E2E-9630-46936877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styleId="ListParagraph">
    <w:name w:val="List Paragraph"/>
    <w:aliases w:val="3,3 heading,Bullet Level 2,Bulleted List Level 1,Bullets,CH Bullets (square),Call Out Bullets,DAI 2,DODEA_Bullet List Box,List Paragraph1,List-Bullets,Normal Bullet,POCG Table Text"/>
    <w:basedOn w:val="Normal"/>
    <w:link w:val="ListParagraphChar"/>
    <w:uiPriority w:val="34"/>
    <w:qFormat/>
    <w:rsid w:val="00E26798"/>
    <w:pPr>
      <w:ind w:left="720"/>
    </w:pPr>
  </w:style>
  <w:style w:type="table" w:styleId="TableGrid">
    <w:name w:val="Table Grid"/>
    <w:basedOn w:val="TableNormal"/>
    <w:uiPriority w:val="59"/>
    <w:rsid w:val="00B92FC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5B24AC"/>
    <w:rPr>
      <w:rFonts w:ascii="Calibri" w:eastAsia="Calibri" w:hAnsi="Calibri"/>
      <w:sz w:val="20"/>
      <w:szCs w:val="20"/>
    </w:rPr>
  </w:style>
  <w:style w:type="character" w:customStyle="1" w:styleId="FootnoteTextChar">
    <w:name w:val="Footnote Text Char"/>
    <w:link w:val="FootnoteText"/>
    <w:rsid w:val="005B24AC"/>
    <w:rPr>
      <w:rFonts w:ascii="Calibri" w:eastAsia="Calibri" w:hAnsi="Calibri"/>
    </w:rPr>
  </w:style>
  <w:style w:type="character" w:styleId="FootnoteReference">
    <w:name w:val="footnote reference"/>
    <w:rsid w:val="005B24AC"/>
    <w:rPr>
      <w:vertAlign w:val="superscript"/>
    </w:rPr>
  </w:style>
  <w:style w:type="table" w:customStyle="1" w:styleId="TableGrid1">
    <w:name w:val="Table Grid1"/>
    <w:basedOn w:val="TableNormal"/>
    <w:next w:val="TableGrid"/>
    <w:uiPriority w:val="59"/>
    <w:rsid w:val="005B24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A1348D"/>
    <w:rPr>
      <w:sz w:val="16"/>
      <w:szCs w:val="16"/>
    </w:rPr>
  </w:style>
  <w:style w:type="paragraph" w:styleId="CommentText">
    <w:name w:val="annotation text"/>
    <w:basedOn w:val="Normal"/>
    <w:link w:val="CommentTextChar"/>
    <w:uiPriority w:val="99"/>
    <w:unhideWhenUsed/>
    <w:rsid w:val="00A1348D"/>
    <w:rPr>
      <w:sz w:val="20"/>
      <w:szCs w:val="20"/>
    </w:rPr>
  </w:style>
  <w:style w:type="character" w:customStyle="1" w:styleId="CommentTextChar">
    <w:name w:val="Comment Text Char"/>
    <w:basedOn w:val="DefaultParagraphFont"/>
    <w:link w:val="CommentText"/>
    <w:uiPriority w:val="99"/>
    <w:rsid w:val="00A1348D"/>
  </w:style>
  <w:style w:type="paragraph" w:styleId="CommentSubject">
    <w:name w:val="annotation subject"/>
    <w:basedOn w:val="CommentText"/>
    <w:next w:val="CommentText"/>
    <w:link w:val="CommentSubjectChar"/>
    <w:uiPriority w:val="99"/>
    <w:semiHidden/>
    <w:unhideWhenUsed/>
    <w:rsid w:val="00A1348D"/>
    <w:rPr>
      <w:b/>
      <w:bCs/>
    </w:rPr>
  </w:style>
  <w:style w:type="character" w:customStyle="1" w:styleId="CommentSubjectChar">
    <w:name w:val="Comment Subject Char"/>
    <w:link w:val="CommentSubject"/>
    <w:uiPriority w:val="99"/>
    <w:semiHidden/>
    <w:rsid w:val="00A1348D"/>
    <w:rPr>
      <w:b/>
      <w:bCs/>
    </w:rPr>
  </w:style>
  <w:style w:type="character" w:customStyle="1" w:styleId="UnresolvedMention1">
    <w:name w:val="Unresolved Mention1"/>
    <w:uiPriority w:val="99"/>
    <w:semiHidden/>
    <w:unhideWhenUsed/>
    <w:rsid w:val="00AE1EF7"/>
    <w:rPr>
      <w:color w:val="605E5C"/>
      <w:shd w:val="clear" w:color="auto" w:fill="E1DFDD"/>
    </w:rPr>
  </w:style>
  <w:style w:type="character" w:customStyle="1" w:styleId="ref-journal">
    <w:name w:val="ref-journal"/>
    <w:basedOn w:val="DefaultParagraphFont"/>
    <w:rsid w:val="00AE1EF7"/>
  </w:style>
  <w:style w:type="character" w:customStyle="1" w:styleId="ref-vol">
    <w:name w:val="ref-vol"/>
    <w:basedOn w:val="DefaultParagraphFont"/>
    <w:rsid w:val="00AE1EF7"/>
  </w:style>
  <w:style w:type="paragraph" w:styleId="Revision">
    <w:name w:val="Revision"/>
    <w:hidden/>
    <w:uiPriority w:val="99"/>
    <w:semiHidden/>
    <w:rsid w:val="00525133"/>
    <w:rPr>
      <w:sz w:val="24"/>
      <w:szCs w:val="24"/>
      <w:lang w:eastAsia="en-US"/>
    </w:rPr>
  </w:style>
  <w:style w:type="character" w:customStyle="1" w:styleId="collab">
    <w:name w:val="collab"/>
    <w:basedOn w:val="DefaultParagraphFont"/>
    <w:rsid w:val="00FA2A97"/>
  </w:style>
  <w:style w:type="character" w:customStyle="1" w:styleId="year">
    <w:name w:val="year"/>
    <w:basedOn w:val="DefaultParagraphFont"/>
    <w:rsid w:val="00FA2A97"/>
  </w:style>
  <w:style w:type="character" w:customStyle="1" w:styleId="apple-converted-space">
    <w:name w:val="apple-converted-space"/>
    <w:basedOn w:val="DefaultParagraphFont"/>
    <w:rsid w:val="00FA2A97"/>
  </w:style>
  <w:style w:type="character" w:styleId="FollowedHyperlink">
    <w:name w:val="FollowedHyperlink"/>
    <w:uiPriority w:val="99"/>
    <w:semiHidden/>
    <w:unhideWhenUsed/>
    <w:rsid w:val="00FD2E11"/>
    <w:rPr>
      <w:color w:val="954F72"/>
      <w:u w:val="single"/>
    </w:rPr>
  </w:style>
  <w:style w:type="character" w:customStyle="1" w:styleId="string-name">
    <w:name w:val="string-name"/>
    <w:basedOn w:val="DefaultParagraphFont"/>
    <w:rsid w:val="00FD2E11"/>
  </w:style>
  <w:style w:type="character" w:customStyle="1" w:styleId="surname">
    <w:name w:val="surname"/>
    <w:basedOn w:val="DefaultParagraphFont"/>
    <w:rsid w:val="00FD2E11"/>
  </w:style>
  <w:style w:type="character" w:customStyle="1" w:styleId="given-names">
    <w:name w:val="given-names"/>
    <w:basedOn w:val="DefaultParagraphFont"/>
    <w:rsid w:val="00FD2E11"/>
  </w:style>
  <w:style w:type="character" w:customStyle="1" w:styleId="article-title">
    <w:name w:val="article-title"/>
    <w:basedOn w:val="DefaultParagraphFont"/>
    <w:rsid w:val="00FD2E11"/>
  </w:style>
  <w:style w:type="character" w:customStyle="1" w:styleId="source">
    <w:name w:val="source"/>
    <w:basedOn w:val="DefaultParagraphFont"/>
    <w:rsid w:val="00FD2E11"/>
  </w:style>
  <w:style w:type="character" w:customStyle="1" w:styleId="fpage">
    <w:name w:val="fpage"/>
    <w:basedOn w:val="DefaultParagraphFont"/>
    <w:rsid w:val="00FD2E11"/>
  </w:style>
  <w:style w:type="character" w:customStyle="1" w:styleId="lpage">
    <w:name w:val="lpage"/>
    <w:basedOn w:val="DefaultParagraphFont"/>
    <w:rsid w:val="00FD2E11"/>
  </w:style>
  <w:style w:type="character" w:customStyle="1" w:styleId="pub-id">
    <w:name w:val="pub-id"/>
    <w:basedOn w:val="DefaultParagraphFont"/>
    <w:rsid w:val="00FD2E11"/>
  </w:style>
  <w:style w:type="character" w:customStyle="1" w:styleId="volume">
    <w:name w:val="volume"/>
    <w:basedOn w:val="DefaultParagraphFont"/>
    <w:rsid w:val="00127B5B"/>
  </w:style>
  <w:style w:type="character" w:customStyle="1" w:styleId="issue">
    <w:name w:val="issue"/>
    <w:basedOn w:val="DefaultParagraphFont"/>
    <w:rsid w:val="00127B5B"/>
  </w:style>
  <w:style w:type="character" w:customStyle="1" w:styleId="normaltextrun">
    <w:name w:val="normaltextrun"/>
    <w:basedOn w:val="DefaultParagraphFont"/>
    <w:rsid w:val="00A81225"/>
  </w:style>
  <w:style w:type="character" w:customStyle="1" w:styleId="eop">
    <w:name w:val="eop"/>
    <w:basedOn w:val="DefaultParagraphFont"/>
    <w:rsid w:val="00A81225"/>
  </w:style>
  <w:style w:type="character" w:customStyle="1" w:styleId="ListParagraphChar">
    <w:name w:val="List Paragraph Char"/>
    <w:aliases w:val="3 Char,3 heading Char,Bullet Level 2 Char,Bulleted List Level 1 Char,Bullets Char,CH Bullets (square) Char,Call Out Bullets Char,DAI 2 Char,List Paragraph1 Char,List-Bullets Char,Normal Bullet Char,POCG Table Text Char"/>
    <w:basedOn w:val="DefaultParagraphFont"/>
    <w:link w:val="ListParagraph"/>
    <w:uiPriority w:val="34"/>
    <w:locked/>
    <w:rsid w:val="00C05CE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14c19e2-07bf-48e3-9638-5047d7891ec3" xsi:nil="true"/>
    <_ip_UnifiedCompliancePolicyProperties xmlns="http://schemas.microsoft.com/sharepoint/v3" xsi:nil="true"/>
    <lcf76f155ced4ddcb4097134ff3c332f xmlns="b5022a83-871b-4d85-bad2-b5228c1d406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5" ma:contentTypeDescription="Create a new document." ma:contentTypeScope="" ma:versionID="a0df2a3d632eba6da1e6c831522eb89d">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cfd6e5fbf519610d5f45b87fff98bdf9"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106222-C564-4CE3-B061-B645257A761B}">
  <ds:schemaRefs>
    <ds:schemaRef ds:uri="http://schemas.microsoft.com/sharepoint/v3/contenttype/forms"/>
  </ds:schemaRefs>
</ds:datastoreItem>
</file>

<file path=customXml/itemProps2.xml><?xml version="1.0" encoding="utf-8"?>
<ds:datastoreItem xmlns:ds="http://schemas.openxmlformats.org/officeDocument/2006/customXml" ds:itemID="{9D1116F4-D95F-455B-89AD-19CB66ADEEDF}">
  <ds:schemaRefs>
    <ds:schemaRef ds:uri="http://schemas.microsoft.com/office/2006/documentManagement/types"/>
    <ds:schemaRef ds:uri="514c19e2-07bf-48e3-9638-5047d7891ec3"/>
    <ds:schemaRef ds:uri="http://schemas.microsoft.com/sharepoint/v3"/>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b5022a83-871b-4d85-bad2-b5228c1d4066"/>
    <ds:schemaRef ds:uri="http://www.w3.org/XML/1998/namespace"/>
  </ds:schemaRefs>
</ds:datastoreItem>
</file>

<file path=customXml/itemProps3.xml><?xml version="1.0" encoding="utf-8"?>
<ds:datastoreItem xmlns:ds="http://schemas.openxmlformats.org/officeDocument/2006/customXml" ds:itemID="{BA44D4BB-7A2F-4EA7-8CA2-B9D204528C6B}">
  <ds:schemaRefs>
    <ds:schemaRef ds:uri="http://schemas.openxmlformats.org/officeDocument/2006/bibliography"/>
  </ds:schemaRefs>
</ds:datastoreItem>
</file>

<file path=customXml/itemProps4.xml><?xml version="1.0" encoding="utf-8"?>
<ds:datastoreItem xmlns:ds="http://schemas.openxmlformats.org/officeDocument/2006/customXml" ds:itemID="{A04D2443-7EF7-4947-AB13-E253A80D0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1960</Words>
  <Characters>11257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Sanford, Amber</cp:lastModifiedBy>
  <cp:revision>2</cp:revision>
  <cp:lastPrinted>2010-11-02T02:07:00Z</cp:lastPrinted>
  <dcterms:created xsi:type="dcterms:W3CDTF">2024-05-14T11:29:00Z</dcterms:created>
  <dcterms:modified xsi:type="dcterms:W3CDTF">2024-05-14T11:29:00Z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y fmtid="{D5CDD505-2E9C-101B-9397-08002B2CF9AE}" pid="3" name="MediaServiceImageTags">
    <vt:lpwstr/>
  </property>
  <property fmtid="{D5CDD505-2E9C-101B-9397-08002B2CF9AE}" pid="4" name="_NewReviewCycle">
    <vt:lpwstr/>
  </property>
</Properties>
</file>