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18840E9" w14:textId="32D5F9C9">
      <w:pPr>
        <w:jc w:val="center"/>
        <w:rPr>
          <w:rFonts w:eastAsia="Calibri"/>
        </w:rPr>
      </w:pPr>
      <w:r w:rsidRPr="00357C8A">
        <w:rPr>
          <w:rFonts w:eastAsia="Calibri"/>
        </w:rPr>
        <w:t>United States Food and Drug Administration</w:t>
      </w:r>
    </w:p>
    <w:p w:rsidR="00357C8A" w:rsidP="00357C8A" w14:paraId="132F1066" w14:textId="77777777">
      <w:pPr>
        <w:jc w:val="center"/>
        <w:rPr>
          <w:rFonts w:eastAsia="Calibri"/>
        </w:rPr>
      </w:pPr>
    </w:p>
    <w:p w:rsidR="00357C8A" w:rsidP="00357C8A" w14:paraId="5E542297" w14:textId="37A16282">
      <w:pPr>
        <w:jc w:val="center"/>
      </w:pPr>
      <w:r w:rsidRPr="00F946B1">
        <w:t>Veterinary Feed Directive</w:t>
      </w:r>
    </w:p>
    <w:p w:rsidR="00860851" w:rsidP="00357C8A" w14:paraId="454CEEEA" w14:textId="77777777">
      <w:pPr>
        <w:jc w:val="center"/>
        <w:rPr>
          <w:rFonts w:eastAsia="Calibri"/>
        </w:rPr>
      </w:pPr>
    </w:p>
    <w:p w:rsidR="00357C8A" w:rsidP="00357C8A" w14:paraId="5CBFD60B" w14:textId="198B535D">
      <w:pPr>
        <w:jc w:val="center"/>
        <w:rPr>
          <w:rFonts w:eastAsia="Calibri"/>
        </w:rPr>
      </w:pPr>
      <w:r w:rsidRPr="00357C8A">
        <w:rPr>
          <w:rFonts w:eastAsia="Calibri"/>
        </w:rPr>
        <w:t>OMB Control No. 0910-</w:t>
      </w:r>
      <w:r w:rsidR="00860851">
        <w:rPr>
          <w:rFonts w:eastAsia="Calibri"/>
        </w:rPr>
        <w:t>0363</w:t>
      </w:r>
      <w:r w:rsidR="00727CDF">
        <w:rPr>
          <w:rFonts w:eastAsia="Calibri"/>
        </w:rPr>
        <w:t xml:space="preserve"> --</w:t>
      </w:r>
      <w:r w:rsidR="00860851">
        <w:rPr>
          <w:rFonts w:eastAsia="Calibri"/>
        </w:rPr>
        <w:t xml:space="preserve"> </w:t>
      </w:r>
      <w:r w:rsidR="00C2794F">
        <w:rPr>
          <w:rFonts w:eastAsia="Calibri"/>
        </w:rPr>
        <w:t>EXTENSION</w:t>
      </w:r>
    </w:p>
    <w:p w:rsidR="00357C8A" w:rsidP="00357C8A" w14:paraId="46834002" w14:textId="77777777">
      <w:pPr>
        <w:jc w:val="center"/>
        <w:rPr>
          <w:rFonts w:eastAsia="Calibri"/>
        </w:rPr>
      </w:pPr>
    </w:p>
    <w:p w:rsidR="00357C8A" w:rsidP="00357C8A" w14:paraId="343B68AA" w14:textId="77777777">
      <w:pPr>
        <w:jc w:val="center"/>
        <w:rPr>
          <w:rFonts w:eastAsia="Calibri"/>
        </w:rPr>
      </w:pPr>
      <w:r w:rsidRPr="00357C8A">
        <w:rPr>
          <w:rFonts w:eastAsia="Calibri"/>
        </w:rPr>
        <w:t>SUPPORTING STATEMENT</w:t>
      </w:r>
    </w:p>
    <w:p w:rsidR="009B4DF2" w:rsidP="00357C8A" w14:paraId="662B16B9" w14:textId="77777777">
      <w:pPr>
        <w:jc w:val="center"/>
        <w:rPr>
          <w:rFonts w:eastAsia="Calibri"/>
        </w:rPr>
      </w:pPr>
    </w:p>
    <w:p w:rsidR="00357C8A" w:rsidP="000D79CC" w14:paraId="174EF069" w14:textId="77777777">
      <w:pPr>
        <w:rPr>
          <w:rFonts w:eastAsia="Calibri"/>
        </w:rPr>
      </w:pPr>
      <w:r w:rsidRPr="00357C8A">
        <w:rPr>
          <w:rFonts w:eastAsia="Calibri"/>
          <w:b/>
        </w:rPr>
        <w:t>Part A:  Justification</w:t>
      </w:r>
      <w:r w:rsidRPr="00357C8A">
        <w:rPr>
          <w:rFonts w:eastAsia="Calibri"/>
        </w:rPr>
        <w:t>:</w:t>
      </w:r>
    </w:p>
    <w:p w:rsidR="000D79CC" w:rsidRPr="00357C8A" w:rsidP="000D79CC" w14:paraId="4A69B6B3" w14:textId="77777777">
      <w:pPr>
        <w:rPr>
          <w:rFonts w:eastAsia="Calibri"/>
        </w:rPr>
      </w:pPr>
    </w:p>
    <w:p w:rsidR="00357C8A" w:rsidRPr="00357C8A" w:rsidP="006705EA" w14:paraId="5492C09A"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60851" w:rsidP="00A7694A" w14:paraId="330D0C1E" w14:textId="3DAF023A">
      <w:pPr>
        <w:contextualSpacing/>
      </w:pPr>
      <w:r w:rsidRPr="00F946B1">
        <w:t xml:space="preserve">This information collection </w:t>
      </w:r>
      <w:r>
        <w:t xml:space="preserve">helps </w:t>
      </w:r>
      <w:r w:rsidRPr="00F946B1">
        <w:t>support</w:t>
      </w:r>
      <w:r>
        <w:t xml:space="preserve"> </w:t>
      </w:r>
      <w:r w:rsidRPr="00F946B1">
        <w:t xml:space="preserve">implementation of </w:t>
      </w:r>
      <w:r>
        <w:t>FDA statutory and regulatory requirements</w:t>
      </w:r>
      <w:r w:rsidRPr="00F946B1">
        <w:t xml:space="preserve">.  Section 504 of the Federal Food, Drug, and Cosmetic Act </w:t>
      </w:r>
      <w:r>
        <w:t xml:space="preserve">(the FD&amp;C) </w:t>
      </w:r>
      <w:r w:rsidRPr="00F946B1">
        <w:t xml:space="preserve">(21 U.S.C. 354) establishes a regulatory category for certain new animal drugs called veterinary feed directive (VFD) drugs. </w:t>
      </w:r>
      <w:r>
        <w:t xml:space="preserve">Our </w:t>
      </w:r>
      <w:r w:rsidRPr="00F946B1">
        <w:t xml:space="preserve">VFD regulation is set forth at 21 CFR 558.6. </w:t>
      </w:r>
      <w:r>
        <w:t xml:space="preserve"> </w:t>
      </w:r>
      <w:r w:rsidRPr="00F946B1">
        <w:t xml:space="preserve">VFD drugs are new animal drugs, intended for use in or on animal feed, which are limited to use under the professional supervision of a licensed veterinarian in the course of the veterinarian's professional practice. </w:t>
      </w:r>
      <w:r>
        <w:t xml:space="preserve"> </w:t>
      </w:r>
      <w:r w:rsidRPr="00F946B1">
        <w:t>An animal feed containing a VFD drug or a combination VFD drug may be fed to animals only by or upon a lawful VFD issued by a licensed veterinarian.</w:t>
      </w:r>
    </w:p>
    <w:p w:rsidR="00860851" w:rsidRPr="00F946B1" w:rsidP="00860851" w14:paraId="7DF53CBD" w14:textId="77777777">
      <w:pPr>
        <w:ind w:firstLine="720"/>
        <w:contextualSpacing/>
      </w:pPr>
    </w:p>
    <w:p w:rsidR="00860851" w:rsidP="00B72454" w14:paraId="1696ADD9" w14:textId="78D548E5">
      <w:pPr>
        <w:contextualSpacing/>
      </w:pPr>
      <w:r>
        <w:t>D</w:t>
      </w:r>
      <w:r w:rsidRPr="00F946B1">
        <w:t xml:space="preserve">istributors of medicated feed containing VFD drugs </w:t>
      </w:r>
      <w:r w:rsidR="009A79B9">
        <w:t xml:space="preserve">must </w:t>
      </w:r>
      <w:r w:rsidRPr="00F946B1">
        <w:t>notify FDA of their intent to distribute such feed</w:t>
      </w:r>
      <w:r>
        <w:t xml:space="preserve"> via U.S. Postal mail, email, or fax</w:t>
      </w:r>
      <w:r w:rsidRPr="00F946B1">
        <w:t xml:space="preserve"> and must maintain records of the receipt and distribution of all medicated feeds containing VFD drugs.</w:t>
      </w:r>
      <w:r>
        <w:t xml:space="preserve">  Veterinarians issue three copies of the VFD:  one for their own records, one for their client, and one to the client's VFD feed distributor.  For third-party disclosures, FDA regulation requires that veterinarians include specific information on the VFD.  A distributor may only distribute a VFD feed to another distributor for further distribution if the originating distributor </w:t>
      </w:r>
      <w:bookmarkStart w:id="0" w:name="_Hlk58405525"/>
      <w:r>
        <w:t xml:space="preserve">(consignor) </w:t>
      </w:r>
      <w:bookmarkEnd w:id="0"/>
      <w:r>
        <w:t xml:space="preserve">first obtains a written acknowledgment letter from the receiving distributor </w:t>
      </w:r>
      <w:bookmarkStart w:id="1" w:name="_Hlk58405501"/>
      <w:r>
        <w:t xml:space="preserve">(consignee) </w:t>
      </w:r>
      <w:bookmarkEnd w:id="1"/>
      <w:r>
        <w:t>before the feed is shipped.</w:t>
      </w:r>
    </w:p>
    <w:p w:rsidR="007C10B7" w:rsidP="00B72454" w14:paraId="64DCC0F0" w14:textId="77777777">
      <w:pPr>
        <w:contextualSpacing/>
      </w:pPr>
    </w:p>
    <w:p w:rsidR="00860851" w:rsidP="00A7694A" w14:paraId="2D98143B" w14:textId="5BD80410">
      <w:r>
        <w:t xml:space="preserve">We developed the guidance document “Guidance for Industry (GFI) #233 </w:t>
      </w:r>
      <w:r w:rsidRPr="00410468">
        <w:t>Veterinary Feed Directive Common Format Questions and Answers</w:t>
      </w:r>
      <w:r>
        <w:t>”</w:t>
      </w:r>
      <w:r w:rsidRPr="000547A8">
        <w:t xml:space="preserve"> (September 2016) (</w:t>
      </w:r>
      <w:hyperlink r:id="rId8" w:history="1">
        <w:r w:rsidRPr="00410468">
          <w:rPr>
            <w:rStyle w:val="Hyperlink"/>
          </w:rPr>
          <w:t>https://www.fda.gov/regulatory-information/search-fda-guidance-documents/cvm-gfi-233-veterinary-feed-directive-common-format-questions-and-answers</w:t>
        </w:r>
      </w:hyperlink>
      <w:r w:rsidRPr="000547A8">
        <w:t xml:space="preserve">) </w:t>
      </w:r>
      <w:r>
        <w:t xml:space="preserve">to </w:t>
      </w:r>
      <w:r w:rsidRPr="000547A8">
        <w:t>provide</w:t>
      </w:r>
      <w:r>
        <w:t xml:space="preserve"> </w:t>
      </w:r>
      <w:r w:rsidRPr="00B941C0">
        <w:rPr>
          <w:color w:val="333333"/>
          <w:shd w:val="clear" w:color="auto" w:fill="FFFFFF"/>
        </w:rPr>
        <w:t>guidance concerning the elements that must be included on the VFD and the elements that may be included on the VFD</w:t>
      </w:r>
      <w:r>
        <w:rPr>
          <w:color w:val="333333"/>
          <w:shd w:val="clear" w:color="auto" w:fill="FFFFFF"/>
        </w:rPr>
        <w:t xml:space="preserve"> as described in 21 CFR 558.6</w:t>
      </w:r>
      <w:r w:rsidRPr="00B941C0">
        <w:rPr>
          <w:color w:val="333333"/>
          <w:shd w:val="clear" w:color="auto" w:fill="FFFFFF"/>
        </w:rPr>
        <w:t xml:space="preserve">. </w:t>
      </w:r>
      <w:r>
        <w:rPr>
          <w:color w:val="333333"/>
          <w:shd w:val="clear" w:color="auto" w:fill="FFFFFF"/>
        </w:rPr>
        <w:t xml:space="preserve"> The </w:t>
      </w:r>
      <w:r w:rsidRPr="00B941C0">
        <w:rPr>
          <w:color w:val="333333"/>
          <w:shd w:val="clear" w:color="auto" w:fill="FFFFFF"/>
        </w:rPr>
        <w:t xml:space="preserve">guidance </w:t>
      </w:r>
      <w:r>
        <w:rPr>
          <w:color w:val="333333"/>
          <w:shd w:val="clear" w:color="auto" w:fill="FFFFFF"/>
        </w:rPr>
        <w:t xml:space="preserve">also </w:t>
      </w:r>
      <w:r w:rsidRPr="00B941C0">
        <w:rPr>
          <w:color w:val="333333"/>
          <w:shd w:val="clear" w:color="auto" w:fill="FFFFFF"/>
        </w:rPr>
        <w:t>provides examples that illustrate how a common VFD format might appear</w:t>
      </w:r>
      <w:r w:rsidR="002160C8">
        <w:rPr>
          <w:color w:val="333333"/>
          <w:shd w:val="clear" w:color="auto" w:fill="FFFFFF"/>
        </w:rPr>
        <w:t xml:space="preserve">.  </w:t>
      </w:r>
      <w:r w:rsidRPr="00AB342F">
        <w:t>Agency guidance documents are issued in accordance with our good guidance practice regulations in 21 CFR 10.115, which provide for public comment at any time.</w:t>
      </w:r>
    </w:p>
    <w:p w:rsidR="00CD0827" w:rsidP="00FC7708" w14:paraId="7D676E12" w14:textId="77777777">
      <w:pPr>
        <w:rPr>
          <w:rFonts w:eastAsia="Calibri"/>
        </w:rPr>
      </w:pPr>
    </w:p>
    <w:p w:rsidR="00423272" w:rsidRPr="00423272" w:rsidP="00FC7708" w14:paraId="4A77FE63" w14:textId="5F91F4C1">
      <w:pPr>
        <w:rPr>
          <w:rFonts w:eastAsia="Calibri"/>
          <w:i/>
        </w:rPr>
      </w:pPr>
      <w:r w:rsidRPr="005C71CA">
        <w:rPr>
          <w:rFonts w:eastAsia="Calibri"/>
        </w:rPr>
        <w:t xml:space="preserve">We therefore request OMB approval of </w:t>
      </w:r>
      <w:r w:rsidR="0049486D">
        <w:rPr>
          <w:rFonts w:eastAsia="Calibri"/>
        </w:rPr>
        <w:t xml:space="preserve">information collection requirements </w:t>
      </w:r>
      <w:r w:rsidRPr="005C71CA">
        <w:rPr>
          <w:rFonts w:eastAsia="Calibri"/>
        </w:rPr>
        <w:t xml:space="preserve">found in 21 CFR </w:t>
      </w:r>
      <w:r w:rsidR="00860851">
        <w:rPr>
          <w:rFonts w:eastAsia="Calibri"/>
        </w:rPr>
        <w:t>558.6</w:t>
      </w:r>
      <w:r w:rsidRPr="005C71CA">
        <w:rPr>
          <w:rFonts w:eastAsia="Calibri"/>
        </w:rPr>
        <w:t xml:space="preserve"> as discussed in this supporting statement.</w:t>
      </w:r>
    </w:p>
    <w:p w:rsidR="00357C8A" w:rsidRPr="00357C8A" w:rsidP="0022425B" w14:paraId="7866FE58" w14:textId="53789E3D">
      <w:pPr>
        <w:spacing w:after="200"/>
        <w:rPr>
          <w:rFonts w:eastAsia="Calibri"/>
          <w:color w:val="FF0000"/>
        </w:rPr>
      </w:pPr>
    </w:p>
    <w:p w:rsidR="00357C8A" w:rsidRPr="00357C8A" w:rsidP="006705EA" w14:paraId="223862C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D611F6" w:rsidP="00B72454" w14:paraId="1B9760E3" w14:textId="5985BDA1">
      <w:pPr>
        <w:contextualSpacing/>
      </w:pPr>
      <w:r w:rsidRPr="00F946B1">
        <w:t xml:space="preserve">The VFD regulation ensures the protection of public health while enabling animal producers to obtain and use needed drugs as efficiently and cost effectively as possible. We will use the information collected to assess compliance with the VFD regulation. The required </w:t>
      </w:r>
      <w:r>
        <w:t xml:space="preserve">reporting, </w:t>
      </w:r>
      <w:r w:rsidRPr="00F946B1">
        <w:t>recordkeeping</w:t>
      </w:r>
      <w:r>
        <w:t>,</w:t>
      </w:r>
      <w:r w:rsidRPr="00F946B1">
        <w:t xml:space="preserve"> and third-party disclosures provide assurance that the medicated feeds will be safe </w:t>
      </w:r>
      <w:r w:rsidRPr="00F946B1">
        <w:t>and effective for their labeled conditions of use and that edible products from treated animals will be free of unsafe drug residues.</w:t>
      </w:r>
    </w:p>
    <w:p w:rsidR="00D611F6" w:rsidP="00B72454" w14:paraId="7AC8A734" w14:textId="7EC36083">
      <w:pPr>
        <w:contextualSpacing/>
      </w:pPr>
    </w:p>
    <w:p w:rsidR="00D611F6" w:rsidP="00B72454" w14:paraId="4B386E49" w14:textId="0F94FF7B">
      <w:pPr>
        <w:contextualSpacing/>
      </w:pPr>
      <w:r>
        <w:rPr>
          <w:rFonts w:eastAsia="Calibri"/>
          <w:i/>
          <w:iCs/>
        </w:rPr>
        <w:t>Description of Respondents:</w:t>
      </w:r>
      <w:r>
        <w:rPr>
          <w:rFonts w:eastAsia="Calibri"/>
        </w:rPr>
        <w:t xml:space="preserve"> Respondents to the information collection are </w:t>
      </w:r>
      <w:r w:rsidRPr="00F946B1">
        <w:t>VFD Feed Distributors, Food Animal Veterinarians, and Clients (Food Animal Producers).</w:t>
      </w:r>
    </w:p>
    <w:p w:rsidR="00BF4AC8" w:rsidRPr="00D611F6" w:rsidP="00B72454" w14:paraId="6219BF9D" w14:textId="77777777">
      <w:pPr>
        <w:contextualSpacing/>
      </w:pPr>
    </w:p>
    <w:p w:rsidR="00357C8A" w:rsidRPr="00357C8A" w:rsidP="006705EA" w14:paraId="3DA8C5F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49486D" w:rsidP="0022425B" w14:paraId="49D9C282" w14:textId="76BFA158">
      <w:pPr>
        <w:spacing w:after="200"/>
        <w:rPr>
          <w:rFonts w:eastAsia="Calibri"/>
        </w:rPr>
      </w:pPr>
      <w:r>
        <w:rPr>
          <w:rFonts w:eastAsia="Calibri"/>
        </w:rPr>
        <w:t xml:space="preserve">Respondents may </w:t>
      </w:r>
      <w:r w:rsidRPr="00F946B1">
        <w:t xml:space="preserve">notify FDA of their intent to distribute medicated feed containing VFD drugs </w:t>
      </w:r>
      <w:r>
        <w:t>via U.S. Postal mail, email, or fax</w:t>
      </w:r>
      <w:r>
        <w:rPr>
          <w:rFonts w:eastAsia="Calibri"/>
        </w:rPr>
        <w:t>.</w:t>
      </w:r>
      <w:r w:rsidR="00AC3E56">
        <w:rPr>
          <w:rFonts w:eastAsia="Calibri"/>
        </w:rPr>
        <w:t xml:space="preserve">  Contact information can be found at </w:t>
      </w:r>
      <w:hyperlink r:id="rId9" w:history="1">
        <w:r w:rsidRPr="00202B96" w:rsidR="006D5164">
          <w:rPr>
            <w:rStyle w:val="Hyperlink"/>
            <w:rFonts w:eastAsia="Calibri"/>
          </w:rPr>
          <w:t>https://www.fda.gov/animal-veterinary/animal-food-feeds/medicated-feeds</w:t>
        </w:r>
      </w:hyperlink>
      <w:r w:rsidR="00AC3E56">
        <w:rPr>
          <w:rFonts w:eastAsia="Calibri"/>
        </w:rPr>
        <w:t>.</w:t>
      </w:r>
    </w:p>
    <w:p w:rsidR="00190E84" w:rsidP="0022425B" w14:paraId="571617AB" w14:textId="0920C171">
      <w:pPr>
        <w:spacing w:after="200"/>
        <w:rPr>
          <w:rFonts w:eastAsia="Calibri"/>
        </w:rPr>
      </w:pPr>
      <w:r w:rsidRPr="00AA25EB">
        <w:rPr>
          <w:rFonts w:eastAsia="Calibri"/>
        </w:rPr>
        <w:t>Industry</w:t>
      </w:r>
      <w:r w:rsidRPr="00AA25EB">
        <w:rPr>
          <w:rFonts w:eastAsia="Calibri"/>
        </w:rPr>
        <w:t xml:space="preserve"> is increasingly turning to the use of automated production facilities. </w:t>
      </w:r>
      <w:r>
        <w:rPr>
          <w:rFonts w:eastAsia="Calibri"/>
        </w:rPr>
        <w:t xml:space="preserve"> </w:t>
      </w:r>
      <w:r w:rsidRPr="00AA25EB">
        <w:rPr>
          <w:rFonts w:eastAsia="Calibri"/>
        </w:rPr>
        <w:t xml:space="preserve">The use of information technology is acceptable for the purposes of recordkeeping for FDA inspections. Currently about </w:t>
      </w:r>
      <w:r>
        <w:rPr>
          <w:rFonts w:eastAsia="Calibri"/>
        </w:rPr>
        <w:t>50</w:t>
      </w:r>
      <w:r w:rsidRPr="00AA25EB">
        <w:rPr>
          <w:rFonts w:eastAsia="Calibri"/>
        </w:rPr>
        <w:t>% of submissions are electronic</w:t>
      </w:r>
      <w:r>
        <w:rPr>
          <w:rFonts w:eastAsia="Calibri"/>
        </w:rPr>
        <w:t xml:space="preserve"> (i.e., email)</w:t>
      </w:r>
      <w:r w:rsidRPr="00AA25EB">
        <w:rPr>
          <w:rFonts w:eastAsia="Calibri"/>
        </w:rPr>
        <w:t>, however, we expect this number to increase.</w:t>
      </w:r>
    </w:p>
    <w:p w:rsidR="00357C8A" w:rsidRPr="00357C8A" w:rsidP="006705EA" w14:paraId="5237EA8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49486D" w:rsidP="00B72454" w14:paraId="5A91B875" w14:textId="37D098BF">
      <w:pPr>
        <w:spacing w:after="200"/>
      </w:pPr>
      <w:r w:rsidRPr="005C71CA">
        <w:t>We are unaware of duplicative information collection.</w:t>
      </w:r>
    </w:p>
    <w:p w:rsidR="00983EC4" w:rsidRPr="00983EC4" w:rsidP="00774385" w14:paraId="4648BA3F" w14:textId="77777777">
      <w:pPr>
        <w:numPr>
          <w:ilvl w:val="0"/>
          <w:numId w:val="6"/>
        </w:numPr>
        <w:spacing w:after="200" w:line="276" w:lineRule="auto"/>
        <w:rPr>
          <w:rFonts w:eastAsia="Calibri"/>
        </w:rPr>
      </w:pPr>
      <w:r w:rsidRPr="0049486D">
        <w:rPr>
          <w:rFonts w:eastAsia="Calibri"/>
          <w:u w:val="single"/>
        </w:rPr>
        <w:t>Impact on Small Businesses or Other Small Entities</w:t>
      </w:r>
    </w:p>
    <w:p w:rsidR="0049486D" w:rsidRPr="0049486D" w:rsidP="00B72454" w14:paraId="4704C018" w14:textId="33E3D3FF">
      <w:pPr>
        <w:spacing w:after="200" w:line="276" w:lineRule="auto"/>
        <w:rPr>
          <w:rFonts w:eastAsia="Calibri"/>
        </w:rPr>
      </w:pPr>
      <w:r w:rsidRPr="0049486D">
        <w:rPr>
          <w:rFonts w:eastAsia="Calibri"/>
          <w:bCs/>
        </w:rPr>
        <w:t xml:space="preserve">The information collection poses no undue burden on small entities.  </w:t>
      </w:r>
      <w:r w:rsidRPr="0049486D">
        <w:rPr>
          <w:rFonts w:eastAsia="Calibri"/>
        </w:rPr>
        <w:t xml:space="preserve">We estimate 80% of respondents are small businesses. FDA assists small businesses in complying with its regulatory requirements through Regional Small Business Representatives and through the scientific and administrative staffs within the agency. We also provide guidance on our website at </w:t>
      </w:r>
      <w:hyperlink r:id="rId10" w:history="1">
        <w:r w:rsidRPr="0049486D">
          <w:rPr>
            <w:rStyle w:val="Hyperlink"/>
            <w:rFonts w:eastAsia="Calibri"/>
          </w:rPr>
          <w:t>http://www.fda.gov/ForIndustry/SmallBusinessAssistance/default.htm</w:t>
        </w:r>
      </w:hyperlink>
      <w:r w:rsidRPr="0049486D">
        <w:rPr>
          <w:rFonts w:eastAsia="Calibri"/>
        </w:rPr>
        <w:t>.</w:t>
      </w:r>
    </w:p>
    <w:p w:rsidR="00357C8A" w:rsidRPr="00357C8A" w:rsidP="006705EA" w14:paraId="618E872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49486D" w:rsidP="00A7694A" w14:paraId="2AD23C07" w14:textId="60930165">
      <w:pPr>
        <w:spacing w:after="200"/>
        <w:rPr>
          <w:rFonts w:eastAsia="Calibri"/>
        </w:rPr>
      </w:pPr>
      <w:r>
        <w:t xml:space="preserve">The information collection schedule is consistent with statutory and regulatory requirements. </w:t>
      </w:r>
    </w:p>
    <w:p w:rsidR="00357C8A" w:rsidRPr="00357C8A" w:rsidP="006705EA" w14:paraId="5E55A95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A7694A" w14:paraId="174D5AED" w14:textId="2B897FDB">
      <w:pPr>
        <w:spacing w:after="200"/>
        <w:rPr>
          <w:rFonts w:eastAsia="Calibri"/>
        </w:rPr>
      </w:pPr>
      <w:r w:rsidRPr="0049486D">
        <w:rPr>
          <w:rFonts w:eastAsia="Calibri"/>
        </w:rPr>
        <w:t>There are no special circumstances associated with this collection of information.</w:t>
      </w:r>
    </w:p>
    <w:p w:rsidR="00357C8A" w:rsidRPr="00357C8A" w:rsidP="006705EA" w14:paraId="0DA5E90D"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983EC4" w:rsidP="00A7694A" w14:paraId="1B3C4121" w14:textId="703FC95D">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D12A69">
        <w:rPr>
          <w:rFonts w:eastAsia="Calibri"/>
        </w:rPr>
        <w:t>03</w:t>
      </w:r>
      <w:r>
        <w:rPr>
          <w:rFonts w:eastAsia="Calibri"/>
        </w:rPr>
        <w:t>/</w:t>
      </w:r>
      <w:r w:rsidR="00D12A69">
        <w:rPr>
          <w:rFonts w:eastAsia="Calibri"/>
        </w:rPr>
        <w:t>21</w:t>
      </w:r>
      <w:r>
        <w:rPr>
          <w:rFonts w:eastAsia="Calibri"/>
        </w:rPr>
        <w:t>/</w:t>
      </w:r>
      <w:r w:rsidR="00D12A69">
        <w:rPr>
          <w:rFonts w:eastAsia="Calibri"/>
        </w:rPr>
        <w:t>2024</w:t>
      </w:r>
      <w:r w:rsidR="009009E7">
        <w:rPr>
          <w:rFonts w:eastAsia="Calibri"/>
        </w:rPr>
        <w:t xml:space="preserve"> (</w:t>
      </w:r>
      <w:r w:rsidR="00D12A69">
        <w:rPr>
          <w:rFonts w:eastAsia="Calibri"/>
        </w:rPr>
        <w:t xml:space="preserve">89 </w:t>
      </w:r>
      <w:r w:rsidR="009009E7">
        <w:rPr>
          <w:rFonts w:eastAsia="Calibri"/>
        </w:rPr>
        <w:t>FR</w:t>
      </w:r>
      <w:r w:rsidR="00D12A69">
        <w:rPr>
          <w:rFonts w:eastAsia="Calibri"/>
        </w:rPr>
        <w:t xml:space="preserve"> 20218</w:t>
      </w:r>
      <w:r w:rsidR="009009E7">
        <w:rPr>
          <w:rFonts w:eastAsia="Calibri"/>
        </w:rPr>
        <w:t>)</w:t>
      </w:r>
      <w:r w:rsidR="00D12A69">
        <w:rPr>
          <w:rFonts w:eastAsia="Calibri"/>
        </w:rPr>
        <w:t>.  No comments were received.</w:t>
      </w:r>
    </w:p>
    <w:p w:rsidR="00357C8A" w:rsidRPr="00357C8A" w:rsidP="006705EA" w14:paraId="719B51B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A7694A" w14:paraId="6E9C0684" w14:textId="283D0C9F">
      <w:pPr>
        <w:spacing w:after="200"/>
        <w:rPr>
          <w:rFonts w:eastAsia="Calibri"/>
          <w:i/>
        </w:rPr>
      </w:pPr>
      <w:r w:rsidRPr="002074FE">
        <w:rPr>
          <w:rFonts w:eastAsia="Calibri"/>
        </w:rPr>
        <w:t>There are no incentives, payments or gifts associated with this information collection.</w:t>
      </w:r>
    </w:p>
    <w:p w:rsidR="00357C8A" w:rsidRPr="00357C8A" w:rsidP="006705EA" w14:paraId="570D291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46E01" w:rsidP="00A7694A" w14:paraId="5E3F5A00" w14:textId="076DA842">
      <w:pPr>
        <w:spacing w:after="200" w:line="276" w:lineRule="auto"/>
      </w:pPr>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r w:rsidRPr="00FC7708" w:rsidR="00FC7708">
        <w:t xml:space="preserve"> </w:t>
      </w:r>
      <w:r w:rsidR="00FC7708">
        <w:t xml:space="preserve"> </w:t>
      </w:r>
      <w:r w:rsidRPr="00A7694A" w:rsidR="00FC7708">
        <w:t>Data will be kept private to the extent provided by law</w:t>
      </w:r>
      <w:r w:rsidR="00FC7708">
        <w:t>.</w:t>
      </w:r>
    </w:p>
    <w:p w:rsidR="00946E01" w:rsidRPr="00B11062" w:rsidP="00B72454" w14:paraId="3CAF93EB" w14:textId="77777777">
      <w:pPr>
        <w:spacing w:after="200"/>
        <w:ind w:firstLine="720"/>
        <w:rPr>
          <w:rFonts w:eastAsia="Calibri"/>
          <w:i/>
          <w:iCs/>
        </w:rPr>
      </w:pPr>
      <w:r w:rsidRPr="00B11062">
        <w:rPr>
          <w:rFonts w:eastAsia="Calibri"/>
          <w:i/>
          <w:iCs/>
        </w:rPr>
        <w:t>The Privacy Act of 1974</w:t>
      </w:r>
    </w:p>
    <w:p w:rsidR="00946E01" w:rsidRPr="00D12A69" w:rsidP="00A7694A" w14:paraId="3F6C9D26" w14:textId="6865855C">
      <w:pPr>
        <w:spacing w:after="200" w:line="276" w:lineRule="auto"/>
      </w:pPr>
      <w:r w:rsidRPr="00D12A69">
        <w:t xml:space="preserve">This ICR collects personally identifiable information (PII).  PII is collected in the context of the subject individuals’ professional capacity and the FDA-related work they perform for their employer (e.g., point of contact at a regulated entity).  The PII submitted includes point of contact name, business address, and point of contact signature. FDA determined that although PII is collected, the collection is not subject to the Privacy Act of 1974 and the </w:t>
      </w:r>
      <w:r w:rsidRPr="00D12A69">
        <w:t>particular notice</w:t>
      </w:r>
      <w:r w:rsidRPr="00D12A69">
        <w:t xml:space="preserv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946E01" w:rsidP="00A7694A" w14:paraId="4697F915" w14:textId="2C1CE18B">
      <w:pPr>
        <w:spacing w:after="200" w:line="276" w:lineRule="auto"/>
        <w:ind w:firstLine="360"/>
      </w:pPr>
      <w:r w:rsidRPr="007A1A08">
        <w:rPr>
          <w:rFonts w:eastAsia="Calibri"/>
          <w:i/>
          <w:iCs/>
        </w:rPr>
        <w:t>Freedom of Information Act</w:t>
      </w:r>
    </w:p>
    <w:p w:rsidR="00946E01" w:rsidRPr="00D12A69" w:rsidP="00A7694A" w14:paraId="44D58AE7" w14:textId="4F7A418E">
      <w:pPr>
        <w:spacing w:line="276" w:lineRule="auto"/>
        <w:rPr>
          <w:rFonts w:eastAsia="Calibri"/>
        </w:rPr>
      </w:pPr>
      <w:r w:rsidRPr="00D12A69">
        <w:t>Under the Freedom of Information Act (FOIA) (5 U.S.C. 552), the public has broad access to government documents. However, FOIA provides certain exemptions from mandatory public disclosure of government records (5 U.S.C. 552(b</w:t>
      </w:r>
      <w:r w:rsidRPr="00D12A69">
        <w:t>)(</w:t>
      </w:r>
      <w:r w:rsidRPr="00D12A69">
        <w:t>1-9)).  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4AE6D3DD" w14:textId="77777777">
      <w:pPr>
        <w:ind w:left="720"/>
      </w:pPr>
    </w:p>
    <w:p w:rsidR="00357C8A" w:rsidRPr="00357C8A" w:rsidP="006705EA" w14:paraId="145AB29C"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983EC4" w:rsidP="00A7694A" w14:paraId="10D9A893" w14:textId="73D84CFA">
      <w:pPr>
        <w:spacing w:after="200"/>
        <w:rPr>
          <w:rFonts w:eastAsia="Calibri"/>
        </w:rPr>
      </w:pPr>
      <w:r w:rsidRPr="00983EC4">
        <w:rPr>
          <w:rFonts w:eastAsia="Calibri"/>
          <w:iCs/>
        </w:rPr>
        <w:t>The collection of information does not involve sensitive questions</w:t>
      </w:r>
      <w:r w:rsidRPr="00357C8A">
        <w:rPr>
          <w:rFonts w:eastAsia="Calibri"/>
          <w:i/>
        </w:rPr>
        <w:t>.</w:t>
      </w:r>
    </w:p>
    <w:p w:rsidR="009A0499" w14:paraId="10975CDC" w14:textId="0D1FCA46">
      <w:pPr>
        <w:rPr>
          <w:rFonts w:eastAsia="Calibri"/>
          <w:u w:val="single"/>
        </w:rPr>
      </w:pPr>
    </w:p>
    <w:p w:rsidR="00357C8A" w:rsidRPr="00357C8A" w:rsidP="006705EA" w14:paraId="0924CC06" w14:textId="0D08404C">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63B3B3A1" w14:textId="07F34D5F">
      <w:pPr>
        <w:spacing w:after="200"/>
        <w:ind w:left="360"/>
        <w:rPr>
          <w:rFonts w:eastAsia="Calibri"/>
        </w:rPr>
      </w:pPr>
      <w:r w:rsidRPr="005C71CA">
        <w:rPr>
          <w:rFonts w:eastAsia="Calibri"/>
        </w:rPr>
        <w:t>12a.  Annualized Hour Burden Estimate</w:t>
      </w:r>
    </w:p>
    <w:p w:rsidR="004E0821" w:rsidRPr="00A7694A" w:rsidP="004E0821" w14:paraId="5F4ED8B4" w14:textId="638A7CCC">
      <w:pPr>
        <w:ind w:firstLine="720"/>
        <w:contextualSpacing/>
        <w:jc w:val="center"/>
        <w:rPr>
          <w:sz w:val="20"/>
          <w:szCs w:val="20"/>
          <w:vertAlign w:val="superscript"/>
        </w:rPr>
      </w:pPr>
      <w:r w:rsidRPr="00A7694A">
        <w:rPr>
          <w:sz w:val="20"/>
          <w:szCs w:val="20"/>
        </w:rPr>
        <w:t>Table 1. – Estimated Annual Reporting Burden</w:t>
      </w:r>
      <w:bookmarkStart w:id="2" w:name="_Hlk167786405"/>
      <w:r w:rsidRPr="00A7694A" w:rsidR="009A0499">
        <w:rPr>
          <w:sz w:val="20"/>
          <w:szCs w:val="20"/>
          <w:vertAlign w:val="superscript"/>
        </w:rPr>
        <w:t>1</w:t>
      </w:r>
      <w:bookmarkEnd w:id="2"/>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3"/>
        <w:gridCol w:w="1327"/>
        <w:gridCol w:w="1530"/>
        <w:gridCol w:w="1350"/>
        <w:gridCol w:w="1170"/>
        <w:gridCol w:w="1170"/>
      </w:tblGrid>
      <w:tr w14:paraId="093300C7" w14:textId="77777777" w:rsidTr="00A7694A">
        <w:tblPrEx>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008"/>
        </w:trPr>
        <w:tc>
          <w:tcPr>
            <w:tcW w:w="3173" w:type="dxa"/>
            <w:shd w:val="clear" w:color="auto" w:fill="auto"/>
          </w:tcPr>
          <w:p w:rsidR="004E0821" w:rsidRPr="00AC3E56" w:rsidP="005741F7" w14:paraId="6EDC5D0F" w14:textId="77777777">
            <w:pPr>
              <w:jc w:val="center"/>
              <w:rPr>
                <w:sz w:val="20"/>
                <w:szCs w:val="20"/>
              </w:rPr>
            </w:pPr>
            <w:r w:rsidRPr="00AC3E56">
              <w:rPr>
                <w:sz w:val="20"/>
                <w:szCs w:val="20"/>
              </w:rPr>
              <w:t>21 CFR Part/Activity</w:t>
            </w:r>
          </w:p>
          <w:p w:rsidR="004E0821" w:rsidRPr="00AC3E56" w:rsidP="005741F7" w14:paraId="16EB0954" w14:textId="77777777">
            <w:pPr>
              <w:jc w:val="center"/>
              <w:rPr>
                <w:sz w:val="20"/>
                <w:szCs w:val="20"/>
              </w:rPr>
            </w:pPr>
          </w:p>
          <w:p w:rsidR="004E0821" w:rsidRPr="00AC3E56" w:rsidP="005741F7" w14:paraId="51D19F2D" w14:textId="77777777">
            <w:pPr>
              <w:jc w:val="center"/>
              <w:rPr>
                <w:sz w:val="20"/>
                <w:szCs w:val="20"/>
              </w:rPr>
            </w:pPr>
          </w:p>
        </w:tc>
        <w:tc>
          <w:tcPr>
            <w:tcW w:w="1327" w:type="dxa"/>
            <w:shd w:val="clear" w:color="auto" w:fill="auto"/>
          </w:tcPr>
          <w:p w:rsidR="004E0821" w:rsidRPr="00AC3E56" w:rsidP="005741F7" w14:paraId="71D45C02" w14:textId="77777777">
            <w:pPr>
              <w:jc w:val="center"/>
              <w:rPr>
                <w:sz w:val="20"/>
                <w:szCs w:val="20"/>
              </w:rPr>
            </w:pPr>
            <w:r w:rsidRPr="00AC3E56">
              <w:rPr>
                <w:sz w:val="20"/>
                <w:szCs w:val="20"/>
              </w:rPr>
              <w:t>No. of Respondents</w:t>
            </w:r>
          </w:p>
        </w:tc>
        <w:tc>
          <w:tcPr>
            <w:tcW w:w="1530" w:type="dxa"/>
            <w:shd w:val="clear" w:color="auto" w:fill="auto"/>
          </w:tcPr>
          <w:p w:rsidR="004E0821" w:rsidRPr="00AC3E56" w:rsidP="005741F7" w14:paraId="7ADAB0AF" w14:textId="77777777">
            <w:pPr>
              <w:jc w:val="center"/>
              <w:rPr>
                <w:bCs/>
                <w:sz w:val="20"/>
                <w:szCs w:val="20"/>
              </w:rPr>
            </w:pPr>
            <w:r w:rsidRPr="00AC3E56">
              <w:rPr>
                <w:bCs/>
                <w:sz w:val="20"/>
                <w:szCs w:val="20"/>
              </w:rPr>
              <w:t xml:space="preserve">No. of Responses </w:t>
            </w:r>
          </w:p>
          <w:p w:rsidR="004E0821" w:rsidRPr="00AC3E56" w:rsidP="005741F7" w14:paraId="32B9226F" w14:textId="77777777">
            <w:pPr>
              <w:jc w:val="center"/>
              <w:rPr>
                <w:sz w:val="20"/>
                <w:szCs w:val="20"/>
              </w:rPr>
            </w:pPr>
            <w:r w:rsidRPr="00AC3E56">
              <w:rPr>
                <w:bCs/>
                <w:sz w:val="20"/>
                <w:szCs w:val="20"/>
              </w:rPr>
              <w:t>per Respondent</w:t>
            </w:r>
          </w:p>
        </w:tc>
        <w:tc>
          <w:tcPr>
            <w:tcW w:w="1350" w:type="dxa"/>
            <w:shd w:val="clear" w:color="auto" w:fill="auto"/>
          </w:tcPr>
          <w:p w:rsidR="004E0821" w:rsidRPr="00AC3E56" w:rsidP="005741F7" w14:paraId="036AD5B8" w14:textId="77777777">
            <w:pPr>
              <w:jc w:val="center"/>
              <w:rPr>
                <w:sz w:val="20"/>
                <w:szCs w:val="20"/>
              </w:rPr>
            </w:pPr>
            <w:r w:rsidRPr="00AC3E56">
              <w:rPr>
                <w:sz w:val="20"/>
                <w:szCs w:val="20"/>
              </w:rPr>
              <w:t>Total Annual Responses</w:t>
            </w:r>
          </w:p>
        </w:tc>
        <w:tc>
          <w:tcPr>
            <w:tcW w:w="1170" w:type="dxa"/>
            <w:shd w:val="clear" w:color="auto" w:fill="auto"/>
          </w:tcPr>
          <w:p w:rsidR="004E0821" w:rsidRPr="00AC3E56" w:rsidP="005741F7" w14:paraId="34959BB5" w14:textId="77777777">
            <w:pPr>
              <w:jc w:val="center"/>
              <w:rPr>
                <w:sz w:val="20"/>
                <w:szCs w:val="20"/>
              </w:rPr>
            </w:pPr>
            <w:r w:rsidRPr="00AC3E56">
              <w:rPr>
                <w:bCs/>
                <w:sz w:val="20"/>
                <w:szCs w:val="20"/>
              </w:rPr>
              <w:t>Average Burden per Response</w:t>
            </w:r>
          </w:p>
        </w:tc>
        <w:tc>
          <w:tcPr>
            <w:tcW w:w="1170" w:type="dxa"/>
            <w:shd w:val="clear" w:color="auto" w:fill="auto"/>
          </w:tcPr>
          <w:p w:rsidR="004E0821" w:rsidRPr="00AC3E56" w:rsidP="005741F7" w14:paraId="6A833A81" w14:textId="77777777">
            <w:pPr>
              <w:jc w:val="center"/>
              <w:rPr>
                <w:sz w:val="20"/>
                <w:szCs w:val="20"/>
              </w:rPr>
            </w:pPr>
            <w:r w:rsidRPr="00AC3E56">
              <w:rPr>
                <w:sz w:val="20"/>
                <w:szCs w:val="20"/>
              </w:rPr>
              <w:t>Total Hours</w:t>
            </w:r>
          </w:p>
          <w:p w:rsidR="004E0821" w:rsidRPr="00AC3E56" w:rsidP="005741F7" w14:paraId="47685934" w14:textId="77777777">
            <w:pPr>
              <w:rPr>
                <w:sz w:val="20"/>
                <w:szCs w:val="20"/>
              </w:rPr>
            </w:pPr>
          </w:p>
        </w:tc>
      </w:tr>
      <w:tr w14:paraId="22EEFC2D" w14:textId="77777777" w:rsidTr="00A7694A">
        <w:tblPrEx>
          <w:tblW w:w="9720" w:type="dxa"/>
          <w:tblInd w:w="85" w:type="dxa"/>
          <w:tblLayout w:type="fixed"/>
          <w:tblLook w:val="01E0"/>
        </w:tblPrEx>
        <w:trPr>
          <w:cantSplit/>
          <w:trHeight w:val="980"/>
        </w:trPr>
        <w:tc>
          <w:tcPr>
            <w:tcW w:w="3173" w:type="dxa"/>
            <w:shd w:val="clear" w:color="auto" w:fill="auto"/>
          </w:tcPr>
          <w:p w:rsidR="004E0821" w:rsidRPr="00AC3E56" w:rsidP="005741F7" w14:paraId="04B18074" w14:textId="77777777">
            <w:pPr>
              <w:rPr>
                <w:sz w:val="20"/>
                <w:szCs w:val="20"/>
              </w:rPr>
            </w:pPr>
            <w:r w:rsidRPr="00AC3E56">
              <w:rPr>
                <w:sz w:val="20"/>
                <w:szCs w:val="20"/>
              </w:rPr>
              <w:t>558.6(c)(5) requires a distributor to notify FDA prior to the first time it distributes a VFD feed</w:t>
            </w:r>
          </w:p>
        </w:tc>
        <w:tc>
          <w:tcPr>
            <w:tcW w:w="1327" w:type="dxa"/>
            <w:shd w:val="clear" w:color="auto" w:fill="auto"/>
          </w:tcPr>
          <w:p w:rsidR="004E0821" w:rsidRPr="00AC3E56" w:rsidP="005741F7" w14:paraId="2899916C" w14:textId="77777777">
            <w:pPr>
              <w:jc w:val="right"/>
              <w:rPr>
                <w:sz w:val="20"/>
                <w:szCs w:val="20"/>
              </w:rPr>
            </w:pPr>
            <w:r w:rsidRPr="00AC3E56">
              <w:rPr>
                <w:sz w:val="20"/>
                <w:szCs w:val="20"/>
              </w:rPr>
              <w:t>112</w:t>
            </w:r>
          </w:p>
        </w:tc>
        <w:tc>
          <w:tcPr>
            <w:tcW w:w="1530" w:type="dxa"/>
            <w:shd w:val="clear" w:color="auto" w:fill="auto"/>
          </w:tcPr>
          <w:p w:rsidR="004E0821" w:rsidRPr="00AC3E56" w:rsidP="005741F7" w14:paraId="266CA750" w14:textId="77777777">
            <w:pPr>
              <w:jc w:val="right"/>
              <w:rPr>
                <w:sz w:val="20"/>
                <w:szCs w:val="20"/>
              </w:rPr>
            </w:pPr>
            <w:r w:rsidRPr="00AC3E56">
              <w:rPr>
                <w:sz w:val="20"/>
                <w:szCs w:val="20"/>
              </w:rPr>
              <w:t>1</w:t>
            </w:r>
          </w:p>
        </w:tc>
        <w:tc>
          <w:tcPr>
            <w:tcW w:w="1350" w:type="dxa"/>
            <w:shd w:val="clear" w:color="auto" w:fill="auto"/>
          </w:tcPr>
          <w:p w:rsidR="004E0821" w:rsidRPr="00AC3E56" w:rsidP="005741F7" w14:paraId="315B820D" w14:textId="77777777">
            <w:pPr>
              <w:jc w:val="right"/>
              <w:rPr>
                <w:sz w:val="20"/>
                <w:szCs w:val="20"/>
              </w:rPr>
            </w:pPr>
            <w:r w:rsidRPr="00AC3E56">
              <w:rPr>
                <w:sz w:val="20"/>
                <w:szCs w:val="20"/>
              </w:rPr>
              <w:t>112</w:t>
            </w:r>
          </w:p>
        </w:tc>
        <w:tc>
          <w:tcPr>
            <w:tcW w:w="1170" w:type="dxa"/>
            <w:shd w:val="clear" w:color="auto" w:fill="auto"/>
          </w:tcPr>
          <w:p w:rsidR="004E0821" w:rsidRPr="00AC3E56" w:rsidP="005741F7" w14:paraId="1E990C55" w14:textId="77777777">
            <w:pPr>
              <w:jc w:val="right"/>
              <w:rPr>
                <w:sz w:val="20"/>
                <w:szCs w:val="20"/>
              </w:rPr>
            </w:pPr>
            <w:r w:rsidRPr="00AC3E56">
              <w:rPr>
                <w:sz w:val="20"/>
                <w:szCs w:val="20"/>
              </w:rPr>
              <w:t xml:space="preserve">0.12 </w:t>
            </w:r>
          </w:p>
          <w:p w:rsidR="004E0821" w:rsidRPr="00AC3E56" w:rsidP="005741F7" w14:paraId="707AEA06" w14:textId="77777777">
            <w:pPr>
              <w:jc w:val="right"/>
              <w:rPr>
                <w:sz w:val="20"/>
                <w:szCs w:val="20"/>
              </w:rPr>
            </w:pPr>
            <w:r w:rsidRPr="00AC3E56">
              <w:rPr>
                <w:sz w:val="20"/>
                <w:szCs w:val="20"/>
              </w:rPr>
              <w:t>(7 minutes)</w:t>
            </w:r>
          </w:p>
        </w:tc>
        <w:tc>
          <w:tcPr>
            <w:tcW w:w="1170" w:type="dxa"/>
            <w:shd w:val="clear" w:color="auto" w:fill="auto"/>
          </w:tcPr>
          <w:p w:rsidR="004E0821" w:rsidRPr="00A7694A" w:rsidP="005741F7" w14:paraId="3670DD85" w14:textId="2E6F4230">
            <w:pPr>
              <w:jc w:val="right"/>
              <w:rPr>
                <w:sz w:val="20"/>
                <w:szCs w:val="20"/>
                <w:vertAlign w:val="superscript"/>
              </w:rPr>
            </w:pPr>
            <w:r w:rsidRPr="00AC3E56">
              <w:rPr>
                <w:sz w:val="20"/>
                <w:szCs w:val="20"/>
              </w:rPr>
              <w:t>13</w:t>
            </w:r>
          </w:p>
        </w:tc>
      </w:tr>
      <w:tr w14:paraId="462AF730" w14:textId="77777777" w:rsidTr="00A7694A">
        <w:tblPrEx>
          <w:tblW w:w="9720" w:type="dxa"/>
          <w:tblInd w:w="85" w:type="dxa"/>
          <w:tblLayout w:type="fixed"/>
          <w:tblLook w:val="01E0"/>
        </w:tblPrEx>
        <w:trPr>
          <w:cantSplit/>
          <w:trHeight w:val="1008"/>
        </w:trPr>
        <w:tc>
          <w:tcPr>
            <w:tcW w:w="3173" w:type="dxa"/>
            <w:shd w:val="clear" w:color="auto" w:fill="auto"/>
          </w:tcPr>
          <w:p w:rsidR="004E0821" w:rsidRPr="00AC3E56" w:rsidP="005741F7" w14:paraId="454D216A" w14:textId="77777777">
            <w:pPr>
              <w:rPr>
                <w:sz w:val="20"/>
                <w:szCs w:val="20"/>
              </w:rPr>
            </w:pPr>
            <w:r w:rsidRPr="00AC3E56">
              <w:rPr>
                <w:sz w:val="20"/>
                <w:szCs w:val="20"/>
              </w:rPr>
              <w:t>558.6(c)(6) requires a distributor to notify FDA within 30 days of any change in ownership, business name, or business address</w:t>
            </w:r>
          </w:p>
        </w:tc>
        <w:tc>
          <w:tcPr>
            <w:tcW w:w="1327" w:type="dxa"/>
            <w:shd w:val="clear" w:color="auto" w:fill="auto"/>
          </w:tcPr>
          <w:p w:rsidR="004E0821" w:rsidRPr="00AC3E56" w:rsidP="005741F7" w14:paraId="3B07BBE5" w14:textId="77777777">
            <w:pPr>
              <w:jc w:val="right"/>
              <w:rPr>
                <w:sz w:val="20"/>
                <w:szCs w:val="20"/>
              </w:rPr>
            </w:pPr>
            <w:r w:rsidRPr="00AC3E56">
              <w:rPr>
                <w:sz w:val="20"/>
                <w:szCs w:val="20"/>
              </w:rPr>
              <w:t>239</w:t>
            </w:r>
          </w:p>
        </w:tc>
        <w:tc>
          <w:tcPr>
            <w:tcW w:w="1530" w:type="dxa"/>
            <w:shd w:val="clear" w:color="auto" w:fill="auto"/>
          </w:tcPr>
          <w:p w:rsidR="004E0821" w:rsidRPr="00AC3E56" w:rsidP="005741F7" w14:paraId="32C0189C" w14:textId="77777777">
            <w:pPr>
              <w:jc w:val="right"/>
              <w:rPr>
                <w:sz w:val="20"/>
                <w:szCs w:val="20"/>
              </w:rPr>
            </w:pPr>
            <w:r w:rsidRPr="00AC3E56">
              <w:rPr>
                <w:sz w:val="20"/>
                <w:szCs w:val="20"/>
              </w:rPr>
              <w:t>1</w:t>
            </w:r>
          </w:p>
        </w:tc>
        <w:tc>
          <w:tcPr>
            <w:tcW w:w="1350" w:type="dxa"/>
            <w:shd w:val="clear" w:color="auto" w:fill="auto"/>
          </w:tcPr>
          <w:p w:rsidR="004E0821" w:rsidRPr="00AC3E56" w:rsidP="005741F7" w14:paraId="0E7CD90A" w14:textId="77777777">
            <w:pPr>
              <w:jc w:val="right"/>
              <w:rPr>
                <w:sz w:val="20"/>
                <w:szCs w:val="20"/>
              </w:rPr>
            </w:pPr>
            <w:r w:rsidRPr="00AC3E56">
              <w:rPr>
                <w:sz w:val="20"/>
                <w:szCs w:val="20"/>
              </w:rPr>
              <w:t>239</w:t>
            </w:r>
          </w:p>
        </w:tc>
        <w:tc>
          <w:tcPr>
            <w:tcW w:w="1170" w:type="dxa"/>
            <w:shd w:val="clear" w:color="auto" w:fill="auto"/>
          </w:tcPr>
          <w:p w:rsidR="004E0821" w:rsidRPr="00AC3E56" w:rsidP="005741F7" w14:paraId="669F093B" w14:textId="77777777">
            <w:pPr>
              <w:jc w:val="right"/>
              <w:rPr>
                <w:sz w:val="20"/>
                <w:szCs w:val="20"/>
              </w:rPr>
            </w:pPr>
            <w:r w:rsidRPr="00AC3E56">
              <w:rPr>
                <w:sz w:val="20"/>
                <w:szCs w:val="20"/>
              </w:rPr>
              <w:t xml:space="preserve">0.12 </w:t>
            </w:r>
          </w:p>
          <w:p w:rsidR="004E0821" w:rsidRPr="00AC3E56" w:rsidP="005741F7" w14:paraId="7E3209E6" w14:textId="77777777">
            <w:pPr>
              <w:jc w:val="right"/>
              <w:rPr>
                <w:sz w:val="20"/>
                <w:szCs w:val="20"/>
              </w:rPr>
            </w:pPr>
            <w:r w:rsidRPr="00AC3E56">
              <w:rPr>
                <w:sz w:val="20"/>
                <w:szCs w:val="20"/>
              </w:rPr>
              <w:t>(7 minutes)</w:t>
            </w:r>
          </w:p>
        </w:tc>
        <w:tc>
          <w:tcPr>
            <w:tcW w:w="1170" w:type="dxa"/>
            <w:shd w:val="clear" w:color="auto" w:fill="auto"/>
          </w:tcPr>
          <w:p w:rsidR="004E0821" w:rsidRPr="00A7694A" w:rsidP="005741F7" w14:paraId="60B2CB37" w14:textId="7D4AE8BA">
            <w:pPr>
              <w:jc w:val="right"/>
              <w:rPr>
                <w:sz w:val="20"/>
                <w:szCs w:val="20"/>
                <w:vertAlign w:val="superscript"/>
              </w:rPr>
            </w:pPr>
            <w:r w:rsidRPr="00AC3E56">
              <w:rPr>
                <w:sz w:val="20"/>
                <w:szCs w:val="20"/>
              </w:rPr>
              <w:t>29</w:t>
            </w:r>
          </w:p>
        </w:tc>
      </w:tr>
      <w:tr w14:paraId="385A5EE4" w14:textId="77777777" w:rsidTr="00A7694A">
        <w:tblPrEx>
          <w:tblW w:w="9720" w:type="dxa"/>
          <w:tblInd w:w="85" w:type="dxa"/>
          <w:tblLayout w:type="fixed"/>
          <w:tblLook w:val="01E0"/>
        </w:tblPrEx>
        <w:trPr>
          <w:cantSplit/>
          <w:trHeight w:val="413"/>
        </w:trPr>
        <w:tc>
          <w:tcPr>
            <w:tcW w:w="3173" w:type="dxa"/>
            <w:shd w:val="clear" w:color="auto" w:fill="auto"/>
          </w:tcPr>
          <w:p w:rsidR="004E0821" w:rsidRPr="00AC3E56" w:rsidP="005741F7" w14:paraId="7959D017" w14:textId="77777777">
            <w:pPr>
              <w:rPr>
                <w:sz w:val="20"/>
                <w:szCs w:val="20"/>
              </w:rPr>
            </w:pPr>
            <w:r w:rsidRPr="00AC3E56">
              <w:rPr>
                <w:sz w:val="20"/>
                <w:szCs w:val="20"/>
              </w:rPr>
              <w:t>Total</w:t>
            </w:r>
          </w:p>
        </w:tc>
        <w:tc>
          <w:tcPr>
            <w:tcW w:w="1327" w:type="dxa"/>
            <w:shd w:val="clear" w:color="auto" w:fill="auto"/>
          </w:tcPr>
          <w:p w:rsidR="004E0821" w:rsidRPr="00AC3E56" w:rsidP="005741F7" w14:paraId="0590F287" w14:textId="77777777">
            <w:pPr>
              <w:jc w:val="right"/>
              <w:rPr>
                <w:sz w:val="20"/>
                <w:szCs w:val="20"/>
              </w:rPr>
            </w:pPr>
            <w:r w:rsidRPr="00AC3E56">
              <w:rPr>
                <w:sz w:val="20"/>
                <w:szCs w:val="20"/>
              </w:rPr>
              <w:t>351</w:t>
            </w:r>
          </w:p>
        </w:tc>
        <w:tc>
          <w:tcPr>
            <w:tcW w:w="4050" w:type="dxa"/>
            <w:gridSpan w:val="3"/>
            <w:shd w:val="clear" w:color="auto" w:fill="auto"/>
          </w:tcPr>
          <w:p w:rsidR="004E0821" w:rsidRPr="00AC3E56" w:rsidP="005741F7" w14:paraId="24B4D560" w14:textId="77777777">
            <w:pPr>
              <w:jc w:val="right"/>
              <w:rPr>
                <w:sz w:val="20"/>
                <w:szCs w:val="20"/>
              </w:rPr>
            </w:pPr>
          </w:p>
        </w:tc>
        <w:tc>
          <w:tcPr>
            <w:tcW w:w="1170" w:type="dxa"/>
            <w:shd w:val="clear" w:color="auto" w:fill="auto"/>
          </w:tcPr>
          <w:p w:rsidR="004E0821" w:rsidRPr="00AC3E56" w:rsidP="005741F7" w14:paraId="486A7D6B" w14:textId="77777777">
            <w:pPr>
              <w:jc w:val="right"/>
              <w:rPr>
                <w:sz w:val="20"/>
                <w:szCs w:val="20"/>
                <w:vertAlign w:val="superscript"/>
              </w:rPr>
            </w:pPr>
            <w:r w:rsidRPr="00AC3E56">
              <w:rPr>
                <w:sz w:val="20"/>
                <w:szCs w:val="20"/>
              </w:rPr>
              <w:t>42</w:t>
            </w:r>
          </w:p>
        </w:tc>
      </w:tr>
    </w:tbl>
    <w:p w:rsidR="009A0499" w:rsidRPr="00B94356" w:rsidP="009A0499" w14:paraId="07116511" w14:textId="77777777">
      <w:pPr>
        <w:spacing w:after="200"/>
        <w:ind w:left="360"/>
        <w:rPr>
          <w:rFonts w:eastAsia="Calibri"/>
          <w:sz w:val="20"/>
          <w:szCs w:val="20"/>
        </w:rPr>
      </w:pPr>
      <w:r w:rsidRPr="00B94356">
        <w:rPr>
          <w:rFonts w:eastAsia="Calibri"/>
          <w:sz w:val="20"/>
          <w:szCs w:val="20"/>
          <w:vertAlign w:val="superscript"/>
        </w:rPr>
        <w:t>1</w:t>
      </w:r>
      <w:r w:rsidRPr="00B94356">
        <w:rPr>
          <w:rFonts w:eastAsia="Calibri"/>
          <w:sz w:val="20"/>
          <w:szCs w:val="20"/>
        </w:rPr>
        <w:t>Totals may not sum due to rounding.</w:t>
      </w:r>
    </w:p>
    <w:p w:rsidR="004E0821" w:rsidP="004E0821" w14:paraId="36691A24" w14:textId="77777777">
      <w:pPr>
        <w:jc w:val="center"/>
      </w:pPr>
    </w:p>
    <w:p w:rsidR="004473DC" w:rsidP="009A0499" w14:paraId="462010DA" w14:textId="1A84486B">
      <w:pPr>
        <w:ind w:left="450"/>
      </w:pPr>
      <w:r>
        <w:t xml:space="preserve">The number of respondents is based on the average number of notifications we have received over the past 3 years. </w:t>
      </w:r>
      <w:r w:rsidR="009A0499">
        <w:t xml:space="preserve"> </w:t>
      </w:r>
      <w:r>
        <w:t>Additional reporting burdens for current VFD drug sponsors are approved under OMB control numbers 0910–0032 (New Animal Drug Applications) and 0910–0669 (Abbreviated New Animal Drug Applications).</w:t>
      </w:r>
    </w:p>
    <w:p w:rsidR="004E0821" w:rsidRPr="00F946B1" w:rsidP="004E0821" w14:paraId="58CB066F" w14:textId="77777777">
      <w:pPr>
        <w:jc w:val="center"/>
      </w:pPr>
    </w:p>
    <w:p w:rsidR="004E0821" w:rsidRPr="00A7694A" w:rsidP="004E0821" w14:paraId="38AEA66C" w14:textId="042392B5">
      <w:pPr>
        <w:jc w:val="center"/>
        <w:rPr>
          <w:sz w:val="20"/>
          <w:szCs w:val="20"/>
        </w:rPr>
      </w:pPr>
      <w:r w:rsidRPr="00A7694A">
        <w:rPr>
          <w:sz w:val="20"/>
          <w:szCs w:val="20"/>
        </w:rPr>
        <w:t xml:space="preserve">Table </w:t>
      </w:r>
      <w:r w:rsidRPr="00A7694A">
        <w:rPr>
          <w:sz w:val="20"/>
          <w:szCs w:val="20"/>
        </w:rPr>
        <w:t>2.--</w:t>
      </w:r>
      <w:r w:rsidRPr="00A7694A">
        <w:rPr>
          <w:sz w:val="20"/>
          <w:szCs w:val="20"/>
        </w:rPr>
        <w:t>Estimated Annual Recordkeeping Burden</w:t>
      </w:r>
      <w:r w:rsidRPr="00B94356" w:rsidR="009A0499">
        <w:rPr>
          <w:sz w:val="20"/>
          <w:szCs w:val="20"/>
          <w:vertAlign w:val="superscript"/>
        </w:rPr>
        <w:t>1</w:t>
      </w:r>
    </w:p>
    <w:tbl>
      <w:tblPr>
        <w:tblW w:w="511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442"/>
        <w:gridCol w:w="1351"/>
        <w:gridCol w:w="1168"/>
        <w:gridCol w:w="1441"/>
        <w:gridCol w:w="898"/>
      </w:tblGrid>
      <w:tr w14:paraId="1436F313" w14:textId="77777777" w:rsidTr="00A7694A">
        <w:tblPrEx>
          <w:tblW w:w="511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73"/>
          <w:tblHeader/>
        </w:trPr>
        <w:tc>
          <w:tcPr>
            <w:tcW w:w="1759" w:type="pct"/>
            <w:shd w:val="clear" w:color="auto" w:fill="auto"/>
          </w:tcPr>
          <w:p w:rsidR="004E0821" w:rsidRPr="00A7694A" w:rsidP="005741F7" w14:paraId="1F335414" w14:textId="77777777">
            <w:pPr>
              <w:keepNext/>
              <w:jc w:val="center"/>
              <w:rPr>
                <w:sz w:val="20"/>
                <w:szCs w:val="20"/>
              </w:rPr>
            </w:pPr>
            <w:r w:rsidRPr="00A7694A">
              <w:rPr>
                <w:sz w:val="20"/>
                <w:szCs w:val="20"/>
              </w:rPr>
              <w:t>21 CFR Part/Activity</w:t>
            </w:r>
          </w:p>
        </w:tc>
        <w:tc>
          <w:tcPr>
            <w:tcW w:w="742" w:type="pct"/>
            <w:shd w:val="clear" w:color="auto" w:fill="auto"/>
          </w:tcPr>
          <w:p w:rsidR="004E0821" w:rsidRPr="00A7694A" w:rsidP="005741F7" w14:paraId="0F2D4AC0" w14:textId="77777777">
            <w:pPr>
              <w:keepNext/>
              <w:jc w:val="center"/>
              <w:rPr>
                <w:sz w:val="20"/>
                <w:szCs w:val="20"/>
              </w:rPr>
            </w:pPr>
            <w:r w:rsidRPr="00A7694A">
              <w:rPr>
                <w:sz w:val="20"/>
                <w:szCs w:val="20"/>
              </w:rPr>
              <w:t>No. of Recordkeepers</w:t>
            </w:r>
          </w:p>
        </w:tc>
        <w:tc>
          <w:tcPr>
            <w:tcW w:w="695" w:type="pct"/>
            <w:shd w:val="clear" w:color="auto" w:fill="auto"/>
          </w:tcPr>
          <w:p w:rsidR="004E0821" w:rsidRPr="00A7694A" w:rsidP="005741F7" w14:paraId="5799662A" w14:textId="77777777">
            <w:pPr>
              <w:keepNext/>
              <w:jc w:val="center"/>
              <w:rPr>
                <w:sz w:val="20"/>
                <w:szCs w:val="20"/>
              </w:rPr>
            </w:pPr>
            <w:r w:rsidRPr="00A7694A">
              <w:rPr>
                <w:bCs/>
                <w:sz w:val="20"/>
                <w:szCs w:val="20"/>
              </w:rPr>
              <w:t>No. of Records per Recordkeeper</w:t>
            </w:r>
          </w:p>
        </w:tc>
        <w:tc>
          <w:tcPr>
            <w:tcW w:w="601" w:type="pct"/>
            <w:shd w:val="clear" w:color="auto" w:fill="auto"/>
          </w:tcPr>
          <w:p w:rsidR="004E0821" w:rsidRPr="00A7694A" w:rsidP="005741F7" w14:paraId="32F13EDD" w14:textId="77777777">
            <w:pPr>
              <w:keepNext/>
              <w:jc w:val="center"/>
              <w:rPr>
                <w:sz w:val="20"/>
                <w:szCs w:val="20"/>
              </w:rPr>
            </w:pPr>
            <w:r w:rsidRPr="00A7694A">
              <w:rPr>
                <w:sz w:val="20"/>
                <w:szCs w:val="20"/>
              </w:rPr>
              <w:t>Total Annual Records</w:t>
            </w:r>
          </w:p>
        </w:tc>
        <w:tc>
          <w:tcPr>
            <w:tcW w:w="741" w:type="pct"/>
            <w:shd w:val="clear" w:color="auto" w:fill="auto"/>
          </w:tcPr>
          <w:p w:rsidR="004E0821" w:rsidRPr="00A7694A" w:rsidP="005741F7" w14:paraId="6C056373" w14:textId="77777777">
            <w:pPr>
              <w:keepNext/>
              <w:jc w:val="center"/>
              <w:rPr>
                <w:sz w:val="20"/>
                <w:szCs w:val="20"/>
              </w:rPr>
            </w:pPr>
            <w:r w:rsidRPr="00A7694A">
              <w:rPr>
                <w:bCs/>
                <w:sz w:val="20"/>
                <w:szCs w:val="20"/>
              </w:rPr>
              <w:t>Average Burden per Recordkeeping</w:t>
            </w:r>
          </w:p>
        </w:tc>
        <w:tc>
          <w:tcPr>
            <w:tcW w:w="462" w:type="pct"/>
            <w:shd w:val="clear" w:color="auto" w:fill="auto"/>
          </w:tcPr>
          <w:p w:rsidR="004E0821" w:rsidRPr="00A7694A" w:rsidP="005741F7" w14:paraId="25C51157" w14:textId="77777777">
            <w:pPr>
              <w:keepNext/>
              <w:jc w:val="center"/>
              <w:rPr>
                <w:sz w:val="20"/>
                <w:szCs w:val="20"/>
              </w:rPr>
            </w:pPr>
            <w:r w:rsidRPr="00A7694A">
              <w:rPr>
                <w:sz w:val="20"/>
                <w:szCs w:val="20"/>
              </w:rPr>
              <w:t>Total Hours</w:t>
            </w:r>
          </w:p>
        </w:tc>
      </w:tr>
      <w:tr w14:paraId="51EE6B5F" w14:textId="77777777" w:rsidTr="00A7694A">
        <w:tblPrEx>
          <w:tblW w:w="5119" w:type="pct"/>
          <w:tblInd w:w="85" w:type="dxa"/>
          <w:tblLayout w:type="fixed"/>
          <w:tblLook w:val="01E0"/>
        </w:tblPrEx>
        <w:trPr>
          <w:trHeight w:val="800"/>
        </w:trPr>
        <w:tc>
          <w:tcPr>
            <w:tcW w:w="1759" w:type="pct"/>
            <w:shd w:val="clear" w:color="auto" w:fill="auto"/>
          </w:tcPr>
          <w:p w:rsidR="004E0821" w:rsidRPr="00A7694A" w:rsidP="005741F7" w14:paraId="1B17E9C9" w14:textId="77777777">
            <w:pPr>
              <w:keepNext/>
              <w:rPr>
                <w:sz w:val="20"/>
                <w:szCs w:val="20"/>
              </w:rPr>
            </w:pPr>
            <w:r w:rsidRPr="00A7694A">
              <w:rPr>
                <w:sz w:val="20"/>
                <w:szCs w:val="20"/>
              </w:rPr>
              <w:t>558.6(a)(4), (c)(3), (4), and (8); requires recordkeeping by veterinarians, producers, and distributors to maintain their copy of the VFD Order, their receipt and distribution records, and their manufacturing records and acknowledgement letters, if applicable, for two years.</w:t>
            </w:r>
            <w:r w:rsidRPr="00A7694A">
              <w:rPr>
                <w:sz w:val="20"/>
                <w:szCs w:val="20"/>
              </w:rPr>
              <w:tab/>
            </w:r>
          </w:p>
        </w:tc>
        <w:tc>
          <w:tcPr>
            <w:tcW w:w="742" w:type="pct"/>
            <w:shd w:val="clear" w:color="auto" w:fill="auto"/>
          </w:tcPr>
          <w:p w:rsidR="004E0821" w:rsidRPr="00A7694A" w:rsidP="005741F7" w14:paraId="7F707B3D" w14:textId="77777777">
            <w:pPr>
              <w:keepNext/>
              <w:jc w:val="right"/>
              <w:rPr>
                <w:sz w:val="20"/>
                <w:szCs w:val="20"/>
              </w:rPr>
            </w:pPr>
            <w:r w:rsidRPr="00A7694A">
              <w:rPr>
                <w:sz w:val="20"/>
                <w:szCs w:val="20"/>
              </w:rPr>
              <w:t>30,800</w:t>
            </w:r>
          </w:p>
        </w:tc>
        <w:tc>
          <w:tcPr>
            <w:tcW w:w="695" w:type="pct"/>
            <w:shd w:val="clear" w:color="auto" w:fill="auto"/>
          </w:tcPr>
          <w:p w:rsidR="004E0821" w:rsidRPr="00A7694A" w:rsidP="005741F7" w14:paraId="1934CE58" w14:textId="77777777">
            <w:pPr>
              <w:keepNext/>
              <w:jc w:val="right"/>
              <w:rPr>
                <w:sz w:val="20"/>
                <w:szCs w:val="20"/>
              </w:rPr>
            </w:pPr>
            <w:r w:rsidRPr="00A7694A">
              <w:rPr>
                <w:sz w:val="20"/>
                <w:szCs w:val="20"/>
              </w:rPr>
              <w:t>219.03</w:t>
            </w:r>
          </w:p>
        </w:tc>
        <w:tc>
          <w:tcPr>
            <w:tcW w:w="601" w:type="pct"/>
            <w:shd w:val="clear" w:color="auto" w:fill="auto"/>
          </w:tcPr>
          <w:p w:rsidR="004E0821" w:rsidRPr="00A7694A" w:rsidP="005741F7" w14:paraId="19DCD120" w14:textId="77777777">
            <w:pPr>
              <w:keepNext/>
              <w:jc w:val="right"/>
              <w:rPr>
                <w:sz w:val="20"/>
                <w:szCs w:val="20"/>
              </w:rPr>
            </w:pPr>
            <w:r w:rsidRPr="00A7694A">
              <w:rPr>
                <w:sz w:val="20"/>
                <w:szCs w:val="20"/>
              </w:rPr>
              <w:t>6,746,096</w:t>
            </w:r>
          </w:p>
        </w:tc>
        <w:tc>
          <w:tcPr>
            <w:tcW w:w="741" w:type="pct"/>
            <w:shd w:val="clear" w:color="auto" w:fill="auto"/>
          </w:tcPr>
          <w:p w:rsidR="004E0821" w:rsidRPr="00A7694A" w:rsidP="005741F7" w14:paraId="474F7338" w14:textId="77777777">
            <w:pPr>
              <w:keepNext/>
              <w:jc w:val="right"/>
              <w:rPr>
                <w:sz w:val="20"/>
                <w:szCs w:val="20"/>
              </w:rPr>
            </w:pPr>
            <w:r w:rsidRPr="00A7694A">
              <w:rPr>
                <w:sz w:val="20"/>
                <w:szCs w:val="20"/>
              </w:rPr>
              <w:t>0.02</w:t>
            </w:r>
          </w:p>
          <w:p w:rsidR="004E0821" w:rsidRPr="00A7694A" w:rsidP="005741F7" w14:paraId="4E0406D5" w14:textId="77777777">
            <w:pPr>
              <w:keepNext/>
              <w:jc w:val="right"/>
              <w:rPr>
                <w:sz w:val="20"/>
                <w:szCs w:val="20"/>
              </w:rPr>
            </w:pPr>
            <w:r w:rsidRPr="00A7694A">
              <w:rPr>
                <w:sz w:val="20"/>
                <w:szCs w:val="20"/>
              </w:rPr>
              <w:t>(1 minute)</w:t>
            </w:r>
          </w:p>
        </w:tc>
        <w:tc>
          <w:tcPr>
            <w:tcW w:w="462" w:type="pct"/>
            <w:shd w:val="clear" w:color="auto" w:fill="auto"/>
          </w:tcPr>
          <w:p w:rsidR="004E0821" w:rsidRPr="00A7694A" w:rsidP="005741F7" w14:paraId="0B86EAE8" w14:textId="77777777">
            <w:pPr>
              <w:keepNext/>
              <w:jc w:val="right"/>
              <w:rPr>
                <w:sz w:val="20"/>
                <w:szCs w:val="20"/>
              </w:rPr>
            </w:pPr>
            <w:r w:rsidRPr="00A7694A">
              <w:rPr>
                <w:sz w:val="20"/>
                <w:szCs w:val="20"/>
              </w:rPr>
              <w:t>134,922</w:t>
            </w:r>
          </w:p>
        </w:tc>
      </w:tr>
    </w:tbl>
    <w:p w:rsidR="009A0499" w:rsidRPr="00B94356" w:rsidP="009A0499" w14:paraId="5CAB78E0" w14:textId="77777777">
      <w:pPr>
        <w:spacing w:after="200"/>
        <w:ind w:left="360"/>
        <w:rPr>
          <w:rFonts w:eastAsia="Calibri"/>
          <w:sz w:val="20"/>
          <w:szCs w:val="20"/>
        </w:rPr>
      </w:pPr>
      <w:r w:rsidRPr="00B94356">
        <w:rPr>
          <w:rFonts w:eastAsia="Calibri"/>
          <w:sz w:val="20"/>
          <w:szCs w:val="20"/>
          <w:vertAlign w:val="superscript"/>
        </w:rPr>
        <w:t>1</w:t>
      </w:r>
      <w:r w:rsidRPr="00B94356">
        <w:rPr>
          <w:rFonts w:eastAsia="Calibri"/>
          <w:sz w:val="20"/>
          <w:szCs w:val="20"/>
        </w:rPr>
        <w:t>Totals may not sum due to rounding.</w:t>
      </w:r>
    </w:p>
    <w:p w:rsidR="004473DC" w:rsidRPr="004473DC" w:rsidP="0022401E" w14:paraId="209310CC" w14:textId="4D9D9727">
      <w:pPr>
        <w:spacing w:after="200"/>
        <w:ind w:left="360"/>
      </w:pPr>
      <w:r w:rsidRPr="004473DC">
        <w:t>FDA’s guidance document, “GFI # 213 New Animal Drugs and New Animal Drug Combination Products Administered in or on Medicated Feed or Drinking Water of Food-Producing Animals: Recommendations for Drug Sponsors for Voluntarily Aligning Product Use Conditions with GFI #209,” (December 2013) (</w:t>
      </w:r>
      <w:hyperlink r:id="rId11" w:history="1">
        <w:r w:rsidRPr="002F3040" w:rsidR="0022401E">
          <w:rPr>
            <w:rStyle w:val="Hyperlink"/>
          </w:rPr>
          <w:t>https://www.fda.gov/regulatory-information/search-fda-guidance-documents/cvm-gfi-213-new-animal-drugs-and-new-animal-drug-combination-products-administered-or-medicated-feed</w:t>
        </w:r>
      </w:hyperlink>
      <w:r w:rsidRPr="004473DC">
        <w:t xml:space="preserve">) describes a voluntary process wherein sponsors of new animal drugs used in and on animal feed and in water changed the marketing status of these drugs from over-the-counter to VFD.  As a result of this voluntary process, which occurred in January 2017, the number of establishments distributing feeds containing VFD drugs increased, as well as the number of veterinarians issuing VFDs, and the number of food animal producers using VFD medicated feed.  Thus, based on the current number of mixed practice veterinarians and the number of food animal veterinarians listed on the American Veterinary Medical Association’s website, we have increased the number of recordkeepers for veterinarians and producers. </w:t>
      </w:r>
    </w:p>
    <w:p w:rsidR="004473DC" w:rsidRPr="004473DC" w:rsidP="004473DC" w14:paraId="44F82C5D" w14:textId="77777777">
      <w:pPr>
        <w:spacing w:after="200"/>
        <w:ind w:left="360"/>
      </w:pPr>
      <w:r w:rsidRPr="004473DC">
        <w:t xml:space="preserve">Additionally, based on our program experience, we have decreased the number of records per recordkeeper, as we believe the previous numbers were too high.  The burden we attribute to recordkeeping activities is assumed to be distributed among the individual elements and averaged among respondents.  </w:t>
      </w:r>
    </w:p>
    <w:p w:rsidR="004473DC" w:rsidRPr="004473DC" w:rsidP="004473DC" w14:paraId="7FCAC5D8" w14:textId="77777777">
      <w:pPr>
        <w:spacing w:after="200"/>
        <w:ind w:left="360"/>
      </w:pPr>
      <w:r w:rsidRPr="004473DC">
        <w:t>In addition to the recordkeeping requirement under 558.6(c)(3), if a distributor manufactures the VFD feed, the distributor must also keep VFD manufacturing records for 1 year in accordance with 21 CFR part 225 and such records must be made available for inspection and copying by FDA upon request (§ 558.6(c)(4)). These record requirements are currently approved under OMB control number 0910-0152, “Current Good Manufacturing Practice Regulations for Medicated Feed.”</w:t>
      </w:r>
    </w:p>
    <w:p w:rsidR="004E0821" w:rsidP="0022425B" w14:paraId="7E44E63C" w14:textId="5FDAF235">
      <w:pPr>
        <w:spacing w:after="200"/>
        <w:ind w:left="360"/>
        <w:rPr>
          <w:rFonts w:eastAsia="Calibri"/>
        </w:rPr>
      </w:pPr>
      <w:r>
        <w:t>While we have kept the number of distributors at 9,688, w</w:t>
      </w:r>
      <w:r w:rsidR="00D86D9B">
        <w:t>e have increased the number of recordkeepers for veterinarians and producers to 21,112</w:t>
      </w:r>
      <w:r>
        <w:t xml:space="preserve"> (9,688 + 21,112 = 30,800)</w:t>
      </w:r>
      <w:r w:rsidR="00D86D9B">
        <w:t>.  Based on the current number of mixed practice veterinarians and the number of food animal veterinarians listed on the American Veterinary Medical Association’s website (3,934 + 3,606</w:t>
      </w:r>
      <w:r w:rsidR="00DC01C6">
        <w:t xml:space="preserve"> </w:t>
      </w:r>
      <w:r w:rsidR="00D86D9B">
        <w:t>= 7,540).  We estimate 70% of those veterinarians would write VFDs (7,540 x 70% = 5,278).  We estimate there are three producers per veterinarian (5,278 x 3 = 15,834) (5,278 + 15,834 = 21,112).</w:t>
      </w:r>
    </w:p>
    <w:p w:rsidR="00BF4AC8" w:rsidP="004E0821" w14:paraId="68DC0327" w14:textId="77777777">
      <w:pPr>
        <w:pStyle w:val="BodyText2"/>
        <w:jc w:val="center"/>
        <w:rPr>
          <w:sz w:val="20"/>
        </w:rPr>
      </w:pPr>
    </w:p>
    <w:p w:rsidR="00BF4AC8" w:rsidP="004E0821" w14:paraId="12B6D7A7" w14:textId="77777777">
      <w:pPr>
        <w:pStyle w:val="BodyText2"/>
        <w:jc w:val="center"/>
        <w:rPr>
          <w:sz w:val="20"/>
        </w:rPr>
      </w:pPr>
    </w:p>
    <w:p w:rsidR="004E0821" w:rsidRPr="00A7694A" w:rsidP="004E0821" w14:paraId="53C90FF6" w14:textId="33605C04">
      <w:pPr>
        <w:pStyle w:val="BodyText2"/>
        <w:jc w:val="center"/>
        <w:rPr>
          <w:sz w:val="20"/>
        </w:rPr>
      </w:pPr>
      <w:r w:rsidRPr="00A7694A">
        <w:rPr>
          <w:sz w:val="20"/>
        </w:rPr>
        <w:t xml:space="preserve">Table </w:t>
      </w:r>
      <w:r w:rsidRPr="00A7694A">
        <w:rPr>
          <w:sz w:val="20"/>
        </w:rPr>
        <w:t>3.--</w:t>
      </w:r>
      <w:r w:rsidRPr="00A7694A">
        <w:rPr>
          <w:sz w:val="20"/>
        </w:rPr>
        <w:t>Estimated Annual Third-Party Disclosure Burden</w:t>
      </w:r>
      <w:r w:rsidRPr="00B94356" w:rsidR="009A0499">
        <w:rPr>
          <w:sz w:val="20"/>
          <w:vertAlign w:val="superscript"/>
        </w:rPr>
        <w:t>1</w:t>
      </w:r>
    </w:p>
    <w:tbl>
      <w:tblPr>
        <w:tblW w:w="523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6"/>
        <w:gridCol w:w="1495"/>
        <w:gridCol w:w="1674"/>
        <w:gridCol w:w="1316"/>
        <w:gridCol w:w="1409"/>
        <w:gridCol w:w="1400"/>
      </w:tblGrid>
      <w:tr w14:paraId="191ADF46" w14:textId="77777777" w:rsidTr="00A7694A">
        <w:tblPrEx>
          <w:tblW w:w="523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82"/>
          <w:tblHeader/>
        </w:trPr>
        <w:tc>
          <w:tcPr>
            <w:tcW w:w="1331" w:type="pct"/>
          </w:tcPr>
          <w:p w:rsidR="004E0821" w:rsidRPr="00A7694A" w:rsidP="005741F7" w14:paraId="63763D89" w14:textId="77777777">
            <w:pPr>
              <w:jc w:val="center"/>
              <w:rPr>
                <w:sz w:val="20"/>
                <w:szCs w:val="20"/>
              </w:rPr>
            </w:pPr>
            <w:r w:rsidRPr="00A7694A">
              <w:rPr>
                <w:sz w:val="20"/>
                <w:szCs w:val="20"/>
              </w:rPr>
              <w:t>21 CFR Part/Activity</w:t>
            </w:r>
          </w:p>
        </w:tc>
        <w:tc>
          <w:tcPr>
            <w:tcW w:w="752" w:type="pct"/>
          </w:tcPr>
          <w:p w:rsidR="004E0821" w:rsidRPr="00A7694A" w:rsidP="005741F7" w14:paraId="4A23A38F" w14:textId="77777777">
            <w:pPr>
              <w:jc w:val="center"/>
              <w:rPr>
                <w:sz w:val="20"/>
                <w:szCs w:val="20"/>
              </w:rPr>
            </w:pPr>
            <w:r w:rsidRPr="00A7694A">
              <w:rPr>
                <w:sz w:val="20"/>
                <w:szCs w:val="20"/>
              </w:rPr>
              <w:t>No. of Respondents</w:t>
            </w:r>
          </w:p>
        </w:tc>
        <w:tc>
          <w:tcPr>
            <w:tcW w:w="842" w:type="pct"/>
          </w:tcPr>
          <w:p w:rsidR="004E0821" w:rsidRPr="00A7694A" w:rsidP="005741F7" w14:paraId="54468947" w14:textId="77777777">
            <w:pPr>
              <w:jc w:val="center"/>
              <w:rPr>
                <w:sz w:val="20"/>
                <w:szCs w:val="20"/>
              </w:rPr>
            </w:pPr>
            <w:r w:rsidRPr="00A7694A">
              <w:rPr>
                <w:bCs/>
                <w:sz w:val="20"/>
                <w:szCs w:val="20"/>
              </w:rPr>
              <w:t>No. of Disclosures per Respondent</w:t>
            </w:r>
          </w:p>
        </w:tc>
        <w:tc>
          <w:tcPr>
            <w:tcW w:w="662" w:type="pct"/>
          </w:tcPr>
          <w:p w:rsidR="004E0821" w:rsidRPr="00A7694A" w:rsidP="005741F7" w14:paraId="310D4AF3" w14:textId="77777777">
            <w:pPr>
              <w:jc w:val="center"/>
              <w:rPr>
                <w:sz w:val="20"/>
                <w:szCs w:val="20"/>
              </w:rPr>
            </w:pPr>
            <w:r w:rsidRPr="00A7694A">
              <w:rPr>
                <w:sz w:val="20"/>
                <w:szCs w:val="20"/>
              </w:rPr>
              <w:t>Total Annual Disclosures</w:t>
            </w:r>
          </w:p>
        </w:tc>
        <w:tc>
          <w:tcPr>
            <w:tcW w:w="709" w:type="pct"/>
          </w:tcPr>
          <w:p w:rsidR="004E0821" w:rsidRPr="00A7694A" w:rsidP="005741F7" w14:paraId="6601242B" w14:textId="77777777">
            <w:pPr>
              <w:jc w:val="center"/>
              <w:rPr>
                <w:sz w:val="20"/>
                <w:szCs w:val="20"/>
              </w:rPr>
            </w:pPr>
            <w:r w:rsidRPr="00A7694A">
              <w:rPr>
                <w:bCs/>
                <w:sz w:val="20"/>
                <w:szCs w:val="20"/>
              </w:rPr>
              <w:t>Average Burden per Disclosure</w:t>
            </w:r>
          </w:p>
        </w:tc>
        <w:tc>
          <w:tcPr>
            <w:tcW w:w="704" w:type="pct"/>
          </w:tcPr>
          <w:p w:rsidR="004E0821" w:rsidRPr="00A7694A" w:rsidP="005741F7" w14:paraId="54D561EF" w14:textId="77777777">
            <w:pPr>
              <w:jc w:val="center"/>
              <w:rPr>
                <w:sz w:val="20"/>
                <w:szCs w:val="20"/>
              </w:rPr>
            </w:pPr>
            <w:r w:rsidRPr="00A7694A">
              <w:rPr>
                <w:sz w:val="20"/>
                <w:szCs w:val="20"/>
              </w:rPr>
              <w:t>Total Hours</w:t>
            </w:r>
          </w:p>
        </w:tc>
      </w:tr>
      <w:tr w14:paraId="62E35CFB" w14:textId="77777777" w:rsidTr="00A7694A">
        <w:tblPrEx>
          <w:tblW w:w="5235" w:type="pct"/>
          <w:tblInd w:w="85" w:type="dxa"/>
          <w:tblLayout w:type="fixed"/>
          <w:tblLook w:val="01E0"/>
        </w:tblPrEx>
        <w:trPr>
          <w:cantSplit/>
          <w:trHeight w:val="944"/>
        </w:trPr>
        <w:tc>
          <w:tcPr>
            <w:tcW w:w="1331" w:type="pct"/>
          </w:tcPr>
          <w:p w:rsidR="004E0821" w:rsidRPr="00A7694A" w:rsidP="005741F7" w14:paraId="36F444EA" w14:textId="77777777">
            <w:pPr>
              <w:rPr>
                <w:sz w:val="20"/>
                <w:szCs w:val="20"/>
              </w:rPr>
            </w:pPr>
            <w:r w:rsidRPr="00A7694A">
              <w:rPr>
                <w:sz w:val="20"/>
                <w:szCs w:val="20"/>
              </w:rPr>
              <w:t>558.6(b)(3)-(5) and (b)(7)-(9); requires veterinarians to disclose information on a VFD</w:t>
            </w:r>
            <w:r w:rsidRPr="00A7694A">
              <w:rPr>
                <w:sz w:val="20"/>
                <w:szCs w:val="20"/>
              </w:rPr>
              <w:tab/>
            </w:r>
          </w:p>
        </w:tc>
        <w:tc>
          <w:tcPr>
            <w:tcW w:w="752" w:type="pct"/>
          </w:tcPr>
          <w:p w:rsidR="004E0821" w:rsidRPr="00A7694A" w:rsidP="005741F7" w14:paraId="54049F98" w14:textId="77777777">
            <w:pPr>
              <w:jc w:val="right"/>
              <w:rPr>
                <w:sz w:val="20"/>
                <w:szCs w:val="20"/>
              </w:rPr>
            </w:pPr>
            <w:r w:rsidRPr="00A7694A">
              <w:rPr>
                <w:sz w:val="20"/>
                <w:szCs w:val="20"/>
              </w:rPr>
              <w:t>5,278</w:t>
            </w:r>
          </w:p>
        </w:tc>
        <w:tc>
          <w:tcPr>
            <w:tcW w:w="842" w:type="pct"/>
          </w:tcPr>
          <w:p w:rsidR="004E0821" w:rsidRPr="00A7694A" w:rsidP="005741F7" w14:paraId="506B7B36" w14:textId="77777777">
            <w:pPr>
              <w:jc w:val="right"/>
              <w:rPr>
                <w:sz w:val="20"/>
                <w:szCs w:val="20"/>
              </w:rPr>
            </w:pPr>
            <w:r w:rsidRPr="00A7694A">
              <w:rPr>
                <w:sz w:val="20"/>
                <w:szCs w:val="20"/>
              </w:rPr>
              <w:t>40</w:t>
            </w:r>
          </w:p>
        </w:tc>
        <w:tc>
          <w:tcPr>
            <w:tcW w:w="662" w:type="pct"/>
          </w:tcPr>
          <w:p w:rsidR="004E0821" w:rsidRPr="00A7694A" w:rsidP="005741F7" w14:paraId="46629D29" w14:textId="77777777">
            <w:pPr>
              <w:jc w:val="right"/>
              <w:rPr>
                <w:sz w:val="20"/>
                <w:szCs w:val="20"/>
              </w:rPr>
            </w:pPr>
            <w:r w:rsidRPr="00A7694A">
              <w:rPr>
                <w:sz w:val="20"/>
                <w:szCs w:val="20"/>
              </w:rPr>
              <w:t>211,120</w:t>
            </w:r>
          </w:p>
        </w:tc>
        <w:tc>
          <w:tcPr>
            <w:tcW w:w="709" w:type="pct"/>
          </w:tcPr>
          <w:p w:rsidR="004E0821" w:rsidRPr="00A7694A" w:rsidP="005741F7" w14:paraId="5033FFDE" w14:textId="77777777">
            <w:pPr>
              <w:jc w:val="right"/>
              <w:rPr>
                <w:sz w:val="20"/>
                <w:szCs w:val="20"/>
              </w:rPr>
            </w:pPr>
            <w:r w:rsidRPr="00A7694A">
              <w:rPr>
                <w:sz w:val="20"/>
                <w:szCs w:val="20"/>
              </w:rPr>
              <w:t xml:space="preserve">0.12 </w:t>
            </w:r>
          </w:p>
          <w:p w:rsidR="004E0821" w:rsidRPr="00A7694A" w:rsidP="005741F7" w14:paraId="75EBB68C" w14:textId="77777777">
            <w:pPr>
              <w:jc w:val="right"/>
              <w:rPr>
                <w:sz w:val="20"/>
                <w:szCs w:val="20"/>
              </w:rPr>
            </w:pPr>
            <w:r w:rsidRPr="00A7694A">
              <w:rPr>
                <w:sz w:val="20"/>
                <w:szCs w:val="20"/>
              </w:rPr>
              <w:t>(7 minutes)</w:t>
            </w:r>
          </w:p>
        </w:tc>
        <w:tc>
          <w:tcPr>
            <w:tcW w:w="704" w:type="pct"/>
          </w:tcPr>
          <w:p w:rsidR="004E0821" w:rsidRPr="00A7694A" w:rsidP="005741F7" w14:paraId="6EC6FCF6" w14:textId="77777777">
            <w:pPr>
              <w:jc w:val="right"/>
              <w:rPr>
                <w:sz w:val="20"/>
                <w:szCs w:val="20"/>
              </w:rPr>
            </w:pPr>
            <w:r w:rsidRPr="00A7694A">
              <w:rPr>
                <w:sz w:val="20"/>
                <w:szCs w:val="20"/>
              </w:rPr>
              <w:t>25,334</w:t>
            </w:r>
          </w:p>
        </w:tc>
      </w:tr>
      <w:tr w14:paraId="2FFE3822" w14:textId="77777777" w:rsidTr="00A7694A">
        <w:tblPrEx>
          <w:tblW w:w="5235" w:type="pct"/>
          <w:tblInd w:w="85" w:type="dxa"/>
          <w:tblLayout w:type="fixed"/>
          <w:tblLook w:val="01E0"/>
        </w:tblPrEx>
        <w:trPr>
          <w:cantSplit/>
          <w:trHeight w:val="656"/>
        </w:trPr>
        <w:tc>
          <w:tcPr>
            <w:tcW w:w="1331" w:type="pct"/>
          </w:tcPr>
          <w:p w:rsidR="004E0821" w:rsidRPr="00A7694A" w:rsidP="005741F7" w14:paraId="4772ED83" w14:textId="0C91AA9F">
            <w:pPr>
              <w:rPr>
                <w:sz w:val="20"/>
                <w:szCs w:val="20"/>
              </w:rPr>
            </w:pPr>
            <w:r w:rsidRPr="00A7694A">
              <w:rPr>
                <w:sz w:val="20"/>
                <w:szCs w:val="20"/>
              </w:rPr>
              <w:t xml:space="preserve">558.6(c)(8); requires acknowledgment letter from one distributor </w:t>
            </w:r>
            <w:r w:rsidRPr="00A7694A" w:rsidR="00A65225">
              <w:rPr>
                <w:sz w:val="20"/>
                <w:szCs w:val="20"/>
              </w:rPr>
              <w:t>to another</w:t>
            </w:r>
            <w:r w:rsidRPr="00A7694A">
              <w:rPr>
                <w:sz w:val="20"/>
                <w:szCs w:val="20"/>
              </w:rPr>
              <w:tab/>
            </w:r>
          </w:p>
        </w:tc>
        <w:tc>
          <w:tcPr>
            <w:tcW w:w="752" w:type="pct"/>
          </w:tcPr>
          <w:p w:rsidR="004E0821" w:rsidRPr="00A7694A" w:rsidP="005741F7" w14:paraId="1F0E9CC0" w14:textId="77777777">
            <w:pPr>
              <w:jc w:val="right"/>
              <w:rPr>
                <w:sz w:val="20"/>
                <w:szCs w:val="20"/>
              </w:rPr>
            </w:pPr>
            <w:r w:rsidRPr="00A7694A">
              <w:rPr>
                <w:sz w:val="20"/>
                <w:szCs w:val="20"/>
              </w:rPr>
              <w:t>2,422</w:t>
            </w:r>
          </w:p>
        </w:tc>
        <w:tc>
          <w:tcPr>
            <w:tcW w:w="842" w:type="pct"/>
          </w:tcPr>
          <w:p w:rsidR="004E0821" w:rsidRPr="00A7694A" w:rsidP="005741F7" w14:paraId="0EA02348" w14:textId="77777777">
            <w:pPr>
              <w:jc w:val="right"/>
              <w:rPr>
                <w:sz w:val="20"/>
                <w:szCs w:val="20"/>
              </w:rPr>
            </w:pPr>
            <w:r w:rsidRPr="00A7694A">
              <w:rPr>
                <w:sz w:val="20"/>
                <w:szCs w:val="20"/>
              </w:rPr>
              <w:t>5</w:t>
            </w:r>
          </w:p>
        </w:tc>
        <w:tc>
          <w:tcPr>
            <w:tcW w:w="662" w:type="pct"/>
          </w:tcPr>
          <w:p w:rsidR="004E0821" w:rsidRPr="00A7694A" w:rsidP="005741F7" w14:paraId="3076371B" w14:textId="77777777">
            <w:pPr>
              <w:jc w:val="right"/>
              <w:rPr>
                <w:sz w:val="20"/>
                <w:szCs w:val="20"/>
              </w:rPr>
            </w:pPr>
            <w:r w:rsidRPr="00A7694A">
              <w:rPr>
                <w:sz w:val="20"/>
                <w:szCs w:val="20"/>
              </w:rPr>
              <w:t>12,110</w:t>
            </w:r>
          </w:p>
        </w:tc>
        <w:tc>
          <w:tcPr>
            <w:tcW w:w="709" w:type="pct"/>
          </w:tcPr>
          <w:p w:rsidR="004E0821" w:rsidRPr="00A7694A" w:rsidP="005741F7" w14:paraId="422CD841" w14:textId="77777777">
            <w:pPr>
              <w:jc w:val="right"/>
              <w:rPr>
                <w:sz w:val="20"/>
                <w:szCs w:val="20"/>
              </w:rPr>
            </w:pPr>
            <w:r w:rsidRPr="00A7694A">
              <w:rPr>
                <w:sz w:val="20"/>
                <w:szCs w:val="20"/>
              </w:rPr>
              <w:t xml:space="preserve">0.12 </w:t>
            </w:r>
          </w:p>
          <w:p w:rsidR="004E0821" w:rsidRPr="00A7694A" w:rsidP="005741F7" w14:paraId="4D712076" w14:textId="77777777">
            <w:pPr>
              <w:jc w:val="right"/>
              <w:rPr>
                <w:sz w:val="20"/>
                <w:szCs w:val="20"/>
              </w:rPr>
            </w:pPr>
            <w:r w:rsidRPr="00A7694A">
              <w:rPr>
                <w:sz w:val="20"/>
                <w:szCs w:val="20"/>
              </w:rPr>
              <w:t>(7 minutes)</w:t>
            </w:r>
          </w:p>
        </w:tc>
        <w:tc>
          <w:tcPr>
            <w:tcW w:w="704" w:type="pct"/>
          </w:tcPr>
          <w:p w:rsidR="004E0821" w:rsidRPr="00A7694A" w:rsidP="005741F7" w14:paraId="07F72976" w14:textId="77777777">
            <w:pPr>
              <w:jc w:val="right"/>
              <w:rPr>
                <w:sz w:val="20"/>
                <w:szCs w:val="20"/>
              </w:rPr>
            </w:pPr>
            <w:r w:rsidRPr="00A7694A">
              <w:rPr>
                <w:sz w:val="20"/>
                <w:szCs w:val="20"/>
              </w:rPr>
              <w:t>1,453</w:t>
            </w:r>
          </w:p>
        </w:tc>
      </w:tr>
      <w:tr w14:paraId="74E19377" w14:textId="77777777" w:rsidTr="00A7694A">
        <w:tblPrEx>
          <w:tblW w:w="5235" w:type="pct"/>
          <w:tblInd w:w="85" w:type="dxa"/>
          <w:tblLayout w:type="fixed"/>
          <w:tblLook w:val="01E0"/>
        </w:tblPrEx>
        <w:trPr>
          <w:cantSplit/>
          <w:trHeight w:val="386"/>
        </w:trPr>
        <w:tc>
          <w:tcPr>
            <w:tcW w:w="1331" w:type="pct"/>
          </w:tcPr>
          <w:p w:rsidR="004E0821" w:rsidRPr="00A7694A" w:rsidP="005741F7" w14:paraId="46BC46E5" w14:textId="77777777">
            <w:pPr>
              <w:rPr>
                <w:sz w:val="20"/>
                <w:szCs w:val="20"/>
              </w:rPr>
            </w:pPr>
            <w:r w:rsidRPr="00A7694A">
              <w:rPr>
                <w:sz w:val="20"/>
                <w:szCs w:val="20"/>
              </w:rPr>
              <w:t>Total</w:t>
            </w:r>
          </w:p>
        </w:tc>
        <w:tc>
          <w:tcPr>
            <w:tcW w:w="752" w:type="pct"/>
          </w:tcPr>
          <w:p w:rsidR="004E0821" w:rsidRPr="00A7694A" w:rsidP="005741F7" w14:paraId="3FF8912A" w14:textId="77777777">
            <w:pPr>
              <w:jc w:val="right"/>
              <w:rPr>
                <w:sz w:val="20"/>
                <w:szCs w:val="20"/>
              </w:rPr>
            </w:pPr>
            <w:r w:rsidRPr="00A7694A">
              <w:rPr>
                <w:sz w:val="20"/>
                <w:szCs w:val="20"/>
              </w:rPr>
              <w:t>7,700</w:t>
            </w:r>
          </w:p>
        </w:tc>
        <w:tc>
          <w:tcPr>
            <w:tcW w:w="2213" w:type="pct"/>
            <w:gridSpan w:val="3"/>
          </w:tcPr>
          <w:p w:rsidR="004E0821" w:rsidRPr="00A7694A" w:rsidP="005741F7" w14:paraId="3DE5C728" w14:textId="77777777">
            <w:pPr>
              <w:jc w:val="right"/>
              <w:rPr>
                <w:sz w:val="20"/>
                <w:szCs w:val="20"/>
              </w:rPr>
            </w:pPr>
          </w:p>
        </w:tc>
        <w:tc>
          <w:tcPr>
            <w:tcW w:w="704" w:type="pct"/>
          </w:tcPr>
          <w:p w:rsidR="004E0821" w:rsidRPr="00A7694A" w:rsidP="005741F7" w14:paraId="33162DA3" w14:textId="77777777">
            <w:pPr>
              <w:jc w:val="right"/>
              <w:rPr>
                <w:sz w:val="20"/>
                <w:szCs w:val="20"/>
              </w:rPr>
            </w:pPr>
            <w:r w:rsidRPr="00A7694A">
              <w:rPr>
                <w:sz w:val="20"/>
                <w:szCs w:val="20"/>
              </w:rPr>
              <w:t>26,787</w:t>
            </w:r>
          </w:p>
        </w:tc>
      </w:tr>
    </w:tbl>
    <w:p w:rsidR="004E0821" w:rsidRPr="00A7694A" w:rsidP="0022425B" w14:paraId="4E37F544" w14:textId="0F6E9B28">
      <w:pPr>
        <w:spacing w:after="200"/>
        <w:ind w:left="360"/>
        <w:rPr>
          <w:rFonts w:eastAsia="Calibri"/>
          <w:sz w:val="20"/>
          <w:szCs w:val="20"/>
        </w:rPr>
      </w:pPr>
      <w:r w:rsidRPr="00A7694A">
        <w:rPr>
          <w:rFonts w:eastAsia="Calibri"/>
          <w:sz w:val="20"/>
          <w:szCs w:val="20"/>
          <w:vertAlign w:val="superscript"/>
        </w:rPr>
        <w:t>1</w:t>
      </w:r>
      <w:r w:rsidRPr="00A7694A">
        <w:rPr>
          <w:rFonts w:eastAsia="Calibri"/>
          <w:sz w:val="20"/>
          <w:szCs w:val="20"/>
        </w:rPr>
        <w:t>Totals may not sum due to rounding.</w:t>
      </w:r>
    </w:p>
    <w:p w:rsidR="00973F47" w:rsidP="004473DC" w14:paraId="763BEFF6" w14:textId="77777777">
      <w:pPr>
        <w:ind w:left="720"/>
      </w:pPr>
      <w:r w:rsidRPr="004473DC">
        <w:t xml:space="preserve">Based on program experience, we believe the original number of third-party disclosures estimate was too high and have decreased the number of disclosures per respondent.  </w:t>
      </w:r>
    </w:p>
    <w:p w:rsidR="00973F47" w:rsidP="004473DC" w14:paraId="6F976D40" w14:textId="77777777">
      <w:pPr>
        <w:ind w:left="720"/>
      </w:pPr>
    </w:p>
    <w:p w:rsidR="004473DC" w:rsidP="00973F47" w14:paraId="6DA51751" w14:textId="4DC9ED70">
      <w:pPr>
        <w:ind w:left="720"/>
      </w:pPr>
      <w:r w:rsidRPr="004473DC">
        <w:t>The VFD regulation also contains several labeling provisions. These labeling statements are a “public disclosure of information originally supplied by the Federal government to the recipient for the purpose of disclosure to the public” (5 CFR 1320.3(c)(2)) and therefore do not constitute a “collection of information” under the PRA (44 U.S.C. 3501, </w:t>
      </w:r>
      <w:r w:rsidRPr="004473DC">
        <w:rPr>
          <w:i/>
          <w:iCs/>
        </w:rPr>
        <w:t>et seq.</w:t>
      </w:r>
      <w:r w:rsidRPr="004473DC">
        <w:t>).</w:t>
      </w:r>
      <w:r w:rsidR="00973F47">
        <w:t xml:space="preserve">  </w:t>
      </w:r>
      <w:r>
        <w:t>All labeling and advertising for VFD drugs, combination VFD drugs, and feeds containing VFD drugs or combination VFD drugs must prominently and conspicuously display the following cautionary statement: “Caution: Federal law restricts medicated feed containing this veterinary feed directive (VFD) drug to use by or on the order of a licensed veterinarian” (21 CFR 558.6(a)(6)). In addition, the veterinarian must ensure that the following statement is included on the VFD (21 CFR 558.6(b)(3)(xiii)), “Use of feed containing this veterinary feed directive (VFD) drug in a manner other than as directed on the labeling (</w:t>
      </w:r>
      <w:r>
        <w:t>extralabel</w:t>
      </w:r>
      <w:r>
        <w:t xml:space="preserve"> use) is not permitted.” </w:t>
      </w:r>
    </w:p>
    <w:p w:rsidR="004473DC" w:rsidP="004473DC" w14:paraId="717C6659" w14:textId="77777777">
      <w:pPr>
        <w:ind w:left="720" w:firstLine="720"/>
      </w:pPr>
    </w:p>
    <w:p w:rsidR="004473DC" w:rsidP="004473DC" w14:paraId="4C6F6223" w14:textId="77777777">
      <w:pPr>
        <w:ind w:left="720"/>
      </w:pPr>
      <w:r>
        <w:t xml:space="preserve">The veterinarian may restrict VFD authorization to only include the VFD drug(s) cited on the </w:t>
      </w:r>
      <w:r>
        <w:t>VFD</w:t>
      </w:r>
      <w:r>
        <w:t xml:space="preserve"> or such authorization may be expanded to allow the use of the cited VFD drug(s) along with one or more over-the-counter animal drugs in an approved, conditionally approved, or indexed combination VFD drug (21 CFR 558.6(b)(6)). The veterinarian must affirm his or her intent regarding combination VFD drugs by including one of the following statements on the VFD: </w:t>
      </w:r>
    </w:p>
    <w:p w:rsidR="00B72454" w:rsidP="004473DC" w14:paraId="775ACC07" w14:textId="77777777">
      <w:pPr>
        <w:ind w:left="720"/>
      </w:pPr>
    </w:p>
    <w:p w:rsidR="00B72454" w:rsidP="00B72454" w14:paraId="3565ECFD" w14:textId="08D0E811">
      <w:pPr>
        <w:numPr>
          <w:ilvl w:val="0"/>
          <w:numId w:val="10"/>
        </w:numPr>
      </w:pPr>
      <w:r>
        <w:t>“This VFD only authorizes the use of the VFD drug(s) cited in this order and is not intended to authorize the use of such drug(s) in combination with any other animal drugs” (21 CFR 558.6(b)(6)(i)).</w:t>
      </w:r>
    </w:p>
    <w:p w:rsidR="00B72454" w:rsidP="00B72454" w14:paraId="00D57726" w14:textId="155E4F0E">
      <w:pPr>
        <w:numPr>
          <w:ilvl w:val="0"/>
          <w:numId w:val="10"/>
        </w:numPr>
      </w:pPr>
      <w:r>
        <w:t>“This VFD authorizes the use of the VFD drug(s) cited in this order in the following FDA-approved, conditionally approved, or indexed combination(s) in medicated feed that contains the VFD drug(s) as a component.” [List specific approved, conditionally approved, or indexed combination medicated feeds following this statement.] (21 CFR 558.6(b)(6)(ii)).</w:t>
      </w:r>
    </w:p>
    <w:p w:rsidR="00B72454" w:rsidP="00B72454" w14:paraId="48EBF866" w14:textId="5E1A12F3">
      <w:pPr>
        <w:numPr>
          <w:ilvl w:val="0"/>
          <w:numId w:val="10"/>
        </w:numPr>
      </w:pPr>
      <w:r>
        <w:t>“This VFD authorizes the use of the VFD drug(s) cited in this order in any FDA-approved, conditionally approved, or indexed combination(s) in medicated feed that contains the VFD drug(s) as a component.” (21 CFR 558.6(b)(6)(iii)).</w:t>
      </w:r>
    </w:p>
    <w:p w:rsidR="00B72454" w:rsidP="004473DC" w14:paraId="44A3CDC4" w14:textId="77777777">
      <w:pPr>
        <w:ind w:left="720"/>
      </w:pPr>
    </w:p>
    <w:p w:rsidR="00946E01" w:rsidRPr="00501197" w:rsidP="00946E01" w14:paraId="7DDF5F7D" w14:textId="58C06201">
      <w:pPr>
        <w:spacing w:after="200"/>
        <w:rPr>
          <w:rFonts w:eastAsia="Calibri"/>
        </w:rPr>
      </w:pPr>
      <w:r>
        <w:rPr>
          <w:rFonts w:eastAsia="Calibri"/>
          <w:iCs/>
        </w:rPr>
        <w:t>The total burden for this information collection is 161,751 hours.</w:t>
      </w:r>
    </w:p>
    <w:p w:rsidR="00A707CC" w:rsidP="006D5164" w14:paraId="22CB4C65" w14:textId="4F81C5A0">
      <w:pPr>
        <w:spacing w:after="200"/>
        <w:rPr>
          <w:rFonts w:eastAsia="Calibri"/>
        </w:rPr>
      </w:pPr>
      <w:r w:rsidRPr="005C71CA">
        <w:rPr>
          <w:rFonts w:eastAsia="Calibri"/>
        </w:rPr>
        <w:t>12b.  Annualized Cost Burden Estimate</w:t>
      </w:r>
    </w:p>
    <w:p w:rsidR="00D43771" w:rsidRPr="00D43771" w:rsidP="00C731B5" w14:paraId="4999AEC7" w14:textId="007CD710">
      <w:pPr>
        <w:jc w:val="center"/>
        <w:rPr>
          <w:rFonts w:eastAsia="Calibri"/>
        </w:rPr>
      </w:pPr>
      <w:r w:rsidRPr="00C731B5">
        <w:rPr>
          <w:rFonts w:eastAsia="Calibri"/>
        </w:rPr>
        <w:t xml:space="preserve">Table 4. -- </w:t>
      </w:r>
      <w:r w:rsidRPr="00D43771">
        <w:rPr>
          <w:rFonts w:eastAsia="Calibri"/>
        </w:rPr>
        <w:t>Annualized Cost Burden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2"/>
        <w:gridCol w:w="1823"/>
        <w:gridCol w:w="1397"/>
        <w:gridCol w:w="2302"/>
      </w:tblGrid>
      <w:tr w14:paraId="1577EA16" w14:textId="77777777" w:rsidTr="00946E0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077" w:type="dxa"/>
            <w:shd w:val="clear" w:color="auto" w:fill="auto"/>
          </w:tcPr>
          <w:p w:rsidR="00D43771" w:rsidRPr="00A7694A" w:rsidP="00C731B5" w14:paraId="27D2E368" w14:textId="77777777">
            <w:pPr>
              <w:jc w:val="center"/>
              <w:rPr>
                <w:rFonts w:eastAsia="Calibri"/>
                <w:sz w:val="20"/>
                <w:szCs w:val="20"/>
              </w:rPr>
            </w:pPr>
            <w:r w:rsidRPr="00A7694A">
              <w:rPr>
                <w:rFonts w:eastAsia="Calibri"/>
                <w:sz w:val="20"/>
                <w:szCs w:val="20"/>
              </w:rPr>
              <w:t>Type of Respondent</w:t>
            </w:r>
          </w:p>
        </w:tc>
        <w:tc>
          <w:tcPr>
            <w:tcW w:w="1867" w:type="dxa"/>
            <w:shd w:val="clear" w:color="auto" w:fill="auto"/>
          </w:tcPr>
          <w:p w:rsidR="00D43771" w:rsidRPr="00A7694A" w:rsidP="00C731B5" w14:paraId="7F663BB5" w14:textId="77777777">
            <w:pPr>
              <w:jc w:val="center"/>
              <w:rPr>
                <w:rFonts w:eastAsia="Calibri"/>
                <w:sz w:val="20"/>
                <w:szCs w:val="20"/>
              </w:rPr>
            </w:pPr>
            <w:r w:rsidRPr="00A7694A">
              <w:rPr>
                <w:rFonts w:eastAsia="Calibri"/>
                <w:sz w:val="20"/>
                <w:szCs w:val="20"/>
              </w:rPr>
              <w:t>Total Burden Hours</w:t>
            </w:r>
          </w:p>
          <w:p w:rsidR="00D43771" w:rsidRPr="00A7694A" w:rsidP="00C731B5" w14:paraId="100D89B7" w14:textId="77777777">
            <w:pPr>
              <w:jc w:val="center"/>
              <w:rPr>
                <w:rFonts w:eastAsia="Calibri"/>
                <w:sz w:val="20"/>
                <w:szCs w:val="20"/>
              </w:rPr>
            </w:pPr>
          </w:p>
        </w:tc>
        <w:tc>
          <w:tcPr>
            <w:tcW w:w="1424" w:type="dxa"/>
            <w:shd w:val="clear" w:color="auto" w:fill="auto"/>
          </w:tcPr>
          <w:p w:rsidR="00D43771" w:rsidRPr="00A7694A" w:rsidP="00C731B5" w14:paraId="7268E7CD" w14:textId="77777777">
            <w:pPr>
              <w:jc w:val="center"/>
              <w:rPr>
                <w:rFonts w:eastAsia="Calibri"/>
                <w:sz w:val="20"/>
                <w:szCs w:val="20"/>
              </w:rPr>
            </w:pPr>
            <w:r w:rsidRPr="00A7694A">
              <w:rPr>
                <w:rFonts w:eastAsia="Calibri"/>
                <w:sz w:val="20"/>
                <w:szCs w:val="20"/>
              </w:rPr>
              <w:t>Hourly Wage Rate</w:t>
            </w:r>
          </w:p>
        </w:tc>
        <w:tc>
          <w:tcPr>
            <w:tcW w:w="2352" w:type="dxa"/>
            <w:shd w:val="clear" w:color="auto" w:fill="auto"/>
          </w:tcPr>
          <w:p w:rsidR="00D43771" w:rsidRPr="00A7694A" w:rsidP="00C731B5" w14:paraId="3D9197C3" w14:textId="77777777">
            <w:pPr>
              <w:jc w:val="center"/>
              <w:rPr>
                <w:rFonts w:eastAsia="Calibri"/>
                <w:sz w:val="20"/>
                <w:szCs w:val="20"/>
              </w:rPr>
            </w:pPr>
            <w:r w:rsidRPr="00A7694A">
              <w:rPr>
                <w:rFonts w:eastAsia="Calibri"/>
                <w:sz w:val="20"/>
                <w:szCs w:val="20"/>
              </w:rPr>
              <w:t>Total Respondent Cost</w:t>
            </w:r>
          </w:p>
        </w:tc>
      </w:tr>
      <w:tr w14:paraId="77063B94" w14:textId="77777777" w:rsidTr="003F1EAA">
        <w:tblPrEx>
          <w:tblW w:w="0" w:type="auto"/>
          <w:jc w:val="center"/>
          <w:tblLook w:val="04A0"/>
        </w:tblPrEx>
        <w:trPr>
          <w:jc w:val="center"/>
        </w:trPr>
        <w:tc>
          <w:tcPr>
            <w:tcW w:w="4077" w:type="dxa"/>
            <w:shd w:val="clear" w:color="auto" w:fill="auto"/>
          </w:tcPr>
          <w:p w:rsidR="00D43771" w:rsidRPr="00A7694A" w:rsidP="00D43771" w14:paraId="345C0417" w14:textId="77777777">
            <w:pPr>
              <w:rPr>
                <w:rFonts w:eastAsia="Calibri"/>
                <w:sz w:val="20"/>
                <w:szCs w:val="20"/>
              </w:rPr>
            </w:pPr>
            <w:r w:rsidRPr="00A7694A">
              <w:rPr>
                <w:rFonts w:eastAsia="Calibri"/>
                <w:sz w:val="20"/>
                <w:szCs w:val="20"/>
              </w:rPr>
              <w:t>VFD Feed Distributors (Reporting)</w:t>
            </w:r>
          </w:p>
        </w:tc>
        <w:tc>
          <w:tcPr>
            <w:tcW w:w="1867" w:type="dxa"/>
            <w:shd w:val="clear" w:color="auto" w:fill="auto"/>
            <w:tcMar>
              <w:left w:w="0" w:type="dxa"/>
              <w:right w:w="0" w:type="dxa"/>
            </w:tcMar>
            <w:vAlign w:val="center"/>
          </w:tcPr>
          <w:p w:rsidR="00D43771" w:rsidRPr="00A7694A" w:rsidP="00A7694A" w14:paraId="4915C5BD" w14:textId="6765FDB3">
            <w:pPr>
              <w:jc w:val="right"/>
              <w:rPr>
                <w:rFonts w:eastAsia="Calibri"/>
                <w:sz w:val="20"/>
                <w:szCs w:val="20"/>
              </w:rPr>
            </w:pPr>
            <w:r w:rsidRPr="00A7694A">
              <w:rPr>
                <w:rFonts w:eastAsia="Calibri"/>
                <w:sz w:val="20"/>
                <w:szCs w:val="20"/>
              </w:rPr>
              <w:t>42</w:t>
            </w:r>
          </w:p>
        </w:tc>
        <w:tc>
          <w:tcPr>
            <w:tcW w:w="1424" w:type="dxa"/>
            <w:shd w:val="clear" w:color="auto" w:fill="auto"/>
            <w:tcMar>
              <w:left w:w="0" w:type="dxa"/>
              <w:right w:w="0" w:type="dxa"/>
            </w:tcMar>
            <w:vAlign w:val="center"/>
          </w:tcPr>
          <w:p w:rsidR="00D43771" w:rsidRPr="00A7694A" w:rsidP="00C731B5" w14:paraId="634FC644" w14:textId="77777777">
            <w:pPr>
              <w:jc w:val="center"/>
              <w:rPr>
                <w:rFonts w:eastAsia="Calibri"/>
                <w:sz w:val="20"/>
                <w:szCs w:val="20"/>
              </w:rPr>
            </w:pPr>
            <w:r w:rsidRPr="00A7694A">
              <w:rPr>
                <w:rFonts w:eastAsia="Calibri"/>
                <w:sz w:val="20"/>
                <w:szCs w:val="20"/>
              </w:rPr>
              <w:t>$77.00</w:t>
            </w:r>
          </w:p>
        </w:tc>
        <w:tc>
          <w:tcPr>
            <w:tcW w:w="2352" w:type="dxa"/>
            <w:shd w:val="clear" w:color="auto" w:fill="auto"/>
            <w:tcMar>
              <w:left w:w="0" w:type="dxa"/>
              <w:right w:w="72" w:type="dxa"/>
            </w:tcMar>
            <w:vAlign w:val="center"/>
          </w:tcPr>
          <w:p w:rsidR="00D43771" w:rsidRPr="00A7694A" w:rsidP="00A7694A" w14:paraId="0675FA0B" w14:textId="4EC2B82F">
            <w:pPr>
              <w:jc w:val="right"/>
              <w:rPr>
                <w:rFonts w:eastAsia="Calibri"/>
                <w:sz w:val="20"/>
                <w:szCs w:val="20"/>
              </w:rPr>
            </w:pPr>
            <w:r w:rsidRPr="00A7694A">
              <w:rPr>
                <w:rFonts w:eastAsia="Calibri"/>
                <w:sz w:val="20"/>
                <w:szCs w:val="20"/>
              </w:rPr>
              <w:t>$3,</w:t>
            </w:r>
            <w:r w:rsidRPr="00A7694A" w:rsidR="00DE19E4">
              <w:rPr>
                <w:rFonts w:eastAsia="Calibri"/>
                <w:sz w:val="20"/>
                <w:szCs w:val="20"/>
              </w:rPr>
              <w:t>234</w:t>
            </w:r>
          </w:p>
        </w:tc>
      </w:tr>
      <w:tr w14:paraId="2C6B911D" w14:textId="77777777" w:rsidTr="003F1EAA">
        <w:tblPrEx>
          <w:tblW w:w="0" w:type="auto"/>
          <w:jc w:val="center"/>
          <w:tblLook w:val="04A0"/>
        </w:tblPrEx>
        <w:trPr>
          <w:jc w:val="center"/>
        </w:trPr>
        <w:tc>
          <w:tcPr>
            <w:tcW w:w="4077" w:type="dxa"/>
            <w:shd w:val="clear" w:color="auto" w:fill="auto"/>
          </w:tcPr>
          <w:p w:rsidR="00D43771" w:rsidRPr="00A7694A" w:rsidP="00D43771" w14:paraId="452896D3" w14:textId="436D2916">
            <w:pPr>
              <w:rPr>
                <w:rFonts w:eastAsia="Calibri"/>
                <w:sz w:val="20"/>
                <w:szCs w:val="20"/>
              </w:rPr>
            </w:pPr>
            <w:r w:rsidRPr="00A7694A">
              <w:rPr>
                <w:rFonts w:eastAsia="Calibri"/>
                <w:sz w:val="20"/>
                <w:szCs w:val="20"/>
              </w:rPr>
              <w:t>VFD Feed Distributors</w:t>
            </w:r>
            <w:r w:rsidRPr="00A7694A" w:rsidR="00EE335F">
              <w:rPr>
                <w:rFonts w:eastAsia="Calibri"/>
                <w:sz w:val="20"/>
                <w:szCs w:val="20"/>
              </w:rPr>
              <w:t>, Veterinarians, Clients</w:t>
            </w:r>
            <w:r w:rsidRPr="00A7694A">
              <w:rPr>
                <w:rFonts w:eastAsia="Calibri"/>
                <w:sz w:val="20"/>
                <w:szCs w:val="20"/>
              </w:rPr>
              <w:t xml:space="preserve"> (Recordkeeping, Third-party Disclosure)</w:t>
            </w:r>
          </w:p>
        </w:tc>
        <w:tc>
          <w:tcPr>
            <w:tcW w:w="1867" w:type="dxa"/>
            <w:shd w:val="clear" w:color="auto" w:fill="auto"/>
            <w:tcMar>
              <w:left w:w="0" w:type="dxa"/>
              <w:right w:w="0" w:type="dxa"/>
            </w:tcMar>
            <w:vAlign w:val="center"/>
          </w:tcPr>
          <w:p w:rsidR="00D524F2" w:rsidRPr="00A7694A" w:rsidP="00A7694A" w14:paraId="4910ED71" w14:textId="022FD240">
            <w:pPr>
              <w:pStyle w:val="CommentText"/>
              <w:jc w:val="right"/>
            </w:pPr>
            <w:r w:rsidRPr="00A7694A">
              <w:rPr>
                <w:rStyle w:val="CommentReference"/>
                <w:sz w:val="20"/>
                <w:szCs w:val="20"/>
              </w:rPr>
              <w:t>161,709</w:t>
            </w:r>
          </w:p>
          <w:p w:rsidR="00D43771" w:rsidRPr="00A7694A" w:rsidP="00A7694A" w14:paraId="412EF272" w14:textId="1F20BC17">
            <w:pPr>
              <w:jc w:val="right"/>
              <w:rPr>
                <w:rFonts w:eastAsia="Calibri"/>
                <w:sz w:val="20"/>
                <w:szCs w:val="20"/>
              </w:rPr>
            </w:pPr>
          </w:p>
        </w:tc>
        <w:tc>
          <w:tcPr>
            <w:tcW w:w="1424" w:type="dxa"/>
            <w:shd w:val="clear" w:color="auto" w:fill="auto"/>
            <w:tcMar>
              <w:left w:w="0" w:type="dxa"/>
              <w:right w:w="0" w:type="dxa"/>
            </w:tcMar>
            <w:vAlign w:val="center"/>
          </w:tcPr>
          <w:p w:rsidR="00D43771" w:rsidRPr="00A7694A" w:rsidP="00C731B5" w14:paraId="4117D86E" w14:textId="45DC901A">
            <w:pPr>
              <w:jc w:val="center"/>
              <w:rPr>
                <w:rFonts w:eastAsia="Calibri"/>
                <w:sz w:val="20"/>
                <w:szCs w:val="20"/>
              </w:rPr>
            </w:pPr>
            <w:r w:rsidRPr="00A7694A">
              <w:rPr>
                <w:rFonts w:eastAsia="Calibri"/>
                <w:sz w:val="20"/>
                <w:szCs w:val="20"/>
              </w:rPr>
              <w:t>$</w:t>
            </w:r>
            <w:r w:rsidRPr="00A7694A" w:rsidR="00DE19E4">
              <w:rPr>
                <w:rFonts w:eastAsia="Calibri"/>
                <w:sz w:val="20"/>
                <w:szCs w:val="20"/>
              </w:rPr>
              <w:t>63.58</w:t>
            </w:r>
          </w:p>
        </w:tc>
        <w:tc>
          <w:tcPr>
            <w:tcW w:w="2352" w:type="dxa"/>
            <w:shd w:val="clear" w:color="auto" w:fill="auto"/>
            <w:tcMar>
              <w:left w:w="0" w:type="dxa"/>
              <w:right w:w="72" w:type="dxa"/>
            </w:tcMar>
            <w:vAlign w:val="center"/>
          </w:tcPr>
          <w:p w:rsidR="00D43771" w:rsidRPr="00A7694A" w:rsidP="00A7694A" w14:paraId="4AD6C5B5" w14:textId="399115CE">
            <w:pPr>
              <w:jc w:val="right"/>
              <w:rPr>
                <w:rFonts w:eastAsia="Calibri"/>
                <w:sz w:val="20"/>
                <w:szCs w:val="20"/>
              </w:rPr>
            </w:pPr>
            <w:r w:rsidRPr="00A7694A">
              <w:rPr>
                <w:rFonts w:eastAsia="Calibri"/>
                <w:sz w:val="20"/>
                <w:szCs w:val="20"/>
              </w:rPr>
              <w:t>$10,281,458</w:t>
            </w:r>
          </w:p>
        </w:tc>
      </w:tr>
      <w:tr w14:paraId="7FF2EE1D" w14:textId="77777777" w:rsidTr="003F1EAA">
        <w:tblPrEx>
          <w:tblW w:w="0" w:type="auto"/>
          <w:jc w:val="center"/>
          <w:tblLook w:val="04A0"/>
        </w:tblPrEx>
        <w:trPr>
          <w:trHeight w:val="432"/>
          <w:jc w:val="center"/>
        </w:trPr>
        <w:tc>
          <w:tcPr>
            <w:tcW w:w="4077" w:type="dxa"/>
            <w:shd w:val="clear" w:color="auto" w:fill="auto"/>
            <w:vAlign w:val="center"/>
          </w:tcPr>
          <w:p w:rsidR="00D43771" w:rsidRPr="00A7694A" w:rsidP="00D43771" w14:paraId="75B772A9" w14:textId="77777777">
            <w:pPr>
              <w:rPr>
                <w:rFonts w:eastAsia="Calibri"/>
                <w:sz w:val="20"/>
                <w:szCs w:val="20"/>
              </w:rPr>
            </w:pPr>
            <w:r w:rsidRPr="00A7694A">
              <w:rPr>
                <w:rFonts w:eastAsia="Calibri"/>
                <w:sz w:val="20"/>
                <w:szCs w:val="20"/>
              </w:rPr>
              <w:t>TOTAL</w:t>
            </w:r>
          </w:p>
        </w:tc>
        <w:tc>
          <w:tcPr>
            <w:tcW w:w="1867" w:type="dxa"/>
            <w:shd w:val="clear" w:color="auto" w:fill="auto"/>
            <w:tcMar>
              <w:left w:w="0" w:type="dxa"/>
              <w:right w:w="0" w:type="dxa"/>
            </w:tcMar>
            <w:vAlign w:val="center"/>
          </w:tcPr>
          <w:p w:rsidR="00D43771" w:rsidRPr="00A7694A" w:rsidP="00A7694A" w14:paraId="19B6A10D" w14:textId="0DFE49F2">
            <w:pPr>
              <w:jc w:val="right"/>
              <w:rPr>
                <w:rFonts w:eastAsia="Calibri"/>
                <w:sz w:val="20"/>
                <w:szCs w:val="20"/>
              </w:rPr>
            </w:pPr>
            <w:r w:rsidRPr="00A7694A">
              <w:rPr>
                <w:rFonts w:eastAsia="Calibri"/>
                <w:sz w:val="20"/>
                <w:szCs w:val="20"/>
              </w:rPr>
              <w:t>161,751</w:t>
            </w:r>
          </w:p>
        </w:tc>
        <w:tc>
          <w:tcPr>
            <w:tcW w:w="1424" w:type="dxa"/>
            <w:shd w:val="clear" w:color="auto" w:fill="auto"/>
            <w:tcMar>
              <w:left w:w="0" w:type="dxa"/>
              <w:right w:w="0" w:type="dxa"/>
            </w:tcMar>
            <w:vAlign w:val="center"/>
          </w:tcPr>
          <w:p w:rsidR="00D43771" w:rsidRPr="00A7694A" w:rsidP="00C731B5" w14:paraId="0E4D39AE" w14:textId="77777777">
            <w:pPr>
              <w:jc w:val="center"/>
              <w:rPr>
                <w:rFonts w:eastAsia="Calibri"/>
                <w:sz w:val="20"/>
                <w:szCs w:val="20"/>
              </w:rPr>
            </w:pPr>
          </w:p>
        </w:tc>
        <w:tc>
          <w:tcPr>
            <w:tcW w:w="2352" w:type="dxa"/>
            <w:shd w:val="clear" w:color="auto" w:fill="auto"/>
            <w:tcMar>
              <w:left w:w="0" w:type="dxa"/>
              <w:right w:w="72" w:type="dxa"/>
            </w:tcMar>
            <w:vAlign w:val="center"/>
          </w:tcPr>
          <w:p w:rsidR="00D43771" w:rsidRPr="00A7694A" w:rsidP="00A7694A" w14:paraId="43AA8667" w14:textId="6F676EAD">
            <w:pPr>
              <w:jc w:val="right"/>
              <w:rPr>
                <w:rFonts w:eastAsia="Calibri"/>
                <w:sz w:val="20"/>
                <w:szCs w:val="20"/>
              </w:rPr>
            </w:pPr>
            <w:r w:rsidRPr="00A7694A">
              <w:rPr>
                <w:rFonts w:eastAsia="Calibri"/>
                <w:sz w:val="20"/>
                <w:szCs w:val="20"/>
              </w:rPr>
              <w:t>$1</w:t>
            </w:r>
            <w:r w:rsidRPr="00A7694A" w:rsidR="00432EAD">
              <w:rPr>
                <w:rFonts w:eastAsia="Calibri"/>
                <w:sz w:val="20"/>
                <w:szCs w:val="20"/>
              </w:rPr>
              <w:t>0,284,692</w:t>
            </w:r>
          </w:p>
        </w:tc>
      </w:tr>
    </w:tbl>
    <w:p w:rsidR="00D43771" w:rsidRPr="00D43771" w:rsidP="00D43771" w14:paraId="25A5C06E" w14:textId="77777777">
      <w:pPr>
        <w:rPr>
          <w:rFonts w:eastAsia="Calibri"/>
        </w:rPr>
      </w:pPr>
    </w:p>
    <w:p w:rsidR="00432EAD" w:rsidP="003F1EAA" w14:paraId="4A62515F" w14:textId="6E0DD1AA">
      <w:pPr>
        <w:ind w:left="360"/>
        <w:rPr>
          <w:rFonts w:eastAsia="Calibri"/>
        </w:rPr>
      </w:pPr>
      <w:r w:rsidRPr="00D43771">
        <w:rPr>
          <w:rFonts w:eastAsia="Calibri"/>
        </w:rPr>
        <w:t xml:space="preserve">For Feed Distributors, FDA estimates notifications to FDA to be completed by personnel at the general and operations manager level. In </w:t>
      </w:r>
      <w:r w:rsidRPr="00D43771" w:rsidR="00F814D9">
        <w:rPr>
          <w:rFonts w:eastAsia="Calibri"/>
        </w:rPr>
        <w:t>20</w:t>
      </w:r>
      <w:r w:rsidR="00F814D9">
        <w:rPr>
          <w:rFonts w:eastAsia="Calibri"/>
        </w:rPr>
        <w:t>2</w:t>
      </w:r>
      <w:r w:rsidR="00DE19E4">
        <w:rPr>
          <w:rFonts w:eastAsia="Calibri"/>
        </w:rPr>
        <w:t>2</w:t>
      </w:r>
      <w:r w:rsidRPr="00D43771">
        <w:rPr>
          <w:rFonts w:eastAsia="Calibri"/>
        </w:rPr>
        <w:t>, the Bureau of Labor Statistics’ Occupation Employment and Wage data reported t</w:t>
      </w:r>
      <w:r w:rsidRPr="00D43771">
        <w:rPr>
          <w:rFonts w:eastAsia="Calibri"/>
          <w:iCs/>
        </w:rPr>
        <w:t>he mean wage of about</w:t>
      </w:r>
      <w:r w:rsidRPr="00D43771">
        <w:rPr>
          <w:rFonts w:eastAsia="Calibri"/>
        </w:rPr>
        <w:t xml:space="preserve"> (including a 30% increase for benefits) $77.00 hour.  </w:t>
      </w:r>
    </w:p>
    <w:p w:rsidR="00432EAD" w:rsidP="003F1EAA" w14:paraId="47A945FA" w14:textId="77777777">
      <w:pPr>
        <w:ind w:left="360"/>
        <w:rPr>
          <w:rFonts w:eastAsia="Calibri"/>
        </w:rPr>
      </w:pPr>
    </w:p>
    <w:p w:rsidR="00D43771" w:rsidRPr="00D43771" w:rsidP="003F1EAA" w14:paraId="62D3F308" w14:textId="730EEB41">
      <w:pPr>
        <w:ind w:left="360"/>
        <w:rPr>
          <w:rFonts w:eastAsia="Calibri"/>
        </w:rPr>
      </w:pPr>
      <w:r>
        <w:rPr>
          <w:rFonts w:eastAsia="Calibri"/>
        </w:rPr>
        <w:t>For Feed Distributors</w:t>
      </w:r>
      <w:r w:rsidR="00DF4D10">
        <w:rPr>
          <w:rFonts w:eastAsia="Calibri"/>
        </w:rPr>
        <w:t xml:space="preserve"> </w:t>
      </w:r>
      <w:r w:rsidRPr="00F87143" w:rsidR="00DF4D10">
        <w:rPr>
          <w:rFonts w:eastAsia="Calibri"/>
        </w:rPr>
        <w:t>at the industrial production manager level</w:t>
      </w:r>
      <w:r>
        <w:rPr>
          <w:rFonts w:eastAsia="Calibri"/>
        </w:rPr>
        <w:t xml:space="preserve">, </w:t>
      </w:r>
      <w:r w:rsidR="009A0499">
        <w:rPr>
          <w:rFonts w:eastAsia="Calibri"/>
        </w:rPr>
        <w:t>v</w:t>
      </w:r>
      <w:r>
        <w:rPr>
          <w:rFonts w:eastAsia="Calibri"/>
        </w:rPr>
        <w:t xml:space="preserve">eterinarians that exclusively treat food-producing animals, and clients (food animal producers), using the 2022 Bureau of Labor Statistics’ Occupation Employment and Wage data </w:t>
      </w:r>
      <w:r w:rsidR="003F1EAA">
        <w:rPr>
          <w:rFonts w:eastAsia="Calibri"/>
        </w:rPr>
        <w:t>(</w:t>
      </w:r>
      <w:r>
        <w:rPr>
          <w:rFonts w:eastAsia="Calibri"/>
        </w:rPr>
        <w:t xml:space="preserve">including a 30% increase for benefits), </w:t>
      </w:r>
      <w:r w:rsidRPr="00D43771">
        <w:rPr>
          <w:rFonts w:eastAsia="Calibri"/>
        </w:rPr>
        <w:t xml:space="preserve">FDA </w:t>
      </w:r>
      <w:r>
        <w:rPr>
          <w:rFonts w:eastAsia="Calibri"/>
        </w:rPr>
        <w:t>averaged the salary for all three occupations to determine the mean hourly wage of $63.58.</w:t>
      </w:r>
      <w:r w:rsidRPr="00D43771">
        <w:rPr>
          <w:rFonts w:eastAsia="Calibri"/>
        </w:rPr>
        <w:t xml:space="preserve">  </w:t>
      </w:r>
    </w:p>
    <w:p w:rsidR="00D43771" w:rsidRPr="00D43771" w:rsidP="00D43771" w14:paraId="781F6726" w14:textId="77777777">
      <w:pPr>
        <w:rPr>
          <w:rFonts w:eastAsia="Calibri"/>
        </w:rPr>
      </w:pPr>
    </w:p>
    <w:p w:rsidR="00357C8A" w:rsidRPr="00357C8A" w:rsidP="006705EA" w14:paraId="2DDEE8D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B72454" w14:paraId="559C6A87" w14:textId="663CE2E6">
      <w:pPr>
        <w:spacing w:after="200" w:line="276" w:lineRule="auto"/>
        <w:rPr>
          <w:rFonts w:eastAsia="Calibri"/>
          <w:u w:val="single"/>
        </w:rPr>
      </w:pPr>
      <w:r>
        <w:rPr>
          <w:rFonts w:eastAsia="Calibri"/>
        </w:rPr>
        <w:t>There are no capital, start-up, operating or maintenance costs associated with this information collection.</w:t>
      </w:r>
    </w:p>
    <w:p w:rsidR="00357C8A" w:rsidRPr="00357C8A" w:rsidP="006705EA" w14:paraId="6CAFAAE3"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A7694A" w14:paraId="4E254F33" w14:textId="1E64188C">
      <w:pPr>
        <w:spacing w:after="200"/>
        <w:rPr>
          <w:rFonts w:eastAsia="Calibri"/>
        </w:rPr>
      </w:pPr>
      <w:r w:rsidRPr="00E275B0">
        <w:t xml:space="preserve">We estimate the annualized cost to the Federal Government for the review and evaluation of notifications submitted by </w:t>
      </w:r>
      <w:r w:rsidRPr="00A14702">
        <w:t>VFD drug sponsors to be $</w:t>
      </w:r>
      <w:r>
        <w:t>13,482.00</w:t>
      </w:r>
      <w:r w:rsidRPr="00A14702">
        <w:t xml:space="preserve">.  We estimate that we </w:t>
      </w:r>
      <w:r w:rsidRPr="00A14702" w:rsidR="008A2C14">
        <w:t>spend</w:t>
      </w:r>
      <w:r w:rsidRPr="00A14702">
        <w:t xml:space="preserve"> approximately 300 hours annually in the review of these submissions.  </w:t>
      </w:r>
      <w:r w:rsidRPr="00A14702">
        <w:rPr>
          <w:bCs/>
        </w:rPr>
        <w:t>We estimate the average hourly wage for personnel to review and evaluate a submission at the</w:t>
      </w:r>
      <w:r w:rsidR="003F1EAA">
        <w:rPr>
          <w:bCs/>
        </w:rPr>
        <w:t xml:space="preserve"> 2024</w:t>
      </w:r>
      <w:r w:rsidRPr="00A14702">
        <w:rPr>
          <w:bCs/>
        </w:rPr>
        <w:t xml:space="preserve"> </w:t>
      </w:r>
      <w:r w:rsidR="003F1EAA">
        <w:t>OPM wage rates for a GS-11- Step 5 employee in the Washington-Baltimore-Arlington, DC-MD-VA-WV-PA area</w:t>
      </w:r>
      <w:r w:rsidRPr="00A14702">
        <w:rPr>
          <w:bCs/>
        </w:rPr>
        <w:t xml:space="preserve">, </w:t>
      </w:r>
      <w:r w:rsidR="003F1EAA">
        <w:rPr>
          <w:bCs/>
        </w:rPr>
        <w:t xml:space="preserve">to be </w:t>
      </w:r>
      <w:r w:rsidRPr="00A14702">
        <w:rPr>
          <w:bCs/>
        </w:rPr>
        <w:t>approximately $</w:t>
      </w:r>
      <w:r>
        <w:t>44.94</w:t>
      </w:r>
      <w:r w:rsidRPr="00A14702">
        <w:rPr>
          <w:bCs/>
        </w:rPr>
        <w:t xml:space="preserve">/hour.  Thus, the estimated annualized cost </w:t>
      </w:r>
      <w:r w:rsidRPr="00A14702">
        <w:t xml:space="preserve">to the Federal government </w:t>
      </w:r>
      <w:r w:rsidRPr="00A14702">
        <w:rPr>
          <w:bCs/>
        </w:rPr>
        <w:t>is $</w:t>
      </w:r>
      <w:r>
        <w:t xml:space="preserve">13,482.00 </w:t>
      </w:r>
      <w:r w:rsidRPr="00A14702">
        <w:rPr>
          <w:bCs/>
        </w:rPr>
        <w:t>(</w:t>
      </w:r>
      <w:r>
        <w:rPr>
          <w:bCs/>
        </w:rPr>
        <w:t>300</w:t>
      </w:r>
      <w:r w:rsidRPr="00A14702">
        <w:rPr>
          <w:bCs/>
        </w:rPr>
        <w:t xml:space="preserve"> hours x $</w:t>
      </w:r>
      <w:r>
        <w:t>44.94</w:t>
      </w:r>
      <w:r w:rsidRPr="00A14702">
        <w:rPr>
          <w:bCs/>
        </w:rPr>
        <w:t>/hour = $</w:t>
      </w:r>
      <w:r>
        <w:t>13,482.00</w:t>
      </w:r>
      <w:r w:rsidRPr="00A14702">
        <w:rPr>
          <w:bCs/>
        </w:rPr>
        <w:t>).</w:t>
      </w:r>
      <w:r w:rsidRPr="00357C8A">
        <w:rPr>
          <w:rFonts w:eastAsia="Calibri"/>
        </w:rPr>
        <w:t xml:space="preserve"> </w:t>
      </w:r>
    </w:p>
    <w:p w:rsidR="00357C8A" w:rsidP="006705EA" w14:paraId="085C4407" w14:textId="78D6477F">
      <w:pPr>
        <w:numPr>
          <w:ilvl w:val="0"/>
          <w:numId w:val="6"/>
        </w:numPr>
        <w:spacing w:after="200" w:line="276" w:lineRule="auto"/>
        <w:rPr>
          <w:rFonts w:eastAsia="Calibri"/>
          <w:u w:val="single"/>
        </w:rPr>
      </w:pPr>
      <w:r w:rsidRPr="00357C8A">
        <w:rPr>
          <w:rFonts w:eastAsia="Calibri"/>
          <w:u w:val="single"/>
        </w:rPr>
        <w:t>Explanation for Program Changes or Adjustments</w:t>
      </w:r>
    </w:p>
    <w:p w:rsidR="006D5164" w:rsidP="00357C8A" w14:paraId="27DA32A9" w14:textId="408779F2">
      <w:pPr>
        <w:spacing w:after="200"/>
        <w:rPr>
          <w:rFonts w:eastAsia="Calibri"/>
        </w:rPr>
      </w:pPr>
      <w:r w:rsidRPr="00190E84">
        <w:rPr>
          <w:rFonts w:eastAsia="Calibri"/>
        </w:rPr>
        <w:t>After a review of the information collection since our last request for OMB approval, we have adjusted our estimates based on our experience with the VFD regulations and updated data.  As a result, the total burden for the information collection has decreased 39,387 hours since the last OMB approval.</w:t>
      </w:r>
      <w:r w:rsidR="00695C74">
        <w:rPr>
          <w:rFonts w:eastAsia="Calibri"/>
        </w:rPr>
        <w:t xml:space="preserve">  </w:t>
      </w:r>
    </w:p>
    <w:p w:rsidR="00357C8A" w:rsidRPr="00357C8A" w:rsidP="006705EA" w14:paraId="29F520E3"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6D5164" w:rsidP="006D5164" w14:paraId="320410CC" w14:textId="77777777">
      <w:pPr>
        <w:spacing w:after="200"/>
        <w:rPr>
          <w:rFonts w:eastAsia="Calibri"/>
        </w:rPr>
      </w:pPr>
      <w:r w:rsidRPr="005C71CA">
        <w:rPr>
          <w:rFonts w:eastAsia="Calibri"/>
        </w:rPr>
        <w:t>This information collected will not be published or tabulated.</w:t>
      </w:r>
    </w:p>
    <w:p w:rsidR="00357C8A" w:rsidRPr="00357C8A" w:rsidP="006D5164" w14:paraId="64406816" w14:textId="1FFFEFA0">
      <w:pPr>
        <w:spacing w:after="200"/>
        <w:rPr>
          <w:rFonts w:eastAsia="Calibri"/>
          <w:u w:val="single"/>
        </w:rPr>
      </w:pPr>
      <w:r>
        <w:rPr>
          <w:rFonts w:eastAsia="Calibri"/>
        </w:rPr>
        <w:t xml:space="preserve">17. </w:t>
      </w:r>
      <w:r w:rsidRPr="00357C8A">
        <w:rPr>
          <w:rFonts w:eastAsia="Calibri"/>
          <w:u w:val="single"/>
        </w:rPr>
        <w:t>Reason(s) Display of OMB Expiration Date is Inappropriate</w:t>
      </w:r>
    </w:p>
    <w:p w:rsidR="002160C8" w:rsidP="002160C8" w14:paraId="2858D10F" w14:textId="470BA455">
      <w:pPr>
        <w:spacing w:after="200" w:line="276" w:lineRule="auto"/>
        <w:rPr>
          <w:rFonts w:eastAsia="Calibri"/>
          <w:u w:val="single"/>
        </w:rPr>
      </w:pPr>
      <w:r>
        <w:rPr>
          <w:rFonts w:eastAsia="Calibri"/>
        </w:rPr>
        <w:t>FDA will display the OMB expiration date as required by 5 CFR 1320.8.</w:t>
      </w:r>
      <w:r w:rsidR="005637B0">
        <w:rPr>
          <w:rFonts w:eastAsia="Calibri"/>
        </w:rPr>
        <w:t xml:space="preserve">  </w:t>
      </w:r>
    </w:p>
    <w:p w:rsidR="00357C8A" w:rsidRPr="006D5164" w:rsidP="006D5164" w14:paraId="0657527F" w14:textId="5187439A">
      <w:pPr>
        <w:spacing w:after="200" w:line="276" w:lineRule="auto"/>
        <w:rPr>
          <w:rFonts w:eastAsia="Calibri"/>
          <w:u w:val="single"/>
        </w:rPr>
      </w:pPr>
      <w:r w:rsidRPr="006D5164">
        <w:rPr>
          <w:rFonts w:eastAsia="Calibri"/>
        </w:rPr>
        <w:t xml:space="preserve">18. </w:t>
      </w:r>
      <w:r w:rsidRPr="006D5164">
        <w:rPr>
          <w:rFonts w:eastAsia="Calibri"/>
          <w:u w:val="single"/>
        </w:rPr>
        <w:t>Exceptions to Certification for Paperwork Reduction Act Submissions</w:t>
      </w:r>
    </w:p>
    <w:p w:rsidR="00544138" w:rsidRPr="00C20690" w:rsidP="00C20690" w14:paraId="403C1C61" w14:textId="5BA7F76F">
      <w:pPr>
        <w:spacing w:after="200"/>
        <w:rPr>
          <w:rFonts w:eastAsia="Calibri"/>
        </w:rPr>
      </w:pPr>
      <w:r w:rsidRPr="007E59A8">
        <w:rPr>
          <w:rFonts w:eastAsia="Calibri"/>
        </w:rPr>
        <w:t>There are no exceptions to the certification</w:t>
      </w:r>
      <w:r w:rsidRPr="00357C8A" w:rsidR="00357C8A">
        <w:rPr>
          <w:rFonts w:eastAsia="Calibri"/>
        </w:rPr>
        <w:t>.</w:t>
      </w:r>
    </w:p>
    <w:sectPr w:rsidSect="003D4880">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B6EE070" w14:textId="17727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851">
      <w:rPr>
        <w:rStyle w:val="PageNumber"/>
        <w:noProof/>
      </w:rPr>
      <w:t>1</w:t>
    </w:r>
    <w:r>
      <w:rPr>
        <w:rStyle w:val="PageNumber"/>
      </w:rPr>
      <w:fldChar w:fldCharType="end"/>
    </w:r>
  </w:p>
  <w:p w:rsidR="00E63DE5" w14:paraId="67A51F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6DF73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5695E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84C339A"/>
    <w:multiLevelType w:val="hybridMultilevel"/>
    <w:tmpl w:val="02CA69F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2C50272D"/>
    <w:multiLevelType w:val="hybridMultilevel"/>
    <w:tmpl w:val="7D4A0C7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77234058">
    <w:abstractNumId w:val="7"/>
  </w:num>
  <w:num w:numId="2" w16cid:durableId="975795345">
    <w:abstractNumId w:val="1"/>
  </w:num>
  <w:num w:numId="3" w16cid:durableId="931161256">
    <w:abstractNumId w:val="8"/>
  </w:num>
  <w:num w:numId="4" w16cid:durableId="1374619706">
    <w:abstractNumId w:val="5"/>
  </w:num>
  <w:num w:numId="5" w16cid:durableId="1219393958">
    <w:abstractNumId w:val="9"/>
  </w:num>
  <w:num w:numId="6" w16cid:durableId="691493709">
    <w:abstractNumId w:val="0"/>
  </w:num>
  <w:num w:numId="7" w16cid:durableId="1409306772">
    <w:abstractNumId w:val="2"/>
  </w:num>
  <w:num w:numId="8" w16cid:durableId="2141223483">
    <w:abstractNumId w:val="6"/>
  </w:num>
  <w:num w:numId="9" w16cid:durableId="937057634">
    <w:abstractNumId w:val="4"/>
  </w:num>
  <w:num w:numId="10" w16cid:durableId="124718083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42B93"/>
    <w:rsid w:val="00043C7F"/>
    <w:rsid w:val="000467A8"/>
    <w:rsid w:val="000547A8"/>
    <w:rsid w:val="0006570F"/>
    <w:rsid w:val="00075DE8"/>
    <w:rsid w:val="00087439"/>
    <w:rsid w:val="000C1260"/>
    <w:rsid w:val="000C560C"/>
    <w:rsid w:val="000D080B"/>
    <w:rsid w:val="000D48FD"/>
    <w:rsid w:val="000D79CC"/>
    <w:rsid w:val="000E1C64"/>
    <w:rsid w:val="000F24B2"/>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4584"/>
    <w:rsid w:val="00185270"/>
    <w:rsid w:val="00190E84"/>
    <w:rsid w:val="001A3B5A"/>
    <w:rsid w:val="001A458C"/>
    <w:rsid w:val="001B7CE9"/>
    <w:rsid w:val="001D495A"/>
    <w:rsid w:val="001E244C"/>
    <w:rsid w:val="001F1437"/>
    <w:rsid w:val="001F40FC"/>
    <w:rsid w:val="00202B96"/>
    <w:rsid w:val="00206799"/>
    <w:rsid w:val="002074FE"/>
    <w:rsid w:val="002160C8"/>
    <w:rsid w:val="0022401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3040"/>
    <w:rsid w:val="003113FF"/>
    <w:rsid w:val="00312622"/>
    <w:rsid w:val="0032277F"/>
    <w:rsid w:val="00323585"/>
    <w:rsid w:val="00325DF9"/>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CA1"/>
    <w:rsid w:val="003C4EBB"/>
    <w:rsid w:val="003D1531"/>
    <w:rsid w:val="003D4880"/>
    <w:rsid w:val="003D7487"/>
    <w:rsid w:val="003E4EC6"/>
    <w:rsid w:val="003E527E"/>
    <w:rsid w:val="003E553E"/>
    <w:rsid w:val="003E7078"/>
    <w:rsid w:val="003F1EAA"/>
    <w:rsid w:val="003F3DF5"/>
    <w:rsid w:val="003F73B8"/>
    <w:rsid w:val="0040297E"/>
    <w:rsid w:val="00410468"/>
    <w:rsid w:val="00411D11"/>
    <w:rsid w:val="00414494"/>
    <w:rsid w:val="00415E23"/>
    <w:rsid w:val="0041670D"/>
    <w:rsid w:val="00417D21"/>
    <w:rsid w:val="00423272"/>
    <w:rsid w:val="00424061"/>
    <w:rsid w:val="00432EAD"/>
    <w:rsid w:val="00442A3C"/>
    <w:rsid w:val="00443969"/>
    <w:rsid w:val="004473DC"/>
    <w:rsid w:val="00447D74"/>
    <w:rsid w:val="00450A74"/>
    <w:rsid w:val="004546BF"/>
    <w:rsid w:val="00465350"/>
    <w:rsid w:val="0047433F"/>
    <w:rsid w:val="00476B91"/>
    <w:rsid w:val="004846BF"/>
    <w:rsid w:val="0049486D"/>
    <w:rsid w:val="00494912"/>
    <w:rsid w:val="004A5323"/>
    <w:rsid w:val="004A5A99"/>
    <w:rsid w:val="004C6979"/>
    <w:rsid w:val="004D13A2"/>
    <w:rsid w:val="004D3E7A"/>
    <w:rsid w:val="004E0821"/>
    <w:rsid w:val="004F594B"/>
    <w:rsid w:val="004F61E1"/>
    <w:rsid w:val="00501197"/>
    <w:rsid w:val="0053380B"/>
    <w:rsid w:val="00543194"/>
    <w:rsid w:val="00544138"/>
    <w:rsid w:val="00554E34"/>
    <w:rsid w:val="005637B0"/>
    <w:rsid w:val="005741F7"/>
    <w:rsid w:val="00584583"/>
    <w:rsid w:val="00590E90"/>
    <w:rsid w:val="00590EEB"/>
    <w:rsid w:val="00593448"/>
    <w:rsid w:val="0059428C"/>
    <w:rsid w:val="005A313D"/>
    <w:rsid w:val="005A4099"/>
    <w:rsid w:val="005C38B2"/>
    <w:rsid w:val="005C5029"/>
    <w:rsid w:val="005C55C2"/>
    <w:rsid w:val="005C71CA"/>
    <w:rsid w:val="005C745C"/>
    <w:rsid w:val="005D4DF5"/>
    <w:rsid w:val="005E0E96"/>
    <w:rsid w:val="005E42BA"/>
    <w:rsid w:val="00611D6B"/>
    <w:rsid w:val="00614226"/>
    <w:rsid w:val="00625CFD"/>
    <w:rsid w:val="00630052"/>
    <w:rsid w:val="006326EC"/>
    <w:rsid w:val="00653117"/>
    <w:rsid w:val="00663A42"/>
    <w:rsid w:val="006641C7"/>
    <w:rsid w:val="006705EA"/>
    <w:rsid w:val="00670BE2"/>
    <w:rsid w:val="006916D9"/>
    <w:rsid w:val="00695C74"/>
    <w:rsid w:val="006A0E05"/>
    <w:rsid w:val="006A26C6"/>
    <w:rsid w:val="006A465A"/>
    <w:rsid w:val="006A7D5D"/>
    <w:rsid w:val="006B2FB4"/>
    <w:rsid w:val="006C32CF"/>
    <w:rsid w:val="006C726F"/>
    <w:rsid w:val="006D0C12"/>
    <w:rsid w:val="006D5164"/>
    <w:rsid w:val="006D5D57"/>
    <w:rsid w:val="006E2538"/>
    <w:rsid w:val="006E302F"/>
    <w:rsid w:val="006F1698"/>
    <w:rsid w:val="006F4D6D"/>
    <w:rsid w:val="00703C23"/>
    <w:rsid w:val="00705086"/>
    <w:rsid w:val="00705A73"/>
    <w:rsid w:val="00722001"/>
    <w:rsid w:val="00727CDF"/>
    <w:rsid w:val="00744525"/>
    <w:rsid w:val="00751E66"/>
    <w:rsid w:val="00754497"/>
    <w:rsid w:val="00773201"/>
    <w:rsid w:val="00774385"/>
    <w:rsid w:val="00787C39"/>
    <w:rsid w:val="00792947"/>
    <w:rsid w:val="00795DF3"/>
    <w:rsid w:val="007A1A08"/>
    <w:rsid w:val="007A373C"/>
    <w:rsid w:val="007B225C"/>
    <w:rsid w:val="007C10B7"/>
    <w:rsid w:val="007C75B1"/>
    <w:rsid w:val="007D3DFC"/>
    <w:rsid w:val="007E2F07"/>
    <w:rsid w:val="007E59A8"/>
    <w:rsid w:val="0080776D"/>
    <w:rsid w:val="00810145"/>
    <w:rsid w:val="008108FA"/>
    <w:rsid w:val="00810FF1"/>
    <w:rsid w:val="00822336"/>
    <w:rsid w:val="00823DFA"/>
    <w:rsid w:val="00824DE0"/>
    <w:rsid w:val="00842DB7"/>
    <w:rsid w:val="00842FCB"/>
    <w:rsid w:val="00843752"/>
    <w:rsid w:val="0084479F"/>
    <w:rsid w:val="0085725E"/>
    <w:rsid w:val="00860851"/>
    <w:rsid w:val="00873D4F"/>
    <w:rsid w:val="00874697"/>
    <w:rsid w:val="0087509F"/>
    <w:rsid w:val="00885B09"/>
    <w:rsid w:val="00892400"/>
    <w:rsid w:val="008A209D"/>
    <w:rsid w:val="008A22BB"/>
    <w:rsid w:val="008A2C14"/>
    <w:rsid w:val="008B035D"/>
    <w:rsid w:val="008B0E29"/>
    <w:rsid w:val="008B0EFA"/>
    <w:rsid w:val="008B30AB"/>
    <w:rsid w:val="008C3BB8"/>
    <w:rsid w:val="008C4B65"/>
    <w:rsid w:val="008E5F55"/>
    <w:rsid w:val="009009E7"/>
    <w:rsid w:val="00905DEF"/>
    <w:rsid w:val="00906056"/>
    <w:rsid w:val="00907D71"/>
    <w:rsid w:val="009122AE"/>
    <w:rsid w:val="00913B43"/>
    <w:rsid w:val="00930203"/>
    <w:rsid w:val="009311D2"/>
    <w:rsid w:val="009311E6"/>
    <w:rsid w:val="00931275"/>
    <w:rsid w:val="00936AC7"/>
    <w:rsid w:val="00946E01"/>
    <w:rsid w:val="00947761"/>
    <w:rsid w:val="00953B64"/>
    <w:rsid w:val="00954895"/>
    <w:rsid w:val="009646A7"/>
    <w:rsid w:val="00970A88"/>
    <w:rsid w:val="00973F47"/>
    <w:rsid w:val="009818A1"/>
    <w:rsid w:val="00983EC4"/>
    <w:rsid w:val="009A0499"/>
    <w:rsid w:val="009A1674"/>
    <w:rsid w:val="009A79B9"/>
    <w:rsid w:val="009B38BE"/>
    <w:rsid w:val="009B4DF2"/>
    <w:rsid w:val="009C5D82"/>
    <w:rsid w:val="009C684F"/>
    <w:rsid w:val="009D074C"/>
    <w:rsid w:val="009D6E73"/>
    <w:rsid w:val="009F1F1D"/>
    <w:rsid w:val="009F2B4F"/>
    <w:rsid w:val="009F3C63"/>
    <w:rsid w:val="009F66B5"/>
    <w:rsid w:val="00A02F10"/>
    <w:rsid w:val="00A04A9E"/>
    <w:rsid w:val="00A1060C"/>
    <w:rsid w:val="00A14702"/>
    <w:rsid w:val="00A16221"/>
    <w:rsid w:val="00A20A7D"/>
    <w:rsid w:val="00A35D42"/>
    <w:rsid w:val="00A46CCF"/>
    <w:rsid w:val="00A506DE"/>
    <w:rsid w:val="00A53451"/>
    <w:rsid w:val="00A65225"/>
    <w:rsid w:val="00A70426"/>
    <w:rsid w:val="00A707CC"/>
    <w:rsid w:val="00A71410"/>
    <w:rsid w:val="00A7694A"/>
    <w:rsid w:val="00A91E9A"/>
    <w:rsid w:val="00A93ED9"/>
    <w:rsid w:val="00A96221"/>
    <w:rsid w:val="00A96EA0"/>
    <w:rsid w:val="00AA25EB"/>
    <w:rsid w:val="00AB342F"/>
    <w:rsid w:val="00AC2DBB"/>
    <w:rsid w:val="00AC3E56"/>
    <w:rsid w:val="00AC6A99"/>
    <w:rsid w:val="00AD6048"/>
    <w:rsid w:val="00AF0A45"/>
    <w:rsid w:val="00B0478A"/>
    <w:rsid w:val="00B055EF"/>
    <w:rsid w:val="00B06B5B"/>
    <w:rsid w:val="00B11062"/>
    <w:rsid w:val="00B23769"/>
    <w:rsid w:val="00B37B0F"/>
    <w:rsid w:val="00B41789"/>
    <w:rsid w:val="00B72454"/>
    <w:rsid w:val="00B77136"/>
    <w:rsid w:val="00B81808"/>
    <w:rsid w:val="00B830EA"/>
    <w:rsid w:val="00B86DFA"/>
    <w:rsid w:val="00B936D0"/>
    <w:rsid w:val="00B941C0"/>
    <w:rsid w:val="00B94356"/>
    <w:rsid w:val="00B966F9"/>
    <w:rsid w:val="00BB15FB"/>
    <w:rsid w:val="00BD3D5B"/>
    <w:rsid w:val="00BE3600"/>
    <w:rsid w:val="00BF4AC8"/>
    <w:rsid w:val="00C01F6F"/>
    <w:rsid w:val="00C041EA"/>
    <w:rsid w:val="00C13BBD"/>
    <w:rsid w:val="00C149AB"/>
    <w:rsid w:val="00C16929"/>
    <w:rsid w:val="00C20690"/>
    <w:rsid w:val="00C2794F"/>
    <w:rsid w:val="00C33858"/>
    <w:rsid w:val="00C36020"/>
    <w:rsid w:val="00C40694"/>
    <w:rsid w:val="00C40A0D"/>
    <w:rsid w:val="00C479BF"/>
    <w:rsid w:val="00C5124B"/>
    <w:rsid w:val="00C70542"/>
    <w:rsid w:val="00C71649"/>
    <w:rsid w:val="00C731B5"/>
    <w:rsid w:val="00C75CBF"/>
    <w:rsid w:val="00C95B6A"/>
    <w:rsid w:val="00CC2894"/>
    <w:rsid w:val="00CC6D8C"/>
    <w:rsid w:val="00CD0827"/>
    <w:rsid w:val="00CD1DB6"/>
    <w:rsid w:val="00CD77C3"/>
    <w:rsid w:val="00CE112C"/>
    <w:rsid w:val="00CF55D4"/>
    <w:rsid w:val="00D0402C"/>
    <w:rsid w:val="00D12A69"/>
    <w:rsid w:val="00D43771"/>
    <w:rsid w:val="00D524F2"/>
    <w:rsid w:val="00D608DA"/>
    <w:rsid w:val="00D611F6"/>
    <w:rsid w:val="00D71350"/>
    <w:rsid w:val="00D730BF"/>
    <w:rsid w:val="00D852F4"/>
    <w:rsid w:val="00D86D9B"/>
    <w:rsid w:val="00DB1110"/>
    <w:rsid w:val="00DB3730"/>
    <w:rsid w:val="00DC01C6"/>
    <w:rsid w:val="00DC371B"/>
    <w:rsid w:val="00DC3788"/>
    <w:rsid w:val="00DC76C7"/>
    <w:rsid w:val="00DD09F5"/>
    <w:rsid w:val="00DD0E02"/>
    <w:rsid w:val="00DD4201"/>
    <w:rsid w:val="00DD5E9F"/>
    <w:rsid w:val="00DE19E4"/>
    <w:rsid w:val="00DE5711"/>
    <w:rsid w:val="00DF4D10"/>
    <w:rsid w:val="00E00EA0"/>
    <w:rsid w:val="00E021CB"/>
    <w:rsid w:val="00E100C5"/>
    <w:rsid w:val="00E138F1"/>
    <w:rsid w:val="00E2309D"/>
    <w:rsid w:val="00E266B6"/>
    <w:rsid w:val="00E26758"/>
    <w:rsid w:val="00E275B0"/>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0691"/>
    <w:rsid w:val="00EB7538"/>
    <w:rsid w:val="00EC1868"/>
    <w:rsid w:val="00EE335F"/>
    <w:rsid w:val="00EE6468"/>
    <w:rsid w:val="00F1299B"/>
    <w:rsid w:val="00F207A4"/>
    <w:rsid w:val="00F21E06"/>
    <w:rsid w:val="00F25173"/>
    <w:rsid w:val="00F332E3"/>
    <w:rsid w:val="00F355AC"/>
    <w:rsid w:val="00F40CF7"/>
    <w:rsid w:val="00F44194"/>
    <w:rsid w:val="00F603EE"/>
    <w:rsid w:val="00F71A5A"/>
    <w:rsid w:val="00F73A1A"/>
    <w:rsid w:val="00F769E0"/>
    <w:rsid w:val="00F814D9"/>
    <w:rsid w:val="00F87143"/>
    <w:rsid w:val="00F946B1"/>
    <w:rsid w:val="00FA4A46"/>
    <w:rsid w:val="00FA75FE"/>
    <w:rsid w:val="00FB1032"/>
    <w:rsid w:val="00FB39BC"/>
    <w:rsid w:val="00FB6A53"/>
    <w:rsid w:val="00FC11CA"/>
    <w:rsid w:val="00FC6BDE"/>
    <w:rsid w:val="00FC7708"/>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715103"/>
  <w15:chartTrackingRefBased/>
  <w15:docId w15:val="{3492EDAE-BC7E-4333-86A8-4FDA381C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860851"/>
    <w:rPr>
      <w:sz w:val="24"/>
      <w:szCs w:val="24"/>
    </w:rPr>
  </w:style>
  <w:style w:type="character" w:styleId="CommentReference">
    <w:name w:val="annotation reference"/>
    <w:rsid w:val="00417D21"/>
    <w:rPr>
      <w:sz w:val="16"/>
      <w:szCs w:val="16"/>
    </w:rPr>
  </w:style>
  <w:style w:type="paragraph" w:styleId="CommentText">
    <w:name w:val="annotation text"/>
    <w:basedOn w:val="Normal"/>
    <w:link w:val="CommentTextChar"/>
    <w:rsid w:val="00417D21"/>
    <w:rPr>
      <w:sz w:val="20"/>
      <w:szCs w:val="20"/>
    </w:rPr>
  </w:style>
  <w:style w:type="character" w:customStyle="1" w:styleId="CommentTextChar">
    <w:name w:val="Comment Text Char"/>
    <w:basedOn w:val="DefaultParagraphFont"/>
    <w:link w:val="CommentText"/>
    <w:rsid w:val="00417D21"/>
  </w:style>
  <w:style w:type="paragraph" w:styleId="CommentSubject">
    <w:name w:val="annotation subject"/>
    <w:basedOn w:val="CommentText"/>
    <w:next w:val="CommentText"/>
    <w:link w:val="CommentSubjectChar"/>
    <w:rsid w:val="00417D21"/>
    <w:rPr>
      <w:b/>
      <w:bCs/>
    </w:rPr>
  </w:style>
  <w:style w:type="character" w:customStyle="1" w:styleId="CommentSubjectChar">
    <w:name w:val="Comment Subject Char"/>
    <w:link w:val="CommentSubject"/>
    <w:rsid w:val="00417D21"/>
    <w:rPr>
      <w:b/>
      <w:bCs/>
    </w:rPr>
  </w:style>
  <w:style w:type="character" w:customStyle="1" w:styleId="cf01">
    <w:name w:val="cf01"/>
    <w:rsid w:val="00FC7708"/>
    <w:rPr>
      <w:rFonts w:ascii="Segoe UI" w:hAnsi="Segoe UI" w:cs="Segoe UI" w:hint="default"/>
      <w:sz w:val="18"/>
      <w:szCs w:val="18"/>
    </w:rPr>
  </w:style>
  <w:style w:type="paragraph" w:styleId="FootnoteText">
    <w:name w:val="footnote text"/>
    <w:basedOn w:val="Normal"/>
    <w:link w:val="FootnoteTextChar"/>
    <w:rsid w:val="009A0499"/>
    <w:rPr>
      <w:sz w:val="20"/>
      <w:szCs w:val="20"/>
    </w:rPr>
  </w:style>
  <w:style w:type="character" w:customStyle="1" w:styleId="FootnoteTextChar">
    <w:name w:val="Footnote Text Char"/>
    <w:basedOn w:val="DefaultParagraphFont"/>
    <w:link w:val="FootnoteText"/>
    <w:rsid w:val="009A0499"/>
  </w:style>
  <w:style w:type="character" w:styleId="FootnoteReference">
    <w:name w:val="footnote reference"/>
    <w:basedOn w:val="DefaultParagraphFont"/>
    <w:rsid w:val="009A0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da.gov/ForIndustry/SmallBusinessAssistance/default.htm" TargetMode="External" /><Relationship Id="rId11" Type="http://schemas.openxmlformats.org/officeDocument/2006/relationships/hyperlink" Target="https://www.fda.gov/regulatory-information/search-fda-guidance-documents/cvm-gfi-213-new-animal-drugs-and-new-animal-drug-combination-products-administered-or-medicated-feed"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cvm-gfi-233-veterinary-feed-directive-common-format-questions-and-answers" TargetMode="External" /><Relationship Id="rId9" Type="http://schemas.openxmlformats.org/officeDocument/2006/relationships/hyperlink" Target="https://www.fda.gov/animal-veterinary/animal-food-feeds/medicated-fe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Props1.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3.xml><?xml version="1.0" encoding="utf-8"?>
<ds:datastoreItem xmlns:ds="http://schemas.openxmlformats.org/officeDocument/2006/customXml" ds:itemID="{5D1369BE-2CCD-48BC-B16B-17FAF593BEE0}">
  <ds:schemaRefs>
    <ds:schemaRef ds:uri="http://schemas.openxmlformats.org/officeDocument/2006/bibliography"/>
  </ds:schemaRefs>
</ds:datastoreItem>
</file>

<file path=customXml/itemProps4.xml><?xml version="1.0" encoding="utf-8"?>
<ds:datastoreItem xmlns:ds="http://schemas.openxmlformats.org/officeDocument/2006/customXml" ds:itemID="{41E47689-E56B-4B4D-A02B-3A016EAFFFA5}">
  <ds:schemaRefs>
    <ds:schemaRef ds:uri="http://schemas.microsoft.com/office/2006/metadata/properties"/>
    <ds:schemaRef ds:uri="http://schemas.microsoft.com/office/infopath/2007/PartnerControls"/>
    <ds:schemaRef ds:uri="7389913f-922f-4e80-b417-8e04b3f2c4f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2391</Words>
  <Characters>14522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3</cp:revision>
  <cp:lastPrinted>2019-07-03T16:25:00Z</cp:lastPrinted>
  <dcterms:created xsi:type="dcterms:W3CDTF">2024-06-18T13:35:00Z</dcterms:created>
  <dcterms:modified xsi:type="dcterms:W3CDTF">2024-06-18T13:36:00Z</dcterms:modified>
</cp:coreProperties>
</file>