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325F" w:rsidRPr="00B24094" w:rsidP="0019325F" w14:paraId="024A7216" w14:textId="57B6FC26">
      <w:pPr>
        <w:keepNext/>
        <w:keepLines/>
        <w:ind w:left="720"/>
        <w:jc w:val="center"/>
        <w:outlineLvl w:val="6"/>
        <w:rPr>
          <w:rFonts w:eastAsiaTheme="majorEastAsia"/>
          <w:b/>
          <w:i/>
          <w:iCs/>
          <w:color w:val="404040" w:themeColor="text1" w:themeTint="BF"/>
          <w:sz w:val="28"/>
          <w:szCs w:val="28"/>
        </w:rPr>
      </w:pPr>
      <w:bookmarkStart w:id="0" w:name="_MailAutoSig"/>
      <w:r w:rsidRPr="00EA366E">
        <w:rPr>
          <w:rFonts w:eastAsiaTheme="majorEastAsia"/>
          <w:b/>
          <w:i/>
          <w:iCs/>
          <w:color w:val="404040" w:themeColor="text1" w:themeTint="BF"/>
          <w:sz w:val="28"/>
          <w:szCs w:val="28"/>
        </w:rPr>
        <w:t xml:space="preserve">SUPPORTING STATEMENT:  </w:t>
      </w:r>
      <w:r>
        <w:rPr>
          <w:rFonts w:eastAsiaTheme="majorEastAsia"/>
          <w:b/>
          <w:i/>
          <w:iCs/>
          <w:color w:val="404040" w:themeColor="text1" w:themeTint="BF"/>
          <w:sz w:val="28"/>
          <w:szCs w:val="28"/>
        </w:rPr>
        <w:t>PART B</w:t>
      </w:r>
    </w:p>
    <w:p w:rsidR="0019325F" w:rsidRPr="00860BDD" w:rsidP="0019325F" w14:paraId="7D07771A" w14:textId="77777777">
      <w:pPr>
        <w:keepNext/>
        <w:keepLines/>
        <w:ind w:left="720"/>
        <w:jc w:val="center"/>
        <w:outlineLvl w:val="6"/>
        <w:rPr>
          <w:rFonts w:eastAsiaTheme="majorEastAsia"/>
          <w:iCs/>
          <w:color w:val="404040" w:themeColor="text1" w:themeTint="BF"/>
        </w:rPr>
      </w:pPr>
    </w:p>
    <w:p w:rsidR="0019325F" w:rsidRPr="005C388F" w:rsidP="0019325F" w14:paraId="22711ABC" w14:textId="77777777">
      <w:pPr>
        <w:pStyle w:val="BalloonText"/>
        <w:ind w:left="720"/>
        <w:jc w:val="center"/>
        <w:rPr>
          <w:sz w:val="24"/>
          <w:szCs w:val="24"/>
        </w:rPr>
      </w:pPr>
    </w:p>
    <w:p w:rsidR="0019325F" w:rsidRPr="005C388F" w:rsidP="0019325F" w14:paraId="681B5345" w14:textId="77777777">
      <w:pPr>
        <w:autoSpaceDE w:val="0"/>
        <w:autoSpaceDN w:val="0"/>
        <w:adjustRightInd w:val="0"/>
        <w:ind w:left="720"/>
        <w:jc w:val="center"/>
        <w:rPr>
          <w:b/>
          <w:bCs/>
        </w:rPr>
      </w:pPr>
    </w:p>
    <w:p w:rsidR="007563DD" w:rsidP="0019325F" w14:paraId="50ACF3E7" w14:textId="77777777">
      <w:pPr>
        <w:ind w:left="720"/>
        <w:jc w:val="center"/>
        <w:rPr>
          <w:b/>
        </w:rPr>
      </w:pPr>
      <w:r w:rsidRPr="005C388F">
        <w:rPr>
          <w:b/>
        </w:rPr>
        <w:t>OMB#</w:t>
      </w:r>
      <w:r>
        <w:rPr>
          <w:b/>
        </w:rPr>
        <w:t xml:space="preserve"> 0920-</w:t>
      </w:r>
      <w:r w:rsidR="005B5C36">
        <w:rPr>
          <w:b/>
        </w:rPr>
        <w:t>xxxx</w:t>
      </w:r>
    </w:p>
    <w:p w:rsidR="007563DD" w:rsidP="0019325F" w14:paraId="5A1617BA" w14:textId="77777777">
      <w:pPr>
        <w:ind w:left="720"/>
        <w:jc w:val="center"/>
        <w:rPr>
          <w:b/>
        </w:rPr>
      </w:pPr>
    </w:p>
    <w:p w:rsidR="0019325F" w:rsidP="0019325F" w14:paraId="7B566803" w14:textId="3B508D35">
      <w:pPr>
        <w:ind w:left="720"/>
        <w:jc w:val="center"/>
        <w:rPr>
          <w:b/>
        </w:rPr>
      </w:pPr>
      <w:r w:rsidRPr="005C388F">
        <w:rPr>
          <w:b/>
        </w:rPr>
        <w:t xml:space="preserve"> </w:t>
      </w:r>
    </w:p>
    <w:p w:rsidR="0089468A" w:rsidRPr="005C388F" w:rsidP="0089468A" w14:paraId="166797F4" w14:textId="0D957F06">
      <w:pPr>
        <w:ind w:left="720"/>
        <w:jc w:val="center"/>
        <w:rPr>
          <w:b/>
        </w:rPr>
      </w:pPr>
      <w:r>
        <w:rPr>
          <w:b/>
        </w:rPr>
        <w:t xml:space="preserve">Date: </w:t>
      </w:r>
      <w:r w:rsidR="007563DD">
        <w:rPr>
          <w:b/>
        </w:rPr>
        <w:t>0</w:t>
      </w:r>
      <w:r w:rsidR="00960674">
        <w:rPr>
          <w:b/>
        </w:rPr>
        <w:t>9</w:t>
      </w:r>
      <w:r w:rsidR="007563DD">
        <w:rPr>
          <w:b/>
        </w:rPr>
        <w:t>/</w:t>
      </w:r>
      <w:r w:rsidR="00960674">
        <w:rPr>
          <w:b/>
        </w:rPr>
        <w:t>18</w:t>
      </w:r>
      <w:r w:rsidR="00E510E4">
        <w:rPr>
          <w:b/>
        </w:rPr>
        <w:t>/2023</w:t>
      </w:r>
    </w:p>
    <w:p w:rsidR="0019325F" w:rsidP="0019325F" w14:paraId="3CE13526" w14:textId="77777777">
      <w:pPr>
        <w:ind w:left="720"/>
        <w:jc w:val="center"/>
        <w:rPr>
          <w:b/>
        </w:rPr>
      </w:pPr>
    </w:p>
    <w:p w:rsidR="0019325F" w:rsidP="0019325F" w14:paraId="26C0C899" w14:textId="77777777">
      <w:pPr>
        <w:ind w:left="720"/>
        <w:jc w:val="center"/>
        <w:rPr>
          <w:b/>
        </w:rPr>
      </w:pPr>
    </w:p>
    <w:p w:rsidR="0019325F" w:rsidP="0019325F" w14:paraId="4CDC6E99" w14:textId="77777777">
      <w:pPr>
        <w:ind w:left="720"/>
        <w:jc w:val="center"/>
        <w:rPr>
          <w:b/>
        </w:rPr>
      </w:pPr>
    </w:p>
    <w:p w:rsidR="0019325F" w:rsidP="0019325F" w14:paraId="3F8BB554" w14:textId="77777777">
      <w:pPr>
        <w:ind w:left="720"/>
        <w:jc w:val="center"/>
        <w:rPr>
          <w:b/>
        </w:rPr>
      </w:pPr>
    </w:p>
    <w:p w:rsidR="0019325F" w:rsidP="0019325F" w14:paraId="6DB837DF" w14:textId="77777777">
      <w:pPr>
        <w:ind w:left="720"/>
        <w:jc w:val="center"/>
        <w:rPr>
          <w:b/>
        </w:rPr>
      </w:pPr>
    </w:p>
    <w:p w:rsidR="00872B47" w:rsidP="00872B47" w14:paraId="57606CE7" w14:textId="54F54311">
      <w:pPr>
        <w:ind w:left="720"/>
        <w:jc w:val="center"/>
        <w:rPr>
          <w:rStyle w:val="BookTitle"/>
          <w:sz w:val="36"/>
        </w:rPr>
      </w:pPr>
      <w:r>
        <w:rPr>
          <w:rStyle w:val="BookTitle"/>
          <w:sz w:val="36"/>
        </w:rPr>
        <w:t xml:space="preserve">Reporting of the </w:t>
      </w:r>
      <w:r w:rsidRPr="00C3508F">
        <w:rPr>
          <w:rStyle w:val="BookTitle"/>
          <w:sz w:val="36"/>
        </w:rPr>
        <w:t>Essentials for Childhood (</w:t>
      </w:r>
      <w:r w:rsidR="002031B1">
        <w:rPr>
          <w:rStyle w:val="BookTitle"/>
          <w:sz w:val="36"/>
        </w:rPr>
        <w:t>EfC</w:t>
      </w:r>
      <w:r w:rsidRPr="00C3508F">
        <w:rPr>
          <w:rStyle w:val="BookTitle"/>
          <w:sz w:val="36"/>
        </w:rPr>
        <w:t>): Preventing Adverse Childhood Experiences through Data to Action</w:t>
      </w:r>
      <w:r w:rsidRPr="00C3508F">
        <w:rPr>
          <w:rStyle w:val="BookTitle"/>
          <w:sz w:val="36"/>
        </w:rPr>
        <w:t xml:space="preserve"> </w:t>
      </w:r>
      <w:r>
        <w:rPr>
          <w:rStyle w:val="BookTitle"/>
          <w:sz w:val="36"/>
        </w:rPr>
        <w:t>Program</w:t>
      </w:r>
    </w:p>
    <w:p w:rsidR="00872B47" w:rsidRPr="00000E0D" w:rsidP="00872B47" w14:paraId="2C1174CB" w14:textId="3F346055">
      <w:pPr>
        <w:ind w:left="720"/>
        <w:jc w:val="center"/>
        <w:rPr>
          <w:rStyle w:val="BookTitle"/>
          <w:sz w:val="36"/>
        </w:rPr>
      </w:pPr>
      <w:r>
        <w:rPr>
          <w:rStyle w:val="BookTitle"/>
          <w:sz w:val="36"/>
        </w:rPr>
        <w:t xml:space="preserve">data collection instruments </w:t>
      </w:r>
    </w:p>
    <w:p w:rsidR="0019325F" w:rsidRPr="005C388F" w:rsidP="0019325F" w14:paraId="0BB678E4" w14:textId="77777777">
      <w:pPr>
        <w:ind w:left="720"/>
        <w:jc w:val="center"/>
      </w:pPr>
    </w:p>
    <w:p w:rsidR="0019325F" w:rsidRPr="005C388F" w:rsidP="0019325F" w14:paraId="72486BE3" w14:textId="77777777">
      <w:pPr>
        <w:ind w:left="720"/>
        <w:jc w:val="center"/>
      </w:pPr>
    </w:p>
    <w:p w:rsidR="0019325F" w:rsidRPr="005C388F" w:rsidP="0019325F" w14:paraId="5F5FD1FC" w14:textId="77777777">
      <w:pPr>
        <w:ind w:left="720"/>
        <w:jc w:val="center"/>
        <w:rPr>
          <w:bCs/>
        </w:rPr>
      </w:pPr>
    </w:p>
    <w:p w:rsidR="0019325F" w:rsidRPr="005C388F" w:rsidP="0019325F" w14:paraId="7A078763" w14:textId="77777777">
      <w:pPr>
        <w:ind w:left="720"/>
        <w:jc w:val="center"/>
        <w:rPr>
          <w:bCs/>
        </w:rPr>
      </w:pPr>
    </w:p>
    <w:p w:rsidR="0019325F" w:rsidRPr="005C388F" w:rsidP="0019325F" w14:paraId="0DE1CED0" w14:textId="77777777">
      <w:pPr>
        <w:ind w:left="720"/>
        <w:jc w:val="center"/>
        <w:rPr>
          <w:bCs/>
        </w:rPr>
      </w:pPr>
    </w:p>
    <w:p w:rsidR="0019325F" w:rsidRPr="005C388F" w:rsidP="0019325F" w14:paraId="2AC7C021" w14:textId="77777777">
      <w:pPr>
        <w:ind w:left="720"/>
        <w:jc w:val="center"/>
        <w:rPr>
          <w:bCs/>
        </w:rPr>
      </w:pPr>
    </w:p>
    <w:p w:rsidR="0019325F" w:rsidRPr="005C388F" w:rsidP="0019325F" w14:paraId="4C227F2A" w14:textId="77777777">
      <w:pPr>
        <w:ind w:left="720"/>
        <w:jc w:val="center"/>
        <w:rPr>
          <w:bCs/>
        </w:rPr>
      </w:pPr>
    </w:p>
    <w:p w:rsidR="0019325F" w:rsidRPr="005C388F" w:rsidP="0019325F" w14:paraId="62754B8B" w14:textId="77777777">
      <w:pPr>
        <w:ind w:left="720"/>
        <w:jc w:val="center"/>
      </w:pPr>
    </w:p>
    <w:p w:rsidR="0019325F" w:rsidRPr="005C388F" w:rsidP="0019325F" w14:paraId="48DFF2CE" w14:textId="77777777">
      <w:pPr>
        <w:ind w:left="720"/>
        <w:jc w:val="center"/>
      </w:pPr>
    </w:p>
    <w:p w:rsidR="0019325F" w:rsidRPr="005C388F" w:rsidP="0019325F" w14:paraId="5272A479" w14:textId="77777777">
      <w:pPr>
        <w:ind w:left="720"/>
        <w:jc w:val="center"/>
      </w:pPr>
    </w:p>
    <w:p w:rsidR="0019325F" w:rsidRPr="005C388F" w:rsidP="0019325F" w14:paraId="131C956B" w14:textId="77777777">
      <w:pPr>
        <w:ind w:left="720"/>
        <w:jc w:val="center"/>
      </w:pPr>
    </w:p>
    <w:p w:rsidR="0019325F" w:rsidRPr="005C388F" w:rsidP="0019325F" w14:paraId="4A9CED15" w14:textId="77777777">
      <w:pPr>
        <w:ind w:left="720"/>
        <w:jc w:val="right"/>
      </w:pPr>
    </w:p>
    <w:p w:rsidR="0019325F" w:rsidRPr="005C388F" w:rsidP="0019325F" w14:paraId="014015D9" w14:textId="77777777">
      <w:pPr>
        <w:ind w:left="720"/>
        <w:jc w:val="right"/>
      </w:pPr>
    </w:p>
    <w:p w:rsidR="0019325F" w:rsidRPr="00691454" w:rsidP="0019325F" w14:paraId="1292E9CC" w14:textId="77777777">
      <w:pPr>
        <w:jc w:val="center"/>
      </w:pPr>
      <w:r w:rsidRPr="00691454">
        <w:t>Point of Contact:</w:t>
      </w:r>
    </w:p>
    <w:p w:rsidR="00872B47" w:rsidP="00872B47" w14:paraId="158722EE" w14:textId="77777777">
      <w:pPr>
        <w:jc w:val="center"/>
      </w:pPr>
      <w:r>
        <w:t>Khiya Mullins, DrPH</w:t>
      </w:r>
    </w:p>
    <w:p w:rsidR="00872B47" w:rsidP="00872B47" w14:paraId="7C53B769" w14:textId="77777777">
      <w:pPr>
        <w:jc w:val="center"/>
      </w:pPr>
      <w:r>
        <w:t xml:space="preserve">Lead Behavioral Scientist </w:t>
      </w:r>
    </w:p>
    <w:p w:rsidR="00872B47" w:rsidRPr="00691454" w:rsidP="00872B47" w14:paraId="32B024C4" w14:textId="11CC684C">
      <w:pPr>
        <w:pStyle w:val="E-mailSignature"/>
        <w:jc w:val="center"/>
        <w:rPr>
          <w:noProof/>
        </w:rPr>
      </w:pPr>
      <w:r w:rsidRPr="00691454">
        <w:rPr>
          <w:noProof/>
        </w:rPr>
        <w:t>National Center for Injury Prevention and Control</w:t>
      </w:r>
      <w:r w:rsidR="00150E7C">
        <w:rPr>
          <w:noProof/>
        </w:rPr>
        <w:t xml:space="preserve"> (NCIPC)</w:t>
      </w:r>
    </w:p>
    <w:p w:rsidR="00872B47" w:rsidP="00872B47" w14:paraId="2A7F4327" w14:textId="0BD0F5F1">
      <w:pPr>
        <w:pStyle w:val="E-mailSignature"/>
        <w:jc w:val="center"/>
        <w:rPr>
          <w:noProof/>
        </w:rPr>
      </w:pPr>
      <w:r w:rsidRPr="00691454">
        <w:rPr>
          <w:noProof/>
        </w:rPr>
        <w:t>Centers for Disease Control and Prevention</w:t>
      </w:r>
      <w:r w:rsidR="00150E7C">
        <w:rPr>
          <w:noProof/>
        </w:rPr>
        <w:t xml:space="preserve"> (CDC)</w:t>
      </w:r>
    </w:p>
    <w:p w:rsidR="00872B47" w:rsidRPr="00691454" w:rsidP="00872B47" w14:paraId="6F4001BD" w14:textId="77777777">
      <w:pPr>
        <w:pStyle w:val="E-mailSignature"/>
        <w:jc w:val="center"/>
        <w:rPr>
          <w:noProof/>
        </w:rPr>
      </w:pPr>
      <w:r>
        <w:rPr>
          <w:noProof/>
        </w:rPr>
        <w:t>P</w:t>
      </w:r>
      <w:r w:rsidRPr="00691454">
        <w:rPr>
          <w:noProof/>
        </w:rPr>
        <w:t>hone:</w:t>
      </w:r>
      <w:r>
        <w:rPr>
          <w:noProof/>
        </w:rPr>
        <w:t xml:space="preserve">  770-488-3911</w:t>
      </w:r>
    </w:p>
    <w:p w:rsidR="00872B47" w:rsidP="00872B47" w14:paraId="058F8FF2" w14:textId="77777777">
      <w:pPr>
        <w:pStyle w:val="E-mailSignature"/>
        <w:jc w:val="center"/>
        <w:rPr>
          <w:noProof/>
        </w:rPr>
      </w:pPr>
      <w:r>
        <w:rPr>
          <w:noProof/>
        </w:rPr>
        <w:t>E</w:t>
      </w:r>
      <w:r w:rsidRPr="00691454">
        <w:rPr>
          <w:noProof/>
        </w:rPr>
        <w:t>mail:</w:t>
      </w:r>
      <w:r>
        <w:rPr>
          <w:noProof/>
        </w:rPr>
        <w:t xml:space="preserve"> </w:t>
      </w:r>
      <w:r>
        <w:rPr>
          <w:rStyle w:val="Hyperlink"/>
          <w:noProof/>
        </w:rPr>
        <w:t xml:space="preserve"> </w:t>
      </w:r>
      <w:hyperlink r:id="rId5" w:history="1">
        <w:r w:rsidRPr="00352C53">
          <w:rPr>
            <w:rStyle w:val="Hyperlink"/>
            <w:noProof/>
          </w:rPr>
          <w:t>fys7@cdc.gov</w:t>
        </w:r>
      </w:hyperlink>
      <w:r>
        <w:rPr>
          <w:rStyle w:val="Hyperlink"/>
          <w:noProof/>
        </w:rPr>
        <w:t xml:space="preserve"> </w:t>
      </w:r>
    </w:p>
    <w:p w:rsidR="0019325F" w:rsidP="0019325F" w14:paraId="5AAD5EA7" w14:textId="77777777">
      <w:pPr>
        <w:pStyle w:val="E-mailSignature"/>
        <w:jc w:val="center"/>
        <w:rPr>
          <w:noProof/>
        </w:rPr>
      </w:pPr>
    </w:p>
    <w:p w:rsidR="0019325F" w:rsidP="0019325F" w14:paraId="48151F15" w14:textId="77777777">
      <w:pPr>
        <w:spacing w:after="160" w:line="259" w:lineRule="auto"/>
        <w:rPr>
          <w:noProof/>
        </w:rPr>
      </w:pPr>
      <w:r>
        <w:rPr>
          <w:noProof/>
        </w:rPr>
        <w:br w:type="page"/>
      </w:r>
    </w:p>
    <w:sdt>
      <w:sdtPr>
        <w:rPr>
          <w:rFonts w:ascii="Times New Roman" w:eastAsia="Times New Roman" w:hAnsi="Times New Roman" w:cs="Times New Roman"/>
          <w:color w:val="auto"/>
          <w:sz w:val="24"/>
          <w:szCs w:val="24"/>
        </w:rPr>
        <w:id w:val="-1008200984"/>
        <w:docPartObj>
          <w:docPartGallery w:val="Table of Contents"/>
          <w:docPartUnique/>
        </w:docPartObj>
      </w:sdtPr>
      <w:sdtEndPr>
        <w:rPr>
          <w:b/>
          <w:bCs/>
          <w:noProof/>
        </w:rPr>
      </w:sdtEndPr>
      <w:sdtContent>
        <w:p w:rsidR="00860BDD" w:rsidRPr="00076BF7" w:rsidP="004D7781" w14:paraId="3480C453" w14:textId="698C4457">
          <w:pPr>
            <w:pStyle w:val="TOCHeading"/>
            <w:jc w:val="center"/>
            <w:rPr>
              <w:rFonts w:ascii="Times New Roman" w:hAnsi="Times New Roman" w:cs="Times New Roman"/>
              <w:b/>
              <w:color w:val="auto"/>
              <w:sz w:val="28"/>
            </w:rPr>
          </w:pPr>
          <w:r w:rsidRPr="00076BF7">
            <w:rPr>
              <w:rFonts w:ascii="Times New Roman" w:hAnsi="Times New Roman" w:cs="Times New Roman"/>
              <w:b/>
              <w:color w:val="auto"/>
              <w:sz w:val="28"/>
            </w:rPr>
            <w:t>TABLE OF CONTENTS</w:t>
          </w:r>
        </w:p>
        <w:p w:rsidR="00076BF7" w:rsidP="00076BF7" w14:paraId="526F361B" w14:textId="2F16A15C"/>
        <w:p w:rsidR="00076BF7" w:rsidRPr="00076BF7" w:rsidP="00F002AC" w14:paraId="1239055D" w14:textId="20A2D142">
          <w:pPr>
            <w:tabs>
              <w:tab w:val="right" w:pos="10080"/>
            </w:tabs>
            <w:rPr>
              <w:b/>
              <w:u w:val="single"/>
            </w:rPr>
          </w:pPr>
          <w:r>
            <w:rPr>
              <w:b/>
              <w:u w:val="single"/>
            </w:rPr>
            <w:t xml:space="preserve">Section </w:t>
          </w:r>
          <w:r w:rsidRPr="00F002AC">
            <w:rPr>
              <w:b/>
            </w:rPr>
            <w:tab/>
          </w:r>
          <w:r>
            <w:rPr>
              <w:b/>
              <w:u w:val="single"/>
            </w:rPr>
            <w:t>Page</w:t>
          </w:r>
        </w:p>
        <w:p w:rsidR="00350382" w14:paraId="77382E8C" w14:textId="19488B2D">
          <w:pPr>
            <w:pStyle w:val="TOC1"/>
            <w:tabs>
              <w:tab w:val="right" w:leader="dot" w:pos="10070"/>
            </w:tabs>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5057311" w:history="1">
            <w:r w:rsidRPr="007E232C">
              <w:rPr>
                <w:rStyle w:val="Hyperlink"/>
                <w:noProof/>
              </w:rPr>
              <w:t>B. COLLECTIONS OF INFORMATION EMPLOYING STATISTICAL METHODS</w:t>
            </w:r>
            <w:r>
              <w:rPr>
                <w:noProof/>
                <w:webHidden/>
              </w:rPr>
              <w:tab/>
            </w:r>
            <w:r>
              <w:rPr>
                <w:noProof/>
                <w:webHidden/>
              </w:rPr>
              <w:fldChar w:fldCharType="begin"/>
            </w:r>
            <w:r>
              <w:rPr>
                <w:noProof/>
                <w:webHidden/>
              </w:rPr>
              <w:instrText xml:space="preserve"> PAGEREF _Toc5057311 \h </w:instrText>
            </w:r>
            <w:r>
              <w:rPr>
                <w:noProof/>
                <w:webHidden/>
              </w:rPr>
              <w:fldChar w:fldCharType="separate"/>
            </w:r>
            <w:r w:rsidR="007B1644">
              <w:rPr>
                <w:noProof/>
                <w:webHidden/>
              </w:rPr>
              <w:t>3</w:t>
            </w:r>
            <w:r>
              <w:rPr>
                <w:noProof/>
                <w:webHidden/>
              </w:rPr>
              <w:fldChar w:fldCharType="end"/>
            </w:r>
          </w:hyperlink>
        </w:p>
        <w:p w:rsidR="00350382" w14:paraId="415EAEBD" w14:textId="53C772CD">
          <w:pPr>
            <w:pStyle w:val="TOC2"/>
            <w:rPr>
              <w:rFonts w:asciiTheme="minorHAnsi" w:eastAsiaTheme="minorEastAsia" w:hAnsiTheme="minorHAnsi" w:cstheme="minorBidi"/>
              <w:noProof/>
              <w:sz w:val="22"/>
              <w:szCs w:val="22"/>
            </w:rPr>
          </w:pPr>
          <w:hyperlink w:anchor="_Toc5057312" w:history="1">
            <w:r w:rsidRPr="007E232C">
              <w:rPr>
                <w:rStyle w:val="Hyperlink"/>
                <w:noProof/>
              </w:rPr>
              <w:t>B.1. Respondent Universe and Sampling Methods</w:t>
            </w:r>
            <w:r>
              <w:rPr>
                <w:noProof/>
                <w:webHidden/>
              </w:rPr>
              <w:tab/>
            </w:r>
            <w:r>
              <w:rPr>
                <w:noProof/>
                <w:webHidden/>
              </w:rPr>
              <w:fldChar w:fldCharType="begin"/>
            </w:r>
            <w:r>
              <w:rPr>
                <w:noProof/>
                <w:webHidden/>
              </w:rPr>
              <w:instrText xml:space="preserve"> PAGEREF _Toc5057312 \h </w:instrText>
            </w:r>
            <w:r>
              <w:rPr>
                <w:noProof/>
                <w:webHidden/>
              </w:rPr>
              <w:fldChar w:fldCharType="separate"/>
            </w:r>
            <w:r w:rsidR="007B1644">
              <w:rPr>
                <w:noProof/>
                <w:webHidden/>
              </w:rPr>
              <w:t>3</w:t>
            </w:r>
            <w:r>
              <w:rPr>
                <w:noProof/>
                <w:webHidden/>
              </w:rPr>
              <w:fldChar w:fldCharType="end"/>
            </w:r>
          </w:hyperlink>
        </w:p>
        <w:p w:rsidR="00350382" w14:paraId="6862687E" w14:textId="07BFA2C7">
          <w:pPr>
            <w:pStyle w:val="TOC2"/>
            <w:rPr>
              <w:rFonts w:asciiTheme="minorHAnsi" w:eastAsiaTheme="minorEastAsia" w:hAnsiTheme="minorHAnsi" w:cstheme="minorBidi"/>
              <w:noProof/>
              <w:sz w:val="22"/>
              <w:szCs w:val="22"/>
            </w:rPr>
          </w:pPr>
          <w:hyperlink w:anchor="_Toc5057313" w:history="1">
            <w:r w:rsidRPr="007E232C">
              <w:rPr>
                <w:rStyle w:val="Hyperlink"/>
                <w:noProof/>
              </w:rPr>
              <w:t>B.2. Procedures for the Collection of Information</w:t>
            </w:r>
            <w:r>
              <w:rPr>
                <w:noProof/>
                <w:webHidden/>
              </w:rPr>
              <w:tab/>
            </w:r>
            <w:r>
              <w:rPr>
                <w:noProof/>
                <w:webHidden/>
              </w:rPr>
              <w:fldChar w:fldCharType="begin"/>
            </w:r>
            <w:r>
              <w:rPr>
                <w:noProof/>
                <w:webHidden/>
              </w:rPr>
              <w:instrText xml:space="preserve"> PAGEREF _Toc5057313 \h </w:instrText>
            </w:r>
            <w:r>
              <w:rPr>
                <w:noProof/>
                <w:webHidden/>
              </w:rPr>
              <w:fldChar w:fldCharType="separate"/>
            </w:r>
            <w:r w:rsidR="007B1644">
              <w:rPr>
                <w:noProof/>
                <w:webHidden/>
              </w:rPr>
              <w:t>3</w:t>
            </w:r>
            <w:r>
              <w:rPr>
                <w:noProof/>
                <w:webHidden/>
              </w:rPr>
              <w:fldChar w:fldCharType="end"/>
            </w:r>
          </w:hyperlink>
        </w:p>
        <w:p w:rsidR="00350382" w14:paraId="224F8FD4" w14:textId="347F39FB">
          <w:pPr>
            <w:pStyle w:val="TOC2"/>
            <w:rPr>
              <w:rFonts w:asciiTheme="minorHAnsi" w:eastAsiaTheme="minorEastAsia" w:hAnsiTheme="minorHAnsi" w:cstheme="minorBidi"/>
              <w:noProof/>
              <w:sz w:val="22"/>
              <w:szCs w:val="22"/>
            </w:rPr>
          </w:pPr>
          <w:hyperlink w:anchor="_Toc5057314" w:history="1">
            <w:r w:rsidRPr="007E232C">
              <w:rPr>
                <w:rStyle w:val="Hyperlink"/>
                <w:noProof/>
              </w:rPr>
              <w:t>B.3. Methods to Maximize Response Rates and Deal with Nonresponse</w:t>
            </w:r>
            <w:r>
              <w:rPr>
                <w:noProof/>
                <w:webHidden/>
              </w:rPr>
              <w:tab/>
            </w:r>
            <w:r>
              <w:rPr>
                <w:noProof/>
                <w:webHidden/>
              </w:rPr>
              <w:fldChar w:fldCharType="begin"/>
            </w:r>
            <w:r>
              <w:rPr>
                <w:noProof/>
                <w:webHidden/>
              </w:rPr>
              <w:instrText xml:space="preserve"> PAGEREF _Toc5057314 \h </w:instrText>
            </w:r>
            <w:r>
              <w:rPr>
                <w:noProof/>
                <w:webHidden/>
              </w:rPr>
              <w:fldChar w:fldCharType="separate"/>
            </w:r>
            <w:r w:rsidR="007B1644">
              <w:rPr>
                <w:noProof/>
                <w:webHidden/>
              </w:rPr>
              <w:t>4</w:t>
            </w:r>
            <w:r>
              <w:rPr>
                <w:noProof/>
                <w:webHidden/>
              </w:rPr>
              <w:fldChar w:fldCharType="end"/>
            </w:r>
          </w:hyperlink>
        </w:p>
        <w:p w:rsidR="00350382" w14:paraId="614D7AA0" w14:textId="55903EB0">
          <w:pPr>
            <w:pStyle w:val="TOC2"/>
            <w:rPr>
              <w:rFonts w:asciiTheme="minorHAnsi" w:eastAsiaTheme="minorEastAsia" w:hAnsiTheme="minorHAnsi" w:cstheme="minorBidi"/>
              <w:noProof/>
              <w:sz w:val="22"/>
              <w:szCs w:val="22"/>
            </w:rPr>
          </w:pPr>
          <w:hyperlink w:anchor="_Toc5057315" w:history="1">
            <w:r w:rsidRPr="007E232C">
              <w:rPr>
                <w:rStyle w:val="Hyperlink"/>
                <w:noProof/>
              </w:rPr>
              <w:t>B.4. Tests of Procedures or Methods to be Undertaken</w:t>
            </w:r>
            <w:r>
              <w:rPr>
                <w:noProof/>
                <w:webHidden/>
              </w:rPr>
              <w:tab/>
            </w:r>
            <w:r w:rsidR="003658A8">
              <w:rPr>
                <w:noProof/>
                <w:webHidden/>
              </w:rPr>
              <w:t>5</w:t>
            </w:r>
          </w:hyperlink>
        </w:p>
        <w:p w:rsidR="00350382" w14:paraId="74663852" w14:textId="50DAE521">
          <w:pPr>
            <w:pStyle w:val="TOC2"/>
            <w:rPr>
              <w:rFonts w:asciiTheme="minorHAnsi" w:eastAsiaTheme="minorEastAsia" w:hAnsiTheme="minorHAnsi" w:cstheme="minorBidi"/>
              <w:noProof/>
              <w:sz w:val="22"/>
              <w:szCs w:val="22"/>
            </w:rPr>
          </w:pPr>
          <w:hyperlink w:anchor="_Toc5057316" w:history="1">
            <w:r w:rsidRPr="007E232C">
              <w:rPr>
                <w:rStyle w:val="Hyperlink"/>
                <w:noProof/>
              </w:rPr>
              <w:t>B.5. Individuals Consulted on Statistical Aspects and Individuals Collecting an/or Analyzing Data</w:t>
            </w:r>
            <w:r>
              <w:rPr>
                <w:noProof/>
                <w:webHidden/>
              </w:rPr>
              <w:tab/>
            </w:r>
            <w:r>
              <w:rPr>
                <w:noProof/>
                <w:webHidden/>
              </w:rPr>
              <w:fldChar w:fldCharType="begin"/>
            </w:r>
            <w:r>
              <w:rPr>
                <w:noProof/>
                <w:webHidden/>
              </w:rPr>
              <w:instrText xml:space="preserve"> PAGEREF _Toc5057316 \h </w:instrText>
            </w:r>
            <w:r>
              <w:rPr>
                <w:noProof/>
                <w:webHidden/>
              </w:rPr>
              <w:fldChar w:fldCharType="separate"/>
            </w:r>
            <w:r w:rsidR="007B1644">
              <w:rPr>
                <w:noProof/>
                <w:webHidden/>
              </w:rPr>
              <w:t>5</w:t>
            </w:r>
            <w:r>
              <w:rPr>
                <w:noProof/>
                <w:webHidden/>
              </w:rPr>
              <w:fldChar w:fldCharType="end"/>
            </w:r>
          </w:hyperlink>
        </w:p>
        <w:p w:rsidR="00860BDD" w14:paraId="4AF8735A" w14:textId="4A5698FE">
          <w:r>
            <w:rPr>
              <w:b/>
              <w:bCs/>
              <w:noProof/>
            </w:rPr>
            <w:fldChar w:fldCharType="end"/>
          </w:r>
        </w:p>
      </w:sdtContent>
    </w:sdt>
    <w:p w:rsidR="00E84943" w:rsidP="00C7018A" w14:paraId="1DBECBA1" w14:textId="77777777">
      <w:pPr>
        <w:pStyle w:val="E-mailSignature"/>
        <w:rPr>
          <w:b/>
          <w:noProof/>
        </w:rPr>
      </w:pPr>
    </w:p>
    <w:p w:rsidR="00860BDD" w:rsidP="00860BDD" w14:paraId="5B7BA4C4" w14:textId="77777777">
      <w:pPr>
        <w:pStyle w:val="E-mailSignature"/>
        <w:jc w:val="center"/>
        <w:rPr>
          <w:noProof/>
        </w:rPr>
      </w:pPr>
    </w:p>
    <w:p w:rsidR="00860BDD" w:rsidP="00860BDD" w14:paraId="316CE6D2" w14:textId="77777777">
      <w:pPr>
        <w:pStyle w:val="E-mailSignature"/>
        <w:jc w:val="center"/>
        <w:rPr>
          <w:noProof/>
        </w:rPr>
      </w:pPr>
    </w:p>
    <w:p w:rsidR="00860BDD" w:rsidP="00860BDD" w14:paraId="39DFC42E" w14:textId="77777777">
      <w:pPr>
        <w:pStyle w:val="E-mailSignature"/>
        <w:jc w:val="center"/>
        <w:rPr>
          <w:noProof/>
        </w:rPr>
      </w:pPr>
    </w:p>
    <w:p w:rsidR="00860BDD" w14:paraId="5875F3E6" w14:textId="77777777">
      <w:pPr>
        <w:spacing w:after="160" w:line="259" w:lineRule="auto"/>
        <w:rPr>
          <w:noProof/>
        </w:rPr>
      </w:pPr>
      <w:r>
        <w:rPr>
          <w:noProof/>
        </w:rPr>
        <w:br w:type="page"/>
      </w:r>
    </w:p>
    <w:p w:rsidR="00860BDD" w:rsidP="00076BF7" w14:paraId="401A9A91" w14:textId="57F36435">
      <w:pPr>
        <w:pStyle w:val="Heading1"/>
        <w:rPr>
          <w:noProof/>
        </w:rPr>
      </w:pPr>
      <w:bookmarkStart w:id="1" w:name="_Toc5057311"/>
      <w:r>
        <w:rPr>
          <w:noProof/>
        </w:rPr>
        <w:t xml:space="preserve">B. </w:t>
      </w:r>
      <w:r w:rsidR="00F451DF">
        <w:rPr>
          <w:noProof/>
        </w:rPr>
        <w:t>COLLECTIONS OF INFORMATION EMPLOYING STATISTICAL METHODS</w:t>
      </w:r>
      <w:bookmarkEnd w:id="1"/>
    </w:p>
    <w:p w:rsidR="00860BDD" w:rsidRPr="00860BDD" w:rsidP="00860BDD" w14:paraId="57A8889D" w14:textId="77777777"/>
    <w:p w:rsidR="00860BDD" w:rsidP="00DF7C62" w14:paraId="778DC400" w14:textId="732D071D">
      <w:pPr>
        <w:pStyle w:val="Heading2"/>
      </w:pPr>
      <w:bookmarkStart w:id="2" w:name="_Toc5057312"/>
      <w:r>
        <w:t>B</w:t>
      </w:r>
      <w:r>
        <w:t xml:space="preserve">.1. </w:t>
      </w:r>
      <w:r>
        <w:t>Respondent Universe and Sampling Methods</w:t>
      </w:r>
      <w:bookmarkEnd w:id="2"/>
    </w:p>
    <w:p w:rsidR="00860BDD" w:rsidP="00860BDD" w14:paraId="14A53375" w14:textId="77777777"/>
    <w:p w:rsidR="00872B47" w:rsidRPr="00872B47" w:rsidP="00872B47" w14:paraId="7F9887D5" w14:textId="3B434745">
      <w:pPr>
        <w:pStyle w:val="Heading2"/>
        <w:rPr>
          <w:rFonts w:eastAsia="Times New Roman" w:cs="Times New Roman"/>
          <w:b w:val="0"/>
          <w:bCs/>
          <w:color w:val="000000" w:themeColor="text1"/>
          <w:szCs w:val="24"/>
        </w:rPr>
      </w:pPr>
      <w:r w:rsidRPr="00872B47">
        <w:rPr>
          <w:rFonts w:eastAsia="Times New Roman" w:cs="Times New Roman"/>
          <w:b w:val="0"/>
          <w:color w:val="000000" w:themeColor="text1"/>
          <w:szCs w:val="24"/>
        </w:rPr>
        <w:t xml:space="preserve">Information will be collected from </w:t>
      </w:r>
      <w:r w:rsidR="00E02FA7">
        <w:rPr>
          <w:rFonts w:eastAsia="Times New Roman" w:cs="Times New Roman"/>
          <w:b w:val="0"/>
          <w:color w:val="000000" w:themeColor="text1"/>
          <w:szCs w:val="24"/>
        </w:rPr>
        <w:t>up to 12</w:t>
      </w:r>
      <w:r w:rsidRPr="00872B47">
        <w:rPr>
          <w:rFonts w:eastAsia="Times New Roman" w:cs="Times New Roman"/>
          <w:b w:val="0"/>
          <w:color w:val="000000" w:themeColor="text1"/>
          <w:szCs w:val="24"/>
        </w:rPr>
        <w:t xml:space="preserve"> recipients of the </w:t>
      </w:r>
      <w:r>
        <w:rPr>
          <w:rFonts w:eastAsia="Times New Roman" w:cs="Times New Roman"/>
          <w:b w:val="0"/>
          <w:color w:val="000000" w:themeColor="text1"/>
          <w:szCs w:val="24"/>
        </w:rPr>
        <w:t>EfC</w:t>
      </w:r>
      <w:r w:rsidRPr="00872B47">
        <w:rPr>
          <w:rFonts w:eastAsia="Times New Roman" w:cs="Times New Roman"/>
          <w:b w:val="0"/>
          <w:color w:val="000000" w:themeColor="text1"/>
          <w:szCs w:val="24"/>
        </w:rPr>
        <w:t xml:space="preserve"> cooperative agreement. Project </w:t>
      </w:r>
      <w:r w:rsidR="00E02FA7">
        <w:rPr>
          <w:rFonts w:eastAsia="Times New Roman" w:cs="Times New Roman"/>
          <w:b w:val="0"/>
          <w:color w:val="000000" w:themeColor="text1"/>
          <w:szCs w:val="24"/>
        </w:rPr>
        <w:t>staff</w:t>
      </w:r>
      <w:r w:rsidRPr="00872B47" w:rsidR="00E02FA7">
        <w:rPr>
          <w:rFonts w:eastAsia="Times New Roman" w:cs="Times New Roman"/>
          <w:b w:val="0"/>
          <w:color w:val="000000" w:themeColor="text1"/>
          <w:szCs w:val="24"/>
        </w:rPr>
        <w:t xml:space="preserve"> </w:t>
      </w:r>
      <w:r w:rsidRPr="00872B47">
        <w:rPr>
          <w:rFonts w:eastAsia="Times New Roman" w:cs="Times New Roman"/>
          <w:b w:val="0"/>
          <w:color w:val="000000" w:themeColor="text1"/>
          <w:szCs w:val="24"/>
        </w:rPr>
        <w:t xml:space="preserve">from each </w:t>
      </w:r>
      <w:r>
        <w:rPr>
          <w:rFonts w:eastAsia="Times New Roman" w:cs="Times New Roman"/>
          <w:b w:val="0"/>
          <w:color w:val="000000" w:themeColor="text1"/>
          <w:szCs w:val="24"/>
        </w:rPr>
        <w:t xml:space="preserve">recipient </w:t>
      </w:r>
      <w:r w:rsidRPr="00872B47">
        <w:rPr>
          <w:rFonts w:eastAsia="Times New Roman" w:cs="Times New Roman"/>
          <w:b w:val="0"/>
          <w:color w:val="000000" w:themeColor="text1"/>
          <w:szCs w:val="24"/>
        </w:rPr>
        <w:t xml:space="preserve">will complete Annual </w:t>
      </w:r>
      <w:r w:rsidR="004E1F7F">
        <w:rPr>
          <w:rFonts w:eastAsia="Times New Roman" w:cs="Times New Roman"/>
          <w:b w:val="0"/>
          <w:color w:val="000000" w:themeColor="text1"/>
          <w:szCs w:val="24"/>
        </w:rPr>
        <w:t xml:space="preserve">Performance </w:t>
      </w:r>
      <w:r w:rsidRPr="00872B47">
        <w:rPr>
          <w:rFonts w:eastAsia="Times New Roman" w:cs="Times New Roman"/>
          <w:b w:val="0"/>
          <w:color w:val="000000" w:themeColor="text1"/>
          <w:szCs w:val="24"/>
        </w:rPr>
        <w:t xml:space="preserve">Reports (APRs) </w:t>
      </w:r>
      <w:r w:rsidR="007563DD">
        <w:rPr>
          <w:rFonts w:eastAsia="Times New Roman" w:cs="Times New Roman"/>
          <w:b w:val="0"/>
          <w:color w:val="000000" w:themeColor="text1"/>
          <w:szCs w:val="24"/>
        </w:rPr>
        <w:t>annually</w:t>
      </w:r>
      <w:r w:rsidRPr="00872B47">
        <w:rPr>
          <w:rFonts w:eastAsia="Times New Roman" w:cs="Times New Roman"/>
          <w:b w:val="0"/>
          <w:color w:val="000000" w:themeColor="text1"/>
          <w:szCs w:val="24"/>
        </w:rPr>
        <w:t xml:space="preserve">. Project </w:t>
      </w:r>
      <w:r w:rsidR="009257F7">
        <w:rPr>
          <w:rFonts w:eastAsia="Times New Roman" w:cs="Times New Roman"/>
          <w:b w:val="0"/>
          <w:color w:val="000000" w:themeColor="text1"/>
          <w:szCs w:val="24"/>
        </w:rPr>
        <w:t>staff</w:t>
      </w:r>
      <w:r w:rsidRPr="00872B47" w:rsidR="009257F7">
        <w:rPr>
          <w:rFonts w:eastAsia="Times New Roman" w:cs="Times New Roman"/>
          <w:b w:val="0"/>
          <w:color w:val="000000" w:themeColor="text1"/>
          <w:szCs w:val="24"/>
        </w:rPr>
        <w:t xml:space="preserve"> </w:t>
      </w:r>
      <w:r w:rsidRPr="00872B47">
        <w:rPr>
          <w:rFonts w:eastAsia="Times New Roman" w:cs="Times New Roman"/>
          <w:b w:val="0"/>
          <w:color w:val="000000" w:themeColor="text1"/>
          <w:szCs w:val="24"/>
        </w:rPr>
        <w:t xml:space="preserve">from each </w:t>
      </w:r>
      <w:r>
        <w:rPr>
          <w:rFonts w:eastAsia="Times New Roman" w:cs="Times New Roman"/>
          <w:b w:val="0"/>
          <w:color w:val="000000" w:themeColor="text1"/>
          <w:szCs w:val="24"/>
        </w:rPr>
        <w:t>recipient</w:t>
      </w:r>
      <w:r w:rsidRPr="00872B47">
        <w:rPr>
          <w:rFonts w:eastAsia="Times New Roman" w:cs="Times New Roman"/>
          <w:b w:val="0"/>
          <w:color w:val="000000" w:themeColor="text1"/>
          <w:szCs w:val="24"/>
        </w:rPr>
        <w:t xml:space="preserve"> will also participate in key informant in</w:t>
      </w:r>
      <w:r w:rsidRPr="0010411D">
        <w:rPr>
          <w:rFonts w:eastAsia="Times New Roman" w:cs="Times New Roman"/>
          <w:b w:val="0"/>
          <w:color w:val="000000" w:themeColor="text1"/>
          <w:szCs w:val="24"/>
        </w:rPr>
        <w:t>terviews</w:t>
      </w:r>
      <w:r w:rsidR="009257F7">
        <w:rPr>
          <w:rFonts w:eastAsia="Times New Roman" w:cs="Times New Roman"/>
          <w:b w:val="0"/>
          <w:color w:val="000000" w:themeColor="text1"/>
          <w:szCs w:val="24"/>
        </w:rPr>
        <w:t xml:space="preserve"> and a recipient survey</w:t>
      </w:r>
      <w:r w:rsidRPr="0010411D">
        <w:rPr>
          <w:rFonts w:eastAsia="Times New Roman" w:cs="Times New Roman"/>
          <w:b w:val="0"/>
          <w:color w:val="000000" w:themeColor="text1"/>
          <w:szCs w:val="24"/>
        </w:rPr>
        <w:t xml:space="preserve">. Respondents will report information to CDC about their experiences planning and implementing EfC and conducting related evaluation activities. In addition, designated staff will complete </w:t>
      </w:r>
      <w:r w:rsidRPr="0010411D" w:rsidR="004E1F7F">
        <w:rPr>
          <w:rFonts w:eastAsia="Times New Roman" w:cs="Times New Roman"/>
          <w:b w:val="0"/>
          <w:color w:val="000000" w:themeColor="text1"/>
          <w:szCs w:val="24"/>
        </w:rPr>
        <w:t>two</w:t>
      </w:r>
      <w:r w:rsidRPr="0010411D">
        <w:rPr>
          <w:rFonts w:eastAsia="Times New Roman" w:cs="Times New Roman"/>
          <w:b w:val="0"/>
          <w:color w:val="000000" w:themeColor="text1"/>
          <w:szCs w:val="24"/>
        </w:rPr>
        <w:t xml:space="preserve"> web-based </w:t>
      </w:r>
      <w:r w:rsidR="009257F7">
        <w:rPr>
          <w:rFonts w:eastAsia="Times New Roman" w:cs="Times New Roman"/>
          <w:b w:val="0"/>
          <w:color w:val="000000" w:themeColor="text1"/>
          <w:szCs w:val="24"/>
        </w:rPr>
        <w:t>assessment</w:t>
      </w:r>
      <w:r w:rsidRPr="0010411D" w:rsidR="009257F7">
        <w:rPr>
          <w:rFonts w:eastAsia="Times New Roman" w:cs="Times New Roman"/>
          <w:b w:val="0"/>
          <w:color w:val="000000" w:themeColor="text1"/>
          <w:szCs w:val="24"/>
        </w:rPr>
        <w:t xml:space="preserve"> </w:t>
      </w:r>
      <w:r w:rsidRPr="0010411D">
        <w:rPr>
          <w:rFonts w:eastAsia="Times New Roman" w:cs="Times New Roman"/>
          <w:b w:val="0"/>
          <w:color w:val="000000" w:themeColor="text1"/>
          <w:szCs w:val="24"/>
        </w:rPr>
        <w:t>to measure changes in capacity to</w:t>
      </w:r>
      <w:r w:rsidRPr="0010411D" w:rsidR="004E1F7F">
        <w:rPr>
          <w:rFonts w:eastAsia="Times New Roman" w:cs="Times New Roman"/>
          <w:b w:val="0"/>
          <w:color w:val="000000" w:themeColor="text1"/>
          <w:szCs w:val="24"/>
        </w:rPr>
        <w:t xml:space="preserve"> support an ACE surveillance infrastructure and</w:t>
      </w:r>
      <w:r w:rsidRPr="0010411D">
        <w:rPr>
          <w:rFonts w:eastAsia="Times New Roman" w:cs="Times New Roman"/>
          <w:b w:val="0"/>
          <w:color w:val="000000" w:themeColor="text1"/>
          <w:szCs w:val="24"/>
        </w:rPr>
        <w:t xml:space="preserve"> implemen</w:t>
      </w:r>
      <w:r w:rsidRPr="00872B47">
        <w:rPr>
          <w:rFonts w:eastAsia="Times New Roman" w:cs="Times New Roman"/>
          <w:b w:val="0"/>
          <w:color w:val="000000" w:themeColor="text1"/>
          <w:szCs w:val="24"/>
        </w:rPr>
        <w:t xml:space="preserve">t </w:t>
      </w:r>
      <w:r w:rsidR="004E1F7F">
        <w:rPr>
          <w:rFonts w:eastAsia="Times New Roman" w:cs="Times New Roman"/>
          <w:b w:val="0"/>
          <w:color w:val="000000" w:themeColor="text1"/>
          <w:szCs w:val="24"/>
        </w:rPr>
        <w:t>ACE</w:t>
      </w:r>
      <w:r w:rsidRPr="00872B47">
        <w:rPr>
          <w:rFonts w:eastAsia="Times New Roman" w:cs="Times New Roman"/>
          <w:b w:val="0"/>
          <w:color w:val="000000" w:themeColor="text1"/>
          <w:szCs w:val="24"/>
        </w:rPr>
        <w:t xml:space="preserve"> prevention efforts. Statistical sampling methods are not applicable to this information collection because information will only be collected from all funded recipients and sub-recipients. </w:t>
      </w:r>
    </w:p>
    <w:p w:rsidR="00860BDD" w:rsidP="00860BDD" w14:paraId="2B23AAAB" w14:textId="77777777"/>
    <w:p w:rsidR="00860BDD" w:rsidP="00860BDD" w14:paraId="1257287B" w14:textId="52C02470">
      <w:pPr>
        <w:pStyle w:val="Heading2"/>
      </w:pPr>
      <w:bookmarkStart w:id="3" w:name="_Toc5057313"/>
      <w:r>
        <w:t>B</w:t>
      </w:r>
      <w:r>
        <w:t>.2. P</w:t>
      </w:r>
      <w:r>
        <w:t>rocedures for the Collection of Information</w:t>
      </w:r>
      <w:bookmarkEnd w:id="3"/>
    </w:p>
    <w:p w:rsidR="00872B47" w:rsidP="00872B47" w14:paraId="101B0925" w14:textId="77777777"/>
    <w:p w:rsidR="00872B47" w:rsidP="00872B47" w14:paraId="0D497763" w14:textId="3333C67D">
      <w:r>
        <w:t xml:space="preserve">Respondents for data collection are </w:t>
      </w:r>
      <w:r w:rsidR="0044402C">
        <w:t>EfC</w:t>
      </w:r>
      <w:r>
        <w:t xml:space="preserve"> cooperative agreement recipients or their designated personnel. No sensitive information or personal contact information will be collected. Each measure includes a section at the beginning to explain to respondents the purpose of the data collection, how data </w:t>
      </w:r>
      <w:r w:rsidR="00E961C2">
        <w:t xml:space="preserve">are </w:t>
      </w:r>
      <w:r>
        <w:t>stored and protected, and how data will be reported in aggregate form without identifying specific coalitions.</w:t>
      </w:r>
    </w:p>
    <w:p w:rsidR="00872B47" w:rsidP="00872B47" w14:paraId="5675C94F" w14:textId="77777777"/>
    <w:p w:rsidR="00872B47" w:rsidP="00872B47" w14:paraId="7FB8CC50" w14:textId="77777777">
      <w:r>
        <w:t>Information will be collected through the following instruments:</w:t>
      </w:r>
    </w:p>
    <w:p w:rsidR="00872B47" w:rsidP="00872B47" w14:paraId="6F83197D" w14:textId="77777777"/>
    <w:p w:rsidR="00872B47" w:rsidP="00872B47" w14:paraId="714085A1" w14:textId="645269FF">
      <w:r w:rsidRPr="00023BE3">
        <w:rPr>
          <w:b/>
          <w:bCs/>
          <w:i/>
          <w:iCs/>
        </w:rPr>
        <w:t>Att. 3</w:t>
      </w:r>
      <w:r w:rsidRPr="00023BE3">
        <w:rPr>
          <w:b/>
          <w:bCs/>
          <w:i/>
          <w:iCs/>
        </w:rPr>
        <w:tab/>
        <w:t>Annual Performance Report (APR) Tool</w:t>
      </w:r>
      <w:r>
        <w:t xml:space="preserve"> </w:t>
      </w:r>
    </w:p>
    <w:p w:rsidR="00872B47" w:rsidP="00872B47" w14:paraId="535370B7" w14:textId="77777777">
      <w:bookmarkStart w:id="4" w:name="_Hlk127889766"/>
      <w:r>
        <w:t xml:space="preserve">Recipients will enter APR data into the DVP Partners Portal, a web-based system that collects performance data from funded recipients annually. </w:t>
      </w:r>
    </w:p>
    <w:bookmarkEnd w:id="4"/>
    <w:p w:rsidR="00872B47" w:rsidP="00872B47" w14:paraId="431806CE" w14:textId="77777777"/>
    <w:p w:rsidR="00872B47" w:rsidP="00872B47" w14:paraId="0BC9DD03" w14:textId="0F530C75">
      <w:r>
        <w:t xml:space="preserve">The data are used for program monitoring and evaluation purposes and submitted to the Grants Management Module of Grant Solutions to serve as the official record of Annual Performance Report and continuation application. </w:t>
      </w:r>
      <w:r w:rsidR="00E961C2">
        <w:t>All</w:t>
      </w:r>
      <w:r>
        <w:t xml:space="preserve"> </w:t>
      </w:r>
      <w:r w:rsidR="005B5C36">
        <w:t xml:space="preserve">recipients </w:t>
      </w:r>
      <w:r>
        <w:t>will complete the APR for each budget period.</w:t>
      </w:r>
    </w:p>
    <w:p w:rsidR="00872B47" w:rsidP="00872B47" w14:paraId="5A307D34" w14:textId="77777777"/>
    <w:p w:rsidR="00872B47" w:rsidP="00872B47" w14:paraId="114007D0" w14:textId="77777777">
      <w:r>
        <w:t>CDC will use the information to be collected to do the following:</w:t>
      </w:r>
    </w:p>
    <w:p w:rsidR="00872B47" w:rsidP="00872B47" w14:paraId="60787AD2" w14:textId="77777777">
      <w:pPr>
        <w:pStyle w:val="ListParagraph"/>
        <w:numPr>
          <w:ilvl w:val="0"/>
          <w:numId w:val="6"/>
        </w:numPr>
      </w:pPr>
      <w:r>
        <w:t xml:space="preserve">Enhance accountability of the use of federal funds </w:t>
      </w:r>
    </w:p>
    <w:p w:rsidR="00872B47" w:rsidP="00872B47" w14:paraId="090CB657" w14:textId="77777777">
      <w:pPr>
        <w:pStyle w:val="ListParagraph"/>
        <w:numPr>
          <w:ilvl w:val="0"/>
          <w:numId w:val="6"/>
        </w:numPr>
      </w:pPr>
      <w:r>
        <w:t xml:space="preserve">Provide timely program reports and responses to information request </w:t>
      </w:r>
    </w:p>
    <w:p w:rsidR="00872B47" w:rsidP="00872B47" w14:paraId="47BBD83C" w14:textId="77777777">
      <w:pPr>
        <w:pStyle w:val="ListParagraph"/>
        <w:numPr>
          <w:ilvl w:val="0"/>
          <w:numId w:val="6"/>
        </w:numPr>
      </w:pPr>
      <w:r>
        <w:t>Improve real-time communications between CDC and recipients</w:t>
      </w:r>
    </w:p>
    <w:p w:rsidR="00872B47" w:rsidP="00872B47" w14:paraId="0C634B38" w14:textId="5E499741">
      <w:pPr>
        <w:pStyle w:val="ListParagraph"/>
        <w:numPr>
          <w:ilvl w:val="0"/>
          <w:numId w:val="6"/>
        </w:numPr>
      </w:pPr>
      <w:r>
        <w:t>Strengthen CDC’s capacity to provide responsive and data-driven T</w:t>
      </w:r>
      <w:r w:rsidR="004E1F7F">
        <w:t xml:space="preserve">echnical </w:t>
      </w:r>
      <w:r>
        <w:t>A</w:t>
      </w:r>
      <w:r w:rsidR="004E1F7F">
        <w:t>ssistance (TA)</w:t>
      </w:r>
      <w:r>
        <w:t xml:space="preserve"> </w:t>
      </w:r>
    </w:p>
    <w:p w:rsidR="00872B47" w:rsidP="00872B47" w14:paraId="58495984" w14:textId="77777777">
      <w:pPr>
        <w:pStyle w:val="ListParagraph"/>
        <w:numPr>
          <w:ilvl w:val="0"/>
          <w:numId w:val="6"/>
        </w:numPr>
      </w:pPr>
      <w:r>
        <w:t>Strengthen CDC’s capacity to monitor and evaluate recipients’ progress and performance towards activities required as part of the cooperative agreement</w:t>
      </w:r>
    </w:p>
    <w:p w:rsidR="00872B47" w:rsidP="00872B47" w14:paraId="10FC034F" w14:textId="77777777">
      <w:pPr>
        <w:pStyle w:val="ListParagraph"/>
        <w:numPr>
          <w:ilvl w:val="0"/>
          <w:numId w:val="6"/>
        </w:numPr>
      </w:pPr>
      <w:r>
        <w:t>Allow both CDC and recipients to track their own state activities and outcomes, and ensure alignment between their state and local activities</w:t>
      </w:r>
    </w:p>
    <w:p w:rsidR="00872B47" w:rsidP="00872B47" w14:paraId="2F17A5D2" w14:textId="28178834">
      <w:pPr>
        <w:pStyle w:val="ListParagraph"/>
        <w:numPr>
          <w:ilvl w:val="0"/>
          <w:numId w:val="6"/>
        </w:numPr>
      </w:pPr>
      <w:r>
        <w:t xml:space="preserve">Generate a variety of routine reports specifically for each recipient </w:t>
      </w:r>
      <w:r w:rsidR="00583A57">
        <w:t xml:space="preserve">  </w:t>
      </w:r>
    </w:p>
    <w:p w:rsidR="00872B47" w:rsidP="00872B47" w14:paraId="39414501" w14:textId="77777777">
      <w:pPr>
        <w:pStyle w:val="ListParagraph"/>
      </w:pPr>
    </w:p>
    <w:p w:rsidR="0010411D" w:rsidRPr="00CA7A12" w:rsidP="0010411D" w14:paraId="41417FF7" w14:textId="64A7BF0A">
      <w:pPr>
        <w:rPr>
          <w:b/>
          <w:bCs/>
        </w:rPr>
      </w:pPr>
      <w:r w:rsidRPr="00023BE3">
        <w:rPr>
          <w:b/>
          <w:bCs/>
          <w:i/>
          <w:iCs/>
        </w:rPr>
        <w:t>Att. 4a</w:t>
      </w:r>
      <w:r w:rsidRPr="00023BE3">
        <w:rPr>
          <w:b/>
          <w:bCs/>
          <w:i/>
          <w:iCs/>
        </w:rPr>
        <w:tab/>
      </w:r>
      <w:r>
        <w:rPr>
          <w:b/>
          <w:bCs/>
          <w:i/>
          <w:iCs/>
        </w:rPr>
        <w:tab/>
      </w:r>
      <w:r w:rsidRPr="00023BE3">
        <w:rPr>
          <w:b/>
          <w:bCs/>
          <w:i/>
          <w:iCs/>
        </w:rPr>
        <w:t>Instrument and Protocol: Key Informant Interview (KII)</w:t>
      </w:r>
      <w:r>
        <w:t xml:space="preserve"> – </w:t>
      </w:r>
      <w:r w:rsidRPr="00CA7A12">
        <w:rPr>
          <w:b/>
          <w:bCs/>
        </w:rPr>
        <w:t>Principal Investigator</w:t>
      </w:r>
      <w:r w:rsidRPr="00CA7A12" w:rsidR="00CA7A12">
        <w:rPr>
          <w:b/>
          <w:bCs/>
        </w:rPr>
        <w:t xml:space="preserve"> (PI)</w:t>
      </w:r>
    </w:p>
    <w:p w:rsidR="0010411D" w:rsidP="0010411D" w14:paraId="08D6EDB1" w14:textId="26FBD016">
      <w:r>
        <w:t>W</w:t>
      </w:r>
      <w:r>
        <w:t xml:space="preserve">eb-based interviews will be conducted with </w:t>
      </w:r>
      <w:r>
        <w:t>the PI</w:t>
      </w:r>
      <w:r>
        <w:t xml:space="preserve"> from each recipient. The qualitative data collected will provide valuable insight into</w:t>
      </w:r>
      <w:r w:rsidR="00EE207E">
        <w:t xml:space="preserve"> </w:t>
      </w:r>
      <w:bookmarkStart w:id="5" w:name="_Hlk128464026"/>
      <w:r w:rsidR="00E961C2">
        <w:t xml:space="preserve">the overall statewide plan to expand </w:t>
      </w:r>
      <w:r w:rsidR="00EE207E">
        <w:t>efforts to prevent adverse childhood experiences</w:t>
      </w:r>
      <w:bookmarkEnd w:id="5"/>
      <w:r w:rsidR="00E961C2">
        <w:t>.</w:t>
      </w:r>
      <w:r w:rsidR="00F42665">
        <w:t xml:space="preserve"> </w:t>
      </w:r>
      <w:r>
        <w:t xml:space="preserve">Interviews will be conducted </w:t>
      </w:r>
      <w:r w:rsidRPr="00B8125B">
        <w:t>with one principal</w:t>
      </w:r>
      <w:r>
        <w:t xml:space="preserve"> investigator from each recipient twice over the project period. Interview guide questions are tailored to focus on topics that are most relevant to the </w:t>
      </w:r>
      <w:r>
        <w:t>PI</w:t>
      </w:r>
      <w:r>
        <w:t xml:space="preserve"> role.</w:t>
      </w:r>
    </w:p>
    <w:p w:rsidR="0010411D" w:rsidP="0010411D" w14:paraId="3869534D" w14:textId="77777777"/>
    <w:p w:rsidR="0010411D" w:rsidRPr="00CA7A12" w:rsidP="0010411D" w14:paraId="3BAD8D0F" w14:textId="04BEAA8E">
      <w:pPr>
        <w:rPr>
          <w:b/>
          <w:bCs/>
        </w:rPr>
      </w:pPr>
      <w:r w:rsidRPr="00023BE3">
        <w:rPr>
          <w:b/>
          <w:bCs/>
          <w:i/>
          <w:iCs/>
        </w:rPr>
        <w:t>Att. 4b</w:t>
      </w:r>
      <w:r w:rsidRPr="00023BE3">
        <w:rPr>
          <w:b/>
          <w:bCs/>
          <w:i/>
          <w:iCs/>
        </w:rPr>
        <w:tab/>
      </w:r>
      <w:r>
        <w:rPr>
          <w:b/>
          <w:bCs/>
          <w:i/>
          <w:iCs/>
        </w:rPr>
        <w:tab/>
      </w:r>
      <w:r w:rsidRPr="00023BE3">
        <w:rPr>
          <w:b/>
          <w:bCs/>
          <w:i/>
          <w:iCs/>
        </w:rPr>
        <w:t>Instrument and Protocol: Key Informant Interview (KII)</w:t>
      </w:r>
      <w:r w:rsidR="00CA7A12">
        <w:t xml:space="preserve"> </w:t>
      </w:r>
      <w:r w:rsidRPr="00DA4DF1" w:rsidR="00CA7A12">
        <w:rPr>
          <w:b/>
          <w:bCs/>
        </w:rPr>
        <w:t>–</w:t>
      </w:r>
      <w:r>
        <w:t xml:space="preserve"> </w:t>
      </w:r>
      <w:r w:rsidRPr="00CA7A12">
        <w:rPr>
          <w:b/>
          <w:bCs/>
        </w:rPr>
        <w:t>Principal</w:t>
      </w:r>
      <w:r w:rsidRPr="00CA7A12" w:rsidR="00236FB2">
        <w:rPr>
          <w:b/>
          <w:bCs/>
        </w:rPr>
        <w:t xml:space="preserve"> </w:t>
      </w:r>
      <w:r w:rsidRPr="00CA7A12">
        <w:rPr>
          <w:b/>
          <w:bCs/>
        </w:rPr>
        <w:t>Investigator</w:t>
      </w:r>
      <w:r w:rsidR="00CA7A12">
        <w:rPr>
          <w:b/>
          <w:bCs/>
        </w:rPr>
        <w:t xml:space="preserve"> (PI)</w:t>
      </w:r>
      <w:r w:rsidRPr="00CA7A12">
        <w:rPr>
          <w:b/>
          <w:bCs/>
        </w:rPr>
        <w:t>/</w:t>
      </w:r>
      <w:r w:rsidRPr="00CA7A12" w:rsidR="00E961C2">
        <w:rPr>
          <w:b/>
          <w:bCs/>
        </w:rPr>
        <w:t>Implementer</w:t>
      </w:r>
    </w:p>
    <w:p w:rsidR="0010411D" w:rsidP="0010411D" w14:paraId="0C095B5C" w14:textId="03BE0762">
      <w:r>
        <w:t>W</w:t>
      </w:r>
      <w:r>
        <w:t>eb-based interviews will be conducted with</w:t>
      </w:r>
      <w:r w:rsidR="00CA7A12">
        <w:t xml:space="preserve"> the PI and/or implementer</w:t>
      </w:r>
      <w:r>
        <w:t xml:space="preserve"> from each recipient</w:t>
      </w:r>
      <w:r w:rsidR="00CA7A12">
        <w:t xml:space="preserve"> where the PI also serves as an implementer or is most knowledgeable about program implementation</w:t>
      </w:r>
      <w:r>
        <w:t xml:space="preserve">. The qualitative data collected </w:t>
      </w:r>
      <w:r w:rsidRPr="001569CC" w:rsidR="00CA7A12">
        <w:t>will be heavily focused on both the PI and program implementer perspectives and will provide valuable insight into how recipients are implementing prevention strategies to prevent adverse childhood experiences. This interview will include a deeper understanding of the quality of feasibility statewide implementation efforts and their relationship with internal and external partners to achieve desired outcomes</w:t>
      </w:r>
      <w:r w:rsidR="00CA7A12">
        <w:t xml:space="preserve">. </w:t>
      </w:r>
      <w:r w:rsidRPr="00F42665">
        <w:t>Interviews</w:t>
      </w:r>
      <w:r>
        <w:t xml:space="preserve"> will be conducted with </w:t>
      </w:r>
      <w:r w:rsidR="00CA7A12">
        <w:t xml:space="preserve">the PI and/or </w:t>
      </w:r>
      <w:r w:rsidR="00D75021">
        <w:t xml:space="preserve">implementer </w:t>
      </w:r>
      <w:r>
        <w:t>from each recipient twice over the project period. Interview guide questions are tailored to focus on topics that are most relevant to the principal investigator and</w:t>
      </w:r>
      <w:r w:rsidR="003658A8">
        <w:t>/</w:t>
      </w:r>
      <w:r>
        <w:t>or implementor role.</w:t>
      </w:r>
    </w:p>
    <w:p w:rsidR="0010411D" w:rsidP="0010411D" w14:paraId="5E0282E8" w14:textId="77777777"/>
    <w:p w:rsidR="0010411D" w:rsidRPr="00ED1D77" w:rsidP="0010411D" w14:paraId="2164D7BF" w14:textId="4B16679F">
      <w:pPr>
        <w:rPr>
          <w:b/>
          <w:bCs/>
        </w:rPr>
      </w:pPr>
      <w:r w:rsidRPr="00023BE3">
        <w:rPr>
          <w:b/>
          <w:bCs/>
          <w:i/>
          <w:iCs/>
        </w:rPr>
        <w:t>Att. 5</w:t>
      </w:r>
      <w:r w:rsidR="00236FB2">
        <w:rPr>
          <w:b/>
          <w:bCs/>
          <w:i/>
          <w:iCs/>
        </w:rPr>
        <w:t>a</w:t>
      </w:r>
      <w:r w:rsidRPr="00023BE3">
        <w:rPr>
          <w:b/>
          <w:bCs/>
          <w:i/>
          <w:iCs/>
        </w:rPr>
        <w:tab/>
      </w:r>
      <w:r w:rsidRPr="00023BE3">
        <w:rPr>
          <w:b/>
          <w:bCs/>
          <w:i/>
          <w:iCs/>
        </w:rPr>
        <w:tab/>
        <w:t xml:space="preserve">Instrument and Protocol: </w:t>
      </w:r>
      <w:r w:rsidRPr="000F07EF">
        <w:rPr>
          <w:b/>
          <w:bCs/>
          <w:i/>
          <w:iCs/>
        </w:rPr>
        <w:t>Surveillance Capacity Assessment (SCA)</w:t>
      </w:r>
      <w:r w:rsidR="00ED1D77">
        <w:rPr>
          <w:b/>
          <w:bCs/>
          <w:i/>
          <w:iCs/>
        </w:rPr>
        <w:t xml:space="preserve"> </w:t>
      </w:r>
      <w:r w:rsidRPr="00DA4DF1" w:rsidR="00ED1D77">
        <w:rPr>
          <w:b/>
          <w:bCs/>
        </w:rPr>
        <w:t xml:space="preserve">– </w:t>
      </w:r>
      <w:r w:rsidR="00236FB2">
        <w:rPr>
          <w:b/>
          <w:bCs/>
          <w:i/>
          <w:iCs/>
        </w:rPr>
        <w:t xml:space="preserve"> </w:t>
      </w:r>
      <w:r w:rsidRPr="00ED1D77" w:rsidR="00236FB2">
        <w:rPr>
          <w:b/>
          <w:bCs/>
        </w:rPr>
        <w:t>Surveillance Lead</w:t>
      </w:r>
    </w:p>
    <w:p w:rsidR="0010411D" w:rsidP="0010411D" w14:paraId="34B58F95" w14:textId="0011A060">
      <w:r>
        <w:t xml:space="preserve">The primary </w:t>
      </w:r>
      <w:r w:rsidR="003658A8">
        <w:t xml:space="preserve">surveillance </w:t>
      </w:r>
      <w:r>
        <w:t xml:space="preserve">contact for each recipient will report information about their </w:t>
      </w:r>
      <w:r w:rsidR="007A6D43">
        <w:t xml:space="preserve">ACEs surveillance </w:t>
      </w:r>
      <w:r>
        <w:t>infrastructure</w:t>
      </w:r>
      <w:r w:rsidR="00A2027D">
        <w:t>.</w:t>
      </w:r>
      <w:r>
        <w:t xml:space="preserve"> </w:t>
      </w:r>
      <w:r w:rsidRPr="0010411D">
        <w:t>The</w:t>
      </w:r>
      <w:r w:rsidR="00D75021">
        <w:t xml:space="preserve"> web-based</w:t>
      </w:r>
      <w:r w:rsidRPr="0010411D">
        <w:t xml:space="preserve"> assessment will be conducted</w:t>
      </w:r>
      <w:r w:rsidR="00A2027D">
        <w:t xml:space="preserve"> to assess each recipient’s </w:t>
      </w:r>
      <w:bookmarkStart w:id="6" w:name="_Hlk128464464"/>
      <w:r w:rsidR="00A2027D">
        <w:t>capacity to collect, analyze, and use data to inform prevention strategy implementation</w:t>
      </w:r>
      <w:bookmarkEnd w:id="6"/>
      <w:r w:rsidR="00A2027D">
        <w:t>.</w:t>
      </w:r>
      <w:r w:rsidR="0098270D">
        <w:t xml:space="preserve"> </w:t>
      </w:r>
      <w:r w:rsidRPr="0010411D">
        <w:t xml:space="preserve">CDC will use the data from the </w:t>
      </w:r>
      <w:r w:rsidR="003468E3">
        <w:t xml:space="preserve">assessment </w:t>
      </w:r>
      <w:r w:rsidRPr="0010411D">
        <w:t xml:space="preserve">to tailor technical assistance and training for recipients and to track changes in infrastructure over the project period. The information collection will allow CDC to measure the aggregate increase in support for and resources devoted </w:t>
      </w:r>
      <w:r w:rsidR="00391F0D">
        <w:t xml:space="preserve">to </w:t>
      </w:r>
      <w:r w:rsidR="003468E3">
        <w:t>an ACEs surveillance infrastructure</w:t>
      </w:r>
      <w:r>
        <w:t xml:space="preserve"> across all recipients.</w:t>
      </w:r>
    </w:p>
    <w:p w:rsidR="00236FB2" w:rsidP="0010411D" w14:paraId="38487B68" w14:textId="7316FBA6"/>
    <w:p w:rsidR="00236FB2" w:rsidRPr="00DA4DF1" w:rsidP="00236FB2" w14:paraId="0E215EDB" w14:textId="4BD23C7D">
      <w:pPr>
        <w:rPr>
          <w:b/>
          <w:bCs/>
        </w:rPr>
      </w:pPr>
      <w:bookmarkStart w:id="7" w:name="_Hlk127883092"/>
      <w:r w:rsidRPr="00023BE3">
        <w:rPr>
          <w:b/>
          <w:bCs/>
          <w:i/>
          <w:iCs/>
        </w:rPr>
        <w:t>Att. 5</w:t>
      </w:r>
      <w:r>
        <w:rPr>
          <w:b/>
          <w:bCs/>
          <w:i/>
          <w:iCs/>
        </w:rPr>
        <w:t>b</w:t>
      </w:r>
      <w:r w:rsidRPr="00023BE3">
        <w:rPr>
          <w:b/>
          <w:bCs/>
          <w:i/>
          <w:iCs/>
        </w:rPr>
        <w:tab/>
      </w:r>
      <w:r w:rsidRPr="00023BE3">
        <w:rPr>
          <w:b/>
          <w:bCs/>
          <w:i/>
          <w:iCs/>
        </w:rPr>
        <w:tab/>
        <w:t xml:space="preserve">Instrument and Protocol: </w:t>
      </w:r>
      <w:r>
        <w:rPr>
          <w:b/>
          <w:bCs/>
          <w:i/>
          <w:iCs/>
        </w:rPr>
        <w:t>Implementation</w:t>
      </w:r>
      <w:r w:rsidRPr="000F07EF">
        <w:rPr>
          <w:b/>
          <w:bCs/>
          <w:i/>
          <w:iCs/>
        </w:rPr>
        <w:t xml:space="preserve"> Capacity Assessment (</w:t>
      </w:r>
      <w:r>
        <w:rPr>
          <w:b/>
          <w:bCs/>
          <w:i/>
          <w:iCs/>
        </w:rPr>
        <w:t>I</w:t>
      </w:r>
      <w:r w:rsidRPr="000F07EF">
        <w:rPr>
          <w:b/>
          <w:bCs/>
          <w:i/>
          <w:iCs/>
        </w:rPr>
        <w:t>CA)</w:t>
      </w:r>
      <w:r w:rsidR="00DA4DF1">
        <w:rPr>
          <w:b/>
          <w:bCs/>
          <w:i/>
          <w:iCs/>
        </w:rPr>
        <w:t xml:space="preserve"> </w:t>
      </w:r>
      <w:r w:rsidRPr="00DA4DF1" w:rsidR="00DA4DF1">
        <w:rPr>
          <w:b/>
          <w:bCs/>
        </w:rPr>
        <w:t xml:space="preserve">– </w:t>
      </w:r>
      <w:r>
        <w:rPr>
          <w:b/>
          <w:bCs/>
          <w:i/>
          <w:iCs/>
        </w:rPr>
        <w:t xml:space="preserve"> </w:t>
      </w:r>
      <w:r w:rsidRPr="00DA4DF1">
        <w:rPr>
          <w:b/>
          <w:bCs/>
        </w:rPr>
        <w:t>Principal Investigator/Implement</w:t>
      </w:r>
      <w:r w:rsidRPr="00DA4DF1" w:rsidR="00D75021">
        <w:rPr>
          <w:b/>
          <w:bCs/>
        </w:rPr>
        <w:t>e</w:t>
      </w:r>
      <w:r w:rsidRPr="00DA4DF1">
        <w:rPr>
          <w:b/>
          <w:bCs/>
        </w:rPr>
        <w:t>r</w:t>
      </w:r>
    </w:p>
    <w:p w:rsidR="00236FB2" w:rsidP="00236FB2" w14:paraId="53C10BC2" w14:textId="3F423B5F">
      <w:r>
        <w:t xml:space="preserve">The primary </w:t>
      </w:r>
      <w:r w:rsidR="003658A8">
        <w:t xml:space="preserve">implementation </w:t>
      </w:r>
      <w:r>
        <w:t xml:space="preserve">contact for each recipient will report information about their infrastructure and capacity to implement primary prevention </w:t>
      </w:r>
      <w:r w:rsidR="003658A8">
        <w:t>strategies and approaches</w:t>
      </w:r>
      <w:r w:rsidRPr="0010411D">
        <w:t xml:space="preserve">. The </w:t>
      </w:r>
      <w:r w:rsidR="00D75021">
        <w:t xml:space="preserve">web-based </w:t>
      </w:r>
      <w:r w:rsidRPr="0010411D">
        <w:t>assessment will be conducted</w:t>
      </w:r>
      <w:r w:rsidR="003658A8">
        <w:t xml:space="preserve"> to</w:t>
      </w:r>
      <w:r w:rsidRPr="0010411D">
        <w:t xml:space="preserve"> assess change in </w:t>
      </w:r>
      <w:r w:rsidR="003658A8">
        <w:t>leadership, collaboration</w:t>
      </w:r>
      <w:r w:rsidR="00A2027D">
        <w:t>,</w:t>
      </w:r>
      <w:r w:rsidR="003658A8">
        <w:t xml:space="preserve"> and partnership, staffing and resources, skills and expertise, and evaluation </w:t>
      </w:r>
      <w:r w:rsidRPr="0010411D">
        <w:t xml:space="preserve">among the recipients. CDC will use the data from the </w:t>
      </w:r>
      <w:r w:rsidR="003658A8">
        <w:t xml:space="preserve">assessment </w:t>
      </w:r>
      <w:r w:rsidRPr="0010411D">
        <w:t xml:space="preserve">to tailor technical assistance and training for recipients and to track changes in </w:t>
      </w:r>
      <w:r w:rsidR="003658A8">
        <w:t>general institutional capacity</w:t>
      </w:r>
      <w:r w:rsidRPr="0010411D">
        <w:t xml:space="preserve"> over the project period. The information collect</w:t>
      </w:r>
      <w:r w:rsidR="003658A8">
        <w:t xml:space="preserve">ed </w:t>
      </w:r>
      <w:r w:rsidRPr="0010411D">
        <w:t xml:space="preserve">will allow CDC to measure the aggregate increase in support for and resources devoted to </w:t>
      </w:r>
      <w:r>
        <w:t>prevention across all recipients</w:t>
      </w:r>
      <w:r w:rsidR="003658A8">
        <w:t>.</w:t>
      </w:r>
    </w:p>
    <w:bookmarkEnd w:id="7"/>
    <w:p w:rsidR="0010411D" w:rsidP="0010411D" w14:paraId="4B0D1B31" w14:textId="77777777"/>
    <w:p w:rsidR="0010411D" w:rsidRPr="00DA4DF1" w:rsidP="0010411D" w14:paraId="50D90429" w14:textId="77777777">
      <w:pPr>
        <w:rPr>
          <w:b/>
          <w:bCs/>
        </w:rPr>
      </w:pPr>
      <w:r w:rsidRPr="00023BE3">
        <w:rPr>
          <w:b/>
          <w:bCs/>
          <w:i/>
          <w:iCs/>
        </w:rPr>
        <w:t xml:space="preserve">Att. </w:t>
      </w:r>
      <w:r>
        <w:rPr>
          <w:b/>
          <w:bCs/>
          <w:i/>
          <w:iCs/>
        </w:rPr>
        <w:t>6</w:t>
      </w:r>
      <w:r w:rsidRPr="00023BE3">
        <w:rPr>
          <w:b/>
          <w:bCs/>
          <w:i/>
          <w:iCs/>
        </w:rPr>
        <w:tab/>
      </w:r>
      <w:r>
        <w:rPr>
          <w:b/>
          <w:bCs/>
          <w:i/>
          <w:iCs/>
        </w:rPr>
        <w:tab/>
      </w:r>
      <w:r w:rsidRPr="00023BE3">
        <w:rPr>
          <w:b/>
          <w:bCs/>
          <w:i/>
          <w:iCs/>
        </w:rPr>
        <w:t>Instrument and Protocol:</w:t>
      </w:r>
      <w:r>
        <w:rPr>
          <w:b/>
          <w:bCs/>
          <w:i/>
          <w:iCs/>
        </w:rPr>
        <w:t xml:space="preserve"> Evaluation and Surveillance Survey</w:t>
      </w:r>
      <w:r w:rsidRPr="00023BE3">
        <w:rPr>
          <w:b/>
          <w:bCs/>
          <w:i/>
          <w:iCs/>
        </w:rPr>
        <w:t xml:space="preserve"> </w:t>
      </w:r>
      <w:r w:rsidRPr="00DA4DF1">
        <w:rPr>
          <w:b/>
          <w:bCs/>
        </w:rPr>
        <w:t>– Surveillance Lead/ Evaluator</w:t>
      </w:r>
    </w:p>
    <w:p w:rsidR="0010411D" w:rsidP="0010411D" w14:paraId="72F8927F" w14:textId="78A65475">
      <w:r>
        <w:t xml:space="preserve">The web-based survey will be conducted with </w:t>
      </w:r>
      <w:r w:rsidR="00A2027D">
        <w:t xml:space="preserve">the </w:t>
      </w:r>
      <w:r>
        <w:t>surveillance and evaluat</w:t>
      </w:r>
      <w:r w:rsidR="00A2027D">
        <w:t>ion leads</w:t>
      </w:r>
      <w:r>
        <w:t xml:space="preserve"> from each recipient. The evaluation </w:t>
      </w:r>
      <w:r w:rsidR="00A2027D">
        <w:t xml:space="preserve">information </w:t>
      </w:r>
      <w:r>
        <w:t xml:space="preserve">collected will provide valuable insight into how recipients </w:t>
      </w:r>
      <w:bookmarkStart w:id="8" w:name="_Hlk128462771"/>
      <w:r w:rsidR="00A2027D">
        <w:t xml:space="preserve">are evaluating </w:t>
      </w:r>
      <w:r w:rsidR="00FC098A">
        <w:t xml:space="preserve">their surveillance and evaluation activities, including how they </w:t>
      </w:r>
      <w:bookmarkEnd w:id="8"/>
      <w:r>
        <w:t>have leveraged existing and new resources and multi</w:t>
      </w:r>
      <w:r w:rsidR="003658A8">
        <w:t>-</w:t>
      </w:r>
      <w:r>
        <w:t xml:space="preserve">sectoral partnerships </w:t>
      </w:r>
      <w:r w:rsidR="00FC098A">
        <w:t xml:space="preserve">to expand </w:t>
      </w:r>
      <w:bookmarkStart w:id="9" w:name="_Hlk128462862"/>
      <w:r w:rsidR="00FC098A">
        <w:t>efforts to prevent adverse childhood experiences</w:t>
      </w:r>
      <w:bookmarkEnd w:id="9"/>
      <w:r>
        <w:t xml:space="preserve">. Web-based surveys will be conducted with one </w:t>
      </w:r>
      <w:r w:rsidR="00FC098A">
        <w:t xml:space="preserve">implementer </w:t>
      </w:r>
      <w:r>
        <w:t>and evaluator from each recipient once over the project period. Survey questions are tailored to focus on topics that are most relevant to the principal investigator and or evaluator role.</w:t>
      </w:r>
    </w:p>
    <w:p w:rsidR="004F0B18" w:rsidP="00DF7C62" w14:paraId="458A1ECF" w14:textId="77777777">
      <w:pPr>
        <w:autoSpaceDE w:val="0"/>
        <w:autoSpaceDN w:val="0"/>
        <w:adjustRightInd w:val="0"/>
      </w:pPr>
    </w:p>
    <w:p w:rsidR="00860BDD" w:rsidP="00860BDD" w14:paraId="01118099" w14:textId="4744D86D">
      <w:pPr>
        <w:pStyle w:val="Heading2"/>
      </w:pPr>
      <w:bookmarkStart w:id="10" w:name="_Toc5057314"/>
      <w:r>
        <w:t>B</w:t>
      </w:r>
      <w:r>
        <w:t xml:space="preserve">.3. </w:t>
      </w:r>
      <w:r>
        <w:t>Methods to Maximize Response Rates and Deal with Nonresponse</w:t>
      </w:r>
      <w:bookmarkEnd w:id="10"/>
    </w:p>
    <w:p w:rsidR="00C65166" w:rsidP="00C65166" w14:paraId="177F2C26" w14:textId="77777777"/>
    <w:p w:rsidR="00293DA9" w:rsidP="00293DA9" w14:paraId="3B02C71D" w14:textId="50DE85F5">
      <w:r>
        <w:t xml:space="preserve">Annual </w:t>
      </w:r>
      <w:r w:rsidR="004E1F7F">
        <w:t xml:space="preserve">performance </w:t>
      </w:r>
      <w:r>
        <w:t xml:space="preserve">reporting is a </w:t>
      </w:r>
      <w:r>
        <w:t xml:space="preserve">requirement for </w:t>
      </w:r>
      <w:r w:rsidR="004B4002">
        <w:t>recipients</w:t>
      </w:r>
      <w:r>
        <w:t xml:space="preserve"> awarded </w:t>
      </w:r>
      <w:r w:rsidR="0044402C">
        <w:t xml:space="preserve">EfC </w:t>
      </w:r>
      <w:r>
        <w:t>funding under the cooperative agreement</w:t>
      </w:r>
      <w:r w:rsidR="00D91CB0">
        <w:t xml:space="preserve"> </w:t>
      </w:r>
      <w:r w:rsidRPr="00647952">
        <w:rPr>
          <w:bCs/>
        </w:rPr>
        <w:t xml:space="preserve">to continue to receive funding. </w:t>
      </w:r>
      <w:r w:rsidR="0044402C">
        <w:rPr>
          <w:bCs/>
        </w:rPr>
        <w:t>Therefore</w:t>
      </w:r>
      <w:r w:rsidRPr="00647952">
        <w:rPr>
          <w:bCs/>
        </w:rPr>
        <w:t>, response rates are expected to be 100%.</w:t>
      </w:r>
      <w:r>
        <w:rPr>
          <w:bCs/>
        </w:rPr>
        <w:t xml:space="preserve"> </w:t>
      </w:r>
      <w:r w:rsidRPr="00293DA9">
        <w:rPr>
          <w:bCs/>
        </w:rPr>
        <w:t xml:space="preserve">The </w:t>
      </w:r>
      <w:r w:rsidR="00835FA3">
        <w:rPr>
          <w:bCs/>
        </w:rPr>
        <w:t>DVP Partners Portal</w:t>
      </w:r>
      <w:r w:rsidRPr="00293DA9">
        <w:rPr>
          <w:bCs/>
        </w:rPr>
        <w:t xml:space="preserve">’s ability to populate information and generate </w:t>
      </w:r>
      <w:r w:rsidR="004E1F7F">
        <w:rPr>
          <w:bCs/>
        </w:rPr>
        <w:t xml:space="preserve">performance </w:t>
      </w:r>
      <w:r w:rsidRPr="00293DA9">
        <w:rPr>
          <w:bCs/>
        </w:rPr>
        <w:t xml:space="preserve">reports allow recipients to fulfill their annual </w:t>
      </w:r>
      <w:r w:rsidR="004E1F7F">
        <w:rPr>
          <w:bCs/>
        </w:rPr>
        <w:t xml:space="preserve">performance </w:t>
      </w:r>
      <w:r w:rsidRPr="00293DA9">
        <w:rPr>
          <w:bCs/>
        </w:rPr>
        <w:t xml:space="preserve">reporting obligations efficiently by submitting </w:t>
      </w:r>
      <w:r w:rsidRPr="00293DA9">
        <w:rPr>
          <w:bCs/>
        </w:rPr>
        <w:t xml:space="preserve">necessary information for both </w:t>
      </w:r>
      <w:r w:rsidR="004E1F7F">
        <w:rPr>
          <w:bCs/>
        </w:rPr>
        <w:t xml:space="preserve">performance </w:t>
      </w:r>
      <w:r w:rsidRPr="00293DA9">
        <w:rPr>
          <w:bCs/>
        </w:rPr>
        <w:t xml:space="preserve">reports and continuation applications into the system once. </w:t>
      </w:r>
      <w:r>
        <w:t xml:space="preserve">Moreover, this ability to </w:t>
      </w:r>
      <w:r w:rsidRPr="0085100A">
        <w:t xml:space="preserve">save </w:t>
      </w:r>
      <w:r>
        <w:t xml:space="preserve">and update </w:t>
      </w:r>
      <w:r w:rsidRPr="0085100A">
        <w:t>pertinent information from one reporting period to the next will reduce the administrative burden o</w:t>
      </w:r>
      <w:r>
        <w:t>f</w:t>
      </w:r>
      <w:r w:rsidRPr="0085100A">
        <w:t xml:space="preserve"> the </w:t>
      </w:r>
      <w:r>
        <w:t xml:space="preserve">annual </w:t>
      </w:r>
      <w:r w:rsidR="004E1F7F">
        <w:t xml:space="preserve">performance </w:t>
      </w:r>
      <w:r>
        <w:t xml:space="preserve">reporting on recipients. Respondents will modify or update the information, report data on measures, provide updates, </w:t>
      </w:r>
      <w:r w:rsidR="004E1F7F">
        <w:t>and/</w:t>
      </w:r>
      <w:r>
        <w:t xml:space="preserve">or add new items as applicable. </w:t>
      </w:r>
      <w:r w:rsidR="00835FA3">
        <w:t xml:space="preserve">An additional advantage of using the DVP Partners Portal is that recipients that received funding from multiple DVP programs can access and report information in one place using forms in a standard format. </w:t>
      </w:r>
      <w:r>
        <w:t xml:space="preserve">These advantages will encourage and maximize response rates for the annual </w:t>
      </w:r>
      <w:r w:rsidR="004E1F7F">
        <w:t xml:space="preserve">performance </w:t>
      </w:r>
      <w:r>
        <w:t xml:space="preserve">reporting. </w:t>
      </w:r>
    </w:p>
    <w:p w:rsidR="00C65166" w:rsidP="00C65166" w14:paraId="59F3D7F8" w14:textId="77777777"/>
    <w:p w:rsidR="00C65166" w:rsidP="00C65166" w14:paraId="7AB1330C" w14:textId="4A484D01">
      <w:pPr>
        <w:pStyle w:val="Heading2"/>
      </w:pPr>
      <w:bookmarkStart w:id="11" w:name="_Toc5057315"/>
      <w:r>
        <w:t>B</w:t>
      </w:r>
      <w:r>
        <w:t xml:space="preserve">.4. </w:t>
      </w:r>
      <w:r>
        <w:t>Tests of Procedures or Methods to be Undertaken</w:t>
      </w:r>
      <w:bookmarkEnd w:id="11"/>
    </w:p>
    <w:p w:rsidR="00C65166" w:rsidP="00C65166" w14:paraId="7B0055BB" w14:textId="77777777"/>
    <w:p w:rsidR="000A6A46" w:rsidP="00C65166" w14:paraId="584D00A6" w14:textId="76F3BED7">
      <w:r w:rsidRPr="0044402C">
        <w:t xml:space="preserve">The instruments were developed in consultation with other CDC staff who have developed similar instruments for other programs and previous iterations of the </w:t>
      </w:r>
      <w:r w:rsidR="009D6F57">
        <w:t>EfC</w:t>
      </w:r>
      <w:r w:rsidRPr="0044402C" w:rsidR="009D6F57">
        <w:t xml:space="preserve"> </w:t>
      </w:r>
      <w:r w:rsidRPr="0044402C">
        <w:t>program. The instruments were also pilot tested with CDC program staff.</w:t>
      </w:r>
    </w:p>
    <w:p w:rsidR="000A6A46" w:rsidP="00C65166" w14:paraId="51BA0989" w14:textId="77777777"/>
    <w:p w:rsidR="00C65166" w:rsidP="00C65166" w14:paraId="7DCF5329" w14:textId="54B0B318">
      <w:pPr>
        <w:pStyle w:val="Heading2"/>
      </w:pPr>
      <w:bookmarkStart w:id="12" w:name="_Toc5057316"/>
      <w:r>
        <w:t>B</w:t>
      </w:r>
      <w:r>
        <w:t xml:space="preserve">.5. </w:t>
      </w:r>
      <w:r>
        <w:t>Individuals Consulted on Statistical Aspects and Individuals Collecting an</w:t>
      </w:r>
      <w:r w:rsidR="008D72A2">
        <w:t>d</w:t>
      </w:r>
      <w:r>
        <w:t>/or Analyzing Data</w:t>
      </w:r>
      <w:bookmarkEnd w:id="12"/>
    </w:p>
    <w:p w:rsidR="00C65166" w:rsidP="00C65166" w14:paraId="15B646DB" w14:textId="77777777"/>
    <w:p w:rsidR="009D6F57" w:rsidP="009D6F57" w14:paraId="29EC2090" w14:textId="343821AF">
      <w:r w:rsidRPr="00BA1ACA">
        <w:t xml:space="preserve">The following individuals consulted on the </w:t>
      </w:r>
      <w:r w:rsidR="00827978">
        <w:rPr>
          <w:color w:val="000000"/>
        </w:rPr>
        <w:t>data collection</w:t>
      </w:r>
      <w:r>
        <w:rPr>
          <w:color w:val="000000"/>
        </w:rPr>
        <w:t xml:space="preserve"> tools</w:t>
      </w:r>
      <w:r w:rsidRPr="00BA1ACA">
        <w:t>:</w:t>
      </w:r>
      <w:r>
        <w:t xml:space="preserve"> </w:t>
      </w:r>
    </w:p>
    <w:p w:rsidR="009D6F57" w:rsidP="009D6F57" w14:paraId="296895E8" w14:textId="58539A34">
      <w:pPr>
        <w:widowControl w:val="0"/>
        <w:autoSpaceDE w:val="0"/>
        <w:autoSpaceDN w:val="0"/>
        <w:adjustRightInd w:val="0"/>
      </w:pPr>
      <w:r>
        <w:t xml:space="preserve">Phyllis Ottley, </w:t>
      </w:r>
      <w:r w:rsidR="00FC098A">
        <w:t>Associate Director for Program</w:t>
      </w:r>
      <w:r>
        <w:t xml:space="preserve">, CDC, (404) 498-1613, </w:t>
      </w:r>
      <w:hyperlink r:id="rId6" w:history="1">
        <w:r w:rsidRPr="00352C53">
          <w:rPr>
            <w:rStyle w:val="Hyperlink"/>
          </w:rPr>
          <w:t>vci8@cdc.gov</w:t>
        </w:r>
      </w:hyperlink>
      <w:r>
        <w:t xml:space="preserve"> </w:t>
      </w:r>
      <w:r>
        <w:tab/>
      </w:r>
    </w:p>
    <w:p w:rsidR="009D6F57" w:rsidP="009D6F57" w14:paraId="2B2562E8" w14:textId="53784BB6">
      <w:pPr>
        <w:widowControl w:val="0"/>
        <w:autoSpaceDE w:val="0"/>
        <w:autoSpaceDN w:val="0"/>
        <w:adjustRightInd w:val="0"/>
      </w:pPr>
      <w:r>
        <w:t>Gayle Holmes, PPTB Branch Chief, CDC</w:t>
      </w:r>
      <w:r w:rsidR="00646B73">
        <w:t>,</w:t>
      </w:r>
      <w:r>
        <w:t xml:space="preserve"> (770) 488-8050, </w:t>
      </w:r>
      <w:hyperlink r:id="rId7" w:history="1">
        <w:r w:rsidRPr="00352C53">
          <w:rPr>
            <w:rStyle w:val="Hyperlink"/>
          </w:rPr>
          <w:t>hfn5@cdc.gov</w:t>
        </w:r>
      </w:hyperlink>
      <w:r>
        <w:t xml:space="preserve">   </w:t>
      </w:r>
    </w:p>
    <w:p w:rsidR="00646B73" w:rsidP="009D6F57" w14:paraId="23495A3D" w14:textId="0F8344C1">
      <w:pPr>
        <w:widowControl w:val="0"/>
        <w:autoSpaceDE w:val="0"/>
        <w:autoSpaceDN w:val="0"/>
        <w:adjustRightInd w:val="0"/>
      </w:pPr>
      <w:r>
        <w:t xml:space="preserve">Khiya Mullins, Lead Behavioral Scientist, CDC, (770) 488-3911, </w:t>
      </w:r>
      <w:hyperlink r:id="rId5" w:history="1">
        <w:r w:rsidRPr="00844A4E">
          <w:rPr>
            <w:rStyle w:val="Hyperlink"/>
          </w:rPr>
          <w:t>fys7@cdc.gov</w:t>
        </w:r>
      </w:hyperlink>
      <w:r>
        <w:t xml:space="preserve"> </w:t>
      </w:r>
    </w:p>
    <w:p w:rsidR="00A9705D" w:rsidP="009D6F57" w14:paraId="68F7DDA8" w14:textId="3F726995">
      <w:pPr>
        <w:widowControl w:val="0"/>
        <w:autoSpaceDE w:val="0"/>
        <w:autoSpaceDN w:val="0"/>
        <w:adjustRightInd w:val="0"/>
        <w:rPr>
          <w:rStyle w:val="Hyperlink"/>
        </w:rPr>
      </w:pPr>
      <w:r>
        <w:t>Lisa Martin</w:t>
      </w:r>
      <w:r w:rsidR="0089468A">
        <w:t xml:space="preserve">, </w:t>
      </w:r>
      <w:r w:rsidRPr="001A0074" w:rsidR="0089468A">
        <w:rPr>
          <w:rStyle w:val="Hyperlink"/>
          <w:color w:val="auto"/>
          <w:u w:val="none"/>
        </w:rPr>
        <w:t>Public Health Advisor, CDC, (404) 498-3906,</w:t>
      </w:r>
      <w:r w:rsidRPr="001A0074" w:rsidR="0089468A">
        <w:rPr>
          <w:rStyle w:val="Hyperlink"/>
          <w:color w:val="auto"/>
        </w:rPr>
        <w:t xml:space="preserve"> </w:t>
      </w:r>
      <w:hyperlink r:id="rId8" w:history="1">
        <w:r w:rsidRPr="00844A4E" w:rsidR="00C64047">
          <w:rPr>
            <w:rStyle w:val="Hyperlink"/>
          </w:rPr>
          <w:t>uvx2@cdc.gov</w:t>
        </w:r>
      </w:hyperlink>
    </w:p>
    <w:p w:rsidR="00646B73" w:rsidRPr="00BA1ACA" w:rsidP="009D6F57" w14:paraId="06394842" w14:textId="77777777">
      <w:pPr>
        <w:rPr>
          <w:noProof/>
          <w:color w:val="0000FF"/>
        </w:rPr>
      </w:pPr>
    </w:p>
    <w:p w:rsidR="00076BF7" w:rsidRPr="00BA1ACA" w:rsidP="00076BF7" w14:paraId="4B3FEE08" w14:textId="161B3458">
      <w:r w:rsidRPr="00BA1ACA">
        <w:t>The core CDC personnel who will collect and/or analyze the data include:</w:t>
      </w:r>
    </w:p>
    <w:p w:rsidR="00D67930" w:rsidP="00646B73" w14:paraId="326CD662" w14:textId="56F54EC4">
      <w:pPr>
        <w:rPr>
          <w:bCs/>
          <w:iCs/>
        </w:rPr>
      </w:pPr>
      <w:r>
        <w:rPr>
          <w:bCs/>
          <w:iCs/>
        </w:rPr>
        <w:t>Angie Guinn, Behavioral Scientist, CDC</w:t>
      </w:r>
      <w:r w:rsidR="00646B73">
        <w:rPr>
          <w:bCs/>
          <w:iCs/>
        </w:rPr>
        <w:t>,</w:t>
      </w:r>
      <w:r>
        <w:rPr>
          <w:bCs/>
          <w:iCs/>
        </w:rPr>
        <w:t xml:space="preserve"> (</w:t>
      </w:r>
      <w:r w:rsidRPr="00CA44BE">
        <w:rPr>
          <w:bCs/>
          <w:iCs/>
        </w:rPr>
        <w:t>404</w:t>
      </w:r>
      <w:r>
        <w:rPr>
          <w:bCs/>
          <w:iCs/>
        </w:rPr>
        <w:t xml:space="preserve">) </w:t>
      </w:r>
      <w:r w:rsidRPr="00CA44BE">
        <w:rPr>
          <w:bCs/>
          <w:iCs/>
        </w:rPr>
        <w:t>498</w:t>
      </w:r>
      <w:r>
        <w:rPr>
          <w:bCs/>
          <w:iCs/>
        </w:rPr>
        <w:t>-</w:t>
      </w:r>
      <w:r w:rsidRPr="00CA44BE">
        <w:rPr>
          <w:bCs/>
          <w:iCs/>
        </w:rPr>
        <w:t>1508</w:t>
      </w:r>
      <w:r>
        <w:rPr>
          <w:bCs/>
          <w:iCs/>
        </w:rPr>
        <w:t xml:space="preserve">, </w:t>
      </w:r>
      <w:hyperlink r:id="rId9" w:history="1">
        <w:r w:rsidRPr="00844A4E">
          <w:rPr>
            <w:rStyle w:val="Hyperlink"/>
            <w:bCs/>
            <w:iCs/>
          </w:rPr>
          <w:t>lsj8@cdc.gov</w:t>
        </w:r>
      </w:hyperlink>
      <w:r>
        <w:rPr>
          <w:bCs/>
          <w:iCs/>
        </w:rPr>
        <w:t xml:space="preserve"> </w:t>
      </w:r>
    </w:p>
    <w:p w:rsidR="00D67930" w:rsidP="00646B73" w14:paraId="346A4ABE" w14:textId="5963230B">
      <w:pPr>
        <w:rPr>
          <w:bCs/>
          <w:iCs/>
        </w:rPr>
      </w:pPr>
      <w:r>
        <w:rPr>
          <w:bCs/>
          <w:iCs/>
        </w:rPr>
        <w:t>Phinda Hillmon,</w:t>
      </w:r>
      <w:r w:rsidRPr="00E6270C">
        <w:t xml:space="preserve"> </w:t>
      </w:r>
      <w:r>
        <w:rPr>
          <w:bCs/>
          <w:iCs/>
        </w:rPr>
        <w:t>Public Health Advisor, CDC</w:t>
      </w:r>
      <w:r w:rsidR="00646B73">
        <w:rPr>
          <w:bCs/>
          <w:iCs/>
        </w:rPr>
        <w:t>,</w:t>
      </w:r>
      <w:r>
        <w:rPr>
          <w:bCs/>
          <w:iCs/>
        </w:rPr>
        <w:t xml:space="preserve"> (</w:t>
      </w:r>
      <w:r w:rsidRPr="00E6270C">
        <w:rPr>
          <w:bCs/>
          <w:iCs/>
        </w:rPr>
        <w:t>770</w:t>
      </w:r>
      <w:r>
        <w:rPr>
          <w:bCs/>
          <w:iCs/>
        </w:rPr>
        <w:t xml:space="preserve">) </w:t>
      </w:r>
      <w:r w:rsidRPr="00E6270C">
        <w:rPr>
          <w:bCs/>
          <w:iCs/>
        </w:rPr>
        <w:t>488</w:t>
      </w:r>
      <w:r>
        <w:rPr>
          <w:bCs/>
          <w:iCs/>
        </w:rPr>
        <w:t>-</w:t>
      </w:r>
      <w:r w:rsidRPr="00E6270C">
        <w:rPr>
          <w:bCs/>
          <w:iCs/>
        </w:rPr>
        <w:t>1577</w:t>
      </w:r>
      <w:r>
        <w:rPr>
          <w:bCs/>
          <w:iCs/>
        </w:rPr>
        <w:t xml:space="preserve">, </w:t>
      </w:r>
      <w:hyperlink r:id="rId10" w:history="1">
        <w:r w:rsidRPr="00844A4E">
          <w:rPr>
            <w:rStyle w:val="Hyperlink"/>
            <w:bCs/>
            <w:iCs/>
          </w:rPr>
          <w:t>lwg4@cdc.gov</w:t>
        </w:r>
      </w:hyperlink>
    </w:p>
    <w:p w:rsidR="00D67930" w:rsidP="00646B73" w14:paraId="43A6D6E4" w14:textId="356FEF94">
      <w:pPr>
        <w:rPr>
          <w:bCs/>
          <w:iCs/>
        </w:rPr>
      </w:pPr>
      <w:r w:rsidRPr="00244CE3">
        <w:rPr>
          <w:bCs/>
          <w:iCs/>
        </w:rPr>
        <w:t>Adebukola Helen Adegbite</w:t>
      </w:r>
      <w:r>
        <w:rPr>
          <w:bCs/>
          <w:iCs/>
        </w:rPr>
        <w:t>, Health Scientist</w:t>
      </w:r>
      <w:r w:rsidR="00646B73">
        <w:rPr>
          <w:bCs/>
          <w:iCs/>
        </w:rPr>
        <w:t>, CDC, (</w:t>
      </w:r>
      <w:r w:rsidRPr="00244CE3">
        <w:rPr>
          <w:bCs/>
          <w:iCs/>
        </w:rPr>
        <w:t>404</w:t>
      </w:r>
      <w:r w:rsidR="00646B73">
        <w:rPr>
          <w:bCs/>
          <w:iCs/>
        </w:rPr>
        <w:t xml:space="preserve">) </w:t>
      </w:r>
      <w:r w:rsidRPr="00244CE3">
        <w:rPr>
          <w:bCs/>
          <w:iCs/>
        </w:rPr>
        <w:t>639</w:t>
      </w:r>
      <w:r>
        <w:rPr>
          <w:bCs/>
          <w:iCs/>
        </w:rPr>
        <w:t>-</w:t>
      </w:r>
      <w:r w:rsidRPr="00244CE3">
        <w:rPr>
          <w:bCs/>
          <w:iCs/>
        </w:rPr>
        <w:t>6433</w:t>
      </w:r>
      <w:r w:rsidR="00646B73">
        <w:rPr>
          <w:bCs/>
          <w:iCs/>
        </w:rPr>
        <w:t xml:space="preserve">, </w:t>
      </w:r>
      <w:hyperlink r:id="rId11" w:history="1">
        <w:r w:rsidRPr="00844A4E" w:rsidR="00646B73">
          <w:rPr>
            <w:rStyle w:val="Hyperlink"/>
            <w:bCs/>
            <w:iCs/>
          </w:rPr>
          <w:t>vrt2@cdc.gov</w:t>
        </w:r>
      </w:hyperlink>
      <w:r>
        <w:rPr>
          <w:bCs/>
          <w:iCs/>
        </w:rPr>
        <w:t xml:space="preserve"> </w:t>
      </w:r>
    </w:p>
    <w:p w:rsidR="00150E7C" w:rsidP="00646B73" w14:paraId="2246C122" w14:textId="0CC960F8">
      <w:pPr>
        <w:rPr>
          <w:bCs/>
          <w:iCs/>
        </w:rPr>
      </w:pPr>
      <w:r>
        <w:rPr>
          <w:bCs/>
          <w:iCs/>
        </w:rPr>
        <w:t>Kayla Anderson, Epidemiologist, CDC, (</w:t>
      </w:r>
      <w:r w:rsidRPr="00150E7C">
        <w:rPr>
          <w:bCs/>
          <w:iCs/>
        </w:rPr>
        <w:t>404</w:t>
      </w:r>
      <w:r>
        <w:rPr>
          <w:bCs/>
          <w:iCs/>
        </w:rPr>
        <w:t xml:space="preserve">) </w:t>
      </w:r>
      <w:r w:rsidRPr="00150E7C">
        <w:rPr>
          <w:bCs/>
          <w:iCs/>
        </w:rPr>
        <w:t>498</w:t>
      </w:r>
      <w:r>
        <w:rPr>
          <w:bCs/>
          <w:iCs/>
        </w:rPr>
        <w:t>-</w:t>
      </w:r>
      <w:r w:rsidRPr="00150E7C">
        <w:rPr>
          <w:bCs/>
          <w:iCs/>
        </w:rPr>
        <w:t>1481</w:t>
      </w:r>
      <w:r>
        <w:rPr>
          <w:bCs/>
          <w:iCs/>
        </w:rPr>
        <w:t xml:space="preserve">, </w:t>
      </w:r>
      <w:hyperlink r:id="rId12" w:history="1">
        <w:r w:rsidRPr="00916B88">
          <w:rPr>
            <w:rStyle w:val="Hyperlink"/>
            <w:bCs/>
            <w:iCs/>
          </w:rPr>
          <w:t>lxx7@cdc.gov</w:t>
        </w:r>
      </w:hyperlink>
      <w:r>
        <w:rPr>
          <w:bCs/>
          <w:iCs/>
        </w:rPr>
        <w:t xml:space="preserve"> </w:t>
      </w:r>
    </w:p>
    <w:p w:rsidR="00150E7C" w:rsidP="00646B73" w14:paraId="2FB89A54" w14:textId="4DC84640">
      <w:pPr>
        <w:rPr>
          <w:bCs/>
          <w:iCs/>
        </w:rPr>
      </w:pPr>
      <w:r>
        <w:rPr>
          <w:bCs/>
          <w:iCs/>
        </w:rPr>
        <w:t>Tia Rogers, Epidemiologist, CDC, (</w:t>
      </w:r>
      <w:r w:rsidRPr="00150E7C">
        <w:rPr>
          <w:bCs/>
          <w:iCs/>
        </w:rPr>
        <w:t>404</w:t>
      </w:r>
      <w:r>
        <w:rPr>
          <w:bCs/>
          <w:iCs/>
        </w:rPr>
        <w:t xml:space="preserve">) </w:t>
      </w:r>
      <w:r w:rsidRPr="00150E7C">
        <w:rPr>
          <w:bCs/>
          <w:iCs/>
        </w:rPr>
        <w:t>498</w:t>
      </w:r>
      <w:r>
        <w:rPr>
          <w:bCs/>
          <w:iCs/>
        </w:rPr>
        <w:t>-</w:t>
      </w:r>
      <w:r w:rsidRPr="00150E7C">
        <w:rPr>
          <w:bCs/>
          <w:iCs/>
        </w:rPr>
        <w:t>2911</w:t>
      </w:r>
      <w:r>
        <w:rPr>
          <w:bCs/>
          <w:iCs/>
        </w:rPr>
        <w:t xml:space="preserve">, </w:t>
      </w:r>
      <w:hyperlink r:id="rId13" w:history="1">
        <w:r w:rsidRPr="00150E7C">
          <w:rPr>
            <w:rStyle w:val="Hyperlink"/>
            <w:bCs/>
            <w:iCs/>
          </w:rPr>
          <w:t>xgf1@cdc.gov</w:t>
        </w:r>
      </w:hyperlink>
      <w:r>
        <w:rPr>
          <w:bCs/>
          <w:iCs/>
        </w:rPr>
        <w:t xml:space="preserve"> </w:t>
      </w:r>
    </w:p>
    <w:p w:rsidR="00293DA9" w:rsidP="00646B73" w14:paraId="72AFEB39" w14:textId="77777777">
      <w:pPr>
        <w:tabs>
          <w:tab w:val="left" w:pos="360"/>
        </w:tabs>
      </w:pPr>
    </w:p>
    <w:p w:rsidR="00C27E1C" w:rsidRPr="00C27E1C" w:rsidP="00646B73" w14:paraId="7E819373" w14:textId="77777777">
      <w:pPr>
        <w:tabs>
          <w:tab w:val="left" w:pos="360"/>
        </w:tabs>
        <w:ind w:left="360"/>
        <w:rPr>
          <w:u w:val="single"/>
        </w:rPr>
      </w:pPr>
    </w:p>
    <w:bookmarkEnd w:id="0"/>
    <w:p w:rsidR="00C65166" w:rsidP="00646B73" w14:paraId="148DAD08" w14:textId="77777777"/>
    <w:sectPr w:rsidSect="00D26908">
      <w:headerReference w:type="even" r:id="rId14"/>
      <w:headerReference w:type="default" r:id="rId15"/>
      <w:footerReference w:type="even" r:id="rId16"/>
      <w:footerReference w:type="default" r:id="rId17"/>
      <w:headerReference w:type="first" r:id="rId18"/>
      <w:footerReference w:type="first" r:id="rId1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5D5B" w14:paraId="502DE9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8921294"/>
      <w:docPartObj>
        <w:docPartGallery w:val="Page Numbers (Bottom of Page)"/>
        <w:docPartUnique/>
      </w:docPartObj>
    </w:sdtPr>
    <w:sdtEndPr>
      <w:rPr>
        <w:noProof/>
      </w:rPr>
    </w:sdtEndPr>
    <w:sdtContent>
      <w:p w:rsidR="00F451DF" w14:paraId="6837DF3D" w14:textId="782FA836">
        <w:pPr>
          <w:pStyle w:val="Footer"/>
          <w:jc w:val="right"/>
        </w:pPr>
        <w:r>
          <w:fldChar w:fldCharType="begin"/>
        </w:r>
        <w:r>
          <w:instrText xml:space="preserve"> PAGE   \* MERGEFORMAT </w:instrText>
        </w:r>
        <w:r>
          <w:fldChar w:fldCharType="separate"/>
        </w:r>
        <w:r w:rsidR="000F3EBF">
          <w:rPr>
            <w:noProof/>
          </w:rPr>
          <w:t>1</w:t>
        </w:r>
        <w:r>
          <w:rPr>
            <w:noProof/>
          </w:rPr>
          <w:fldChar w:fldCharType="end"/>
        </w:r>
      </w:p>
    </w:sdtContent>
  </w:sdt>
  <w:p w:rsidR="00F451DF" w14:paraId="427C02A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5D5B" w14:paraId="2DACE84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5D5B" w14:paraId="5D04C0B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5D5B" w14:paraId="1E81CF9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5D5B" w14:paraId="4A6536D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505D7B"/>
    <w:multiLevelType w:val="hybridMultilevel"/>
    <w:tmpl w:val="9EBC1B0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2E70C28"/>
    <w:multiLevelType w:val="hybridMultilevel"/>
    <w:tmpl w:val="11D69636"/>
    <w:lvl w:ilvl="0">
      <w:start w:val="1"/>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D9E3A19"/>
    <w:multiLevelType w:val="hybridMultilevel"/>
    <w:tmpl w:val="43B027F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D9E4705"/>
    <w:multiLevelType w:val="hybridMultilevel"/>
    <w:tmpl w:val="329AA2B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B8D44CD"/>
    <w:multiLevelType w:val="hybridMultilevel"/>
    <w:tmpl w:val="6D14F9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FA23438"/>
    <w:multiLevelType w:val="hybridMultilevel"/>
    <w:tmpl w:val="953A7A0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33587774">
    <w:abstractNumId w:val="5"/>
  </w:num>
  <w:num w:numId="2" w16cid:durableId="113714364">
    <w:abstractNumId w:val="2"/>
  </w:num>
  <w:num w:numId="3" w16cid:durableId="2080132454">
    <w:abstractNumId w:val="0"/>
  </w:num>
  <w:num w:numId="4" w16cid:durableId="1304120707">
    <w:abstractNumId w:val="1"/>
  </w:num>
  <w:num w:numId="5" w16cid:durableId="212233318">
    <w:abstractNumId w:val="3"/>
  </w:num>
  <w:num w:numId="6" w16cid:durableId="257907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BDD"/>
    <w:rsid w:val="00000E0D"/>
    <w:rsid w:val="00004107"/>
    <w:rsid w:val="00023BE3"/>
    <w:rsid w:val="00067CE3"/>
    <w:rsid w:val="00067F94"/>
    <w:rsid w:val="0007029C"/>
    <w:rsid w:val="00076B96"/>
    <w:rsid w:val="00076BF7"/>
    <w:rsid w:val="000A6A46"/>
    <w:rsid w:val="000F07EF"/>
    <w:rsid w:val="000F3EBF"/>
    <w:rsid w:val="0010411D"/>
    <w:rsid w:val="00120704"/>
    <w:rsid w:val="00127187"/>
    <w:rsid w:val="00127898"/>
    <w:rsid w:val="001474D3"/>
    <w:rsid w:val="00150E7C"/>
    <w:rsid w:val="001569CC"/>
    <w:rsid w:val="0019325F"/>
    <w:rsid w:val="001A0074"/>
    <w:rsid w:val="001D26E9"/>
    <w:rsid w:val="001D47A0"/>
    <w:rsid w:val="002031B1"/>
    <w:rsid w:val="00223B86"/>
    <w:rsid w:val="00236FB2"/>
    <w:rsid w:val="0024129A"/>
    <w:rsid w:val="00242252"/>
    <w:rsid w:val="00244151"/>
    <w:rsid w:val="00244CE3"/>
    <w:rsid w:val="00262BC2"/>
    <w:rsid w:val="00264CDB"/>
    <w:rsid w:val="0027110A"/>
    <w:rsid w:val="0028409B"/>
    <w:rsid w:val="00285997"/>
    <w:rsid w:val="00287DAF"/>
    <w:rsid w:val="00293DA9"/>
    <w:rsid w:val="002D3151"/>
    <w:rsid w:val="002E6F89"/>
    <w:rsid w:val="003468E3"/>
    <w:rsid w:val="00350382"/>
    <w:rsid w:val="00352C53"/>
    <w:rsid w:val="003658A8"/>
    <w:rsid w:val="0038451B"/>
    <w:rsid w:val="00391F0D"/>
    <w:rsid w:val="003B02D5"/>
    <w:rsid w:val="003B0D0A"/>
    <w:rsid w:val="003E2013"/>
    <w:rsid w:val="004001C3"/>
    <w:rsid w:val="00410AF8"/>
    <w:rsid w:val="0042530E"/>
    <w:rsid w:val="0044402C"/>
    <w:rsid w:val="004532DD"/>
    <w:rsid w:val="00457411"/>
    <w:rsid w:val="00497372"/>
    <w:rsid w:val="004A0AA7"/>
    <w:rsid w:val="004A4A7A"/>
    <w:rsid w:val="004B4002"/>
    <w:rsid w:val="004D7781"/>
    <w:rsid w:val="004E1646"/>
    <w:rsid w:val="004E1F7F"/>
    <w:rsid w:val="004E63D1"/>
    <w:rsid w:val="004F0B18"/>
    <w:rsid w:val="00500C81"/>
    <w:rsid w:val="00510A5E"/>
    <w:rsid w:val="00563D67"/>
    <w:rsid w:val="005669B1"/>
    <w:rsid w:val="005773CC"/>
    <w:rsid w:val="005775C4"/>
    <w:rsid w:val="00583A57"/>
    <w:rsid w:val="005A7125"/>
    <w:rsid w:val="005B5C36"/>
    <w:rsid w:val="005B6A89"/>
    <w:rsid w:val="005C388F"/>
    <w:rsid w:val="005F788A"/>
    <w:rsid w:val="0064153E"/>
    <w:rsid w:val="00646B73"/>
    <w:rsid w:val="00647952"/>
    <w:rsid w:val="00672804"/>
    <w:rsid w:val="00686D15"/>
    <w:rsid w:val="00691454"/>
    <w:rsid w:val="006D193E"/>
    <w:rsid w:val="007276AB"/>
    <w:rsid w:val="007563DD"/>
    <w:rsid w:val="00756EEE"/>
    <w:rsid w:val="00784CE4"/>
    <w:rsid w:val="007A6D43"/>
    <w:rsid w:val="007B1644"/>
    <w:rsid w:val="007B1B47"/>
    <w:rsid w:val="007E232C"/>
    <w:rsid w:val="007E7ADC"/>
    <w:rsid w:val="00803F0F"/>
    <w:rsid w:val="008133A8"/>
    <w:rsid w:val="00827978"/>
    <w:rsid w:val="00835FA3"/>
    <w:rsid w:val="00844A4E"/>
    <w:rsid w:val="00846714"/>
    <w:rsid w:val="0085100A"/>
    <w:rsid w:val="00860BDD"/>
    <w:rsid w:val="00872B47"/>
    <w:rsid w:val="008748A2"/>
    <w:rsid w:val="0089468A"/>
    <w:rsid w:val="008977BF"/>
    <w:rsid w:val="008A45BC"/>
    <w:rsid w:val="008D72A2"/>
    <w:rsid w:val="00916B88"/>
    <w:rsid w:val="009254C2"/>
    <w:rsid w:val="009257F7"/>
    <w:rsid w:val="00937917"/>
    <w:rsid w:val="00960674"/>
    <w:rsid w:val="0098270D"/>
    <w:rsid w:val="009A6A7F"/>
    <w:rsid w:val="009C2059"/>
    <w:rsid w:val="009D6F57"/>
    <w:rsid w:val="00A1475A"/>
    <w:rsid w:val="00A171D0"/>
    <w:rsid w:val="00A2027D"/>
    <w:rsid w:val="00A31F93"/>
    <w:rsid w:val="00A35094"/>
    <w:rsid w:val="00A91A82"/>
    <w:rsid w:val="00A9705D"/>
    <w:rsid w:val="00AB0799"/>
    <w:rsid w:val="00AB49F4"/>
    <w:rsid w:val="00AC4338"/>
    <w:rsid w:val="00AD2632"/>
    <w:rsid w:val="00AD6804"/>
    <w:rsid w:val="00B24094"/>
    <w:rsid w:val="00B75F5D"/>
    <w:rsid w:val="00B8125B"/>
    <w:rsid w:val="00BA1ACA"/>
    <w:rsid w:val="00BC628B"/>
    <w:rsid w:val="00BD7FD7"/>
    <w:rsid w:val="00C14EDC"/>
    <w:rsid w:val="00C27E1C"/>
    <w:rsid w:val="00C3508F"/>
    <w:rsid w:val="00C42FF8"/>
    <w:rsid w:val="00C52BBC"/>
    <w:rsid w:val="00C64047"/>
    <w:rsid w:val="00C65166"/>
    <w:rsid w:val="00C66A77"/>
    <w:rsid w:val="00C66EF1"/>
    <w:rsid w:val="00C7018A"/>
    <w:rsid w:val="00C82FF9"/>
    <w:rsid w:val="00C94C5A"/>
    <w:rsid w:val="00CA44BE"/>
    <w:rsid w:val="00CA5C6D"/>
    <w:rsid w:val="00CA7A12"/>
    <w:rsid w:val="00CC4D01"/>
    <w:rsid w:val="00CD4D26"/>
    <w:rsid w:val="00CF68A8"/>
    <w:rsid w:val="00D26908"/>
    <w:rsid w:val="00D31594"/>
    <w:rsid w:val="00D457C2"/>
    <w:rsid w:val="00D608CC"/>
    <w:rsid w:val="00D6296D"/>
    <w:rsid w:val="00D67930"/>
    <w:rsid w:val="00D712ED"/>
    <w:rsid w:val="00D75021"/>
    <w:rsid w:val="00D80422"/>
    <w:rsid w:val="00D91CB0"/>
    <w:rsid w:val="00DA1835"/>
    <w:rsid w:val="00DA4DF1"/>
    <w:rsid w:val="00DF7C62"/>
    <w:rsid w:val="00E02FA7"/>
    <w:rsid w:val="00E106FC"/>
    <w:rsid w:val="00E211FE"/>
    <w:rsid w:val="00E510E4"/>
    <w:rsid w:val="00E6270C"/>
    <w:rsid w:val="00E84943"/>
    <w:rsid w:val="00E961C2"/>
    <w:rsid w:val="00E96F30"/>
    <w:rsid w:val="00EA366E"/>
    <w:rsid w:val="00ED1D77"/>
    <w:rsid w:val="00EE207E"/>
    <w:rsid w:val="00F002AC"/>
    <w:rsid w:val="00F262E6"/>
    <w:rsid w:val="00F42665"/>
    <w:rsid w:val="00F442C8"/>
    <w:rsid w:val="00F451DF"/>
    <w:rsid w:val="00F56975"/>
    <w:rsid w:val="00FC098A"/>
    <w:rsid w:val="00FC70C6"/>
    <w:rsid w:val="00FE5D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87A4A6"/>
  <w15:docId w15:val="{4F413D0F-2599-4770-99D7-45BE2A8D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BD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60BD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F7C62"/>
    <w:pPr>
      <w:keepNext/>
      <w:keepLines/>
      <w:tabs>
        <w:tab w:val="left" w:pos="720"/>
      </w:tab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65166"/>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60BDD"/>
    <w:rPr>
      <w:sz w:val="16"/>
      <w:szCs w:val="2"/>
    </w:rPr>
  </w:style>
  <w:style w:type="character" w:customStyle="1" w:styleId="BalloonTextChar">
    <w:name w:val="Balloon Text Char"/>
    <w:basedOn w:val="DefaultParagraphFont"/>
    <w:link w:val="BalloonText"/>
    <w:rsid w:val="00860BDD"/>
    <w:rPr>
      <w:rFonts w:ascii="Times New Roman" w:eastAsia="Times New Roman" w:hAnsi="Times New Roman" w:cs="Times New Roman"/>
      <w:sz w:val="16"/>
      <w:szCs w:val="2"/>
    </w:rPr>
  </w:style>
  <w:style w:type="paragraph" w:styleId="E-mailSignature">
    <w:name w:val="E-mail Signature"/>
    <w:basedOn w:val="Normal"/>
    <w:link w:val="E-mailSignatureChar"/>
    <w:rsid w:val="00860BDD"/>
  </w:style>
  <w:style w:type="character" w:customStyle="1" w:styleId="E-mailSignatureChar">
    <w:name w:val="E-mail Signature Char"/>
    <w:basedOn w:val="DefaultParagraphFont"/>
    <w:link w:val="E-mailSignature"/>
    <w:rsid w:val="00860BDD"/>
    <w:rPr>
      <w:rFonts w:ascii="Times New Roman" w:eastAsia="Times New Roman" w:hAnsi="Times New Roman" w:cs="Times New Roman"/>
      <w:sz w:val="24"/>
      <w:szCs w:val="24"/>
    </w:rPr>
  </w:style>
  <w:style w:type="character" w:styleId="CommentReference">
    <w:name w:val="annotation reference"/>
    <w:basedOn w:val="DefaultParagraphFont"/>
    <w:unhideWhenUsed/>
    <w:rsid w:val="00860BDD"/>
    <w:rPr>
      <w:sz w:val="16"/>
      <w:szCs w:val="16"/>
    </w:rPr>
  </w:style>
  <w:style w:type="paragraph" w:styleId="CommentText">
    <w:name w:val="annotation text"/>
    <w:basedOn w:val="Normal"/>
    <w:link w:val="CommentTextChar"/>
    <w:unhideWhenUsed/>
    <w:rsid w:val="00860BDD"/>
    <w:rPr>
      <w:sz w:val="20"/>
      <w:szCs w:val="20"/>
    </w:rPr>
  </w:style>
  <w:style w:type="character" w:customStyle="1" w:styleId="CommentTextChar">
    <w:name w:val="Comment Text Char"/>
    <w:basedOn w:val="DefaultParagraphFont"/>
    <w:link w:val="CommentText"/>
    <w:rsid w:val="00860B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0BDD"/>
    <w:rPr>
      <w:b/>
      <w:bCs/>
    </w:rPr>
  </w:style>
  <w:style w:type="character" w:customStyle="1" w:styleId="CommentSubjectChar">
    <w:name w:val="Comment Subject Char"/>
    <w:basedOn w:val="CommentTextChar"/>
    <w:link w:val="CommentSubject"/>
    <w:uiPriority w:val="99"/>
    <w:semiHidden/>
    <w:rsid w:val="00860BDD"/>
    <w:rPr>
      <w:rFonts w:ascii="Times New Roman" w:eastAsia="Times New Roman" w:hAnsi="Times New Roman" w:cs="Times New Roman"/>
      <w:b/>
      <w:bCs/>
      <w:sz w:val="20"/>
      <w:szCs w:val="20"/>
    </w:rPr>
  </w:style>
  <w:style w:type="character" w:styleId="BookTitle">
    <w:name w:val="Book Title"/>
    <w:uiPriority w:val="33"/>
    <w:qFormat/>
    <w:rsid w:val="00860BDD"/>
    <w:rPr>
      <w:b/>
      <w:bCs/>
      <w:smallCaps/>
      <w:spacing w:val="5"/>
      <w:sz w:val="40"/>
      <w:szCs w:val="28"/>
    </w:rPr>
  </w:style>
  <w:style w:type="character" w:styleId="Hyperlink">
    <w:name w:val="Hyperlink"/>
    <w:basedOn w:val="DefaultParagraphFont"/>
    <w:uiPriority w:val="99"/>
    <w:unhideWhenUsed/>
    <w:rsid w:val="00860BDD"/>
    <w:rPr>
      <w:color w:val="0563C1" w:themeColor="hyperlink"/>
      <w:u w:val="single"/>
    </w:rPr>
  </w:style>
  <w:style w:type="character" w:customStyle="1" w:styleId="Heading1Char">
    <w:name w:val="Heading 1 Char"/>
    <w:basedOn w:val="DefaultParagraphFont"/>
    <w:link w:val="Heading1"/>
    <w:uiPriority w:val="9"/>
    <w:rsid w:val="00860BDD"/>
    <w:rPr>
      <w:rFonts w:ascii="Times New Roman" w:hAnsi="Times New Roman" w:eastAsiaTheme="majorEastAsia" w:cstheme="majorBidi"/>
      <w:b/>
      <w:sz w:val="24"/>
      <w:szCs w:val="32"/>
    </w:rPr>
  </w:style>
  <w:style w:type="paragraph" w:styleId="TOCHeading">
    <w:name w:val="TOC Heading"/>
    <w:basedOn w:val="Heading1"/>
    <w:next w:val="Normal"/>
    <w:uiPriority w:val="39"/>
    <w:unhideWhenUsed/>
    <w:qFormat/>
    <w:rsid w:val="00860BDD"/>
    <w:pPr>
      <w:spacing w:line="259" w:lineRule="auto"/>
      <w:outlineLvl w:val="9"/>
    </w:pPr>
    <w:rPr>
      <w:rFonts w:asciiTheme="majorHAnsi" w:hAnsiTheme="majorHAnsi"/>
      <w:b w:val="0"/>
      <w:color w:val="2E74B5" w:themeColor="accent1" w:themeShade="BF"/>
      <w:sz w:val="32"/>
    </w:rPr>
  </w:style>
  <w:style w:type="character" w:customStyle="1" w:styleId="Heading2Char">
    <w:name w:val="Heading 2 Char"/>
    <w:basedOn w:val="DefaultParagraphFont"/>
    <w:link w:val="Heading2"/>
    <w:uiPriority w:val="9"/>
    <w:rsid w:val="00DF7C62"/>
    <w:rPr>
      <w:rFonts w:ascii="Times New Roman" w:hAnsi="Times New Roman" w:eastAsiaTheme="majorEastAsia" w:cstheme="majorBidi"/>
      <w:b/>
      <w:sz w:val="24"/>
      <w:szCs w:val="26"/>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860BDD"/>
    <w:pPr>
      <w:ind w:left="720"/>
      <w:contextualSpacing/>
    </w:pPr>
  </w:style>
  <w:style w:type="character" w:customStyle="1" w:styleId="Heading3Char">
    <w:name w:val="Heading 3 Char"/>
    <w:basedOn w:val="DefaultParagraphFont"/>
    <w:link w:val="Heading3"/>
    <w:uiPriority w:val="9"/>
    <w:rsid w:val="00C65166"/>
    <w:rPr>
      <w:rFonts w:ascii="Times New Roman" w:hAnsi="Times New Roman" w:eastAsiaTheme="majorEastAsia" w:cstheme="majorBidi"/>
      <w:b/>
      <w:sz w:val="24"/>
      <w:szCs w:val="24"/>
    </w:rPr>
  </w:style>
  <w:style w:type="paragraph" w:styleId="Header">
    <w:name w:val="header"/>
    <w:basedOn w:val="Normal"/>
    <w:link w:val="HeaderChar"/>
    <w:uiPriority w:val="99"/>
    <w:unhideWhenUsed/>
    <w:rsid w:val="00C65166"/>
    <w:pPr>
      <w:tabs>
        <w:tab w:val="center" w:pos="4680"/>
        <w:tab w:val="right" w:pos="9360"/>
      </w:tabs>
    </w:pPr>
  </w:style>
  <w:style w:type="character" w:customStyle="1" w:styleId="HeaderChar">
    <w:name w:val="Header Char"/>
    <w:basedOn w:val="DefaultParagraphFont"/>
    <w:link w:val="Header"/>
    <w:uiPriority w:val="99"/>
    <w:rsid w:val="00C651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5166"/>
    <w:pPr>
      <w:tabs>
        <w:tab w:val="center" w:pos="4680"/>
        <w:tab w:val="right" w:pos="9360"/>
      </w:tabs>
    </w:pPr>
  </w:style>
  <w:style w:type="character" w:customStyle="1" w:styleId="FooterChar">
    <w:name w:val="Footer Char"/>
    <w:basedOn w:val="DefaultParagraphFont"/>
    <w:link w:val="Footer"/>
    <w:uiPriority w:val="99"/>
    <w:rsid w:val="00C65166"/>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264CDB"/>
    <w:pPr>
      <w:spacing w:after="100"/>
    </w:pPr>
  </w:style>
  <w:style w:type="paragraph" w:styleId="TOC2">
    <w:name w:val="toc 2"/>
    <w:basedOn w:val="Normal"/>
    <w:next w:val="Normal"/>
    <w:autoRedefine/>
    <w:uiPriority w:val="39"/>
    <w:unhideWhenUsed/>
    <w:rsid w:val="003658A8"/>
    <w:pPr>
      <w:tabs>
        <w:tab w:val="right" w:leader="dot" w:pos="10070"/>
      </w:tabs>
      <w:spacing w:after="100"/>
      <w:ind w:left="240"/>
    </w:pPr>
  </w:style>
  <w:style w:type="paragraph" w:styleId="TOC3">
    <w:name w:val="toc 3"/>
    <w:basedOn w:val="Normal"/>
    <w:next w:val="Normal"/>
    <w:autoRedefine/>
    <w:uiPriority w:val="39"/>
    <w:unhideWhenUsed/>
    <w:rsid w:val="00264CDB"/>
    <w:pPr>
      <w:spacing w:after="100"/>
      <w:ind w:left="480"/>
    </w:pPr>
  </w:style>
  <w:style w:type="paragraph" w:styleId="Revision">
    <w:name w:val="Revision"/>
    <w:hidden/>
    <w:uiPriority w:val="99"/>
    <w:semiHidden/>
    <w:rsid w:val="00872B47"/>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qFormat/>
    <w:locked/>
    <w:rsid w:val="00872B4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D6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lwg4@cdc.gov" TargetMode="External" /><Relationship Id="rId11" Type="http://schemas.openxmlformats.org/officeDocument/2006/relationships/hyperlink" Target="mailto:vrt2@cdc.gov" TargetMode="External" /><Relationship Id="rId12" Type="http://schemas.openxmlformats.org/officeDocument/2006/relationships/hyperlink" Target="mailto:lxx7@cdc.gov" TargetMode="External" /><Relationship Id="rId13" Type="http://schemas.openxmlformats.org/officeDocument/2006/relationships/hyperlink" Target="mailto:xgf1@cdc.gov"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fys7@cdc.gov" TargetMode="External" /><Relationship Id="rId6" Type="http://schemas.openxmlformats.org/officeDocument/2006/relationships/hyperlink" Target="mailto:vci8@cdc.gov" TargetMode="External" /><Relationship Id="rId7" Type="http://schemas.openxmlformats.org/officeDocument/2006/relationships/hyperlink" Target="mailto:hfn5@cdc.gov" TargetMode="External" /><Relationship Id="rId8" Type="http://schemas.openxmlformats.org/officeDocument/2006/relationships/hyperlink" Target="mailto:uvx2@cdc.gov" TargetMode="External" /><Relationship Id="rId9" Type="http://schemas.openxmlformats.org/officeDocument/2006/relationships/hyperlink" Target="mailto:lsj8@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201EA-B08E-46EB-91AA-570FBEE61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Biello, Shannon (CDC/ONDIEH/NCIPC);Halmos, Miklos (CDC/DDNID/NCIPC/DVP)</dc:creator>
  <cp:lastModifiedBy>Barranco, Lindsey (CDC/DDNID/NCIPC/DVP)</cp:lastModifiedBy>
  <cp:revision>2</cp:revision>
  <dcterms:created xsi:type="dcterms:W3CDTF">2023-02-28T12:43:00Z</dcterms:created>
  <dcterms:modified xsi:type="dcterms:W3CDTF">2023-09-18T13:19:00Z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e502c3fe-aa7c-4683-b4c7-66f02a794317</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2021-10-29T14:31:45Z</vt:lpwstr>
  </property>
  <property fmtid="{D5CDD505-2E9C-101B-9397-08002B2CF9AE}" pid="8" name="MSIP_Label_7b94a7b8-f06c-4dfe-bdcc-9b548fd58c31_SiteId">
    <vt:lpwstr>9ce70869-60db-44fd-abe8-d2767077fc8f</vt:lpwstr>
  </property>
</Properties>
</file>