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1FAC" w:rsidRPr="00865C15" w:rsidP="00346398" w14:paraId="336D5352" w14:textId="0976C9BE">
      <w:pPr>
        <w:jc w:val="center"/>
        <w:rPr>
          <w:rFonts w:ascii="Times New Roman" w:hAnsi="Times New Roman" w:cs="Times New Roman"/>
          <w:b/>
          <w:bCs/>
        </w:rPr>
      </w:pPr>
      <w:r w:rsidRPr="00865C15">
        <w:rPr>
          <w:rFonts w:ascii="Times New Roman" w:hAnsi="Times New Roman" w:cs="Times New Roman"/>
          <w:b/>
          <w:bCs/>
        </w:rPr>
        <w:t>Non-Substantive Change Request Memo</w:t>
      </w:r>
    </w:p>
    <w:p w:rsidR="007A4E0D" w:rsidRPr="00346398" w:rsidP="007A4E0D" w14:paraId="71AF40B5" w14:textId="77777777">
      <w:pPr>
        <w:jc w:val="center"/>
        <w:rPr>
          <w:rFonts w:ascii="Times New Roman" w:hAnsi="Times New Roman" w:cs="Times New Roman"/>
        </w:rPr>
      </w:pPr>
      <w:r w:rsidRPr="00346398">
        <w:rPr>
          <w:rFonts w:ascii="Times New Roman" w:hAnsi="Times New Roman" w:cs="Times New Roman"/>
        </w:rPr>
        <w:t xml:space="preserve">The EDN Tuberculosis Follow-Up Worksheet for </w:t>
      </w:r>
      <w:r w:rsidRPr="00346398">
        <w:rPr>
          <w:rFonts w:ascii="Times New Roman" w:hAnsi="Times New Roman" w:cs="Times New Roman"/>
        </w:rPr>
        <w:t>Newly-Arrived</w:t>
      </w:r>
      <w:r w:rsidRPr="00346398">
        <w:rPr>
          <w:rFonts w:ascii="Times New Roman" w:hAnsi="Times New Roman" w:cs="Times New Roman"/>
        </w:rPr>
        <w:t xml:space="preserve"> Persons with Overseas Tuberculosis Classifications</w:t>
      </w:r>
    </w:p>
    <w:p w:rsidR="00E25FDC" w:rsidP="00C53CEF" w14:paraId="4ED01B7E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(OMB Control No. 0920-</w:t>
      </w:r>
      <w:r w:rsidR="00454FAB">
        <w:rPr>
          <w:rFonts w:ascii="Times New Roman" w:hAnsi="Times New Roman" w:cs="Times New Roman"/>
          <w:b/>
          <w:bCs/>
        </w:rPr>
        <w:t>1238)</w:t>
      </w:r>
    </w:p>
    <w:p w:rsidR="00E25FDC" w:rsidP="00C53CEF" w14:paraId="1279079B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23030B19" w14:textId="66AC0ED9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1</w:t>
      </w:r>
      <w:r w:rsidR="00AE34B1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, 2023</w:t>
      </w:r>
    </w:p>
    <w:p w:rsidR="00366F34" w:rsidP="00C53CEF" w14:paraId="559482AA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5701A1C9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004DAD1D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1DDC96DF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0F3ABFEC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761F6BA9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6E622572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27429090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79D7D735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7B568ECD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265DBD98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16AD22C6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366F34" w:rsidP="00C53CEF" w14:paraId="41935D3B" w14:textId="4CB4430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F70F43" w:rsidP="00C53CEF" w14:paraId="3A7C2EB2" w14:textId="2572B1E9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F70F43" w:rsidP="00C53CEF" w14:paraId="3C200CEA" w14:textId="52E89D0C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F70F43" w:rsidP="00C53CEF" w14:paraId="40DDB066" w14:textId="0AC7A965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F70F43" w:rsidP="00C53CEF" w14:paraId="28BA4AC1" w14:textId="1BD93EFE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F70F43" w:rsidP="00C53CEF" w14:paraId="3A1072E6" w14:textId="77777777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A55914" w:rsidP="00346398" w14:paraId="46428B38" w14:textId="77777777">
      <w:pPr>
        <w:spacing w:after="16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Contact:</w:t>
      </w:r>
    </w:p>
    <w:p w:rsidR="00F70F43" w:rsidP="00F70F43" w14:paraId="3338ADF1" w14:textId="1F04133D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Rudith Vic</w:t>
      </w:r>
      <w:r>
        <w:rPr>
          <w:rFonts w:ascii="Times New Roman" w:hAnsi="Times New Roman" w:cs="Times New Roman"/>
        </w:rPr>
        <w:t>e</w:t>
      </w:r>
    </w:p>
    <w:p w:rsidR="00F70F43" w:rsidP="00F70F43" w14:paraId="7A62C8AC" w14:textId="5A59D1E2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Center for Emerging and Zoonotic Infectious Diseases</w:t>
      </w:r>
    </w:p>
    <w:p w:rsidR="00F70F43" w:rsidP="00F70F43" w14:paraId="42D5A564" w14:textId="3930107D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Centers for Disease Control and Prevention</w:t>
      </w:r>
    </w:p>
    <w:p w:rsidR="00F70F43" w:rsidP="00F70F43" w14:paraId="03F55C09" w14:textId="23B5490E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1600 Clifton Rd, NE</w:t>
      </w:r>
    </w:p>
    <w:p w:rsidR="00F70F43" w:rsidP="00F70F43" w14:paraId="7CC0571A" w14:textId="377F6812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Atlanta, Georgia 30333</w:t>
      </w:r>
    </w:p>
    <w:p w:rsidR="00F70F43" w:rsidP="00F70F43" w14:paraId="2DC840D3" w14:textId="76985C44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(404) 718-7292</w:t>
      </w:r>
    </w:p>
    <w:p w:rsidR="001D1FAC" w:rsidRPr="00346398" w:rsidP="00346398" w14:paraId="31A45F06" w14:textId="6F9184E3">
      <w:pPr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nhr9@cdc.gov</w:t>
      </w:r>
    </w:p>
    <w:p w:rsidR="00804FB8" w:rsidP="00804FB8" w14:paraId="74F624C4" w14:textId="77777777">
      <w:pPr>
        <w:rPr>
          <w:rFonts w:ascii="Times New Roman" w:hAnsi="Times New Roman" w:cs="Times New Roman"/>
          <w:b/>
          <w:bCs/>
        </w:rPr>
      </w:pPr>
    </w:p>
    <w:p w:rsidR="00AA409D" w:rsidP="00804FB8" w14:paraId="3E14B3A6" w14:textId="71B3B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This package is related to </w:t>
      </w:r>
      <w:r w:rsidR="00996050">
        <w:rPr>
          <w:rFonts w:ascii="Times New Roman" w:hAnsi="Times New Roman" w:cs="Times New Roman"/>
          <w:b/>
          <w:bCs/>
          <w:i/>
          <w:iCs/>
        </w:rPr>
        <w:t xml:space="preserve">The EDN Tuberculosis Follow-up Worksheet for </w:t>
      </w:r>
      <w:r w:rsidR="00996050">
        <w:rPr>
          <w:rFonts w:ascii="Times New Roman" w:hAnsi="Times New Roman" w:cs="Times New Roman"/>
          <w:b/>
          <w:bCs/>
          <w:i/>
          <w:iCs/>
        </w:rPr>
        <w:t>Newly-Arrived</w:t>
      </w:r>
      <w:r w:rsidR="00996050">
        <w:rPr>
          <w:rFonts w:ascii="Times New Roman" w:hAnsi="Times New Roman" w:cs="Times New Roman"/>
          <w:b/>
          <w:bCs/>
          <w:i/>
          <w:iCs/>
        </w:rPr>
        <w:t xml:space="preserve"> Persons with Overseas Tuberculosis Classifications</w:t>
      </w:r>
      <w:r w:rsidR="009960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(OMB Control # 0920-1</w:t>
      </w:r>
      <w:r w:rsidR="00996050">
        <w:rPr>
          <w:rFonts w:ascii="Times New Roman" w:hAnsi="Times New Roman" w:cs="Times New Roman"/>
          <w:b/>
          <w:bCs/>
        </w:rPr>
        <w:t>238</w:t>
      </w:r>
      <w:r>
        <w:rPr>
          <w:rFonts w:ascii="Times New Roman" w:hAnsi="Times New Roman" w:cs="Times New Roman"/>
          <w:b/>
          <w:bCs/>
        </w:rPr>
        <w:t>). Overall, the changes described below are very minor and do not constitute more than 10% change to the original package.</w:t>
      </w:r>
    </w:p>
    <w:p w:rsidR="007C7000" w:rsidP="00804FB8" w14:paraId="1656C387" w14:textId="77777777">
      <w:pPr>
        <w:rPr>
          <w:rFonts w:ascii="Times New Roman" w:hAnsi="Times New Roman" w:cs="Times New Roman"/>
          <w:b/>
          <w:bCs/>
        </w:rPr>
      </w:pPr>
    </w:p>
    <w:p w:rsidR="00AA409D" w:rsidRPr="00346398" w:rsidP="00804FB8" w14:paraId="46A007C8" w14:textId="28BF5413">
      <w:pPr>
        <w:rPr>
          <w:rFonts w:ascii="Times New Roman" w:hAnsi="Times New Roman" w:cs="Times New Roman"/>
        </w:rPr>
      </w:pPr>
      <w:r w:rsidRPr="00346398">
        <w:rPr>
          <w:rFonts w:ascii="Times New Roman" w:hAnsi="Times New Roman" w:cs="Times New Roman"/>
        </w:rPr>
        <w:t xml:space="preserve">The purpose of this data collection is to follow-up with and assess </w:t>
      </w:r>
      <w:r w:rsidRPr="00346398">
        <w:rPr>
          <w:rFonts w:ascii="Times New Roman" w:hAnsi="Times New Roman" w:cs="Times New Roman"/>
        </w:rPr>
        <w:t>newly-arrived</w:t>
      </w:r>
      <w:r w:rsidRPr="00346398">
        <w:rPr>
          <w:rFonts w:ascii="Times New Roman" w:hAnsi="Times New Roman" w:cs="Times New Roman"/>
        </w:rPr>
        <w:t xml:space="preserve"> persons in the United States who received overseas tuberculosis classifications in order to assist in the national effort to prevent new transmission of tuberculosis. Tuberculosis classification and US tuberculosis follow-up medical examination information on </w:t>
      </w:r>
      <w:r w:rsidRPr="00346398">
        <w:rPr>
          <w:rFonts w:ascii="Times New Roman" w:hAnsi="Times New Roman" w:cs="Times New Roman"/>
        </w:rPr>
        <w:t>newly-arrived</w:t>
      </w:r>
      <w:r w:rsidRPr="00346398">
        <w:rPr>
          <w:rFonts w:ascii="Times New Roman" w:hAnsi="Times New Roman" w:cs="Times New Roman"/>
        </w:rPr>
        <w:t xml:space="preserve"> persons in the United States is available through the Electronic Disease Notification System (EDN).</w:t>
      </w:r>
      <w:r w:rsidR="009646F1">
        <w:rPr>
          <w:rFonts w:ascii="Times New Roman" w:hAnsi="Times New Roman" w:cs="Times New Roman"/>
        </w:rPr>
        <w:t xml:space="preserve"> </w:t>
      </w:r>
      <w:r w:rsidRPr="00346398" w:rsidR="009646F1">
        <w:rPr>
          <w:rFonts w:ascii="Times New Roman" w:hAnsi="Times New Roman" w:cs="Times New Roman"/>
        </w:rPr>
        <w:t>Data for each person with overseas tuberculosis classification requiring follow-up will be collected by state and local health departments through the Electronic Disease Notification (EDN) System.</w:t>
      </w:r>
    </w:p>
    <w:p w:rsidR="007F3AB0" w:rsidP="00804FB8" w14:paraId="4D817A9A" w14:textId="5601A046">
      <w:pPr>
        <w:rPr>
          <w:rFonts w:ascii="Times New Roman" w:hAnsi="Times New Roman" w:cs="Times New Roman"/>
          <w:b/>
          <w:bCs/>
        </w:rPr>
      </w:pPr>
    </w:p>
    <w:p w:rsidR="00EA0DDB" w:rsidP="00EA0DDB" w14:paraId="69984E78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The EDN Tuberculosis Follow-up Worksheet for Newly-Arrived Persons with Overseas Tuberculosis Classifications – </w:t>
      </w:r>
      <w:r>
        <w:rPr>
          <w:rFonts w:ascii="Times New Roman" w:hAnsi="Times New Roman" w:cs="Times New Roman"/>
          <w:b/>
          <w:bCs/>
        </w:rPr>
        <w:t>Explanation of Changes</w:t>
      </w:r>
      <w:r>
        <w:rPr>
          <w:rFonts w:ascii="Times New Roman" w:hAnsi="Times New Roman" w:cs="Times New Roman"/>
          <w:b/>
          <w:bCs/>
          <w:i/>
          <w:iCs/>
        </w:rPr>
        <w:t>*</w:t>
      </w:r>
    </w:p>
    <w:p w:rsidR="00EA0DDB" w:rsidP="00EA0DDB" w14:paraId="13073C12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70C0"/>
          <w:sz w:val="22"/>
          <w:szCs w:val="22"/>
        </w:rPr>
        <w:t>*Note: Please see the tracked changes document for detailed changes.</w:t>
      </w:r>
    </w:p>
    <w:p w:rsidR="00EA0DDB" w:rsidP="00804FB8" w14:paraId="176E7A6B" w14:textId="77777777">
      <w:pPr>
        <w:rPr>
          <w:rFonts w:ascii="Times New Roman" w:hAnsi="Times New Roman" w:cs="Times New Roman"/>
          <w:b/>
          <w:bCs/>
        </w:rPr>
      </w:pPr>
    </w:p>
    <w:p w:rsidR="00620AB0" w:rsidRPr="00C52DA0" w:rsidP="00804FB8" w14:paraId="669B7B91" w14:textId="0C1E82FD">
      <w:pPr>
        <w:rPr>
          <w:rFonts w:ascii="Times New Roman" w:hAnsi="Times New Roman" w:cs="Times New Roman"/>
        </w:rPr>
      </w:pPr>
      <w:r w:rsidRPr="00C52DA0">
        <w:rPr>
          <w:rFonts w:ascii="Times New Roman" w:hAnsi="Times New Roman" w:cs="Times New Roman"/>
        </w:rPr>
        <w:t>The term, “pre-immigration,” was revised to incorporate “</w:t>
      </w:r>
      <w:r w:rsidRPr="00C52DA0" w:rsidR="00AD06A8">
        <w:rPr>
          <w:rFonts w:ascii="Times New Roman" w:hAnsi="Times New Roman" w:cs="Times New Roman"/>
        </w:rPr>
        <w:t xml:space="preserve">I-693” </w:t>
      </w:r>
      <w:r w:rsidRPr="00C52DA0">
        <w:rPr>
          <w:rFonts w:ascii="Times New Roman" w:hAnsi="Times New Roman" w:cs="Times New Roman"/>
        </w:rPr>
        <w:t>throughout the in</w:t>
      </w:r>
      <w:r>
        <w:rPr>
          <w:rFonts w:ascii="Times New Roman" w:hAnsi="Times New Roman" w:cs="Times New Roman"/>
        </w:rPr>
        <w:t>formation</w:t>
      </w:r>
      <w:r w:rsidRPr="00C52DA0">
        <w:rPr>
          <w:rFonts w:ascii="Times New Roman" w:hAnsi="Times New Roman" w:cs="Times New Roman"/>
        </w:rPr>
        <w:t xml:space="preserve"> collection instrument </w:t>
      </w:r>
      <w:r w:rsidRPr="00C52DA0" w:rsidR="0087756A">
        <w:rPr>
          <w:rFonts w:ascii="Times New Roman" w:hAnsi="Times New Roman" w:cs="Times New Roman"/>
        </w:rPr>
        <w:t>to</w:t>
      </w:r>
      <w:r w:rsidRPr="00C52DA0" w:rsidR="00AD06A8">
        <w:rPr>
          <w:rFonts w:ascii="Times New Roman" w:hAnsi="Times New Roman" w:cs="Times New Roman"/>
        </w:rPr>
        <w:t xml:space="preserve"> include</w:t>
      </w:r>
      <w:r w:rsidRPr="00C52DA0" w:rsidR="00EF3415">
        <w:rPr>
          <w:rFonts w:ascii="Times New Roman" w:hAnsi="Times New Roman" w:cs="Times New Roman"/>
        </w:rPr>
        <w:t xml:space="preserve"> </w:t>
      </w:r>
      <w:r w:rsidRPr="00C52DA0">
        <w:rPr>
          <w:rFonts w:ascii="Times New Roman" w:hAnsi="Times New Roman" w:cs="Times New Roman"/>
        </w:rPr>
        <w:t xml:space="preserve">status adjusters </w:t>
      </w:r>
      <w:r w:rsidRPr="00C52DA0" w:rsidR="00EF3415">
        <w:rPr>
          <w:rFonts w:ascii="Times New Roman" w:hAnsi="Times New Roman" w:cs="Times New Roman"/>
        </w:rPr>
        <w:t xml:space="preserve">who already reside in the United States. </w:t>
      </w:r>
      <w:r w:rsidR="009915D4">
        <w:rPr>
          <w:rFonts w:ascii="Times New Roman" w:hAnsi="Times New Roman" w:cs="Times New Roman"/>
        </w:rPr>
        <w:t>Similarly, f</w:t>
      </w:r>
      <w:r w:rsidRPr="00C52DA0" w:rsidR="0087756A">
        <w:rPr>
          <w:rFonts w:ascii="Times New Roman" w:hAnsi="Times New Roman" w:cs="Times New Roman"/>
        </w:rPr>
        <w:t>ields that</w:t>
      </w:r>
      <w:r w:rsidR="009915D4">
        <w:rPr>
          <w:rFonts w:ascii="Times New Roman" w:hAnsi="Times New Roman" w:cs="Times New Roman"/>
        </w:rPr>
        <w:t xml:space="preserve"> detail</w:t>
      </w:r>
      <w:r w:rsidRPr="00C52DA0" w:rsidR="0087756A">
        <w:rPr>
          <w:rFonts w:ascii="Times New Roman" w:hAnsi="Times New Roman" w:cs="Times New Roman"/>
        </w:rPr>
        <w:t xml:space="preserve"> “panel physician” diagnosis or examinations were </w:t>
      </w:r>
      <w:r w:rsidR="009915D4">
        <w:rPr>
          <w:rFonts w:ascii="Times New Roman" w:hAnsi="Times New Roman" w:cs="Times New Roman"/>
        </w:rPr>
        <w:t xml:space="preserve">also </w:t>
      </w:r>
      <w:r w:rsidRPr="00C52DA0" w:rsidR="0087756A">
        <w:rPr>
          <w:rFonts w:ascii="Times New Roman" w:hAnsi="Times New Roman" w:cs="Times New Roman"/>
        </w:rPr>
        <w:t>revised to include the phrase, “or civil surgeon,”</w:t>
      </w:r>
      <w:r w:rsidRPr="00C52DA0">
        <w:rPr>
          <w:rFonts w:ascii="Times New Roman" w:hAnsi="Times New Roman" w:cs="Times New Roman"/>
        </w:rPr>
        <w:t xml:space="preserve"> </w:t>
      </w:r>
      <w:r w:rsidRPr="00C52DA0" w:rsidR="0087756A">
        <w:rPr>
          <w:rFonts w:ascii="Times New Roman" w:hAnsi="Times New Roman" w:cs="Times New Roman"/>
        </w:rPr>
        <w:t xml:space="preserve">to be inclusive of status adjusters. </w:t>
      </w:r>
      <w:r>
        <w:rPr>
          <w:rFonts w:ascii="Times New Roman" w:hAnsi="Times New Roman" w:cs="Times New Roman"/>
        </w:rPr>
        <w:t>The revisions in the</w:t>
      </w:r>
      <w:r w:rsidR="009915D4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terminologies do not alter the overall scope of the currently approved collection instrument a</w:t>
      </w:r>
      <w:r w:rsidR="004B0FA6">
        <w:rPr>
          <w:rFonts w:ascii="Times New Roman" w:hAnsi="Times New Roman" w:cs="Times New Roman"/>
        </w:rPr>
        <w:t>s they</w:t>
      </w:r>
      <w:r w:rsidR="00B106E3">
        <w:rPr>
          <w:rFonts w:ascii="Times New Roman" w:hAnsi="Times New Roman" w:cs="Times New Roman"/>
        </w:rPr>
        <w:t xml:space="preserve"> do </w:t>
      </w:r>
      <w:r w:rsidR="004B0FA6">
        <w:rPr>
          <w:rFonts w:ascii="Times New Roman" w:hAnsi="Times New Roman" w:cs="Times New Roman"/>
        </w:rPr>
        <w:t xml:space="preserve">not exclude the subpopulation of study that was previously noted in the approved package. </w:t>
      </w:r>
      <w:r w:rsidR="00B106E3">
        <w:rPr>
          <w:rFonts w:ascii="Times New Roman" w:hAnsi="Times New Roman" w:cs="Times New Roman"/>
        </w:rPr>
        <w:t>The same respondents who completed the collection instruments previously are the same respondents who will be completing the collection instruments with revised fields.</w:t>
      </w:r>
      <w:r w:rsidR="00E75ACB">
        <w:rPr>
          <w:rFonts w:ascii="Times New Roman" w:hAnsi="Times New Roman" w:cs="Times New Roman"/>
        </w:rPr>
        <w:t xml:space="preserve"> </w:t>
      </w:r>
      <w:r w:rsidR="006248FE">
        <w:rPr>
          <w:rFonts w:ascii="Times New Roman" w:hAnsi="Times New Roman" w:cs="Times New Roman"/>
        </w:rPr>
        <w:t>Respondents will not accrue additional burden time</w:t>
      </w:r>
      <w:r w:rsidR="00561276">
        <w:rPr>
          <w:rFonts w:ascii="Times New Roman" w:hAnsi="Times New Roman" w:cs="Times New Roman"/>
        </w:rPr>
        <w:t xml:space="preserve"> since</w:t>
      </w:r>
      <w:r w:rsidR="006248FE">
        <w:rPr>
          <w:rFonts w:ascii="Times New Roman" w:hAnsi="Times New Roman" w:cs="Times New Roman"/>
        </w:rPr>
        <w:t xml:space="preserve"> there are only labeling changes made to the collection instrument. No additional questions were added. </w:t>
      </w:r>
      <w:r w:rsidR="00E75ACB">
        <w:rPr>
          <w:rFonts w:ascii="Times New Roman" w:hAnsi="Times New Roman" w:cs="Times New Roman"/>
        </w:rPr>
        <w:t xml:space="preserve"> </w:t>
      </w:r>
      <w:r w:rsidR="00D63CF7">
        <w:rPr>
          <w:rFonts w:ascii="Times New Roman" w:hAnsi="Times New Roman" w:cs="Times New Roman"/>
        </w:rPr>
        <w:t xml:space="preserve"> </w:t>
      </w:r>
    </w:p>
    <w:p w:rsidR="00804FB8" w:rsidP="00804FB8" w14:paraId="2B40A7AC" w14:textId="20C45275">
      <w:pPr>
        <w:rPr>
          <w:rFonts w:ascii="Times New Roman" w:hAnsi="Times New Roman" w:cs="Times New Roman"/>
          <w:b/>
          <w:bCs/>
        </w:rPr>
      </w:pPr>
    </w:p>
    <w:p w:rsidR="00804FB8" w:rsidP="00804FB8" w14:paraId="6A6D48D9" w14:textId="35C53025">
      <w:pPr>
        <w:pStyle w:val="Heading3"/>
        <w:rPr>
          <w:rFonts w:cs="Times New Roman"/>
          <w:color w:val="000000" w:themeColor="text1"/>
        </w:rPr>
      </w:pPr>
      <w:bookmarkStart w:id="0" w:name="_Toc103239101"/>
      <w:r>
        <w:rPr>
          <w:rFonts w:cs="Times New Roman"/>
          <w:color w:val="000000" w:themeColor="text1"/>
        </w:rPr>
        <w:t>“</w:t>
      </w:r>
      <w:r w:rsidRPr="003E3B20" w:rsidR="003E3B20">
        <w:rPr>
          <w:rFonts w:cs="Times New Roman"/>
          <w:i/>
          <w:iCs/>
          <w:color w:val="000000" w:themeColor="text1"/>
        </w:rPr>
        <w:t xml:space="preserve">The EDN Tuberculosis Follow-up Worksheet for </w:t>
      </w:r>
      <w:r w:rsidRPr="003E3B20" w:rsidR="003E3B20">
        <w:rPr>
          <w:rFonts w:cs="Times New Roman"/>
          <w:i/>
          <w:iCs/>
          <w:color w:val="000000" w:themeColor="text1"/>
        </w:rPr>
        <w:t>Newly-Arrived</w:t>
      </w:r>
      <w:r w:rsidRPr="003E3B20" w:rsidR="003E3B20">
        <w:rPr>
          <w:rFonts w:cs="Times New Roman"/>
          <w:i/>
          <w:iCs/>
          <w:color w:val="000000" w:themeColor="text1"/>
        </w:rPr>
        <w:t xml:space="preserve"> Persons with Overseas Tuberculosis Classifications</w:t>
      </w:r>
      <w:r>
        <w:rPr>
          <w:rFonts w:cs="Times New Roman"/>
          <w:color w:val="000000" w:themeColor="text1"/>
        </w:rPr>
        <w:t>”</w:t>
      </w:r>
      <w:r w:rsidR="00A4375F">
        <w:rPr>
          <w:rFonts w:cs="Times New Roman"/>
          <w:color w:val="000000" w:themeColor="text1"/>
        </w:rPr>
        <w:t xml:space="preserve"> data collection instrument changes:</w:t>
      </w:r>
    </w:p>
    <w:bookmarkEnd w:id="0"/>
    <w:p w:rsidR="00D63CF7" w:rsidP="00D63CF7" w14:paraId="46ED4E15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“U.S. Review of Pre-Immigration CXR” </w:t>
      </w:r>
      <w:r w:rsidRPr="00D63CF7">
        <w:rPr>
          <w:rFonts w:ascii="Times New Roman" w:hAnsi="Times New Roman" w:cs="Times New Roman"/>
          <w:color w:val="000000" w:themeColor="text1"/>
        </w:rPr>
        <w:t xml:space="preserve">section </w:t>
      </w:r>
      <w:r w:rsidRPr="00D63CF7">
        <w:rPr>
          <w:rFonts w:ascii="Times New Roman" w:hAnsi="Times New Roman" w:cs="Times New Roman"/>
          <w:color w:val="000000" w:themeColor="text1"/>
        </w:rPr>
        <w:t xml:space="preserve">heading to “U.S. Review of </w:t>
      </w:r>
      <w:r w:rsidRPr="00D63CF7" w:rsidR="00B106E3">
        <w:rPr>
          <w:rFonts w:ascii="Times New Roman" w:hAnsi="Times New Roman" w:cs="Times New Roman"/>
          <w:color w:val="000000" w:themeColor="text1"/>
        </w:rPr>
        <w:t xml:space="preserve">Pre-Immigration/I-693 </w:t>
      </w:r>
      <w:r w:rsidRPr="00D63CF7" w:rsidR="00B106E3">
        <w:rPr>
          <w:rFonts w:ascii="Times New Roman" w:hAnsi="Times New Roman" w:cs="Times New Roman"/>
          <w:color w:val="000000" w:themeColor="text1"/>
        </w:rPr>
        <w:t>CXR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01BF0CA8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C4 </w:t>
      </w:r>
      <w:r w:rsidRPr="00D63CF7">
        <w:rPr>
          <w:rFonts w:ascii="Times New Roman" w:hAnsi="Times New Roman" w:cs="Times New Roman"/>
          <w:color w:val="000000" w:themeColor="text1"/>
        </w:rPr>
        <w:t>“Pre-Immigration CXR available?” field to “</w:t>
      </w:r>
      <w:r w:rsidRPr="00D63CF7" w:rsidR="00B106E3">
        <w:rPr>
          <w:rFonts w:ascii="Times New Roman" w:hAnsi="Times New Roman" w:cs="Times New Roman"/>
          <w:color w:val="000000" w:themeColor="text1"/>
        </w:rPr>
        <w:t>Pre-Immigration</w:t>
      </w:r>
      <w:r w:rsidRPr="00D63CF7" w:rsidR="00575DA1">
        <w:rPr>
          <w:rFonts w:ascii="Times New Roman" w:hAnsi="Times New Roman" w:cs="Times New Roman"/>
          <w:color w:val="000000" w:themeColor="text1"/>
        </w:rPr>
        <w:t>/I-693</w:t>
      </w:r>
      <w:r w:rsidRPr="00D63CF7" w:rsidR="00B106E3">
        <w:rPr>
          <w:rFonts w:ascii="Times New Roman" w:hAnsi="Times New Roman" w:cs="Times New Roman"/>
          <w:color w:val="000000" w:themeColor="text1"/>
        </w:rPr>
        <w:t xml:space="preserve"> CXR available</w:t>
      </w:r>
      <w:r w:rsidRPr="00D63CF7" w:rsidR="00575DA1">
        <w:rPr>
          <w:rFonts w:ascii="Times New Roman" w:hAnsi="Times New Roman" w:cs="Times New Roman"/>
          <w:color w:val="000000" w:themeColor="text1"/>
        </w:rPr>
        <w:t>?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4A18159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C5 </w:t>
      </w:r>
      <w:r w:rsidRPr="00D63CF7">
        <w:rPr>
          <w:rFonts w:ascii="Times New Roman" w:hAnsi="Times New Roman" w:cs="Times New Roman"/>
          <w:color w:val="000000" w:themeColor="text1"/>
        </w:rPr>
        <w:t>“U.S. interpretation of pre-immigration CXR</w:t>
      </w:r>
      <w:r w:rsidRPr="00D63CF7" w:rsidR="00245E02">
        <w:rPr>
          <w:rFonts w:ascii="Times New Roman" w:hAnsi="Times New Roman" w:cs="Times New Roman"/>
          <w:color w:val="000000" w:themeColor="text1"/>
        </w:rPr>
        <w:t>” to “</w:t>
      </w:r>
      <w:r w:rsidRPr="00D63CF7" w:rsidR="00575DA1">
        <w:rPr>
          <w:rFonts w:ascii="Times New Roman" w:hAnsi="Times New Roman" w:cs="Times New Roman"/>
          <w:color w:val="000000" w:themeColor="text1"/>
        </w:rPr>
        <w:t xml:space="preserve">U.S. interpretation of pre-immigration/I-693 </w:t>
      </w:r>
      <w:r w:rsidRPr="00D63CF7" w:rsidR="00575DA1">
        <w:rPr>
          <w:rFonts w:ascii="Times New Roman" w:hAnsi="Times New Roman" w:cs="Times New Roman"/>
          <w:color w:val="000000" w:themeColor="text1"/>
        </w:rPr>
        <w:t>CXR</w:t>
      </w:r>
      <w:r w:rsidRPr="00D63CF7" w:rsidR="00245E02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17D7982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C8 </w:t>
      </w:r>
      <w:r w:rsidRPr="00D63CF7">
        <w:rPr>
          <w:rFonts w:ascii="Times New Roman" w:hAnsi="Times New Roman" w:cs="Times New Roman"/>
          <w:color w:val="000000" w:themeColor="text1"/>
        </w:rPr>
        <w:t>“U.S. domestic CXR comparison to pre-immigration CXR” to “</w:t>
      </w:r>
      <w:r w:rsidRPr="00D63CF7" w:rsidR="00575DA1">
        <w:rPr>
          <w:rFonts w:ascii="Times New Roman" w:hAnsi="Times New Roman" w:cs="Times New Roman"/>
          <w:color w:val="000000" w:themeColor="text1"/>
        </w:rPr>
        <w:t xml:space="preserve">U.S. domestic CXR comparison to pre-immigration/I-693 </w:t>
      </w:r>
      <w:r w:rsidRPr="00D63CF7" w:rsidR="00575DA1">
        <w:rPr>
          <w:rFonts w:ascii="Times New Roman" w:hAnsi="Times New Roman" w:cs="Times New Roman"/>
          <w:color w:val="000000" w:themeColor="text1"/>
        </w:rPr>
        <w:t>CXR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133ACC4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“U.S. Review of Pre-Immigration Treatment” </w:t>
      </w:r>
      <w:r w:rsidRPr="00D63CF7">
        <w:rPr>
          <w:rFonts w:ascii="Times New Roman" w:hAnsi="Times New Roman" w:cs="Times New Roman"/>
          <w:color w:val="000000" w:themeColor="text1"/>
        </w:rPr>
        <w:t xml:space="preserve">section </w:t>
      </w:r>
      <w:r w:rsidRPr="00D63CF7">
        <w:rPr>
          <w:rFonts w:ascii="Times New Roman" w:hAnsi="Times New Roman" w:cs="Times New Roman"/>
          <w:color w:val="000000" w:themeColor="text1"/>
        </w:rPr>
        <w:t>heading to “</w:t>
      </w:r>
      <w:r w:rsidRPr="00D63CF7" w:rsidR="00575DA1">
        <w:rPr>
          <w:rFonts w:ascii="Times New Roman" w:hAnsi="Times New Roman" w:cs="Times New Roman"/>
          <w:color w:val="000000" w:themeColor="text1"/>
        </w:rPr>
        <w:t xml:space="preserve">U.S. Review of Pre-Immigration/I-693 </w:t>
      </w:r>
      <w:r w:rsidRPr="00D63CF7" w:rsidR="00575DA1">
        <w:rPr>
          <w:rFonts w:ascii="Times New Roman" w:hAnsi="Times New Roman" w:cs="Times New Roman"/>
          <w:color w:val="000000" w:themeColor="text1"/>
        </w:rPr>
        <w:t>Treatment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3041E5E9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C9a </w:t>
      </w:r>
      <w:r w:rsidRPr="00D63CF7">
        <w:rPr>
          <w:rFonts w:ascii="Times New Roman" w:hAnsi="Times New Roman" w:cs="Times New Roman"/>
          <w:color w:val="000000" w:themeColor="text1"/>
        </w:rPr>
        <w:t>“Completed treatment pre-immigration?” to “</w:t>
      </w:r>
      <w:r w:rsidRPr="00D63CF7" w:rsidR="00575DA1">
        <w:rPr>
          <w:rFonts w:ascii="Times New Roman" w:hAnsi="Times New Roman" w:cs="Times New Roman"/>
          <w:color w:val="000000" w:themeColor="text1"/>
        </w:rPr>
        <w:t>Completed treatment pre-immigration/I-693?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6271E3B6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C9b </w:t>
      </w:r>
      <w:r w:rsidRPr="00D63CF7">
        <w:rPr>
          <w:rFonts w:ascii="Times New Roman" w:hAnsi="Times New Roman" w:cs="Times New Roman"/>
          <w:color w:val="000000" w:themeColor="text1"/>
        </w:rPr>
        <w:t xml:space="preserve">“Treatment completed </w:t>
      </w:r>
      <w:r w:rsidRPr="00D63CF7">
        <w:rPr>
          <w:rFonts w:ascii="Times New Roman" w:hAnsi="Times New Roman" w:cs="Times New Roman"/>
          <w:b/>
          <w:bCs/>
          <w:color w:val="000000" w:themeColor="text1"/>
        </w:rPr>
        <w:t>prior</w:t>
      </w:r>
      <w:r w:rsidRPr="00D63CF7">
        <w:rPr>
          <w:rFonts w:ascii="Times New Roman" w:hAnsi="Times New Roman" w:cs="Times New Roman"/>
          <w:color w:val="000000" w:themeColor="text1"/>
        </w:rPr>
        <w:t xml:space="preserve"> to panel physician examination” “Treatment completed </w:t>
      </w:r>
      <w:r w:rsidRPr="00D63CF7">
        <w:rPr>
          <w:rFonts w:ascii="Times New Roman" w:hAnsi="Times New Roman" w:cs="Times New Roman"/>
          <w:b/>
          <w:bCs/>
          <w:color w:val="000000" w:themeColor="text1"/>
        </w:rPr>
        <w:t>prior</w:t>
      </w:r>
      <w:r w:rsidRPr="00D63CF7">
        <w:rPr>
          <w:rFonts w:ascii="Times New Roman" w:hAnsi="Times New Roman" w:cs="Times New Roman"/>
          <w:color w:val="000000" w:themeColor="text1"/>
        </w:rPr>
        <w:t xml:space="preserve"> to panel physician or civil surgeon </w:t>
      </w:r>
      <w:r w:rsidRPr="00D63CF7">
        <w:rPr>
          <w:rFonts w:ascii="Times New Roman" w:hAnsi="Times New Roman" w:cs="Times New Roman"/>
          <w:color w:val="000000" w:themeColor="text1"/>
        </w:rPr>
        <w:t>examination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1FFA2F8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>
        <w:rPr>
          <w:rFonts w:ascii="Times New Roman" w:hAnsi="Times New Roman" w:cs="Times New Roman"/>
          <w:color w:val="000000" w:themeColor="text1"/>
        </w:rPr>
        <w:t xml:space="preserve">C9b </w:t>
      </w:r>
      <w:r w:rsidRPr="00D63CF7">
        <w:rPr>
          <w:rFonts w:ascii="Times New Roman" w:hAnsi="Times New Roman" w:cs="Times New Roman"/>
          <w:color w:val="000000" w:themeColor="text1"/>
        </w:rPr>
        <w:t xml:space="preserve">“Treatment completed </w:t>
      </w:r>
      <w:r w:rsidRPr="00D63CF7">
        <w:rPr>
          <w:rFonts w:ascii="Times New Roman" w:hAnsi="Times New Roman" w:cs="Times New Roman"/>
          <w:b/>
          <w:bCs/>
          <w:color w:val="000000" w:themeColor="text1"/>
        </w:rPr>
        <w:t xml:space="preserve">after </w:t>
      </w:r>
      <w:r w:rsidRPr="00D63CF7">
        <w:rPr>
          <w:rFonts w:ascii="Times New Roman" w:hAnsi="Times New Roman" w:cs="Times New Roman"/>
          <w:color w:val="000000" w:themeColor="text1"/>
        </w:rPr>
        <w:t xml:space="preserve">panel physician diagnosis (DS 3030)” to “Treatment completed </w:t>
      </w:r>
      <w:r w:rsidRPr="00D63CF7">
        <w:rPr>
          <w:rFonts w:ascii="Times New Roman" w:hAnsi="Times New Roman" w:cs="Times New Roman"/>
          <w:b/>
          <w:bCs/>
          <w:color w:val="000000" w:themeColor="text1"/>
        </w:rPr>
        <w:t xml:space="preserve">after </w:t>
      </w:r>
      <w:r w:rsidRPr="00D63CF7">
        <w:rPr>
          <w:rFonts w:ascii="Times New Roman" w:hAnsi="Times New Roman" w:cs="Times New Roman"/>
          <w:color w:val="000000" w:themeColor="text1"/>
        </w:rPr>
        <w:t>panel physician or civil surgeon diagnosis (DS 3030)”</w:t>
      </w:r>
    </w:p>
    <w:p w:rsidR="00D63CF7" w:rsidP="00D63CF7" w14:paraId="50CB49A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 w:rsidR="00575DA1">
        <w:rPr>
          <w:rFonts w:ascii="Times New Roman" w:hAnsi="Times New Roman" w:cs="Times New Roman"/>
          <w:color w:val="000000" w:themeColor="text1"/>
        </w:rPr>
        <w:t xml:space="preserve">C9e </w:t>
      </w:r>
      <w:r w:rsidRPr="00D63CF7">
        <w:rPr>
          <w:rFonts w:ascii="Times New Roman" w:hAnsi="Times New Roman" w:cs="Times New Roman"/>
          <w:color w:val="000000" w:themeColor="text1"/>
        </w:rPr>
        <w:t xml:space="preserve">“Report of treatment administered prior to panel physician examination” to </w:t>
      </w:r>
      <w:r w:rsidRPr="00D63CF7" w:rsidR="00575DA1">
        <w:rPr>
          <w:rFonts w:ascii="Times New Roman" w:hAnsi="Times New Roman" w:cs="Times New Roman"/>
          <w:color w:val="000000" w:themeColor="text1"/>
        </w:rPr>
        <w:t xml:space="preserve">“Report of treatment administered prior to panel physician or civil surgeon </w:t>
      </w:r>
      <w:r w:rsidRPr="00D63CF7" w:rsidR="00575DA1">
        <w:rPr>
          <w:rFonts w:ascii="Times New Roman" w:hAnsi="Times New Roman" w:cs="Times New Roman"/>
          <w:color w:val="000000" w:themeColor="text1"/>
        </w:rPr>
        <w:t>examination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D63CF7" w:rsidP="00D63CF7" w14:paraId="10789967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63CF7">
        <w:rPr>
          <w:rFonts w:ascii="Times New Roman" w:hAnsi="Times New Roman" w:cs="Times New Roman"/>
          <w:color w:val="000000" w:themeColor="text1"/>
        </w:rPr>
        <w:t xml:space="preserve">Changed C9e “Documented on DS forms &amp; patient reported at panel physician examination” to “Documented on DS forms &amp; patient reported at panel physician or civil surgeon </w:t>
      </w:r>
      <w:r w:rsidRPr="00D63CF7">
        <w:rPr>
          <w:rFonts w:ascii="Times New Roman" w:hAnsi="Times New Roman" w:cs="Times New Roman"/>
          <w:color w:val="000000" w:themeColor="text1"/>
        </w:rPr>
        <w:t>examination</w:t>
      </w:r>
      <w:r w:rsidRPr="00D63CF7">
        <w:rPr>
          <w:rFonts w:ascii="Times New Roman" w:hAnsi="Times New Roman" w:cs="Times New Roman"/>
          <w:color w:val="000000" w:themeColor="text1"/>
        </w:rPr>
        <w:t>”</w:t>
      </w:r>
    </w:p>
    <w:p w:rsidR="0036670C" w:rsidP="00397D70" w14:paraId="4151A6ED" w14:textId="755989F1">
      <w:pPr>
        <w:ind w:left="360"/>
      </w:pPr>
      <w:r w:rsidRPr="00D63CF7">
        <w:rPr>
          <w:rFonts w:ascii="Times New Roman" w:hAnsi="Times New Roman" w:cs="Times New Roman"/>
          <w:color w:val="000000" w:themeColor="text1"/>
        </w:rPr>
        <w:t xml:space="preserve">Changed </w:t>
      </w:r>
      <w:r w:rsidRPr="00D63CF7" w:rsidR="00D63CF7">
        <w:rPr>
          <w:rFonts w:ascii="Times New Roman" w:hAnsi="Times New Roman" w:cs="Times New Roman"/>
          <w:color w:val="000000" w:themeColor="text1"/>
        </w:rPr>
        <w:t xml:space="preserve">C11a </w:t>
      </w:r>
      <w:r w:rsidRPr="00D63CF7">
        <w:rPr>
          <w:rFonts w:ascii="Times New Roman" w:hAnsi="Times New Roman" w:cs="Times New Roman"/>
          <w:color w:val="000000" w:themeColor="text1"/>
        </w:rPr>
        <w:t xml:space="preserve">“Pre-Immigration treatment concerns?” to </w:t>
      </w:r>
      <w:r w:rsidRPr="00D63CF7" w:rsidR="00D63CF7">
        <w:rPr>
          <w:rFonts w:ascii="Times New Roman" w:hAnsi="Times New Roman" w:cs="Times New Roman"/>
          <w:color w:val="000000" w:themeColor="text1"/>
        </w:rPr>
        <w:t>“Pre-Immigration treatment/I-693 concerns?”</w:t>
      </w:r>
      <w:r w:rsidRPr="00D63CF7">
        <w:rPr>
          <w:rFonts w:ascii="Times New Roman" w:hAnsi="Times New Roman" w:cs="Times New Roman"/>
          <w:color w:val="000000" w:themeColor="text1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910FF"/>
    <w:multiLevelType w:val="hybridMultilevel"/>
    <w:tmpl w:val="08527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60113"/>
    <w:multiLevelType w:val="hybridMultilevel"/>
    <w:tmpl w:val="067AB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07DF"/>
    <w:multiLevelType w:val="hybridMultilevel"/>
    <w:tmpl w:val="554243AA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6E1907A4"/>
    <w:multiLevelType w:val="hybridMultilevel"/>
    <w:tmpl w:val="CA6AD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C6531"/>
    <w:multiLevelType w:val="hybridMultilevel"/>
    <w:tmpl w:val="BC8A8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03978">
    <w:abstractNumId w:val="0"/>
  </w:num>
  <w:num w:numId="2" w16cid:durableId="166941890">
    <w:abstractNumId w:val="1"/>
  </w:num>
  <w:num w:numId="3" w16cid:durableId="1770925680">
    <w:abstractNumId w:val="3"/>
  </w:num>
  <w:num w:numId="4" w16cid:durableId="490415059">
    <w:abstractNumId w:val="2"/>
  </w:num>
  <w:num w:numId="5" w16cid:durableId="1456215892">
    <w:abstractNumId w:val="0"/>
  </w:num>
  <w:num w:numId="6" w16cid:durableId="74144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B8"/>
    <w:rsid w:val="00134E1A"/>
    <w:rsid w:val="00143005"/>
    <w:rsid w:val="001D1FAC"/>
    <w:rsid w:val="00234784"/>
    <w:rsid w:val="00245E02"/>
    <w:rsid w:val="00253224"/>
    <w:rsid w:val="002E7CEA"/>
    <w:rsid w:val="00337ECE"/>
    <w:rsid w:val="00346398"/>
    <w:rsid w:val="00346663"/>
    <w:rsid w:val="00363628"/>
    <w:rsid w:val="0036670C"/>
    <w:rsid w:val="00366F34"/>
    <w:rsid w:val="00370D2E"/>
    <w:rsid w:val="00397D70"/>
    <w:rsid w:val="003A750C"/>
    <w:rsid w:val="003B35B1"/>
    <w:rsid w:val="003E3B20"/>
    <w:rsid w:val="00454FAB"/>
    <w:rsid w:val="004834EA"/>
    <w:rsid w:val="004967EF"/>
    <w:rsid w:val="004B0FA6"/>
    <w:rsid w:val="00512165"/>
    <w:rsid w:val="0052384A"/>
    <w:rsid w:val="00561276"/>
    <w:rsid w:val="00575DA1"/>
    <w:rsid w:val="00587C89"/>
    <w:rsid w:val="00620AB0"/>
    <w:rsid w:val="006248FE"/>
    <w:rsid w:val="0073165B"/>
    <w:rsid w:val="007A4E0D"/>
    <w:rsid w:val="007C4B7C"/>
    <w:rsid w:val="007C7000"/>
    <w:rsid w:val="007D6D19"/>
    <w:rsid w:val="007F3AB0"/>
    <w:rsid w:val="00804FB8"/>
    <w:rsid w:val="00865C15"/>
    <w:rsid w:val="0087756A"/>
    <w:rsid w:val="0095042C"/>
    <w:rsid w:val="009646F1"/>
    <w:rsid w:val="009915D4"/>
    <w:rsid w:val="00996050"/>
    <w:rsid w:val="00A4375F"/>
    <w:rsid w:val="00A55914"/>
    <w:rsid w:val="00A91EA0"/>
    <w:rsid w:val="00AA409D"/>
    <w:rsid w:val="00AD06A8"/>
    <w:rsid w:val="00AE34B1"/>
    <w:rsid w:val="00B106E3"/>
    <w:rsid w:val="00C52DA0"/>
    <w:rsid w:val="00C53CEF"/>
    <w:rsid w:val="00CF5B93"/>
    <w:rsid w:val="00D2349D"/>
    <w:rsid w:val="00D2595A"/>
    <w:rsid w:val="00D63CF7"/>
    <w:rsid w:val="00E25FDC"/>
    <w:rsid w:val="00E54516"/>
    <w:rsid w:val="00E75ACB"/>
    <w:rsid w:val="00EA0DDB"/>
    <w:rsid w:val="00EF3415"/>
    <w:rsid w:val="00F70F43"/>
    <w:rsid w:val="00FD45CA"/>
    <w:rsid w:val="00FF68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6D214"/>
  <w15:chartTrackingRefBased/>
  <w15:docId w15:val="{C898B3CA-663C-4FF9-845B-C492D3E3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FB8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FB8"/>
    <w:pPr>
      <w:keepNext/>
      <w:keepLines/>
      <w:spacing w:before="40" w:after="40"/>
      <w:outlineLvl w:val="2"/>
    </w:pPr>
    <w:rPr>
      <w:rFonts w:ascii="Times New Roman" w:hAnsi="Times New Roman" w:eastAsiaTheme="majorEastAsia" w:cstheme="minorHAnsi"/>
      <w:b/>
      <w:bCs/>
      <w:color w:val="1F3763" w:themeColor="accent1" w:themeShade="7F"/>
      <w:kern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4FB8"/>
    <w:rPr>
      <w:rFonts w:ascii="Times New Roman" w:hAnsi="Times New Roman" w:eastAsiaTheme="majorEastAsia" w:cstheme="minorHAnsi"/>
      <w:b/>
      <w:bCs/>
      <w:color w:val="1F3763" w:themeColor="accent1" w:themeShade="7F"/>
      <w:kern w:val="24"/>
      <w:sz w:val="24"/>
    </w:r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locked/>
    <w:rsid w:val="00804FB8"/>
    <w:rPr>
      <w:sz w:val="24"/>
      <w:szCs w:val="24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04FB8"/>
    <w:pPr>
      <w:ind w:left="720"/>
      <w:contextualSpacing/>
    </w:pPr>
  </w:style>
  <w:style w:type="character" w:customStyle="1" w:styleId="normaltextrun">
    <w:name w:val="normaltextrun"/>
    <w:basedOn w:val="DefaultParagraphFont"/>
    <w:rsid w:val="00804FB8"/>
  </w:style>
  <w:style w:type="character" w:customStyle="1" w:styleId="eop">
    <w:name w:val="eop"/>
    <w:basedOn w:val="DefaultParagraphFont"/>
    <w:rsid w:val="00804FB8"/>
  </w:style>
  <w:style w:type="character" w:customStyle="1" w:styleId="ui-provider">
    <w:name w:val="ui-provider"/>
    <w:basedOn w:val="DefaultParagraphFont"/>
    <w:rsid w:val="00804FB8"/>
  </w:style>
  <w:style w:type="character" w:styleId="CommentReference">
    <w:name w:val="annotation reference"/>
    <w:basedOn w:val="DefaultParagraphFont"/>
    <w:uiPriority w:val="99"/>
    <w:semiHidden/>
    <w:unhideWhenUsed/>
    <w:rsid w:val="002E7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C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1FAC"/>
    <w:pPr>
      <w:spacing w:after="0" w:line="240" w:lineRule="auto"/>
    </w:pPr>
    <w:rPr>
      <w:sz w:val="24"/>
      <w:szCs w:val="24"/>
    </w:rPr>
  </w:style>
  <w:style w:type="paragraph" w:styleId="NoSpacing">
    <w:name w:val="No Spacing"/>
    <w:uiPriority w:val="1"/>
    <w:qFormat/>
    <w:rsid w:val="00FF684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C4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Dam, Amanda (CDC/DDID/NCEZID/DGMQ) (CTR)</dc:creator>
  <cp:lastModifiedBy>Vice, Rudith (CDC/NCEZID/OD)</cp:lastModifiedBy>
  <cp:revision>42</cp:revision>
  <dcterms:created xsi:type="dcterms:W3CDTF">2023-10-04T13:04:00Z</dcterms:created>
  <dcterms:modified xsi:type="dcterms:W3CDTF">2023-10-11T15:45:00Z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ca9ccd41-b982-43f4-a438-d09fe5b276c7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2023-10-04T21:54:58Z</vt:lpwstr>
  </property>
  <property fmtid="{D5CDD505-2E9C-101B-9397-08002B2CF9AE}" pid="8" name="MSIP_Label_7b94a7b8-f06c-4dfe-bdcc-9b548fd58c31_SiteId">
    <vt:lpwstr>9ce70869-60db-44fd-abe8-d2767077fc8f</vt:lpwstr>
  </property>
</Properties>
</file>