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499" w:rsidP="00907499" w:rsidRDefault="0090749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Appendix</w:t>
      </w:r>
      <w:r w:rsidR="002D04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589">
        <w:rPr>
          <w:rFonts w:ascii="Times New Roman" w:hAnsi="Times New Roman" w:cs="Times New Roman"/>
          <w:b/>
          <w:sz w:val="28"/>
          <w:szCs w:val="28"/>
        </w:rPr>
        <w:t>O</w:t>
      </w:r>
    </w:p>
    <w:p w:rsidR="00907499" w:rsidP="00907499" w:rsidRDefault="0090749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Borg and Thermal Sensation Scale</w:t>
      </w: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589" w:rsidP="00907499" w:rsidRDefault="0014758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EA43A04">
            <wp:extent cx="1408430" cy="85979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7499" w:rsidP="00907499" w:rsidRDefault="0090749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Pr="00AE3C57" w:rsidR="00907499" w:rsidP="00907499" w:rsidRDefault="00147589">
      <w:pPr>
        <w:pStyle w:val="Heading1"/>
        <w:shd w:val="clear" w:color="auto" w:fill="D5DCE4" w:themeFill="text2" w:themeFillTint="33"/>
        <w:rPr>
          <w:sz w:val="48"/>
          <w:szCs w:val="48"/>
        </w:rPr>
      </w:pPr>
      <w:r>
        <w:rPr>
          <w:rFonts w:ascii="Arial" w:hAnsi="Arial"/>
          <w:b w:val="0"/>
          <w:caps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82AD98F" wp14:anchorId="536A82DA">
                <wp:simplePos x="0" y="0"/>
                <wp:positionH relativeFrom="margin">
                  <wp:align>center</wp:align>
                </wp:positionH>
                <wp:positionV relativeFrom="paragraph">
                  <wp:posOffset>6832600</wp:posOffset>
                </wp:positionV>
                <wp:extent cx="7378700" cy="781050"/>
                <wp:effectExtent l="0" t="0" r="127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620CD6" w:rsidR="00147589" w:rsidP="00147589" w:rsidRDefault="00147589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 w:eastAsia="Calibri" w:cs="Times New Roman"/>
                                <w:sz w:val="20"/>
                                <w:szCs w:val="20"/>
                              </w:rPr>
                            </w:pPr>
                            <w:r w:rsidRPr="00620CD6">
                              <w:rPr>
                                <w:rFonts w:ascii="Times New Roman" w:hAnsi="Times New Roman" w:eastAsia="Calibri" w:cs="Times New Roman"/>
                                <w:sz w:val="18"/>
                                <w:szCs w:val="18"/>
                              </w:rPr>
                              <w:t xml:space="preserve">CDC estimates the average public reporting burden for this collection of information as 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eastAsia="Calibri" w:cs="Times New Roman"/>
                                <w:sz w:val="18"/>
                                <w:szCs w:val="18"/>
                              </w:rPr>
                              <w:t xml:space="preserve"> minute</w:t>
                            </w:r>
                            <w:bookmarkStart w:name="_GoBack" w:id="0"/>
                            <w:bookmarkEnd w:id="0"/>
                            <w:r w:rsidRPr="00620CD6">
                              <w:rPr>
                                <w:rFonts w:ascii="Times New Roman" w:hAnsi="Times New Roman" w:eastAsia="Calibri" w:cs="Times New Roman"/>
                                <w:sz w:val="18"/>
                                <w:szCs w:val="18"/>
                              </w:rPr>
      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  </w:r>
                          </w:p>
                          <w:p w:rsidR="00147589" w:rsidP="00147589" w:rsidRDefault="001475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36A82DA">
                <v:stroke joinstyle="miter"/>
                <v:path gradientshapeok="t" o:connecttype="rect"/>
              </v:shapetype>
              <v:shape id="Text Box 3" style="position:absolute;margin-left:0;margin-top:538pt;width:581pt;height:61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">
                <v:textbox>
                  <w:txbxContent>
                    <w:p w:rsidRPr="00620CD6" w:rsidR="00147589" w:rsidP="00147589" w:rsidRDefault="00147589">
                      <w:pPr>
                        <w:spacing w:after="120" w:line="240" w:lineRule="auto"/>
                        <w:jc w:val="both"/>
                        <w:rPr>
                          <w:rFonts w:ascii="Times New Roman" w:hAnsi="Times New Roman" w:eastAsia="Calibri" w:cs="Times New Roman"/>
                          <w:sz w:val="20"/>
                          <w:szCs w:val="20"/>
                        </w:rPr>
                      </w:pPr>
                      <w:r w:rsidRPr="00620CD6">
                        <w:rPr>
                          <w:rFonts w:ascii="Times New Roman" w:hAnsi="Times New Roman" w:eastAsia="Calibri" w:cs="Times New Roman"/>
                          <w:sz w:val="18"/>
                          <w:szCs w:val="18"/>
                        </w:rPr>
                        <w:t xml:space="preserve">CDC estimates the average public reporting burden for this collection of information as </w:t>
                      </w:r>
                      <w:r>
                        <w:rPr>
                          <w:rFonts w:ascii="Times New Roman" w:hAnsi="Times New Roman" w:eastAsia="Calibri" w:cs="Times New Roman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Times New Roman" w:hAnsi="Times New Roman" w:eastAsia="Calibri" w:cs="Times New Roman"/>
                          <w:sz w:val="18"/>
                          <w:szCs w:val="18"/>
                        </w:rPr>
                        <w:t xml:space="preserve"> minute</w:t>
                      </w:r>
                      <w:bookmarkStart w:name="_GoBack" w:id="1"/>
                      <w:bookmarkEnd w:id="1"/>
                      <w:r w:rsidRPr="00620CD6">
                        <w:rPr>
                          <w:rFonts w:ascii="Times New Roman" w:hAnsi="Times New Roman" w:eastAsia="Calibri" w:cs="Times New Roman"/>
                          <w:sz w:val="18"/>
                          <w:szCs w:val="18"/>
                        </w:rPr>
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</w:r>
                    </w:p>
                    <w:p w:rsidR="00147589" w:rsidP="00147589" w:rsidRDefault="00147589"/>
                  </w:txbxContent>
                </v:textbox>
                <w10:wrap anchorx="margin"/>
              </v:shape>
            </w:pict>
          </mc:Fallback>
        </mc:AlternateContent>
      </w:r>
      <w:r w:rsidRPr="00AE3C57" w:rsidR="00907499">
        <w:rPr>
          <w:sz w:val="48"/>
          <w:szCs w:val="48"/>
        </w:rPr>
        <w:t>exertion level</w:t>
      </w:r>
    </w:p>
    <w:tbl>
      <w:tblPr>
        <w:tblW w:w="5002" w:type="pct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354"/>
      </w:tblGrid>
      <w:tr w:rsidRPr="002A733C" w:rsidR="00907499" w:rsidTr="00427AE3">
        <w:trPr>
          <w:trHeight w:val="42"/>
        </w:trPr>
        <w:tc>
          <w:tcPr>
            <w:tcW w:w="9354" w:type="dxa"/>
          </w:tcPr>
          <w:p w:rsidRPr="00AE3C57" w:rsidR="00907499" w:rsidP="000468AA" w:rsidRDefault="00907499">
            <w:pPr>
              <w:rPr>
                <w:sz w:val="30"/>
                <w:szCs w:val="30"/>
              </w:rPr>
            </w:pPr>
            <w:r w:rsidRPr="00AE3C57">
              <w:rPr>
                <w:sz w:val="30"/>
                <w:szCs w:val="30"/>
              </w:rPr>
              <w:t>6     No exertion at all</w:t>
            </w:r>
          </w:p>
        </w:tc>
      </w:tr>
      <w:tr w:rsidRPr="002A733C" w:rsidR="00907499" w:rsidTr="00427AE3">
        <w:trPr>
          <w:trHeight w:val="42"/>
        </w:trPr>
        <w:tc>
          <w:tcPr>
            <w:tcW w:w="9354" w:type="dxa"/>
          </w:tcPr>
          <w:p w:rsidRPr="00AE3C57" w:rsidR="00907499" w:rsidP="000468AA" w:rsidRDefault="00907499">
            <w:pPr>
              <w:rPr>
                <w:sz w:val="30"/>
                <w:szCs w:val="30"/>
              </w:rPr>
            </w:pPr>
            <w:r w:rsidRPr="00AE3C57">
              <w:rPr>
                <w:sz w:val="30"/>
                <w:szCs w:val="30"/>
              </w:rPr>
              <w:t>7</w:t>
            </w:r>
          </w:p>
        </w:tc>
      </w:tr>
      <w:tr w:rsidRPr="002A733C" w:rsidR="00907499" w:rsidTr="00427AE3">
        <w:trPr>
          <w:trHeight w:val="42"/>
        </w:trPr>
        <w:tc>
          <w:tcPr>
            <w:tcW w:w="9354" w:type="dxa"/>
          </w:tcPr>
          <w:p w:rsidRPr="00AE3C57" w:rsidR="00907499" w:rsidP="000468AA" w:rsidRDefault="00907499">
            <w:pPr>
              <w:rPr>
                <w:sz w:val="30"/>
                <w:szCs w:val="30"/>
              </w:rPr>
            </w:pPr>
            <w:r w:rsidRPr="00AE3C57">
              <w:rPr>
                <w:sz w:val="30"/>
                <w:szCs w:val="30"/>
              </w:rPr>
              <w:t xml:space="preserve">7.5  Extremely light </w:t>
            </w:r>
          </w:p>
        </w:tc>
      </w:tr>
      <w:tr w:rsidRPr="002A733C" w:rsidR="00907499" w:rsidTr="00427AE3">
        <w:trPr>
          <w:trHeight w:val="42"/>
        </w:trPr>
        <w:tc>
          <w:tcPr>
            <w:tcW w:w="9354" w:type="dxa"/>
          </w:tcPr>
          <w:p w:rsidRPr="00AE3C57" w:rsidR="00907499" w:rsidP="000468AA" w:rsidRDefault="00907499">
            <w:pPr>
              <w:rPr>
                <w:sz w:val="30"/>
                <w:szCs w:val="30"/>
              </w:rPr>
            </w:pPr>
            <w:r w:rsidRPr="00AE3C57">
              <w:rPr>
                <w:sz w:val="30"/>
                <w:szCs w:val="30"/>
              </w:rPr>
              <w:t>8</w:t>
            </w:r>
          </w:p>
        </w:tc>
      </w:tr>
      <w:tr w:rsidRPr="002A733C" w:rsidR="00907499" w:rsidTr="00427AE3">
        <w:trPr>
          <w:trHeight w:val="42"/>
        </w:trPr>
        <w:tc>
          <w:tcPr>
            <w:tcW w:w="9354" w:type="dxa"/>
          </w:tcPr>
          <w:p w:rsidRPr="00AE3C57" w:rsidR="00907499" w:rsidP="000468AA" w:rsidRDefault="00907499">
            <w:pPr>
              <w:rPr>
                <w:sz w:val="30"/>
                <w:szCs w:val="30"/>
              </w:rPr>
            </w:pPr>
            <w:r w:rsidRPr="00AE3C57">
              <w:rPr>
                <w:sz w:val="30"/>
                <w:szCs w:val="30"/>
              </w:rPr>
              <w:t xml:space="preserve">9     Very light (e.g. walking slowly at your own pace for several minutes) </w:t>
            </w:r>
          </w:p>
        </w:tc>
      </w:tr>
      <w:tr w:rsidRPr="002A733C" w:rsidR="00907499" w:rsidTr="00427AE3">
        <w:trPr>
          <w:trHeight w:val="42"/>
        </w:trPr>
        <w:tc>
          <w:tcPr>
            <w:tcW w:w="9354" w:type="dxa"/>
          </w:tcPr>
          <w:p w:rsidRPr="00AE3C57" w:rsidR="00907499" w:rsidP="000468AA" w:rsidRDefault="00907499">
            <w:pPr>
              <w:rPr>
                <w:sz w:val="30"/>
                <w:szCs w:val="30"/>
              </w:rPr>
            </w:pPr>
            <w:r w:rsidRPr="00AE3C57">
              <w:rPr>
                <w:sz w:val="30"/>
                <w:szCs w:val="30"/>
              </w:rPr>
              <w:t xml:space="preserve">10   </w:t>
            </w:r>
          </w:p>
        </w:tc>
      </w:tr>
      <w:tr w:rsidRPr="002A733C" w:rsidR="00907499" w:rsidTr="00427AE3">
        <w:trPr>
          <w:trHeight w:val="42"/>
        </w:trPr>
        <w:tc>
          <w:tcPr>
            <w:tcW w:w="9354" w:type="dxa"/>
          </w:tcPr>
          <w:p w:rsidRPr="00AE3C57" w:rsidR="00907499" w:rsidP="000468AA" w:rsidRDefault="00907499">
            <w:pPr>
              <w:rPr>
                <w:sz w:val="30"/>
                <w:szCs w:val="30"/>
              </w:rPr>
            </w:pPr>
            <w:r w:rsidRPr="00AE3C57">
              <w:rPr>
                <w:sz w:val="30"/>
                <w:szCs w:val="30"/>
              </w:rPr>
              <w:t>11   Light</w:t>
            </w:r>
          </w:p>
        </w:tc>
      </w:tr>
      <w:tr w:rsidRPr="002A733C" w:rsidR="00907499" w:rsidTr="00427AE3">
        <w:trPr>
          <w:trHeight w:val="42"/>
        </w:trPr>
        <w:tc>
          <w:tcPr>
            <w:tcW w:w="9354" w:type="dxa"/>
          </w:tcPr>
          <w:p w:rsidRPr="00AE3C57" w:rsidR="00907499" w:rsidP="000468AA" w:rsidRDefault="00907499">
            <w:pPr>
              <w:rPr>
                <w:sz w:val="30"/>
                <w:szCs w:val="30"/>
              </w:rPr>
            </w:pPr>
            <w:r w:rsidRPr="00AE3C57">
              <w:rPr>
                <w:sz w:val="30"/>
                <w:szCs w:val="30"/>
              </w:rPr>
              <w:t>12</w:t>
            </w:r>
          </w:p>
        </w:tc>
      </w:tr>
      <w:tr w:rsidRPr="002A733C" w:rsidR="00907499" w:rsidTr="00427AE3">
        <w:trPr>
          <w:trHeight w:val="42"/>
        </w:trPr>
        <w:tc>
          <w:tcPr>
            <w:tcW w:w="9354" w:type="dxa"/>
          </w:tcPr>
          <w:p w:rsidRPr="00AE3C57" w:rsidR="00907499" w:rsidP="000468AA" w:rsidRDefault="00907499">
            <w:pPr>
              <w:rPr>
                <w:sz w:val="30"/>
                <w:szCs w:val="30"/>
              </w:rPr>
            </w:pPr>
            <w:r w:rsidRPr="00AE3C57">
              <w:rPr>
                <w:sz w:val="30"/>
                <w:szCs w:val="30"/>
              </w:rPr>
              <w:t>13   Somewhat hard (still feels OK to continue)</w:t>
            </w:r>
          </w:p>
        </w:tc>
      </w:tr>
      <w:tr w:rsidRPr="002A733C" w:rsidR="00907499" w:rsidTr="00427AE3">
        <w:trPr>
          <w:trHeight w:val="42"/>
        </w:trPr>
        <w:tc>
          <w:tcPr>
            <w:tcW w:w="9354" w:type="dxa"/>
          </w:tcPr>
          <w:p w:rsidRPr="00AE3C57" w:rsidR="00907499" w:rsidP="000468AA" w:rsidRDefault="00907499">
            <w:pPr>
              <w:rPr>
                <w:sz w:val="30"/>
                <w:szCs w:val="30"/>
              </w:rPr>
            </w:pPr>
            <w:r w:rsidRPr="00AE3C57">
              <w:rPr>
                <w:sz w:val="30"/>
                <w:szCs w:val="30"/>
              </w:rPr>
              <w:t>14</w:t>
            </w:r>
          </w:p>
        </w:tc>
      </w:tr>
      <w:tr w:rsidRPr="002A733C" w:rsidR="00907499" w:rsidTr="00427AE3">
        <w:trPr>
          <w:trHeight w:val="42"/>
        </w:trPr>
        <w:tc>
          <w:tcPr>
            <w:tcW w:w="9354" w:type="dxa"/>
          </w:tcPr>
          <w:p w:rsidRPr="00AE3C57" w:rsidR="00907499" w:rsidP="000468AA" w:rsidRDefault="00907499">
            <w:pPr>
              <w:rPr>
                <w:sz w:val="30"/>
                <w:szCs w:val="30"/>
              </w:rPr>
            </w:pPr>
            <w:r w:rsidRPr="00AE3C57">
              <w:rPr>
                <w:sz w:val="30"/>
                <w:szCs w:val="30"/>
              </w:rPr>
              <w:t>15   Hard (heavy work)</w:t>
            </w:r>
          </w:p>
        </w:tc>
      </w:tr>
      <w:tr w:rsidRPr="002A733C" w:rsidR="00907499" w:rsidTr="00427AE3">
        <w:trPr>
          <w:trHeight w:val="42"/>
        </w:trPr>
        <w:tc>
          <w:tcPr>
            <w:tcW w:w="9354" w:type="dxa"/>
          </w:tcPr>
          <w:p w:rsidRPr="00AE3C57" w:rsidR="00907499" w:rsidP="000468AA" w:rsidRDefault="00907499">
            <w:pPr>
              <w:rPr>
                <w:sz w:val="30"/>
                <w:szCs w:val="30"/>
              </w:rPr>
            </w:pPr>
            <w:r w:rsidRPr="00AE3C57">
              <w:rPr>
                <w:sz w:val="30"/>
                <w:szCs w:val="30"/>
              </w:rPr>
              <w:t>16</w:t>
            </w:r>
          </w:p>
        </w:tc>
      </w:tr>
      <w:tr w:rsidRPr="002A733C" w:rsidR="00907499" w:rsidTr="00427AE3">
        <w:trPr>
          <w:trHeight w:val="42"/>
        </w:trPr>
        <w:tc>
          <w:tcPr>
            <w:tcW w:w="9354" w:type="dxa"/>
          </w:tcPr>
          <w:p w:rsidRPr="00AE3C57" w:rsidR="00907499" w:rsidP="000468AA" w:rsidRDefault="00907499">
            <w:pPr>
              <w:rPr>
                <w:sz w:val="30"/>
                <w:szCs w:val="30"/>
              </w:rPr>
            </w:pPr>
            <w:r w:rsidRPr="00AE3C57">
              <w:rPr>
                <w:sz w:val="30"/>
                <w:szCs w:val="30"/>
              </w:rPr>
              <w:t>17   Very hard (healthy person can still go on, but they have to really push themselves, and they feel very tired)</w:t>
            </w:r>
          </w:p>
        </w:tc>
      </w:tr>
      <w:tr w:rsidRPr="002A733C" w:rsidR="00907499" w:rsidTr="00427AE3">
        <w:trPr>
          <w:trHeight w:val="42"/>
        </w:trPr>
        <w:tc>
          <w:tcPr>
            <w:tcW w:w="9354" w:type="dxa"/>
          </w:tcPr>
          <w:p w:rsidRPr="00AE3C57" w:rsidR="00907499" w:rsidP="000468AA" w:rsidRDefault="00907499">
            <w:pPr>
              <w:rPr>
                <w:sz w:val="30"/>
                <w:szCs w:val="30"/>
              </w:rPr>
            </w:pPr>
            <w:r w:rsidRPr="00AE3C57">
              <w:rPr>
                <w:sz w:val="30"/>
                <w:szCs w:val="30"/>
              </w:rPr>
              <w:t>18</w:t>
            </w:r>
          </w:p>
        </w:tc>
      </w:tr>
      <w:tr w:rsidRPr="002A733C" w:rsidR="00907499" w:rsidTr="00427AE3">
        <w:trPr>
          <w:trHeight w:val="42"/>
        </w:trPr>
        <w:tc>
          <w:tcPr>
            <w:tcW w:w="9354" w:type="dxa"/>
          </w:tcPr>
          <w:p w:rsidRPr="00AE3C57" w:rsidR="00907499" w:rsidP="000468AA" w:rsidRDefault="00907499">
            <w:pPr>
              <w:rPr>
                <w:sz w:val="30"/>
                <w:szCs w:val="30"/>
              </w:rPr>
            </w:pPr>
            <w:r w:rsidRPr="00AE3C57">
              <w:rPr>
                <w:sz w:val="30"/>
                <w:szCs w:val="30"/>
              </w:rPr>
              <w:lastRenderedPageBreak/>
              <w:t xml:space="preserve">19   Extremely hard </w:t>
            </w:r>
          </w:p>
        </w:tc>
      </w:tr>
      <w:tr w:rsidRPr="002A733C" w:rsidR="00907499" w:rsidTr="00427AE3">
        <w:trPr>
          <w:trHeight w:val="42"/>
        </w:trPr>
        <w:tc>
          <w:tcPr>
            <w:tcW w:w="9354" w:type="dxa"/>
          </w:tcPr>
          <w:p w:rsidRPr="00AE3C57" w:rsidR="00907499" w:rsidP="000468AA" w:rsidRDefault="00907499">
            <w:pPr>
              <w:rPr>
                <w:sz w:val="30"/>
                <w:szCs w:val="30"/>
              </w:rPr>
            </w:pPr>
            <w:r w:rsidRPr="00AE3C57">
              <w:rPr>
                <w:sz w:val="30"/>
                <w:szCs w:val="30"/>
              </w:rPr>
              <w:t xml:space="preserve">20   Maximal exertion </w:t>
            </w:r>
          </w:p>
        </w:tc>
      </w:tr>
    </w:tbl>
    <w:p w:rsidR="00907499" w:rsidP="00907499" w:rsidRDefault="00907499"/>
    <w:tbl>
      <w:tblPr>
        <w:tblW w:w="5002" w:type="pct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354"/>
      </w:tblGrid>
      <w:tr w:rsidRPr="00F71D67" w:rsidR="00907499" w:rsidTr="000468AA">
        <w:trPr>
          <w:trHeight w:val="42"/>
        </w:trPr>
        <w:tc>
          <w:tcPr>
            <w:tcW w:w="10075" w:type="dxa"/>
          </w:tcPr>
          <w:p w:rsidRPr="00F71D67" w:rsidR="00907499" w:rsidP="00427AE3" w:rsidRDefault="00907499">
            <w:pPr>
              <w:pStyle w:val="Heading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D5DCE4" w:themeFill="text2" w:themeFillTint="33"/>
              <w:rPr>
                <w:b w:val="0"/>
                <w:color w:val="404040" w:themeColor="text1" w:themeTint="BF"/>
                <w:sz w:val="36"/>
                <w:szCs w:val="36"/>
              </w:rPr>
            </w:pPr>
            <w:r w:rsidRPr="00427AE3">
              <w:rPr>
                <w:sz w:val="48"/>
                <w:szCs w:val="48"/>
              </w:rPr>
              <w:t xml:space="preserve">Thermal Sensation </w:t>
            </w:r>
          </w:p>
        </w:tc>
      </w:tr>
      <w:tr w:rsidRPr="00F71D67" w:rsidR="00907499" w:rsidTr="000468AA">
        <w:trPr>
          <w:trHeight w:val="42"/>
        </w:trPr>
        <w:tc>
          <w:tcPr>
            <w:tcW w:w="10075" w:type="dxa"/>
          </w:tcPr>
          <w:p w:rsidRPr="00F71D67" w:rsidR="00907499" w:rsidP="000468AA" w:rsidRDefault="00BA2464">
            <w:pPr>
              <w:rPr>
                <w:sz w:val="32"/>
                <w:szCs w:val="32"/>
              </w:rPr>
            </w:pPr>
            <w:proofErr w:type="gramStart"/>
            <w:r w:rsidRPr="00BA2464">
              <w:rPr>
                <w:b/>
                <w:sz w:val="32"/>
                <w:szCs w:val="32"/>
              </w:rPr>
              <w:t>0.0</w:t>
            </w:r>
            <w:r>
              <w:rPr>
                <w:sz w:val="32"/>
                <w:szCs w:val="32"/>
              </w:rPr>
              <w:t xml:space="preserve">  Unbearably</w:t>
            </w:r>
            <w:proofErr w:type="gramEnd"/>
            <w:r>
              <w:rPr>
                <w:sz w:val="32"/>
                <w:szCs w:val="32"/>
              </w:rPr>
              <w:t xml:space="preserve"> Cold</w:t>
            </w:r>
          </w:p>
        </w:tc>
      </w:tr>
      <w:tr w:rsidRPr="00F71D67" w:rsidR="00907499" w:rsidTr="000468AA">
        <w:trPr>
          <w:trHeight w:val="42"/>
        </w:trPr>
        <w:tc>
          <w:tcPr>
            <w:tcW w:w="10075" w:type="dxa"/>
          </w:tcPr>
          <w:p w:rsidRPr="00F71D67" w:rsidR="00907499" w:rsidP="000468AA" w:rsidRDefault="00BA2464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0.5</w:t>
            </w:r>
            <w:r w:rsidR="00907499">
              <w:rPr>
                <w:sz w:val="32"/>
                <w:szCs w:val="32"/>
              </w:rPr>
              <w:t xml:space="preserve"> </w:t>
            </w:r>
          </w:p>
        </w:tc>
      </w:tr>
      <w:tr w:rsidRPr="00F71D67" w:rsidR="00907499" w:rsidTr="000468AA">
        <w:trPr>
          <w:trHeight w:val="42"/>
        </w:trPr>
        <w:tc>
          <w:tcPr>
            <w:tcW w:w="10075" w:type="dxa"/>
          </w:tcPr>
          <w:p w:rsidRPr="00F71D67" w:rsidR="00907499" w:rsidP="000468AA" w:rsidRDefault="00BA2464">
            <w:pPr>
              <w:rPr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1.0</w:t>
            </w:r>
            <w:r w:rsidR="0090749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Very</w:t>
            </w:r>
            <w:proofErr w:type="gramEnd"/>
            <w:r>
              <w:rPr>
                <w:sz w:val="32"/>
                <w:szCs w:val="32"/>
              </w:rPr>
              <w:t xml:space="preserve"> cold</w:t>
            </w:r>
          </w:p>
        </w:tc>
      </w:tr>
      <w:tr w:rsidRPr="00F71D67" w:rsidR="00907499" w:rsidTr="000468AA">
        <w:trPr>
          <w:trHeight w:val="42"/>
        </w:trPr>
        <w:tc>
          <w:tcPr>
            <w:tcW w:w="10075" w:type="dxa"/>
          </w:tcPr>
          <w:p w:rsidRPr="00F71D67" w:rsidR="00907499" w:rsidP="000468AA" w:rsidRDefault="00BA2464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1.5</w:t>
            </w:r>
            <w:r w:rsidR="00907499">
              <w:rPr>
                <w:sz w:val="32"/>
                <w:szCs w:val="32"/>
              </w:rPr>
              <w:t xml:space="preserve"> </w:t>
            </w:r>
          </w:p>
        </w:tc>
      </w:tr>
      <w:tr w:rsidRPr="00F71D67" w:rsidR="00907499" w:rsidTr="000468AA">
        <w:trPr>
          <w:trHeight w:val="42"/>
        </w:trPr>
        <w:tc>
          <w:tcPr>
            <w:tcW w:w="10075" w:type="dxa"/>
          </w:tcPr>
          <w:p w:rsidRPr="00F71D67" w:rsidR="00907499" w:rsidP="000468AA" w:rsidRDefault="00BA2464">
            <w:pPr>
              <w:rPr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2.0</w:t>
            </w:r>
            <w:r w:rsidR="0090749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Cold</w:t>
            </w:r>
            <w:proofErr w:type="gramEnd"/>
          </w:p>
        </w:tc>
      </w:tr>
      <w:tr w:rsidRPr="00F71D67" w:rsidR="00907499" w:rsidTr="000468AA">
        <w:trPr>
          <w:trHeight w:val="42"/>
        </w:trPr>
        <w:tc>
          <w:tcPr>
            <w:tcW w:w="10075" w:type="dxa"/>
          </w:tcPr>
          <w:p w:rsidRPr="00F71D67" w:rsidR="00907499" w:rsidP="000468AA" w:rsidRDefault="00BA2464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2.5</w:t>
            </w:r>
            <w:r w:rsidR="00907499">
              <w:rPr>
                <w:sz w:val="32"/>
                <w:szCs w:val="32"/>
              </w:rPr>
              <w:t xml:space="preserve"> </w:t>
            </w:r>
          </w:p>
        </w:tc>
      </w:tr>
      <w:tr w:rsidRPr="00F71D67" w:rsidR="00907499" w:rsidTr="000468AA">
        <w:trPr>
          <w:trHeight w:val="42"/>
        </w:trPr>
        <w:tc>
          <w:tcPr>
            <w:tcW w:w="10075" w:type="dxa"/>
          </w:tcPr>
          <w:p w:rsidRPr="00F71D67" w:rsidR="00907499" w:rsidP="000468AA" w:rsidRDefault="00BA2464">
            <w:pPr>
              <w:rPr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3.0</w:t>
            </w:r>
            <w:r>
              <w:rPr>
                <w:sz w:val="32"/>
                <w:szCs w:val="32"/>
              </w:rPr>
              <w:t xml:space="preserve">  Cool</w:t>
            </w:r>
            <w:proofErr w:type="gramEnd"/>
            <w:r w:rsidRPr="00F71D67" w:rsidR="00907499">
              <w:rPr>
                <w:sz w:val="32"/>
                <w:szCs w:val="32"/>
              </w:rPr>
              <w:t xml:space="preserve"> </w:t>
            </w:r>
          </w:p>
        </w:tc>
      </w:tr>
      <w:tr w:rsidRPr="00F71D67" w:rsidR="00BA2464" w:rsidTr="000468AA">
        <w:trPr>
          <w:trHeight w:val="42"/>
        </w:trPr>
        <w:tc>
          <w:tcPr>
            <w:tcW w:w="10075" w:type="dxa"/>
          </w:tcPr>
          <w:p w:rsidRPr="00EA68A5" w:rsidR="00BA2464" w:rsidP="000468AA" w:rsidRDefault="00BA24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3.5</w:t>
            </w:r>
          </w:p>
        </w:tc>
      </w:tr>
      <w:tr w:rsidRPr="00F71D67" w:rsidR="00BA2464" w:rsidTr="000468AA">
        <w:trPr>
          <w:trHeight w:val="42"/>
        </w:trPr>
        <w:tc>
          <w:tcPr>
            <w:tcW w:w="10075" w:type="dxa"/>
          </w:tcPr>
          <w:p w:rsidRPr="00EA68A5" w:rsidR="00BA2464" w:rsidP="000468AA" w:rsidRDefault="00BA2464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4.0</w:t>
            </w:r>
            <w:r>
              <w:rPr>
                <w:sz w:val="32"/>
                <w:szCs w:val="32"/>
              </w:rPr>
              <w:t xml:space="preserve">  Comfortable</w:t>
            </w:r>
            <w:proofErr w:type="gramEnd"/>
          </w:p>
        </w:tc>
      </w:tr>
      <w:tr w:rsidRPr="00F71D67" w:rsidR="00BA2464" w:rsidTr="000468AA">
        <w:trPr>
          <w:trHeight w:val="42"/>
        </w:trPr>
        <w:tc>
          <w:tcPr>
            <w:tcW w:w="10075" w:type="dxa"/>
          </w:tcPr>
          <w:p w:rsidRPr="00EA68A5" w:rsidR="00BA2464" w:rsidP="000468AA" w:rsidRDefault="00BA24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4.5</w:t>
            </w:r>
            <w:r>
              <w:rPr>
                <w:sz w:val="32"/>
                <w:szCs w:val="32"/>
              </w:rPr>
              <w:t xml:space="preserve">  </w:t>
            </w:r>
          </w:p>
        </w:tc>
      </w:tr>
      <w:tr w:rsidRPr="00F71D67" w:rsidR="00BA2464" w:rsidTr="000468AA">
        <w:trPr>
          <w:trHeight w:val="42"/>
        </w:trPr>
        <w:tc>
          <w:tcPr>
            <w:tcW w:w="10075" w:type="dxa"/>
          </w:tcPr>
          <w:p w:rsidRPr="00EA68A5" w:rsidR="00BA2464" w:rsidP="000468AA" w:rsidRDefault="00BA2464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5.0</w:t>
            </w:r>
            <w:r>
              <w:rPr>
                <w:sz w:val="32"/>
                <w:szCs w:val="32"/>
              </w:rPr>
              <w:t xml:space="preserve">  Warm</w:t>
            </w:r>
            <w:proofErr w:type="gramEnd"/>
          </w:p>
        </w:tc>
      </w:tr>
      <w:tr w:rsidRPr="00F71D67" w:rsidR="00BA2464" w:rsidTr="000468AA">
        <w:trPr>
          <w:trHeight w:val="42"/>
        </w:trPr>
        <w:tc>
          <w:tcPr>
            <w:tcW w:w="10075" w:type="dxa"/>
          </w:tcPr>
          <w:p w:rsidRPr="00EA68A5" w:rsidR="00BA2464" w:rsidP="000468AA" w:rsidRDefault="00BA24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5.5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Pr="00F71D67" w:rsidR="00BA2464" w:rsidTr="000468AA">
        <w:trPr>
          <w:trHeight w:val="42"/>
        </w:trPr>
        <w:tc>
          <w:tcPr>
            <w:tcW w:w="10075" w:type="dxa"/>
          </w:tcPr>
          <w:p w:rsidRPr="00EA68A5" w:rsidR="00BA2464" w:rsidP="000468AA" w:rsidRDefault="00BA2464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6.0</w:t>
            </w:r>
            <w:r>
              <w:rPr>
                <w:sz w:val="32"/>
                <w:szCs w:val="32"/>
              </w:rPr>
              <w:t xml:space="preserve">  </w:t>
            </w:r>
            <w:r w:rsidRPr="00F71D67">
              <w:rPr>
                <w:sz w:val="32"/>
                <w:szCs w:val="32"/>
              </w:rPr>
              <w:t>Hot</w:t>
            </w:r>
            <w:proofErr w:type="gramEnd"/>
          </w:p>
        </w:tc>
      </w:tr>
      <w:tr w:rsidRPr="00F71D67" w:rsidR="00BA2464" w:rsidTr="000468AA">
        <w:trPr>
          <w:trHeight w:val="42"/>
        </w:trPr>
        <w:tc>
          <w:tcPr>
            <w:tcW w:w="10075" w:type="dxa"/>
          </w:tcPr>
          <w:p w:rsidRPr="00EA68A5" w:rsidR="00BA2464" w:rsidP="000468AA" w:rsidRDefault="00BA24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6.5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Pr="00F71D67" w:rsidR="00BA2464" w:rsidTr="000468AA">
        <w:trPr>
          <w:trHeight w:val="42"/>
        </w:trPr>
        <w:tc>
          <w:tcPr>
            <w:tcW w:w="10075" w:type="dxa"/>
          </w:tcPr>
          <w:p w:rsidRPr="00EA68A5" w:rsidR="00BA2464" w:rsidP="000468AA" w:rsidRDefault="00BA2464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7.0</w:t>
            </w:r>
            <w:r>
              <w:rPr>
                <w:sz w:val="32"/>
                <w:szCs w:val="32"/>
              </w:rPr>
              <w:t xml:space="preserve">  Very</w:t>
            </w:r>
            <w:proofErr w:type="gramEnd"/>
            <w:r>
              <w:rPr>
                <w:sz w:val="32"/>
                <w:szCs w:val="32"/>
              </w:rPr>
              <w:t xml:space="preserve"> h</w:t>
            </w:r>
            <w:r w:rsidRPr="00F71D67">
              <w:rPr>
                <w:sz w:val="32"/>
                <w:szCs w:val="32"/>
              </w:rPr>
              <w:t>ot</w:t>
            </w:r>
          </w:p>
        </w:tc>
      </w:tr>
      <w:tr w:rsidRPr="00F71D67" w:rsidR="00BA2464" w:rsidTr="000468AA">
        <w:trPr>
          <w:trHeight w:val="42"/>
        </w:trPr>
        <w:tc>
          <w:tcPr>
            <w:tcW w:w="10075" w:type="dxa"/>
          </w:tcPr>
          <w:p w:rsidRPr="00EA68A5" w:rsidR="00BA2464" w:rsidP="000468AA" w:rsidRDefault="00BA24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7.5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Pr="00F71D67" w:rsidR="00BA2464" w:rsidTr="000468AA">
        <w:trPr>
          <w:trHeight w:val="42"/>
        </w:trPr>
        <w:tc>
          <w:tcPr>
            <w:tcW w:w="10075" w:type="dxa"/>
          </w:tcPr>
          <w:p w:rsidRPr="00EA68A5" w:rsidR="00BA2464" w:rsidP="000468AA" w:rsidRDefault="00BA24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8.0</w:t>
            </w:r>
            <w:r>
              <w:rPr>
                <w:sz w:val="32"/>
                <w:szCs w:val="32"/>
              </w:rPr>
              <w:t xml:space="preserve">  Unbearably h</w:t>
            </w:r>
            <w:r w:rsidRPr="00F71D67">
              <w:rPr>
                <w:sz w:val="32"/>
                <w:szCs w:val="32"/>
              </w:rPr>
              <w:t>ot</w:t>
            </w:r>
          </w:p>
        </w:tc>
      </w:tr>
    </w:tbl>
    <w:p w:rsidR="00F447B6" w:rsidRDefault="00F447B6"/>
    <w:sectPr w:rsidR="00F44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99"/>
    <w:rsid w:val="00147589"/>
    <w:rsid w:val="001F0108"/>
    <w:rsid w:val="002D0404"/>
    <w:rsid w:val="00427AE3"/>
    <w:rsid w:val="00907499"/>
    <w:rsid w:val="00BA2464"/>
    <w:rsid w:val="00F4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6E88DF"/>
  <w15:chartTrackingRefBased/>
  <w15:docId w15:val="{55A38223-34D6-4960-941F-C69C4960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749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07499"/>
    <w:pPr>
      <w:pBdr>
        <w:top w:val="single" w:sz="4" w:space="1" w:color="BFBFBF" w:themeColor="background1" w:themeShade="BF"/>
        <w:left w:val="single" w:sz="4" w:space="4" w:color="BFBFBF" w:themeColor="background1" w:themeShade="BF"/>
        <w:bottom w:val="single" w:sz="4" w:space="1" w:color="BFBFBF" w:themeColor="background1" w:themeShade="BF"/>
        <w:right w:val="single" w:sz="4" w:space="4" w:color="BFBFBF" w:themeColor="background1" w:themeShade="BF"/>
      </w:pBdr>
      <w:shd w:val="clear" w:color="auto" w:fill="D9D9D9" w:themeFill="background1" w:themeFillShade="D9"/>
      <w:spacing w:after="0" w:line="240" w:lineRule="auto"/>
      <w:outlineLvl w:val="0"/>
    </w:pPr>
    <w:rPr>
      <w:rFonts w:asciiTheme="majorHAnsi" w:eastAsia="Times New Roman" w:hAnsiTheme="majorHAnsi" w:cs="Times New Roman"/>
      <w:b/>
      <w:caps/>
      <w:sz w:val="18"/>
      <w:szCs w:val="24"/>
    </w:rPr>
  </w:style>
  <w:style w:type="paragraph" w:styleId="Heading2">
    <w:name w:val="heading 2"/>
    <w:basedOn w:val="Normal"/>
    <w:next w:val="Normal"/>
    <w:link w:val="Heading2Char"/>
    <w:qFormat/>
    <w:rsid w:val="00907499"/>
    <w:pPr>
      <w:spacing w:after="0" w:line="240" w:lineRule="auto"/>
      <w:jc w:val="center"/>
      <w:outlineLvl w:val="1"/>
    </w:pPr>
    <w:rPr>
      <w:rFonts w:eastAsia="Times New Roman" w:cs="Times New Roman"/>
      <w:b/>
      <w:color w:val="404040" w:themeColor="text1" w:themeTint="BF"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7499"/>
    <w:rPr>
      <w:rFonts w:asciiTheme="majorHAnsi" w:eastAsia="Times New Roman" w:hAnsiTheme="majorHAnsi" w:cs="Times New Roman"/>
      <w:b/>
      <w:caps/>
      <w:sz w:val="18"/>
      <w:szCs w:val="24"/>
      <w:shd w:val="clear" w:color="auto" w:fill="D9D9D9" w:themeFill="background1" w:themeFillShade="D9"/>
    </w:rPr>
  </w:style>
  <w:style w:type="character" w:customStyle="1" w:styleId="Heading2Char">
    <w:name w:val="Heading 2 Char"/>
    <w:basedOn w:val="DefaultParagraphFont"/>
    <w:link w:val="Heading2"/>
    <w:rsid w:val="00907499"/>
    <w:rPr>
      <w:rFonts w:eastAsia="Times New Roman" w:cs="Times New Roman"/>
      <w:b/>
      <w:color w:val="404040" w:themeColor="text1" w:themeTint="BF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Yeoman, Kristin (CDC/NIOSH/SMRD)</dc:creator>
  <cp:keywords/>
  <dc:description/>
  <cp:lastModifiedBy>Sawyer, Tamela (CDC/NIOSH/OD/ODDM)</cp:lastModifiedBy>
  <cp:revision>5</cp:revision>
  <dcterms:created xsi:type="dcterms:W3CDTF">2018-05-15T23:14:00Z</dcterms:created>
  <dcterms:modified xsi:type="dcterms:W3CDTF">2020-06-15T22:30:00Z</dcterms:modified>
</cp:coreProperties>
</file>