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3186" w:rsidP="009B633D" w14:paraId="29D99A13" w14:textId="77777777">
      <w:pPr>
        <w:jc w:val="center"/>
        <w:rPr>
          <w:sz w:val="28"/>
          <w:szCs w:val="28"/>
        </w:rPr>
      </w:pPr>
    </w:p>
    <w:p w:rsidR="002B3186" w:rsidP="009B633D" w14:paraId="1BF889C5" w14:textId="77777777">
      <w:pPr>
        <w:jc w:val="center"/>
        <w:rPr>
          <w:sz w:val="28"/>
          <w:szCs w:val="28"/>
        </w:rPr>
      </w:pPr>
    </w:p>
    <w:p w:rsidR="002B3186" w:rsidP="009B633D" w14:paraId="28CA0D41" w14:textId="77777777">
      <w:pPr>
        <w:jc w:val="center"/>
        <w:rPr>
          <w:sz w:val="28"/>
          <w:szCs w:val="28"/>
        </w:rPr>
      </w:pPr>
    </w:p>
    <w:p w:rsidR="002B3186" w:rsidP="009B633D" w14:paraId="6A6B436A" w14:textId="77777777">
      <w:pPr>
        <w:jc w:val="center"/>
        <w:rPr>
          <w:b/>
          <w:bCs/>
          <w:sz w:val="28"/>
          <w:szCs w:val="28"/>
        </w:rPr>
      </w:pPr>
      <w:r w:rsidRPr="00456179">
        <w:rPr>
          <w:b/>
          <w:bCs/>
          <w:sz w:val="28"/>
          <w:szCs w:val="28"/>
        </w:rPr>
        <w:t>SUPPORTING STATEMENT</w:t>
      </w:r>
    </w:p>
    <w:p w:rsidR="002B3186" w:rsidP="009B633D" w14:paraId="30061A51" w14:textId="77777777">
      <w:pPr>
        <w:jc w:val="center"/>
        <w:rPr>
          <w:b/>
          <w:bCs/>
          <w:sz w:val="28"/>
          <w:szCs w:val="28"/>
        </w:rPr>
      </w:pPr>
    </w:p>
    <w:p w:rsidR="002B3186" w:rsidP="009B633D" w14:paraId="752C62F9" w14:textId="77777777">
      <w:pPr>
        <w:jc w:val="center"/>
        <w:rPr>
          <w:sz w:val="28"/>
          <w:szCs w:val="28"/>
        </w:rPr>
      </w:pPr>
      <w:r>
        <w:rPr>
          <w:b/>
          <w:bCs/>
          <w:sz w:val="28"/>
          <w:szCs w:val="28"/>
        </w:rPr>
        <w:t>Part A</w:t>
      </w:r>
    </w:p>
    <w:p w:rsidR="002B3186" w:rsidP="009B633D" w14:paraId="42DDEA96" w14:textId="77777777">
      <w:pPr>
        <w:jc w:val="center"/>
        <w:rPr>
          <w:sz w:val="28"/>
          <w:szCs w:val="28"/>
        </w:rPr>
      </w:pPr>
    </w:p>
    <w:p w:rsidR="002B3186" w:rsidP="009B633D" w14:paraId="567D4758" w14:textId="77777777">
      <w:pPr>
        <w:jc w:val="center"/>
        <w:rPr>
          <w:sz w:val="28"/>
          <w:szCs w:val="28"/>
        </w:rPr>
      </w:pPr>
    </w:p>
    <w:p w:rsidR="002B3186" w:rsidP="009B633D" w14:paraId="1F26E66B" w14:textId="77777777">
      <w:pPr>
        <w:jc w:val="center"/>
        <w:rPr>
          <w:sz w:val="28"/>
          <w:szCs w:val="28"/>
        </w:rPr>
      </w:pPr>
    </w:p>
    <w:p w:rsidR="002B3186" w:rsidP="009B633D" w14:paraId="32625C7B" w14:textId="77777777">
      <w:pPr>
        <w:jc w:val="center"/>
        <w:rPr>
          <w:sz w:val="28"/>
          <w:szCs w:val="28"/>
        </w:rPr>
      </w:pPr>
    </w:p>
    <w:p w:rsidR="002B3186" w:rsidP="009B633D" w14:paraId="0282AAB6" w14:textId="77777777">
      <w:pPr>
        <w:jc w:val="center"/>
        <w:rPr>
          <w:sz w:val="28"/>
          <w:szCs w:val="28"/>
        </w:rPr>
      </w:pPr>
    </w:p>
    <w:p w:rsidR="002B3186" w:rsidP="004009E4" w14:paraId="69DBBB4A" w14:textId="77777777">
      <w:pPr>
        <w:jc w:val="center"/>
        <w:rPr>
          <w:b/>
          <w:bCs/>
          <w:sz w:val="28"/>
          <w:szCs w:val="28"/>
        </w:rPr>
      </w:pPr>
      <w:r>
        <w:rPr>
          <w:b/>
          <w:bCs/>
          <w:sz w:val="28"/>
          <w:szCs w:val="28"/>
        </w:rPr>
        <w:t>Collection of Information for</w:t>
      </w:r>
    </w:p>
    <w:p w:rsidR="002B3186" w:rsidRPr="009274EF" w:rsidP="004009E4" w14:paraId="2DAD0869" w14:textId="77777777">
      <w:pPr>
        <w:jc w:val="center"/>
        <w:rPr>
          <w:b/>
          <w:bCs/>
          <w:sz w:val="28"/>
          <w:szCs w:val="28"/>
        </w:rPr>
      </w:pPr>
      <w:r w:rsidRPr="009274EF">
        <w:rPr>
          <w:b/>
          <w:bCs/>
          <w:sz w:val="28"/>
          <w:szCs w:val="28"/>
        </w:rPr>
        <w:t>Agency for Healthcare Research and Quality</w:t>
      </w:r>
      <w:r>
        <w:rPr>
          <w:b/>
          <w:bCs/>
          <w:sz w:val="28"/>
          <w:szCs w:val="28"/>
        </w:rPr>
        <w:t>’s</w:t>
      </w:r>
      <w:r w:rsidRPr="009274EF">
        <w:rPr>
          <w:b/>
          <w:bCs/>
          <w:sz w:val="28"/>
          <w:szCs w:val="28"/>
        </w:rPr>
        <w:t xml:space="preserve"> (AHRQ)</w:t>
      </w:r>
    </w:p>
    <w:p w:rsidR="002B3186" w:rsidRPr="009274EF" w:rsidP="004009E4" w14:paraId="62287EA8" w14:textId="28969BE6">
      <w:pPr>
        <w:jc w:val="center"/>
        <w:rPr>
          <w:b/>
          <w:bCs/>
          <w:sz w:val="28"/>
          <w:szCs w:val="28"/>
        </w:rPr>
      </w:pPr>
      <w:r>
        <w:rPr>
          <w:b/>
          <w:bCs/>
          <w:sz w:val="28"/>
          <w:szCs w:val="28"/>
        </w:rPr>
        <w:t xml:space="preserve">Consumer Assessment of Healthcare Providers and Systems (CAHPS) Health Plan </w:t>
      </w:r>
      <w:r w:rsidRPr="009274EF">
        <w:rPr>
          <w:b/>
          <w:bCs/>
          <w:sz w:val="28"/>
          <w:szCs w:val="28"/>
        </w:rPr>
        <w:t>Survey Database</w:t>
      </w:r>
    </w:p>
    <w:p w:rsidR="002B3186" w:rsidRPr="00082047" w:rsidP="004009E4" w14:paraId="468FDD0E" w14:textId="77777777">
      <w:pPr>
        <w:jc w:val="center"/>
        <w:rPr>
          <w:i/>
          <w:iCs/>
          <w:sz w:val="28"/>
          <w:szCs w:val="28"/>
        </w:rPr>
      </w:pPr>
    </w:p>
    <w:p w:rsidR="002B3186" w:rsidP="004009E4" w14:paraId="18203CC0" w14:textId="77777777">
      <w:pPr>
        <w:jc w:val="center"/>
        <w:rPr>
          <w:sz w:val="28"/>
          <w:szCs w:val="28"/>
        </w:rPr>
      </w:pPr>
    </w:p>
    <w:p w:rsidR="002B3186" w:rsidP="004009E4" w14:paraId="27C76359" w14:textId="77777777">
      <w:pPr>
        <w:jc w:val="center"/>
        <w:rPr>
          <w:sz w:val="28"/>
          <w:szCs w:val="28"/>
        </w:rPr>
      </w:pPr>
    </w:p>
    <w:p w:rsidR="002B3186" w:rsidP="004009E4" w14:paraId="273B1FC1" w14:textId="77777777">
      <w:pPr>
        <w:jc w:val="center"/>
        <w:rPr>
          <w:sz w:val="28"/>
          <w:szCs w:val="28"/>
        </w:rPr>
      </w:pPr>
    </w:p>
    <w:p w:rsidR="002B3186" w:rsidRPr="00C4006D" w:rsidP="004009E4" w14:paraId="223E0176" w14:textId="0F3FF4BE">
      <w:pPr>
        <w:jc w:val="center"/>
        <w:rPr>
          <w:i/>
          <w:iCs/>
          <w:sz w:val="28"/>
          <w:szCs w:val="28"/>
        </w:rPr>
      </w:pPr>
      <w:r>
        <w:rPr>
          <w:b/>
          <w:bCs/>
          <w:sz w:val="28"/>
          <w:szCs w:val="28"/>
        </w:rPr>
        <w:t xml:space="preserve">Version </w:t>
      </w:r>
      <w:r w:rsidR="0066406E">
        <w:rPr>
          <w:b/>
          <w:bCs/>
          <w:sz w:val="28"/>
          <w:szCs w:val="28"/>
        </w:rPr>
        <w:t>10</w:t>
      </w:r>
      <w:r w:rsidR="00040F92">
        <w:rPr>
          <w:b/>
          <w:bCs/>
          <w:sz w:val="28"/>
          <w:szCs w:val="28"/>
        </w:rPr>
        <w:t>-</w:t>
      </w:r>
      <w:r w:rsidR="005E4A3C">
        <w:rPr>
          <w:b/>
          <w:bCs/>
          <w:sz w:val="28"/>
          <w:szCs w:val="28"/>
        </w:rPr>
        <w:t>2</w:t>
      </w:r>
      <w:r w:rsidR="00D03E93">
        <w:rPr>
          <w:b/>
          <w:bCs/>
          <w:sz w:val="28"/>
          <w:szCs w:val="28"/>
        </w:rPr>
        <w:t>6</w:t>
      </w:r>
      <w:r w:rsidR="00040F92">
        <w:rPr>
          <w:b/>
          <w:bCs/>
          <w:sz w:val="28"/>
          <w:szCs w:val="28"/>
        </w:rPr>
        <w:t>-2023</w:t>
      </w:r>
    </w:p>
    <w:p w:rsidR="002B3186" w:rsidP="004009E4" w14:paraId="3FCAD73F" w14:textId="77777777">
      <w:pPr>
        <w:jc w:val="center"/>
        <w:rPr>
          <w:i/>
          <w:iCs/>
          <w:sz w:val="28"/>
          <w:szCs w:val="28"/>
        </w:rPr>
      </w:pPr>
    </w:p>
    <w:p w:rsidR="002B3186" w:rsidP="004009E4" w14:paraId="63B05B62" w14:textId="77777777">
      <w:pPr>
        <w:jc w:val="center"/>
        <w:rPr>
          <w:sz w:val="28"/>
          <w:szCs w:val="28"/>
        </w:rPr>
      </w:pPr>
    </w:p>
    <w:p w:rsidR="002B3186" w:rsidP="004009E4" w14:paraId="7FAEB416" w14:textId="77777777">
      <w:pPr>
        <w:jc w:val="center"/>
        <w:rPr>
          <w:sz w:val="28"/>
          <w:szCs w:val="28"/>
        </w:rPr>
      </w:pPr>
    </w:p>
    <w:p w:rsidR="002B3186" w:rsidP="004009E4" w14:paraId="6C3FA900" w14:textId="77777777">
      <w:pPr>
        <w:jc w:val="center"/>
        <w:rPr>
          <w:sz w:val="28"/>
          <w:szCs w:val="28"/>
        </w:rPr>
      </w:pPr>
    </w:p>
    <w:p w:rsidR="002B3186" w:rsidP="004009E4" w14:paraId="61434C53" w14:textId="77777777">
      <w:pPr>
        <w:jc w:val="center"/>
        <w:rPr>
          <w:sz w:val="28"/>
          <w:szCs w:val="28"/>
        </w:rPr>
      </w:pPr>
    </w:p>
    <w:p w:rsidR="002B3186" w:rsidP="004009E4" w14:paraId="6DD3F892" w14:textId="77777777">
      <w:pPr>
        <w:jc w:val="center"/>
        <w:rPr>
          <w:sz w:val="28"/>
          <w:szCs w:val="28"/>
        </w:rPr>
      </w:pPr>
    </w:p>
    <w:p w:rsidR="002B3186" w:rsidP="004009E4" w14:paraId="77F3F2DF" w14:textId="77777777">
      <w:pPr>
        <w:jc w:val="center"/>
        <w:rPr>
          <w:sz w:val="28"/>
          <w:szCs w:val="28"/>
        </w:rPr>
      </w:pPr>
      <w:r w:rsidRPr="00677A0B">
        <w:rPr>
          <w:sz w:val="28"/>
          <w:szCs w:val="28"/>
        </w:rPr>
        <w:t>Agency of Healthcare Research and Quality (AHRQ)</w:t>
      </w:r>
    </w:p>
    <w:p w:rsidR="002B3186" w:rsidRPr="00C4006D" w:rsidP="009B633D" w14:paraId="64B93C56" w14:textId="77777777">
      <w:pPr>
        <w:jc w:val="center"/>
        <w:rPr>
          <w:i/>
          <w:iCs/>
          <w:sz w:val="28"/>
          <w:szCs w:val="28"/>
        </w:rPr>
      </w:pPr>
    </w:p>
    <w:p w:rsidR="002B3186" w:rsidRPr="00082047" w:rsidP="009B633D" w14:paraId="314C9BAA" w14:textId="77777777">
      <w:pPr>
        <w:jc w:val="center"/>
        <w:rPr>
          <w:i/>
          <w:iCs/>
          <w:sz w:val="28"/>
          <w:szCs w:val="28"/>
        </w:rPr>
      </w:pPr>
    </w:p>
    <w:p w:rsidR="002B3186" w:rsidP="009B633D" w14:paraId="62FC9C3A" w14:textId="77777777">
      <w:pPr>
        <w:jc w:val="center"/>
        <w:rPr>
          <w:sz w:val="28"/>
          <w:szCs w:val="28"/>
        </w:rPr>
        <w:sectPr w:rsidSect="00382DD3">
          <w:footerReference w:type="even" r:id="rId5"/>
          <w:footerReference w:type="default" r:id="rId6"/>
          <w:endnotePr>
            <w:numFmt w:val="decimal"/>
          </w:endnotePr>
          <w:type w:val="continuous"/>
          <w:pgSz w:w="12240" w:h="15840"/>
          <w:pgMar w:top="1440" w:right="1800" w:bottom="1260" w:left="1800" w:header="720" w:footer="720" w:gutter="0"/>
          <w:pgNumType w:fmt="numberInDash" w:start="1"/>
          <w:cols w:space="720"/>
          <w:titlePg/>
          <w:docGrid w:linePitch="360"/>
        </w:sectPr>
      </w:pPr>
    </w:p>
    <w:p w:rsidR="002B3186" w:rsidP="001D7384" w14:paraId="10024440" w14:textId="79F50112">
      <w:pPr>
        <w:jc w:val="center"/>
        <w:rPr>
          <w:b/>
          <w:bCs/>
        </w:rPr>
      </w:pPr>
      <w:r w:rsidRPr="001D0454">
        <w:rPr>
          <w:b/>
          <w:bCs/>
        </w:rPr>
        <w:t xml:space="preserve">Table of </w:t>
      </w:r>
      <w:r w:rsidR="0066406E">
        <w:rPr>
          <w:b/>
          <w:bCs/>
        </w:rPr>
        <w:t>C</w:t>
      </w:r>
      <w:r w:rsidRPr="001D0454">
        <w:rPr>
          <w:b/>
          <w:bCs/>
        </w:rPr>
        <w:t>ontents</w:t>
      </w:r>
    </w:p>
    <w:p w:rsidR="002B3186" w:rsidP="009B633D" w14:paraId="4201034C" w14:textId="77777777">
      <w:pPr>
        <w:jc w:val="center"/>
        <w:rPr>
          <w:b/>
          <w:bCs/>
        </w:rPr>
      </w:pPr>
    </w:p>
    <w:sdt>
      <w:sdtPr>
        <w:rPr>
          <w:rFonts w:ascii="Times New Roman" w:eastAsia="Times New Roman" w:hAnsi="Times New Roman" w:cs="Times New Roman"/>
          <w:b w:val="0"/>
          <w:bCs w:val="0"/>
          <w:color w:val="auto"/>
          <w:sz w:val="24"/>
          <w:szCs w:val="24"/>
          <w:lang w:eastAsia="en-US"/>
        </w:rPr>
        <w:id w:val="-241960526"/>
        <w:docPartObj>
          <w:docPartGallery w:val="Table of Contents"/>
          <w:docPartUnique/>
        </w:docPartObj>
      </w:sdtPr>
      <w:sdtEndPr>
        <w:rPr>
          <w:noProof/>
        </w:rPr>
      </w:sdtEndPr>
      <w:sdtContent>
        <w:p w:rsidR="00EF3BBB" w:rsidRPr="0066406E" w:rsidP="00EF3BBB" w14:paraId="3BE84F5B" w14:textId="3655F8E6">
          <w:pPr>
            <w:pStyle w:val="TOCHeading"/>
            <w:rPr>
              <w:rFonts w:ascii="Times New Roman" w:hAnsi="Times New Roman" w:cs="Times New Roman"/>
              <w:sz w:val="24"/>
              <w:szCs w:val="24"/>
            </w:rPr>
          </w:pPr>
        </w:p>
        <w:p w:rsidR="003C2326" w:rsidRPr="0066406E" w14:paraId="6272916F" w14:textId="1A99217F">
          <w:pPr>
            <w:pStyle w:val="TOC1"/>
            <w:tabs>
              <w:tab w:val="right" w:leader="dot" w:pos="8630"/>
            </w:tabs>
            <w:rPr>
              <w:rFonts w:ascii="Times New Roman" w:hAnsi="Times New Roman" w:eastAsiaTheme="minorEastAsia"/>
              <w:b w:val="0"/>
              <w:bCs w:val="0"/>
              <w:caps w:val="0"/>
              <w:noProof/>
              <w:sz w:val="24"/>
              <w:szCs w:val="24"/>
            </w:rPr>
          </w:pPr>
          <w:r w:rsidRPr="0066406E">
            <w:rPr>
              <w:rFonts w:ascii="Times New Roman" w:hAnsi="Times New Roman"/>
              <w:sz w:val="24"/>
              <w:szCs w:val="24"/>
            </w:rPr>
            <w:fldChar w:fldCharType="begin"/>
          </w:r>
          <w:r w:rsidRPr="0066406E">
            <w:rPr>
              <w:rFonts w:ascii="Times New Roman" w:hAnsi="Times New Roman"/>
              <w:sz w:val="24"/>
              <w:szCs w:val="24"/>
            </w:rPr>
            <w:instrText xml:space="preserve"> TOC \o "1-3" \h \z \u </w:instrText>
          </w:r>
          <w:r w:rsidRPr="0066406E">
            <w:rPr>
              <w:rFonts w:ascii="Times New Roman" w:hAnsi="Times New Roman"/>
              <w:sz w:val="24"/>
              <w:szCs w:val="24"/>
            </w:rPr>
            <w:fldChar w:fldCharType="separate"/>
          </w:r>
          <w:hyperlink w:anchor="_Toc132023561" w:history="1">
            <w:r w:rsidRPr="0066406E">
              <w:rPr>
                <w:rStyle w:val="Hyperlink"/>
                <w:rFonts w:ascii="Times New Roman" w:hAnsi="Times New Roman"/>
                <w:noProof/>
                <w:sz w:val="24"/>
                <w:szCs w:val="24"/>
              </w:rPr>
              <w:t>A. Justification</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_Toc132023561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1</w:t>
            </w:r>
            <w:r w:rsidRPr="0066406E">
              <w:rPr>
                <w:rFonts w:ascii="Times New Roman" w:hAnsi="Times New Roman"/>
                <w:noProof/>
                <w:webHidden/>
                <w:sz w:val="24"/>
                <w:szCs w:val="24"/>
              </w:rPr>
              <w:fldChar w:fldCharType="end"/>
            </w:r>
          </w:hyperlink>
        </w:p>
        <w:p w:rsidR="003C2326" w:rsidRPr="0066406E" w14:paraId="60424197" w14:textId="67C8280D">
          <w:pPr>
            <w:pStyle w:val="TOC2"/>
            <w:tabs>
              <w:tab w:val="right" w:leader="dot" w:pos="8630"/>
            </w:tabs>
            <w:rPr>
              <w:rFonts w:ascii="Times New Roman" w:hAnsi="Times New Roman" w:eastAsiaTheme="minorEastAsia"/>
              <w:smallCaps w:val="0"/>
              <w:noProof/>
              <w:sz w:val="24"/>
              <w:szCs w:val="24"/>
            </w:rPr>
          </w:pPr>
          <w:hyperlink w:anchor="_Toc132023562" w:history="1">
            <w:r w:rsidRPr="0066406E">
              <w:rPr>
                <w:rStyle w:val="Hyperlink"/>
                <w:rFonts w:ascii="Times New Roman" w:hAnsi="Times New Roman"/>
                <w:noProof/>
                <w:sz w:val="24"/>
                <w:szCs w:val="24"/>
              </w:rPr>
              <w:t>1. Circumstances that Make the Collection of Information Necessary</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_Toc132023562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1</w:t>
            </w:r>
            <w:r w:rsidRPr="0066406E">
              <w:rPr>
                <w:rFonts w:ascii="Times New Roman" w:hAnsi="Times New Roman"/>
                <w:noProof/>
                <w:webHidden/>
                <w:sz w:val="24"/>
                <w:szCs w:val="24"/>
              </w:rPr>
              <w:fldChar w:fldCharType="end"/>
            </w:r>
          </w:hyperlink>
        </w:p>
        <w:p w:rsidR="003C2326" w:rsidRPr="0066406E" w14:paraId="68DB17C4" w14:textId="52063E51">
          <w:pPr>
            <w:pStyle w:val="TOC2"/>
            <w:tabs>
              <w:tab w:val="right" w:leader="dot" w:pos="8630"/>
            </w:tabs>
            <w:rPr>
              <w:rFonts w:ascii="Times New Roman" w:hAnsi="Times New Roman" w:eastAsiaTheme="minorEastAsia"/>
              <w:smallCaps w:val="0"/>
              <w:noProof/>
              <w:sz w:val="24"/>
              <w:szCs w:val="24"/>
            </w:rPr>
          </w:pPr>
          <w:hyperlink w:anchor="_Toc132023563" w:history="1">
            <w:r w:rsidRPr="0066406E">
              <w:rPr>
                <w:rStyle w:val="Hyperlink"/>
                <w:rFonts w:ascii="Times New Roman" w:hAnsi="Times New Roman"/>
                <w:noProof/>
                <w:sz w:val="24"/>
                <w:szCs w:val="24"/>
              </w:rPr>
              <w:t>2. Purpose and Use of Information</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_Toc132023563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4</w:t>
            </w:r>
            <w:r w:rsidRPr="0066406E">
              <w:rPr>
                <w:rFonts w:ascii="Times New Roman" w:hAnsi="Times New Roman"/>
                <w:noProof/>
                <w:webHidden/>
                <w:sz w:val="24"/>
                <w:szCs w:val="24"/>
              </w:rPr>
              <w:fldChar w:fldCharType="end"/>
            </w:r>
          </w:hyperlink>
        </w:p>
        <w:p w:rsidR="003C2326" w:rsidRPr="0066406E" w14:paraId="382BB935" w14:textId="77B8BA02">
          <w:pPr>
            <w:pStyle w:val="TOC2"/>
            <w:tabs>
              <w:tab w:val="right" w:leader="dot" w:pos="8630"/>
            </w:tabs>
            <w:rPr>
              <w:rFonts w:ascii="Times New Roman" w:hAnsi="Times New Roman" w:eastAsiaTheme="minorEastAsia"/>
              <w:smallCaps w:val="0"/>
              <w:noProof/>
              <w:sz w:val="24"/>
              <w:szCs w:val="24"/>
            </w:rPr>
          </w:pPr>
          <w:hyperlink w:anchor="_Toc132023564" w:history="1">
            <w:r w:rsidRPr="0066406E">
              <w:rPr>
                <w:rStyle w:val="Hyperlink"/>
                <w:rFonts w:ascii="Times New Roman" w:hAnsi="Times New Roman"/>
                <w:noProof/>
                <w:sz w:val="24"/>
                <w:szCs w:val="24"/>
              </w:rPr>
              <w:t>3. Use of Improved Information Technology</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_Toc132023564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6</w:t>
            </w:r>
            <w:r w:rsidRPr="0066406E">
              <w:rPr>
                <w:rFonts w:ascii="Times New Roman" w:hAnsi="Times New Roman"/>
                <w:noProof/>
                <w:webHidden/>
                <w:sz w:val="24"/>
                <w:szCs w:val="24"/>
              </w:rPr>
              <w:fldChar w:fldCharType="end"/>
            </w:r>
          </w:hyperlink>
        </w:p>
        <w:p w:rsidR="003C2326" w:rsidRPr="0066406E" w14:paraId="006CFB87" w14:textId="4F04CC34">
          <w:pPr>
            <w:pStyle w:val="TOC2"/>
            <w:tabs>
              <w:tab w:val="right" w:leader="dot" w:pos="8630"/>
            </w:tabs>
            <w:rPr>
              <w:rFonts w:ascii="Times New Roman" w:hAnsi="Times New Roman" w:eastAsiaTheme="minorEastAsia"/>
              <w:smallCaps w:val="0"/>
              <w:noProof/>
              <w:sz w:val="24"/>
              <w:szCs w:val="24"/>
            </w:rPr>
          </w:pPr>
          <w:hyperlink w:anchor="_Toc132023565" w:history="1">
            <w:r w:rsidRPr="0066406E">
              <w:rPr>
                <w:rStyle w:val="Hyperlink"/>
                <w:rFonts w:ascii="Times New Roman" w:hAnsi="Times New Roman"/>
                <w:noProof/>
                <w:sz w:val="24"/>
                <w:szCs w:val="24"/>
              </w:rPr>
              <w:t>4. Efforts to Identify Duplication</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_Toc132023565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6</w:t>
            </w:r>
            <w:r w:rsidRPr="0066406E">
              <w:rPr>
                <w:rFonts w:ascii="Times New Roman" w:hAnsi="Times New Roman"/>
                <w:noProof/>
                <w:webHidden/>
                <w:sz w:val="24"/>
                <w:szCs w:val="24"/>
              </w:rPr>
              <w:fldChar w:fldCharType="end"/>
            </w:r>
          </w:hyperlink>
        </w:p>
        <w:p w:rsidR="003C2326" w:rsidRPr="0066406E" w14:paraId="6FFA1247" w14:textId="74F2FCA3">
          <w:pPr>
            <w:pStyle w:val="TOC2"/>
            <w:tabs>
              <w:tab w:val="right" w:leader="dot" w:pos="8630"/>
            </w:tabs>
            <w:rPr>
              <w:rFonts w:ascii="Times New Roman" w:hAnsi="Times New Roman" w:eastAsiaTheme="minorEastAsia"/>
              <w:smallCaps w:val="0"/>
              <w:noProof/>
              <w:sz w:val="24"/>
              <w:szCs w:val="24"/>
            </w:rPr>
          </w:pPr>
          <w:hyperlink w:anchor="_Toc132023566" w:history="1">
            <w:r w:rsidRPr="0066406E">
              <w:rPr>
                <w:rStyle w:val="Hyperlink"/>
                <w:rFonts w:ascii="Times New Roman" w:hAnsi="Times New Roman"/>
                <w:noProof/>
                <w:sz w:val="24"/>
                <w:szCs w:val="24"/>
              </w:rPr>
              <w:t>5. Involvement of Small Entities</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_Toc132023566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6</w:t>
            </w:r>
            <w:r w:rsidRPr="0066406E">
              <w:rPr>
                <w:rFonts w:ascii="Times New Roman" w:hAnsi="Times New Roman"/>
                <w:noProof/>
                <w:webHidden/>
                <w:sz w:val="24"/>
                <w:szCs w:val="24"/>
              </w:rPr>
              <w:fldChar w:fldCharType="end"/>
            </w:r>
          </w:hyperlink>
        </w:p>
        <w:p w:rsidR="003C2326" w:rsidRPr="0066406E" w14:paraId="679C1C63" w14:textId="2883C185">
          <w:pPr>
            <w:pStyle w:val="TOC2"/>
            <w:tabs>
              <w:tab w:val="right" w:leader="dot" w:pos="8630"/>
            </w:tabs>
            <w:rPr>
              <w:rFonts w:ascii="Times New Roman" w:hAnsi="Times New Roman" w:eastAsiaTheme="minorEastAsia"/>
              <w:smallCaps w:val="0"/>
              <w:noProof/>
              <w:sz w:val="24"/>
              <w:szCs w:val="24"/>
            </w:rPr>
          </w:pPr>
          <w:hyperlink w:anchor="_Toc132023567" w:history="1">
            <w:r w:rsidRPr="0066406E">
              <w:rPr>
                <w:rStyle w:val="Hyperlink"/>
                <w:rFonts w:ascii="Times New Roman" w:hAnsi="Times New Roman"/>
                <w:noProof/>
                <w:sz w:val="24"/>
                <w:szCs w:val="24"/>
              </w:rPr>
              <w:t>6. Consequences if Information Collected Less Frequently</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_Toc132023567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6</w:t>
            </w:r>
            <w:r w:rsidRPr="0066406E">
              <w:rPr>
                <w:rFonts w:ascii="Times New Roman" w:hAnsi="Times New Roman"/>
                <w:noProof/>
                <w:webHidden/>
                <w:sz w:val="24"/>
                <w:szCs w:val="24"/>
              </w:rPr>
              <w:fldChar w:fldCharType="end"/>
            </w:r>
          </w:hyperlink>
        </w:p>
        <w:p w:rsidR="003C2326" w:rsidRPr="0066406E" w14:paraId="6AF9EB3D" w14:textId="3EE1576E">
          <w:pPr>
            <w:pStyle w:val="TOC2"/>
            <w:tabs>
              <w:tab w:val="right" w:leader="dot" w:pos="8630"/>
            </w:tabs>
            <w:rPr>
              <w:rFonts w:ascii="Times New Roman" w:hAnsi="Times New Roman" w:eastAsiaTheme="minorEastAsia"/>
              <w:smallCaps w:val="0"/>
              <w:noProof/>
              <w:sz w:val="24"/>
              <w:szCs w:val="24"/>
            </w:rPr>
          </w:pPr>
          <w:hyperlink w:anchor="_Toc132023568" w:history="1">
            <w:r w:rsidRPr="0066406E">
              <w:rPr>
                <w:rStyle w:val="Hyperlink"/>
                <w:rFonts w:ascii="Times New Roman" w:hAnsi="Times New Roman"/>
                <w:noProof/>
                <w:sz w:val="24"/>
                <w:szCs w:val="24"/>
              </w:rPr>
              <w:t>7. Special Circumstances</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_Toc132023568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6</w:t>
            </w:r>
            <w:r w:rsidRPr="0066406E">
              <w:rPr>
                <w:rFonts w:ascii="Times New Roman" w:hAnsi="Times New Roman"/>
                <w:noProof/>
                <w:webHidden/>
                <w:sz w:val="24"/>
                <w:szCs w:val="24"/>
              </w:rPr>
              <w:fldChar w:fldCharType="end"/>
            </w:r>
          </w:hyperlink>
        </w:p>
        <w:p w:rsidR="003C2326" w:rsidRPr="0066406E" w14:paraId="10C264DF" w14:textId="15411892">
          <w:pPr>
            <w:pStyle w:val="TOC2"/>
            <w:tabs>
              <w:tab w:val="right" w:leader="dot" w:pos="8630"/>
            </w:tabs>
            <w:rPr>
              <w:rFonts w:ascii="Times New Roman" w:hAnsi="Times New Roman" w:eastAsiaTheme="minorEastAsia"/>
              <w:smallCaps w:val="0"/>
              <w:noProof/>
              <w:sz w:val="24"/>
              <w:szCs w:val="24"/>
            </w:rPr>
          </w:pPr>
          <w:hyperlink w:anchor="_Toc132023569" w:history="1">
            <w:r w:rsidRPr="0066406E">
              <w:rPr>
                <w:rStyle w:val="Hyperlink"/>
                <w:rFonts w:ascii="Times New Roman" w:hAnsi="Times New Roman"/>
                <w:noProof/>
                <w:sz w:val="24"/>
                <w:szCs w:val="24"/>
              </w:rPr>
              <w:t>8. Federal Register Notice</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_Toc132023569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6</w:t>
            </w:r>
            <w:r w:rsidRPr="0066406E">
              <w:rPr>
                <w:rFonts w:ascii="Times New Roman" w:hAnsi="Times New Roman"/>
                <w:noProof/>
                <w:webHidden/>
                <w:sz w:val="24"/>
                <w:szCs w:val="24"/>
              </w:rPr>
              <w:fldChar w:fldCharType="end"/>
            </w:r>
          </w:hyperlink>
        </w:p>
        <w:p w:rsidR="003C2326" w:rsidRPr="0066406E" w14:paraId="0CA46D19" w14:textId="5622A04A">
          <w:pPr>
            <w:pStyle w:val="TOC2"/>
            <w:tabs>
              <w:tab w:val="right" w:leader="dot" w:pos="8630"/>
            </w:tabs>
            <w:rPr>
              <w:rFonts w:ascii="Times New Roman" w:hAnsi="Times New Roman" w:eastAsiaTheme="minorEastAsia"/>
              <w:smallCaps w:val="0"/>
              <w:noProof/>
              <w:sz w:val="24"/>
              <w:szCs w:val="24"/>
            </w:rPr>
          </w:pPr>
          <w:hyperlink w:anchor="_Toc132023570" w:history="1">
            <w:r w:rsidRPr="0066406E">
              <w:rPr>
                <w:rStyle w:val="Hyperlink"/>
                <w:rFonts w:ascii="Times New Roman" w:hAnsi="Times New Roman"/>
                <w:noProof/>
                <w:sz w:val="24"/>
                <w:szCs w:val="24"/>
              </w:rPr>
              <w:t>9. Payments/Gifts to Respondents</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_Toc132023570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6</w:t>
            </w:r>
            <w:r w:rsidRPr="0066406E">
              <w:rPr>
                <w:rFonts w:ascii="Times New Roman" w:hAnsi="Times New Roman"/>
                <w:noProof/>
                <w:webHidden/>
                <w:sz w:val="24"/>
                <w:szCs w:val="24"/>
              </w:rPr>
              <w:fldChar w:fldCharType="end"/>
            </w:r>
          </w:hyperlink>
        </w:p>
        <w:p w:rsidR="003C2326" w:rsidRPr="0066406E" w14:paraId="1AFA0065" w14:textId="1C96CFE0">
          <w:pPr>
            <w:pStyle w:val="TOC2"/>
            <w:tabs>
              <w:tab w:val="right" w:leader="dot" w:pos="8630"/>
            </w:tabs>
            <w:rPr>
              <w:rFonts w:ascii="Times New Roman" w:hAnsi="Times New Roman" w:eastAsiaTheme="minorEastAsia"/>
              <w:smallCaps w:val="0"/>
              <w:noProof/>
              <w:sz w:val="24"/>
              <w:szCs w:val="24"/>
            </w:rPr>
          </w:pPr>
          <w:hyperlink w:anchor="_Toc132023571" w:history="1">
            <w:r w:rsidRPr="0066406E">
              <w:rPr>
                <w:rStyle w:val="Hyperlink"/>
                <w:rFonts w:ascii="Times New Roman" w:hAnsi="Times New Roman"/>
                <w:noProof/>
                <w:sz w:val="24"/>
                <w:szCs w:val="24"/>
              </w:rPr>
              <w:t>10. Assurance of Confidentiality</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_Toc132023571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7</w:t>
            </w:r>
            <w:r w:rsidRPr="0066406E">
              <w:rPr>
                <w:rFonts w:ascii="Times New Roman" w:hAnsi="Times New Roman"/>
                <w:noProof/>
                <w:webHidden/>
                <w:sz w:val="24"/>
                <w:szCs w:val="24"/>
              </w:rPr>
              <w:fldChar w:fldCharType="end"/>
            </w:r>
          </w:hyperlink>
        </w:p>
        <w:p w:rsidR="003C2326" w:rsidRPr="0066406E" w14:paraId="03EDF1E5" w14:textId="1DB3ABAA">
          <w:pPr>
            <w:pStyle w:val="TOC2"/>
            <w:tabs>
              <w:tab w:val="right" w:leader="dot" w:pos="8630"/>
            </w:tabs>
            <w:rPr>
              <w:rFonts w:ascii="Times New Roman" w:hAnsi="Times New Roman" w:eastAsiaTheme="minorEastAsia"/>
              <w:smallCaps w:val="0"/>
              <w:noProof/>
              <w:sz w:val="24"/>
              <w:szCs w:val="24"/>
            </w:rPr>
          </w:pPr>
          <w:hyperlink w:anchor="_Toc132023572" w:history="1">
            <w:r w:rsidRPr="0066406E">
              <w:rPr>
                <w:rStyle w:val="Hyperlink"/>
                <w:rFonts w:ascii="Times New Roman" w:hAnsi="Times New Roman"/>
                <w:noProof/>
                <w:sz w:val="24"/>
                <w:szCs w:val="24"/>
              </w:rPr>
              <w:t>11. Questions of a Sensitive Nature</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_Toc132023572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7</w:t>
            </w:r>
            <w:r w:rsidRPr="0066406E">
              <w:rPr>
                <w:rFonts w:ascii="Times New Roman" w:hAnsi="Times New Roman"/>
                <w:noProof/>
                <w:webHidden/>
                <w:sz w:val="24"/>
                <w:szCs w:val="24"/>
              </w:rPr>
              <w:fldChar w:fldCharType="end"/>
            </w:r>
          </w:hyperlink>
        </w:p>
        <w:p w:rsidR="003C2326" w:rsidRPr="0066406E" w14:paraId="5A659171" w14:textId="3C41BC12">
          <w:pPr>
            <w:pStyle w:val="TOC2"/>
            <w:tabs>
              <w:tab w:val="right" w:leader="dot" w:pos="8630"/>
            </w:tabs>
            <w:rPr>
              <w:rFonts w:ascii="Times New Roman" w:hAnsi="Times New Roman" w:eastAsiaTheme="minorEastAsia"/>
              <w:smallCaps w:val="0"/>
              <w:noProof/>
              <w:sz w:val="24"/>
              <w:szCs w:val="24"/>
            </w:rPr>
          </w:pPr>
          <w:hyperlink w:anchor="_Toc132023573" w:history="1">
            <w:r w:rsidRPr="0066406E">
              <w:rPr>
                <w:rStyle w:val="Hyperlink"/>
                <w:rFonts w:ascii="Times New Roman" w:hAnsi="Times New Roman"/>
                <w:noProof/>
                <w:sz w:val="24"/>
                <w:szCs w:val="24"/>
              </w:rPr>
              <w:t>12. Estimates of Annualized Burden Hours and Costs</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_Toc132023573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7</w:t>
            </w:r>
            <w:r w:rsidRPr="0066406E">
              <w:rPr>
                <w:rFonts w:ascii="Times New Roman" w:hAnsi="Times New Roman"/>
                <w:noProof/>
                <w:webHidden/>
                <w:sz w:val="24"/>
                <w:szCs w:val="24"/>
              </w:rPr>
              <w:fldChar w:fldCharType="end"/>
            </w:r>
          </w:hyperlink>
        </w:p>
        <w:p w:rsidR="003C2326" w:rsidRPr="0066406E" w14:paraId="05897F2F" w14:textId="42DB8961">
          <w:pPr>
            <w:pStyle w:val="TOC2"/>
            <w:tabs>
              <w:tab w:val="right" w:leader="dot" w:pos="8630"/>
            </w:tabs>
            <w:rPr>
              <w:rFonts w:ascii="Times New Roman" w:hAnsi="Times New Roman" w:eastAsiaTheme="minorEastAsia"/>
              <w:smallCaps w:val="0"/>
              <w:noProof/>
              <w:sz w:val="24"/>
              <w:szCs w:val="24"/>
            </w:rPr>
          </w:pPr>
          <w:hyperlink w:anchor="_Toc132023574" w:history="1">
            <w:r w:rsidRPr="0066406E">
              <w:rPr>
                <w:rStyle w:val="Hyperlink"/>
                <w:rFonts w:ascii="Times New Roman" w:hAnsi="Times New Roman"/>
                <w:noProof/>
                <w:sz w:val="24"/>
                <w:szCs w:val="24"/>
              </w:rPr>
              <w:t>13. Estimates of Annualized Respondent Capital and Maintenance Costs</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_Toc132023574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8</w:t>
            </w:r>
            <w:r w:rsidRPr="0066406E">
              <w:rPr>
                <w:rFonts w:ascii="Times New Roman" w:hAnsi="Times New Roman"/>
                <w:noProof/>
                <w:webHidden/>
                <w:sz w:val="24"/>
                <w:szCs w:val="24"/>
              </w:rPr>
              <w:fldChar w:fldCharType="end"/>
            </w:r>
          </w:hyperlink>
        </w:p>
        <w:p w:rsidR="003C2326" w:rsidRPr="0066406E" w14:paraId="06E0ED78" w14:textId="0A571453">
          <w:pPr>
            <w:pStyle w:val="TOC2"/>
            <w:tabs>
              <w:tab w:val="right" w:leader="dot" w:pos="8630"/>
            </w:tabs>
            <w:rPr>
              <w:rFonts w:ascii="Times New Roman" w:hAnsi="Times New Roman" w:eastAsiaTheme="minorEastAsia"/>
              <w:smallCaps w:val="0"/>
              <w:noProof/>
              <w:sz w:val="24"/>
              <w:szCs w:val="24"/>
            </w:rPr>
          </w:pPr>
          <w:hyperlink w:anchor="_Toc132023575" w:history="1">
            <w:r w:rsidRPr="0066406E">
              <w:rPr>
                <w:rStyle w:val="Hyperlink"/>
                <w:rFonts w:ascii="Times New Roman" w:hAnsi="Times New Roman"/>
                <w:noProof/>
                <w:sz w:val="24"/>
                <w:szCs w:val="24"/>
              </w:rPr>
              <w:t>14. Estimates of Annualized Cost to the Government</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_Toc132023575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9</w:t>
            </w:r>
            <w:r w:rsidRPr="0066406E">
              <w:rPr>
                <w:rFonts w:ascii="Times New Roman" w:hAnsi="Times New Roman"/>
                <w:noProof/>
                <w:webHidden/>
                <w:sz w:val="24"/>
                <w:szCs w:val="24"/>
              </w:rPr>
              <w:fldChar w:fldCharType="end"/>
            </w:r>
          </w:hyperlink>
        </w:p>
        <w:p w:rsidR="003C2326" w:rsidRPr="0066406E" w14:paraId="7E02BB54" w14:textId="3B2F646B">
          <w:pPr>
            <w:pStyle w:val="TOC2"/>
            <w:tabs>
              <w:tab w:val="right" w:leader="dot" w:pos="8630"/>
            </w:tabs>
            <w:rPr>
              <w:rFonts w:ascii="Times New Roman" w:hAnsi="Times New Roman" w:eastAsiaTheme="minorEastAsia"/>
              <w:smallCaps w:val="0"/>
              <w:noProof/>
              <w:sz w:val="24"/>
              <w:szCs w:val="24"/>
            </w:rPr>
          </w:pPr>
          <w:hyperlink w:anchor="_Toc132023576" w:history="1">
            <w:r w:rsidRPr="0066406E">
              <w:rPr>
                <w:rStyle w:val="Hyperlink"/>
                <w:rFonts w:ascii="Times New Roman" w:hAnsi="Times New Roman"/>
                <w:noProof/>
                <w:sz w:val="24"/>
                <w:szCs w:val="24"/>
              </w:rPr>
              <w:t>15. Changes in Hour Burden</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_Toc132023576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9</w:t>
            </w:r>
            <w:r w:rsidRPr="0066406E">
              <w:rPr>
                <w:rFonts w:ascii="Times New Roman" w:hAnsi="Times New Roman"/>
                <w:noProof/>
                <w:webHidden/>
                <w:sz w:val="24"/>
                <w:szCs w:val="24"/>
              </w:rPr>
              <w:fldChar w:fldCharType="end"/>
            </w:r>
          </w:hyperlink>
        </w:p>
        <w:p w:rsidR="003C2326" w:rsidRPr="0066406E" w14:paraId="49D98232" w14:textId="2CCB30A5">
          <w:pPr>
            <w:pStyle w:val="TOC2"/>
            <w:tabs>
              <w:tab w:val="right" w:leader="dot" w:pos="8630"/>
            </w:tabs>
            <w:rPr>
              <w:rFonts w:ascii="Times New Roman" w:hAnsi="Times New Roman" w:eastAsiaTheme="minorEastAsia"/>
              <w:smallCaps w:val="0"/>
              <w:noProof/>
              <w:sz w:val="24"/>
              <w:szCs w:val="24"/>
            </w:rPr>
          </w:pPr>
          <w:hyperlink w:anchor="_Toc132023577" w:history="1">
            <w:r w:rsidRPr="0066406E">
              <w:rPr>
                <w:rStyle w:val="Hyperlink"/>
                <w:rFonts w:ascii="Times New Roman" w:hAnsi="Times New Roman"/>
                <w:noProof/>
                <w:sz w:val="24"/>
                <w:szCs w:val="24"/>
              </w:rPr>
              <w:t>16. Time Schedule, Publication and Analysis Plans</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_Toc132023577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9</w:t>
            </w:r>
            <w:r w:rsidRPr="0066406E">
              <w:rPr>
                <w:rFonts w:ascii="Times New Roman" w:hAnsi="Times New Roman"/>
                <w:noProof/>
                <w:webHidden/>
                <w:sz w:val="24"/>
                <w:szCs w:val="24"/>
              </w:rPr>
              <w:fldChar w:fldCharType="end"/>
            </w:r>
          </w:hyperlink>
        </w:p>
        <w:p w:rsidR="003C2326" w:rsidRPr="0066406E" w14:paraId="38649B98" w14:textId="7BE76983">
          <w:pPr>
            <w:pStyle w:val="TOC2"/>
            <w:tabs>
              <w:tab w:val="right" w:leader="dot" w:pos="8630"/>
            </w:tabs>
            <w:rPr>
              <w:rFonts w:ascii="Times New Roman" w:hAnsi="Times New Roman" w:eastAsiaTheme="minorEastAsia"/>
              <w:smallCaps w:val="0"/>
              <w:noProof/>
              <w:sz w:val="24"/>
              <w:szCs w:val="24"/>
            </w:rPr>
          </w:pPr>
          <w:hyperlink w:anchor="_Toc132023578" w:history="1">
            <w:r w:rsidRPr="0066406E">
              <w:rPr>
                <w:rStyle w:val="Hyperlink"/>
                <w:rFonts w:ascii="Times New Roman" w:hAnsi="Times New Roman"/>
                <w:noProof/>
                <w:sz w:val="24"/>
                <w:szCs w:val="24"/>
              </w:rPr>
              <w:t>17. Exemption for Display of Expiration Date</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_Toc132023578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9</w:t>
            </w:r>
            <w:r w:rsidRPr="0066406E">
              <w:rPr>
                <w:rFonts w:ascii="Times New Roman" w:hAnsi="Times New Roman"/>
                <w:noProof/>
                <w:webHidden/>
                <w:sz w:val="24"/>
                <w:szCs w:val="24"/>
              </w:rPr>
              <w:fldChar w:fldCharType="end"/>
            </w:r>
          </w:hyperlink>
        </w:p>
        <w:p w:rsidR="003C2326" w:rsidRPr="0066406E" w14:paraId="06B1F17C" w14:textId="5579B368">
          <w:pPr>
            <w:pStyle w:val="TOC1"/>
            <w:tabs>
              <w:tab w:val="right" w:leader="dot" w:pos="8630"/>
            </w:tabs>
            <w:rPr>
              <w:rFonts w:ascii="Times New Roman" w:hAnsi="Times New Roman" w:eastAsiaTheme="minorEastAsia"/>
              <w:b w:val="0"/>
              <w:bCs w:val="0"/>
              <w:caps w:val="0"/>
              <w:noProof/>
              <w:sz w:val="24"/>
              <w:szCs w:val="24"/>
            </w:rPr>
          </w:pPr>
          <w:hyperlink w:anchor="_Toc132023579" w:history="1">
            <w:r w:rsidRPr="0066406E">
              <w:rPr>
                <w:rStyle w:val="Hyperlink"/>
                <w:rFonts w:ascii="Times New Roman" w:hAnsi="Times New Roman"/>
                <w:noProof/>
                <w:sz w:val="24"/>
                <w:szCs w:val="24"/>
              </w:rPr>
              <w:t>List of Attachments:</w:t>
            </w:r>
            <w:r w:rsidRPr="0066406E">
              <w:rPr>
                <w:rFonts w:ascii="Times New Roman" w:hAnsi="Times New Roman"/>
                <w:noProof/>
                <w:webHidden/>
                <w:sz w:val="24"/>
                <w:szCs w:val="24"/>
              </w:rPr>
              <w:tab/>
            </w:r>
            <w:r w:rsidRPr="0066406E">
              <w:rPr>
                <w:rFonts w:ascii="Times New Roman" w:hAnsi="Times New Roman"/>
                <w:noProof/>
                <w:webHidden/>
                <w:sz w:val="24"/>
                <w:szCs w:val="24"/>
              </w:rPr>
              <w:fldChar w:fldCharType="begin"/>
            </w:r>
            <w:r w:rsidRPr="0066406E">
              <w:rPr>
                <w:rFonts w:ascii="Times New Roman" w:hAnsi="Times New Roman"/>
                <w:noProof/>
                <w:webHidden/>
                <w:sz w:val="24"/>
                <w:szCs w:val="24"/>
              </w:rPr>
              <w:instrText xml:space="preserve"> PAGEREF _Toc132023579 \h </w:instrText>
            </w:r>
            <w:r w:rsidRPr="0066406E">
              <w:rPr>
                <w:rFonts w:ascii="Times New Roman" w:hAnsi="Times New Roman"/>
                <w:noProof/>
                <w:webHidden/>
                <w:sz w:val="24"/>
                <w:szCs w:val="24"/>
              </w:rPr>
              <w:fldChar w:fldCharType="separate"/>
            </w:r>
            <w:r w:rsidRPr="0066406E">
              <w:rPr>
                <w:rFonts w:ascii="Times New Roman" w:hAnsi="Times New Roman"/>
                <w:noProof/>
                <w:webHidden/>
                <w:sz w:val="24"/>
                <w:szCs w:val="24"/>
              </w:rPr>
              <w:t>9</w:t>
            </w:r>
            <w:r w:rsidRPr="0066406E">
              <w:rPr>
                <w:rFonts w:ascii="Times New Roman" w:hAnsi="Times New Roman"/>
                <w:noProof/>
                <w:webHidden/>
                <w:sz w:val="24"/>
                <w:szCs w:val="24"/>
              </w:rPr>
              <w:fldChar w:fldCharType="end"/>
            </w:r>
          </w:hyperlink>
        </w:p>
        <w:p w:rsidR="00EF3BBB" w:rsidP="00EF3BBB" w14:paraId="73454720" w14:textId="7389DEA9">
          <w:pPr>
            <w:rPr>
              <w:b/>
              <w:bCs/>
              <w:noProof/>
            </w:rPr>
          </w:pPr>
          <w:r w:rsidRPr="0066406E">
            <w:rPr>
              <w:b/>
              <w:bCs/>
              <w:noProof/>
            </w:rPr>
            <w:fldChar w:fldCharType="end"/>
          </w:r>
        </w:p>
      </w:sdtContent>
    </w:sdt>
    <w:p w:rsidR="002B3186" w:rsidP="009B633D" w14:paraId="43C68D3D" w14:textId="77777777">
      <w:pPr>
        <w:jc w:val="center"/>
        <w:rPr>
          <w:b/>
          <w:bCs/>
        </w:rPr>
      </w:pPr>
    </w:p>
    <w:p w:rsidR="002B3186" w:rsidP="009B633D" w14:paraId="33252551" w14:textId="77777777">
      <w:pPr>
        <w:jc w:val="center"/>
        <w:rPr>
          <w:b/>
          <w:bCs/>
        </w:rPr>
        <w:sectPr w:rsidSect="00382DD3">
          <w:headerReference w:type="even" r:id="rId7"/>
          <w:headerReference w:type="default" r:id="rId8"/>
          <w:headerReference w:type="first" r:id="rId9"/>
          <w:footerReference w:type="first" r:id="rId10"/>
          <w:endnotePr>
            <w:numFmt w:val="decimal"/>
          </w:endnotePr>
          <w:pgSz w:w="12240" w:h="15840"/>
          <w:pgMar w:top="1440" w:right="1800" w:bottom="1260" w:left="1800" w:header="720" w:footer="720" w:gutter="0"/>
          <w:pgNumType w:fmt="lowerRoman" w:start="1"/>
          <w:cols w:space="720"/>
          <w:titlePg/>
          <w:docGrid w:linePitch="360"/>
        </w:sectPr>
      </w:pPr>
    </w:p>
    <w:p w:rsidR="002B3186" w:rsidRPr="006014DB" w:rsidP="009B633D" w14:paraId="33156B32" w14:textId="77777777">
      <w:pPr>
        <w:pStyle w:val="Heading1"/>
        <w:rPr>
          <w:sz w:val="24"/>
          <w:szCs w:val="24"/>
        </w:rPr>
      </w:pPr>
      <w:bookmarkStart w:id="0" w:name="_Toc151782175"/>
      <w:bookmarkStart w:id="1" w:name="_Toc158526215"/>
      <w:bookmarkStart w:id="2" w:name="_Toc132023561"/>
      <w:r w:rsidRPr="006014DB">
        <w:rPr>
          <w:sz w:val="24"/>
          <w:szCs w:val="24"/>
        </w:rPr>
        <w:t>A. Justification</w:t>
      </w:r>
      <w:bookmarkEnd w:id="0"/>
      <w:bookmarkEnd w:id="1"/>
      <w:bookmarkEnd w:id="2"/>
    </w:p>
    <w:p w:rsidR="002B3186" w:rsidRPr="006014DB" w:rsidP="009B633D" w14:paraId="57BE1DAD" w14:textId="77777777"/>
    <w:p w:rsidR="002B3186" w:rsidP="00E249F3" w14:paraId="33855EC0" w14:textId="77777777">
      <w:pPr>
        <w:pStyle w:val="Heading2"/>
        <w:rPr>
          <w:sz w:val="24"/>
          <w:szCs w:val="24"/>
        </w:rPr>
      </w:pPr>
      <w:bookmarkStart w:id="3" w:name="_Toc151782176"/>
      <w:bookmarkStart w:id="4" w:name="_Toc158526216"/>
      <w:bookmarkStart w:id="5" w:name="_Toc132023562"/>
      <w:r w:rsidRPr="006014DB">
        <w:rPr>
          <w:sz w:val="24"/>
          <w:szCs w:val="24"/>
        </w:rPr>
        <w:t xml:space="preserve">1. </w:t>
      </w:r>
      <w:bookmarkEnd w:id="3"/>
      <w:bookmarkEnd w:id="4"/>
      <w:r w:rsidRPr="006014DB">
        <w:rPr>
          <w:sz w:val="24"/>
          <w:szCs w:val="24"/>
        </w:rPr>
        <w:t xml:space="preserve">Circumstances that </w:t>
      </w:r>
      <w:r>
        <w:rPr>
          <w:sz w:val="24"/>
          <w:szCs w:val="24"/>
        </w:rPr>
        <w:t>M</w:t>
      </w:r>
      <w:r w:rsidRPr="006014DB">
        <w:rPr>
          <w:sz w:val="24"/>
          <w:szCs w:val="24"/>
        </w:rPr>
        <w:t xml:space="preserve">ake the </w:t>
      </w:r>
      <w:r>
        <w:rPr>
          <w:sz w:val="24"/>
          <w:szCs w:val="24"/>
        </w:rPr>
        <w:t>C</w:t>
      </w:r>
      <w:r w:rsidRPr="006014DB">
        <w:rPr>
          <w:sz w:val="24"/>
          <w:szCs w:val="24"/>
        </w:rPr>
        <w:t xml:space="preserve">ollection of </w:t>
      </w:r>
      <w:r>
        <w:rPr>
          <w:sz w:val="24"/>
          <w:szCs w:val="24"/>
        </w:rPr>
        <w:t>I</w:t>
      </w:r>
      <w:r w:rsidRPr="006014DB">
        <w:rPr>
          <w:sz w:val="24"/>
          <w:szCs w:val="24"/>
        </w:rPr>
        <w:t xml:space="preserve">nformation </w:t>
      </w:r>
      <w:r>
        <w:rPr>
          <w:sz w:val="24"/>
          <w:szCs w:val="24"/>
        </w:rPr>
        <w:t>N</w:t>
      </w:r>
      <w:r w:rsidRPr="006014DB">
        <w:rPr>
          <w:sz w:val="24"/>
          <w:szCs w:val="24"/>
        </w:rPr>
        <w:t>ecessary</w:t>
      </w:r>
      <w:bookmarkEnd w:id="5"/>
    </w:p>
    <w:p w:rsidR="002B3186" w:rsidP="00C95998" w14:paraId="1E90AA9E" w14:textId="77777777"/>
    <w:p w:rsidR="002B3186" w:rsidP="000A140E" w14:paraId="2EEE3216" w14:textId="514C6274">
      <w:r w:rsidRPr="003224B1">
        <w:rPr>
          <w:b/>
          <w:bCs/>
        </w:rPr>
        <w:t xml:space="preserve">AHRQ’s mission. </w:t>
      </w:r>
      <w:r>
        <w:t>The mission of the Agency for Healthcare Research and Quality (AHRQ</w:t>
      </w:r>
      <w:r w:rsidRPr="000509AF">
        <w:t xml:space="preserve">) set out in its authorizing legislation, </w:t>
      </w:r>
      <w:r w:rsidRPr="00D10532">
        <w:t xml:space="preserve">The Healthcare Research and Quality Act of 1999 </w:t>
      </w:r>
      <w:r w:rsidRPr="00E20045" w:rsidR="00983AAC">
        <w:t>(</w:t>
      </w:r>
      <w:hyperlink r:id="rId11" w:history="1">
        <w:r w:rsidRPr="001370A9" w:rsidR="00983AAC">
          <w:rPr>
            <w:rStyle w:val="Hyperlink"/>
          </w:rPr>
          <w:t>https://www.ahrq.gov/sites/default/files/wysiwyg/policymakers/hrqa99.pdf</w:t>
        </w:r>
      </w:hyperlink>
      <w:r w:rsidR="00983AAC">
        <w:t xml:space="preserve"> </w:t>
      </w:r>
      <w:r w:rsidRPr="00E20045" w:rsidR="00983AAC">
        <w:t>),</w:t>
      </w:r>
      <w:r w:rsidR="00983AAC">
        <w:t xml:space="preserve"> </w:t>
      </w:r>
      <w:r>
        <w:t>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2B3186" w:rsidP="00C95998" w14:paraId="030442CC" w14:textId="77777777"/>
    <w:p w:rsidR="002B3186" w:rsidP="001D7384" w14:paraId="5583468D" w14:textId="77777777">
      <w:pPr>
        <w:tabs>
          <w:tab w:val="left" w:pos="360"/>
        </w:tabs>
        <w:ind w:left="720" w:hanging="360"/>
      </w:pPr>
      <w:r>
        <w:t>1.</w:t>
      </w:r>
      <w:r>
        <w:tab/>
        <w:t>research that develops and presents scientific evidence regarding all aspects of health care; and</w:t>
      </w:r>
    </w:p>
    <w:p w:rsidR="002B3186" w:rsidP="001D7384" w14:paraId="28368324" w14:textId="77777777">
      <w:pPr>
        <w:tabs>
          <w:tab w:val="left" w:pos="360"/>
        </w:tabs>
        <w:ind w:left="720" w:hanging="360"/>
      </w:pPr>
      <w:r>
        <w:t>2.</w:t>
      </w:r>
      <w:r>
        <w:tab/>
        <w:t>the synthesis and dissemination of available scientific evidence for use by patients, consumers, practitioners, providers, purchasers, policy makers, and educators; and</w:t>
      </w:r>
    </w:p>
    <w:p w:rsidR="002B3186" w:rsidP="00606400" w14:paraId="4E51C67B" w14:textId="77777777">
      <w:pPr>
        <w:tabs>
          <w:tab w:val="left" w:pos="360"/>
        </w:tabs>
        <w:ind w:left="360"/>
      </w:pPr>
      <w:r>
        <w:t>3.</w:t>
      </w:r>
      <w:r>
        <w:tab/>
        <w:t>initiatives to advance private and public efforts to improve health care quality.</w:t>
      </w:r>
    </w:p>
    <w:p w:rsidR="002B3186" w:rsidP="00C95998" w14:paraId="323844AF" w14:textId="77777777">
      <w:pPr>
        <w:tabs>
          <w:tab w:val="left" w:pos="360"/>
        </w:tabs>
      </w:pPr>
    </w:p>
    <w:p w:rsidR="002B3186" w:rsidP="00B645ED" w14:paraId="33AFCBE9" w14:textId="77777777">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2B3186" w:rsidP="00C95998" w14:paraId="7A2E776B" w14:textId="77777777">
      <w:pPr>
        <w:tabs>
          <w:tab w:val="left" w:pos="360"/>
        </w:tabs>
      </w:pPr>
    </w:p>
    <w:p w:rsidR="002B3186" w:rsidP="0074285C" w14:paraId="63A8328A" w14:textId="764E42A9">
      <w:pPr>
        <w:tabs>
          <w:tab w:val="left" w:pos="360"/>
        </w:tabs>
      </w:pPr>
      <w:r>
        <w:rPr>
          <w:b/>
          <w:bCs/>
        </w:rPr>
        <w:t>Request for information</w:t>
      </w:r>
      <w:r w:rsidRPr="003224B1">
        <w:rPr>
          <w:b/>
          <w:bCs/>
        </w:rPr>
        <w:t xml:space="preserve"> collection approval</w:t>
      </w:r>
      <w:r>
        <w:rPr>
          <w:b/>
          <w:bCs/>
        </w:rPr>
        <w:t xml:space="preserve">. </w:t>
      </w:r>
      <w:r w:rsidRPr="00CB177A">
        <w:t xml:space="preserve">The Agency for Healthcare Research and Quality (AHRQ) requests that the Office of Management and Budget (OMB) </w:t>
      </w:r>
      <w:r w:rsidR="006E2DAB">
        <w:t>re</w:t>
      </w:r>
      <w:r w:rsidRPr="00CB177A">
        <w:t>approve, under the Paperwork Reduction Act of 1995, AHRQ’s</w:t>
      </w:r>
      <w:r>
        <w:t xml:space="preserve"> collection of information for the AHRQ </w:t>
      </w:r>
      <w:r w:rsidRPr="00AA3256">
        <w:t xml:space="preserve">Consumer Assessment of Healthcare Providers and Systems (CAHPS) </w:t>
      </w:r>
      <w:r>
        <w:t xml:space="preserve">Database </w:t>
      </w:r>
      <w:r w:rsidRPr="00E249F3">
        <w:t>for Health Plans</w:t>
      </w:r>
      <w:r w:rsidRPr="00E249F3" w:rsidR="006E2DAB">
        <w:t xml:space="preserve">: OMB Control number 0935-0165, expiration </w:t>
      </w:r>
      <w:r w:rsidR="00400B67">
        <w:t>November 30, 2023</w:t>
      </w:r>
      <w:r>
        <w:t xml:space="preserve">. The CAHPS Health Plan Database consists of data from the AHRQ CAHPS Health Plan Survey. Health plans in the U.S. are asked to submit data </w:t>
      </w:r>
      <w:r w:rsidR="00E3383F">
        <w:t xml:space="preserve">voluntarily </w:t>
      </w:r>
      <w:r>
        <w:t>from the survey to AHRQ, through its contractor, Westat. The CAHPS Database was developed by AHRQ in 1998 in response to requests from health plans, purchasers, the Centers for Medicare and Medicaid Services (CMS) to provide comparative data to support public reporting of health plan ratings, health plan accreditation and quality improvement.</w:t>
      </w:r>
    </w:p>
    <w:p w:rsidR="00AF2628" w:rsidP="00AF2628" w14:paraId="46A7BCE9" w14:textId="77777777"/>
    <w:p w:rsidR="002B3186" w14:paraId="0D60C476" w14:textId="03234C36">
      <w:pPr>
        <w:tabs>
          <w:tab w:val="left" w:pos="360"/>
        </w:tabs>
      </w:pPr>
      <w:r w:rsidRPr="005534F6">
        <w:rPr>
          <w:b/>
          <w:bCs/>
        </w:rPr>
        <w:t xml:space="preserve">Background on the CAHPS Health Plan Survey. </w:t>
      </w:r>
      <w:r w:rsidRPr="005534F6">
        <w:t xml:space="preserve">The CAHPS Health Plan Survey is a tool for collecting standardized information on enrollees’ experiences with health plans and their services. The development of the CAHPS Health Plan Survey began in 1995, when AHRQ awarded the first set of CAHPS grants to Harvard, RTI, and RAND. In 1997 the CAHPS 1.0 survey was released by the CAHPS Consortium. The CAHPS Consortium refers to the research organizations involved in the development, </w:t>
      </w:r>
      <w:r w:rsidRPr="005534F6">
        <w:t>dissemination, and support of CAHPS products. The current Consortium includes AHRQ, RAND, Yale School of Public Health, and Westat.</w:t>
      </w:r>
      <w:r>
        <w:t xml:space="preserve"> </w:t>
      </w:r>
    </w:p>
    <w:p w:rsidR="002B3186" w14:paraId="545D8F86" w14:textId="77777777">
      <w:pPr>
        <w:tabs>
          <w:tab w:val="left" w:pos="360"/>
        </w:tabs>
      </w:pPr>
    </w:p>
    <w:p w:rsidR="002B3186" w14:paraId="2457EB69" w14:textId="2E7FC019">
      <w:pPr>
        <w:tabs>
          <w:tab w:val="left" w:pos="360"/>
        </w:tabs>
      </w:pPr>
      <w:r w:rsidRPr="00BF38FF">
        <w:t>Since that time, the Consortium has</w:t>
      </w:r>
      <w:r w:rsidRPr="00BF38FF" w:rsidR="00123F9F">
        <w:t xml:space="preserve"> refined</w:t>
      </w:r>
      <w:r w:rsidRPr="00BF38FF">
        <w:t xml:space="preserve"> and updated the survey instrument to reflect field feedback from industry experts; reports from health plan participants, data collection vendors, and other users; evidence from cognitive testing and focus groups</w:t>
      </w:r>
      <w:r w:rsidRPr="00BF38FF" w:rsidR="00123F9F">
        <w:t>; and extensive psychometric data analysis</w:t>
      </w:r>
      <w:r w:rsidRPr="00BF38FF">
        <w:t xml:space="preserve">. </w:t>
      </w:r>
      <w:r w:rsidRPr="00BF38FF" w:rsidR="00123F9F">
        <w:t xml:space="preserve">Version 5.0 of the Health Plan Survey was released in 2012. </w:t>
      </w:r>
      <w:r w:rsidRPr="00BF38FF">
        <w:t xml:space="preserve">The development of this update to the Health Plan Survey has been part of the "Ambulatory CAHPS (A-CAHPS) Initiative," which arose as a result of extensive research conducted with users. AHRQ released the CAHPS Health Plan Survey </w:t>
      </w:r>
      <w:r w:rsidRPr="00BF38FF" w:rsidR="00123F9F">
        <w:t>5</w:t>
      </w:r>
      <w:r w:rsidRPr="00BF38FF">
        <w:t xml:space="preserve">.0, along with guidance on how to customize and administer it. The National Quality Forum endorsed the </w:t>
      </w:r>
      <w:r w:rsidRPr="00BF38FF" w:rsidR="00123F9F">
        <w:t>5</w:t>
      </w:r>
      <w:r w:rsidRPr="00BF38FF">
        <w:t>.0 version of the Health Plan Survey in 20</w:t>
      </w:r>
      <w:r w:rsidRPr="00BF38FF" w:rsidR="00123F9F">
        <w:t>15</w:t>
      </w:r>
      <w:r w:rsidRPr="00BF38FF">
        <w:t>.</w:t>
      </w:r>
      <w:r w:rsidR="002F5B64">
        <w:t xml:space="preserve"> Version 5.1 was released in 2020 </w:t>
      </w:r>
      <w:r w:rsidRPr="002F5B64" w:rsidR="002F5B64">
        <w:t>to acknowledge the various ways in which enrollees may receive care: in person, by phone, or by video.</w:t>
      </w:r>
    </w:p>
    <w:p w:rsidR="002B3186" w:rsidP="00C95998" w14:paraId="5BEEEBEA" w14:textId="77777777">
      <w:pPr>
        <w:tabs>
          <w:tab w:val="left" w:pos="360"/>
        </w:tabs>
      </w:pPr>
    </w:p>
    <w:p w:rsidR="002B3186" w:rsidP="004009E4" w14:paraId="77DD68DD" w14:textId="0D465E18">
      <w:pPr>
        <w:tabs>
          <w:tab w:val="left" w:pos="360"/>
        </w:tabs>
      </w:pPr>
      <w:r>
        <w:rPr>
          <w:b/>
          <w:bCs/>
        </w:rPr>
        <w:t>Rationale for the information collection</w:t>
      </w:r>
      <w:r w:rsidRPr="00FD42D7">
        <w:rPr>
          <w:b/>
          <w:bCs/>
        </w:rPr>
        <w:t xml:space="preserve">. </w:t>
      </w:r>
      <w:r w:rsidRPr="00FD42D7">
        <w:t xml:space="preserve">The CAHPS Health Plan Database uses data from AHRQ’s standardized CAHPS </w:t>
      </w:r>
      <w:r>
        <w:t xml:space="preserve">Health plan </w:t>
      </w:r>
      <w:r w:rsidRPr="00FD42D7">
        <w:t>survey to provide results to health care purchasers, consumers, regulators and policy makers across the country. The Database also provides data for AHRQ’s annual National Healthcare Quality and Disparities Reports.</w:t>
      </w:r>
      <w:r>
        <w:t xml:space="preserve"> </w:t>
      </w:r>
      <w:r w:rsidRPr="0074285C">
        <w:t xml:space="preserve">Voluntary participants include public and private employers, State Medicaid agencies, Children's Health Insurance Programs (CHIP), the Centers for Medicare &amp; Medicaid Services (CMS), </w:t>
      </w:r>
      <w:r>
        <w:t xml:space="preserve">and </w:t>
      </w:r>
      <w:r w:rsidRPr="0074285C">
        <w:t>individual health plans.</w:t>
      </w:r>
    </w:p>
    <w:p w:rsidR="00272221" w:rsidP="004009E4" w14:paraId="443BCC2A" w14:textId="403B3419">
      <w:pPr>
        <w:tabs>
          <w:tab w:val="left" w:pos="360"/>
        </w:tabs>
      </w:pPr>
    </w:p>
    <w:p w:rsidR="00272221" w:rsidP="00272221" w14:paraId="29599345" w14:textId="77777777">
      <w:r>
        <w:t>This research has the following goals:</w:t>
      </w:r>
    </w:p>
    <w:p w:rsidR="00272221" w:rsidP="00272221" w14:paraId="6C7374FD" w14:textId="257C2242">
      <w:pPr>
        <w:tabs>
          <w:tab w:val="left" w:pos="360"/>
        </w:tabs>
        <w:ind w:left="360" w:hanging="360"/>
      </w:pPr>
      <w:r>
        <w:t>1)</w:t>
      </w:r>
      <w:r>
        <w:tab/>
        <w:t>To maintain the CAHPS Health Plan database using data from AHRQ’s standardized CAHPS Health Plan survey to provide results to health care purchasers, consumers, regulators and policy makers across the country.</w:t>
      </w:r>
    </w:p>
    <w:p w:rsidR="00272221" w:rsidP="00272221" w14:paraId="245BED39" w14:textId="5F9486CC">
      <w:pPr>
        <w:tabs>
          <w:tab w:val="left" w:pos="360"/>
        </w:tabs>
        <w:ind w:left="360" w:hanging="360"/>
      </w:pPr>
      <w:r>
        <w:t>2)</w:t>
      </w:r>
      <w:r>
        <w:tab/>
        <w:t xml:space="preserve">To offer several products and services, including </w:t>
      </w:r>
      <w:r w:rsidR="004A23E8">
        <w:t xml:space="preserve">aggregated </w:t>
      </w:r>
      <w:r>
        <w:t xml:space="preserve">results presented through </w:t>
      </w:r>
      <w:r w:rsidR="00351A13">
        <w:t>the AHRQ Data Tools</w:t>
      </w:r>
      <w:r>
        <w:t>, summary chartbooks, custom analyses, and data for research purposes.</w:t>
      </w:r>
    </w:p>
    <w:p w:rsidR="00272221" w:rsidP="00272221" w14:paraId="75A858FA" w14:textId="77777777">
      <w:pPr>
        <w:tabs>
          <w:tab w:val="left" w:pos="360"/>
        </w:tabs>
        <w:ind w:left="360" w:hanging="360"/>
      </w:pPr>
      <w:r>
        <w:t>3)</w:t>
      </w:r>
      <w:r>
        <w:tab/>
        <w:t>To provide data for AHRQ’s annual National Healthcare Quality and Disparities Report.</w:t>
      </w:r>
    </w:p>
    <w:p w:rsidR="00272221" w:rsidRPr="00527BBD" w:rsidP="00272221" w14:paraId="566A74A4" w14:textId="4D5EB4BB">
      <w:pPr>
        <w:tabs>
          <w:tab w:val="left" w:pos="360"/>
        </w:tabs>
        <w:ind w:left="360" w:hanging="360"/>
      </w:pPr>
      <w:r>
        <w:t>4)  To provide state-level data to CMS for public reporting on Medicaid.gov and Data.Medicaid.gov that does not display the name of the health plans.</w:t>
      </w:r>
    </w:p>
    <w:p w:rsidR="00841107" w:rsidP="004009E4" w14:paraId="040CE5F8" w14:textId="77777777">
      <w:pPr>
        <w:tabs>
          <w:tab w:val="left" w:pos="360"/>
        </w:tabs>
      </w:pPr>
    </w:p>
    <w:p w:rsidR="00841107" w:rsidRPr="00C65AF8" w:rsidP="00841107" w14:paraId="7DDEFBFC" w14:textId="77777777">
      <w:r>
        <w:t xml:space="preserve">Each year </w:t>
      </w:r>
      <w:r w:rsidRPr="008855AB">
        <w:t>State Medicaid agencies, and individual health plans</w:t>
      </w:r>
      <w:r>
        <w:t xml:space="preserve"> decide whether to participate in the database and prepare their materials and dataset for submission to the CAHPS Health Plan Database</w:t>
      </w:r>
      <w:r w:rsidRPr="00C65AF8">
        <w:t xml:space="preserve">. Participating organizations are typically </w:t>
      </w:r>
      <w:r>
        <w:t>State</w:t>
      </w:r>
      <w:r w:rsidRPr="00C65AF8">
        <w:t xml:space="preserve"> Medicaid agencies with multiple health plans.</w:t>
      </w:r>
      <w:r>
        <w:t xml:space="preserve"> </w:t>
      </w:r>
      <w:r w:rsidRPr="00C65AF8">
        <w:t xml:space="preserve">However, individual health plans are also encouraged to submit their data to the </w:t>
      </w:r>
      <w:r>
        <w:t xml:space="preserve">CAHPS </w:t>
      </w:r>
      <w:r w:rsidRPr="00C65AF8">
        <w:t>Database.</w:t>
      </w:r>
      <w:r>
        <w:t xml:space="preserve"> </w:t>
      </w:r>
      <w:r w:rsidRPr="00C65AF8">
        <w:t>The number of data submissions per registrant varies from participant to participant and year to year because some participants submit data for multiple health plans</w:t>
      </w:r>
      <w:r>
        <w:t>,</w:t>
      </w:r>
      <w:r w:rsidRPr="00C65AF8">
        <w:t xml:space="preserve"> while others may only submit survey data for one plan</w:t>
      </w:r>
      <w:r>
        <w:t>.</w:t>
      </w:r>
    </w:p>
    <w:p w:rsidR="00841107" w:rsidP="00841107" w14:paraId="6E75E8C8" w14:textId="77777777"/>
    <w:p w:rsidR="00841107" w:rsidRPr="00C65AF8" w:rsidP="00841107" w14:paraId="3C7032C6" w14:textId="77777777">
      <w:r w:rsidRPr="00C65AF8">
        <w:t>Each organization that decides to participate in the database must</w:t>
      </w:r>
      <w:r>
        <w:t xml:space="preserve"> have their</w:t>
      </w:r>
      <w:r w:rsidR="00D77791">
        <w:t xml:space="preserve"> point-of-</w:t>
      </w:r>
      <w:r>
        <w:t>contact (POC)</w:t>
      </w:r>
      <w:r w:rsidRPr="00C65AF8">
        <w:t xml:space="preserve"> complete a registration form providing their contact information for access to the online </w:t>
      </w:r>
      <w:r>
        <w:t xml:space="preserve">data submission </w:t>
      </w:r>
      <w:r w:rsidRPr="00C65AF8">
        <w:t xml:space="preserve">system, sign and submit a </w:t>
      </w:r>
      <w:r>
        <w:t>DUA,</w:t>
      </w:r>
      <w:r w:rsidRPr="00C65AF8">
        <w:t xml:space="preserve"> and </w:t>
      </w:r>
      <w:r>
        <w:t>provide</w:t>
      </w:r>
      <w:r w:rsidRPr="00C65AF8">
        <w:t xml:space="preserve"> health plan </w:t>
      </w:r>
      <w:r w:rsidRPr="00C65AF8">
        <w:t xml:space="preserve">characteristics </w:t>
      </w:r>
      <w:r>
        <w:t xml:space="preserve">such as </w:t>
      </w:r>
      <w:r w:rsidRPr="00C65AF8">
        <w:t xml:space="preserve">health plan name, product type, type of population surveyed, health plan state, </w:t>
      </w:r>
      <w:r>
        <w:t xml:space="preserve">and </w:t>
      </w:r>
      <w:r w:rsidRPr="00C65AF8">
        <w:t>plan name to appear in the reporting of their results</w:t>
      </w:r>
      <w:r>
        <w:t>.</w:t>
      </w:r>
    </w:p>
    <w:p w:rsidR="00841107" w:rsidP="00841107" w14:paraId="3758A1FC" w14:textId="77777777"/>
    <w:p w:rsidR="00841107" w:rsidP="00841107" w14:paraId="5E4B0208" w14:textId="77777777">
      <w:pPr>
        <w:tabs>
          <w:tab w:val="left" w:pos="360"/>
        </w:tabs>
      </w:pPr>
      <w:r w:rsidRPr="00C65AF8">
        <w:t>Each vendor that submits files on behalf of a Medicaid agency or individual health plan must also complete the registration form in order to obtain access to the online submission system.</w:t>
      </w:r>
      <w:r>
        <w:t xml:space="preserve"> </w:t>
      </w:r>
      <w:r w:rsidRPr="00CD765C">
        <w:t>The vendor, on behalf of their client, may also complete additional information about survey administration</w:t>
      </w:r>
      <w:r w:rsidR="00CD765C">
        <w:t xml:space="preserve">, </w:t>
      </w:r>
      <w:r w:rsidRPr="00C65AF8">
        <w:t xml:space="preserve">submit a copy of </w:t>
      </w:r>
      <w:r>
        <w:t xml:space="preserve">the </w:t>
      </w:r>
      <w:r w:rsidRPr="00C65AF8">
        <w:t>questionnaire used</w:t>
      </w:r>
      <w:r>
        <w:t>,</w:t>
      </w:r>
      <w:r w:rsidRPr="00C65AF8">
        <w:t xml:space="preserve"> and submit one data file per health plan.</w:t>
      </w:r>
      <w:r w:rsidR="00846F79">
        <w:t xml:space="preserve"> Medicare health plan data are</w:t>
      </w:r>
      <w:r>
        <w:t xml:space="preserve"> received from CMS.</w:t>
      </w:r>
    </w:p>
    <w:p w:rsidR="002B3186" w:rsidP="004009E4" w14:paraId="7E99E3AA" w14:textId="60043645">
      <w:pPr>
        <w:tabs>
          <w:tab w:val="left" w:pos="360"/>
        </w:tabs>
        <w:rPr>
          <w:bCs/>
        </w:rPr>
      </w:pPr>
      <w:r>
        <w:rPr>
          <w:bCs/>
        </w:rPr>
        <w:t xml:space="preserve">The collection of information for the CAHPS </w:t>
      </w:r>
      <w:r w:rsidR="00056B22">
        <w:rPr>
          <w:bCs/>
        </w:rPr>
        <w:t xml:space="preserve">Health Plan </w:t>
      </w:r>
      <w:r>
        <w:rPr>
          <w:bCs/>
        </w:rPr>
        <w:t>Database is being conducted pursuant to AHRQ’s statutory authority to conduct and support research on health care and systems for the delivery of such care, including activities with respect to the quality, effectiveness, efficiency, appropriateness and value of health care services</w:t>
      </w:r>
      <w:r w:rsidR="00EF3BBB">
        <w:rPr>
          <w:bCs/>
        </w:rPr>
        <w:t xml:space="preserve">. </w:t>
      </w:r>
      <w:r>
        <w:rPr>
          <w:bCs/>
        </w:rPr>
        <w:t>See 42 U.S.C. 299a(a)(1).</w:t>
      </w:r>
    </w:p>
    <w:p w:rsidR="00272221" w:rsidP="004009E4" w14:paraId="6DFE6E93" w14:textId="5F0FCB63">
      <w:pPr>
        <w:tabs>
          <w:tab w:val="left" w:pos="360"/>
        </w:tabs>
        <w:rPr>
          <w:b/>
          <w:bCs/>
        </w:rPr>
      </w:pPr>
    </w:p>
    <w:p w:rsidR="00272221" w:rsidP="004009E4" w14:paraId="51EFD4B9" w14:textId="5275E517">
      <w:pPr>
        <w:tabs>
          <w:tab w:val="left" w:pos="360"/>
        </w:tabs>
        <w:rPr>
          <w:b/>
          <w:bCs/>
        </w:rPr>
      </w:pPr>
    </w:p>
    <w:p w:rsidR="0024167C" w:rsidP="008F6302" w14:paraId="332798A2" w14:textId="254EBB23">
      <w:bookmarkStart w:id="6" w:name="_Hlk136590268"/>
      <w:r>
        <w:t>To achieve the goals of this project the following</w:t>
      </w:r>
      <w:r w:rsidR="00885CB0">
        <w:t xml:space="preserve"> activities and </w:t>
      </w:r>
      <w:r>
        <w:t>data collections will be implemented</w:t>
      </w:r>
      <w:r w:rsidR="0099091F">
        <w:t>:</w:t>
      </w:r>
    </w:p>
    <w:p w:rsidR="0099091F" w:rsidP="008F6302" w14:paraId="586DF07A" w14:textId="77777777"/>
    <w:p w:rsidR="0024167C" w:rsidP="008F6302" w14:paraId="205E4077" w14:textId="56D246F8">
      <w:pPr>
        <w:pStyle w:val="ListParagraph"/>
        <w:numPr>
          <w:ilvl w:val="0"/>
          <w:numId w:val="53"/>
        </w:numPr>
      </w:pPr>
      <w:r>
        <w:t xml:space="preserve">Registration Form - </w:t>
      </w:r>
      <w:r w:rsidRPr="0024167C">
        <w:t xml:space="preserve">The point-of-contact (POC), often the sponsor from Medicaid agencies and health plans, completes </w:t>
      </w:r>
      <w:r w:rsidRPr="0024167C">
        <w:t>a number of</w:t>
      </w:r>
      <w:r w:rsidRPr="0024167C">
        <w:t xml:space="preserve"> data submission steps and forms, beginning with the completion of the online registration form (see Attachment C).  The purpose of this form is to collect basic contact information about the organization and initiate the registration process.</w:t>
      </w:r>
    </w:p>
    <w:p w:rsidR="008F6302" w:rsidP="008F6302" w14:paraId="5BF96B56" w14:textId="77777777">
      <w:pPr>
        <w:pStyle w:val="ListParagraph"/>
        <w:ind w:left="1080"/>
      </w:pPr>
    </w:p>
    <w:p w:rsidR="008F6302" w:rsidP="008F6302" w14:paraId="2CDE3C48" w14:textId="4C12CE75">
      <w:pPr>
        <w:pStyle w:val="ListParagraph"/>
        <w:numPr>
          <w:ilvl w:val="0"/>
          <w:numId w:val="53"/>
        </w:numPr>
      </w:pPr>
      <w:r>
        <w:t xml:space="preserve">Health Plan Information Form - </w:t>
      </w:r>
      <w:r w:rsidRPr="008F6302">
        <w:t>The purpose of this form, completed by the participating sponsor organization, is to collect background characteristics of the health plan</w:t>
      </w:r>
      <w:r w:rsidR="004C1C67">
        <w:t xml:space="preserve">, </w:t>
      </w:r>
      <w:r w:rsidR="004C1C67">
        <w:rPr>
          <w:szCs w:val="22"/>
        </w:rPr>
        <w:t>such</w:t>
      </w:r>
      <w:r w:rsidRPr="002967C5" w:rsidR="004C1C67">
        <w:rPr>
          <w:szCs w:val="22"/>
        </w:rPr>
        <w:t xml:space="preserve"> as the name of the plan, </w:t>
      </w:r>
      <w:r w:rsidR="004C1C67">
        <w:rPr>
          <w:szCs w:val="22"/>
        </w:rPr>
        <w:t xml:space="preserve">the </w:t>
      </w:r>
      <w:r w:rsidRPr="002967C5" w:rsidR="004C1C67">
        <w:rPr>
          <w:szCs w:val="22"/>
        </w:rPr>
        <w:t>product type (e.g., HMO, PPO), the population surveyed (e.g., adult Medicaid</w:t>
      </w:r>
      <w:r w:rsidR="004C1C67">
        <w:rPr>
          <w:szCs w:val="22"/>
        </w:rPr>
        <w:t xml:space="preserve"> or child Medicaid)</w:t>
      </w:r>
      <w:r w:rsidRPr="002967C5" w:rsidR="004C1C67">
        <w:rPr>
          <w:szCs w:val="22"/>
        </w:rPr>
        <w:t xml:space="preserve">. </w:t>
      </w:r>
      <w:r w:rsidR="004C1C67">
        <w:rPr>
          <w:szCs w:val="22"/>
        </w:rPr>
        <w:t>Each year, the prior year’s plan data are preloaded in the plan table to lessen burden on the Sponsor. The Sponsor is responsible for updating the plan table to reflect the current year’s plan information.</w:t>
      </w:r>
      <w:r w:rsidR="0099091F">
        <w:t xml:space="preserve"> (</w:t>
      </w:r>
      <w:r w:rsidR="004C1C67">
        <w:t>see</w:t>
      </w:r>
      <w:r w:rsidR="004C1C67">
        <w:t xml:space="preserve"> </w:t>
      </w:r>
      <w:r w:rsidR="0099091F">
        <w:t>Attachment D)</w:t>
      </w:r>
      <w:r w:rsidRPr="008F6302">
        <w:t>.</w:t>
      </w:r>
    </w:p>
    <w:p w:rsidR="008F6302" w:rsidP="00DF50F2" w14:paraId="4E3A7A2F" w14:textId="77777777">
      <w:pPr>
        <w:pStyle w:val="ListParagraph"/>
      </w:pPr>
    </w:p>
    <w:p w:rsidR="008F6302" w:rsidP="008F6302" w14:paraId="346CD52A" w14:textId="4BDEF6B6">
      <w:pPr>
        <w:pStyle w:val="ListParagraph"/>
        <w:numPr>
          <w:ilvl w:val="0"/>
          <w:numId w:val="53"/>
        </w:numPr>
      </w:pPr>
      <w:r>
        <w:t>Data Use Agreement</w:t>
      </w:r>
      <w:r w:rsidR="00DF50F2">
        <w:t xml:space="preserve"> - </w:t>
      </w:r>
      <w:r w:rsidRPr="00DF50F2" w:rsidR="00DF50F2">
        <w:t>The purpose of the data use agreement, completed by the participating sponsor organization, is to state how data submitted by health plans will be used and provide confidentiality assurances</w:t>
      </w:r>
      <w:r w:rsidR="004C1C67">
        <w:t xml:space="preserve"> (see Attachment B)</w:t>
      </w:r>
      <w:r w:rsidRPr="00DF50F2" w:rsidR="00DF50F2">
        <w:t>.</w:t>
      </w:r>
    </w:p>
    <w:p w:rsidR="00DF50F2" w:rsidP="00DF50F2" w14:paraId="57A82392" w14:textId="77777777">
      <w:pPr>
        <w:pStyle w:val="ListParagraph"/>
      </w:pPr>
    </w:p>
    <w:p w:rsidR="00DF50F2" w:rsidP="008F6302" w14:paraId="481B3AB6" w14:textId="4DDB66F2">
      <w:pPr>
        <w:pStyle w:val="ListParagraph"/>
        <w:numPr>
          <w:ilvl w:val="0"/>
          <w:numId w:val="53"/>
        </w:numPr>
      </w:pPr>
      <w:r>
        <w:t xml:space="preserve">Data Files Submission - </w:t>
      </w:r>
      <w:r w:rsidRPr="00DF50F2">
        <w:t>POCs upload their data file using the Health Plan data file specifications to ensure that users submit standardized and consistent data in the way variables are named, coded, and formatted</w:t>
      </w:r>
      <w:r w:rsidR="004C1C67">
        <w:t xml:space="preserve"> (see Attachment E)</w:t>
      </w:r>
      <w:r w:rsidRPr="00DF50F2">
        <w:t>.</w:t>
      </w:r>
      <w:r w:rsidR="005C5414">
        <w:t xml:space="preserve">  </w:t>
      </w:r>
      <w:r w:rsidRPr="00E10A3B" w:rsidR="005C5414">
        <w:rPr>
          <w:szCs w:val="22"/>
        </w:rPr>
        <w:t>Each submitter will provide a</w:t>
      </w:r>
      <w:r w:rsidRPr="00C50620" w:rsidR="005C5414">
        <w:t xml:space="preserve"> copy of their questionnaire and </w:t>
      </w:r>
      <w:r w:rsidR="005C5414">
        <w:t xml:space="preserve">the survey data file </w:t>
      </w:r>
      <w:r w:rsidRPr="00C50620" w:rsidR="005C5414">
        <w:t xml:space="preserve">in </w:t>
      </w:r>
      <w:r w:rsidR="005C5414">
        <w:t xml:space="preserve">the required file </w:t>
      </w:r>
      <w:r w:rsidRPr="00C50620" w:rsidR="005C5414">
        <w:t>format</w:t>
      </w:r>
      <w:r w:rsidR="005C5414">
        <w:t>.</w:t>
      </w:r>
      <w:r w:rsidRPr="00C50620" w:rsidR="005C5414">
        <w:t xml:space="preserve"> </w:t>
      </w:r>
      <w:r w:rsidR="005C5414">
        <w:t>Survey data files must conform to the data file l</w:t>
      </w:r>
      <w:r w:rsidRPr="00C50620" w:rsidR="005C5414">
        <w:t xml:space="preserve">ayout </w:t>
      </w:r>
      <w:r w:rsidR="005C5414">
        <w:t>s</w:t>
      </w:r>
      <w:r w:rsidRPr="00C50620" w:rsidR="005C5414">
        <w:t>pecifications provide</w:t>
      </w:r>
      <w:r w:rsidR="005C5414">
        <w:t>d</w:t>
      </w:r>
      <w:r w:rsidRPr="00C50620" w:rsidR="005C5414">
        <w:t xml:space="preserve"> by the CAHPS Database. </w:t>
      </w:r>
      <w:r w:rsidR="005C5414">
        <w:t>Submitter</w:t>
      </w:r>
      <w:r w:rsidRPr="00C50620" w:rsidR="005C5414">
        <w:t xml:space="preserve">s </w:t>
      </w:r>
      <w:r w:rsidR="005C5414">
        <w:t>will</w:t>
      </w:r>
      <w:r w:rsidRPr="00C50620" w:rsidR="005C5414">
        <w:t xml:space="preserve"> upload one data file per health plan.</w:t>
      </w:r>
      <w:r w:rsidRPr="00C50620" w:rsidR="005C5414">
        <w:rPr>
          <w:color w:val="000000"/>
        </w:rPr>
        <w:t xml:space="preserve"> </w:t>
      </w:r>
      <w:r w:rsidRPr="00C50620" w:rsidR="005C5414">
        <w:t xml:space="preserve">Once a data file is </w:t>
      </w:r>
      <w:r w:rsidRPr="00E10A3B" w:rsidR="005C5414">
        <w:t xml:space="preserve">uploaded the file will be checked </w:t>
      </w:r>
      <w:r w:rsidR="005C5414">
        <w:t xml:space="preserve">automatically </w:t>
      </w:r>
      <w:r w:rsidRPr="00E10A3B" w:rsidR="005C5414">
        <w:t xml:space="preserve">to ensure it conforms to the specifications and a data file status report will be produced and made available to the submitter. Submitters will review each report and will be expected to fix any errors in their data file and resubmit if </w:t>
      </w:r>
      <w:r w:rsidRPr="00542F56" w:rsidR="005C5414">
        <w:t>necessary</w:t>
      </w:r>
      <w:r w:rsidR="005C5414">
        <w:t>.</w:t>
      </w:r>
    </w:p>
    <w:p w:rsidR="00885CB0" w:rsidP="00272221" w14:paraId="34AF9F14" w14:textId="5E739910"/>
    <w:p w:rsidR="002B3186" w:rsidRPr="00C22AC4" w:rsidP="00C22AC4" w14:paraId="70BFED23" w14:textId="77777777">
      <w:pPr>
        <w:pStyle w:val="Heading2"/>
        <w:rPr>
          <w:sz w:val="24"/>
          <w:szCs w:val="24"/>
        </w:rPr>
      </w:pPr>
      <w:bookmarkStart w:id="7" w:name="_Toc151782177"/>
      <w:bookmarkStart w:id="8" w:name="_Toc158526217"/>
      <w:bookmarkStart w:id="9" w:name="_Toc132023563"/>
      <w:bookmarkEnd w:id="6"/>
      <w:r w:rsidRPr="00C22AC4">
        <w:rPr>
          <w:sz w:val="24"/>
          <w:szCs w:val="24"/>
        </w:rPr>
        <w:t>2. Purpose and Use of Information</w:t>
      </w:r>
      <w:bookmarkEnd w:id="7"/>
      <w:bookmarkEnd w:id="8"/>
      <w:bookmarkEnd w:id="9"/>
    </w:p>
    <w:p w:rsidR="002B3186" w:rsidP="00733B1F" w14:paraId="0DF945A3" w14:textId="03265704">
      <w:r>
        <w:t xml:space="preserve">Survey data from the CAHPS Health Plan Database is used to produce four types of products: 1) an annual chartbook available to the public on the </w:t>
      </w:r>
      <w:r w:rsidR="007C11F6">
        <w:t xml:space="preserve">AHRQ </w:t>
      </w:r>
      <w:r>
        <w:t>CAHPS web site</w:t>
      </w:r>
      <w:r w:rsidR="009F7059">
        <w:t xml:space="preserve"> (</w:t>
      </w:r>
      <w:r w:rsidRPr="007C11F6" w:rsidR="007C11F6">
        <w:t xml:space="preserve"> </w:t>
      </w:r>
      <w:hyperlink r:id="rId12" w:history="1">
        <w:r w:rsidRPr="0006394F" w:rsidR="007A5441">
          <w:rPr>
            <w:rStyle w:val="Hyperlink"/>
          </w:rPr>
          <w:t>https://www.ahrq.gov/sites/default/files/wysiwyg/cahps/cahps-database/2022-hp-chartbook.pdf</w:t>
        </w:r>
      </w:hyperlink>
      <w:r w:rsidR="007A5441">
        <w:rPr>
          <w:rStyle w:val="Hyperlink"/>
        </w:rPr>
        <w:t xml:space="preserve"> </w:t>
      </w:r>
      <w:r w:rsidR="009F7059">
        <w:t>)</w:t>
      </w:r>
      <w:r>
        <w:t>; 2) individual participant reports that are confidential and customized for each participating organization (e.g., health plan, Medicaid agency) that submits their data; 3) a research database available to researchers wanting to conduct additional analyses; and 4) data tables provided to AHRQ for inclusion in the National Healthcare Quality and Disparities Reports.</w:t>
      </w:r>
    </w:p>
    <w:p w:rsidR="002B3186" w:rsidP="00C95998" w14:paraId="2EF143AD" w14:textId="77777777"/>
    <w:p w:rsidR="001D2B9D" w:rsidP="0074285C" w14:paraId="78BE05EE" w14:textId="18F72472">
      <w:r>
        <w:t xml:space="preserve">Information for the CAHPS Health Plan Database has been collected by AHRQ through its contractor Westat, on an annual basis since 1998. Health plans </w:t>
      </w:r>
      <w:r w:rsidR="00292894">
        <w:t>and State Medicai</w:t>
      </w:r>
      <w:r w:rsidR="00C260B2">
        <w:t xml:space="preserve">d agencies </w:t>
      </w:r>
      <w:r>
        <w:t>are asked to submit their data</w:t>
      </w:r>
      <w:r w:rsidR="00E3383F">
        <w:t xml:space="preserve"> voluntarily</w:t>
      </w:r>
      <w:r>
        <w:t xml:space="preserve"> to the comparative database in June</w:t>
      </w:r>
      <w:r w:rsidR="00292894">
        <w:t>/July</w:t>
      </w:r>
      <w:r>
        <w:t xml:space="preserve"> of each year.</w:t>
      </w:r>
    </w:p>
    <w:p w:rsidR="00BF38FF" w:rsidP="0074285C" w14:paraId="2CF6839B" w14:textId="77777777"/>
    <w:p w:rsidR="002B3186" w:rsidP="0074285C" w14:paraId="0823ACCD" w14:textId="1DFF7B6A">
      <w:r>
        <w:t>Once data are submitted t</w:t>
      </w:r>
      <w:r>
        <w:t xml:space="preserve">he data are cleaned with standardized programs, then aggregated and used to produce results for Medicaid (adult and child), and Medicare (adult) populations for the two most recent years. In addition, individual participant reports are produced that </w:t>
      </w:r>
      <w:r w:rsidR="00DD7555">
        <w:t>contain</w:t>
      </w:r>
      <w:r>
        <w:t xml:space="preserve"> the participating organizations’ own results compared to appropriate comparisons derived from the </w:t>
      </w:r>
      <w:r w:rsidR="00E115A5">
        <w:t>overall database</w:t>
      </w:r>
      <w:r w:rsidR="00DD7555">
        <w:t>.</w:t>
      </w:r>
      <w:r>
        <w:t xml:space="preserve"> </w:t>
      </w:r>
    </w:p>
    <w:p w:rsidR="002B3186" w:rsidP="00C95998" w14:paraId="5BA8DFA1" w14:textId="77777777"/>
    <w:p w:rsidR="00EF3BBB" w:rsidP="0074285C" w14:paraId="7898154D" w14:textId="3CD37348">
      <w:r w:rsidRPr="005534F6">
        <w:t xml:space="preserve">The CAHPS Health Plan Database receives </w:t>
      </w:r>
      <w:r>
        <w:t xml:space="preserve">the </w:t>
      </w:r>
      <w:r w:rsidR="00CD765C">
        <w:t>data from two</w:t>
      </w:r>
      <w:r w:rsidRPr="005534F6">
        <w:t xml:space="preserve"> sources: </w:t>
      </w:r>
      <w:r w:rsidR="007D1DA8">
        <w:t>1</w:t>
      </w:r>
      <w:r w:rsidR="00846F79">
        <w:t>) Medicare data are</w:t>
      </w:r>
      <w:r w:rsidRPr="005534F6">
        <w:t xml:space="preserve"> provided by the Centers for Medicare and Medicaid Services (CMS) through an agency </w:t>
      </w:r>
      <w:r>
        <w:t>D</w:t>
      </w:r>
      <w:r w:rsidRPr="005534F6">
        <w:t xml:space="preserve">ata </w:t>
      </w:r>
      <w:r>
        <w:t>Use</w:t>
      </w:r>
      <w:r w:rsidRPr="005534F6">
        <w:t xml:space="preserve"> </w:t>
      </w:r>
      <w:r>
        <w:t>A</w:t>
      </w:r>
      <w:r w:rsidRPr="005534F6">
        <w:t>greement</w:t>
      </w:r>
      <w:r>
        <w:t xml:space="preserve">. </w:t>
      </w:r>
      <w:r w:rsidR="00846F79">
        <w:t>The Medicare data are</w:t>
      </w:r>
      <w:r w:rsidRPr="005534F6">
        <w:t xml:space="preserve"> collected by CMS and their contractor </w:t>
      </w:r>
      <w:r w:rsidRPr="000B1B3A">
        <w:t xml:space="preserve">from beneficiaries who were enrolled in a managed care health </w:t>
      </w:r>
      <w:r w:rsidRPr="000B1B3A" w:rsidR="00982E85">
        <w:t>plan</w:t>
      </w:r>
      <w:r w:rsidRPr="005534F6">
        <w:t xml:space="preserve"> and </w:t>
      </w:r>
      <w:r w:rsidR="007D1DA8">
        <w:t>2</w:t>
      </w:r>
      <w:r w:rsidR="00846F79">
        <w:t>) Medicaid data are</w:t>
      </w:r>
      <w:r w:rsidRPr="005534F6">
        <w:t xml:space="preserve"> collected by the CAHPS</w:t>
      </w:r>
      <w:r>
        <w:t xml:space="preserve"> Health Plan</w:t>
      </w:r>
      <w:r w:rsidRPr="005534F6">
        <w:t xml:space="preserve"> Database</w:t>
      </w:r>
      <w:r>
        <w:t xml:space="preserve">. </w:t>
      </w:r>
      <w:r w:rsidRPr="005534F6">
        <w:t>Medicaid agencies and their vendors directly submit their Medicaid health plan survey data to the CA</w:t>
      </w:r>
      <w:r w:rsidR="007C19B2">
        <w:t>HP</w:t>
      </w:r>
      <w:r w:rsidRPr="005534F6">
        <w:t xml:space="preserve">S </w:t>
      </w:r>
      <w:r>
        <w:t xml:space="preserve">Health Plan </w:t>
      </w:r>
      <w:r w:rsidRPr="005534F6">
        <w:t xml:space="preserve">Database through an online data submission system. Data submitted by Medicaid plans, are compiled along with the </w:t>
      </w:r>
      <w:r w:rsidR="007D1DA8">
        <w:t xml:space="preserve">Medicare </w:t>
      </w:r>
      <w:r w:rsidRPr="005534F6">
        <w:t xml:space="preserve">data received from CMS to comprise the CAHPS Health Plan Survey </w:t>
      </w:r>
      <w:r w:rsidR="004661D0">
        <w:t>D</w:t>
      </w:r>
      <w:r w:rsidRPr="005534F6">
        <w:t>atabase</w:t>
      </w:r>
      <w:r>
        <w:t>.</w:t>
      </w:r>
    </w:p>
    <w:p w:rsidR="002B3186" w:rsidP="00C95998" w14:paraId="7D7627CD" w14:textId="77777777"/>
    <w:p w:rsidR="00A91098" w:rsidP="00C95998" w14:paraId="38E1D4FD" w14:textId="0706C525">
      <w:r>
        <w:t xml:space="preserve">AHRQ has produced CAHPS Health Plan Chartbook report since 2000. The </w:t>
      </w:r>
      <w:r w:rsidR="001F7E5B">
        <w:t xml:space="preserve">most </w:t>
      </w:r>
      <w:r>
        <w:t xml:space="preserve">recent Health Plan </w:t>
      </w:r>
      <w:r w:rsidR="00530C6A">
        <w:t xml:space="preserve">results reported </w:t>
      </w:r>
      <w:r w:rsidR="004661D0">
        <w:t>on</w:t>
      </w:r>
      <w:r w:rsidR="00530C6A">
        <w:t xml:space="preserve"> the </w:t>
      </w:r>
      <w:r w:rsidR="004661D0">
        <w:t>AHRQ Data Tools</w:t>
      </w:r>
      <w:r w:rsidR="00DB3083">
        <w:t xml:space="preserve"> </w:t>
      </w:r>
      <w:r>
        <w:t xml:space="preserve">include </w:t>
      </w:r>
      <w:r w:rsidR="00530C6A">
        <w:t xml:space="preserve">Medicaid </w:t>
      </w:r>
      <w:r w:rsidR="00FF502E">
        <w:t xml:space="preserve">and Medicare </w:t>
      </w:r>
      <w:r>
        <w:t xml:space="preserve">data from </w:t>
      </w:r>
      <w:r w:rsidR="004661D0">
        <w:t>2022</w:t>
      </w:r>
      <w:r w:rsidRPr="00BF38FF">
        <w:t>.</w:t>
      </w:r>
      <w:r w:rsidRPr="00BF38FF">
        <w:t xml:space="preserve"> </w:t>
      </w:r>
      <w:r w:rsidRPr="00BF38FF">
        <w:t>For</w:t>
      </w:r>
      <w:r w:rsidRPr="00BF38FF" w:rsidR="00530C6A">
        <w:t xml:space="preserve"> </w:t>
      </w:r>
      <w:r w:rsidRPr="00BF38FF">
        <w:t>20</w:t>
      </w:r>
      <w:r w:rsidR="004661D0">
        <w:t>22</w:t>
      </w:r>
      <w:r w:rsidRPr="00BF38FF">
        <w:t xml:space="preserve">, </w:t>
      </w:r>
      <w:r w:rsidR="002A271D">
        <w:t>935</w:t>
      </w:r>
      <w:r w:rsidRPr="00BF38FF" w:rsidR="007B078F">
        <w:t xml:space="preserve"> </w:t>
      </w:r>
      <w:r w:rsidRPr="00BF38FF">
        <w:t xml:space="preserve">health plans are included covering </w:t>
      </w:r>
      <w:r w:rsidR="002A271D">
        <w:t>381,299</w:t>
      </w:r>
      <w:r w:rsidRPr="00BF38FF">
        <w:t xml:space="preserve"> respondents.</w:t>
      </w:r>
      <w:r w:rsidRPr="00BF38FF">
        <w:t xml:space="preserve"> </w:t>
      </w:r>
      <w:r w:rsidRPr="00BF38FF">
        <w:t>T</w:t>
      </w:r>
      <w:r>
        <w:t xml:space="preserve">he </w:t>
      </w:r>
      <w:r w:rsidR="00292894">
        <w:t xml:space="preserve">Health Plan </w:t>
      </w:r>
      <w:r w:rsidR="004661D0">
        <w:t>Survey D</w:t>
      </w:r>
      <w:r w:rsidR="007C19B2">
        <w:t xml:space="preserve">atabase </w:t>
      </w:r>
      <w:r w:rsidR="00292894">
        <w:t xml:space="preserve">results </w:t>
      </w:r>
      <w:r>
        <w:t xml:space="preserve">can be viewed the </w:t>
      </w:r>
      <w:r w:rsidR="00AD1B33">
        <w:t>AHRQ Data Tools</w:t>
      </w:r>
      <w:r>
        <w:t xml:space="preserve"> at:</w:t>
      </w:r>
      <w:r w:rsidRPr="00F34B0E" w:rsidR="00F34B0E">
        <w:t xml:space="preserve"> </w:t>
      </w:r>
      <w:r w:rsidRPr="00F34B0E" w:rsidR="00F34B0E">
        <w:rPr>
          <w:rStyle w:val="Hyperlink"/>
        </w:rPr>
        <w:t>https://datatools.ahrq.gov/cahps</w:t>
      </w:r>
      <w:r>
        <w:t>.</w:t>
      </w:r>
    </w:p>
    <w:p w:rsidR="002B3186" w:rsidP="00C95998" w14:paraId="4AB4CEF1" w14:textId="77777777"/>
    <w:p w:rsidR="00EF3BBB" w:rsidP="0074285C" w14:paraId="1573D602" w14:textId="1BD7526B">
      <w:r>
        <w:t>Submitted data are</w:t>
      </w:r>
      <w:r w:rsidR="002B3186">
        <w:t xml:space="preserve"> also used to give individual participants their own customized feedback report presenting their own plan results compared to the </w:t>
      </w:r>
      <w:r w:rsidR="007C19B2">
        <w:t>overall</w:t>
      </w:r>
      <w:r w:rsidR="002B3186">
        <w:t xml:space="preserve"> data</w:t>
      </w:r>
      <w:r w:rsidR="007C19B2">
        <w:t>base</w:t>
      </w:r>
      <w:r w:rsidR="002B3186">
        <w:t xml:space="preserve"> </w:t>
      </w:r>
      <w:r>
        <w:t xml:space="preserve">results. </w:t>
      </w:r>
    </w:p>
    <w:p w:rsidR="002B3186" w:rsidP="0074285C" w14:paraId="17E5D821" w14:textId="77777777">
      <w:r>
        <w:t>Chartbook results and individual participant reports are used for a variety of purposes:</w:t>
      </w:r>
    </w:p>
    <w:p w:rsidR="002B3186" w:rsidP="00C95998" w14:paraId="67A135D0" w14:textId="77777777"/>
    <w:p w:rsidR="002B3186" w:rsidP="00F778D0" w14:paraId="2E9A65DF" w14:textId="77777777">
      <w:pPr>
        <w:numPr>
          <w:ilvl w:val="0"/>
          <w:numId w:val="45"/>
        </w:numPr>
      </w:pPr>
      <w:r>
        <w:t>Identify areas for quality improvement and contracting goals</w:t>
      </w:r>
    </w:p>
    <w:p w:rsidR="002B3186" w:rsidP="00F778D0" w14:paraId="7442F8C5" w14:textId="77777777">
      <w:pPr>
        <w:numPr>
          <w:ilvl w:val="0"/>
          <w:numId w:val="45"/>
        </w:numPr>
      </w:pPr>
      <w:r>
        <w:t>Brief senior leadership</w:t>
      </w:r>
    </w:p>
    <w:p w:rsidR="002B3186" w:rsidP="00F778D0" w14:paraId="484E98D3" w14:textId="77777777">
      <w:pPr>
        <w:numPr>
          <w:ilvl w:val="0"/>
          <w:numId w:val="45"/>
        </w:numPr>
      </w:pPr>
      <w:r>
        <w:t>Support public reporting</w:t>
      </w:r>
    </w:p>
    <w:p w:rsidR="002B3186" w:rsidP="00F778D0" w14:paraId="0A49A8DA" w14:textId="183691F0">
      <w:pPr>
        <w:numPr>
          <w:ilvl w:val="0"/>
          <w:numId w:val="45"/>
        </w:numPr>
      </w:pPr>
      <w:r>
        <w:t>Compare care across payers (Medicaid, Medicare)</w:t>
      </w:r>
    </w:p>
    <w:p w:rsidR="002B3186" w:rsidP="00F778D0" w14:paraId="46DF70A3" w14:textId="77777777">
      <w:pPr>
        <w:numPr>
          <w:ilvl w:val="0"/>
          <w:numId w:val="45"/>
        </w:numPr>
      </w:pPr>
      <w:r>
        <w:t>Combine with other quality measures to examine outcomes</w:t>
      </w:r>
    </w:p>
    <w:p w:rsidR="002B3186" w:rsidP="00C95998" w14:paraId="04F0F4F6" w14:textId="77777777"/>
    <w:p w:rsidR="002B3186" w:rsidP="00872C66" w14:paraId="2AF22961" w14:textId="29C5C1E8">
      <w:r>
        <w:t xml:space="preserve">The research database has provided </w:t>
      </w:r>
      <w:r w:rsidRPr="00BF38FF" w:rsidR="005A4894">
        <w:t xml:space="preserve">health plan </w:t>
      </w:r>
      <w:r w:rsidRPr="00BF38FF">
        <w:t xml:space="preserve">data to </w:t>
      </w:r>
      <w:r w:rsidRPr="00BF38FF" w:rsidR="007359D2">
        <w:t>7</w:t>
      </w:r>
      <w:r w:rsidR="00D371D9">
        <w:t>9</w:t>
      </w:r>
      <w:r w:rsidRPr="00BF38FF" w:rsidR="009E3CAF">
        <w:t xml:space="preserve"> </w:t>
      </w:r>
      <w:r w:rsidRPr="00BF38FF">
        <w:t>researchers thus far. Results</w:t>
      </w:r>
      <w:r>
        <w:t xml:space="preserve"> of this research have been used to examine:</w:t>
      </w:r>
    </w:p>
    <w:p w:rsidR="002B3186" w:rsidP="00872C66" w14:paraId="272A47EE" w14:textId="77777777">
      <w:pPr>
        <w:numPr>
          <w:ilvl w:val="0"/>
          <w:numId w:val="46"/>
        </w:numPr>
        <w:spacing w:before="100" w:beforeAutospacing="1" w:after="100" w:afterAutospacing="1"/>
      </w:pPr>
      <w:r>
        <w:t>Disparities in CAHPS scores by racial and ethnic characteristics of respondents</w:t>
      </w:r>
    </w:p>
    <w:p w:rsidR="002B3186" w:rsidP="00872C66" w14:paraId="1C163933" w14:textId="77777777">
      <w:pPr>
        <w:numPr>
          <w:ilvl w:val="0"/>
          <w:numId w:val="46"/>
        </w:numPr>
        <w:spacing w:before="100" w:beforeAutospacing="1" w:after="100" w:afterAutospacing="1"/>
      </w:pPr>
      <w:r>
        <w:t>Comparison of adult and child CAHPS survey results</w:t>
      </w:r>
    </w:p>
    <w:p w:rsidR="002B3186" w:rsidP="00872C66" w14:paraId="1B9D14CC" w14:textId="77777777">
      <w:pPr>
        <w:numPr>
          <w:ilvl w:val="0"/>
          <w:numId w:val="46"/>
        </w:numPr>
        <w:spacing w:before="100" w:beforeAutospacing="1" w:after="100" w:afterAutospacing="1"/>
      </w:pPr>
      <w:r>
        <w:t>Analysis of case-mix factors affecting CAHPS scores</w:t>
      </w:r>
    </w:p>
    <w:p w:rsidR="002B3186" w:rsidP="00872C66" w14:paraId="7433A395" w14:textId="77777777">
      <w:pPr>
        <w:numPr>
          <w:ilvl w:val="0"/>
          <w:numId w:val="46"/>
        </w:numPr>
        <w:spacing w:before="100" w:beforeAutospacing="1" w:after="100" w:afterAutospacing="1"/>
      </w:pPr>
      <w:r>
        <w:t>Differences in CAHPS scores at the state level</w:t>
      </w:r>
    </w:p>
    <w:p w:rsidR="002B3186" w:rsidP="00872C66" w14:paraId="7C178449" w14:textId="77777777">
      <w:pPr>
        <w:numPr>
          <w:ilvl w:val="0"/>
          <w:numId w:val="46"/>
        </w:numPr>
        <w:spacing w:before="100" w:beforeAutospacing="1" w:after="100" w:afterAutospacing="1"/>
      </w:pPr>
      <w:r>
        <w:t xml:space="preserve">Comparison of CAHPS scores between civilian and military beneficiaries </w:t>
      </w:r>
    </w:p>
    <w:p w:rsidR="002B3186" w:rsidP="00C22AC4" w14:paraId="2D3AD9C9" w14:textId="77777777">
      <w:pPr>
        <w:pStyle w:val="Heading2"/>
        <w:rPr>
          <w:sz w:val="24"/>
          <w:szCs w:val="24"/>
        </w:rPr>
      </w:pPr>
      <w:bookmarkStart w:id="10" w:name="_Toc151782178"/>
      <w:bookmarkStart w:id="11" w:name="_Toc158526218"/>
      <w:bookmarkStart w:id="12" w:name="_Toc132023564"/>
      <w:r w:rsidRPr="00983636">
        <w:rPr>
          <w:sz w:val="24"/>
          <w:szCs w:val="24"/>
        </w:rPr>
        <w:t>3. Use of Improved Information Technology</w:t>
      </w:r>
      <w:bookmarkEnd w:id="10"/>
      <w:bookmarkEnd w:id="11"/>
      <w:bookmarkEnd w:id="12"/>
    </w:p>
    <w:p w:rsidR="002B3186" w:rsidP="00C95998" w14:paraId="45C1B1D6" w14:textId="77777777"/>
    <w:p w:rsidR="002B3186" w:rsidP="00872C66" w14:paraId="32D032F6" w14:textId="3782228D">
      <w:r>
        <w:t>All information collection for the CAHPS Health Plan Database is done electronically</w:t>
      </w:r>
      <w:r w:rsidR="009B3D7E">
        <w:t>.</w:t>
      </w:r>
      <w:r w:rsidRPr="00BF38FF">
        <w:t xml:space="preserve"> Registration is handled</w:t>
      </w:r>
      <w:r>
        <w:t xml:space="preserve"> online and data submission information</w:t>
      </w:r>
      <w:r w:rsidR="009B3D7E">
        <w:t>, data use agreement</w:t>
      </w:r>
      <w:r>
        <w:t xml:space="preserve"> and data upload is handled through a secure web site. Delivery of confidential health plan survey results is also done electronically </w:t>
      </w:r>
      <w:r w:rsidR="009B3D7E">
        <w:t xml:space="preserve">through </w:t>
      </w:r>
      <w:r>
        <w:t xml:space="preserve">a secure </w:t>
      </w:r>
      <w:r w:rsidR="009B3D7E">
        <w:t>FTP</w:t>
      </w:r>
      <w:r>
        <w:t xml:space="preserve"> site.</w:t>
      </w:r>
    </w:p>
    <w:p w:rsidR="002B3186" w:rsidP="00C22AC4" w14:paraId="783FE77F" w14:textId="77777777">
      <w:pPr>
        <w:pStyle w:val="Heading2"/>
        <w:rPr>
          <w:sz w:val="24"/>
          <w:szCs w:val="24"/>
        </w:rPr>
      </w:pPr>
      <w:bookmarkStart w:id="13" w:name="_Toc151782179"/>
      <w:bookmarkStart w:id="14" w:name="_Toc158526219"/>
      <w:bookmarkStart w:id="15" w:name="_Toc132023565"/>
      <w:r w:rsidRPr="00983636">
        <w:rPr>
          <w:sz w:val="24"/>
          <w:szCs w:val="24"/>
        </w:rPr>
        <w:t>4. Efforts to Identify Duplication</w:t>
      </w:r>
      <w:bookmarkEnd w:id="13"/>
      <w:bookmarkEnd w:id="14"/>
      <w:bookmarkEnd w:id="15"/>
    </w:p>
    <w:p w:rsidR="002B3186" w:rsidP="00C95998" w14:paraId="46A0F510" w14:textId="77777777"/>
    <w:p w:rsidR="002B3186" w:rsidRPr="00872C66" w:rsidP="007E4359" w14:paraId="27E63F74" w14:textId="16745045">
      <w:pPr>
        <w:spacing w:after="240"/>
      </w:pPr>
      <w:r>
        <w:t xml:space="preserve">While there are many survey vendors that collect the CAHPS Health Plan Survey and may maintain databases of their own clients’ data, AHRQ is the only entity that serves as a comprehensive repository of CAHPS Health Plan survey data. AHRQ collaborates with </w:t>
      </w:r>
      <w:r w:rsidRPr="00542F56">
        <w:t>CMS to combine their CAHPS Health Plan survey data with the CAHPS Health Plan Database in</w:t>
      </w:r>
      <w:r>
        <w:t xml:space="preserve"> an effort to reduce the burden of submission on health plans.</w:t>
      </w:r>
      <w:r w:rsidR="00361E87">
        <w:t xml:space="preserve"> Vendors submit data files </w:t>
      </w:r>
      <w:r w:rsidR="003D35B4">
        <w:t xml:space="preserve">using </w:t>
      </w:r>
      <w:r w:rsidR="00361E87">
        <w:t xml:space="preserve">the NCQA layout format </w:t>
      </w:r>
      <w:r w:rsidR="003D35B4">
        <w:t xml:space="preserve">in order </w:t>
      </w:r>
      <w:r w:rsidR="00361E87">
        <w:t>to reduce the burden on vendors.</w:t>
      </w:r>
    </w:p>
    <w:p w:rsidR="002B3186" w:rsidP="00C22AC4" w14:paraId="428AFCBF" w14:textId="77777777">
      <w:pPr>
        <w:pStyle w:val="Heading2"/>
        <w:rPr>
          <w:sz w:val="24"/>
          <w:szCs w:val="24"/>
        </w:rPr>
      </w:pPr>
      <w:bookmarkStart w:id="16" w:name="_Toc151782180"/>
      <w:bookmarkStart w:id="17" w:name="_Toc158526220"/>
      <w:bookmarkStart w:id="18" w:name="_Toc132023566"/>
      <w:r w:rsidRPr="00983636">
        <w:rPr>
          <w:sz w:val="24"/>
          <w:szCs w:val="24"/>
        </w:rPr>
        <w:t>5. Involvement of Small Entities</w:t>
      </w:r>
      <w:bookmarkEnd w:id="16"/>
      <w:bookmarkEnd w:id="17"/>
      <w:bookmarkEnd w:id="18"/>
    </w:p>
    <w:p w:rsidR="002B3186" w:rsidP="00C95998" w14:paraId="690EF39E" w14:textId="77777777"/>
    <w:p w:rsidR="002B3186" w:rsidP="00C95998" w14:paraId="7DA4D221" w14:textId="77777777">
      <w:r>
        <w:t>The collection of information associated with data submission is very basic and does not unduly burden small business or health plans. The information being requested has been held to the absolute minimum required for the intended uses and is likely already being compiled by survey vendors for their health plan clients.</w:t>
      </w:r>
    </w:p>
    <w:p w:rsidR="002B3186" w:rsidRPr="00983636" w:rsidP="00C22AC4" w14:paraId="371E451C" w14:textId="77777777">
      <w:pPr>
        <w:pStyle w:val="Heading2"/>
        <w:rPr>
          <w:sz w:val="24"/>
          <w:szCs w:val="24"/>
        </w:rPr>
      </w:pPr>
      <w:bookmarkStart w:id="19" w:name="_Toc151782181"/>
      <w:bookmarkStart w:id="20" w:name="_Toc158526221"/>
      <w:bookmarkStart w:id="21" w:name="_Toc132023567"/>
      <w:r w:rsidRPr="00983636">
        <w:rPr>
          <w:sz w:val="24"/>
          <w:szCs w:val="24"/>
        </w:rPr>
        <w:t>6. Consequences if Information Collected Less Frequently</w:t>
      </w:r>
      <w:bookmarkEnd w:id="19"/>
      <w:bookmarkEnd w:id="20"/>
      <w:bookmarkEnd w:id="21"/>
    </w:p>
    <w:p w:rsidR="002B3186" w:rsidP="00C95998" w14:paraId="1F4E063C" w14:textId="77777777">
      <w:bookmarkStart w:id="22" w:name="_Toc151782182"/>
      <w:bookmarkStart w:id="23" w:name="_Toc158526222"/>
    </w:p>
    <w:p w:rsidR="002B3186" w:rsidRPr="005F3798" w:rsidP="00C95998" w14:paraId="0F51F514" w14:textId="77777777">
      <w:r>
        <w:t>Regulations issued by CMS and NCQA require health plans to follow a regular annual data collection and reporting cycle. As a result, the CAHPS Health Plan Database follows the same cycle for data submission. Because data are used to monitor patient experience and to evaluate specific qua</w:t>
      </w:r>
      <w:r w:rsidR="00846F79">
        <w:t>lity initiatives, timely data are</w:t>
      </w:r>
      <w:r>
        <w:t xml:space="preserve"> imperative to monitoring and quality improvement.</w:t>
      </w:r>
    </w:p>
    <w:p w:rsidR="002B3186" w:rsidP="00C22AC4" w14:paraId="5633CC77" w14:textId="77777777">
      <w:pPr>
        <w:pStyle w:val="Heading2"/>
        <w:rPr>
          <w:sz w:val="24"/>
          <w:szCs w:val="24"/>
        </w:rPr>
      </w:pPr>
      <w:bookmarkStart w:id="24" w:name="_Toc132023568"/>
      <w:r w:rsidRPr="00412C6F">
        <w:rPr>
          <w:sz w:val="24"/>
          <w:szCs w:val="24"/>
        </w:rPr>
        <w:t>7. Special Circumstances</w:t>
      </w:r>
      <w:bookmarkEnd w:id="22"/>
      <w:bookmarkEnd w:id="23"/>
      <w:bookmarkEnd w:id="24"/>
    </w:p>
    <w:p w:rsidR="002B3186" w:rsidP="00C95998" w14:paraId="1C37E705" w14:textId="77777777"/>
    <w:p w:rsidR="002B3186" w:rsidP="00C95998" w14:paraId="27A672F9" w14:textId="77777777">
      <w:r w:rsidRPr="004F03D2">
        <w:t>This request is consistent with the general information collection guid</w:t>
      </w:r>
      <w:r>
        <w:t>elines of 5 CFR 1320.5(d) (2). No special circumstances apply.</w:t>
      </w:r>
    </w:p>
    <w:p w:rsidR="002B3186" w:rsidP="00C22AC4" w14:paraId="3795913A" w14:textId="073820C4">
      <w:pPr>
        <w:pStyle w:val="Heading2"/>
        <w:rPr>
          <w:sz w:val="24"/>
          <w:szCs w:val="24"/>
        </w:rPr>
      </w:pPr>
      <w:bookmarkStart w:id="25" w:name="_Toc151782183"/>
      <w:bookmarkStart w:id="26" w:name="_Toc158526223"/>
      <w:bookmarkStart w:id="27" w:name="_Toc132023569"/>
      <w:r w:rsidRPr="00412C6F">
        <w:rPr>
          <w:sz w:val="24"/>
          <w:szCs w:val="24"/>
        </w:rPr>
        <w:t>8.</w:t>
      </w:r>
      <w:r w:rsidRPr="004E3A1B">
        <w:rPr>
          <w:sz w:val="24"/>
          <w:szCs w:val="24"/>
        </w:rPr>
        <w:t xml:space="preserve"> </w:t>
      </w:r>
      <w:bookmarkEnd w:id="25"/>
      <w:bookmarkEnd w:id="26"/>
      <w:r w:rsidRPr="004E3A1B">
        <w:rPr>
          <w:sz w:val="24"/>
          <w:szCs w:val="24"/>
        </w:rPr>
        <w:t>Federal Register Notice</w:t>
      </w:r>
      <w:bookmarkEnd w:id="27"/>
      <w:r w:rsidRPr="004E3A1B">
        <w:rPr>
          <w:sz w:val="24"/>
          <w:szCs w:val="24"/>
        </w:rPr>
        <w:t xml:space="preserve"> </w:t>
      </w:r>
    </w:p>
    <w:p w:rsidR="002B3186" w:rsidP="00C95998" w14:paraId="7FF11E94" w14:textId="77777777"/>
    <w:p w:rsidR="002B3186" w:rsidRPr="00A352C2" w:rsidP="00C95998" w14:paraId="6FDA769D" w14:textId="444D65B6">
      <w:pPr>
        <w:rPr>
          <w:highlight w:val="yellow"/>
        </w:rPr>
      </w:pPr>
      <w:r w:rsidRPr="000509AF">
        <w:t>As required by 5 CFR 1320.8(d), notice was published in the Federal Register</w:t>
      </w:r>
      <w:r w:rsidR="0016783B">
        <w:t xml:space="preserve"> on August 24</w:t>
      </w:r>
      <w:r w:rsidRPr="00732461" w:rsidR="0016783B">
        <w:rPr>
          <w:vertAlign w:val="superscript"/>
        </w:rPr>
        <w:t>th</w:t>
      </w:r>
      <w:r w:rsidR="0016783B">
        <w:t xml:space="preserve">, 2023, Vol. 88 page </w:t>
      </w:r>
      <w:r w:rsidR="00967318">
        <w:t>57954,</w:t>
      </w:r>
      <w:r w:rsidRPr="000E661F" w:rsidR="00967318">
        <w:t xml:space="preserve"> for</w:t>
      </w:r>
      <w:r w:rsidRPr="000E661F">
        <w:t xml:space="preserve"> 60 days</w:t>
      </w:r>
      <w:r>
        <w:t xml:space="preserve"> (see A</w:t>
      </w:r>
      <w:r w:rsidRPr="00C536F6">
        <w:t>ttachment A)</w:t>
      </w:r>
      <w:r w:rsidR="00EF3BBB">
        <w:t>.</w:t>
      </w:r>
      <w:r w:rsidR="0016783B">
        <w:t xml:space="preserve">  No substantive comments were received.</w:t>
      </w:r>
    </w:p>
    <w:p w:rsidR="002B3186" w:rsidRPr="00C22AC4" w:rsidP="00C22AC4" w14:paraId="620EC466" w14:textId="77777777">
      <w:pPr>
        <w:pStyle w:val="Heading2"/>
        <w:rPr>
          <w:sz w:val="24"/>
          <w:szCs w:val="24"/>
        </w:rPr>
      </w:pPr>
      <w:bookmarkStart w:id="28" w:name="_Toc457285506"/>
      <w:bookmarkStart w:id="29" w:name="_Toc58725294"/>
      <w:bookmarkStart w:id="30" w:name="_Toc151782184"/>
      <w:bookmarkStart w:id="31" w:name="_Toc158526224"/>
      <w:bookmarkStart w:id="32" w:name="_Toc132023570"/>
      <w:r w:rsidRPr="00C22AC4">
        <w:rPr>
          <w:sz w:val="24"/>
          <w:szCs w:val="24"/>
        </w:rPr>
        <w:t>9. Payments/Gifts to Respondents</w:t>
      </w:r>
      <w:bookmarkEnd w:id="28"/>
      <w:bookmarkEnd w:id="29"/>
      <w:bookmarkEnd w:id="30"/>
      <w:bookmarkEnd w:id="31"/>
      <w:bookmarkEnd w:id="32"/>
    </w:p>
    <w:p w:rsidR="002B3186" w:rsidP="00C95998" w14:paraId="6B916E7E" w14:textId="77777777"/>
    <w:p w:rsidR="003D35B4" w:rsidP="00C95998" w14:paraId="4548D820" w14:textId="1003E88D">
      <w:r>
        <w:t>No payment or remuneration is provided to health plans for submitting data to the CAHPS Health Plan Database.</w:t>
      </w:r>
    </w:p>
    <w:p w:rsidR="004C1C67" w:rsidP="00C95998" w14:paraId="00FD2086" w14:textId="77777777"/>
    <w:p w:rsidR="002B3186" w:rsidRPr="00732461" w:rsidP="0016783B" w14:paraId="658F65D0" w14:textId="77777777">
      <w:pPr>
        <w:rPr>
          <w:b/>
          <w:bCs/>
        </w:rPr>
      </w:pPr>
      <w:bookmarkStart w:id="33" w:name="_Toc151782185"/>
      <w:bookmarkStart w:id="34" w:name="_Toc158526225"/>
      <w:bookmarkStart w:id="35" w:name="_Toc132023571"/>
      <w:r w:rsidRPr="00732461">
        <w:rPr>
          <w:b/>
          <w:bCs/>
        </w:rPr>
        <w:t>10. Assurance of Confidentiality</w:t>
      </w:r>
      <w:bookmarkEnd w:id="33"/>
      <w:bookmarkEnd w:id="34"/>
      <w:bookmarkEnd w:id="35"/>
    </w:p>
    <w:p w:rsidR="002B3186" w:rsidP="00C95998" w14:paraId="4941CDC7" w14:textId="77777777"/>
    <w:p w:rsidR="002B3186" w:rsidRPr="00C74FBB" w:rsidP="00C95998" w14:paraId="7C8036BD" w14:textId="43BC66B1">
      <w:r w:rsidRPr="00C74FBB">
        <w:rPr>
          <w:bCs/>
        </w:rPr>
        <w:t>Data will be kept private to the extent allowed by law</w:t>
      </w:r>
      <w:r>
        <w:rPr>
          <w:bCs/>
        </w:rPr>
        <w:t>.</w:t>
      </w:r>
      <w:r>
        <w:rPr>
          <w:bCs/>
        </w:rPr>
        <w:t xml:space="preserve">  </w:t>
      </w:r>
      <w:r w:rsidRPr="00012921" w:rsidR="00841107">
        <w:t>Individuals and organizations will be assured of the confidentiality of their replies under Section 944(c) of the Public Health Ser</w:t>
      </w:r>
      <w:r w:rsidR="003D35B4">
        <w:t>vice Act</w:t>
      </w:r>
      <w:r w:rsidR="00EF3BBB">
        <w:t xml:space="preserve">. </w:t>
      </w:r>
      <w:r w:rsidR="003D35B4">
        <w:t>42 U.S.C. 299c-3(c).</w:t>
      </w:r>
      <w:r w:rsidRPr="00012921" w:rsidR="00841107">
        <w:t xml:space="preserve"> That law requires that information collected for research conducted or supported by AHRQ that identifies individuals or establishments be used only for the purpose for which it was supplied</w:t>
      </w:r>
      <w:r w:rsidR="00841107">
        <w:t>.</w:t>
      </w:r>
      <w:r>
        <w:t xml:space="preserve">  </w:t>
      </w:r>
    </w:p>
    <w:p w:rsidR="002B3186" w:rsidP="00C95998" w14:paraId="5DC0DCA1" w14:textId="77777777"/>
    <w:p w:rsidR="002B3186" w:rsidP="005F3798" w14:paraId="4ADD02F3" w14:textId="77777777">
      <w:pPr>
        <w:autoSpaceDE w:val="0"/>
        <w:autoSpaceDN w:val="0"/>
        <w:adjustRightInd w:val="0"/>
      </w:pPr>
      <w:r w:rsidRPr="003925C9">
        <w:rPr>
          <w:b/>
          <w:bCs/>
        </w:rPr>
        <w:t xml:space="preserve">Confidentiality of the Point-of-Contact for a </w:t>
      </w:r>
      <w:r>
        <w:rPr>
          <w:b/>
          <w:bCs/>
        </w:rPr>
        <w:t>Health Plan</w:t>
      </w:r>
      <w:r w:rsidRPr="003925C9">
        <w:rPr>
          <w:b/>
          <w:bCs/>
        </w:rPr>
        <w:t>.</w:t>
      </w:r>
      <w:r>
        <w:t xml:space="preserve"> The health plans’ POC, who submits data on behalf of their plan, is asked to provide his/her name, phone number and email address during the data submission process to ensure that the plan’s individual survey feedback report is delivered back to that person for use by the health plan. In addition, the POC’s contact information is important when any clarifications or corrections of the submitted data set are required and follow up is needed. However, the name of the POC and name of the plan is kept confidential and not publicly reported. </w:t>
      </w:r>
      <w:r w:rsidRPr="001B4BF3">
        <w:t>Only aggregated, de-identified results are displayed in any</w:t>
      </w:r>
      <w:r w:rsidR="00763ECB">
        <w:t xml:space="preserve"> public</w:t>
      </w:r>
      <w:r w:rsidRPr="001B4BF3">
        <w:t xml:space="preserve"> reports.</w:t>
      </w:r>
    </w:p>
    <w:p w:rsidR="002B3186" w:rsidP="00C95998" w14:paraId="1BC704CA" w14:textId="77777777"/>
    <w:p w:rsidR="002B3186" w:rsidRPr="000A3CAB" w:rsidP="005F3798" w14:paraId="3D0F6B10" w14:textId="50CAEED0">
      <w:pPr>
        <w:autoSpaceDE w:val="0"/>
        <w:autoSpaceDN w:val="0"/>
        <w:adjustRightInd w:val="0"/>
        <w:rPr>
          <w:b/>
          <w:bCs/>
        </w:rPr>
      </w:pPr>
      <w:r w:rsidRPr="003925C9">
        <w:rPr>
          <w:b/>
          <w:bCs/>
        </w:rPr>
        <w:t xml:space="preserve">Confidentiality of the Survey Data Submitted by a </w:t>
      </w:r>
      <w:r>
        <w:rPr>
          <w:b/>
          <w:bCs/>
        </w:rPr>
        <w:t>Health Plan</w:t>
      </w:r>
      <w:r w:rsidRPr="003925C9">
        <w:rPr>
          <w:b/>
          <w:bCs/>
        </w:rPr>
        <w:t>.</w:t>
      </w:r>
      <w:r>
        <w:rPr>
          <w:b/>
          <w:bCs/>
        </w:rPr>
        <w:t xml:space="preserve"> </w:t>
      </w:r>
      <w:r>
        <w:t>Health plans are assured of the confidentiality of their CAHPS Health Plan survey data through a DUA that they must sign that has been approved by AHRQ (</w:t>
      </w:r>
      <w:r w:rsidRPr="000509AF">
        <w:t xml:space="preserve">see Attachment </w:t>
      </w:r>
      <w:r w:rsidR="0046502E">
        <w:t>B</w:t>
      </w:r>
      <w:r w:rsidRPr="000509AF">
        <w:t>).</w:t>
      </w:r>
      <w:r>
        <w:t xml:space="preserve"> The DUA states that their data will be handled in a secure manner using necessary administrative, technical and physical safeguards to limit access to it and maintain its confidentiality. In addition, the DUA states the data will be used for the purposes of the database that only aggregated results will be reported, and that the health plan will not be identified by name.</w:t>
      </w:r>
    </w:p>
    <w:p w:rsidR="002B3186" w:rsidP="00C22AC4" w14:paraId="138B08B3" w14:textId="77777777">
      <w:pPr>
        <w:pStyle w:val="Heading2"/>
        <w:rPr>
          <w:sz w:val="24"/>
          <w:szCs w:val="24"/>
        </w:rPr>
      </w:pPr>
      <w:bookmarkStart w:id="36" w:name="_Toc151782186"/>
      <w:bookmarkStart w:id="37" w:name="_Toc158526226"/>
      <w:bookmarkStart w:id="38" w:name="_Toc132023572"/>
      <w:r w:rsidRPr="00412C6F">
        <w:rPr>
          <w:sz w:val="24"/>
          <w:szCs w:val="24"/>
        </w:rPr>
        <w:t>11. Questions of a Sensitive Nature</w:t>
      </w:r>
      <w:bookmarkEnd w:id="36"/>
      <w:bookmarkEnd w:id="37"/>
      <w:bookmarkEnd w:id="38"/>
    </w:p>
    <w:p w:rsidR="002B3186" w:rsidP="00C95998" w14:paraId="57D9843B" w14:textId="77777777"/>
    <w:p w:rsidR="002B3186" w:rsidP="00C95998" w14:paraId="4EB2B708" w14:textId="77777777">
      <w:r>
        <w:t>There are no questions of a sensitive nature.</w:t>
      </w:r>
    </w:p>
    <w:p w:rsidR="002B3186" w:rsidRPr="00542F56" w:rsidP="00C22AC4" w14:paraId="39248174" w14:textId="77777777">
      <w:pPr>
        <w:pStyle w:val="Heading2"/>
        <w:rPr>
          <w:sz w:val="24"/>
          <w:szCs w:val="24"/>
        </w:rPr>
      </w:pPr>
      <w:bookmarkStart w:id="39" w:name="_Toc151782187"/>
      <w:bookmarkStart w:id="40" w:name="_Toc158526227"/>
      <w:bookmarkStart w:id="41" w:name="_Toc132023573"/>
      <w:r w:rsidRPr="00542F56">
        <w:rPr>
          <w:sz w:val="24"/>
          <w:szCs w:val="24"/>
        </w:rPr>
        <w:t>12. Estimates of Annualized Burden Hours and Costs</w:t>
      </w:r>
      <w:bookmarkEnd w:id="39"/>
      <w:bookmarkEnd w:id="40"/>
      <w:bookmarkEnd w:id="41"/>
    </w:p>
    <w:p w:rsidR="002B3186" w:rsidRPr="00542F56" w:rsidP="007C4283" w14:paraId="488706EC" w14:textId="77777777">
      <w:r w:rsidRPr="00542F56">
        <w:t xml:space="preserve"> </w:t>
      </w:r>
    </w:p>
    <w:p w:rsidR="002A4430" w:rsidP="002A4430" w14:paraId="7F216605" w14:textId="2B6C4D46">
      <w:r w:rsidRPr="00542F56">
        <w:t xml:space="preserve">Exhibit 1 shows the estimated burden hours for the respondent to participate </w:t>
      </w:r>
      <w:r w:rsidRPr="00542F56" w:rsidR="008679EB">
        <w:t>in the database</w:t>
      </w:r>
      <w:r w:rsidR="00EF3BBB">
        <w:t xml:space="preserve">. </w:t>
      </w:r>
      <w:r w:rsidRPr="00542F56" w:rsidR="002B3186">
        <w:t xml:space="preserve">The burden hours pertain only to the collection of Medicaid data from State Medicaid agencies and individual Medicaid health plans because those are the only entities that submit data through the data submission process (other data are obtained </w:t>
      </w:r>
      <w:r w:rsidRPr="00542F56" w:rsidR="000240D2">
        <w:t>from</w:t>
      </w:r>
      <w:r w:rsidRPr="00542F56" w:rsidR="002B3186">
        <w:t xml:space="preserve"> CMS as noted earlier in Section 2).</w:t>
      </w:r>
      <w:r w:rsidR="003D35B4">
        <w:t xml:space="preserve"> </w:t>
      </w:r>
      <w:r w:rsidRPr="00542F56">
        <w:t xml:space="preserve">The </w:t>
      </w:r>
      <w:r w:rsidR="00C80E9D">
        <w:t>125</w:t>
      </w:r>
      <w:r w:rsidRPr="00542F56">
        <w:t xml:space="preserve"> POCs </w:t>
      </w:r>
      <w:r w:rsidR="003D35B4">
        <w:t>in E</w:t>
      </w:r>
      <w:r w:rsidRPr="00542F56" w:rsidR="009D4980">
        <w:t xml:space="preserve">xhibit 1 </w:t>
      </w:r>
      <w:r w:rsidRPr="00542F56">
        <w:t xml:space="preserve">are a combination of an estimated </w:t>
      </w:r>
      <w:r w:rsidR="00C80E9D">
        <w:t>115</w:t>
      </w:r>
      <w:r w:rsidRPr="00542F56">
        <w:t xml:space="preserve"> State Medicaid agencies and individual health plans</w:t>
      </w:r>
      <w:r w:rsidR="00C80E9D">
        <w:t xml:space="preserve"> (Sponsors)</w:t>
      </w:r>
      <w:r w:rsidRPr="00542F56">
        <w:t xml:space="preserve">, and </w:t>
      </w:r>
      <w:r w:rsidRPr="00542F56" w:rsidR="0018191D">
        <w:t>1</w:t>
      </w:r>
      <w:r w:rsidRPr="00542F56">
        <w:t xml:space="preserve">0 </w:t>
      </w:r>
      <w:r w:rsidR="003D35B4">
        <w:t>vendor organizations</w:t>
      </w:r>
      <w:r w:rsidRPr="00542F56">
        <w:t>.</w:t>
      </w:r>
    </w:p>
    <w:p w:rsidR="002A4430" w:rsidP="002A4430" w14:paraId="3F53C94C" w14:textId="77777777"/>
    <w:p w:rsidR="002A4430" w:rsidRPr="00E10A3B" w:rsidP="002A4430" w14:paraId="0C5E4FA4" w14:textId="0C49BD77">
      <w:r>
        <w:t>Each</w:t>
      </w:r>
      <w:r w:rsidR="007E288F">
        <w:t xml:space="preserve"> sponsor, which is made up of s</w:t>
      </w:r>
      <w:r>
        <w:t>tate Medicaid agenc</w:t>
      </w:r>
      <w:r w:rsidR="007E288F">
        <w:t>ies and</w:t>
      </w:r>
      <w:r>
        <w:t xml:space="preserve"> health plan</w:t>
      </w:r>
      <w:r w:rsidR="007E288F">
        <w:t>s</w:t>
      </w:r>
      <w:r>
        <w:t xml:space="preserve"> </w:t>
      </w:r>
      <w:r w:rsidR="007E288F">
        <w:t>and</w:t>
      </w:r>
      <w:r>
        <w:t xml:space="preserve"> vendor will register </w:t>
      </w:r>
      <w:r w:rsidR="009D4980">
        <w:t xml:space="preserve">online </w:t>
      </w:r>
      <w:r>
        <w:t xml:space="preserve">for submission. </w:t>
      </w:r>
      <w:r w:rsidRPr="00FF058C">
        <w:t>The Regist</w:t>
      </w:r>
      <w:r>
        <w:t xml:space="preserve">ration </w:t>
      </w:r>
      <w:r w:rsidR="004C1C67">
        <w:t>F</w:t>
      </w:r>
      <w:r>
        <w:t>orm</w:t>
      </w:r>
      <w:r w:rsidRPr="00FF058C">
        <w:t xml:space="preserve"> </w:t>
      </w:r>
      <w:r>
        <w:t xml:space="preserve">will </w:t>
      </w:r>
      <w:r w:rsidRPr="00FF058C">
        <w:t>requi</w:t>
      </w:r>
      <w:r>
        <w:t>re about 5 minutes to</w:t>
      </w:r>
      <w:r w:rsidR="00C05CEC">
        <w:t xml:space="preserve"> </w:t>
      </w:r>
      <w:r>
        <w:t xml:space="preserve">complete. </w:t>
      </w:r>
      <w:r w:rsidR="009D4980">
        <w:t>Each</w:t>
      </w:r>
      <w:r w:rsidR="00D45AC4">
        <w:t xml:space="preserve"> </w:t>
      </w:r>
      <w:r w:rsidR="00276407">
        <w:t>sponsor</w:t>
      </w:r>
      <w:r w:rsidR="00D45AC4">
        <w:t xml:space="preserve"> will </w:t>
      </w:r>
      <w:r w:rsidR="009D4980">
        <w:t xml:space="preserve">also complete a Health Plan </w:t>
      </w:r>
      <w:r w:rsidR="004C1C67">
        <w:t>I</w:t>
      </w:r>
      <w:r w:rsidR="009D4980">
        <w:t xml:space="preserve">nformation </w:t>
      </w:r>
      <w:r w:rsidR="004C1C67">
        <w:t>F</w:t>
      </w:r>
      <w:r w:rsidR="009D4980">
        <w:t xml:space="preserve">orm </w:t>
      </w:r>
      <w:r w:rsidR="003E540A">
        <w:t xml:space="preserve">which </w:t>
      </w:r>
      <w:r>
        <w:t xml:space="preserve">takes on average </w:t>
      </w:r>
      <w:r w:rsidR="009D4980">
        <w:t>30</w:t>
      </w:r>
      <w:r>
        <w:t xml:space="preserve"> minutes to complete</w:t>
      </w:r>
      <w:r w:rsidR="00D45AC4">
        <w:t xml:space="preserve"> per health plan</w:t>
      </w:r>
      <w:r w:rsidR="00D04F07">
        <w:t xml:space="preserve"> with each POC completing the form for </w:t>
      </w:r>
      <w:r w:rsidR="00E531C2">
        <w:t>four</w:t>
      </w:r>
      <w:r w:rsidR="00D04F07">
        <w:t xml:space="preserve"> plans on average</w:t>
      </w:r>
      <w:r>
        <w:t xml:space="preserve">. The </w:t>
      </w:r>
      <w:r w:rsidR="0087432D">
        <w:t>D</w:t>
      </w:r>
      <w:r>
        <w:t xml:space="preserve">ata </w:t>
      </w:r>
      <w:r w:rsidR="0087432D">
        <w:t>U</w:t>
      </w:r>
      <w:r>
        <w:t xml:space="preserve">se </w:t>
      </w:r>
      <w:r w:rsidR="0087432D">
        <w:t>A</w:t>
      </w:r>
      <w:r>
        <w:t xml:space="preserve">greement </w:t>
      </w:r>
      <w:r w:rsidR="0087432D">
        <w:t xml:space="preserve">(DUA) </w:t>
      </w:r>
      <w:r>
        <w:t>will be completed by the</w:t>
      </w:r>
      <w:r w:rsidRPr="00F610A7">
        <w:t xml:space="preserve"> </w:t>
      </w:r>
      <w:r w:rsidR="00C80E9D">
        <w:t>115</w:t>
      </w:r>
      <w:r>
        <w:t xml:space="preserve"> participating</w:t>
      </w:r>
      <w:r w:rsidRPr="00F610A7">
        <w:t xml:space="preserve"> State Medicaid agencies or individual health plans</w:t>
      </w:r>
      <w:r w:rsidR="003D35B4">
        <w:t xml:space="preserve">. </w:t>
      </w:r>
      <w:r w:rsidRPr="00F610A7">
        <w:t>Vendors do not sign or submit DUAs</w:t>
      </w:r>
      <w:r w:rsidR="003D35B4">
        <w:t xml:space="preserve">. </w:t>
      </w:r>
      <w:r>
        <w:t>The DUA</w:t>
      </w:r>
      <w:r w:rsidRPr="002A79DD">
        <w:t xml:space="preserve"> requ</w:t>
      </w:r>
      <w:r>
        <w:t xml:space="preserve">ires about </w:t>
      </w:r>
      <w:r w:rsidR="0046502E">
        <w:t>5</w:t>
      </w:r>
      <w:r>
        <w:t xml:space="preserve"> minutes to sign and </w:t>
      </w:r>
      <w:r w:rsidR="0046502E">
        <w:t>upload</w:t>
      </w:r>
      <w:r w:rsidRPr="00C80E9D">
        <w:rPr>
          <w:color w:val="000000" w:themeColor="text1"/>
        </w:rPr>
        <w:t>.</w:t>
      </w:r>
      <w:r w:rsidRPr="00F67546">
        <w:rPr>
          <w:color w:val="FF0000"/>
        </w:rPr>
        <w:t xml:space="preserve"> </w:t>
      </w:r>
      <w:r w:rsidR="005C5414">
        <w:t>Data File Submissions will be completed by the</w:t>
      </w:r>
      <w:r w:rsidRPr="00F610A7" w:rsidR="005C5414">
        <w:t xml:space="preserve"> </w:t>
      </w:r>
      <w:r w:rsidR="005C5414">
        <w:t>115 participating</w:t>
      </w:r>
      <w:r w:rsidRPr="00F610A7" w:rsidR="005C5414">
        <w:t xml:space="preserve"> State Medicaid agencies</w:t>
      </w:r>
      <w:r w:rsidR="005C5414">
        <w:t xml:space="preserve"> and</w:t>
      </w:r>
      <w:r w:rsidRPr="00542F56" w:rsidR="008B5357">
        <w:t xml:space="preserve"> will take about </w:t>
      </w:r>
      <w:r w:rsidR="00F9627A">
        <w:t>1</w:t>
      </w:r>
      <w:r w:rsidRPr="00542F56" w:rsidR="00F9627A">
        <w:t xml:space="preserve"> </w:t>
      </w:r>
      <w:r w:rsidRPr="00542F56" w:rsidR="008B5357">
        <w:t xml:space="preserve">hour to submit the data for each plan, and each POC will submit data for </w:t>
      </w:r>
      <w:r w:rsidRPr="00542F56" w:rsidR="00E531C2">
        <w:t>four</w:t>
      </w:r>
      <w:r w:rsidRPr="00542F56" w:rsidR="008B5357">
        <w:t xml:space="preserve"> plans on average</w:t>
      </w:r>
      <w:r w:rsidRPr="00542F56" w:rsidR="00DC0A2A">
        <w:t xml:space="preserve"> (see Attachment </w:t>
      </w:r>
      <w:r w:rsidR="0046502E">
        <w:t>E</w:t>
      </w:r>
      <w:r w:rsidRPr="00542F56" w:rsidR="00DC0A2A">
        <w:t>)</w:t>
      </w:r>
      <w:r w:rsidR="00EF3BBB">
        <w:t xml:space="preserve">. </w:t>
      </w:r>
      <w:r w:rsidRPr="00542F56" w:rsidR="008B5357">
        <w:t>The tot</w:t>
      </w:r>
      <w:r w:rsidRPr="00542F56" w:rsidR="00DD791C">
        <w:t xml:space="preserve">al burden is estimated to be </w:t>
      </w:r>
      <w:r w:rsidR="00CD1CB4">
        <w:t>71</w:t>
      </w:r>
      <w:r w:rsidR="005E4A3C">
        <w:t>0</w:t>
      </w:r>
      <w:r w:rsidRPr="00542F56" w:rsidR="008B5357">
        <w:t xml:space="preserve"> hours annually.</w:t>
      </w:r>
    </w:p>
    <w:p w:rsidR="002A4430" w:rsidP="002A4430" w14:paraId="1921F0B1" w14:textId="77777777"/>
    <w:p w:rsidR="002A4430" w:rsidRPr="00982E85" w:rsidP="002A4430" w14:paraId="461B6CEC" w14:textId="77777777">
      <w:pPr>
        <w:rPr>
          <w:b/>
        </w:rPr>
      </w:pPr>
      <w:r w:rsidRPr="00982E85">
        <w:rPr>
          <w:b/>
        </w:rPr>
        <w:t>Exhibit 1. Estimated Annualized Burden Hours</w:t>
      </w:r>
    </w:p>
    <w:tbl>
      <w:tblPr>
        <w:tblW w:w="0" w:type="auto"/>
        <w:tblInd w:w="108" w:type="dxa"/>
        <w:tblCellMar>
          <w:left w:w="0" w:type="dxa"/>
          <w:right w:w="0" w:type="dxa"/>
        </w:tblCellMar>
        <w:tblLook w:val="0000"/>
      </w:tblPr>
      <w:tblGrid>
        <w:gridCol w:w="3708"/>
        <w:gridCol w:w="1440"/>
        <w:gridCol w:w="1080"/>
        <w:gridCol w:w="1080"/>
        <w:gridCol w:w="900"/>
      </w:tblGrid>
      <w:tr w14:paraId="043C932C" w14:textId="77777777" w:rsidTr="00035164">
        <w:tblPrEx>
          <w:tblW w:w="0" w:type="auto"/>
          <w:tblInd w:w="108"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P="00035164" w14:paraId="252E8389" w14:textId="77777777">
            <w:pPr>
              <w:jc w:val="center"/>
              <w:rPr>
                <w:sz w:val="20"/>
                <w:szCs w:val="20"/>
              </w:rPr>
            </w:pPr>
            <w:r w:rsidRPr="00F610A7">
              <w:rPr>
                <w:color w:val="000000"/>
                <w:sz w:val="20"/>
                <w:szCs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A4430" w:rsidRPr="00F610A7" w:rsidP="00035164" w14:paraId="0478E488" w14:textId="7BDD6462">
            <w:pPr>
              <w:jc w:val="center"/>
              <w:rPr>
                <w:sz w:val="20"/>
                <w:szCs w:val="20"/>
              </w:rPr>
            </w:pPr>
            <w:r w:rsidRPr="00F610A7">
              <w:rPr>
                <w:color w:val="000000"/>
                <w:sz w:val="20"/>
                <w:szCs w:val="20"/>
              </w:rPr>
              <w:t>Number of respondents</w:t>
            </w:r>
          </w:p>
        </w:tc>
        <w:tc>
          <w:tcPr>
            <w:tcW w:w="1080" w:type="dxa"/>
            <w:tcBorders>
              <w:top w:val="single" w:sz="8" w:space="0" w:color="auto"/>
              <w:left w:val="nil"/>
              <w:bottom w:val="single" w:sz="8" w:space="0" w:color="auto"/>
              <w:right w:val="single" w:sz="4" w:space="0" w:color="auto"/>
            </w:tcBorders>
          </w:tcPr>
          <w:p w:rsidR="002A4430" w:rsidRPr="00F610A7" w:rsidP="00035164" w14:paraId="2CE3ED01" w14:textId="7760EF0C">
            <w:pPr>
              <w:jc w:val="center"/>
              <w:rPr>
                <w:color w:val="000000"/>
                <w:sz w:val="20"/>
                <w:szCs w:val="20"/>
              </w:rPr>
            </w:pPr>
            <w:r w:rsidRPr="00F610A7">
              <w:rPr>
                <w:color w:val="000000"/>
                <w:sz w:val="20"/>
                <w:szCs w:val="20"/>
              </w:rPr>
              <w:t xml:space="preserve">Number of responses per </w:t>
            </w:r>
            <w:r w:rsidR="0016783B">
              <w:rPr>
                <w:color w:val="000000"/>
                <w:sz w:val="20"/>
                <w:szCs w:val="20"/>
              </w:rPr>
              <w:t>respondent</w:t>
            </w:r>
          </w:p>
        </w:tc>
        <w:tc>
          <w:tcPr>
            <w:tcW w:w="1080" w:type="dxa"/>
            <w:tcBorders>
              <w:top w:val="single" w:sz="8" w:space="0" w:color="auto"/>
              <w:left w:val="single" w:sz="4" w:space="0" w:color="auto"/>
              <w:bottom w:val="single" w:sz="8" w:space="0" w:color="auto"/>
              <w:right w:val="single" w:sz="8" w:space="0" w:color="auto"/>
            </w:tcBorders>
            <w:vAlign w:val="center"/>
          </w:tcPr>
          <w:p w:rsidR="002A4430" w:rsidRPr="00F610A7" w:rsidP="00035164" w14:paraId="3F0810A9" w14:textId="77777777">
            <w:pPr>
              <w:jc w:val="center"/>
              <w:rPr>
                <w:sz w:val="20"/>
                <w:szCs w:val="20"/>
              </w:rPr>
            </w:pPr>
            <w:r w:rsidRPr="00F610A7">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P="00035164" w14:paraId="3374004F" w14:textId="77777777">
            <w:pPr>
              <w:jc w:val="center"/>
              <w:rPr>
                <w:sz w:val="20"/>
                <w:szCs w:val="20"/>
              </w:rPr>
            </w:pPr>
            <w:r w:rsidRPr="00F610A7">
              <w:rPr>
                <w:color w:val="000000"/>
                <w:sz w:val="20"/>
                <w:szCs w:val="20"/>
              </w:rPr>
              <w:t>Total burden hours</w:t>
            </w:r>
          </w:p>
        </w:tc>
      </w:tr>
      <w:tr w14:paraId="1D1C292D" w14:textId="77777777" w:rsidTr="00035164">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P="00035164" w14:paraId="22E6A281" w14:textId="77777777">
            <w:pPr>
              <w:rPr>
                <w:sz w:val="20"/>
                <w:szCs w:val="20"/>
              </w:rPr>
            </w:pPr>
            <w:r w:rsidRPr="00F610A7">
              <w:rPr>
                <w:sz w:val="20"/>
                <w:szCs w:val="20"/>
              </w:rPr>
              <w:t xml:space="preserve">Registration </w:t>
            </w:r>
            <w:r>
              <w:rPr>
                <w:sz w:val="20"/>
                <w:szCs w:val="20"/>
              </w:rPr>
              <w:t>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RPr="00F610A7" w:rsidP="00035164" w14:paraId="04F4E617" w14:textId="0F40BADC">
            <w:pPr>
              <w:jc w:val="center"/>
              <w:rPr>
                <w:sz w:val="20"/>
                <w:szCs w:val="20"/>
              </w:rPr>
            </w:pPr>
            <w:r>
              <w:rPr>
                <w:sz w:val="20"/>
                <w:szCs w:val="20"/>
              </w:rPr>
              <w:t>125</w:t>
            </w:r>
          </w:p>
        </w:tc>
        <w:tc>
          <w:tcPr>
            <w:tcW w:w="1080" w:type="dxa"/>
            <w:tcBorders>
              <w:top w:val="single" w:sz="8" w:space="0" w:color="auto"/>
              <w:left w:val="nil"/>
              <w:bottom w:val="single" w:sz="8" w:space="0" w:color="auto"/>
              <w:right w:val="single" w:sz="4" w:space="0" w:color="auto"/>
            </w:tcBorders>
          </w:tcPr>
          <w:p w:rsidR="002A4430" w:rsidRPr="00F610A7" w:rsidP="00035164" w14:paraId="422BAED0" w14:textId="77777777">
            <w:pPr>
              <w:jc w:val="center"/>
              <w:rPr>
                <w:sz w:val="20"/>
                <w:szCs w:val="20"/>
              </w:rPr>
            </w:pPr>
            <w:r w:rsidRPr="00F610A7">
              <w:rPr>
                <w:sz w:val="20"/>
                <w:szCs w:val="20"/>
              </w:rPr>
              <w:t>1</w:t>
            </w:r>
          </w:p>
        </w:tc>
        <w:tc>
          <w:tcPr>
            <w:tcW w:w="1080" w:type="dxa"/>
            <w:tcBorders>
              <w:top w:val="nil"/>
              <w:left w:val="single" w:sz="4" w:space="0" w:color="auto"/>
              <w:bottom w:val="single" w:sz="8" w:space="0" w:color="auto"/>
              <w:right w:val="single" w:sz="8" w:space="0" w:color="auto"/>
            </w:tcBorders>
            <w:vAlign w:val="center"/>
          </w:tcPr>
          <w:p w:rsidR="002A4430" w:rsidRPr="00F610A7" w:rsidP="00035164" w14:paraId="20DE2CB8" w14:textId="77777777">
            <w:pPr>
              <w:jc w:val="center"/>
              <w:rPr>
                <w:sz w:val="20"/>
                <w:szCs w:val="20"/>
              </w:rPr>
            </w:pPr>
            <w:r>
              <w:rPr>
                <w:sz w:val="20"/>
                <w:szCs w:val="20"/>
              </w:rPr>
              <w:t>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P="00035164" w14:paraId="06664971" w14:textId="4818133A">
            <w:pPr>
              <w:jc w:val="center"/>
              <w:rPr>
                <w:sz w:val="20"/>
                <w:szCs w:val="20"/>
              </w:rPr>
            </w:pPr>
            <w:r>
              <w:rPr>
                <w:sz w:val="20"/>
                <w:szCs w:val="20"/>
              </w:rPr>
              <w:t>1</w:t>
            </w:r>
            <w:r w:rsidR="00BB4044">
              <w:rPr>
                <w:sz w:val="20"/>
                <w:szCs w:val="20"/>
              </w:rPr>
              <w:t>0</w:t>
            </w:r>
          </w:p>
        </w:tc>
      </w:tr>
      <w:tr w14:paraId="149C17D5" w14:textId="77777777" w:rsidTr="00035164">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P="00035164" w14:paraId="5C6474DE" w14:textId="77777777">
            <w:pPr>
              <w:rPr>
                <w:sz w:val="20"/>
                <w:szCs w:val="20"/>
              </w:rPr>
            </w:pPr>
            <w:r>
              <w:rPr>
                <w:sz w:val="20"/>
                <w:szCs w:val="20"/>
              </w:rPr>
              <w:t xml:space="preserve">Health Plan Information </w:t>
            </w:r>
            <w:r w:rsidRPr="00F610A7">
              <w:rPr>
                <w:sz w:val="20"/>
                <w:szCs w:val="20"/>
              </w:rPr>
              <w:t>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P="00035164" w14:paraId="14E45A78" w14:textId="4E35E153">
            <w:pPr>
              <w:jc w:val="center"/>
              <w:rPr>
                <w:sz w:val="20"/>
                <w:szCs w:val="20"/>
              </w:rPr>
            </w:pPr>
            <w:r>
              <w:rPr>
                <w:sz w:val="20"/>
                <w:szCs w:val="20"/>
              </w:rPr>
              <w:t>115</w:t>
            </w:r>
          </w:p>
        </w:tc>
        <w:tc>
          <w:tcPr>
            <w:tcW w:w="1080" w:type="dxa"/>
            <w:tcBorders>
              <w:top w:val="single" w:sz="8" w:space="0" w:color="auto"/>
              <w:left w:val="nil"/>
              <w:bottom w:val="single" w:sz="8" w:space="0" w:color="auto"/>
              <w:right w:val="single" w:sz="4" w:space="0" w:color="auto"/>
            </w:tcBorders>
          </w:tcPr>
          <w:p w:rsidR="002A4430" w:rsidRPr="00F610A7" w:rsidP="00035164" w14:paraId="176F5DB3" w14:textId="77777777">
            <w:pPr>
              <w:jc w:val="center"/>
              <w:rPr>
                <w:sz w:val="20"/>
                <w:szCs w:val="20"/>
              </w:rPr>
            </w:pPr>
            <w:r>
              <w:rPr>
                <w:sz w:val="20"/>
                <w:szCs w:val="20"/>
              </w:rPr>
              <w:t>4</w:t>
            </w:r>
          </w:p>
        </w:tc>
        <w:tc>
          <w:tcPr>
            <w:tcW w:w="1080" w:type="dxa"/>
            <w:tcBorders>
              <w:top w:val="nil"/>
              <w:left w:val="single" w:sz="4" w:space="0" w:color="auto"/>
              <w:bottom w:val="single" w:sz="8" w:space="0" w:color="auto"/>
              <w:right w:val="single" w:sz="8" w:space="0" w:color="auto"/>
            </w:tcBorders>
            <w:vAlign w:val="center"/>
          </w:tcPr>
          <w:p w:rsidR="002A4430" w:rsidRPr="00F610A7" w:rsidP="00035164" w14:paraId="266A6708" w14:textId="77777777">
            <w:pPr>
              <w:jc w:val="center"/>
              <w:rPr>
                <w:sz w:val="20"/>
                <w:szCs w:val="20"/>
              </w:rPr>
            </w:pPr>
            <w:r>
              <w:rPr>
                <w:sz w:val="20"/>
                <w:szCs w:val="20"/>
              </w:rPr>
              <w:t>30</w:t>
            </w:r>
            <w:r>
              <w:rPr>
                <w:sz w:val="20"/>
                <w:szCs w:val="20"/>
              </w:rPr>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P="00035164" w14:paraId="5AFF70ED" w14:textId="56F7411F">
            <w:pPr>
              <w:jc w:val="center"/>
              <w:rPr>
                <w:sz w:val="20"/>
                <w:szCs w:val="20"/>
              </w:rPr>
            </w:pPr>
            <w:r>
              <w:rPr>
                <w:sz w:val="20"/>
                <w:szCs w:val="20"/>
              </w:rPr>
              <w:t>230</w:t>
            </w:r>
          </w:p>
        </w:tc>
      </w:tr>
      <w:tr w14:paraId="6EC67912" w14:textId="77777777" w:rsidTr="00035164">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P="00035164" w14:paraId="434AF0CA" w14:textId="77777777">
            <w:pPr>
              <w:rPr>
                <w:sz w:val="20"/>
                <w:szCs w:val="20"/>
              </w:rPr>
            </w:pPr>
            <w:r w:rsidRPr="00F610A7">
              <w:rPr>
                <w:sz w:val="20"/>
                <w:szCs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RPr="00F610A7" w:rsidP="00035164" w14:paraId="2D0447E1" w14:textId="668A398C">
            <w:pPr>
              <w:jc w:val="center"/>
              <w:rPr>
                <w:sz w:val="20"/>
                <w:szCs w:val="20"/>
              </w:rPr>
            </w:pPr>
            <w:r>
              <w:rPr>
                <w:sz w:val="20"/>
                <w:szCs w:val="20"/>
              </w:rPr>
              <w:t>115</w:t>
            </w:r>
          </w:p>
        </w:tc>
        <w:tc>
          <w:tcPr>
            <w:tcW w:w="1080" w:type="dxa"/>
            <w:tcBorders>
              <w:top w:val="single" w:sz="8" w:space="0" w:color="auto"/>
              <w:left w:val="nil"/>
              <w:bottom w:val="single" w:sz="8" w:space="0" w:color="auto"/>
              <w:right w:val="single" w:sz="4" w:space="0" w:color="auto"/>
            </w:tcBorders>
          </w:tcPr>
          <w:p w:rsidR="002A4430" w:rsidRPr="00F610A7" w:rsidP="00035164" w14:paraId="18465C0E" w14:textId="77777777">
            <w:pPr>
              <w:jc w:val="center"/>
              <w:rPr>
                <w:sz w:val="20"/>
                <w:szCs w:val="20"/>
              </w:rPr>
            </w:pPr>
            <w:r w:rsidRPr="00F610A7">
              <w:rPr>
                <w:sz w:val="20"/>
                <w:szCs w:val="20"/>
              </w:rPr>
              <w:t>1</w:t>
            </w:r>
          </w:p>
        </w:tc>
        <w:tc>
          <w:tcPr>
            <w:tcW w:w="1080" w:type="dxa"/>
            <w:tcBorders>
              <w:top w:val="nil"/>
              <w:left w:val="single" w:sz="4" w:space="0" w:color="auto"/>
              <w:bottom w:val="single" w:sz="8" w:space="0" w:color="auto"/>
              <w:right w:val="single" w:sz="8" w:space="0" w:color="auto"/>
            </w:tcBorders>
            <w:vAlign w:val="center"/>
          </w:tcPr>
          <w:p w:rsidR="002A4430" w:rsidRPr="00F610A7" w:rsidP="00035164" w14:paraId="5E464C57" w14:textId="34274193">
            <w:pPr>
              <w:jc w:val="center"/>
              <w:rPr>
                <w:sz w:val="20"/>
                <w:szCs w:val="20"/>
              </w:rPr>
            </w:pPr>
            <w:r>
              <w:rPr>
                <w:sz w:val="20"/>
                <w:szCs w:val="20"/>
              </w:rPr>
              <w:t>5</w:t>
            </w:r>
            <w:r>
              <w:rPr>
                <w:sz w:val="20"/>
                <w:szCs w:val="20"/>
              </w:rPr>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P="00035164" w14:paraId="49EB9BD8" w14:textId="5FCE904A">
            <w:pPr>
              <w:jc w:val="center"/>
              <w:rPr>
                <w:sz w:val="20"/>
                <w:szCs w:val="20"/>
              </w:rPr>
            </w:pPr>
            <w:r>
              <w:rPr>
                <w:sz w:val="20"/>
                <w:szCs w:val="20"/>
              </w:rPr>
              <w:t>10</w:t>
            </w:r>
          </w:p>
        </w:tc>
      </w:tr>
      <w:tr w14:paraId="31CAD19D" w14:textId="77777777" w:rsidTr="00FD4BD4">
        <w:tblPrEx>
          <w:tblW w:w="0" w:type="auto"/>
          <w:tblInd w:w="108" w:type="dxa"/>
          <w:tblCellMar>
            <w:left w:w="0" w:type="dxa"/>
            <w:right w:w="0" w:type="dxa"/>
          </w:tblCellMar>
          <w:tblLook w:val="0000"/>
        </w:tblPrEx>
        <w:trPr>
          <w:trHeight w:val="241"/>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P="00035164" w14:paraId="4F1F8BF1" w14:textId="77777777">
            <w:pPr>
              <w:rPr>
                <w:sz w:val="20"/>
                <w:szCs w:val="20"/>
              </w:rPr>
            </w:pPr>
            <w:r>
              <w:rPr>
                <w:sz w:val="20"/>
                <w:szCs w:val="20"/>
              </w:rPr>
              <w:t>Data Files Submission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RPr="00F610A7" w:rsidP="00035164" w14:paraId="084885AE" w14:textId="2E6937CC">
            <w:pPr>
              <w:jc w:val="center"/>
              <w:rPr>
                <w:sz w:val="20"/>
                <w:szCs w:val="20"/>
              </w:rPr>
            </w:pPr>
            <w:r>
              <w:rPr>
                <w:sz w:val="20"/>
                <w:szCs w:val="20"/>
              </w:rPr>
              <w:t>115</w:t>
            </w:r>
          </w:p>
        </w:tc>
        <w:tc>
          <w:tcPr>
            <w:tcW w:w="1080" w:type="dxa"/>
            <w:tcBorders>
              <w:top w:val="single" w:sz="8" w:space="0" w:color="auto"/>
              <w:left w:val="nil"/>
              <w:bottom w:val="single" w:sz="8" w:space="0" w:color="auto"/>
              <w:right w:val="single" w:sz="4" w:space="0" w:color="auto"/>
            </w:tcBorders>
            <w:vAlign w:val="center"/>
          </w:tcPr>
          <w:p w:rsidR="002A4430" w:rsidRPr="00F610A7" w:rsidP="00035164" w14:paraId="613D119E" w14:textId="77777777">
            <w:pPr>
              <w:jc w:val="center"/>
              <w:rPr>
                <w:sz w:val="20"/>
                <w:szCs w:val="20"/>
              </w:rPr>
            </w:pPr>
            <w:r w:rsidRPr="00F610A7">
              <w:rPr>
                <w:sz w:val="20"/>
                <w:szCs w:val="20"/>
              </w:rPr>
              <w:t>4</w:t>
            </w:r>
          </w:p>
        </w:tc>
        <w:tc>
          <w:tcPr>
            <w:tcW w:w="1080" w:type="dxa"/>
            <w:tcBorders>
              <w:top w:val="nil"/>
              <w:left w:val="single" w:sz="4" w:space="0" w:color="auto"/>
              <w:bottom w:val="single" w:sz="8" w:space="0" w:color="auto"/>
              <w:right w:val="single" w:sz="8" w:space="0" w:color="auto"/>
            </w:tcBorders>
            <w:vAlign w:val="center"/>
          </w:tcPr>
          <w:p w:rsidR="002A4430" w:rsidRPr="00F610A7" w:rsidP="00035164" w14:paraId="7ED9B715" w14:textId="77777777">
            <w:pPr>
              <w:jc w:val="center"/>
              <w:rPr>
                <w:sz w:val="20"/>
                <w:szCs w:val="20"/>
              </w:rPr>
            </w:pPr>
            <w:r>
              <w:rPr>
                <w:sz w:val="20"/>
                <w:szCs w:val="20"/>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P="00035164" w14:paraId="015194EC" w14:textId="2A81E37D">
            <w:pPr>
              <w:jc w:val="center"/>
              <w:rPr>
                <w:sz w:val="20"/>
                <w:szCs w:val="20"/>
              </w:rPr>
            </w:pPr>
            <w:r>
              <w:rPr>
                <w:sz w:val="20"/>
                <w:szCs w:val="20"/>
              </w:rPr>
              <w:t>460</w:t>
            </w:r>
          </w:p>
        </w:tc>
      </w:tr>
      <w:tr w14:paraId="4A21DE38" w14:textId="77777777" w:rsidTr="00035164">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982E85" w:rsidP="00035164" w14:paraId="4CD8507F" w14:textId="77777777">
            <w:pPr>
              <w:rPr>
                <w:bCs/>
                <w:sz w:val="20"/>
                <w:szCs w:val="20"/>
              </w:rPr>
            </w:pPr>
            <w:r w:rsidRPr="00982E85">
              <w:rPr>
                <w:bCs/>
                <w:sz w:val="20"/>
                <w:szCs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RPr="00982E85" w:rsidP="00035164" w14:paraId="21950306" w14:textId="5F486435">
            <w:pPr>
              <w:jc w:val="center"/>
              <w:rPr>
                <w:bCs/>
                <w:sz w:val="20"/>
                <w:szCs w:val="20"/>
              </w:rPr>
            </w:pPr>
            <w:r>
              <w:rPr>
                <w:bCs/>
                <w:sz w:val="20"/>
                <w:szCs w:val="20"/>
              </w:rPr>
              <w:t>470</w:t>
            </w:r>
          </w:p>
        </w:tc>
        <w:tc>
          <w:tcPr>
            <w:tcW w:w="1080" w:type="dxa"/>
            <w:tcBorders>
              <w:top w:val="single" w:sz="8" w:space="0" w:color="auto"/>
              <w:left w:val="nil"/>
              <w:bottom w:val="single" w:sz="8" w:space="0" w:color="auto"/>
              <w:right w:val="single" w:sz="4" w:space="0" w:color="auto"/>
            </w:tcBorders>
          </w:tcPr>
          <w:p w:rsidR="002A4430" w:rsidRPr="00982E85" w:rsidP="00035164" w14:paraId="6CA1C81B" w14:textId="77777777">
            <w:pPr>
              <w:jc w:val="center"/>
              <w:rPr>
                <w:bCs/>
                <w:color w:val="000000"/>
                <w:sz w:val="20"/>
                <w:szCs w:val="20"/>
              </w:rPr>
            </w:pPr>
            <w:r w:rsidRPr="00982E85">
              <w:rPr>
                <w:bCs/>
                <w:color w:val="000000"/>
                <w:sz w:val="20"/>
                <w:szCs w:val="20"/>
              </w:rPr>
              <w:t>NA</w:t>
            </w:r>
          </w:p>
        </w:tc>
        <w:tc>
          <w:tcPr>
            <w:tcW w:w="1080" w:type="dxa"/>
            <w:tcBorders>
              <w:top w:val="nil"/>
              <w:left w:val="single" w:sz="4" w:space="0" w:color="auto"/>
              <w:bottom w:val="single" w:sz="8" w:space="0" w:color="auto"/>
              <w:right w:val="single" w:sz="8" w:space="0" w:color="auto"/>
            </w:tcBorders>
          </w:tcPr>
          <w:p w:rsidR="002A4430" w:rsidRPr="00982E85" w:rsidP="00035164" w14:paraId="1586A63A" w14:textId="77777777">
            <w:pPr>
              <w:jc w:val="center"/>
              <w:rPr>
                <w:bCs/>
                <w:color w:val="000000"/>
                <w:sz w:val="20"/>
                <w:szCs w:val="20"/>
              </w:rPr>
            </w:pPr>
            <w:r w:rsidRPr="00982E85">
              <w:rPr>
                <w:bCs/>
                <w:color w:val="000000"/>
                <w:sz w:val="20"/>
                <w:szCs w:val="2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982E85" w:rsidP="00035164" w14:paraId="69A3C0A1" w14:textId="2B7D58DF">
            <w:pPr>
              <w:jc w:val="center"/>
              <w:rPr>
                <w:bCs/>
                <w:sz w:val="20"/>
                <w:szCs w:val="20"/>
              </w:rPr>
            </w:pPr>
            <w:r>
              <w:rPr>
                <w:bCs/>
                <w:sz w:val="20"/>
                <w:szCs w:val="20"/>
              </w:rPr>
              <w:t>71</w:t>
            </w:r>
            <w:r w:rsidR="005E4A3C">
              <w:rPr>
                <w:bCs/>
                <w:sz w:val="20"/>
                <w:szCs w:val="20"/>
              </w:rPr>
              <w:t>0</w:t>
            </w:r>
          </w:p>
        </w:tc>
      </w:tr>
    </w:tbl>
    <w:p w:rsidR="002A4430" w:rsidP="002A4430" w14:paraId="1056DC3E" w14:textId="77777777"/>
    <w:p w:rsidR="002B3186" w:rsidRPr="007F5D55" w:rsidP="00A32B83" w14:paraId="6F4BFE74" w14:textId="74EFB769">
      <w:pPr>
        <w:rPr>
          <w:b/>
          <w:bCs/>
          <w:color w:val="000000"/>
        </w:rPr>
      </w:pPr>
      <w:r w:rsidRPr="007F5D55">
        <w:t xml:space="preserve">Exhibit 2 shows the estimated annualized cost burden based on the respondents’ time to complete </w:t>
      </w:r>
      <w:r w:rsidR="00060E72">
        <w:t>one</w:t>
      </w:r>
      <w:r w:rsidRPr="007F5D55" w:rsidR="00060E72">
        <w:t xml:space="preserve"> </w:t>
      </w:r>
      <w:r w:rsidRPr="007F5D55">
        <w:t>submission process. The cost burden is estimated to be $</w:t>
      </w:r>
      <w:r w:rsidR="00C438D7">
        <w:t>3</w:t>
      </w:r>
      <w:r w:rsidR="007A5441">
        <w:t>8</w:t>
      </w:r>
      <w:r w:rsidR="00C438D7">
        <w:t>,</w:t>
      </w:r>
      <w:r w:rsidR="007A5441">
        <w:t>685</w:t>
      </w:r>
      <w:r w:rsidRPr="007F5D55" w:rsidR="007F5D55">
        <w:t xml:space="preserve"> </w:t>
      </w:r>
      <w:r w:rsidRPr="007F5D55">
        <w:t>annually.</w:t>
      </w:r>
    </w:p>
    <w:p w:rsidR="002B3186" w:rsidRPr="007F5D55" w:rsidP="005F3348" w14:paraId="516D905D" w14:textId="77777777">
      <w:pPr>
        <w:rPr>
          <w:b/>
          <w:bCs/>
        </w:rPr>
      </w:pPr>
    </w:p>
    <w:p w:rsidR="002B3186" w:rsidRPr="007F5D55" w:rsidP="005F3348" w14:paraId="73483319" w14:textId="77777777">
      <w:pPr>
        <w:rPr>
          <w:b/>
          <w:bCs/>
        </w:rPr>
      </w:pPr>
      <w:r w:rsidRPr="007F5D55">
        <w:rPr>
          <w:b/>
          <w:bCs/>
        </w:rPr>
        <w:t>Exhibit 2.  Estimated annualized cost burden</w:t>
      </w:r>
    </w:p>
    <w:tbl>
      <w:tblPr>
        <w:tblW w:w="8030" w:type="dxa"/>
        <w:tblInd w:w="108" w:type="dxa"/>
        <w:tblCellMar>
          <w:left w:w="0" w:type="dxa"/>
          <w:right w:w="0" w:type="dxa"/>
        </w:tblCellMar>
        <w:tblLook w:val="0000"/>
      </w:tblPr>
      <w:tblGrid>
        <w:gridCol w:w="2970"/>
        <w:gridCol w:w="1440"/>
        <w:gridCol w:w="900"/>
        <w:gridCol w:w="1460"/>
        <w:gridCol w:w="1260"/>
      </w:tblGrid>
      <w:tr w14:paraId="57A34C12" w14:textId="77777777" w:rsidTr="00EF3BBB">
        <w:tblPrEx>
          <w:tblW w:w="8030" w:type="dxa"/>
          <w:tblInd w:w="108" w:type="dxa"/>
          <w:tblCellMar>
            <w:left w:w="0" w:type="dxa"/>
            <w:right w:w="0" w:type="dxa"/>
          </w:tblCellMar>
          <w:tblLook w:val="0000"/>
        </w:tblPrEx>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1B42" w:rsidRPr="007F5D55" w:rsidP="00035164" w14:paraId="33DD34D4" w14:textId="77777777">
            <w:pPr>
              <w:jc w:val="center"/>
              <w:rPr>
                <w:sz w:val="20"/>
                <w:szCs w:val="20"/>
              </w:rPr>
            </w:pPr>
            <w:r w:rsidRPr="007F5D55">
              <w:rPr>
                <w:color w:val="000000"/>
                <w:sz w:val="20"/>
                <w:szCs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1B42" w:rsidRPr="007F5D55" w:rsidP="00035164" w14:paraId="48406E79" w14:textId="77777777">
            <w:pPr>
              <w:jc w:val="center"/>
              <w:rPr>
                <w:sz w:val="20"/>
                <w:szCs w:val="20"/>
              </w:rPr>
            </w:pPr>
            <w:r w:rsidRPr="007F5D55">
              <w:rPr>
                <w:color w:val="000000"/>
                <w:sz w:val="20"/>
                <w:szCs w:val="20"/>
              </w:rPr>
              <w:t>Number of respondents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1B42" w:rsidRPr="007F5D55" w:rsidP="00035164" w14:paraId="6ADB0068" w14:textId="77777777">
            <w:pPr>
              <w:jc w:val="center"/>
              <w:rPr>
                <w:sz w:val="20"/>
                <w:szCs w:val="20"/>
              </w:rPr>
            </w:pPr>
            <w:r w:rsidRPr="007F5D55">
              <w:rPr>
                <w:color w:val="000000"/>
                <w:sz w:val="20"/>
                <w:szCs w:val="20"/>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1B42" w:rsidRPr="007F5D55" w:rsidP="00D56DCF" w14:paraId="6EAB778F" w14:textId="77777777">
            <w:pPr>
              <w:jc w:val="center"/>
              <w:rPr>
                <w:sz w:val="20"/>
                <w:szCs w:val="20"/>
              </w:rPr>
            </w:pPr>
            <w:r w:rsidRPr="007F5D55">
              <w:rPr>
                <w:color w:val="000000"/>
                <w:sz w:val="20"/>
                <w:szCs w:val="20"/>
              </w:rPr>
              <w:t>Average Hourly Wage Rate*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1B42" w:rsidRPr="007F5D55" w:rsidP="00035164" w14:paraId="4316AACD" w14:textId="77777777">
            <w:pPr>
              <w:jc w:val="center"/>
              <w:rPr>
                <w:sz w:val="20"/>
                <w:szCs w:val="20"/>
              </w:rPr>
            </w:pPr>
            <w:r w:rsidRPr="007F5D55">
              <w:rPr>
                <w:color w:val="000000"/>
                <w:sz w:val="20"/>
                <w:szCs w:val="20"/>
              </w:rPr>
              <w:t>Total Cost burden</w:t>
            </w:r>
          </w:p>
        </w:tc>
      </w:tr>
      <w:tr w14:paraId="19EF92F1" w14:textId="77777777" w:rsidTr="00C95A0E">
        <w:tblPrEx>
          <w:tblW w:w="8030" w:type="dxa"/>
          <w:tblInd w:w="108" w:type="dxa"/>
          <w:tblCellMar>
            <w:left w:w="0" w:type="dxa"/>
            <w:right w:w="0" w:type="dxa"/>
          </w:tblCellMar>
          <w:tblLook w:val="0000"/>
        </w:tblPrEx>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71DC" w:rsidRPr="007F5D55" w:rsidP="00CB71DC" w14:paraId="2EAA20F6" w14:textId="77777777">
            <w:pPr>
              <w:rPr>
                <w:sz w:val="20"/>
                <w:szCs w:val="20"/>
              </w:rPr>
            </w:pPr>
            <w:r w:rsidRPr="007F5D55">
              <w:rPr>
                <w:sz w:val="20"/>
                <w:szCs w:val="20"/>
              </w:rPr>
              <w:t xml:space="preserve">Registration Form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C" w:rsidRPr="007F5D55" w:rsidP="00CB71DC" w14:paraId="4FBF4FB6" w14:textId="0CE5B0D7">
            <w:pPr>
              <w:jc w:val="center"/>
              <w:rPr>
                <w:sz w:val="20"/>
                <w:szCs w:val="20"/>
              </w:rPr>
            </w:pPr>
            <w:r>
              <w:rPr>
                <w:sz w:val="20"/>
                <w:szCs w:val="20"/>
              </w:rPr>
              <w:t>125</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71DC" w:rsidRPr="007F5D55" w:rsidP="00CB71DC" w14:paraId="7961EADB" w14:textId="5D785A24">
            <w:pPr>
              <w:jc w:val="center"/>
              <w:rPr>
                <w:sz w:val="20"/>
                <w:szCs w:val="20"/>
              </w:rPr>
            </w:pPr>
            <w:r>
              <w:rPr>
                <w:sz w:val="20"/>
                <w:szCs w:val="20"/>
              </w:rPr>
              <w:t>1</w:t>
            </w:r>
            <w:r w:rsidR="005E4A3C">
              <w:rPr>
                <w:sz w:val="20"/>
                <w:szCs w:val="20"/>
              </w:rPr>
              <w:t>0</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C" w:rsidRPr="00982E85" w:rsidP="00CB71DC" w14:paraId="3C7BC96C" w14:textId="07D093CE">
            <w:pPr>
              <w:jc w:val="center"/>
              <w:rPr>
                <w:sz w:val="20"/>
                <w:szCs w:val="20"/>
                <w:vertAlign w:val="superscript"/>
              </w:rPr>
            </w:pPr>
            <w:r>
              <w:rPr>
                <w:sz w:val="20"/>
                <w:szCs w:val="20"/>
              </w:rPr>
              <w:t>61</w:t>
            </w:r>
            <w:r w:rsidR="00C438D7">
              <w:rPr>
                <w:sz w:val="20"/>
                <w:szCs w:val="20"/>
              </w:rPr>
              <w:t>.</w:t>
            </w:r>
            <w:r>
              <w:rPr>
                <w:sz w:val="20"/>
                <w:szCs w:val="20"/>
              </w:rPr>
              <w:t>53</w:t>
            </w:r>
            <w:r>
              <w:rPr>
                <w:sz w:val="20"/>
                <w:szCs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C" w:rsidRPr="007F5D55" w:rsidP="00CB71DC" w14:paraId="73EB036E" w14:textId="77CBFAB4">
            <w:pPr>
              <w:jc w:val="right"/>
              <w:rPr>
                <w:sz w:val="20"/>
                <w:szCs w:val="20"/>
              </w:rPr>
            </w:pPr>
            <w:r>
              <w:rPr>
                <w:sz w:val="20"/>
                <w:szCs w:val="20"/>
              </w:rPr>
              <w:t>$</w:t>
            </w:r>
            <w:r w:rsidR="006E5D05">
              <w:rPr>
                <w:sz w:val="20"/>
                <w:szCs w:val="20"/>
              </w:rPr>
              <w:t>615</w:t>
            </w:r>
          </w:p>
        </w:tc>
      </w:tr>
      <w:tr w14:paraId="575E46E2" w14:textId="77777777" w:rsidTr="00C95A0E">
        <w:tblPrEx>
          <w:tblW w:w="8030" w:type="dxa"/>
          <w:tblInd w:w="108" w:type="dxa"/>
          <w:tblCellMar>
            <w:left w:w="0" w:type="dxa"/>
            <w:right w:w="0" w:type="dxa"/>
          </w:tblCellMar>
          <w:tblLook w:val="0000"/>
        </w:tblPrEx>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71DC" w:rsidRPr="007F5D55" w:rsidP="00CB71DC" w14:paraId="16E4E452" w14:textId="77777777">
            <w:pPr>
              <w:rPr>
                <w:sz w:val="20"/>
                <w:szCs w:val="20"/>
              </w:rPr>
            </w:pPr>
            <w:r w:rsidRPr="007F5D55">
              <w:rPr>
                <w:sz w:val="20"/>
                <w:szCs w:val="20"/>
              </w:rPr>
              <w:t>Health Plan Information</w:t>
            </w:r>
            <w:r>
              <w:rPr>
                <w:sz w:val="20"/>
                <w:szCs w:val="20"/>
              </w:rPr>
              <w:t xml:space="preserve"> 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C" w:rsidRPr="007F5D55" w:rsidP="00CB71DC" w14:paraId="6617DD2D" w14:textId="016C74CC">
            <w:pPr>
              <w:jc w:val="center"/>
              <w:rPr>
                <w:sz w:val="20"/>
                <w:szCs w:val="20"/>
              </w:rPr>
            </w:pPr>
            <w:r>
              <w:rPr>
                <w:sz w:val="20"/>
                <w:szCs w:val="20"/>
              </w:rPr>
              <w:t>115</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71DC" w:rsidRPr="007F5D55" w:rsidP="00CB71DC" w14:paraId="3C8CFAD0" w14:textId="38C9597A">
            <w:pPr>
              <w:jc w:val="center"/>
              <w:rPr>
                <w:sz w:val="20"/>
                <w:szCs w:val="20"/>
              </w:rPr>
            </w:pPr>
            <w:r>
              <w:rPr>
                <w:sz w:val="20"/>
                <w:szCs w:val="20"/>
              </w:rPr>
              <w:t>230</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C" w:rsidRPr="00982E85" w:rsidP="00CB71DC" w14:paraId="077ED3E2" w14:textId="20DE0CF7">
            <w:pPr>
              <w:jc w:val="center"/>
              <w:rPr>
                <w:sz w:val="20"/>
                <w:szCs w:val="20"/>
                <w:vertAlign w:val="superscript"/>
              </w:rPr>
            </w:pPr>
            <w:r>
              <w:rPr>
                <w:sz w:val="20"/>
                <w:szCs w:val="20"/>
              </w:rPr>
              <w:t>61</w:t>
            </w:r>
            <w:r w:rsidR="00C438D7">
              <w:rPr>
                <w:sz w:val="20"/>
                <w:szCs w:val="20"/>
              </w:rPr>
              <w:t>.</w:t>
            </w:r>
            <w:r>
              <w:rPr>
                <w:sz w:val="20"/>
                <w:szCs w:val="20"/>
              </w:rPr>
              <w:t>53</w:t>
            </w:r>
            <w:r>
              <w:rPr>
                <w:sz w:val="20"/>
                <w:szCs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C" w:rsidRPr="007F5D55" w:rsidP="00CB71DC" w14:paraId="2793422C" w14:textId="1E33F2A8">
            <w:pPr>
              <w:jc w:val="right"/>
              <w:rPr>
                <w:sz w:val="20"/>
                <w:szCs w:val="20"/>
              </w:rPr>
            </w:pPr>
            <w:r>
              <w:rPr>
                <w:sz w:val="20"/>
                <w:szCs w:val="20"/>
              </w:rPr>
              <w:t>$</w:t>
            </w:r>
            <w:r w:rsidR="00C438D7">
              <w:rPr>
                <w:sz w:val="20"/>
                <w:szCs w:val="20"/>
              </w:rPr>
              <w:t>1</w:t>
            </w:r>
            <w:r w:rsidR="006E5D05">
              <w:rPr>
                <w:sz w:val="20"/>
                <w:szCs w:val="20"/>
              </w:rPr>
              <w:t>4</w:t>
            </w:r>
            <w:r w:rsidR="00C438D7">
              <w:rPr>
                <w:sz w:val="20"/>
                <w:szCs w:val="20"/>
              </w:rPr>
              <w:t>,</w:t>
            </w:r>
            <w:r w:rsidR="006E5D05">
              <w:rPr>
                <w:sz w:val="20"/>
                <w:szCs w:val="20"/>
              </w:rPr>
              <w:t>152</w:t>
            </w:r>
          </w:p>
        </w:tc>
      </w:tr>
      <w:tr w14:paraId="0D4FF3B5" w14:textId="77777777" w:rsidTr="00C95A0E">
        <w:tblPrEx>
          <w:tblW w:w="8030" w:type="dxa"/>
          <w:tblInd w:w="108" w:type="dxa"/>
          <w:tblCellMar>
            <w:left w:w="0" w:type="dxa"/>
            <w:right w:w="0" w:type="dxa"/>
          </w:tblCellMar>
          <w:tblLook w:val="0000"/>
        </w:tblPrEx>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71DC" w:rsidRPr="007F5D55" w:rsidP="00CB71DC" w14:paraId="56D22F15" w14:textId="77777777">
            <w:pPr>
              <w:rPr>
                <w:sz w:val="20"/>
                <w:szCs w:val="20"/>
              </w:rPr>
            </w:pPr>
            <w:r w:rsidRPr="007F5D55">
              <w:rPr>
                <w:sz w:val="20"/>
                <w:szCs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C" w:rsidRPr="007F5D55" w:rsidP="00CB71DC" w14:paraId="58651072" w14:textId="17DBEC27">
            <w:pPr>
              <w:jc w:val="center"/>
              <w:rPr>
                <w:sz w:val="20"/>
                <w:szCs w:val="20"/>
              </w:rPr>
            </w:pPr>
            <w:r>
              <w:rPr>
                <w:sz w:val="20"/>
                <w:szCs w:val="20"/>
              </w:rPr>
              <w:t>115</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71DC" w:rsidRPr="007F5D55" w:rsidP="00CB71DC" w14:paraId="3834BAC2" w14:textId="6AFF4518">
            <w:pPr>
              <w:jc w:val="center"/>
              <w:rPr>
                <w:sz w:val="20"/>
                <w:szCs w:val="20"/>
              </w:rPr>
            </w:pPr>
            <w:r>
              <w:rPr>
                <w:sz w:val="20"/>
                <w:szCs w:val="20"/>
              </w:rPr>
              <w:t>10</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C" w:rsidRPr="00982E85" w:rsidP="00CB71DC" w14:paraId="59ED7A0B" w14:textId="27265C79">
            <w:pPr>
              <w:jc w:val="center"/>
              <w:rPr>
                <w:sz w:val="20"/>
                <w:szCs w:val="20"/>
                <w:vertAlign w:val="superscript"/>
              </w:rPr>
            </w:pPr>
            <w:r>
              <w:rPr>
                <w:sz w:val="20"/>
                <w:szCs w:val="20"/>
              </w:rPr>
              <w:t>1</w:t>
            </w:r>
            <w:r w:rsidR="007A5441">
              <w:rPr>
                <w:sz w:val="20"/>
                <w:szCs w:val="20"/>
              </w:rPr>
              <w:t>18</w:t>
            </w:r>
            <w:r>
              <w:rPr>
                <w:sz w:val="20"/>
                <w:szCs w:val="20"/>
              </w:rPr>
              <w:t>.4</w:t>
            </w:r>
            <w:r w:rsidR="007A5441">
              <w:rPr>
                <w:sz w:val="20"/>
                <w:szCs w:val="20"/>
              </w:rPr>
              <w:t>8</w:t>
            </w:r>
            <w:r>
              <w:rPr>
                <w:sz w:val="20"/>
                <w:szCs w:val="20"/>
                <w:vertAlign w:val="superscript"/>
              </w:rPr>
              <w:t>b</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C" w:rsidRPr="007F5D55" w:rsidP="00CB71DC" w14:paraId="066FE279" w14:textId="6A9BC614">
            <w:pPr>
              <w:jc w:val="right"/>
              <w:rPr>
                <w:sz w:val="20"/>
                <w:szCs w:val="20"/>
              </w:rPr>
            </w:pPr>
            <w:r>
              <w:rPr>
                <w:sz w:val="20"/>
                <w:szCs w:val="20"/>
              </w:rPr>
              <w:t>$</w:t>
            </w:r>
            <w:r w:rsidR="00C438D7">
              <w:rPr>
                <w:sz w:val="20"/>
                <w:szCs w:val="20"/>
              </w:rPr>
              <w:t>1,</w:t>
            </w:r>
            <w:r w:rsidR="007A5441">
              <w:rPr>
                <w:sz w:val="20"/>
                <w:szCs w:val="20"/>
              </w:rPr>
              <w:t>185</w:t>
            </w:r>
          </w:p>
        </w:tc>
      </w:tr>
      <w:tr w14:paraId="2B7562E4" w14:textId="77777777" w:rsidTr="00C95A0E">
        <w:tblPrEx>
          <w:tblW w:w="8030" w:type="dxa"/>
          <w:tblInd w:w="108" w:type="dxa"/>
          <w:tblCellMar>
            <w:left w:w="0" w:type="dxa"/>
            <w:right w:w="0" w:type="dxa"/>
          </w:tblCellMar>
          <w:tblLook w:val="0000"/>
        </w:tblPrEx>
        <w:tc>
          <w:tcPr>
            <w:tcW w:w="29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71DC" w:rsidRPr="00637F0A" w:rsidP="00CB71DC" w14:paraId="4F451FA0" w14:textId="77777777">
            <w:pPr>
              <w:rPr>
                <w:bCs/>
                <w:color w:val="000000"/>
                <w:sz w:val="20"/>
                <w:szCs w:val="20"/>
              </w:rPr>
            </w:pPr>
            <w:r w:rsidRPr="00637F0A">
              <w:rPr>
                <w:bCs/>
                <w:color w:val="000000"/>
                <w:sz w:val="20"/>
                <w:szCs w:val="20"/>
              </w:rPr>
              <w:t>Data Files Submission</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B71DC" w:rsidRPr="00637F0A" w:rsidP="00CB71DC" w14:paraId="29DB11CC" w14:textId="35FEE2EE">
            <w:pPr>
              <w:jc w:val="center"/>
              <w:rPr>
                <w:bCs/>
                <w:sz w:val="20"/>
                <w:szCs w:val="20"/>
              </w:rPr>
            </w:pPr>
            <w:r>
              <w:rPr>
                <w:bCs/>
                <w:sz w:val="20"/>
                <w:szCs w:val="20"/>
              </w:rPr>
              <w:t>115</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71DC" w:rsidRPr="00637F0A" w:rsidP="00CB71DC" w14:paraId="54467C53" w14:textId="5DDF91F0">
            <w:pPr>
              <w:jc w:val="center"/>
              <w:rPr>
                <w:bCs/>
                <w:sz w:val="20"/>
                <w:szCs w:val="20"/>
              </w:rPr>
            </w:pPr>
            <w:r>
              <w:rPr>
                <w:sz w:val="20"/>
                <w:szCs w:val="20"/>
              </w:rPr>
              <w:t>460</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B71DC" w:rsidRPr="00982E85" w:rsidP="00CB71DC" w14:paraId="2F1C655A" w14:textId="3A992BCF">
            <w:pPr>
              <w:jc w:val="center"/>
              <w:rPr>
                <w:bCs/>
                <w:sz w:val="20"/>
                <w:szCs w:val="20"/>
                <w:vertAlign w:val="superscript"/>
              </w:rPr>
            </w:pPr>
            <w:r>
              <w:rPr>
                <w:bCs/>
                <w:sz w:val="20"/>
                <w:szCs w:val="20"/>
              </w:rPr>
              <w:t>4</w:t>
            </w:r>
            <w:r w:rsidR="007A5441">
              <w:rPr>
                <w:bCs/>
                <w:sz w:val="20"/>
                <w:szCs w:val="20"/>
              </w:rPr>
              <w:t>9</w:t>
            </w:r>
            <w:r>
              <w:rPr>
                <w:bCs/>
                <w:sz w:val="20"/>
                <w:szCs w:val="20"/>
              </w:rPr>
              <w:t>.4</w:t>
            </w:r>
            <w:r w:rsidR="007A5441">
              <w:rPr>
                <w:bCs/>
                <w:sz w:val="20"/>
                <w:szCs w:val="20"/>
              </w:rPr>
              <w:t>2</w:t>
            </w:r>
            <w:r>
              <w:rPr>
                <w:bCs/>
                <w:sz w:val="20"/>
                <w:szCs w:val="20"/>
                <w:vertAlign w:val="superscript"/>
              </w:rPr>
              <w:t>c</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B71DC" w:rsidRPr="00637F0A" w:rsidP="00CB71DC" w14:paraId="6F69086E" w14:textId="3D6CD19D">
            <w:pPr>
              <w:jc w:val="right"/>
              <w:rPr>
                <w:bCs/>
                <w:sz w:val="20"/>
                <w:szCs w:val="20"/>
              </w:rPr>
            </w:pPr>
            <w:r>
              <w:rPr>
                <w:bCs/>
                <w:sz w:val="20"/>
                <w:szCs w:val="20"/>
              </w:rPr>
              <w:t>$</w:t>
            </w:r>
            <w:r w:rsidR="00C438D7">
              <w:rPr>
                <w:bCs/>
                <w:sz w:val="20"/>
                <w:szCs w:val="20"/>
              </w:rPr>
              <w:t>2</w:t>
            </w:r>
            <w:r w:rsidR="007A5441">
              <w:rPr>
                <w:bCs/>
                <w:sz w:val="20"/>
                <w:szCs w:val="20"/>
              </w:rPr>
              <w:t>2</w:t>
            </w:r>
            <w:r w:rsidR="00C438D7">
              <w:rPr>
                <w:bCs/>
                <w:sz w:val="20"/>
                <w:szCs w:val="20"/>
              </w:rPr>
              <w:t>,</w:t>
            </w:r>
            <w:r w:rsidR="007A5441">
              <w:rPr>
                <w:bCs/>
                <w:sz w:val="20"/>
                <w:szCs w:val="20"/>
              </w:rPr>
              <w:t>733</w:t>
            </w:r>
          </w:p>
        </w:tc>
      </w:tr>
      <w:tr w14:paraId="31E9B39C" w14:textId="77777777" w:rsidTr="00C95A0E">
        <w:tblPrEx>
          <w:tblW w:w="8030" w:type="dxa"/>
          <w:tblInd w:w="108" w:type="dxa"/>
          <w:tblCellMar>
            <w:left w:w="0" w:type="dxa"/>
            <w:right w:w="0" w:type="dxa"/>
          </w:tblCellMar>
          <w:tblLook w:val="0000"/>
        </w:tblPrEx>
        <w:tc>
          <w:tcPr>
            <w:tcW w:w="29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71DC" w:rsidRPr="00982E85" w:rsidP="00CB71DC" w14:paraId="515F9347" w14:textId="77777777">
            <w:pPr>
              <w:rPr>
                <w:bCs/>
                <w:sz w:val="20"/>
                <w:szCs w:val="20"/>
              </w:rPr>
            </w:pPr>
            <w:r w:rsidRPr="00982E85">
              <w:rPr>
                <w:bCs/>
                <w:color w:val="000000"/>
                <w:sz w:val="20"/>
                <w:szCs w:val="20"/>
              </w:rPr>
              <w:t>Total</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B71DC" w:rsidRPr="00982E85" w:rsidP="00CB71DC" w14:paraId="5AA1EB73" w14:textId="44108611">
            <w:pPr>
              <w:jc w:val="center"/>
              <w:rPr>
                <w:bCs/>
                <w:sz w:val="20"/>
                <w:szCs w:val="20"/>
              </w:rPr>
            </w:pPr>
            <w:r>
              <w:rPr>
                <w:bCs/>
                <w:sz w:val="20"/>
                <w:szCs w:val="20"/>
              </w:rPr>
              <w:t>470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71DC" w:rsidRPr="00982E85" w:rsidP="00CB71DC" w14:paraId="10D280C2" w14:textId="5FF40A6A">
            <w:pPr>
              <w:jc w:val="center"/>
              <w:rPr>
                <w:bCs/>
                <w:sz w:val="20"/>
                <w:szCs w:val="20"/>
              </w:rPr>
            </w:pPr>
            <w:r>
              <w:rPr>
                <w:bCs/>
                <w:sz w:val="20"/>
                <w:szCs w:val="20"/>
              </w:rPr>
              <w:t>71</w:t>
            </w:r>
            <w:r w:rsidR="00BB0D4C">
              <w:rPr>
                <w:bCs/>
                <w:sz w:val="20"/>
                <w:szCs w:val="20"/>
              </w:rPr>
              <w:t>0</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B71DC" w:rsidRPr="00982E85" w:rsidP="00CB71DC" w14:paraId="76A24E1E" w14:textId="77777777">
            <w:pPr>
              <w:jc w:val="center"/>
              <w:rPr>
                <w:bCs/>
                <w:sz w:val="20"/>
                <w:szCs w:val="20"/>
              </w:rPr>
            </w:pPr>
            <w:r w:rsidRPr="00982E85">
              <w:rPr>
                <w:bCs/>
                <w:sz w:val="20"/>
                <w:szCs w:val="20"/>
              </w:rPr>
              <w:t>NA</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B71DC" w:rsidRPr="00982E85" w:rsidP="00CB71DC" w14:paraId="4B9BC537" w14:textId="07894F8F">
            <w:pPr>
              <w:jc w:val="right"/>
              <w:rPr>
                <w:bCs/>
                <w:sz w:val="20"/>
                <w:szCs w:val="20"/>
              </w:rPr>
            </w:pPr>
            <w:r w:rsidRPr="00982E85">
              <w:rPr>
                <w:bCs/>
                <w:sz w:val="20"/>
                <w:szCs w:val="20"/>
              </w:rPr>
              <w:t>$</w:t>
            </w:r>
            <w:r w:rsidR="00C438D7">
              <w:rPr>
                <w:bCs/>
                <w:sz w:val="20"/>
                <w:szCs w:val="20"/>
              </w:rPr>
              <w:t>3</w:t>
            </w:r>
            <w:r w:rsidR="007A5441">
              <w:rPr>
                <w:bCs/>
                <w:sz w:val="20"/>
                <w:szCs w:val="20"/>
              </w:rPr>
              <w:t>8</w:t>
            </w:r>
            <w:r w:rsidR="00C438D7">
              <w:rPr>
                <w:bCs/>
                <w:sz w:val="20"/>
                <w:szCs w:val="20"/>
              </w:rPr>
              <w:t>,</w:t>
            </w:r>
            <w:r w:rsidR="007A5441">
              <w:rPr>
                <w:bCs/>
                <w:sz w:val="20"/>
                <w:szCs w:val="20"/>
              </w:rPr>
              <w:t>685</w:t>
            </w:r>
          </w:p>
        </w:tc>
      </w:tr>
    </w:tbl>
    <w:p w:rsidR="002B3186" w:rsidP="005635B3" w14:paraId="6D9C3F56" w14:textId="5E4D1612">
      <w:pPr>
        <w:autoSpaceDE w:val="0"/>
        <w:autoSpaceDN w:val="0"/>
        <w:adjustRightInd w:val="0"/>
        <w:rPr>
          <w:sz w:val="20"/>
          <w:szCs w:val="20"/>
        </w:rPr>
      </w:pPr>
      <w:r w:rsidRPr="00E10A3B">
        <w:rPr>
          <w:color w:val="000000"/>
          <w:sz w:val="20"/>
          <w:szCs w:val="20"/>
        </w:rPr>
        <w:t>*</w:t>
      </w:r>
      <w:r w:rsidRPr="00DD6BCD" w:rsidR="00DD6BCD">
        <w:rPr>
          <w:color w:val="000000"/>
          <w:sz w:val="20"/>
          <w:szCs w:val="20"/>
        </w:rPr>
        <w:t xml:space="preserve"> </w:t>
      </w:r>
      <w:r w:rsidR="00DD6BCD">
        <w:rPr>
          <w:color w:val="000000"/>
          <w:sz w:val="20"/>
          <w:szCs w:val="20"/>
        </w:rPr>
        <w:t>National Compensation Survey: Occupational wages in the United States May 20</w:t>
      </w:r>
      <w:r w:rsidR="00C438D7">
        <w:rPr>
          <w:color w:val="000000"/>
          <w:sz w:val="20"/>
          <w:szCs w:val="20"/>
        </w:rPr>
        <w:t>2</w:t>
      </w:r>
      <w:r w:rsidR="006E5D05">
        <w:rPr>
          <w:color w:val="000000"/>
          <w:sz w:val="20"/>
          <w:szCs w:val="20"/>
        </w:rPr>
        <w:t>2</w:t>
      </w:r>
      <w:r w:rsidR="00DD6BCD">
        <w:rPr>
          <w:color w:val="000000"/>
          <w:sz w:val="20"/>
          <w:szCs w:val="20"/>
        </w:rPr>
        <w:t>, “U.S. Department of Labor, Bureau of Labor Statistics.”</w:t>
      </w:r>
    </w:p>
    <w:p w:rsidR="00D83C4E" w:rsidP="005635B3" w14:paraId="1E36B404" w14:textId="77777777">
      <w:pPr>
        <w:autoSpaceDE w:val="0"/>
        <w:autoSpaceDN w:val="0"/>
        <w:adjustRightInd w:val="0"/>
        <w:rPr>
          <w:sz w:val="20"/>
          <w:szCs w:val="20"/>
        </w:rPr>
      </w:pPr>
      <w:r>
        <w:rPr>
          <w:sz w:val="20"/>
          <w:szCs w:val="20"/>
        </w:rPr>
        <w:t xml:space="preserve">a) Based on the mean hourly wage for </w:t>
      </w:r>
      <w:r w:rsidRPr="00E10A3B">
        <w:rPr>
          <w:sz w:val="20"/>
          <w:szCs w:val="20"/>
        </w:rPr>
        <w:t>Medical and Health Services Managers</w:t>
      </w:r>
      <w:r>
        <w:rPr>
          <w:sz w:val="20"/>
          <w:szCs w:val="20"/>
        </w:rPr>
        <w:t xml:space="preserve"> (11-9111).</w:t>
      </w:r>
    </w:p>
    <w:p w:rsidR="00D83C4E" w:rsidP="005635B3" w14:paraId="33A4B4FA" w14:textId="77777777">
      <w:pPr>
        <w:autoSpaceDE w:val="0"/>
        <w:autoSpaceDN w:val="0"/>
        <w:adjustRightInd w:val="0"/>
        <w:rPr>
          <w:sz w:val="20"/>
          <w:szCs w:val="20"/>
        </w:rPr>
      </w:pPr>
      <w:r>
        <w:rPr>
          <w:sz w:val="20"/>
          <w:szCs w:val="20"/>
        </w:rPr>
        <w:t xml:space="preserve">b) Based on the mean hourly wage for </w:t>
      </w:r>
      <w:r w:rsidRPr="00E10A3B">
        <w:rPr>
          <w:sz w:val="20"/>
          <w:szCs w:val="20"/>
        </w:rPr>
        <w:t>Chief Executives</w:t>
      </w:r>
      <w:r>
        <w:rPr>
          <w:sz w:val="20"/>
          <w:szCs w:val="20"/>
        </w:rPr>
        <w:t xml:space="preserve"> (11-1011).</w:t>
      </w:r>
    </w:p>
    <w:p w:rsidR="00D83C4E" w:rsidRPr="00E10A3B" w:rsidP="005635B3" w14:paraId="50BFA526" w14:textId="4D0D80A5">
      <w:pPr>
        <w:autoSpaceDE w:val="0"/>
        <w:autoSpaceDN w:val="0"/>
        <w:adjustRightInd w:val="0"/>
        <w:rPr>
          <w:sz w:val="20"/>
          <w:szCs w:val="20"/>
        </w:rPr>
      </w:pPr>
      <w:r>
        <w:rPr>
          <w:sz w:val="20"/>
          <w:szCs w:val="20"/>
        </w:rPr>
        <w:t>c) Based on the mean hourly wages for Computer P</w:t>
      </w:r>
      <w:r w:rsidRPr="00E10A3B">
        <w:rPr>
          <w:sz w:val="20"/>
          <w:szCs w:val="20"/>
        </w:rPr>
        <w:t>rogrammer</w:t>
      </w:r>
      <w:r w:rsidR="00C438D7">
        <w:rPr>
          <w:sz w:val="20"/>
          <w:szCs w:val="20"/>
        </w:rPr>
        <w:t>s</w:t>
      </w:r>
      <w:r>
        <w:rPr>
          <w:sz w:val="20"/>
          <w:szCs w:val="20"/>
        </w:rPr>
        <w:t xml:space="preserve"> (</w:t>
      </w:r>
      <w:r w:rsidR="006B2042">
        <w:rPr>
          <w:sz w:val="20"/>
          <w:szCs w:val="20"/>
        </w:rPr>
        <w:t>15-1</w:t>
      </w:r>
      <w:r w:rsidR="00C438D7">
        <w:rPr>
          <w:sz w:val="20"/>
          <w:szCs w:val="20"/>
        </w:rPr>
        <w:t>251</w:t>
      </w:r>
      <w:r w:rsidR="006B2042">
        <w:rPr>
          <w:sz w:val="20"/>
          <w:szCs w:val="20"/>
        </w:rPr>
        <w:t>).</w:t>
      </w:r>
    </w:p>
    <w:p w:rsidR="002B3186" w:rsidP="00943F10" w14:paraId="632F83D6" w14:textId="77777777">
      <w:pPr>
        <w:autoSpaceDE w:val="0"/>
        <w:autoSpaceDN w:val="0"/>
        <w:adjustRightInd w:val="0"/>
        <w:ind w:left="-90"/>
        <w:rPr>
          <w:sz w:val="20"/>
          <w:szCs w:val="20"/>
        </w:rPr>
      </w:pPr>
    </w:p>
    <w:p w:rsidR="002B3186" w:rsidRPr="00412C6F" w:rsidP="00C22AC4" w14:paraId="30E18B33" w14:textId="77777777">
      <w:pPr>
        <w:pStyle w:val="Heading2"/>
        <w:rPr>
          <w:sz w:val="24"/>
          <w:szCs w:val="24"/>
        </w:rPr>
      </w:pPr>
      <w:bookmarkStart w:id="42" w:name="_Toc151782188"/>
      <w:bookmarkStart w:id="43" w:name="_Toc158526228"/>
      <w:bookmarkStart w:id="44" w:name="_Toc132023574"/>
      <w:r w:rsidRPr="00412C6F">
        <w:rPr>
          <w:sz w:val="24"/>
          <w:szCs w:val="24"/>
        </w:rPr>
        <w:t>13. Estimates of Annualized Respondent Capital and Maintenance Costs</w:t>
      </w:r>
      <w:bookmarkEnd w:id="42"/>
      <w:bookmarkEnd w:id="43"/>
      <w:bookmarkEnd w:id="44"/>
    </w:p>
    <w:p w:rsidR="002B3186" w:rsidP="005635B3" w14:paraId="57A5F0ED" w14:textId="77777777">
      <w:pPr>
        <w:spacing w:before="120"/>
      </w:pPr>
      <w:bookmarkStart w:id="45" w:name="_Toc58725299"/>
      <w:bookmarkStart w:id="46" w:name="_Toc151782189"/>
      <w:bookmarkStart w:id="47" w:name="_Toc158526229"/>
      <w: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002B3186" w:rsidRPr="00125573" w:rsidP="00C22AC4" w14:paraId="1418A64B" w14:textId="77777777">
      <w:pPr>
        <w:pStyle w:val="Heading2"/>
        <w:rPr>
          <w:sz w:val="24"/>
          <w:szCs w:val="24"/>
        </w:rPr>
      </w:pPr>
      <w:bookmarkStart w:id="48" w:name="_Toc132023575"/>
      <w:r w:rsidRPr="00125573">
        <w:rPr>
          <w:sz w:val="24"/>
          <w:szCs w:val="24"/>
        </w:rPr>
        <w:t>14. Estimates of Annualized Cost to the Government</w:t>
      </w:r>
      <w:bookmarkEnd w:id="45"/>
      <w:bookmarkEnd w:id="46"/>
      <w:bookmarkEnd w:id="47"/>
      <w:bookmarkEnd w:id="48"/>
    </w:p>
    <w:p w:rsidR="002B3186" w:rsidP="00C95998" w14:paraId="10B037D5" w14:textId="194D3A19">
      <w:pPr>
        <w:rPr>
          <w:i/>
          <w:iCs/>
        </w:rPr>
      </w:pPr>
      <w:r w:rsidRPr="00125573">
        <w:t>Exhibit 3 shows the estimated annualized cost to the government for developing, maintaining and managing the Health Plan Database and analyzing the data and reporting results. The cost</w:t>
      </w:r>
      <w:r w:rsidRPr="00125573" w:rsidR="00144E55">
        <w:t xml:space="preserve"> for one</w:t>
      </w:r>
      <w:r w:rsidRPr="00125573">
        <w:t xml:space="preserve"> </w:t>
      </w:r>
      <w:r w:rsidRPr="00125573" w:rsidR="00B933FB">
        <w:t>annual data submission</w:t>
      </w:r>
      <w:r w:rsidRPr="00125573" w:rsidR="00A87BD5">
        <w:t xml:space="preserve"> </w:t>
      </w:r>
      <w:r w:rsidRPr="00125573">
        <w:t>is estimated to be $</w:t>
      </w:r>
      <w:r w:rsidR="0083065A">
        <w:t>245</w:t>
      </w:r>
      <w:r w:rsidRPr="00125573" w:rsidR="004A6B20">
        <w:t>,000</w:t>
      </w:r>
      <w:r w:rsidRPr="00125573">
        <w:t xml:space="preserve">. Annualized costs for collecting and processing the CAHPS Health Plan Database are based upon </w:t>
      </w:r>
      <w:r w:rsidR="005E76B8">
        <w:t>prior</w:t>
      </w:r>
      <w:r w:rsidRPr="00125573">
        <w:t xml:space="preserve"> years of historical project costs. Start-up costs were present in the early years of the database only.</w:t>
      </w:r>
      <w:bookmarkStart w:id="49" w:name="_Toc151782190"/>
      <w:bookmarkStart w:id="50" w:name="_Toc158526230"/>
    </w:p>
    <w:p w:rsidR="002B3186" w:rsidP="00C95998" w14:paraId="535A9CC7" w14:textId="77777777">
      <w:pPr>
        <w:rPr>
          <w:i/>
          <w:iCs/>
        </w:rPr>
      </w:pPr>
    </w:p>
    <w:p w:rsidR="002B3186" w:rsidP="00012FB9" w14:paraId="563D5330" w14:textId="77777777">
      <w:r>
        <w:rPr>
          <w:b/>
          <w:bCs/>
          <w:color w:val="000000"/>
        </w:rPr>
        <w:t>Exhibit 3. Estimated Annualized Cost</w:t>
      </w:r>
    </w:p>
    <w:tbl>
      <w:tblPr>
        <w:tblW w:w="0" w:type="auto"/>
        <w:tblInd w:w="108" w:type="dxa"/>
        <w:tblCellMar>
          <w:left w:w="0" w:type="dxa"/>
          <w:right w:w="0" w:type="dxa"/>
        </w:tblCellMar>
        <w:tblLook w:val="0000"/>
      </w:tblPr>
      <w:tblGrid>
        <w:gridCol w:w="3060"/>
        <w:gridCol w:w="1440"/>
        <w:gridCol w:w="1980"/>
      </w:tblGrid>
      <w:tr w14:paraId="46A76A1A" w14:textId="77777777" w:rsidTr="00982E85">
        <w:tblPrEx>
          <w:tblW w:w="0" w:type="auto"/>
          <w:tblInd w:w="108" w:type="dxa"/>
          <w:tblCellMar>
            <w:left w:w="0" w:type="dxa"/>
            <w:right w:w="0" w:type="dxa"/>
          </w:tblCellMar>
          <w:tblLook w:val="0000"/>
        </w:tblPrEx>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D6BCD" w:rsidRPr="00012FB9" w:rsidP="00012FB9" w14:paraId="09AD2A90" w14:textId="77777777">
            <w:pPr>
              <w:rPr>
                <w:b/>
                <w:bCs/>
              </w:rPr>
            </w:pPr>
            <w:r w:rsidRPr="00012FB9">
              <w:rPr>
                <w:b/>
                <w:bCs/>
                <w:color w:val="000000"/>
              </w:rPr>
              <w:t>Cost Component</w:t>
            </w:r>
          </w:p>
        </w:tc>
        <w:tc>
          <w:tcPr>
            <w:tcW w:w="1440" w:type="dxa"/>
            <w:tcBorders>
              <w:top w:val="single" w:sz="8" w:space="0" w:color="auto"/>
              <w:left w:val="nil"/>
              <w:bottom w:val="single" w:sz="8" w:space="0" w:color="auto"/>
              <w:right w:val="single" w:sz="8" w:space="0" w:color="auto"/>
            </w:tcBorders>
          </w:tcPr>
          <w:p w:rsidR="00DD6BCD" w:rsidRPr="00012FB9" w:rsidP="001A28C0" w14:paraId="53468CC9" w14:textId="77777777">
            <w:pPr>
              <w:jc w:val="center"/>
              <w:rPr>
                <w:b/>
                <w:bCs/>
              </w:rPr>
            </w:pPr>
            <w:r>
              <w:rPr>
                <w:b/>
                <w:bCs/>
              </w:rPr>
              <w:t>Total Cost</w:t>
            </w:r>
          </w:p>
        </w:t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012FB9" w:rsidP="001A28C0" w14:paraId="5493D6E1" w14:textId="77777777">
            <w:pPr>
              <w:jc w:val="center"/>
              <w:rPr>
                <w:b/>
                <w:bCs/>
              </w:rPr>
            </w:pPr>
            <w:r w:rsidRPr="00012FB9">
              <w:rPr>
                <w:b/>
                <w:bCs/>
              </w:rPr>
              <w:t>Annualized Cost</w:t>
            </w:r>
          </w:p>
        </w:tc>
      </w:tr>
      <w:tr w14:paraId="66DAA326" w14:textId="77777777" w:rsidTr="00982E85">
        <w:tblPrEx>
          <w:tblW w:w="0" w:type="auto"/>
          <w:tblInd w:w="108" w:type="dxa"/>
          <w:tblCellMar>
            <w:left w:w="0" w:type="dxa"/>
            <w:right w:w="0" w:type="dxa"/>
          </w:tblCellMar>
          <w:tblLook w:val="0000"/>
        </w:tblPrEx>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P="001F6390" w14:paraId="1F9E44A9" w14:textId="77777777">
            <w:r w:rsidRPr="001B7363">
              <w:t>Database Maintenance</w:t>
            </w:r>
          </w:p>
        </w:tc>
        <w:tc>
          <w:tcPr>
            <w:tcW w:w="1440" w:type="dxa"/>
            <w:tcBorders>
              <w:top w:val="single" w:sz="8" w:space="0" w:color="auto"/>
              <w:left w:val="nil"/>
              <w:bottom w:val="single" w:sz="8" w:space="0" w:color="auto"/>
              <w:right w:val="single" w:sz="8" w:space="0" w:color="auto"/>
            </w:tcBorders>
          </w:tcPr>
          <w:p w:rsidR="00DD6BCD" w:rsidRPr="001B7363" w:rsidP="00DD6BCD" w14:paraId="15BCB960" w14:textId="77777777">
            <w:pPr>
              <w:jc w:val="right"/>
            </w:pPr>
            <w:r>
              <w:t>$150,000</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P="00DD6BCD" w14:paraId="04205146" w14:textId="77777777">
            <w:pPr>
              <w:jc w:val="right"/>
            </w:pPr>
            <w:r w:rsidRPr="001B7363">
              <w:t>$50,000</w:t>
            </w:r>
          </w:p>
        </w:tc>
      </w:tr>
      <w:tr w14:paraId="4F5554E1" w14:textId="77777777" w:rsidTr="00982E85">
        <w:tblPrEx>
          <w:tblW w:w="0" w:type="auto"/>
          <w:tblInd w:w="108" w:type="dxa"/>
          <w:tblCellMar>
            <w:left w:w="0" w:type="dxa"/>
            <w:right w:w="0" w:type="dxa"/>
          </w:tblCellMar>
          <w:tblLook w:val="0000"/>
        </w:tblPrEx>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P="001F6390" w14:paraId="6CB1D5E6" w14:textId="77777777">
            <w:r w:rsidRPr="001B7363">
              <w:t>Data Submission</w:t>
            </w:r>
          </w:p>
        </w:tc>
        <w:tc>
          <w:tcPr>
            <w:tcW w:w="1440" w:type="dxa"/>
            <w:tcBorders>
              <w:top w:val="single" w:sz="8" w:space="0" w:color="auto"/>
              <w:left w:val="nil"/>
              <w:bottom w:val="single" w:sz="8" w:space="0" w:color="auto"/>
              <w:right w:val="single" w:sz="8" w:space="0" w:color="auto"/>
            </w:tcBorders>
          </w:tcPr>
          <w:p w:rsidR="00DD6BCD" w:rsidRPr="001B7363" w:rsidP="00DD6BCD" w14:paraId="7D67C460" w14:textId="663F1829">
            <w:pPr>
              <w:jc w:val="right"/>
            </w:pPr>
            <w:r>
              <w:t>$</w:t>
            </w:r>
            <w:r w:rsidR="00414160">
              <w:t>285</w:t>
            </w:r>
            <w:r>
              <w:t>,000</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P="00DD6BCD" w14:paraId="10E57F67" w14:textId="08276EE9">
            <w:pPr>
              <w:jc w:val="right"/>
            </w:pPr>
            <w:r w:rsidRPr="001B7363">
              <w:t>$</w:t>
            </w:r>
            <w:r w:rsidR="00414160">
              <w:t>95</w:t>
            </w:r>
            <w:r w:rsidRPr="001B7363">
              <w:t>,000</w:t>
            </w:r>
          </w:p>
        </w:tc>
      </w:tr>
      <w:tr w14:paraId="08D9C375" w14:textId="77777777" w:rsidTr="00982E85">
        <w:tblPrEx>
          <w:tblW w:w="0" w:type="auto"/>
          <w:tblInd w:w="108" w:type="dxa"/>
          <w:tblCellMar>
            <w:left w:w="0" w:type="dxa"/>
            <w:right w:w="0" w:type="dxa"/>
          </w:tblCellMar>
          <w:tblLook w:val="0000"/>
        </w:tblPrEx>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P="001F6390" w14:paraId="17A61A00" w14:textId="77777777">
            <w:r w:rsidRPr="001B7363">
              <w:t>Data Analysis and Reporting</w:t>
            </w:r>
          </w:p>
        </w:tc>
        <w:tc>
          <w:tcPr>
            <w:tcW w:w="1440" w:type="dxa"/>
            <w:tcBorders>
              <w:top w:val="single" w:sz="8" w:space="0" w:color="auto"/>
              <w:left w:val="nil"/>
              <w:bottom w:val="single" w:sz="8" w:space="0" w:color="auto"/>
              <w:right w:val="single" w:sz="8" w:space="0" w:color="auto"/>
            </w:tcBorders>
          </w:tcPr>
          <w:p w:rsidR="00DD6BCD" w:rsidRPr="001B7363" w14:paraId="5A4038CE" w14:textId="20521A87">
            <w:pPr>
              <w:jc w:val="right"/>
            </w:pPr>
            <w:r>
              <w:t>$</w:t>
            </w:r>
            <w:r w:rsidR="00414160">
              <w:t>300</w:t>
            </w:r>
            <w:r>
              <w:t>,000</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P="00DD6BCD" w14:paraId="6CD029A0" w14:textId="405DDA19">
            <w:pPr>
              <w:jc w:val="right"/>
            </w:pPr>
            <w:r w:rsidRPr="001B7363">
              <w:t>$1</w:t>
            </w:r>
            <w:r w:rsidR="00414160">
              <w:t>00</w:t>
            </w:r>
            <w:r w:rsidRPr="001B7363">
              <w:t>,000</w:t>
            </w:r>
          </w:p>
        </w:tc>
      </w:tr>
      <w:tr w14:paraId="5921C936" w14:textId="77777777" w:rsidTr="00982E85">
        <w:tblPrEx>
          <w:tblW w:w="0" w:type="auto"/>
          <w:tblInd w:w="108" w:type="dxa"/>
          <w:tblCellMar>
            <w:left w:w="0" w:type="dxa"/>
            <w:right w:w="0" w:type="dxa"/>
          </w:tblCellMar>
          <w:tblLook w:val="0000"/>
        </w:tblPrEx>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P="001A28C0" w14:paraId="252C1B60" w14:textId="77777777">
            <w:r w:rsidRPr="001B7363">
              <w:rPr>
                <w:b/>
                <w:bCs/>
                <w:color w:val="000000"/>
              </w:rPr>
              <w:t>Total</w:t>
            </w:r>
          </w:p>
        </w:tc>
        <w:tc>
          <w:tcPr>
            <w:tcW w:w="1440" w:type="dxa"/>
            <w:tcBorders>
              <w:top w:val="single" w:sz="8" w:space="0" w:color="auto"/>
              <w:left w:val="nil"/>
              <w:bottom w:val="single" w:sz="8" w:space="0" w:color="auto"/>
              <w:right w:val="single" w:sz="8" w:space="0" w:color="auto"/>
            </w:tcBorders>
          </w:tcPr>
          <w:p w:rsidR="00DD6BCD" w:rsidRPr="001B7363" w:rsidP="00DD6BCD" w14:paraId="2822EA5F" w14:textId="0A7F1D79">
            <w:pPr>
              <w:jc w:val="right"/>
            </w:pPr>
            <w:r>
              <w:t>$</w:t>
            </w:r>
            <w:r w:rsidR="00414160">
              <w:t>735</w:t>
            </w:r>
            <w:r>
              <w:t>,000</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P="00DD6BCD" w14:paraId="5E8616B3" w14:textId="5C8E5DFD">
            <w:pPr>
              <w:jc w:val="right"/>
            </w:pPr>
            <w:r w:rsidRPr="001B7363">
              <w:t>$</w:t>
            </w:r>
            <w:r w:rsidR="00414160">
              <w:t>245</w:t>
            </w:r>
            <w:r w:rsidRPr="001B7363">
              <w:t>,000</w:t>
            </w:r>
          </w:p>
        </w:tc>
      </w:tr>
    </w:tbl>
    <w:p w:rsidR="007E005D" w:rsidP="007E005D" w14:paraId="003103F3" w14:textId="77777777">
      <w:pPr>
        <w:rPr>
          <w:b/>
          <w:bCs/>
          <w:color w:val="000000"/>
        </w:rPr>
      </w:pPr>
    </w:p>
    <w:p w:rsidR="007E005D" w:rsidP="007E005D" w14:paraId="737120E5" w14:textId="77777777">
      <w:r>
        <w:rPr>
          <w:b/>
          <w:bCs/>
          <w:color w:val="000000"/>
        </w:rPr>
        <w:t xml:space="preserve">Exhibit 4. Estimated Annual Cost to AHRQ for Project Oversight </w:t>
      </w:r>
    </w:p>
    <w:tbl>
      <w:tblPr>
        <w:tblW w:w="0" w:type="auto"/>
        <w:tblInd w:w="108" w:type="dxa"/>
        <w:tblCellMar>
          <w:left w:w="0" w:type="dxa"/>
          <w:right w:w="0" w:type="dxa"/>
        </w:tblCellMar>
        <w:tblLook w:val="0000"/>
      </w:tblPr>
      <w:tblGrid>
        <w:gridCol w:w="3060"/>
        <w:gridCol w:w="1440"/>
        <w:gridCol w:w="1980"/>
      </w:tblGrid>
      <w:tr w14:paraId="4330EB61" w14:textId="77777777" w:rsidTr="00603DF9">
        <w:tblPrEx>
          <w:tblW w:w="0" w:type="auto"/>
          <w:tblInd w:w="108" w:type="dxa"/>
          <w:tblCellMar>
            <w:left w:w="0" w:type="dxa"/>
            <w:right w:w="0" w:type="dxa"/>
          </w:tblCellMar>
          <w:tblLook w:val="0000"/>
        </w:tblPrEx>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7E005D" w:rsidRPr="00012FB9" w:rsidP="00603DF9" w14:paraId="5607E40F" w14:textId="77777777">
            <w:pPr>
              <w:rPr>
                <w:b/>
                <w:bCs/>
              </w:rPr>
            </w:pPr>
            <w:r>
              <w:rPr>
                <w:b/>
                <w:bCs/>
                <w:color w:val="000000"/>
              </w:rPr>
              <w:t>AHRQ Staff Position</w:t>
            </w:r>
          </w:p>
        </w:tc>
        <w:tc>
          <w:tcPr>
            <w:tcW w:w="1440" w:type="dxa"/>
            <w:tcBorders>
              <w:top w:val="single" w:sz="8" w:space="0" w:color="auto"/>
              <w:left w:val="nil"/>
              <w:bottom w:val="single" w:sz="8" w:space="0" w:color="auto"/>
              <w:right w:val="single" w:sz="8" w:space="0" w:color="auto"/>
            </w:tcBorders>
          </w:tcPr>
          <w:p w:rsidR="007E005D" w:rsidRPr="00012FB9" w:rsidP="00603DF9" w14:paraId="07C4E6D9" w14:textId="77777777">
            <w:pPr>
              <w:jc w:val="center"/>
              <w:rPr>
                <w:b/>
                <w:bCs/>
              </w:rPr>
            </w:pPr>
            <w:r>
              <w:rPr>
                <w:b/>
                <w:bCs/>
              </w:rPr>
              <w:t>Percent Time</w:t>
            </w:r>
          </w:p>
        </w:t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005D" w:rsidRPr="00012FB9" w:rsidP="00603DF9" w14:paraId="27D8CCAE" w14:textId="77777777">
            <w:pPr>
              <w:jc w:val="center"/>
              <w:rPr>
                <w:b/>
                <w:bCs/>
              </w:rPr>
            </w:pPr>
            <w:r w:rsidRPr="00012FB9">
              <w:rPr>
                <w:b/>
                <w:bCs/>
              </w:rPr>
              <w:t>Annualized Cost</w:t>
            </w:r>
          </w:p>
        </w:tc>
      </w:tr>
      <w:tr w14:paraId="5553C730" w14:textId="77777777" w:rsidTr="00603DF9">
        <w:tblPrEx>
          <w:tblW w:w="0" w:type="auto"/>
          <w:tblInd w:w="108" w:type="dxa"/>
          <w:tblCellMar>
            <w:left w:w="0" w:type="dxa"/>
            <w:right w:w="0" w:type="dxa"/>
          </w:tblCellMar>
          <w:tblLook w:val="0000"/>
        </w:tblPrEx>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B1EC3" w:rsidRPr="001B7363" w:rsidP="009B1EC3" w14:paraId="46C2BC9C" w14:textId="752CE50E">
            <w:pPr>
              <w:jc w:val="center"/>
            </w:pPr>
            <w:r>
              <w:t>GS15/5</w:t>
            </w:r>
          </w:p>
        </w:tc>
        <w:tc>
          <w:tcPr>
            <w:tcW w:w="1440" w:type="dxa"/>
            <w:tcBorders>
              <w:top w:val="single" w:sz="8" w:space="0" w:color="auto"/>
              <w:left w:val="nil"/>
              <w:bottom w:val="single" w:sz="8" w:space="0" w:color="auto"/>
              <w:right w:val="single" w:sz="8" w:space="0" w:color="auto"/>
            </w:tcBorders>
          </w:tcPr>
          <w:p w:rsidR="009B1EC3" w:rsidRPr="001B7363" w:rsidP="009B1EC3" w14:paraId="37CA7461" w14:textId="5423B25F">
            <w:pPr>
              <w:jc w:val="center"/>
            </w:pPr>
            <w:r>
              <w:t>3%</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B1EC3" w:rsidRPr="001B7363" w:rsidP="009B1EC3" w14:paraId="6CDF808E" w14:textId="6C962CC6">
            <w:pPr>
              <w:jc w:val="right"/>
            </w:pPr>
            <w:r>
              <w:t>$5,288</w:t>
            </w:r>
          </w:p>
        </w:tc>
      </w:tr>
      <w:tr w14:paraId="1BA245DD" w14:textId="77777777" w:rsidTr="00603DF9">
        <w:tblPrEx>
          <w:tblW w:w="0" w:type="auto"/>
          <w:tblInd w:w="108" w:type="dxa"/>
          <w:tblCellMar>
            <w:left w:w="0" w:type="dxa"/>
            <w:right w:w="0" w:type="dxa"/>
          </w:tblCellMar>
          <w:tblLook w:val="0000"/>
        </w:tblPrEx>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B1EC3" w:rsidRPr="001B7363" w:rsidP="009B1EC3" w14:paraId="0A0D632B" w14:textId="6647EAE1">
            <w:pPr>
              <w:jc w:val="center"/>
            </w:pPr>
            <w:r>
              <w:t>GS14/5</w:t>
            </w:r>
          </w:p>
        </w:tc>
        <w:tc>
          <w:tcPr>
            <w:tcW w:w="1440" w:type="dxa"/>
            <w:tcBorders>
              <w:top w:val="single" w:sz="8" w:space="0" w:color="auto"/>
              <w:left w:val="nil"/>
              <w:bottom w:val="single" w:sz="8" w:space="0" w:color="auto"/>
              <w:right w:val="single" w:sz="8" w:space="0" w:color="auto"/>
            </w:tcBorders>
          </w:tcPr>
          <w:p w:rsidR="009B1EC3" w:rsidRPr="001B7363" w:rsidP="009B1EC3" w14:paraId="3EA21D39" w14:textId="3360BA74">
            <w:pPr>
              <w:jc w:val="center"/>
            </w:pPr>
            <w:r>
              <w:t>3%</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B1EC3" w:rsidRPr="001B7363" w:rsidP="009B1EC3" w14:paraId="6C47DAD0" w14:textId="5840965F">
            <w:pPr>
              <w:jc w:val="right"/>
            </w:pPr>
            <w:r>
              <w:t>$4</w:t>
            </w:r>
            <w:r w:rsidR="00A06C98">
              <w:t>,</w:t>
            </w:r>
            <w:r>
              <w:t>500</w:t>
            </w:r>
          </w:p>
        </w:tc>
      </w:tr>
      <w:tr w14:paraId="3BB05901" w14:textId="77777777" w:rsidTr="00603DF9">
        <w:tblPrEx>
          <w:tblW w:w="0" w:type="auto"/>
          <w:tblInd w:w="108" w:type="dxa"/>
          <w:tblCellMar>
            <w:left w:w="0" w:type="dxa"/>
            <w:right w:w="0" w:type="dxa"/>
          </w:tblCellMar>
          <w:tblLook w:val="0000"/>
        </w:tblPrEx>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B1EC3" w:rsidRPr="001B7363" w:rsidP="009B1EC3" w14:paraId="3B5F0321" w14:textId="22098CBE">
            <w:pPr>
              <w:jc w:val="center"/>
            </w:pPr>
            <w:r>
              <w:t>GS13/5</w:t>
            </w:r>
          </w:p>
        </w:tc>
        <w:tc>
          <w:tcPr>
            <w:tcW w:w="1440" w:type="dxa"/>
            <w:tcBorders>
              <w:top w:val="single" w:sz="8" w:space="0" w:color="auto"/>
              <w:left w:val="nil"/>
              <w:bottom w:val="single" w:sz="8" w:space="0" w:color="auto"/>
              <w:right w:val="single" w:sz="8" w:space="0" w:color="auto"/>
            </w:tcBorders>
          </w:tcPr>
          <w:p w:rsidR="009B1EC3" w:rsidRPr="001B7363" w:rsidP="009B1EC3" w14:paraId="4707ECA5" w14:textId="75038C95">
            <w:pPr>
              <w:tabs>
                <w:tab w:val="right" w:pos="1420"/>
              </w:tabs>
              <w:jc w:val="center"/>
            </w:pPr>
            <w:r>
              <w:t>3%</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B1EC3" w:rsidRPr="001B7363" w:rsidP="009B1EC3" w14:paraId="160E3FC0" w14:textId="40D5B0D3">
            <w:pPr>
              <w:jc w:val="right"/>
            </w:pPr>
            <w:r>
              <w:t>$3</w:t>
            </w:r>
            <w:r w:rsidR="00A06C98">
              <w:t>,</w:t>
            </w:r>
            <w:r>
              <w:t>808</w:t>
            </w:r>
          </w:p>
        </w:tc>
      </w:tr>
      <w:tr w14:paraId="47AC82EC" w14:textId="77777777" w:rsidTr="00603DF9">
        <w:tblPrEx>
          <w:tblW w:w="0" w:type="auto"/>
          <w:tblInd w:w="108" w:type="dxa"/>
          <w:tblCellMar>
            <w:left w:w="0" w:type="dxa"/>
            <w:right w:w="0" w:type="dxa"/>
          </w:tblCellMar>
          <w:tblLook w:val="0000"/>
        </w:tblPrEx>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B1EC3" w:rsidRPr="001B7363" w:rsidP="009B1EC3" w14:paraId="7753544D" w14:textId="77777777">
            <w:r w:rsidRPr="001B7363">
              <w:rPr>
                <w:b/>
                <w:bCs/>
                <w:color w:val="000000"/>
              </w:rPr>
              <w:t>Total</w:t>
            </w:r>
          </w:p>
        </w:tc>
        <w:tc>
          <w:tcPr>
            <w:tcW w:w="1440" w:type="dxa"/>
            <w:tcBorders>
              <w:top w:val="single" w:sz="8" w:space="0" w:color="auto"/>
              <w:left w:val="nil"/>
              <w:bottom w:val="single" w:sz="8" w:space="0" w:color="auto"/>
              <w:right w:val="single" w:sz="8" w:space="0" w:color="auto"/>
            </w:tcBorders>
          </w:tcPr>
          <w:p w:rsidR="009B1EC3" w:rsidRPr="001B7363" w:rsidP="009B1EC3" w14:paraId="52D5FF1D" w14:textId="0EB89132">
            <w:pPr>
              <w:jc w:val="right"/>
            </w:pPr>
            <w:r>
              <w:t xml:space="preserve"> </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B1EC3" w:rsidRPr="001B7363" w:rsidP="009B1EC3" w14:paraId="76A8E029" w14:textId="16878D50">
            <w:pPr>
              <w:jc w:val="right"/>
            </w:pPr>
            <w:r>
              <w:t>$13,596</w:t>
            </w:r>
            <w:r>
              <w:t xml:space="preserve"> </w:t>
            </w:r>
          </w:p>
        </w:tc>
      </w:tr>
    </w:tbl>
    <w:p w:rsidR="007E005D" w:rsidP="00C22AC4" w14:paraId="402785A8" w14:textId="77777777">
      <w:pPr>
        <w:pStyle w:val="Heading2"/>
        <w:rPr>
          <w:sz w:val="24"/>
          <w:szCs w:val="24"/>
        </w:rPr>
      </w:pPr>
    </w:p>
    <w:p w:rsidR="002B3186" w:rsidRPr="00C22AC4" w:rsidP="00C22AC4" w14:paraId="473F436A" w14:textId="77777777">
      <w:pPr>
        <w:pStyle w:val="Heading2"/>
        <w:rPr>
          <w:sz w:val="24"/>
          <w:szCs w:val="24"/>
        </w:rPr>
      </w:pPr>
      <w:bookmarkStart w:id="51" w:name="_Toc132023576"/>
      <w:r w:rsidRPr="00C22AC4">
        <w:rPr>
          <w:sz w:val="24"/>
          <w:szCs w:val="24"/>
        </w:rPr>
        <w:t>15. Changes in Hour Burden</w:t>
      </w:r>
      <w:bookmarkStart w:id="52" w:name="_Toc151782191"/>
      <w:bookmarkStart w:id="53" w:name="_Toc158526231"/>
      <w:bookmarkEnd w:id="49"/>
      <w:bookmarkEnd w:id="50"/>
      <w:bookmarkEnd w:id="51"/>
    </w:p>
    <w:p w:rsidR="002B3186" w:rsidRPr="00E10A3B" w:rsidP="00C95998" w14:paraId="610A1AFD" w14:textId="7B13DB48">
      <w:r>
        <w:t>The increase in burden is based on an increase in data file submissions in 2022, the most recent reported data available. The individual data submission process did not have a</w:t>
      </w:r>
      <w:r w:rsidR="003C2326">
        <w:t>n</w:t>
      </w:r>
      <w:r>
        <w:t xml:space="preserve"> increased burden but there was an increase in the total volume of data file submissions. </w:t>
      </w:r>
    </w:p>
    <w:p w:rsidR="002B3186" w:rsidRPr="00412C6F" w:rsidP="00C22AC4" w14:paraId="5BBA41D0" w14:textId="77777777">
      <w:pPr>
        <w:pStyle w:val="Heading2"/>
        <w:rPr>
          <w:sz w:val="24"/>
          <w:szCs w:val="24"/>
        </w:rPr>
      </w:pPr>
      <w:bookmarkStart w:id="54" w:name="_Toc132023577"/>
      <w:r w:rsidRPr="00412C6F">
        <w:rPr>
          <w:sz w:val="24"/>
          <w:szCs w:val="24"/>
        </w:rPr>
        <w:t>16. Time Schedule, Publication and Analysis Plans</w:t>
      </w:r>
      <w:bookmarkEnd w:id="52"/>
      <w:bookmarkEnd w:id="53"/>
      <w:bookmarkEnd w:id="54"/>
    </w:p>
    <w:p w:rsidR="002B3186" w:rsidRPr="00BD3C1B" w:rsidP="001F6390" w14:paraId="137BA39A" w14:textId="422C973C">
      <w:pPr>
        <w:spacing w:before="120"/>
        <w:rPr>
          <w:b/>
          <w:bCs/>
        </w:rPr>
      </w:pPr>
      <w:bookmarkStart w:id="55" w:name="_Toc151782192"/>
      <w:r>
        <w:t>Information for the CAHPS Health Plan Database is collected by AHRQ through its contractor, Westat, on an annual basis since 2000</w:t>
      </w:r>
      <w:r w:rsidRPr="003D35B4">
        <w:t>. Health plans</w:t>
      </w:r>
      <w:r>
        <w:t xml:space="preserve"> are asked to submit their CAHPS Health Plan survey data </w:t>
      </w:r>
      <w:r w:rsidR="00E3383F">
        <w:t xml:space="preserve">voluntarily </w:t>
      </w:r>
      <w:r>
        <w:t xml:space="preserve">to the CAHPS Database in June each year. The data are then cleaned and aggregated and used to produce </w:t>
      </w:r>
      <w:r w:rsidRPr="00BD3C1B">
        <w:t>annual chartbook</w:t>
      </w:r>
      <w:r>
        <w:t>s</w:t>
      </w:r>
      <w:r w:rsidRPr="00BD3C1B">
        <w:t xml:space="preserve"> and </w:t>
      </w:r>
      <w:r>
        <w:t xml:space="preserve">individual participants </w:t>
      </w:r>
      <w:r w:rsidRPr="00BD3C1B">
        <w:t xml:space="preserve">reports </w:t>
      </w:r>
      <w:r>
        <w:t xml:space="preserve">each </w:t>
      </w:r>
      <w:r w:rsidR="00E531C2">
        <w:t>fall</w:t>
      </w:r>
      <w:r w:rsidRPr="00C74EA6">
        <w:t xml:space="preserve">. Results for </w:t>
      </w:r>
      <w:r w:rsidR="00040EEB">
        <w:t>2019-2022</w:t>
      </w:r>
      <w:r w:rsidRPr="00C74EA6">
        <w:t xml:space="preserve"> are available on the </w:t>
      </w:r>
      <w:r w:rsidR="00040EEB">
        <w:t>AHRQ Data Tools</w:t>
      </w:r>
      <w:r w:rsidRPr="00C74EA6">
        <w:t xml:space="preserve"> at</w:t>
      </w:r>
      <w:r w:rsidR="00040EEB">
        <w:t xml:space="preserve"> </w:t>
      </w:r>
      <w:hyperlink r:id="rId13" w:history="1">
        <w:r w:rsidRPr="00350E37" w:rsidR="00040EEB">
          <w:rPr>
            <w:rStyle w:val="Hyperlink"/>
          </w:rPr>
          <w:t>https://datatools.ahrq.gov/cahps</w:t>
        </w:r>
      </w:hyperlink>
      <w:r w:rsidR="00DD7555">
        <w:t>.</w:t>
      </w:r>
      <w:r w:rsidR="00040EEB">
        <w:t xml:space="preserve"> </w:t>
      </w:r>
      <w:r>
        <w:t xml:space="preserve">Results for </w:t>
      </w:r>
      <w:r w:rsidR="00B933FB">
        <w:t xml:space="preserve">the </w:t>
      </w:r>
      <w:r>
        <w:t xml:space="preserve">participating Medicaid agencies and individual health plans are provided </w:t>
      </w:r>
      <w:r w:rsidR="00E317F0">
        <w:t>through a secure FTP site</w:t>
      </w:r>
      <w:r w:rsidR="00AE0258">
        <w:t>.</w:t>
      </w:r>
    </w:p>
    <w:p w:rsidR="002B3186" w:rsidRPr="00424E6E" w:rsidP="00C22AC4" w14:paraId="09401906" w14:textId="77777777">
      <w:pPr>
        <w:pStyle w:val="Heading2"/>
        <w:rPr>
          <w:sz w:val="24"/>
          <w:szCs w:val="24"/>
        </w:rPr>
      </w:pPr>
      <w:bookmarkStart w:id="56" w:name="_Toc151782196"/>
      <w:bookmarkStart w:id="57" w:name="_Toc158526232"/>
      <w:bookmarkStart w:id="58" w:name="_Toc132023578"/>
      <w:bookmarkEnd w:id="55"/>
      <w:r w:rsidRPr="00424E6E">
        <w:rPr>
          <w:sz w:val="24"/>
          <w:szCs w:val="24"/>
        </w:rPr>
        <w:t>17. Exemption for Display of Expiration Date</w:t>
      </w:r>
      <w:bookmarkEnd w:id="56"/>
      <w:bookmarkEnd w:id="57"/>
      <w:bookmarkEnd w:id="58"/>
    </w:p>
    <w:p w:rsidR="002B3186" w:rsidP="00C95998" w14:paraId="7B0CB8FE" w14:textId="77777777"/>
    <w:p w:rsidR="002B3186" w:rsidP="00C95998" w14:paraId="3221E2DB" w14:textId="77777777">
      <w:r w:rsidRPr="004F03D2">
        <w:t>AHRQ does not seek this exemption</w:t>
      </w:r>
      <w:r>
        <w:t>.</w:t>
      </w:r>
    </w:p>
    <w:p w:rsidR="002B3186" w:rsidRPr="00016560" w:rsidP="000D5BCC" w14:paraId="5908CBB1" w14:textId="2E1D416F">
      <w:pPr>
        <w:pStyle w:val="NormalWeb"/>
        <w:keepNext/>
        <w:spacing w:before="240" w:beforeAutospacing="0" w:after="60" w:afterAutospacing="0"/>
        <w:outlineLvl w:val="0"/>
        <w:rPr>
          <w:rFonts w:ascii="Arial" w:hAnsi="Arial" w:cs="Arial"/>
          <w:b/>
          <w:bCs/>
        </w:rPr>
      </w:pPr>
      <w:bookmarkStart w:id="59" w:name="_Toc132023579"/>
      <w:r>
        <w:rPr>
          <w:rFonts w:ascii="Arial" w:hAnsi="Arial" w:cs="Arial"/>
          <w:b/>
          <w:bCs/>
        </w:rPr>
        <w:t xml:space="preserve">List of </w:t>
      </w:r>
      <w:r w:rsidRPr="00016560">
        <w:rPr>
          <w:rFonts w:ascii="Arial" w:hAnsi="Arial" w:cs="Arial"/>
          <w:b/>
          <w:bCs/>
        </w:rPr>
        <w:t>Attachments:</w:t>
      </w:r>
      <w:bookmarkEnd w:id="59"/>
    </w:p>
    <w:p w:rsidR="0057476B" w:rsidP="00FF6891" w14:paraId="417B20DD" w14:textId="77777777">
      <w:pPr>
        <w:pStyle w:val="NormalWeb"/>
        <w:spacing w:before="0" w:beforeAutospacing="0" w:after="0" w:afterAutospacing="0"/>
      </w:pPr>
    </w:p>
    <w:p w:rsidR="0057476B" w:rsidP="00FF6891" w14:paraId="2BA896C7" w14:textId="77777777">
      <w:pPr>
        <w:pStyle w:val="NormalWeb"/>
        <w:spacing w:before="0" w:beforeAutospacing="0" w:after="0" w:afterAutospacing="0"/>
      </w:pPr>
      <w:r>
        <w:t>Attachment A: Federal Register Notice</w:t>
      </w:r>
    </w:p>
    <w:p w:rsidR="0057476B" w:rsidP="00FF6891" w14:paraId="74702BF7" w14:textId="24064B23">
      <w:pPr>
        <w:pStyle w:val="NormalWeb"/>
        <w:spacing w:before="0" w:beforeAutospacing="0" w:after="0" w:afterAutospacing="0"/>
      </w:pPr>
      <w:r>
        <w:t>Attachment B</w:t>
      </w:r>
      <w:r>
        <w:t xml:space="preserve">: </w:t>
      </w:r>
      <w:r w:rsidR="00491676">
        <w:t>Data Use Agreement</w:t>
      </w:r>
      <w:r>
        <w:t xml:space="preserve"> Form</w:t>
      </w:r>
    </w:p>
    <w:p w:rsidR="0057476B" w:rsidP="00FF6891" w14:paraId="0E5390A7" w14:textId="075CBA68">
      <w:pPr>
        <w:pStyle w:val="NormalWeb"/>
        <w:spacing w:before="0" w:beforeAutospacing="0" w:after="0" w:afterAutospacing="0"/>
      </w:pPr>
      <w:r>
        <w:t>Attachment C</w:t>
      </w:r>
      <w:r>
        <w:t xml:space="preserve">: </w:t>
      </w:r>
      <w:r w:rsidR="00491676">
        <w:t>Registration Form</w:t>
      </w:r>
    </w:p>
    <w:p w:rsidR="0057476B" w:rsidP="00FF6891" w14:paraId="36E11C21" w14:textId="713D0B74">
      <w:pPr>
        <w:pStyle w:val="NormalWeb"/>
        <w:spacing w:before="0" w:beforeAutospacing="0" w:after="0" w:afterAutospacing="0"/>
      </w:pPr>
      <w:r>
        <w:t>Attachment D</w:t>
      </w:r>
      <w:r>
        <w:t xml:space="preserve">: Health Plan </w:t>
      </w:r>
      <w:r w:rsidR="00491676">
        <w:t>Information Form</w:t>
      </w:r>
    </w:p>
    <w:p w:rsidR="00572892" w:rsidP="00FF6891" w14:paraId="7500E012" w14:textId="258785A9">
      <w:pPr>
        <w:pStyle w:val="NormalWeb"/>
        <w:spacing w:before="0" w:beforeAutospacing="0" w:after="0" w:afterAutospacing="0"/>
      </w:pPr>
      <w:r>
        <w:t xml:space="preserve">Attachment </w:t>
      </w:r>
      <w:r w:rsidR="00CA7504">
        <w:t>E</w:t>
      </w:r>
      <w:r>
        <w:t xml:space="preserve">: </w:t>
      </w:r>
      <w:r w:rsidR="00302ABB">
        <w:t>Data Submission Screenshots</w:t>
      </w:r>
    </w:p>
    <w:p w:rsidR="00572892" w:rsidP="00FF6891" w14:paraId="3DA11AAF" w14:textId="63CB9E4D">
      <w:pPr>
        <w:pStyle w:val="NormalWeb"/>
        <w:spacing w:before="0" w:beforeAutospacing="0" w:after="0" w:afterAutospacing="0"/>
      </w:pPr>
      <w:r>
        <w:t xml:space="preserve">Attachment </w:t>
      </w:r>
      <w:r w:rsidR="00CA7504">
        <w:t>F</w:t>
      </w:r>
      <w:r>
        <w:t xml:space="preserve">: </w:t>
      </w:r>
      <w:r w:rsidR="00302ABB">
        <w:t>Submission</w:t>
      </w:r>
      <w:r>
        <w:t xml:space="preserve"> Emails</w:t>
      </w:r>
    </w:p>
    <w:p w:rsidR="009F7059" w:rsidP="00FF6891" w14:paraId="6889870F" w14:textId="19C7EDDF">
      <w:pPr>
        <w:pStyle w:val="NormalWeb"/>
        <w:spacing w:before="0" w:beforeAutospacing="0" w:after="0" w:afterAutospacing="0"/>
      </w:pPr>
    </w:p>
    <w:sectPr w:rsidSect="00EF3BBB">
      <w:headerReference w:type="even" r:id="rId14"/>
      <w:headerReference w:type="default" r:id="rId15"/>
      <w:headerReference w:type="first" r:id="rId16"/>
      <w:footerReference w:type="first" r:id="rId17"/>
      <w:endnotePr>
        <w:numFmt w:val="decimal"/>
      </w:endnotePr>
      <w:pgSz w:w="12240" w:h="15840"/>
      <w:pgMar w:top="1440" w:right="1800" w:bottom="1260" w:left="180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DF9" w:rsidP="009B633D" w14:paraId="31BA8F9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3DF9" w14:paraId="5D2259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DF9" w:rsidP="00E4460B" w14:paraId="7F375D31" w14:textId="7B20B02F">
    <w:pPr>
      <w:pStyle w:val="Footer"/>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886184">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DF9" w:rsidRPr="004009E4" w:rsidP="004009E4" w14:paraId="192CB1C4" w14:textId="67DC8773">
    <w:pPr>
      <w:pStyle w:val="Footer"/>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886184">
      <w:rPr>
        <w:rStyle w:val="PageNumber"/>
        <w:noProof/>
      </w:rPr>
      <w:t>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DF9" w:rsidP="004009E4" w14:paraId="63353293" w14:textId="5E4E6FA9">
    <w:pPr>
      <w:pStyle w:val="Footer"/>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886184">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DF9" w14:paraId="19A24C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DF9" w14:paraId="3CFB4E6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DF9" w14:paraId="59FEA7F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DF9" w14:paraId="0C8009A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DF9" w14:paraId="7676597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DF9" w14:paraId="30F179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374F8"/>
    <w:multiLevelType w:val="hybridMultilevel"/>
    <w:tmpl w:val="1B525974"/>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start w:val="1"/>
      <w:numFmt w:val="decimal"/>
      <w:lvlText w:val="%1."/>
      <w:lvlJc w:val="left"/>
      <w:pPr>
        <w:tabs>
          <w:tab w:val="num" w:pos="720"/>
        </w:tabs>
        <w:ind w:left="720" w:hanging="360"/>
      </w:pPr>
      <w:rPr>
        <w:rFonts w:cs="Times New Roman" w:hint="default"/>
        <w:sz w:val="16"/>
        <w:szCs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76B4CC6"/>
    <w:multiLevelType w:val="hybridMultilevel"/>
    <w:tmpl w:val="F43436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E0543F"/>
    <w:multiLevelType w:val="multilevel"/>
    <w:tmpl w:val="76AA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9D1012"/>
    <w:multiLevelType w:val="hybridMultilevel"/>
    <w:tmpl w:val="F522BD5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8A10292"/>
    <w:multiLevelType w:val="hybridMultilevel"/>
    <w:tmpl w:val="B1FA664C"/>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2">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6013681"/>
    <w:multiLevelType w:val="hybridMultilevel"/>
    <w:tmpl w:val="764221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A995858"/>
    <w:multiLevelType w:val="hybridMultilevel"/>
    <w:tmpl w:val="45E014AC"/>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6C79A8"/>
    <w:multiLevelType w:val="hybridMultilevel"/>
    <w:tmpl w:val="5D74BB3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7">
    <w:nsid w:val="3FCB150C"/>
    <w:multiLevelType w:val="hybridMultilevel"/>
    <w:tmpl w:val="4F0871C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hint="default"/>
      </w:rPr>
    </w:lvl>
    <w:lvl w:ilvl="8">
      <w:start w:val="1"/>
      <w:numFmt w:val="bullet"/>
      <w:lvlText w:val=""/>
      <w:lvlJc w:val="left"/>
      <w:pPr>
        <w:tabs>
          <w:tab w:val="num" w:pos="6372"/>
        </w:tabs>
        <w:ind w:left="6372" w:hanging="360"/>
      </w:pPr>
      <w:rPr>
        <w:rFonts w:ascii="Wingdings" w:hAnsi="Wingdings" w:hint="default"/>
      </w:rPr>
    </w:lvl>
  </w:abstractNum>
  <w:abstractNum w:abstractNumId="21">
    <w:nsid w:val="457E41F0"/>
    <w:multiLevelType w:val="hybridMultilevel"/>
    <w:tmpl w:val="D0E8F1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FC161EE"/>
    <w:multiLevelType w:val="hybridMultilevel"/>
    <w:tmpl w:val="5E58D7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FA2574"/>
    <w:multiLevelType w:val="hybridMultilevel"/>
    <w:tmpl w:val="0A1E8A72"/>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3">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hint="default"/>
      </w:rPr>
    </w:lvl>
    <w:lvl w:ilvl="8">
      <w:start w:val="1"/>
      <w:numFmt w:val="bullet"/>
      <w:lvlText w:val=""/>
      <w:lvlJc w:val="left"/>
      <w:pPr>
        <w:tabs>
          <w:tab w:val="num" w:pos="6372"/>
        </w:tabs>
        <w:ind w:left="6372" w:hanging="360"/>
      </w:pPr>
      <w:rPr>
        <w:rFonts w:ascii="Wingdings" w:hAnsi="Wingdings" w:hint="default"/>
      </w:rPr>
    </w:lvl>
  </w:abstractNum>
  <w:abstractNum w:abstractNumId="34">
    <w:nsid w:val="5A606CBB"/>
    <w:multiLevelType w:val="hybridMultilevel"/>
    <w:tmpl w:val="14D8E0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D73910"/>
    <w:multiLevelType w:val="hybridMultilevel"/>
    <w:tmpl w:val="8E9ED68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24A77AD"/>
    <w:multiLevelType w:val="hybridMultilevel"/>
    <w:tmpl w:val="EF94B6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26875F0"/>
    <w:multiLevelType w:val="hybridMultilevel"/>
    <w:tmpl w:val="42BCA01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nsid w:val="626A3F1F"/>
    <w:multiLevelType w:val="multilevel"/>
    <w:tmpl w:val="8D2A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6EE7FE3"/>
    <w:multiLevelType w:val="hybridMultilevel"/>
    <w:tmpl w:val="FD2E7EC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6C507C82"/>
    <w:multiLevelType w:val="hybridMultilevel"/>
    <w:tmpl w:val="CF964A98"/>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5B54C6"/>
    <w:multiLevelType w:val="hybridMultilevel"/>
    <w:tmpl w:val="F9A6E5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0467CC2"/>
    <w:multiLevelType w:val="hybridMultilevel"/>
    <w:tmpl w:val="DD965748"/>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1773900"/>
    <w:multiLevelType w:val="hybridMultilevel"/>
    <w:tmpl w:val="AB0C5916"/>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739D2F89"/>
    <w:multiLevelType w:val="hybridMultilevel"/>
    <w:tmpl w:val="C852842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7A376083"/>
    <w:multiLevelType w:val="hybridMultilevel"/>
    <w:tmpl w:val="7A9E7FE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C8836DA"/>
    <w:multiLevelType w:val="hybridMultilevel"/>
    <w:tmpl w:val="1DC69BC0"/>
    <w:lvl w:ilvl="0">
      <w:start w:val="1"/>
      <w:numFmt w:val="decimal"/>
      <w:lvlText w:val="%1."/>
      <w:lvlJc w:val="left"/>
      <w:pPr>
        <w:tabs>
          <w:tab w:val="num" w:pos="720"/>
        </w:tabs>
        <w:ind w:left="720" w:hanging="36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1">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2">
    <w:nsid w:val="7DEF18BF"/>
    <w:multiLevelType w:val="hybridMultilevel"/>
    <w:tmpl w:val="0F70BD8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872986">
    <w:abstractNumId w:val="12"/>
  </w:num>
  <w:num w:numId="2" w16cid:durableId="166948169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025979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867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358371">
    <w:abstractNumId w:val="26"/>
  </w:num>
  <w:num w:numId="6" w16cid:durableId="2136024920">
    <w:abstractNumId w:val="51"/>
  </w:num>
  <w:num w:numId="7" w16cid:durableId="1411804578">
    <w:abstractNumId w:val="39"/>
  </w:num>
  <w:num w:numId="8" w16cid:durableId="626812844">
    <w:abstractNumId w:val="35"/>
  </w:num>
  <w:num w:numId="9" w16cid:durableId="922371173">
    <w:abstractNumId w:val="38"/>
  </w:num>
  <w:num w:numId="10" w16cid:durableId="1930116148">
    <w:abstractNumId w:val="14"/>
  </w:num>
  <w:num w:numId="11" w16cid:durableId="471097602">
    <w:abstractNumId w:val="34"/>
  </w:num>
  <w:num w:numId="12" w16cid:durableId="175265184">
    <w:abstractNumId w:val="50"/>
  </w:num>
  <w:num w:numId="13" w16cid:durableId="1437484489">
    <w:abstractNumId w:val="9"/>
  </w:num>
  <w:num w:numId="14" w16cid:durableId="808209879">
    <w:abstractNumId w:val="17"/>
  </w:num>
  <w:num w:numId="15" w16cid:durableId="1905990439">
    <w:abstractNumId w:val="32"/>
  </w:num>
  <w:num w:numId="16" w16cid:durableId="52898718">
    <w:abstractNumId w:val="48"/>
  </w:num>
  <w:num w:numId="17" w16cid:durableId="252203162">
    <w:abstractNumId w:val="42"/>
  </w:num>
  <w:num w:numId="18" w16cid:durableId="1154032718">
    <w:abstractNumId w:val="19"/>
  </w:num>
  <w:num w:numId="19" w16cid:durableId="1285112632">
    <w:abstractNumId w:val="31"/>
  </w:num>
  <w:num w:numId="20" w16cid:durableId="614025215">
    <w:abstractNumId w:val="10"/>
  </w:num>
  <w:num w:numId="21" w16cid:durableId="672297557">
    <w:abstractNumId w:val="46"/>
  </w:num>
  <w:num w:numId="22" w16cid:durableId="978614626">
    <w:abstractNumId w:val="1"/>
  </w:num>
  <w:num w:numId="23" w16cid:durableId="369916639">
    <w:abstractNumId w:val="41"/>
  </w:num>
  <w:num w:numId="24" w16cid:durableId="1066421135">
    <w:abstractNumId w:val="37"/>
  </w:num>
  <w:num w:numId="25" w16cid:durableId="942569002">
    <w:abstractNumId w:val="5"/>
  </w:num>
  <w:num w:numId="26" w16cid:durableId="441462310">
    <w:abstractNumId w:val="11"/>
  </w:num>
  <w:num w:numId="27" w16cid:durableId="1163818810">
    <w:abstractNumId w:val="33"/>
  </w:num>
  <w:num w:numId="28" w16cid:durableId="379787231">
    <w:abstractNumId w:val="0"/>
  </w:num>
  <w:num w:numId="29" w16cid:durableId="395519705">
    <w:abstractNumId w:val="20"/>
  </w:num>
  <w:num w:numId="30" w16cid:durableId="725883834">
    <w:abstractNumId w:val="16"/>
  </w:num>
  <w:num w:numId="31" w16cid:durableId="1506436736">
    <w:abstractNumId w:val="47"/>
  </w:num>
  <w:num w:numId="32" w16cid:durableId="2019112845">
    <w:abstractNumId w:val="43"/>
  </w:num>
  <w:num w:numId="33" w16cid:durableId="1677146617">
    <w:abstractNumId w:val="52"/>
  </w:num>
  <w:num w:numId="34" w16cid:durableId="1662586498">
    <w:abstractNumId w:val="22"/>
  </w:num>
  <w:num w:numId="35" w16cid:durableId="255090724">
    <w:abstractNumId w:val="30"/>
  </w:num>
  <w:num w:numId="36" w16cid:durableId="2022776285">
    <w:abstractNumId w:val="23"/>
  </w:num>
  <w:num w:numId="37" w16cid:durableId="140192220">
    <w:abstractNumId w:val="36"/>
  </w:num>
  <w:num w:numId="38" w16cid:durableId="1490175424">
    <w:abstractNumId w:val="15"/>
  </w:num>
  <w:num w:numId="39" w16cid:durableId="1412384677">
    <w:abstractNumId w:val="4"/>
  </w:num>
  <w:num w:numId="40" w16cid:durableId="2028947952">
    <w:abstractNumId w:val="29"/>
  </w:num>
  <w:num w:numId="41" w16cid:durableId="1407994086">
    <w:abstractNumId w:val="6"/>
  </w:num>
  <w:num w:numId="42" w16cid:durableId="322196335">
    <w:abstractNumId w:val="8"/>
  </w:num>
  <w:num w:numId="43" w16cid:durableId="1423723179">
    <w:abstractNumId w:val="24"/>
  </w:num>
  <w:num w:numId="44" w16cid:durableId="1568497408">
    <w:abstractNumId w:val="44"/>
  </w:num>
  <w:num w:numId="45" w16cid:durableId="1861624093">
    <w:abstractNumId w:val="13"/>
  </w:num>
  <w:num w:numId="46" w16cid:durableId="957032274">
    <w:abstractNumId w:val="3"/>
  </w:num>
  <w:num w:numId="47" w16cid:durableId="79302614">
    <w:abstractNumId w:val="7"/>
  </w:num>
  <w:num w:numId="48" w16cid:durableId="409428934">
    <w:abstractNumId w:val="40"/>
  </w:num>
  <w:num w:numId="49" w16cid:durableId="182327467">
    <w:abstractNumId w:val="25"/>
  </w:num>
  <w:num w:numId="50" w16cid:durableId="1401170672">
    <w:abstractNumId w:val="49"/>
  </w:num>
  <w:num w:numId="51" w16cid:durableId="778450529">
    <w:abstractNumId w:val="28"/>
  </w:num>
  <w:num w:numId="52" w16cid:durableId="1582249535">
    <w:abstractNumId w:val="21"/>
  </w:num>
  <w:num w:numId="53" w16cid:durableId="322469059">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doNotValidateAgainstSchema/>
  <w:doNotDemarcateInvalidXml/>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74"/>
    <w:rsid w:val="000113C6"/>
    <w:rsid w:val="00011E85"/>
    <w:rsid w:val="00012921"/>
    <w:rsid w:val="00012FB9"/>
    <w:rsid w:val="00015E26"/>
    <w:rsid w:val="00016560"/>
    <w:rsid w:val="000240D2"/>
    <w:rsid w:val="00024FEE"/>
    <w:rsid w:val="00034F0A"/>
    <w:rsid w:val="00035164"/>
    <w:rsid w:val="000351FF"/>
    <w:rsid w:val="00035A83"/>
    <w:rsid w:val="0003702D"/>
    <w:rsid w:val="00037998"/>
    <w:rsid w:val="00040EEB"/>
    <w:rsid w:val="00040F92"/>
    <w:rsid w:val="00043473"/>
    <w:rsid w:val="00045959"/>
    <w:rsid w:val="00046359"/>
    <w:rsid w:val="000509AF"/>
    <w:rsid w:val="00053056"/>
    <w:rsid w:val="00053201"/>
    <w:rsid w:val="00056B22"/>
    <w:rsid w:val="00057ED9"/>
    <w:rsid w:val="00060E72"/>
    <w:rsid w:val="0006207D"/>
    <w:rsid w:val="0006394F"/>
    <w:rsid w:val="00065B06"/>
    <w:rsid w:val="00071E59"/>
    <w:rsid w:val="000779A9"/>
    <w:rsid w:val="00082047"/>
    <w:rsid w:val="000830D7"/>
    <w:rsid w:val="00094026"/>
    <w:rsid w:val="00094648"/>
    <w:rsid w:val="000A140E"/>
    <w:rsid w:val="000A29DB"/>
    <w:rsid w:val="000A3475"/>
    <w:rsid w:val="000A3CAB"/>
    <w:rsid w:val="000B1B3A"/>
    <w:rsid w:val="000B4CB1"/>
    <w:rsid w:val="000B78CB"/>
    <w:rsid w:val="000C12D6"/>
    <w:rsid w:val="000C3DC9"/>
    <w:rsid w:val="000D0D98"/>
    <w:rsid w:val="000D4103"/>
    <w:rsid w:val="000D429E"/>
    <w:rsid w:val="000D4F1E"/>
    <w:rsid w:val="000D5BCC"/>
    <w:rsid w:val="000E01D1"/>
    <w:rsid w:val="000E42FA"/>
    <w:rsid w:val="000E620B"/>
    <w:rsid w:val="000E661F"/>
    <w:rsid w:val="000F1328"/>
    <w:rsid w:val="000F2B59"/>
    <w:rsid w:val="000F546A"/>
    <w:rsid w:val="00103CE3"/>
    <w:rsid w:val="0011010B"/>
    <w:rsid w:val="00112DF2"/>
    <w:rsid w:val="00115673"/>
    <w:rsid w:val="00122AA3"/>
    <w:rsid w:val="00123F9F"/>
    <w:rsid w:val="00124917"/>
    <w:rsid w:val="00125573"/>
    <w:rsid w:val="00131443"/>
    <w:rsid w:val="00132118"/>
    <w:rsid w:val="0013605C"/>
    <w:rsid w:val="00136B48"/>
    <w:rsid w:val="001370A9"/>
    <w:rsid w:val="00137539"/>
    <w:rsid w:val="00140A1B"/>
    <w:rsid w:val="001412F2"/>
    <w:rsid w:val="00144E55"/>
    <w:rsid w:val="001451F0"/>
    <w:rsid w:val="00146E8B"/>
    <w:rsid w:val="00147A20"/>
    <w:rsid w:val="001502E0"/>
    <w:rsid w:val="001512C3"/>
    <w:rsid w:val="00154020"/>
    <w:rsid w:val="0015560F"/>
    <w:rsid w:val="001645A7"/>
    <w:rsid w:val="00166A69"/>
    <w:rsid w:val="001677BF"/>
    <w:rsid w:val="0016783B"/>
    <w:rsid w:val="00172AAB"/>
    <w:rsid w:val="0017412D"/>
    <w:rsid w:val="0018191D"/>
    <w:rsid w:val="0018366F"/>
    <w:rsid w:val="001842D0"/>
    <w:rsid w:val="00187A50"/>
    <w:rsid w:val="00193020"/>
    <w:rsid w:val="00196AF4"/>
    <w:rsid w:val="00196DE2"/>
    <w:rsid w:val="00197169"/>
    <w:rsid w:val="001A06E4"/>
    <w:rsid w:val="001A28C0"/>
    <w:rsid w:val="001A4057"/>
    <w:rsid w:val="001B1C61"/>
    <w:rsid w:val="001B438D"/>
    <w:rsid w:val="001B4BF3"/>
    <w:rsid w:val="001B6C01"/>
    <w:rsid w:val="001B7363"/>
    <w:rsid w:val="001C44DD"/>
    <w:rsid w:val="001C59E4"/>
    <w:rsid w:val="001C71C9"/>
    <w:rsid w:val="001D0454"/>
    <w:rsid w:val="001D2B9D"/>
    <w:rsid w:val="001D4F1A"/>
    <w:rsid w:val="001D7384"/>
    <w:rsid w:val="001D7D43"/>
    <w:rsid w:val="001D7F62"/>
    <w:rsid w:val="001F6390"/>
    <w:rsid w:val="001F7E5B"/>
    <w:rsid w:val="00205BEA"/>
    <w:rsid w:val="00206D9E"/>
    <w:rsid w:val="00212992"/>
    <w:rsid w:val="00214356"/>
    <w:rsid w:val="002148F6"/>
    <w:rsid w:val="00214C75"/>
    <w:rsid w:val="0022366A"/>
    <w:rsid w:val="00233746"/>
    <w:rsid w:val="002337C7"/>
    <w:rsid w:val="002362A1"/>
    <w:rsid w:val="002364C4"/>
    <w:rsid w:val="00240071"/>
    <w:rsid w:val="0024167C"/>
    <w:rsid w:val="00247506"/>
    <w:rsid w:val="00256AE9"/>
    <w:rsid w:val="0026424E"/>
    <w:rsid w:val="0026444E"/>
    <w:rsid w:val="00271689"/>
    <w:rsid w:val="00272221"/>
    <w:rsid w:val="00272E29"/>
    <w:rsid w:val="00276407"/>
    <w:rsid w:val="002768CD"/>
    <w:rsid w:val="00276F0C"/>
    <w:rsid w:val="00277617"/>
    <w:rsid w:val="0027761B"/>
    <w:rsid w:val="0028111F"/>
    <w:rsid w:val="00281908"/>
    <w:rsid w:val="00291B73"/>
    <w:rsid w:val="00292894"/>
    <w:rsid w:val="002967C5"/>
    <w:rsid w:val="0029734C"/>
    <w:rsid w:val="002A2639"/>
    <w:rsid w:val="002A271D"/>
    <w:rsid w:val="002A32A3"/>
    <w:rsid w:val="002A4430"/>
    <w:rsid w:val="002A5D8D"/>
    <w:rsid w:val="002A74F0"/>
    <w:rsid w:val="002A79DD"/>
    <w:rsid w:val="002B3186"/>
    <w:rsid w:val="002B382B"/>
    <w:rsid w:val="002B4C12"/>
    <w:rsid w:val="002B5958"/>
    <w:rsid w:val="002C6566"/>
    <w:rsid w:val="002D3752"/>
    <w:rsid w:val="002D3D98"/>
    <w:rsid w:val="002D6627"/>
    <w:rsid w:val="002E3D17"/>
    <w:rsid w:val="002E54EF"/>
    <w:rsid w:val="002E60AA"/>
    <w:rsid w:val="002F29AF"/>
    <w:rsid w:val="002F3275"/>
    <w:rsid w:val="002F397A"/>
    <w:rsid w:val="002F4DE8"/>
    <w:rsid w:val="002F5B64"/>
    <w:rsid w:val="00302ABB"/>
    <w:rsid w:val="00307BE5"/>
    <w:rsid w:val="00317F79"/>
    <w:rsid w:val="003224B1"/>
    <w:rsid w:val="00322D73"/>
    <w:rsid w:val="00325B9C"/>
    <w:rsid w:val="00337491"/>
    <w:rsid w:val="00340D97"/>
    <w:rsid w:val="003453DD"/>
    <w:rsid w:val="00350E37"/>
    <w:rsid w:val="00351A13"/>
    <w:rsid w:val="00352120"/>
    <w:rsid w:val="00356471"/>
    <w:rsid w:val="00357448"/>
    <w:rsid w:val="003578A5"/>
    <w:rsid w:val="00361E87"/>
    <w:rsid w:val="00361F52"/>
    <w:rsid w:val="00365FCF"/>
    <w:rsid w:val="00366016"/>
    <w:rsid w:val="0037427A"/>
    <w:rsid w:val="00377301"/>
    <w:rsid w:val="0037771B"/>
    <w:rsid w:val="0038213C"/>
    <w:rsid w:val="0038217D"/>
    <w:rsid w:val="00382DD3"/>
    <w:rsid w:val="003925C9"/>
    <w:rsid w:val="003A23ED"/>
    <w:rsid w:val="003A5231"/>
    <w:rsid w:val="003A5DA0"/>
    <w:rsid w:val="003A6039"/>
    <w:rsid w:val="003A72DF"/>
    <w:rsid w:val="003B5859"/>
    <w:rsid w:val="003B6B41"/>
    <w:rsid w:val="003C2326"/>
    <w:rsid w:val="003C3847"/>
    <w:rsid w:val="003C40E3"/>
    <w:rsid w:val="003C60BD"/>
    <w:rsid w:val="003D0349"/>
    <w:rsid w:val="003D21A7"/>
    <w:rsid w:val="003D35B4"/>
    <w:rsid w:val="003D73D8"/>
    <w:rsid w:val="003E40C5"/>
    <w:rsid w:val="003E540A"/>
    <w:rsid w:val="003F368E"/>
    <w:rsid w:val="003F5921"/>
    <w:rsid w:val="003F5E8E"/>
    <w:rsid w:val="004009E4"/>
    <w:rsid w:val="00400B67"/>
    <w:rsid w:val="00406AAD"/>
    <w:rsid w:val="00412C6F"/>
    <w:rsid w:val="00414160"/>
    <w:rsid w:val="00414C80"/>
    <w:rsid w:val="004155E1"/>
    <w:rsid w:val="00424E6E"/>
    <w:rsid w:val="00425974"/>
    <w:rsid w:val="0042753A"/>
    <w:rsid w:val="0042764B"/>
    <w:rsid w:val="0043596B"/>
    <w:rsid w:val="0044769A"/>
    <w:rsid w:val="00450538"/>
    <w:rsid w:val="00451682"/>
    <w:rsid w:val="00452268"/>
    <w:rsid w:val="00454252"/>
    <w:rsid w:val="00456179"/>
    <w:rsid w:val="004564F5"/>
    <w:rsid w:val="0046502E"/>
    <w:rsid w:val="004661D0"/>
    <w:rsid w:val="00467163"/>
    <w:rsid w:val="004701C1"/>
    <w:rsid w:val="0047504D"/>
    <w:rsid w:val="004811AD"/>
    <w:rsid w:val="004907CE"/>
    <w:rsid w:val="00491676"/>
    <w:rsid w:val="004A06E3"/>
    <w:rsid w:val="004A23E8"/>
    <w:rsid w:val="004A624D"/>
    <w:rsid w:val="004A6B20"/>
    <w:rsid w:val="004B1A4C"/>
    <w:rsid w:val="004C1C67"/>
    <w:rsid w:val="004C3BA7"/>
    <w:rsid w:val="004C4A74"/>
    <w:rsid w:val="004D1355"/>
    <w:rsid w:val="004D5C0E"/>
    <w:rsid w:val="004E3A1B"/>
    <w:rsid w:val="004E4661"/>
    <w:rsid w:val="004F03D2"/>
    <w:rsid w:val="004F1241"/>
    <w:rsid w:val="004F1B42"/>
    <w:rsid w:val="004F1FDC"/>
    <w:rsid w:val="00510909"/>
    <w:rsid w:val="00511CB3"/>
    <w:rsid w:val="00512046"/>
    <w:rsid w:val="0051248C"/>
    <w:rsid w:val="00514B9A"/>
    <w:rsid w:val="00520CE0"/>
    <w:rsid w:val="00524A74"/>
    <w:rsid w:val="00527BBD"/>
    <w:rsid w:val="00530C6A"/>
    <w:rsid w:val="00531857"/>
    <w:rsid w:val="00533230"/>
    <w:rsid w:val="00535B56"/>
    <w:rsid w:val="00536A65"/>
    <w:rsid w:val="005404EF"/>
    <w:rsid w:val="00541637"/>
    <w:rsid w:val="00542F56"/>
    <w:rsid w:val="005512FE"/>
    <w:rsid w:val="005534F6"/>
    <w:rsid w:val="00556066"/>
    <w:rsid w:val="0055780B"/>
    <w:rsid w:val="005635B3"/>
    <w:rsid w:val="0057119A"/>
    <w:rsid w:val="00572892"/>
    <w:rsid w:val="0057476B"/>
    <w:rsid w:val="00581FD2"/>
    <w:rsid w:val="00590FA6"/>
    <w:rsid w:val="005A0258"/>
    <w:rsid w:val="005A1B9A"/>
    <w:rsid w:val="005A4894"/>
    <w:rsid w:val="005A4DC5"/>
    <w:rsid w:val="005B2955"/>
    <w:rsid w:val="005B3C01"/>
    <w:rsid w:val="005B62CF"/>
    <w:rsid w:val="005B6FAA"/>
    <w:rsid w:val="005C03BB"/>
    <w:rsid w:val="005C5414"/>
    <w:rsid w:val="005D3F42"/>
    <w:rsid w:val="005D4243"/>
    <w:rsid w:val="005E2D1C"/>
    <w:rsid w:val="005E49B8"/>
    <w:rsid w:val="005E4A3C"/>
    <w:rsid w:val="005E5AC4"/>
    <w:rsid w:val="005E76B8"/>
    <w:rsid w:val="005F3348"/>
    <w:rsid w:val="005F3798"/>
    <w:rsid w:val="005F4B12"/>
    <w:rsid w:val="005F4F30"/>
    <w:rsid w:val="005F7191"/>
    <w:rsid w:val="0060047D"/>
    <w:rsid w:val="006014DB"/>
    <w:rsid w:val="00603DF9"/>
    <w:rsid w:val="00606400"/>
    <w:rsid w:val="00613C05"/>
    <w:rsid w:val="00615F2E"/>
    <w:rsid w:val="0062173A"/>
    <w:rsid w:val="00621F02"/>
    <w:rsid w:val="006245AD"/>
    <w:rsid w:val="0062516D"/>
    <w:rsid w:val="00625C1B"/>
    <w:rsid w:val="00631C81"/>
    <w:rsid w:val="00635119"/>
    <w:rsid w:val="00636A0C"/>
    <w:rsid w:val="00637F0A"/>
    <w:rsid w:val="006507A1"/>
    <w:rsid w:val="00650B7B"/>
    <w:rsid w:val="00655A17"/>
    <w:rsid w:val="00663233"/>
    <w:rsid w:val="00663B6E"/>
    <w:rsid w:val="0066406E"/>
    <w:rsid w:val="00664FF6"/>
    <w:rsid w:val="00673146"/>
    <w:rsid w:val="00677A0B"/>
    <w:rsid w:val="00681380"/>
    <w:rsid w:val="006844A8"/>
    <w:rsid w:val="00695229"/>
    <w:rsid w:val="00696D98"/>
    <w:rsid w:val="006A28E1"/>
    <w:rsid w:val="006A4D4E"/>
    <w:rsid w:val="006A5771"/>
    <w:rsid w:val="006B2042"/>
    <w:rsid w:val="006B5244"/>
    <w:rsid w:val="006D09B5"/>
    <w:rsid w:val="006D1C5E"/>
    <w:rsid w:val="006D33D4"/>
    <w:rsid w:val="006D4FEA"/>
    <w:rsid w:val="006E24D8"/>
    <w:rsid w:val="006E2DAB"/>
    <w:rsid w:val="006E5D05"/>
    <w:rsid w:val="006F3361"/>
    <w:rsid w:val="0070072D"/>
    <w:rsid w:val="0070209E"/>
    <w:rsid w:val="00702E08"/>
    <w:rsid w:val="00703573"/>
    <w:rsid w:val="00705C4C"/>
    <w:rsid w:val="007068AC"/>
    <w:rsid w:val="007109B1"/>
    <w:rsid w:val="007153F2"/>
    <w:rsid w:val="007162E8"/>
    <w:rsid w:val="00717446"/>
    <w:rsid w:val="00723075"/>
    <w:rsid w:val="00732461"/>
    <w:rsid w:val="00733B1F"/>
    <w:rsid w:val="007359D2"/>
    <w:rsid w:val="00740681"/>
    <w:rsid w:val="0074220D"/>
    <w:rsid w:val="0074285C"/>
    <w:rsid w:val="0074479D"/>
    <w:rsid w:val="00744D19"/>
    <w:rsid w:val="00747A7E"/>
    <w:rsid w:val="00747D2F"/>
    <w:rsid w:val="00763ECB"/>
    <w:rsid w:val="007650C8"/>
    <w:rsid w:val="00765D1A"/>
    <w:rsid w:val="007700A7"/>
    <w:rsid w:val="007710D2"/>
    <w:rsid w:val="007721F3"/>
    <w:rsid w:val="0078134D"/>
    <w:rsid w:val="007862D5"/>
    <w:rsid w:val="00786C89"/>
    <w:rsid w:val="00795C57"/>
    <w:rsid w:val="007A34E6"/>
    <w:rsid w:val="007A5441"/>
    <w:rsid w:val="007A6FFD"/>
    <w:rsid w:val="007B078F"/>
    <w:rsid w:val="007B0C1B"/>
    <w:rsid w:val="007B0CF3"/>
    <w:rsid w:val="007B3081"/>
    <w:rsid w:val="007B3A8E"/>
    <w:rsid w:val="007B4FB8"/>
    <w:rsid w:val="007B5447"/>
    <w:rsid w:val="007B5BC2"/>
    <w:rsid w:val="007B6DC4"/>
    <w:rsid w:val="007C11F6"/>
    <w:rsid w:val="007C19B2"/>
    <w:rsid w:val="007C1ECB"/>
    <w:rsid w:val="007C4283"/>
    <w:rsid w:val="007D1DA8"/>
    <w:rsid w:val="007D4F9F"/>
    <w:rsid w:val="007E005D"/>
    <w:rsid w:val="007E288F"/>
    <w:rsid w:val="007E4359"/>
    <w:rsid w:val="007F5972"/>
    <w:rsid w:val="007F5D55"/>
    <w:rsid w:val="007F667F"/>
    <w:rsid w:val="00800121"/>
    <w:rsid w:val="0080612B"/>
    <w:rsid w:val="00810138"/>
    <w:rsid w:val="008101D7"/>
    <w:rsid w:val="008102B9"/>
    <w:rsid w:val="00813237"/>
    <w:rsid w:val="00817050"/>
    <w:rsid w:val="00817DA0"/>
    <w:rsid w:val="00825DA9"/>
    <w:rsid w:val="00826103"/>
    <w:rsid w:val="00826FD3"/>
    <w:rsid w:val="0083065A"/>
    <w:rsid w:val="00834AE9"/>
    <w:rsid w:val="00841107"/>
    <w:rsid w:val="00841137"/>
    <w:rsid w:val="008450C0"/>
    <w:rsid w:val="00846F79"/>
    <w:rsid w:val="00861E61"/>
    <w:rsid w:val="008625AC"/>
    <w:rsid w:val="00862735"/>
    <w:rsid w:val="00862DE4"/>
    <w:rsid w:val="00864C23"/>
    <w:rsid w:val="008679EB"/>
    <w:rsid w:val="00867AFA"/>
    <w:rsid w:val="00872C66"/>
    <w:rsid w:val="00872CF7"/>
    <w:rsid w:val="00873F74"/>
    <w:rsid w:val="0087432D"/>
    <w:rsid w:val="0087602D"/>
    <w:rsid w:val="00880DFE"/>
    <w:rsid w:val="00881583"/>
    <w:rsid w:val="00882F04"/>
    <w:rsid w:val="00884124"/>
    <w:rsid w:val="008855AB"/>
    <w:rsid w:val="00885CB0"/>
    <w:rsid w:val="00886184"/>
    <w:rsid w:val="00887F65"/>
    <w:rsid w:val="00890C9B"/>
    <w:rsid w:val="00892655"/>
    <w:rsid w:val="00897D39"/>
    <w:rsid w:val="008A30B9"/>
    <w:rsid w:val="008B2106"/>
    <w:rsid w:val="008B5357"/>
    <w:rsid w:val="008B593F"/>
    <w:rsid w:val="008B5BDC"/>
    <w:rsid w:val="008B5FE1"/>
    <w:rsid w:val="008C080D"/>
    <w:rsid w:val="008C2051"/>
    <w:rsid w:val="008C525E"/>
    <w:rsid w:val="008C580E"/>
    <w:rsid w:val="008D167C"/>
    <w:rsid w:val="008D1C77"/>
    <w:rsid w:val="008D7DC0"/>
    <w:rsid w:val="008E567E"/>
    <w:rsid w:val="008F0B8B"/>
    <w:rsid w:val="008F22EF"/>
    <w:rsid w:val="008F290A"/>
    <w:rsid w:val="008F6302"/>
    <w:rsid w:val="00900ADC"/>
    <w:rsid w:val="00902167"/>
    <w:rsid w:val="00904020"/>
    <w:rsid w:val="00913411"/>
    <w:rsid w:val="00914E7C"/>
    <w:rsid w:val="00923632"/>
    <w:rsid w:val="009274EF"/>
    <w:rsid w:val="009374DF"/>
    <w:rsid w:val="00937A85"/>
    <w:rsid w:val="0094128C"/>
    <w:rsid w:val="00942D7E"/>
    <w:rsid w:val="00943F10"/>
    <w:rsid w:val="009557BE"/>
    <w:rsid w:val="0096083E"/>
    <w:rsid w:val="0096678E"/>
    <w:rsid w:val="00967318"/>
    <w:rsid w:val="009746A1"/>
    <w:rsid w:val="00982E85"/>
    <w:rsid w:val="00982F93"/>
    <w:rsid w:val="00983636"/>
    <w:rsid w:val="00983AAC"/>
    <w:rsid w:val="009855BA"/>
    <w:rsid w:val="00987A5C"/>
    <w:rsid w:val="0099091F"/>
    <w:rsid w:val="00990E29"/>
    <w:rsid w:val="00993463"/>
    <w:rsid w:val="009943E2"/>
    <w:rsid w:val="009943E4"/>
    <w:rsid w:val="00994C16"/>
    <w:rsid w:val="009A237A"/>
    <w:rsid w:val="009A35EA"/>
    <w:rsid w:val="009A49A7"/>
    <w:rsid w:val="009A6E77"/>
    <w:rsid w:val="009A7ADA"/>
    <w:rsid w:val="009B1EC3"/>
    <w:rsid w:val="009B36CE"/>
    <w:rsid w:val="009B3837"/>
    <w:rsid w:val="009B3D7E"/>
    <w:rsid w:val="009B633D"/>
    <w:rsid w:val="009C0365"/>
    <w:rsid w:val="009C1592"/>
    <w:rsid w:val="009C2523"/>
    <w:rsid w:val="009C30CB"/>
    <w:rsid w:val="009C33F9"/>
    <w:rsid w:val="009C417D"/>
    <w:rsid w:val="009C4881"/>
    <w:rsid w:val="009D0FEF"/>
    <w:rsid w:val="009D29F1"/>
    <w:rsid w:val="009D3DBB"/>
    <w:rsid w:val="009D4980"/>
    <w:rsid w:val="009E3CAF"/>
    <w:rsid w:val="009E4801"/>
    <w:rsid w:val="009F0571"/>
    <w:rsid w:val="009F31C1"/>
    <w:rsid w:val="009F33DF"/>
    <w:rsid w:val="009F597D"/>
    <w:rsid w:val="009F7059"/>
    <w:rsid w:val="00A01B44"/>
    <w:rsid w:val="00A0375D"/>
    <w:rsid w:val="00A054F5"/>
    <w:rsid w:val="00A06C98"/>
    <w:rsid w:val="00A13336"/>
    <w:rsid w:val="00A13D8D"/>
    <w:rsid w:val="00A15D49"/>
    <w:rsid w:val="00A17E10"/>
    <w:rsid w:val="00A21946"/>
    <w:rsid w:val="00A24442"/>
    <w:rsid w:val="00A30D9A"/>
    <w:rsid w:val="00A32B83"/>
    <w:rsid w:val="00A32EA1"/>
    <w:rsid w:val="00A32F25"/>
    <w:rsid w:val="00A33DD6"/>
    <w:rsid w:val="00A352C2"/>
    <w:rsid w:val="00A4694A"/>
    <w:rsid w:val="00A535F2"/>
    <w:rsid w:val="00A56D6E"/>
    <w:rsid w:val="00A57A41"/>
    <w:rsid w:val="00A745AE"/>
    <w:rsid w:val="00A760D5"/>
    <w:rsid w:val="00A835E4"/>
    <w:rsid w:val="00A83FA6"/>
    <w:rsid w:val="00A84C4E"/>
    <w:rsid w:val="00A84C76"/>
    <w:rsid w:val="00A87BD5"/>
    <w:rsid w:val="00A905D8"/>
    <w:rsid w:val="00A91098"/>
    <w:rsid w:val="00A91194"/>
    <w:rsid w:val="00A94219"/>
    <w:rsid w:val="00A95A50"/>
    <w:rsid w:val="00A96E27"/>
    <w:rsid w:val="00AA1DDC"/>
    <w:rsid w:val="00AA3256"/>
    <w:rsid w:val="00AA3F0B"/>
    <w:rsid w:val="00AA788A"/>
    <w:rsid w:val="00AA7CF5"/>
    <w:rsid w:val="00AC2A73"/>
    <w:rsid w:val="00AC329E"/>
    <w:rsid w:val="00AC7C90"/>
    <w:rsid w:val="00AD1B33"/>
    <w:rsid w:val="00AD3118"/>
    <w:rsid w:val="00AD615A"/>
    <w:rsid w:val="00AD6516"/>
    <w:rsid w:val="00AE0258"/>
    <w:rsid w:val="00AE4702"/>
    <w:rsid w:val="00AE594A"/>
    <w:rsid w:val="00AE5DA5"/>
    <w:rsid w:val="00AE6608"/>
    <w:rsid w:val="00AE69DF"/>
    <w:rsid w:val="00AF2628"/>
    <w:rsid w:val="00AF2933"/>
    <w:rsid w:val="00AF4044"/>
    <w:rsid w:val="00AF6C3F"/>
    <w:rsid w:val="00B02B6A"/>
    <w:rsid w:val="00B15BDD"/>
    <w:rsid w:val="00B1700F"/>
    <w:rsid w:val="00B21703"/>
    <w:rsid w:val="00B238AD"/>
    <w:rsid w:val="00B257FE"/>
    <w:rsid w:val="00B25B67"/>
    <w:rsid w:val="00B270F7"/>
    <w:rsid w:val="00B32F7A"/>
    <w:rsid w:val="00B42241"/>
    <w:rsid w:val="00B50CCD"/>
    <w:rsid w:val="00B52533"/>
    <w:rsid w:val="00B645ED"/>
    <w:rsid w:val="00B705DB"/>
    <w:rsid w:val="00B720EC"/>
    <w:rsid w:val="00B72BAC"/>
    <w:rsid w:val="00B762E0"/>
    <w:rsid w:val="00B825D0"/>
    <w:rsid w:val="00B83929"/>
    <w:rsid w:val="00B83C10"/>
    <w:rsid w:val="00B86971"/>
    <w:rsid w:val="00B915F1"/>
    <w:rsid w:val="00B933FB"/>
    <w:rsid w:val="00BA043B"/>
    <w:rsid w:val="00BA09EE"/>
    <w:rsid w:val="00BA7ED4"/>
    <w:rsid w:val="00BB07C3"/>
    <w:rsid w:val="00BB0D4C"/>
    <w:rsid w:val="00BB1029"/>
    <w:rsid w:val="00BB1C2F"/>
    <w:rsid w:val="00BB2479"/>
    <w:rsid w:val="00BB4044"/>
    <w:rsid w:val="00BB6612"/>
    <w:rsid w:val="00BB7136"/>
    <w:rsid w:val="00BD357C"/>
    <w:rsid w:val="00BD3C1B"/>
    <w:rsid w:val="00BE01ED"/>
    <w:rsid w:val="00BE0430"/>
    <w:rsid w:val="00BE1DCA"/>
    <w:rsid w:val="00BE2D31"/>
    <w:rsid w:val="00BE7EAD"/>
    <w:rsid w:val="00BF38FF"/>
    <w:rsid w:val="00BF735E"/>
    <w:rsid w:val="00C03C02"/>
    <w:rsid w:val="00C05CEC"/>
    <w:rsid w:val="00C06430"/>
    <w:rsid w:val="00C0644C"/>
    <w:rsid w:val="00C16652"/>
    <w:rsid w:val="00C17907"/>
    <w:rsid w:val="00C205C8"/>
    <w:rsid w:val="00C22AC4"/>
    <w:rsid w:val="00C260B2"/>
    <w:rsid w:val="00C326EF"/>
    <w:rsid w:val="00C35162"/>
    <w:rsid w:val="00C35F1F"/>
    <w:rsid w:val="00C4006D"/>
    <w:rsid w:val="00C438D7"/>
    <w:rsid w:val="00C448CD"/>
    <w:rsid w:val="00C45EE4"/>
    <w:rsid w:val="00C50620"/>
    <w:rsid w:val="00C50DD9"/>
    <w:rsid w:val="00C536F6"/>
    <w:rsid w:val="00C5590C"/>
    <w:rsid w:val="00C65AF8"/>
    <w:rsid w:val="00C73F08"/>
    <w:rsid w:val="00C74EA6"/>
    <w:rsid w:val="00C74FBB"/>
    <w:rsid w:val="00C77433"/>
    <w:rsid w:val="00C80E9D"/>
    <w:rsid w:val="00C84911"/>
    <w:rsid w:val="00C929D4"/>
    <w:rsid w:val="00C933ED"/>
    <w:rsid w:val="00C95998"/>
    <w:rsid w:val="00C95A0E"/>
    <w:rsid w:val="00CA136B"/>
    <w:rsid w:val="00CA3E90"/>
    <w:rsid w:val="00CA7470"/>
    <w:rsid w:val="00CA7504"/>
    <w:rsid w:val="00CB177A"/>
    <w:rsid w:val="00CB30E9"/>
    <w:rsid w:val="00CB71DC"/>
    <w:rsid w:val="00CD1CB4"/>
    <w:rsid w:val="00CD3282"/>
    <w:rsid w:val="00CD647A"/>
    <w:rsid w:val="00CD730A"/>
    <w:rsid w:val="00CD765C"/>
    <w:rsid w:val="00CE3B3E"/>
    <w:rsid w:val="00CE7AAF"/>
    <w:rsid w:val="00CF0A43"/>
    <w:rsid w:val="00CF1EAB"/>
    <w:rsid w:val="00CF3861"/>
    <w:rsid w:val="00D0123B"/>
    <w:rsid w:val="00D03E93"/>
    <w:rsid w:val="00D04F07"/>
    <w:rsid w:val="00D0660C"/>
    <w:rsid w:val="00D10532"/>
    <w:rsid w:val="00D10D35"/>
    <w:rsid w:val="00D12EC5"/>
    <w:rsid w:val="00D1501D"/>
    <w:rsid w:val="00D150A9"/>
    <w:rsid w:val="00D2457E"/>
    <w:rsid w:val="00D2521F"/>
    <w:rsid w:val="00D25C6D"/>
    <w:rsid w:val="00D268A4"/>
    <w:rsid w:val="00D27D52"/>
    <w:rsid w:val="00D371D9"/>
    <w:rsid w:val="00D43B85"/>
    <w:rsid w:val="00D45AC4"/>
    <w:rsid w:val="00D52188"/>
    <w:rsid w:val="00D543D5"/>
    <w:rsid w:val="00D56A68"/>
    <w:rsid w:val="00D56DCF"/>
    <w:rsid w:val="00D577CE"/>
    <w:rsid w:val="00D66E74"/>
    <w:rsid w:val="00D73DDE"/>
    <w:rsid w:val="00D74D81"/>
    <w:rsid w:val="00D77440"/>
    <w:rsid w:val="00D77791"/>
    <w:rsid w:val="00D8147C"/>
    <w:rsid w:val="00D83C4E"/>
    <w:rsid w:val="00D873D0"/>
    <w:rsid w:val="00D9746B"/>
    <w:rsid w:val="00DA0809"/>
    <w:rsid w:val="00DA097F"/>
    <w:rsid w:val="00DA6194"/>
    <w:rsid w:val="00DA73A3"/>
    <w:rsid w:val="00DB3083"/>
    <w:rsid w:val="00DB3948"/>
    <w:rsid w:val="00DB49A0"/>
    <w:rsid w:val="00DB55E6"/>
    <w:rsid w:val="00DB7ACF"/>
    <w:rsid w:val="00DC0A2A"/>
    <w:rsid w:val="00DC1313"/>
    <w:rsid w:val="00DD6BCD"/>
    <w:rsid w:val="00DD6F24"/>
    <w:rsid w:val="00DD7555"/>
    <w:rsid w:val="00DD791C"/>
    <w:rsid w:val="00DE23AB"/>
    <w:rsid w:val="00DE2726"/>
    <w:rsid w:val="00DE6A5F"/>
    <w:rsid w:val="00DF2B92"/>
    <w:rsid w:val="00DF4F3C"/>
    <w:rsid w:val="00DF50F2"/>
    <w:rsid w:val="00DF7BD1"/>
    <w:rsid w:val="00E01C46"/>
    <w:rsid w:val="00E10A3B"/>
    <w:rsid w:val="00E115A5"/>
    <w:rsid w:val="00E14FC3"/>
    <w:rsid w:val="00E20045"/>
    <w:rsid w:val="00E249F3"/>
    <w:rsid w:val="00E24C3F"/>
    <w:rsid w:val="00E258D6"/>
    <w:rsid w:val="00E2592B"/>
    <w:rsid w:val="00E317F0"/>
    <w:rsid w:val="00E31CB6"/>
    <w:rsid w:val="00E32776"/>
    <w:rsid w:val="00E329EE"/>
    <w:rsid w:val="00E3383F"/>
    <w:rsid w:val="00E342DF"/>
    <w:rsid w:val="00E355D1"/>
    <w:rsid w:val="00E4460B"/>
    <w:rsid w:val="00E44635"/>
    <w:rsid w:val="00E447C8"/>
    <w:rsid w:val="00E47851"/>
    <w:rsid w:val="00E47E91"/>
    <w:rsid w:val="00E52235"/>
    <w:rsid w:val="00E531C2"/>
    <w:rsid w:val="00E544DF"/>
    <w:rsid w:val="00E55833"/>
    <w:rsid w:val="00E706B3"/>
    <w:rsid w:val="00E70B15"/>
    <w:rsid w:val="00E7422B"/>
    <w:rsid w:val="00E748B0"/>
    <w:rsid w:val="00E754EC"/>
    <w:rsid w:val="00E778EB"/>
    <w:rsid w:val="00E806E1"/>
    <w:rsid w:val="00E85012"/>
    <w:rsid w:val="00E915EA"/>
    <w:rsid w:val="00E94DB9"/>
    <w:rsid w:val="00E97584"/>
    <w:rsid w:val="00EA2D35"/>
    <w:rsid w:val="00EA7FE1"/>
    <w:rsid w:val="00EB0AA6"/>
    <w:rsid w:val="00EB3980"/>
    <w:rsid w:val="00EB58F3"/>
    <w:rsid w:val="00EC3332"/>
    <w:rsid w:val="00EC510C"/>
    <w:rsid w:val="00ED0EBB"/>
    <w:rsid w:val="00ED4D57"/>
    <w:rsid w:val="00EE2090"/>
    <w:rsid w:val="00EE20EA"/>
    <w:rsid w:val="00EE4455"/>
    <w:rsid w:val="00EE47BB"/>
    <w:rsid w:val="00EE5B50"/>
    <w:rsid w:val="00EF20AE"/>
    <w:rsid w:val="00EF3BBB"/>
    <w:rsid w:val="00EF6C84"/>
    <w:rsid w:val="00F04055"/>
    <w:rsid w:val="00F079B9"/>
    <w:rsid w:val="00F10900"/>
    <w:rsid w:val="00F11510"/>
    <w:rsid w:val="00F122B9"/>
    <w:rsid w:val="00F145C8"/>
    <w:rsid w:val="00F21CD9"/>
    <w:rsid w:val="00F24B18"/>
    <w:rsid w:val="00F2682C"/>
    <w:rsid w:val="00F3207F"/>
    <w:rsid w:val="00F34B0E"/>
    <w:rsid w:val="00F3524D"/>
    <w:rsid w:val="00F3541A"/>
    <w:rsid w:val="00F4186D"/>
    <w:rsid w:val="00F46275"/>
    <w:rsid w:val="00F5665F"/>
    <w:rsid w:val="00F60488"/>
    <w:rsid w:val="00F610A7"/>
    <w:rsid w:val="00F631B6"/>
    <w:rsid w:val="00F63BC0"/>
    <w:rsid w:val="00F640FB"/>
    <w:rsid w:val="00F663F1"/>
    <w:rsid w:val="00F67546"/>
    <w:rsid w:val="00F719B8"/>
    <w:rsid w:val="00F7501F"/>
    <w:rsid w:val="00F7577F"/>
    <w:rsid w:val="00F75A80"/>
    <w:rsid w:val="00F778D0"/>
    <w:rsid w:val="00F83B5A"/>
    <w:rsid w:val="00F94990"/>
    <w:rsid w:val="00F94B00"/>
    <w:rsid w:val="00F9627A"/>
    <w:rsid w:val="00FA03AD"/>
    <w:rsid w:val="00FA0BC5"/>
    <w:rsid w:val="00FA2E89"/>
    <w:rsid w:val="00FA504C"/>
    <w:rsid w:val="00FA541C"/>
    <w:rsid w:val="00FA7841"/>
    <w:rsid w:val="00FA7E98"/>
    <w:rsid w:val="00FB6500"/>
    <w:rsid w:val="00FC430C"/>
    <w:rsid w:val="00FC7332"/>
    <w:rsid w:val="00FD42D7"/>
    <w:rsid w:val="00FD4BD4"/>
    <w:rsid w:val="00FE06CC"/>
    <w:rsid w:val="00FF058C"/>
    <w:rsid w:val="00FF2D33"/>
    <w:rsid w:val="00FF502E"/>
    <w:rsid w:val="00FF5D4B"/>
    <w:rsid w:val="00FF6891"/>
    <w:rsid w:val="00FF7037"/>
  </w:rsids>
  <w:docVars>
    <w:docVar w:name="EN.InstantFormat" w:val="???????"/>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E3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5E6"/>
    <w:rPr>
      <w:sz w:val="24"/>
      <w:szCs w:val="24"/>
    </w:rPr>
  </w:style>
  <w:style w:type="paragraph" w:styleId="Heading1">
    <w:name w:val="heading 1"/>
    <w:basedOn w:val="Normal"/>
    <w:next w:val="Normal"/>
    <w:link w:val="Heading1Char"/>
    <w:uiPriority w:val="99"/>
    <w:qFormat/>
    <w:rsid w:val="00DB55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B55E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55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B55E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80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E480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E480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E4801"/>
    <w:rPr>
      <w:rFonts w:ascii="Calibri" w:hAnsi="Calibri" w:cs="Calibri"/>
      <w:b/>
      <w:bCs/>
      <w:sz w:val="28"/>
      <w:szCs w:val="28"/>
    </w:rPr>
  </w:style>
  <w:style w:type="paragraph" w:styleId="BalloonText">
    <w:name w:val="Balloon Text"/>
    <w:basedOn w:val="Normal"/>
    <w:link w:val="BalloonTextChar"/>
    <w:uiPriority w:val="99"/>
    <w:semiHidden/>
    <w:rsid w:val="00DB55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480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9E480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DB55E6"/>
    <w:pPr>
      <w:numPr>
        <w:numId w:val="6"/>
      </w:numPr>
      <w:spacing w:before="120" w:after="120"/>
      <w:jc w:val="both"/>
    </w:pPr>
  </w:style>
  <w:style w:type="paragraph" w:styleId="Header">
    <w:name w:val="header"/>
    <w:basedOn w:val="Normal"/>
    <w:link w:val="HeaderChar"/>
    <w:uiPriority w:val="99"/>
    <w:rsid w:val="00DB55E6"/>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9E4801"/>
    <w:rPr>
      <w:rFonts w:cs="Times New Roman"/>
      <w:sz w:val="24"/>
      <w:szCs w:val="24"/>
    </w:rPr>
  </w:style>
  <w:style w:type="paragraph" w:styleId="TOC1">
    <w:name w:val="toc 1"/>
    <w:basedOn w:val="Normal"/>
    <w:next w:val="Normal"/>
    <w:autoRedefine/>
    <w:uiPriority w:val="39"/>
    <w:qFormat/>
    <w:rsid w:val="00DB55E6"/>
    <w:pPr>
      <w:spacing w:before="120" w:after="120"/>
    </w:pPr>
    <w:rPr>
      <w:rFonts w:asciiTheme="minorHAnsi" w:hAnsiTheme="minorHAnsi"/>
      <w:b/>
      <w:bCs/>
      <w:caps/>
      <w:sz w:val="20"/>
      <w:szCs w:val="20"/>
    </w:rPr>
  </w:style>
  <w:style w:type="paragraph" w:styleId="TOC2">
    <w:name w:val="toc 2"/>
    <w:basedOn w:val="Normal"/>
    <w:next w:val="Normal"/>
    <w:autoRedefine/>
    <w:uiPriority w:val="39"/>
    <w:qFormat/>
    <w:rsid w:val="00DB55E6"/>
    <w:pPr>
      <w:ind w:left="240"/>
    </w:pPr>
    <w:rPr>
      <w:rFonts w:asciiTheme="minorHAnsi" w:hAnsiTheme="minorHAnsi"/>
      <w:smallCaps/>
      <w:sz w:val="20"/>
      <w:szCs w:val="20"/>
    </w:rPr>
  </w:style>
  <w:style w:type="paragraph" w:styleId="TOC3">
    <w:name w:val="toc 3"/>
    <w:basedOn w:val="Normal"/>
    <w:next w:val="Normal"/>
    <w:autoRedefine/>
    <w:uiPriority w:val="39"/>
    <w:qFormat/>
    <w:rsid w:val="00DB55E6"/>
    <w:pPr>
      <w:ind w:left="480"/>
    </w:pPr>
    <w:rPr>
      <w:rFonts w:asciiTheme="minorHAnsi" w:hAnsiTheme="minorHAnsi"/>
      <w:i/>
      <w:iCs/>
      <w:sz w:val="20"/>
      <w:szCs w:val="20"/>
    </w:rPr>
  </w:style>
  <w:style w:type="character" w:styleId="Hyperlink">
    <w:name w:val="Hyperlink"/>
    <w:basedOn w:val="DefaultParagraphFont"/>
    <w:uiPriority w:val="99"/>
    <w:rsid w:val="00DB55E6"/>
    <w:rPr>
      <w:rFonts w:cs="Times New Roman"/>
      <w:color w:val="0000FF"/>
      <w:u w:val="single"/>
    </w:rPr>
  </w:style>
  <w:style w:type="paragraph" w:styleId="Footer">
    <w:name w:val="footer"/>
    <w:basedOn w:val="Normal"/>
    <w:link w:val="FooterChar"/>
    <w:uiPriority w:val="99"/>
    <w:rsid w:val="00DB55E6"/>
    <w:pPr>
      <w:tabs>
        <w:tab w:val="center" w:pos="4320"/>
        <w:tab w:val="right" w:pos="8640"/>
      </w:tabs>
    </w:pPr>
  </w:style>
  <w:style w:type="character" w:customStyle="1" w:styleId="FooterChar">
    <w:name w:val="Footer Char"/>
    <w:basedOn w:val="DefaultParagraphFont"/>
    <w:link w:val="Footer"/>
    <w:uiPriority w:val="99"/>
    <w:semiHidden/>
    <w:locked/>
    <w:rsid w:val="009E4801"/>
    <w:rPr>
      <w:rFonts w:cs="Times New Roman"/>
      <w:sz w:val="24"/>
      <w:szCs w:val="24"/>
    </w:rPr>
  </w:style>
  <w:style w:type="character" w:styleId="PageNumber">
    <w:name w:val="page number"/>
    <w:basedOn w:val="DefaultParagraphFont"/>
    <w:uiPriority w:val="99"/>
    <w:rsid w:val="00DB55E6"/>
    <w:rPr>
      <w:rFonts w:cs="Times New Roman"/>
    </w:rPr>
  </w:style>
  <w:style w:type="table" w:styleId="TableList3">
    <w:name w:val="Table List 3"/>
    <w:basedOn w:val="TableNormal"/>
    <w:uiPriority w:val="99"/>
    <w:rsid w:val="00DB55E6"/>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DB55E6"/>
    <w:rPr>
      <w:rFonts w:cs="Times New Roman"/>
      <w:sz w:val="16"/>
      <w:szCs w:val="16"/>
    </w:rPr>
  </w:style>
  <w:style w:type="paragraph" w:styleId="CommentText">
    <w:name w:val="annotation text"/>
    <w:basedOn w:val="Normal"/>
    <w:link w:val="CommentTextChar"/>
    <w:uiPriority w:val="99"/>
    <w:rsid w:val="00DB55E6"/>
    <w:rPr>
      <w:sz w:val="20"/>
      <w:szCs w:val="20"/>
    </w:rPr>
  </w:style>
  <w:style w:type="character" w:customStyle="1" w:styleId="CommentTextChar">
    <w:name w:val="Comment Text Char"/>
    <w:basedOn w:val="DefaultParagraphFont"/>
    <w:link w:val="CommentText"/>
    <w:uiPriority w:val="99"/>
    <w:locked/>
    <w:rsid w:val="009E4801"/>
    <w:rPr>
      <w:rFonts w:cs="Times New Roman"/>
      <w:sz w:val="20"/>
      <w:szCs w:val="20"/>
    </w:rPr>
  </w:style>
  <w:style w:type="paragraph" w:styleId="CommentSubject">
    <w:name w:val="annotation subject"/>
    <w:basedOn w:val="CommentText"/>
    <w:next w:val="CommentText"/>
    <w:link w:val="CommentSubjectChar"/>
    <w:uiPriority w:val="99"/>
    <w:semiHidden/>
    <w:rsid w:val="00DB55E6"/>
    <w:rPr>
      <w:b/>
      <w:bCs/>
    </w:rPr>
  </w:style>
  <w:style w:type="character" w:customStyle="1" w:styleId="CommentSubjectChar">
    <w:name w:val="Comment Subject Char"/>
    <w:basedOn w:val="CommentTextChar"/>
    <w:link w:val="CommentSubject"/>
    <w:uiPriority w:val="99"/>
    <w:semiHidden/>
    <w:locked/>
    <w:rsid w:val="009E4801"/>
    <w:rPr>
      <w:rFonts w:cs="Times New Roman"/>
      <w:b/>
      <w:bCs/>
      <w:sz w:val="20"/>
      <w:szCs w:val="20"/>
    </w:rPr>
  </w:style>
  <w:style w:type="paragraph" w:customStyle="1" w:styleId="TableSmallBullets">
    <w:name w:val="Table Small Bullets"/>
    <w:basedOn w:val="Normal"/>
    <w:uiPriority w:val="99"/>
    <w:rsid w:val="00DB55E6"/>
    <w:pPr>
      <w:numPr>
        <w:numId w:val="15"/>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DB55E6"/>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9E4801"/>
    <w:rPr>
      <w:rFonts w:cs="Times New Roman"/>
      <w:sz w:val="24"/>
      <w:szCs w:val="24"/>
    </w:rPr>
  </w:style>
  <w:style w:type="character" w:styleId="Emphasis">
    <w:name w:val="Emphasis"/>
    <w:basedOn w:val="DefaultParagraphFont"/>
    <w:uiPriority w:val="99"/>
    <w:qFormat/>
    <w:rsid w:val="00DB55E6"/>
    <w:rPr>
      <w:rFonts w:cs="Times New Roman"/>
      <w:i/>
      <w:iCs/>
    </w:rPr>
  </w:style>
  <w:style w:type="paragraph" w:customStyle="1" w:styleId="Heading4t">
    <w:name w:val="Heading 4t"/>
    <w:basedOn w:val="Heading3"/>
    <w:uiPriority w:val="99"/>
    <w:rsid w:val="00DB55E6"/>
    <w:rPr>
      <w:sz w:val="24"/>
      <w:szCs w:val="24"/>
    </w:rPr>
  </w:style>
  <w:style w:type="paragraph" w:styleId="EndnoteText">
    <w:name w:val="endnote text"/>
    <w:basedOn w:val="Normal"/>
    <w:link w:val="EndnoteTextChar"/>
    <w:uiPriority w:val="99"/>
    <w:semiHidden/>
    <w:rsid w:val="00DB55E6"/>
    <w:rPr>
      <w:sz w:val="20"/>
      <w:szCs w:val="20"/>
    </w:rPr>
  </w:style>
  <w:style w:type="character" w:customStyle="1" w:styleId="EndnoteTextChar">
    <w:name w:val="Endnote Text Char"/>
    <w:basedOn w:val="DefaultParagraphFont"/>
    <w:link w:val="EndnoteText"/>
    <w:uiPriority w:val="99"/>
    <w:semiHidden/>
    <w:locked/>
    <w:rsid w:val="009E4801"/>
    <w:rPr>
      <w:rFonts w:cs="Times New Roman"/>
      <w:sz w:val="20"/>
      <w:szCs w:val="20"/>
    </w:rPr>
  </w:style>
  <w:style w:type="character" w:styleId="EndnoteReference">
    <w:name w:val="endnote reference"/>
    <w:basedOn w:val="DefaultParagraphFont"/>
    <w:uiPriority w:val="99"/>
    <w:semiHidden/>
    <w:rsid w:val="00DB55E6"/>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sid w:val="007D4F9F"/>
    <w:rPr>
      <w:rFonts w:cs="Times New Roman"/>
      <w:b/>
      <w:bCs/>
    </w:rPr>
  </w:style>
  <w:style w:type="paragraph" w:styleId="NormalWeb">
    <w:name w:val="Normal (Web)"/>
    <w:basedOn w:val="Normal"/>
    <w:rsid w:val="00450538"/>
    <w:pPr>
      <w:spacing w:before="100" w:beforeAutospacing="1" w:after="100" w:afterAutospacing="1"/>
    </w:pPr>
  </w:style>
  <w:style w:type="paragraph" w:styleId="Revision">
    <w:name w:val="Revision"/>
    <w:hidden/>
    <w:uiPriority w:val="99"/>
    <w:semiHidden/>
    <w:rsid w:val="00172AAB"/>
    <w:rPr>
      <w:sz w:val="24"/>
      <w:szCs w:val="24"/>
    </w:rPr>
  </w:style>
  <w:style w:type="paragraph" w:styleId="TOCHeading">
    <w:name w:val="TOC Heading"/>
    <w:basedOn w:val="Heading1"/>
    <w:next w:val="Normal"/>
    <w:uiPriority w:val="39"/>
    <w:semiHidden/>
    <w:unhideWhenUsed/>
    <w:qFormat/>
    <w:rsid w:val="00E249F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4">
    <w:name w:val="toc 4"/>
    <w:basedOn w:val="Normal"/>
    <w:next w:val="Normal"/>
    <w:autoRedefine/>
    <w:locked/>
    <w:rsid w:val="00E249F3"/>
    <w:pPr>
      <w:ind w:left="720"/>
    </w:pPr>
    <w:rPr>
      <w:rFonts w:asciiTheme="minorHAnsi" w:hAnsiTheme="minorHAnsi"/>
      <w:sz w:val="18"/>
      <w:szCs w:val="18"/>
    </w:rPr>
  </w:style>
  <w:style w:type="paragraph" w:styleId="TOC5">
    <w:name w:val="toc 5"/>
    <w:basedOn w:val="Normal"/>
    <w:next w:val="Normal"/>
    <w:autoRedefine/>
    <w:locked/>
    <w:rsid w:val="00E249F3"/>
    <w:pPr>
      <w:ind w:left="960"/>
    </w:pPr>
    <w:rPr>
      <w:rFonts w:asciiTheme="minorHAnsi" w:hAnsiTheme="minorHAnsi"/>
      <w:sz w:val="18"/>
      <w:szCs w:val="18"/>
    </w:rPr>
  </w:style>
  <w:style w:type="paragraph" w:styleId="TOC6">
    <w:name w:val="toc 6"/>
    <w:basedOn w:val="Normal"/>
    <w:next w:val="Normal"/>
    <w:autoRedefine/>
    <w:locked/>
    <w:rsid w:val="00E249F3"/>
    <w:pPr>
      <w:ind w:left="1200"/>
    </w:pPr>
    <w:rPr>
      <w:rFonts w:asciiTheme="minorHAnsi" w:hAnsiTheme="minorHAnsi"/>
      <w:sz w:val="18"/>
      <w:szCs w:val="18"/>
    </w:rPr>
  </w:style>
  <w:style w:type="paragraph" w:styleId="TOC7">
    <w:name w:val="toc 7"/>
    <w:basedOn w:val="Normal"/>
    <w:next w:val="Normal"/>
    <w:autoRedefine/>
    <w:locked/>
    <w:rsid w:val="00E249F3"/>
    <w:pPr>
      <w:ind w:left="1440"/>
    </w:pPr>
    <w:rPr>
      <w:rFonts w:asciiTheme="minorHAnsi" w:hAnsiTheme="minorHAnsi"/>
      <w:sz w:val="18"/>
      <w:szCs w:val="18"/>
    </w:rPr>
  </w:style>
  <w:style w:type="paragraph" w:styleId="TOC8">
    <w:name w:val="toc 8"/>
    <w:basedOn w:val="Normal"/>
    <w:next w:val="Normal"/>
    <w:autoRedefine/>
    <w:locked/>
    <w:rsid w:val="00E249F3"/>
    <w:pPr>
      <w:ind w:left="1680"/>
    </w:pPr>
    <w:rPr>
      <w:rFonts w:asciiTheme="minorHAnsi" w:hAnsiTheme="minorHAnsi"/>
      <w:sz w:val="18"/>
      <w:szCs w:val="18"/>
    </w:rPr>
  </w:style>
  <w:style w:type="paragraph" w:styleId="TOC9">
    <w:name w:val="toc 9"/>
    <w:basedOn w:val="Normal"/>
    <w:next w:val="Normal"/>
    <w:autoRedefine/>
    <w:locked/>
    <w:rsid w:val="00E249F3"/>
    <w:pPr>
      <w:ind w:left="1920"/>
    </w:pPr>
    <w:rPr>
      <w:rFonts w:asciiTheme="minorHAnsi" w:hAnsiTheme="minorHAnsi"/>
      <w:sz w:val="18"/>
      <w:szCs w:val="18"/>
    </w:rPr>
  </w:style>
  <w:style w:type="paragraph" w:styleId="ListParagraph">
    <w:name w:val="List Paragraph"/>
    <w:basedOn w:val="Normal"/>
    <w:uiPriority w:val="34"/>
    <w:qFormat/>
    <w:rsid w:val="00885CB0"/>
    <w:pPr>
      <w:ind w:left="720"/>
      <w:contextualSpacing/>
    </w:pPr>
    <w:rPr>
      <w:szCs w:val="20"/>
    </w:rPr>
  </w:style>
  <w:style w:type="character" w:customStyle="1" w:styleId="UnresolvedMention1">
    <w:name w:val="Unresolved Mention1"/>
    <w:basedOn w:val="DefaultParagraphFont"/>
    <w:uiPriority w:val="99"/>
    <w:semiHidden/>
    <w:unhideWhenUsed/>
    <w:rsid w:val="00040EEB"/>
    <w:rPr>
      <w:color w:val="605E5C"/>
      <w:shd w:val="clear" w:color="auto" w:fill="E1DFDD"/>
    </w:rPr>
  </w:style>
  <w:style w:type="character" w:styleId="UnresolvedMention">
    <w:name w:val="Unresolved Mention"/>
    <w:basedOn w:val="DefaultParagraphFont"/>
    <w:uiPriority w:val="99"/>
    <w:semiHidden/>
    <w:unhideWhenUsed/>
    <w:rsid w:val="007A5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www.ahrq.gov/sites/default/files/wysiwyg/policymakers/hrqa99.pdf%20" TargetMode="External" /><Relationship Id="rId12" Type="http://schemas.openxmlformats.org/officeDocument/2006/relationships/hyperlink" Target="https://www.ahrq.gov/sites/default/files/wysiwyg/cahps/cahps-database/2022-hp-chartbook.pdf" TargetMode="External" /><Relationship Id="rId13" Type="http://schemas.openxmlformats.org/officeDocument/2006/relationships/hyperlink" Target="https://datatools.ahrq.gov/cahps" TargetMode="Externa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2D7E1-8378-4167-8991-12034C3D9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3487</Words>
  <Characters>20795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2023-10-30T14:44:00Z</dcterms:created>
  <dcterms:modified xsi:type="dcterms:W3CDTF">2023-10-30T14:44:00Z</dcterms:modified>
</cp:coreProperties>
</file>