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1202" w:rsidRPr="000239D0" w:rsidP="008A7924" w14:paraId="22D2CD8D" w14:textId="59D215D9">
      <w:pPr>
        <w:pStyle w:val="Heading2"/>
        <w:rPr>
          <w:b/>
          <w:bCs/>
        </w:rPr>
      </w:pPr>
      <w:r w:rsidRPr="000239D0">
        <w:rPr>
          <w:b/>
          <w:bCs/>
        </w:rPr>
        <w:t>S</w:t>
      </w:r>
      <w:r w:rsidRPr="000239D0" w:rsidR="00A03880">
        <w:rPr>
          <w:b/>
          <w:bCs/>
        </w:rPr>
        <w:t>upporting Statement for Form HA-520</w:t>
      </w:r>
      <w:r w:rsidR="00277F59">
        <w:rPr>
          <w:b/>
          <w:bCs/>
        </w:rPr>
        <w:t>/i520</w:t>
      </w:r>
    </w:p>
    <w:p w:rsidR="00173017" w:rsidRPr="000239D0" w:rsidP="008A7924" w14:paraId="22D2CD8E" w14:textId="77777777">
      <w:pPr>
        <w:pStyle w:val="Heading5"/>
        <w:rPr>
          <w:sz w:val="24"/>
          <w:szCs w:val="24"/>
        </w:rPr>
      </w:pPr>
      <w:r w:rsidRPr="000239D0">
        <w:rPr>
          <w:sz w:val="24"/>
          <w:szCs w:val="24"/>
        </w:rPr>
        <w:t>R</w:t>
      </w:r>
      <w:r w:rsidRPr="000239D0" w:rsidR="00A03880">
        <w:rPr>
          <w:sz w:val="24"/>
          <w:szCs w:val="24"/>
        </w:rPr>
        <w:t>equest for Review of Hearing Decision/Order</w:t>
      </w:r>
    </w:p>
    <w:p w:rsidR="00E31202" w:rsidRPr="000239D0" w:rsidP="008A7924" w14:paraId="22D2CD8F" w14:textId="581F332F">
      <w:pPr>
        <w:jc w:val="center"/>
        <w:rPr>
          <w:b/>
          <w:sz w:val="24"/>
          <w:szCs w:val="24"/>
        </w:rPr>
      </w:pPr>
      <w:r w:rsidRPr="000239D0">
        <w:rPr>
          <w:b/>
          <w:sz w:val="24"/>
          <w:szCs w:val="24"/>
        </w:rPr>
        <w:t>20 CFR 404.967-</w:t>
      </w:r>
      <w:r w:rsidRPr="000239D0" w:rsidR="00A03880">
        <w:rPr>
          <w:b/>
          <w:sz w:val="24"/>
          <w:szCs w:val="24"/>
        </w:rPr>
        <w:t>404</w:t>
      </w:r>
      <w:r w:rsidRPr="000239D0">
        <w:rPr>
          <w:b/>
          <w:sz w:val="24"/>
          <w:szCs w:val="24"/>
        </w:rPr>
        <w:t>.981, 20 CFR 416.1467-</w:t>
      </w:r>
      <w:r w:rsidRPr="000239D0" w:rsidR="00A03880">
        <w:rPr>
          <w:b/>
          <w:sz w:val="24"/>
          <w:szCs w:val="24"/>
        </w:rPr>
        <w:t>416</w:t>
      </w:r>
      <w:r w:rsidRPr="000239D0">
        <w:rPr>
          <w:b/>
          <w:sz w:val="24"/>
          <w:szCs w:val="24"/>
        </w:rPr>
        <w:t>.1481</w:t>
      </w:r>
    </w:p>
    <w:p w:rsidR="00E31202" w:rsidRPr="000239D0" w:rsidP="008A7924" w14:paraId="22D2CD90" w14:textId="378B5480">
      <w:pPr>
        <w:pStyle w:val="EndnoteText"/>
        <w:jc w:val="center"/>
        <w:rPr>
          <w:rFonts w:ascii="Times New Roman" w:hAnsi="Times New Roman"/>
          <w:bCs/>
        </w:rPr>
      </w:pPr>
      <w:r w:rsidRPr="000239D0">
        <w:rPr>
          <w:rFonts w:ascii="Times New Roman" w:hAnsi="Times New Roman"/>
          <w:b/>
          <w:bCs/>
        </w:rPr>
        <w:t>OMB 0960-0277</w:t>
      </w:r>
    </w:p>
    <w:p w:rsidR="00E31202" w:rsidRPr="000239D0" w:rsidP="008A7924" w14:paraId="22D2CD91" w14:textId="1B164B44">
      <w:pPr>
        <w:rPr>
          <w:bCs/>
          <w:sz w:val="24"/>
          <w:szCs w:val="24"/>
        </w:rPr>
      </w:pPr>
      <w:r w:rsidRPr="000239D0">
        <w:rPr>
          <w:bCs/>
          <w:sz w:val="24"/>
          <w:szCs w:val="24"/>
        </w:rPr>
        <w:t xml:space="preserve">                                                                                          </w:t>
      </w:r>
    </w:p>
    <w:p w:rsidR="00C82862" w:rsidRPr="000239D0" w:rsidP="008A7924" w14:paraId="7B078CAE" w14:textId="0DBACB96">
      <w:pPr>
        <w:pStyle w:val="Heading3"/>
        <w:numPr>
          <w:ilvl w:val="0"/>
          <w:numId w:val="23"/>
        </w:numPr>
        <w:ind w:hanging="540"/>
        <w:rPr>
          <w:b/>
        </w:rPr>
      </w:pPr>
      <w:r w:rsidRPr="000239D0">
        <w:rPr>
          <w:b/>
        </w:rPr>
        <w:t>Justification</w:t>
      </w:r>
    </w:p>
    <w:p w:rsidR="00C82862" w:rsidRPr="000239D0" w:rsidP="008A7924" w14:paraId="10ED76E8" w14:textId="77777777">
      <w:pPr>
        <w:rPr>
          <w:sz w:val="24"/>
          <w:szCs w:val="24"/>
        </w:rPr>
      </w:pPr>
    </w:p>
    <w:p w:rsidR="00C82862" w:rsidRPr="000239D0" w:rsidP="008A7924" w14:paraId="522102D9" w14:textId="69788CCB">
      <w:pPr>
        <w:pStyle w:val="ListParagraph"/>
        <w:numPr>
          <w:ilvl w:val="0"/>
          <w:numId w:val="24"/>
        </w:numPr>
        <w:spacing w:after="0" w:line="240" w:lineRule="auto"/>
        <w:ind w:left="1440" w:hanging="720"/>
        <w:rPr>
          <w:rFonts w:ascii="Times New Roman" w:hAnsi="Times New Roman"/>
          <w:sz w:val="24"/>
          <w:szCs w:val="24"/>
        </w:rPr>
      </w:pPr>
      <w:r w:rsidRPr="000239D0">
        <w:rPr>
          <w:rFonts w:ascii="Times New Roman" w:hAnsi="Times New Roman"/>
          <w:b/>
          <w:bCs/>
          <w:sz w:val="24"/>
          <w:szCs w:val="24"/>
        </w:rPr>
        <w:t>Introduction/Authorizing Laws and Regulations</w:t>
      </w:r>
    </w:p>
    <w:p w:rsidR="00C82862" w:rsidRPr="000239D0" w:rsidP="008A7924" w14:paraId="440BF70F" w14:textId="199403C0">
      <w:pPr>
        <w:pStyle w:val="ListParagraph"/>
        <w:spacing w:after="0" w:line="240" w:lineRule="auto"/>
        <w:ind w:left="1440"/>
        <w:rPr>
          <w:rFonts w:ascii="Times New Roman" w:hAnsi="Times New Roman"/>
          <w:sz w:val="24"/>
          <w:szCs w:val="24"/>
        </w:rPr>
      </w:pPr>
      <w:r w:rsidRPr="2F44C9FF">
        <w:rPr>
          <w:rFonts w:ascii="Times New Roman" w:hAnsi="Times New Roman"/>
          <w:sz w:val="24"/>
          <w:szCs w:val="24"/>
        </w:rPr>
        <w:t xml:space="preserve">Section </w:t>
      </w:r>
      <w:r w:rsidRPr="2F44C9FF">
        <w:rPr>
          <w:rFonts w:ascii="Times New Roman" w:hAnsi="Times New Roman"/>
          <w:i/>
          <w:iCs/>
          <w:sz w:val="24"/>
          <w:szCs w:val="24"/>
        </w:rPr>
        <w:t>205(a)</w:t>
      </w:r>
      <w:r w:rsidRPr="2F44C9FF">
        <w:rPr>
          <w:rFonts w:ascii="Times New Roman" w:hAnsi="Times New Roman"/>
          <w:sz w:val="24"/>
          <w:szCs w:val="24"/>
        </w:rPr>
        <w:t xml:space="preserve"> of the </w:t>
      </w:r>
      <w:r w:rsidRPr="2F44C9FF" w:rsidR="0012438E">
        <w:rPr>
          <w:rFonts w:ascii="Times New Roman" w:hAnsi="Times New Roman"/>
          <w:i/>
          <w:iCs/>
          <w:sz w:val="24"/>
          <w:szCs w:val="24"/>
        </w:rPr>
        <w:t>Social Security Act (Act)</w:t>
      </w:r>
      <w:r w:rsidRPr="2F44C9FF">
        <w:rPr>
          <w:rFonts w:ascii="Times New Roman" w:hAnsi="Times New Roman"/>
          <w:sz w:val="24"/>
          <w:szCs w:val="24"/>
        </w:rPr>
        <w:t xml:space="preserve"> authorizes the Commissioner to make rules necessary to implement Social Security programs.  Section </w:t>
      </w:r>
      <w:r w:rsidRPr="2F44C9FF">
        <w:rPr>
          <w:rFonts w:ascii="Times New Roman" w:hAnsi="Times New Roman"/>
          <w:i/>
          <w:iCs/>
          <w:sz w:val="24"/>
          <w:szCs w:val="24"/>
        </w:rPr>
        <w:t>1631(d)(1)</w:t>
      </w:r>
      <w:r w:rsidRPr="2F44C9FF">
        <w:rPr>
          <w:rFonts w:ascii="Times New Roman" w:hAnsi="Times New Roman"/>
          <w:sz w:val="24"/>
          <w:szCs w:val="24"/>
        </w:rPr>
        <w:t xml:space="preserve"> of the </w:t>
      </w:r>
      <w:r w:rsidRPr="2F44C9FF">
        <w:rPr>
          <w:rFonts w:ascii="Times New Roman" w:hAnsi="Times New Roman"/>
          <w:i/>
          <w:iCs/>
          <w:sz w:val="24"/>
          <w:szCs w:val="24"/>
        </w:rPr>
        <w:t xml:space="preserve">Act </w:t>
      </w:r>
      <w:r w:rsidRPr="2F44C9FF">
        <w:rPr>
          <w:rFonts w:ascii="Times New Roman" w:hAnsi="Times New Roman"/>
          <w:sz w:val="24"/>
          <w:szCs w:val="24"/>
        </w:rPr>
        <w:t xml:space="preserve">incorporates Section </w:t>
      </w:r>
      <w:r w:rsidRPr="2F44C9FF">
        <w:rPr>
          <w:rFonts w:ascii="Times New Roman" w:hAnsi="Times New Roman"/>
          <w:i/>
          <w:iCs/>
          <w:sz w:val="24"/>
          <w:szCs w:val="24"/>
        </w:rPr>
        <w:t>205(a)</w:t>
      </w:r>
      <w:r w:rsidRPr="2F44C9FF">
        <w:rPr>
          <w:rFonts w:ascii="Times New Roman" w:hAnsi="Times New Roman"/>
          <w:sz w:val="24"/>
          <w:szCs w:val="24"/>
        </w:rPr>
        <w:t xml:space="preserve"> and applies it to Title XVI of the </w:t>
      </w:r>
      <w:r w:rsidRPr="2F44C9FF">
        <w:rPr>
          <w:rFonts w:ascii="Times New Roman" w:hAnsi="Times New Roman"/>
          <w:i/>
          <w:iCs/>
          <w:sz w:val="24"/>
          <w:szCs w:val="24"/>
        </w:rPr>
        <w:t>Act.</w:t>
      </w:r>
      <w:r w:rsidRPr="2F44C9FF">
        <w:rPr>
          <w:rFonts w:ascii="Times New Roman" w:hAnsi="Times New Roman"/>
          <w:sz w:val="24"/>
          <w:szCs w:val="24"/>
        </w:rPr>
        <w:t xml:space="preserve">  The Commissioner published regulations at </w:t>
      </w:r>
      <w:r w:rsidRPr="2F44C9FF">
        <w:rPr>
          <w:rFonts w:ascii="Times New Roman" w:hAnsi="Times New Roman"/>
          <w:i/>
          <w:iCs/>
          <w:sz w:val="24"/>
          <w:szCs w:val="24"/>
        </w:rPr>
        <w:t>20 CFR 404.967-404.981</w:t>
      </w:r>
      <w:r w:rsidRPr="2F44C9FF">
        <w:rPr>
          <w:rFonts w:ascii="Times New Roman" w:hAnsi="Times New Roman"/>
          <w:sz w:val="24"/>
          <w:szCs w:val="24"/>
        </w:rPr>
        <w:t xml:space="preserve"> and </w:t>
      </w:r>
      <w:r w:rsidRPr="2F44C9FF">
        <w:rPr>
          <w:rFonts w:ascii="Times New Roman" w:hAnsi="Times New Roman"/>
          <w:i/>
          <w:iCs/>
          <w:sz w:val="24"/>
          <w:szCs w:val="24"/>
        </w:rPr>
        <w:t>20 CFR 416.1467-416.1481</w:t>
      </w:r>
      <w:r w:rsidRPr="2F44C9FF">
        <w:rPr>
          <w:rFonts w:ascii="Times New Roman" w:hAnsi="Times New Roman"/>
          <w:sz w:val="24"/>
          <w:szCs w:val="24"/>
        </w:rPr>
        <w:t xml:space="preserve"> of the </w:t>
      </w:r>
      <w:r w:rsidRPr="2F44C9FF">
        <w:rPr>
          <w:rFonts w:ascii="Times New Roman" w:hAnsi="Times New Roman"/>
          <w:i/>
          <w:iCs/>
          <w:sz w:val="24"/>
          <w:szCs w:val="24"/>
        </w:rPr>
        <w:t>Code of Federal Regulations</w:t>
      </w:r>
      <w:r w:rsidRPr="2F44C9FF">
        <w:rPr>
          <w:rFonts w:ascii="Times New Roman" w:hAnsi="Times New Roman"/>
          <w:sz w:val="24"/>
          <w:szCs w:val="24"/>
        </w:rPr>
        <w:t xml:space="preserve">, creating an Appeals Council review process.  Additionally, The </w:t>
      </w:r>
      <w:r w:rsidRPr="2F44C9FF">
        <w:rPr>
          <w:rFonts w:ascii="Times New Roman" w:hAnsi="Times New Roman"/>
          <w:i/>
          <w:iCs/>
          <w:sz w:val="24"/>
          <w:szCs w:val="24"/>
        </w:rPr>
        <w:t>Foster Care Independence Act of 1999</w:t>
      </w:r>
      <w:r w:rsidRPr="2F44C9FF">
        <w:rPr>
          <w:rFonts w:ascii="Times New Roman" w:hAnsi="Times New Roman"/>
          <w:sz w:val="24"/>
          <w:szCs w:val="24"/>
        </w:rPr>
        <w:t xml:space="preserve">, section </w:t>
      </w:r>
      <w:r w:rsidRPr="2F44C9FF">
        <w:rPr>
          <w:rFonts w:ascii="Times New Roman" w:hAnsi="Times New Roman"/>
          <w:i/>
          <w:iCs/>
          <w:sz w:val="24"/>
          <w:szCs w:val="24"/>
        </w:rPr>
        <w:t>251</w:t>
      </w:r>
      <w:r w:rsidRPr="2F44C9FF">
        <w:rPr>
          <w:rFonts w:ascii="Times New Roman" w:hAnsi="Times New Roman"/>
          <w:sz w:val="24"/>
          <w:szCs w:val="24"/>
        </w:rPr>
        <w:t xml:space="preserve"> of </w:t>
      </w:r>
      <w:r w:rsidRPr="2F44C9FF">
        <w:rPr>
          <w:rFonts w:ascii="Times New Roman" w:hAnsi="Times New Roman"/>
          <w:i/>
          <w:iCs/>
          <w:sz w:val="24"/>
          <w:szCs w:val="24"/>
        </w:rPr>
        <w:t>Public Law (</w:t>
      </w:r>
      <w:r w:rsidRPr="2F44C9FF">
        <w:rPr>
          <w:rFonts w:ascii="Times New Roman" w:hAnsi="Times New Roman"/>
          <w:i/>
          <w:iCs/>
          <w:sz w:val="24"/>
          <w:szCs w:val="24"/>
        </w:rPr>
        <w:t>Pub.L</w:t>
      </w:r>
      <w:r w:rsidRPr="2F44C9FF">
        <w:rPr>
          <w:rFonts w:ascii="Times New Roman" w:hAnsi="Times New Roman"/>
          <w:i/>
          <w:iCs/>
          <w:sz w:val="24"/>
          <w:szCs w:val="24"/>
        </w:rPr>
        <w:t>.)</w:t>
      </w:r>
      <w:r w:rsidRPr="2F44C9FF">
        <w:rPr>
          <w:rFonts w:ascii="Times New Roman" w:hAnsi="Times New Roman"/>
          <w:sz w:val="24"/>
          <w:szCs w:val="24"/>
        </w:rPr>
        <w:t xml:space="preserve"> </w:t>
      </w:r>
      <w:r w:rsidRPr="2F44C9FF">
        <w:rPr>
          <w:rFonts w:ascii="Times New Roman" w:hAnsi="Times New Roman"/>
          <w:i/>
          <w:iCs/>
          <w:sz w:val="24"/>
          <w:szCs w:val="24"/>
        </w:rPr>
        <w:t>106-16,</w:t>
      </w:r>
      <w:r w:rsidRPr="2F44C9FF">
        <w:rPr>
          <w:rFonts w:ascii="Times New Roman" w:hAnsi="Times New Roman"/>
          <w:sz w:val="24"/>
          <w:szCs w:val="24"/>
        </w:rPr>
        <w:t xml:space="preserve"> established a new Title VIII of the </w:t>
      </w:r>
      <w:r w:rsidRPr="2F44C9FF">
        <w:rPr>
          <w:rFonts w:ascii="Times New Roman" w:hAnsi="Times New Roman"/>
          <w:i/>
          <w:iCs/>
          <w:sz w:val="24"/>
          <w:szCs w:val="24"/>
        </w:rPr>
        <w:t xml:space="preserve">Act </w:t>
      </w:r>
      <w:r w:rsidRPr="2F44C9FF">
        <w:rPr>
          <w:rFonts w:ascii="Times New Roman" w:hAnsi="Times New Roman"/>
          <w:sz w:val="24"/>
          <w:szCs w:val="24"/>
        </w:rPr>
        <w:t xml:space="preserve">for providing special cash benefits to certain World War II veterans.  Section </w:t>
      </w:r>
      <w:r w:rsidRPr="2F44C9FF">
        <w:rPr>
          <w:rFonts w:ascii="Times New Roman" w:hAnsi="Times New Roman"/>
          <w:i/>
          <w:iCs/>
          <w:sz w:val="24"/>
          <w:szCs w:val="24"/>
        </w:rPr>
        <w:t>809</w:t>
      </w:r>
      <w:r w:rsidRPr="2F44C9FF">
        <w:rPr>
          <w:rFonts w:ascii="Times New Roman" w:hAnsi="Times New Roman"/>
          <w:sz w:val="24"/>
          <w:szCs w:val="24"/>
        </w:rPr>
        <w:t xml:space="preserve"> of </w:t>
      </w:r>
      <w:r w:rsidRPr="2F44C9FF">
        <w:rPr>
          <w:rFonts w:ascii="Times New Roman" w:hAnsi="Times New Roman"/>
          <w:i/>
          <w:iCs/>
          <w:sz w:val="24"/>
          <w:szCs w:val="24"/>
        </w:rPr>
        <w:t>Pub.L</w:t>
      </w:r>
      <w:r w:rsidRPr="2F44C9FF">
        <w:rPr>
          <w:rFonts w:ascii="Times New Roman" w:hAnsi="Times New Roman"/>
          <w:i/>
          <w:iCs/>
          <w:sz w:val="24"/>
          <w:szCs w:val="24"/>
        </w:rPr>
        <w:t>.</w:t>
      </w:r>
      <w:r w:rsidRPr="2F44C9FF">
        <w:rPr>
          <w:rFonts w:ascii="Times New Roman" w:hAnsi="Times New Roman"/>
          <w:sz w:val="24"/>
          <w:szCs w:val="24"/>
        </w:rPr>
        <w:t xml:space="preserve"> </w:t>
      </w:r>
      <w:r w:rsidRPr="2F44C9FF">
        <w:rPr>
          <w:rFonts w:ascii="Times New Roman" w:hAnsi="Times New Roman"/>
          <w:i/>
          <w:iCs/>
          <w:sz w:val="24"/>
          <w:szCs w:val="24"/>
        </w:rPr>
        <w:t>106-169</w:t>
      </w:r>
      <w:r w:rsidRPr="2F44C9FF">
        <w:rPr>
          <w:rFonts w:ascii="Times New Roman" w:hAnsi="Times New Roman"/>
          <w:sz w:val="24"/>
          <w:szCs w:val="24"/>
        </w:rPr>
        <w:t xml:space="preserve"> establishes hearing and review rights, and the procedural protocol to administer this program.  The Commissioner published regulatory guidance for this program at </w:t>
      </w:r>
      <w:r w:rsidRPr="2F44C9FF">
        <w:rPr>
          <w:rFonts w:ascii="Times New Roman" w:hAnsi="Times New Roman"/>
          <w:i/>
          <w:iCs/>
          <w:sz w:val="24"/>
          <w:szCs w:val="24"/>
        </w:rPr>
        <w:t>20 CFR 408.1050</w:t>
      </w:r>
      <w:r w:rsidRPr="2F44C9FF">
        <w:rPr>
          <w:rFonts w:ascii="Times New Roman" w:hAnsi="Times New Roman"/>
          <w:sz w:val="24"/>
          <w:szCs w:val="24"/>
        </w:rPr>
        <w:t>.  Form HA-520, Request for Review of Hearing Decision/Order, provides a means for individuals to request a review by the Appeals Council</w:t>
      </w:r>
      <w:r w:rsidRPr="2F44C9FF" w:rsidR="002C34C5">
        <w:rPr>
          <w:rFonts w:ascii="Times New Roman" w:hAnsi="Times New Roman"/>
          <w:sz w:val="24"/>
          <w:szCs w:val="24"/>
        </w:rPr>
        <w:t xml:space="preserve"> (AC)</w:t>
      </w:r>
      <w:r w:rsidRPr="2F44C9FF">
        <w:rPr>
          <w:rFonts w:ascii="Times New Roman" w:hAnsi="Times New Roman"/>
          <w:sz w:val="24"/>
          <w:szCs w:val="24"/>
        </w:rPr>
        <w:t xml:space="preserve"> of a</w:t>
      </w:r>
      <w:r w:rsidR="00257D9A">
        <w:rPr>
          <w:rFonts w:ascii="Times New Roman" w:hAnsi="Times New Roman"/>
          <w:sz w:val="24"/>
          <w:szCs w:val="24"/>
        </w:rPr>
        <w:t xml:space="preserve"> </w:t>
      </w:r>
      <w:r w:rsidRPr="2F44C9FF">
        <w:rPr>
          <w:rFonts w:ascii="Times New Roman" w:hAnsi="Times New Roman"/>
          <w:sz w:val="24"/>
          <w:szCs w:val="24"/>
        </w:rPr>
        <w:t xml:space="preserve">hearing decision or dismissal </w:t>
      </w:r>
      <w:r w:rsidRPr="2F44C9FF" w:rsidR="2542BDC5">
        <w:rPr>
          <w:rFonts w:ascii="Times New Roman" w:hAnsi="Times New Roman"/>
          <w:sz w:val="24"/>
          <w:szCs w:val="24"/>
        </w:rPr>
        <w:t>order</w:t>
      </w:r>
      <w:r w:rsidRPr="2F44C9FF">
        <w:rPr>
          <w:rFonts w:ascii="Times New Roman" w:hAnsi="Times New Roman"/>
          <w:sz w:val="24"/>
          <w:szCs w:val="24"/>
        </w:rPr>
        <w:t>.  The form also discloses who must file a written request and provide specific information to the Social Security Administration (SSA) as cited above.</w:t>
      </w:r>
    </w:p>
    <w:p w:rsidR="00C82862" w:rsidRPr="000239D0" w:rsidP="008A7924" w14:paraId="0A68EC44" w14:textId="77777777">
      <w:pPr>
        <w:pStyle w:val="ListParagraph"/>
        <w:spacing w:after="0" w:line="240" w:lineRule="auto"/>
        <w:ind w:left="1440"/>
        <w:rPr>
          <w:rFonts w:ascii="Times New Roman" w:hAnsi="Times New Roman"/>
          <w:sz w:val="24"/>
          <w:szCs w:val="24"/>
        </w:rPr>
      </w:pPr>
    </w:p>
    <w:p w:rsidR="00C82862" w:rsidRPr="000239D0" w:rsidP="008A7924" w14:paraId="50BE2A5A" w14:textId="1F564F8B">
      <w:pPr>
        <w:pStyle w:val="ListParagraph"/>
        <w:numPr>
          <w:ilvl w:val="0"/>
          <w:numId w:val="24"/>
        </w:numPr>
        <w:spacing w:after="0" w:line="240" w:lineRule="auto"/>
        <w:ind w:left="1440" w:hanging="720"/>
        <w:rPr>
          <w:rFonts w:ascii="Times New Roman" w:hAnsi="Times New Roman"/>
          <w:sz w:val="24"/>
          <w:szCs w:val="24"/>
        </w:rPr>
      </w:pPr>
      <w:r w:rsidRPr="000239D0">
        <w:rPr>
          <w:rFonts w:ascii="Times New Roman" w:hAnsi="Times New Roman"/>
          <w:b/>
          <w:bCs/>
          <w:sz w:val="24"/>
          <w:szCs w:val="24"/>
        </w:rPr>
        <w:t>Description of Collection</w:t>
      </w:r>
    </w:p>
    <w:p w:rsidR="000F17E9" w:rsidP="008A7924" w14:paraId="10749EA6" w14:textId="3EC479BA">
      <w:pPr>
        <w:pStyle w:val="ListParagraph"/>
        <w:spacing w:after="0" w:line="240" w:lineRule="auto"/>
        <w:ind w:left="1440"/>
        <w:rPr>
          <w:rFonts w:ascii="Times New Roman" w:hAnsi="Times New Roman"/>
          <w:sz w:val="24"/>
          <w:szCs w:val="24"/>
        </w:rPr>
      </w:pPr>
      <w:r w:rsidRPr="2F44C9FF">
        <w:rPr>
          <w:rFonts w:ascii="Times New Roman" w:hAnsi="Times New Roman"/>
          <w:sz w:val="24"/>
          <w:szCs w:val="24"/>
        </w:rPr>
        <w:t xml:space="preserve">Claimants have a statutory right under the </w:t>
      </w:r>
      <w:r w:rsidRPr="2F44C9FF">
        <w:rPr>
          <w:rFonts w:ascii="Times New Roman" w:hAnsi="Times New Roman"/>
          <w:i/>
          <w:iCs/>
          <w:sz w:val="24"/>
          <w:szCs w:val="24"/>
        </w:rPr>
        <w:t>Act</w:t>
      </w:r>
      <w:r w:rsidRPr="2F44C9FF">
        <w:rPr>
          <w:rFonts w:ascii="Times New Roman" w:hAnsi="Times New Roman"/>
          <w:sz w:val="24"/>
          <w:szCs w:val="24"/>
        </w:rPr>
        <w:t xml:space="preserve"> and current regulations to request review of a hearing decision or dismissal</w:t>
      </w:r>
      <w:r w:rsidRPr="2F44C9FF" w:rsidR="203BB701">
        <w:rPr>
          <w:rFonts w:ascii="Times New Roman" w:hAnsi="Times New Roman"/>
          <w:sz w:val="24"/>
          <w:szCs w:val="24"/>
        </w:rPr>
        <w:t xml:space="preserve"> order</w:t>
      </w:r>
      <w:r w:rsidRPr="2F44C9FF">
        <w:rPr>
          <w:rFonts w:ascii="Times New Roman" w:hAnsi="Times New Roman"/>
          <w:sz w:val="24"/>
          <w:szCs w:val="24"/>
        </w:rPr>
        <w:t xml:space="preserve"> on</w:t>
      </w:r>
      <w:r w:rsidRPr="2F44C9FF" w:rsidR="00193C92">
        <w:rPr>
          <w:rFonts w:ascii="Times New Roman" w:hAnsi="Times New Roman"/>
          <w:sz w:val="24"/>
          <w:szCs w:val="24"/>
        </w:rPr>
        <w:t xml:space="preserve"> claims for</w:t>
      </w:r>
      <w:r w:rsidRPr="2F44C9FF" w:rsidR="00055B7C">
        <w:rPr>
          <w:rFonts w:ascii="Times New Roman" w:hAnsi="Times New Roman"/>
          <w:sz w:val="24"/>
          <w:szCs w:val="24"/>
        </w:rPr>
        <w:t xml:space="preserve"> initial or continuing entitlement or eligibility under</w:t>
      </w:r>
      <w:r w:rsidRPr="2F44C9FF" w:rsidR="00C3454A">
        <w:rPr>
          <w:rFonts w:ascii="Times New Roman" w:hAnsi="Times New Roman"/>
          <w:sz w:val="24"/>
          <w:szCs w:val="24"/>
        </w:rPr>
        <w:t xml:space="preserve"> </w:t>
      </w:r>
      <w:r w:rsidRPr="2F44C9FF">
        <w:rPr>
          <w:rFonts w:ascii="Times New Roman" w:hAnsi="Times New Roman"/>
          <w:sz w:val="24"/>
          <w:szCs w:val="24"/>
        </w:rPr>
        <w:t>Title II</w:t>
      </w:r>
      <w:r w:rsidRPr="2F44C9FF" w:rsidR="00C042E7">
        <w:rPr>
          <w:rFonts w:ascii="Times New Roman" w:hAnsi="Times New Roman"/>
          <w:sz w:val="24"/>
          <w:szCs w:val="24"/>
        </w:rPr>
        <w:t xml:space="preserve">, </w:t>
      </w:r>
      <w:r w:rsidRPr="2F44C9FF">
        <w:rPr>
          <w:rFonts w:ascii="Times New Roman" w:hAnsi="Times New Roman"/>
          <w:sz w:val="24"/>
          <w:szCs w:val="24"/>
        </w:rPr>
        <w:t>Title XVI</w:t>
      </w:r>
      <w:r w:rsidRPr="2F44C9FF" w:rsidR="00C042E7">
        <w:rPr>
          <w:rFonts w:ascii="Times New Roman" w:hAnsi="Times New Roman"/>
          <w:sz w:val="24"/>
          <w:szCs w:val="24"/>
        </w:rPr>
        <w:t>, and Title XVIII</w:t>
      </w:r>
      <w:r w:rsidRPr="2F44C9FF">
        <w:rPr>
          <w:rFonts w:ascii="Times New Roman" w:hAnsi="Times New Roman"/>
          <w:sz w:val="24"/>
          <w:szCs w:val="24"/>
        </w:rPr>
        <w:t xml:space="preserve"> </w:t>
      </w:r>
      <w:r w:rsidRPr="2F44C9FF" w:rsidR="002C6232">
        <w:rPr>
          <w:rFonts w:ascii="Times New Roman" w:hAnsi="Times New Roman"/>
          <w:sz w:val="24"/>
          <w:szCs w:val="24"/>
        </w:rPr>
        <w:t xml:space="preserve">of the </w:t>
      </w:r>
      <w:r w:rsidRPr="2F44C9FF" w:rsidR="002C6232">
        <w:rPr>
          <w:rFonts w:ascii="Times New Roman" w:hAnsi="Times New Roman"/>
          <w:i/>
          <w:iCs/>
          <w:sz w:val="24"/>
          <w:szCs w:val="24"/>
        </w:rPr>
        <w:t>Act</w:t>
      </w:r>
      <w:r w:rsidRPr="2F44C9FF">
        <w:rPr>
          <w:rFonts w:ascii="Times New Roman" w:hAnsi="Times New Roman"/>
          <w:sz w:val="24"/>
          <w:szCs w:val="24"/>
        </w:rPr>
        <w:t xml:space="preserve">.  </w:t>
      </w:r>
      <w:r w:rsidRPr="2F44C9FF" w:rsidR="00671F32">
        <w:rPr>
          <w:rFonts w:ascii="Times New Roman" w:hAnsi="Times New Roman"/>
          <w:sz w:val="24"/>
          <w:szCs w:val="24"/>
        </w:rPr>
        <w:t xml:space="preserve">If a </w:t>
      </w:r>
      <w:r w:rsidRPr="2F44C9FF" w:rsidR="00170D66">
        <w:rPr>
          <w:rFonts w:ascii="Times New Roman" w:hAnsi="Times New Roman"/>
          <w:sz w:val="24"/>
          <w:szCs w:val="24"/>
        </w:rPr>
        <w:t>party to a</w:t>
      </w:r>
      <w:r w:rsidRPr="2F44C9FF" w:rsidR="00E1137C">
        <w:rPr>
          <w:rFonts w:ascii="Times New Roman" w:hAnsi="Times New Roman"/>
          <w:sz w:val="24"/>
          <w:szCs w:val="24"/>
        </w:rPr>
        <w:t xml:space="preserve"> hearing </w:t>
      </w:r>
      <w:r w:rsidRPr="2F44C9FF" w:rsidR="00170D66">
        <w:rPr>
          <w:rFonts w:ascii="Times New Roman" w:hAnsi="Times New Roman"/>
          <w:sz w:val="24"/>
          <w:szCs w:val="24"/>
        </w:rPr>
        <w:t>decision or dismissal</w:t>
      </w:r>
      <w:r w:rsidR="00AE4715">
        <w:rPr>
          <w:rFonts w:ascii="Times New Roman" w:hAnsi="Times New Roman"/>
          <w:sz w:val="24"/>
          <w:szCs w:val="24"/>
        </w:rPr>
        <w:t xml:space="preserve"> order</w:t>
      </w:r>
      <w:r w:rsidRPr="2F44C9FF" w:rsidR="00170D66">
        <w:rPr>
          <w:rFonts w:ascii="Times New Roman" w:hAnsi="Times New Roman"/>
          <w:sz w:val="24"/>
          <w:szCs w:val="24"/>
        </w:rPr>
        <w:t xml:space="preserve"> </w:t>
      </w:r>
      <w:r w:rsidRPr="2F44C9FF" w:rsidR="00671F32">
        <w:rPr>
          <w:rFonts w:ascii="Times New Roman" w:hAnsi="Times New Roman"/>
          <w:sz w:val="24"/>
          <w:szCs w:val="24"/>
        </w:rPr>
        <w:t xml:space="preserve">disagrees with </w:t>
      </w:r>
      <w:r w:rsidRPr="2F44C9FF" w:rsidR="0042710B">
        <w:rPr>
          <w:rFonts w:ascii="Times New Roman" w:hAnsi="Times New Roman"/>
          <w:sz w:val="24"/>
          <w:szCs w:val="24"/>
        </w:rPr>
        <w:t xml:space="preserve">the decision or order, they </w:t>
      </w:r>
      <w:r w:rsidRPr="2F44C9FF" w:rsidR="000A32A6">
        <w:rPr>
          <w:rFonts w:ascii="Times New Roman" w:hAnsi="Times New Roman"/>
          <w:sz w:val="24"/>
          <w:szCs w:val="24"/>
        </w:rPr>
        <w:t>may request A</w:t>
      </w:r>
      <w:r w:rsidRPr="2F44C9FF" w:rsidR="002C34C5">
        <w:rPr>
          <w:rFonts w:ascii="Times New Roman" w:hAnsi="Times New Roman"/>
          <w:sz w:val="24"/>
          <w:szCs w:val="24"/>
        </w:rPr>
        <w:t xml:space="preserve">C </w:t>
      </w:r>
      <w:r w:rsidRPr="2F44C9FF" w:rsidR="000A32A6">
        <w:rPr>
          <w:rFonts w:ascii="Times New Roman" w:hAnsi="Times New Roman"/>
          <w:sz w:val="24"/>
          <w:szCs w:val="24"/>
        </w:rPr>
        <w:t>revie</w:t>
      </w:r>
      <w:r w:rsidRPr="2F44C9FF" w:rsidR="002C34C5">
        <w:rPr>
          <w:rFonts w:ascii="Times New Roman" w:hAnsi="Times New Roman"/>
          <w:sz w:val="24"/>
          <w:szCs w:val="24"/>
        </w:rPr>
        <w:t>w</w:t>
      </w:r>
      <w:r w:rsidRPr="2F44C9FF" w:rsidR="000A32A6">
        <w:rPr>
          <w:rFonts w:ascii="Times New Roman" w:hAnsi="Times New Roman"/>
          <w:sz w:val="24"/>
          <w:szCs w:val="24"/>
        </w:rPr>
        <w:t xml:space="preserve">.  </w:t>
      </w:r>
      <w:r w:rsidRPr="2F44C9FF">
        <w:rPr>
          <w:rFonts w:ascii="Times New Roman" w:hAnsi="Times New Roman"/>
          <w:sz w:val="24"/>
          <w:szCs w:val="24"/>
        </w:rPr>
        <w:t xml:space="preserve">Claimants may request </w:t>
      </w:r>
      <w:r w:rsidRPr="2F44C9FF" w:rsidR="00477052">
        <w:rPr>
          <w:rFonts w:ascii="Times New Roman" w:hAnsi="Times New Roman"/>
          <w:sz w:val="24"/>
          <w:szCs w:val="24"/>
        </w:rPr>
        <w:t>AC</w:t>
      </w:r>
      <w:r w:rsidRPr="2F44C9FF">
        <w:rPr>
          <w:rFonts w:ascii="Times New Roman" w:hAnsi="Times New Roman"/>
          <w:sz w:val="24"/>
          <w:szCs w:val="24"/>
        </w:rPr>
        <w:t xml:space="preserve"> review by filing</w:t>
      </w:r>
      <w:r w:rsidRPr="2F44C9FF" w:rsidR="00671F32">
        <w:rPr>
          <w:rFonts w:ascii="Times New Roman" w:hAnsi="Times New Roman"/>
          <w:sz w:val="24"/>
          <w:szCs w:val="24"/>
        </w:rPr>
        <w:t xml:space="preserve"> </w:t>
      </w:r>
      <w:r w:rsidRPr="2F44C9FF">
        <w:rPr>
          <w:rFonts w:ascii="Times New Roman" w:hAnsi="Times New Roman"/>
          <w:sz w:val="24"/>
          <w:szCs w:val="24"/>
        </w:rPr>
        <w:t>a written request using Form HA-520</w:t>
      </w:r>
      <w:r w:rsidRPr="2F44C9FF" w:rsidR="00671F32">
        <w:rPr>
          <w:rFonts w:ascii="Times New Roman" w:hAnsi="Times New Roman"/>
          <w:sz w:val="24"/>
          <w:szCs w:val="24"/>
        </w:rPr>
        <w:t xml:space="preserve"> by mail or in a Field Office (FO)</w:t>
      </w:r>
      <w:r w:rsidRPr="2F44C9FF">
        <w:rPr>
          <w:rFonts w:ascii="Times New Roman" w:hAnsi="Times New Roman"/>
          <w:sz w:val="24"/>
          <w:szCs w:val="24"/>
        </w:rPr>
        <w:t xml:space="preserve"> or the Internet</w:t>
      </w:r>
      <w:r w:rsidRPr="2F44C9FF" w:rsidR="00121275">
        <w:rPr>
          <w:rFonts w:ascii="Times New Roman" w:hAnsi="Times New Roman"/>
          <w:sz w:val="24"/>
          <w:szCs w:val="24"/>
        </w:rPr>
        <w:t xml:space="preserve"> version of Form HA-520, </w:t>
      </w:r>
      <w:r w:rsidRPr="2F44C9FF" w:rsidR="003E36DD">
        <w:rPr>
          <w:rFonts w:ascii="Times New Roman" w:hAnsi="Times New Roman"/>
          <w:sz w:val="24"/>
          <w:szCs w:val="24"/>
        </w:rPr>
        <w:t xml:space="preserve">the </w:t>
      </w:r>
      <w:r w:rsidRPr="2F44C9FF">
        <w:rPr>
          <w:rFonts w:ascii="Times New Roman" w:hAnsi="Times New Roman"/>
          <w:sz w:val="24"/>
          <w:szCs w:val="24"/>
        </w:rPr>
        <w:t xml:space="preserve">i520.  </w:t>
      </w:r>
      <w:r w:rsidRPr="2F44C9FF" w:rsidR="00E37FF8">
        <w:rPr>
          <w:rFonts w:ascii="Times New Roman" w:hAnsi="Times New Roman"/>
          <w:sz w:val="24"/>
          <w:szCs w:val="24"/>
        </w:rPr>
        <w:t xml:space="preserve">If prepared in a FO, </w:t>
      </w:r>
      <w:r w:rsidRPr="2F44C9FF" w:rsidR="00EC1491">
        <w:rPr>
          <w:rFonts w:ascii="Times New Roman" w:hAnsi="Times New Roman"/>
          <w:sz w:val="24"/>
          <w:szCs w:val="24"/>
        </w:rPr>
        <w:t xml:space="preserve">SSA staff will help instruct </w:t>
      </w:r>
      <w:r w:rsidR="008A375D">
        <w:rPr>
          <w:rFonts w:ascii="Times New Roman" w:hAnsi="Times New Roman"/>
          <w:sz w:val="24"/>
          <w:szCs w:val="24"/>
        </w:rPr>
        <w:t>claimants</w:t>
      </w:r>
      <w:r w:rsidRPr="2F44C9FF" w:rsidR="00EC1491">
        <w:rPr>
          <w:rFonts w:ascii="Times New Roman" w:hAnsi="Times New Roman"/>
          <w:sz w:val="24"/>
          <w:szCs w:val="24"/>
        </w:rPr>
        <w:t xml:space="preserve"> on the sections they must complete (</w:t>
      </w:r>
      <w:r w:rsidRPr="2F44C9FF" w:rsidR="00884E98">
        <w:rPr>
          <w:rFonts w:ascii="Times New Roman" w:hAnsi="Times New Roman"/>
          <w:sz w:val="24"/>
          <w:szCs w:val="24"/>
        </w:rPr>
        <w:t>the claimant’s name,</w:t>
      </w:r>
      <w:r w:rsidRPr="2F44C9FF" w:rsidR="00EC1491">
        <w:rPr>
          <w:rFonts w:ascii="Times New Roman" w:hAnsi="Times New Roman"/>
          <w:sz w:val="24"/>
          <w:szCs w:val="24"/>
        </w:rPr>
        <w:t xml:space="preserve"> the claim number</w:t>
      </w:r>
      <w:r w:rsidRPr="2F44C9FF" w:rsidR="00884E98">
        <w:rPr>
          <w:rFonts w:ascii="Times New Roman" w:hAnsi="Times New Roman"/>
          <w:sz w:val="24"/>
          <w:szCs w:val="24"/>
        </w:rPr>
        <w:t>, and reason for the appeal</w:t>
      </w:r>
      <w:r w:rsidRPr="2F44C9FF" w:rsidR="00EC1491">
        <w:rPr>
          <w:rFonts w:ascii="Times New Roman" w:hAnsi="Times New Roman"/>
          <w:sz w:val="24"/>
          <w:szCs w:val="24"/>
        </w:rPr>
        <w:t xml:space="preserve">) or </w:t>
      </w:r>
      <w:r w:rsidRPr="2F44C9FF" w:rsidR="00AA74B4">
        <w:rPr>
          <w:rFonts w:ascii="Times New Roman" w:hAnsi="Times New Roman"/>
          <w:sz w:val="24"/>
          <w:szCs w:val="24"/>
        </w:rPr>
        <w:t>are</w:t>
      </w:r>
      <w:r w:rsidRPr="2F44C9FF" w:rsidR="00EC1491">
        <w:rPr>
          <w:rFonts w:ascii="Times New Roman" w:hAnsi="Times New Roman"/>
          <w:sz w:val="24"/>
          <w:szCs w:val="24"/>
        </w:rPr>
        <w:t xml:space="preserve"> recommended to complete (</w:t>
      </w:r>
      <w:r w:rsidRPr="2F44C9FF" w:rsidR="00884E98">
        <w:rPr>
          <w:rFonts w:ascii="Times New Roman" w:hAnsi="Times New Roman"/>
          <w:sz w:val="24"/>
          <w:szCs w:val="24"/>
        </w:rPr>
        <w:t>producing evidence, and</w:t>
      </w:r>
      <w:r w:rsidRPr="2F44C9FF" w:rsidR="00EC1491">
        <w:rPr>
          <w:rFonts w:ascii="Times New Roman" w:hAnsi="Times New Roman"/>
          <w:sz w:val="24"/>
          <w:szCs w:val="24"/>
        </w:rPr>
        <w:t xml:space="preserve"> the signature section).  </w:t>
      </w:r>
      <w:r w:rsidRPr="2F44C9FF" w:rsidR="00884E98">
        <w:rPr>
          <w:rFonts w:ascii="Times New Roman" w:hAnsi="Times New Roman"/>
          <w:sz w:val="24"/>
          <w:szCs w:val="24"/>
        </w:rPr>
        <w:t xml:space="preserve">If the claimant </w:t>
      </w:r>
      <w:r w:rsidRPr="2F44C9FF" w:rsidR="00623566">
        <w:rPr>
          <w:rFonts w:ascii="Times New Roman" w:hAnsi="Times New Roman"/>
          <w:sz w:val="24"/>
          <w:szCs w:val="24"/>
        </w:rPr>
        <w:t>has an appointed representative</w:t>
      </w:r>
      <w:r w:rsidR="008A375D">
        <w:rPr>
          <w:rFonts w:ascii="Times New Roman" w:hAnsi="Times New Roman"/>
          <w:sz w:val="24"/>
          <w:szCs w:val="24"/>
        </w:rPr>
        <w:t>,</w:t>
      </w:r>
      <w:r w:rsidRPr="2F44C9FF" w:rsidR="00623566">
        <w:rPr>
          <w:rFonts w:ascii="Times New Roman" w:hAnsi="Times New Roman"/>
          <w:sz w:val="24"/>
          <w:szCs w:val="24"/>
        </w:rPr>
        <w:t xml:space="preserve"> the FO</w:t>
      </w:r>
      <w:r w:rsidRPr="2F44C9FF" w:rsidR="00F21E43">
        <w:rPr>
          <w:rFonts w:ascii="Times New Roman" w:hAnsi="Times New Roman"/>
          <w:sz w:val="24"/>
          <w:szCs w:val="24"/>
        </w:rPr>
        <w:t xml:space="preserve"> </w:t>
      </w:r>
      <w:r w:rsidR="0013313A">
        <w:rPr>
          <w:rFonts w:ascii="Times New Roman" w:hAnsi="Times New Roman"/>
          <w:sz w:val="24"/>
          <w:szCs w:val="24"/>
        </w:rPr>
        <w:t>may</w:t>
      </w:r>
      <w:r w:rsidRPr="2F44C9FF" w:rsidR="00F21E43">
        <w:rPr>
          <w:rFonts w:ascii="Times New Roman" w:hAnsi="Times New Roman"/>
          <w:sz w:val="24"/>
          <w:szCs w:val="24"/>
        </w:rPr>
        <w:t xml:space="preserve"> obtain a </w:t>
      </w:r>
      <w:r w:rsidRPr="2F44C9FF" w:rsidR="00884E98">
        <w:rPr>
          <w:rFonts w:ascii="Times New Roman" w:hAnsi="Times New Roman"/>
          <w:sz w:val="24"/>
          <w:szCs w:val="24"/>
        </w:rPr>
        <w:t>Form SSA-1696 (Appointment of Representative)</w:t>
      </w:r>
      <w:r w:rsidRPr="2F44C9FF" w:rsidR="00F21E43">
        <w:rPr>
          <w:rFonts w:ascii="Times New Roman" w:hAnsi="Times New Roman"/>
          <w:sz w:val="24"/>
          <w:szCs w:val="24"/>
        </w:rPr>
        <w:t xml:space="preserve"> if the claimant or representative has not previously filed one</w:t>
      </w:r>
      <w:r w:rsidRPr="2F44C9FF" w:rsidR="00884E98">
        <w:rPr>
          <w:rFonts w:ascii="Times New Roman" w:hAnsi="Times New Roman"/>
          <w:sz w:val="24"/>
          <w:szCs w:val="24"/>
        </w:rPr>
        <w:t xml:space="preserve">. </w:t>
      </w:r>
      <w:r w:rsidR="008A7924">
        <w:rPr>
          <w:rFonts w:ascii="Times New Roman" w:hAnsi="Times New Roman"/>
          <w:sz w:val="24"/>
          <w:szCs w:val="24"/>
        </w:rPr>
        <w:t xml:space="preserve"> </w:t>
      </w:r>
      <w:r w:rsidRPr="2F44C9FF" w:rsidR="00884E98">
        <w:rPr>
          <w:rFonts w:ascii="Times New Roman" w:hAnsi="Times New Roman"/>
          <w:sz w:val="24"/>
          <w:szCs w:val="24"/>
        </w:rPr>
        <w:t xml:space="preserve">FO staff, whether receiving the form by mail or from the claimant after they complete their sections in person, will complete the SSA portion of Form HA-520 that confirms when and where the </w:t>
      </w:r>
      <w:r w:rsidR="00370577">
        <w:rPr>
          <w:rFonts w:ascii="Times New Roman" w:hAnsi="Times New Roman"/>
          <w:sz w:val="24"/>
          <w:szCs w:val="24"/>
        </w:rPr>
        <w:t>f</w:t>
      </w:r>
      <w:r w:rsidRPr="2F44C9FF" w:rsidR="00884E98">
        <w:rPr>
          <w:rFonts w:ascii="Times New Roman" w:hAnsi="Times New Roman"/>
          <w:sz w:val="24"/>
          <w:szCs w:val="24"/>
        </w:rPr>
        <w:t xml:space="preserve">orm was received, that it was received within 65 days of the </w:t>
      </w:r>
      <w:r w:rsidR="000E51EC">
        <w:rPr>
          <w:rFonts w:ascii="Times New Roman" w:hAnsi="Times New Roman"/>
          <w:sz w:val="24"/>
          <w:szCs w:val="24"/>
        </w:rPr>
        <w:t>hearing</w:t>
      </w:r>
      <w:r w:rsidRPr="2F44C9FF" w:rsidR="00884E98">
        <w:rPr>
          <w:rFonts w:ascii="Times New Roman" w:hAnsi="Times New Roman"/>
          <w:sz w:val="24"/>
          <w:szCs w:val="24"/>
        </w:rPr>
        <w:t xml:space="preserve"> decision or </w:t>
      </w:r>
      <w:r w:rsidR="000E51EC">
        <w:rPr>
          <w:rFonts w:ascii="Times New Roman" w:hAnsi="Times New Roman"/>
          <w:sz w:val="24"/>
          <w:szCs w:val="24"/>
        </w:rPr>
        <w:t>dismissal order</w:t>
      </w:r>
      <w:r w:rsidRPr="2F44C9FF" w:rsidR="00884E98">
        <w:rPr>
          <w:rFonts w:ascii="Times New Roman" w:hAnsi="Times New Roman"/>
          <w:sz w:val="24"/>
          <w:szCs w:val="24"/>
        </w:rPr>
        <w:t xml:space="preserve">, and </w:t>
      </w:r>
      <w:r w:rsidR="00C11C2F">
        <w:rPr>
          <w:rFonts w:ascii="Times New Roman" w:hAnsi="Times New Roman"/>
          <w:sz w:val="24"/>
          <w:szCs w:val="24"/>
        </w:rPr>
        <w:t>the</w:t>
      </w:r>
      <w:r w:rsidRPr="2F44C9FF" w:rsidR="00884E98">
        <w:rPr>
          <w:rFonts w:ascii="Times New Roman" w:hAnsi="Times New Roman"/>
          <w:sz w:val="24"/>
          <w:szCs w:val="24"/>
        </w:rPr>
        <w:t xml:space="preserve"> type of benefits the claimant is appealing.  </w:t>
      </w:r>
      <w:r w:rsidRPr="2F44C9FF">
        <w:rPr>
          <w:rFonts w:ascii="Times New Roman" w:hAnsi="Times New Roman"/>
          <w:sz w:val="24"/>
          <w:szCs w:val="24"/>
        </w:rPr>
        <w:t>If the form is received after the 65-day window has closed, additional documentation can be provided by the claimant (or given to FO staff, if the claim is being made in-person) to justify why the late filing has good cause.  For claimants filing HA-520</w:t>
      </w:r>
      <w:r w:rsidR="00517C22">
        <w:rPr>
          <w:rFonts w:ascii="Times New Roman" w:hAnsi="Times New Roman"/>
          <w:sz w:val="24"/>
          <w:szCs w:val="24"/>
        </w:rPr>
        <w:t>s</w:t>
      </w:r>
      <w:r w:rsidRPr="2F44C9FF">
        <w:rPr>
          <w:rFonts w:ascii="Times New Roman" w:hAnsi="Times New Roman"/>
          <w:sz w:val="24"/>
          <w:szCs w:val="24"/>
        </w:rPr>
        <w:t xml:space="preserve"> in an FO, field staff will then produce copies to be </w:t>
      </w:r>
      <w:r w:rsidRPr="2F44C9FF">
        <w:rPr>
          <w:rFonts w:ascii="Times New Roman" w:hAnsi="Times New Roman"/>
          <w:sz w:val="24"/>
          <w:szCs w:val="24"/>
        </w:rPr>
        <w:t>kept in SSA records, given to the claimant, and given to any appointed representatives (if applicable).</w:t>
      </w:r>
    </w:p>
    <w:p w:rsidR="005D77BA" w:rsidP="008A7924" w14:paraId="4C315D8C" w14:textId="216643F2">
      <w:pPr>
        <w:pStyle w:val="ListParagraph"/>
        <w:spacing w:after="0" w:line="240" w:lineRule="auto"/>
        <w:ind w:left="1440"/>
        <w:rPr>
          <w:rFonts w:ascii="Times New Roman" w:hAnsi="Times New Roman"/>
          <w:sz w:val="24"/>
          <w:szCs w:val="24"/>
        </w:rPr>
      </w:pPr>
    </w:p>
    <w:p w:rsidR="005D77BA" w:rsidP="008A7924" w14:paraId="6B496038" w14:textId="39CEE022">
      <w:pPr>
        <w:pStyle w:val="ListParagraph"/>
        <w:spacing w:after="0" w:line="240" w:lineRule="auto"/>
        <w:ind w:left="1440"/>
        <w:rPr>
          <w:rFonts w:ascii="Times New Roman" w:hAnsi="Times New Roman"/>
          <w:sz w:val="24"/>
          <w:szCs w:val="24"/>
        </w:rPr>
      </w:pPr>
      <w:r>
        <w:rPr>
          <w:rFonts w:ascii="Times New Roman" w:hAnsi="Times New Roman"/>
          <w:sz w:val="24"/>
          <w:szCs w:val="24"/>
        </w:rPr>
        <w:t xml:space="preserve">The </w:t>
      </w:r>
      <w:r w:rsidR="008A375D">
        <w:rPr>
          <w:rFonts w:ascii="Times New Roman" w:hAnsi="Times New Roman"/>
          <w:sz w:val="24"/>
          <w:szCs w:val="24"/>
        </w:rPr>
        <w:t xml:space="preserve">Form HA-520 collects </w:t>
      </w:r>
      <w:r>
        <w:rPr>
          <w:rFonts w:ascii="Times New Roman" w:hAnsi="Times New Roman"/>
          <w:sz w:val="24"/>
          <w:szCs w:val="24"/>
        </w:rPr>
        <w:t xml:space="preserve">information </w:t>
      </w:r>
      <w:r w:rsidR="008A375D">
        <w:rPr>
          <w:rFonts w:ascii="Times New Roman" w:hAnsi="Times New Roman"/>
          <w:sz w:val="24"/>
          <w:szCs w:val="24"/>
        </w:rPr>
        <w:t xml:space="preserve">on why the </w:t>
      </w:r>
      <w:r w:rsidR="0013313A">
        <w:rPr>
          <w:rFonts w:ascii="Times New Roman" w:hAnsi="Times New Roman"/>
          <w:sz w:val="24"/>
          <w:szCs w:val="24"/>
        </w:rPr>
        <w:t>claimant</w:t>
      </w:r>
      <w:r w:rsidR="008A375D">
        <w:rPr>
          <w:rFonts w:ascii="Times New Roman" w:hAnsi="Times New Roman"/>
          <w:sz w:val="24"/>
          <w:szCs w:val="24"/>
        </w:rPr>
        <w:t xml:space="preserve"> </w:t>
      </w:r>
      <w:r>
        <w:rPr>
          <w:rFonts w:ascii="Times New Roman" w:hAnsi="Times New Roman"/>
          <w:sz w:val="24"/>
          <w:szCs w:val="24"/>
        </w:rPr>
        <w:t xml:space="preserve"> wishes to request </w:t>
      </w:r>
      <w:r w:rsidR="00CA0D64">
        <w:rPr>
          <w:rFonts w:ascii="Times New Roman" w:hAnsi="Times New Roman"/>
          <w:sz w:val="24"/>
          <w:szCs w:val="24"/>
        </w:rPr>
        <w:t>AC</w:t>
      </w:r>
      <w:r>
        <w:rPr>
          <w:rFonts w:ascii="Times New Roman" w:hAnsi="Times New Roman"/>
          <w:sz w:val="24"/>
          <w:szCs w:val="24"/>
        </w:rPr>
        <w:t xml:space="preserve"> review of the </w:t>
      </w:r>
      <w:r w:rsidR="00CA0D64">
        <w:rPr>
          <w:rFonts w:ascii="Times New Roman" w:hAnsi="Times New Roman"/>
          <w:sz w:val="24"/>
          <w:szCs w:val="24"/>
        </w:rPr>
        <w:t>hearing</w:t>
      </w:r>
      <w:r>
        <w:rPr>
          <w:rFonts w:ascii="Times New Roman" w:hAnsi="Times New Roman"/>
          <w:sz w:val="24"/>
          <w:szCs w:val="24"/>
        </w:rPr>
        <w:t xml:space="preserve"> decision</w:t>
      </w:r>
      <w:r w:rsidR="00CA0D64">
        <w:rPr>
          <w:rFonts w:ascii="Times New Roman" w:hAnsi="Times New Roman"/>
          <w:sz w:val="24"/>
          <w:szCs w:val="24"/>
        </w:rPr>
        <w:t xml:space="preserve"> or dismissal order</w:t>
      </w:r>
      <w:r w:rsidR="00B91E4E">
        <w:rPr>
          <w:rFonts w:ascii="Times New Roman" w:hAnsi="Times New Roman"/>
          <w:sz w:val="24"/>
          <w:szCs w:val="24"/>
        </w:rPr>
        <w:t xml:space="preserve"> (the “argument”)</w:t>
      </w:r>
      <w:r>
        <w:rPr>
          <w:rFonts w:ascii="Times New Roman" w:hAnsi="Times New Roman"/>
          <w:sz w:val="24"/>
          <w:szCs w:val="24"/>
        </w:rPr>
        <w:t>.</w:t>
      </w:r>
      <w:r w:rsidR="008A7924">
        <w:rPr>
          <w:rFonts w:ascii="Times New Roman" w:hAnsi="Times New Roman"/>
          <w:sz w:val="24"/>
          <w:szCs w:val="24"/>
        </w:rPr>
        <w:t xml:space="preserve">  </w:t>
      </w:r>
      <w:r w:rsidR="008A375D">
        <w:rPr>
          <w:rFonts w:ascii="Times New Roman" w:hAnsi="Times New Roman"/>
          <w:sz w:val="24"/>
          <w:szCs w:val="24"/>
        </w:rPr>
        <w:t>However, a</w:t>
      </w:r>
      <w:r w:rsidR="0073542D">
        <w:rPr>
          <w:rFonts w:ascii="Times New Roman" w:hAnsi="Times New Roman"/>
          <w:sz w:val="24"/>
          <w:szCs w:val="24"/>
        </w:rPr>
        <w:t>rguments</w:t>
      </w:r>
      <w:r w:rsidR="008A375D">
        <w:rPr>
          <w:rFonts w:ascii="Times New Roman" w:hAnsi="Times New Roman"/>
          <w:sz w:val="24"/>
          <w:szCs w:val="24"/>
        </w:rPr>
        <w:t xml:space="preserve"> and </w:t>
      </w:r>
      <w:r w:rsidR="00565CA5">
        <w:rPr>
          <w:rFonts w:ascii="Times New Roman" w:hAnsi="Times New Roman"/>
          <w:sz w:val="24"/>
          <w:szCs w:val="24"/>
        </w:rPr>
        <w:t>appeal reasons</w:t>
      </w:r>
      <w:r w:rsidR="0073542D">
        <w:rPr>
          <w:rFonts w:ascii="Times New Roman" w:hAnsi="Times New Roman"/>
          <w:sz w:val="24"/>
          <w:szCs w:val="24"/>
        </w:rPr>
        <w:t xml:space="preserve"> submitted are highly variable in terms of length and specificity</w:t>
      </w:r>
      <w:r w:rsidR="001C76EC">
        <w:rPr>
          <w:rFonts w:ascii="Times New Roman" w:hAnsi="Times New Roman"/>
          <w:sz w:val="24"/>
          <w:szCs w:val="24"/>
        </w:rPr>
        <w:t xml:space="preserve"> and</w:t>
      </w:r>
      <w:r w:rsidR="0073542D">
        <w:rPr>
          <w:rFonts w:ascii="Times New Roman" w:hAnsi="Times New Roman"/>
          <w:sz w:val="24"/>
          <w:szCs w:val="24"/>
        </w:rPr>
        <w:t xml:space="preserve"> may include conclusory statements such as </w:t>
      </w:r>
      <w:r w:rsidR="00EA6C19">
        <w:rPr>
          <w:rFonts w:ascii="Times New Roman" w:hAnsi="Times New Roman"/>
          <w:sz w:val="24"/>
          <w:szCs w:val="24"/>
        </w:rPr>
        <w:t xml:space="preserve">“I am disabled” or </w:t>
      </w:r>
      <w:r w:rsidR="007A55BC">
        <w:rPr>
          <w:rFonts w:ascii="Times New Roman" w:hAnsi="Times New Roman"/>
          <w:sz w:val="24"/>
          <w:szCs w:val="24"/>
        </w:rPr>
        <w:t xml:space="preserve">multipage statements or briefs.  </w:t>
      </w:r>
    </w:p>
    <w:p w:rsidR="00D01ACC" w:rsidP="008A7924" w14:paraId="3FA7779E" w14:textId="16A4B55A">
      <w:pPr>
        <w:pStyle w:val="ListParagraph"/>
        <w:spacing w:after="0" w:line="240" w:lineRule="auto"/>
        <w:ind w:left="1440"/>
        <w:rPr>
          <w:rFonts w:ascii="Times New Roman" w:hAnsi="Times New Roman"/>
          <w:sz w:val="24"/>
          <w:szCs w:val="24"/>
        </w:rPr>
      </w:pPr>
    </w:p>
    <w:p w:rsidR="00D01ACC" w:rsidP="008A7924" w14:paraId="47CE0613" w14:textId="301716EE">
      <w:pPr>
        <w:pStyle w:val="ListParagraph"/>
        <w:spacing w:after="0" w:line="240" w:lineRule="auto"/>
        <w:ind w:left="1440"/>
        <w:rPr>
          <w:rFonts w:ascii="Times New Roman" w:hAnsi="Times New Roman"/>
          <w:sz w:val="24"/>
          <w:szCs w:val="24"/>
        </w:rPr>
      </w:pPr>
      <w:r>
        <w:rPr>
          <w:rFonts w:ascii="Times New Roman" w:hAnsi="Times New Roman"/>
          <w:sz w:val="24"/>
          <w:szCs w:val="24"/>
        </w:rPr>
        <w:t xml:space="preserve">Additionally, </w:t>
      </w:r>
      <w:r w:rsidR="00B91E4E">
        <w:rPr>
          <w:rFonts w:ascii="Times New Roman" w:hAnsi="Times New Roman"/>
          <w:sz w:val="24"/>
          <w:szCs w:val="24"/>
        </w:rPr>
        <w:t>the</w:t>
      </w:r>
      <w:r w:rsidR="008A375D">
        <w:rPr>
          <w:rFonts w:ascii="Times New Roman" w:hAnsi="Times New Roman"/>
          <w:sz w:val="24"/>
          <w:szCs w:val="24"/>
        </w:rPr>
        <w:t xml:space="preserve"> Form HA-520</w:t>
      </w:r>
      <w:r w:rsidR="00B91E4E">
        <w:rPr>
          <w:rFonts w:ascii="Times New Roman" w:hAnsi="Times New Roman"/>
          <w:sz w:val="24"/>
          <w:szCs w:val="24"/>
        </w:rPr>
        <w:t xml:space="preserve"> requires the respondent to identify or submit with the form any additional evidence not previously submitted </w:t>
      </w:r>
      <w:r w:rsidR="00F42F42">
        <w:rPr>
          <w:rFonts w:ascii="Times New Roman" w:hAnsi="Times New Roman"/>
          <w:sz w:val="24"/>
          <w:szCs w:val="24"/>
        </w:rPr>
        <w:t>that relat</w:t>
      </w:r>
      <w:r w:rsidR="000535D5">
        <w:rPr>
          <w:rFonts w:ascii="Times New Roman" w:hAnsi="Times New Roman"/>
          <w:sz w:val="24"/>
          <w:szCs w:val="24"/>
        </w:rPr>
        <w:t>e</w:t>
      </w:r>
      <w:r w:rsidR="00F42F42">
        <w:rPr>
          <w:rFonts w:ascii="Times New Roman" w:hAnsi="Times New Roman"/>
          <w:sz w:val="24"/>
          <w:szCs w:val="24"/>
        </w:rPr>
        <w:t xml:space="preserve">s to the period on </w:t>
      </w:r>
      <w:r w:rsidR="00B91E4E">
        <w:rPr>
          <w:rFonts w:ascii="Times New Roman" w:hAnsi="Times New Roman"/>
          <w:sz w:val="24"/>
          <w:szCs w:val="24"/>
        </w:rPr>
        <w:t xml:space="preserve">or before the </w:t>
      </w:r>
      <w:r w:rsidR="00F42F42">
        <w:rPr>
          <w:rFonts w:ascii="Times New Roman" w:hAnsi="Times New Roman"/>
          <w:sz w:val="24"/>
          <w:szCs w:val="24"/>
        </w:rPr>
        <w:t xml:space="preserve">date of the </w:t>
      </w:r>
      <w:r w:rsidR="00B91E4E">
        <w:rPr>
          <w:rFonts w:ascii="Times New Roman" w:hAnsi="Times New Roman"/>
          <w:sz w:val="24"/>
          <w:szCs w:val="24"/>
        </w:rPr>
        <w:t>hearing</w:t>
      </w:r>
      <w:r w:rsidR="00194F9D">
        <w:rPr>
          <w:rFonts w:ascii="Times New Roman" w:hAnsi="Times New Roman"/>
          <w:sz w:val="24"/>
          <w:szCs w:val="24"/>
        </w:rPr>
        <w:t xml:space="preserve"> decision</w:t>
      </w:r>
      <w:r w:rsidR="00B91E4E">
        <w:rPr>
          <w:rFonts w:ascii="Times New Roman" w:hAnsi="Times New Roman"/>
          <w:sz w:val="24"/>
          <w:szCs w:val="24"/>
        </w:rPr>
        <w:t>.</w:t>
      </w:r>
      <w:r w:rsidR="00277F59">
        <w:rPr>
          <w:rFonts w:ascii="Times New Roman" w:hAnsi="Times New Roman"/>
          <w:sz w:val="24"/>
          <w:szCs w:val="24"/>
        </w:rPr>
        <w:t xml:space="preserve"> </w:t>
      </w:r>
      <w:r w:rsidR="0067123B">
        <w:rPr>
          <w:rFonts w:ascii="Times New Roman" w:hAnsi="Times New Roman"/>
          <w:sz w:val="24"/>
          <w:szCs w:val="24"/>
        </w:rPr>
        <w:t xml:space="preserve"> </w:t>
      </w:r>
      <w:r w:rsidR="00277F59">
        <w:rPr>
          <w:rFonts w:ascii="Times New Roman" w:hAnsi="Times New Roman"/>
          <w:sz w:val="24"/>
          <w:szCs w:val="24"/>
        </w:rPr>
        <w:t xml:space="preserve">If the respondent has </w:t>
      </w:r>
      <w:r w:rsidR="00D92E68">
        <w:rPr>
          <w:rFonts w:ascii="Times New Roman" w:hAnsi="Times New Roman"/>
          <w:sz w:val="24"/>
          <w:szCs w:val="24"/>
        </w:rPr>
        <w:t xml:space="preserve">additional </w:t>
      </w:r>
      <w:r w:rsidR="00277F59">
        <w:rPr>
          <w:rFonts w:ascii="Times New Roman" w:hAnsi="Times New Roman"/>
          <w:sz w:val="24"/>
          <w:szCs w:val="24"/>
        </w:rPr>
        <w:t>evidence</w:t>
      </w:r>
      <w:r w:rsidR="00D92E68">
        <w:rPr>
          <w:rFonts w:ascii="Times New Roman" w:hAnsi="Times New Roman"/>
          <w:sz w:val="24"/>
          <w:szCs w:val="24"/>
        </w:rPr>
        <w:t xml:space="preserve"> that relate</w:t>
      </w:r>
      <w:r w:rsidR="00AF6675">
        <w:rPr>
          <w:rFonts w:ascii="Times New Roman" w:hAnsi="Times New Roman"/>
          <w:sz w:val="24"/>
          <w:szCs w:val="24"/>
        </w:rPr>
        <w:t>s</w:t>
      </w:r>
      <w:r w:rsidR="00D92E68">
        <w:rPr>
          <w:rFonts w:ascii="Times New Roman" w:hAnsi="Times New Roman"/>
          <w:sz w:val="24"/>
          <w:szCs w:val="24"/>
        </w:rPr>
        <w:t xml:space="preserve"> to the period on or before the date of the hearing de</w:t>
      </w:r>
      <w:r w:rsidR="000535D5">
        <w:rPr>
          <w:rFonts w:ascii="Times New Roman" w:hAnsi="Times New Roman"/>
          <w:sz w:val="24"/>
          <w:szCs w:val="24"/>
        </w:rPr>
        <w:t>cision, they must inform the A</w:t>
      </w:r>
      <w:r w:rsidR="00DC47BB">
        <w:rPr>
          <w:rFonts w:ascii="Times New Roman" w:hAnsi="Times New Roman"/>
          <w:sz w:val="24"/>
          <w:szCs w:val="24"/>
        </w:rPr>
        <w:t>C</w:t>
      </w:r>
      <w:r w:rsidR="000535D5">
        <w:rPr>
          <w:rFonts w:ascii="Times New Roman" w:hAnsi="Times New Roman"/>
          <w:sz w:val="24"/>
          <w:szCs w:val="24"/>
        </w:rPr>
        <w:t xml:space="preserve"> about it or submit it</w:t>
      </w:r>
      <w:r w:rsidR="00277F59">
        <w:rPr>
          <w:rFonts w:ascii="Times New Roman" w:hAnsi="Times New Roman"/>
          <w:sz w:val="24"/>
          <w:szCs w:val="24"/>
        </w:rPr>
        <w:t xml:space="preserve"> alongside the submission of this form. </w:t>
      </w:r>
      <w:r w:rsidR="00B91E4E">
        <w:rPr>
          <w:rFonts w:ascii="Times New Roman" w:hAnsi="Times New Roman"/>
          <w:sz w:val="24"/>
          <w:szCs w:val="24"/>
        </w:rPr>
        <w:t xml:space="preserve"> </w:t>
      </w:r>
      <w:r w:rsidR="009B0797">
        <w:rPr>
          <w:rFonts w:ascii="Times New Roman" w:hAnsi="Times New Roman"/>
          <w:sz w:val="24"/>
          <w:szCs w:val="24"/>
        </w:rPr>
        <w:t xml:space="preserve"> </w:t>
      </w:r>
    </w:p>
    <w:p w:rsidR="00B91E4E" w:rsidP="008A7924" w14:paraId="5EE12CCA" w14:textId="30E3D335">
      <w:pPr>
        <w:pStyle w:val="ListParagraph"/>
        <w:spacing w:after="0" w:line="240" w:lineRule="auto"/>
        <w:ind w:left="1440"/>
        <w:rPr>
          <w:rFonts w:ascii="Times New Roman" w:hAnsi="Times New Roman"/>
          <w:sz w:val="24"/>
          <w:szCs w:val="24"/>
        </w:rPr>
      </w:pPr>
    </w:p>
    <w:p w:rsidR="00D70E1B" w:rsidP="008A7924" w14:paraId="2F2A58B2" w14:textId="6424F2DF">
      <w:pPr>
        <w:pStyle w:val="ListParagraph"/>
        <w:spacing w:after="0" w:line="240" w:lineRule="auto"/>
        <w:ind w:left="144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 xml:space="preserve"> claimant or an appointed representative may </w:t>
      </w:r>
      <w:r>
        <w:rPr>
          <w:rFonts w:ascii="Times New Roman" w:hAnsi="Times New Roman"/>
          <w:sz w:val="24"/>
          <w:szCs w:val="24"/>
        </w:rPr>
        <w:t xml:space="preserve">also </w:t>
      </w:r>
      <w:r>
        <w:rPr>
          <w:rFonts w:ascii="Times New Roman" w:hAnsi="Times New Roman"/>
          <w:sz w:val="24"/>
          <w:szCs w:val="24"/>
        </w:rPr>
        <w:t>request an extension of time (EOT) to submit additional evidence or arguments to the AC</w:t>
      </w:r>
      <w:r w:rsidR="001F215B">
        <w:rPr>
          <w:rFonts w:ascii="Times New Roman" w:hAnsi="Times New Roman"/>
          <w:sz w:val="24"/>
          <w:szCs w:val="24"/>
        </w:rPr>
        <w:t xml:space="preserve">. </w:t>
      </w:r>
      <w:r w:rsidR="00464157">
        <w:rPr>
          <w:rFonts w:ascii="Times New Roman" w:hAnsi="Times New Roman"/>
          <w:sz w:val="24"/>
          <w:szCs w:val="24"/>
        </w:rPr>
        <w:t xml:space="preserve"> </w:t>
      </w:r>
      <w:r w:rsidR="001F215B">
        <w:rPr>
          <w:rFonts w:ascii="Times New Roman" w:hAnsi="Times New Roman"/>
          <w:sz w:val="24"/>
          <w:szCs w:val="24"/>
        </w:rPr>
        <w:t>While the AC will accept an EOT request</w:t>
      </w:r>
      <w:r w:rsidR="006159E8">
        <w:rPr>
          <w:rFonts w:ascii="Times New Roman" w:hAnsi="Times New Roman"/>
          <w:sz w:val="24"/>
          <w:szCs w:val="24"/>
        </w:rPr>
        <w:t xml:space="preserve"> in writing or by telephone, the HA-520 and i520</w:t>
      </w:r>
      <w:r w:rsidR="006C20CF">
        <w:rPr>
          <w:rFonts w:ascii="Times New Roman" w:hAnsi="Times New Roman"/>
          <w:sz w:val="24"/>
          <w:szCs w:val="24"/>
        </w:rPr>
        <w:t xml:space="preserve"> </w:t>
      </w:r>
      <w:r w:rsidR="00411E55">
        <w:rPr>
          <w:rFonts w:ascii="Times New Roman" w:hAnsi="Times New Roman"/>
          <w:sz w:val="24"/>
          <w:szCs w:val="24"/>
        </w:rPr>
        <w:t xml:space="preserve">include </w:t>
      </w:r>
      <w:r w:rsidR="003F046C">
        <w:rPr>
          <w:rFonts w:ascii="Times New Roman" w:hAnsi="Times New Roman"/>
          <w:sz w:val="24"/>
          <w:szCs w:val="24"/>
        </w:rPr>
        <w:t>the option for</w:t>
      </w:r>
      <w:r w:rsidR="006C20CF">
        <w:rPr>
          <w:rFonts w:ascii="Times New Roman" w:hAnsi="Times New Roman"/>
          <w:sz w:val="24"/>
          <w:szCs w:val="24"/>
        </w:rPr>
        <w:t xml:space="preserve"> </w:t>
      </w:r>
      <w:r w:rsidR="00FF68B7">
        <w:rPr>
          <w:rFonts w:ascii="Times New Roman" w:hAnsi="Times New Roman"/>
          <w:sz w:val="24"/>
          <w:szCs w:val="24"/>
        </w:rPr>
        <w:t xml:space="preserve">the </w:t>
      </w:r>
      <w:r w:rsidR="00565CA5">
        <w:rPr>
          <w:rFonts w:ascii="Times New Roman" w:hAnsi="Times New Roman"/>
          <w:sz w:val="24"/>
          <w:szCs w:val="24"/>
        </w:rPr>
        <w:t xml:space="preserve">claimant </w:t>
      </w:r>
      <w:r w:rsidR="00B148E6">
        <w:rPr>
          <w:rFonts w:ascii="Times New Roman" w:hAnsi="Times New Roman"/>
          <w:sz w:val="24"/>
          <w:szCs w:val="24"/>
        </w:rPr>
        <w:t xml:space="preserve">to </w:t>
      </w:r>
      <w:r w:rsidR="006C20CF">
        <w:rPr>
          <w:rFonts w:ascii="Times New Roman" w:hAnsi="Times New Roman"/>
          <w:sz w:val="24"/>
          <w:szCs w:val="24"/>
        </w:rPr>
        <w:t>request</w:t>
      </w:r>
      <w:r w:rsidR="003F046C">
        <w:rPr>
          <w:rFonts w:ascii="Times New Roman" w:hAnsi="Times New Roman"/>
          <w:sz w:val="24"/>
          <w:szCs w:val="24"/>
        </w:rPr>
        <w:t xml:space="preserve"> an EOT</w:t>
      </w:r>
      <w:r w:rsidR="006C20CF">
        <w:rPr>
          <w:rFonts w:ascii="Times New Roman" w:hAnsi="Times New Roman"/>
          <w:sz w:val="24"/>
          <w:szCs w:val="24"/>
        </w:rPr>
        <w:t xml:space="preserve"> on the forms themselves. </w:t>
      </w:r>
      <w:r w:rsidR="00F26457">
        <w:rPr>
          <w:rFonts w:ascii="Times New Roman" w:hAnsi="Times New Roman"/>
          <w:sz w:val="24"/>
          <w:szCs w:val="24"/>
        </w:rPr>
        <w:t xml:space="preserve"> For an initial EOT request, the AC generally provides the claimant or appointed representative 25 days from the date of the notice granting the EOT</w:t>
      </w:r>
      <w:r w:rsidR="004E7494">
        <w:rPr>
          <w:rFonts w:ascii="Times New Roman" w:hAnsi="Times New Roman"/>
          <w:sz w:val="24"/>
          <w:szCs w:val="24"/>
        </w:rPr>
        <w:t>.</w:t>
      </w:r>
    </w:p>
    <w:p w:rsidR="00D70E1B" w:rsidP="008A7924" w14:paraId="5B2FAD94" w14:textId="77777777">
      <w:pPr>
        <w:pStyle w:val="ListParagraph"/>
        <w:spacing w:after="0" w:line="240" w:lineRule="auto"/>
        <w:ind w:left="1440"/>
        <w:rPr>
          <w:rFonts w:ascii="Times New Roman" w:hAnsi="Times New Roman"/>
          <w:sz w:val="24"/>
          <w:szCs w:val="24"/>
        </w:rPr>
      </w:pPr>
    </w:p>
    <w:p w:rsidR="00B91E4E" w:rsidP="008A7924" w14:paraId="72BD9310" w14:textId="7886390A">
      <w:pPr>
        <w:pStyle w:val="ListParagraph"/>
        <w:spacing w:after="0" w:line="240" w:lineRule="auto"/>
        <w:ind w:left="1440"/>
        <w:rPr>
          <w:rFonts w:ascii="Times New Roman" w:hAnsi="Times New Roman"/>
          <w:sz w:val="24"/>
          <w:szCs w:val="24"/>
        </w:rPr>
      </w:pPr>
      <w:r>
        <w:rPr>
          <w:rFonts w:ascii="Times New Roman" w:hAnsi="Times New Roman"/>
          <w:sz w:val="24"/>
          <w:szCs w:val="24"/>
        </w:rPr>
        <w:t>In situations where the respondent submits the HA-520 or i520 without providing additional evidence</w:t>
      </w:r>
      <w:r w:rsidR="00306059">
        <w:rPr>
          <w:rFonts w:ascii="Times New Roman" w:hAnsi="Times New Roman"/>
          <w:sz w:val="24"/>
          <w:szCs w:val="24"/>
        </w:rPr>
        <w:t xml:space="preserve"> or requesting an EOT</w:t>
      </w:r>
      <w:r>
        <w:rPr>
          <w:rFonts w:ascii="Times New Roman" w:hAnsi="Times New Roman"/>
          <w:sz w:val="24"/>
          <w:szCs w:val="24"/>
        </w:rPr>
        <w:t>, the A</w:t>
      </w:r>
      <w:r w:rsidR="003F046C">
        <w:rPr>
          <w:rFonts w:ascii="Times New Roman" w:hAnsi="Times New Roman"/>
          <w:sz w:val="24"/>
          <w:szCs w:val="24"/>
        </w:rPr>
        <w:t>C</w:t>
      </w:r>
      <w:r>
        <w:rPr>
          <w:rFonts w:ascii="Times New Roman" w:hAnsi="Times New Roman"/>
          <w:sz w:val="24"/>
          <w:szCs w:val="24"/>
        </w:rPr>
        <w:t xml:space="preserve"> will review the request based on the existing file.</w:t>
      </w:r>
    </w:p>
    <w:p w:rsidR="000F17E9" w:rsidP="008A7924" w14:paraId="720CFCFF" w14:textId="77777777">
      <w:pPr>
        <w:pStyle w:val="ListParagraph"/>
        <w:spacing w:after="0" w:line="240" w:lineRule="auto"/>
        <w:ind w:left="1440"/>
        <w:rPr>
          <w:rFonts w:ascii="Times New Roman" w:hAnsi="Times New Roman"/>
          <w:sz w:val="24"/>
          <w:szCs w:val="24"/>
        </w:rPr>
      </w:pPr>
    </w:p>
    <w:p w:rsidR="00C82862" w:rsidRPr="000239D0" w:rsidP="008A7924" w14:paraId="51D9E3BD" w14:textId="65ECFB8D">
      <w:pPr>
        <w:pStyle w:val="ListParagraph"/>
        <w:spacing w:after="0" w:line="240" w:lineRule="auto"/>
        <w:ind w:left="1440"/>
        <w:rPr>
          <w:rFonts w:ascii="Times New Roman" w:hAnsi="Times New Roman"/>
          <w:sz w:val="24"/>
          <w:szCs w:val="24"/>
        </w:rPr>
      </w:pPr>
      <w:r>
        <w:rPr>
          <w:rFonts w:ascii="Times New Roman" w:hAnsi="Times New Roman"/>
          <w:sz w:val="24"/>
          <w:szCs w:val="24"/>
        </w:rPr>
        <w:t xml:space="preserve">In sum, </w:t>
      </w:r>
      <w:r w:rsidRPr="000239D0">
        <w:rPr>
          <w:rFonts w:ascii="Times New Roman" w:hAnsi="Times New Roman"/>
          <w:sz w:val="24"/>
          <w:szCs w:val="24"/>
        </w:rPr>
        <w:t xml:space="preserve">SSA uses the information to establish </w:t>
      </w:r>
      <w:r w:rsidR="00C04FB7">
        <w:rPr>
          <w:rFonts w:ascii="Times New Roman" w:hAnsi="Times New Roman"/>
          <w:sz w:val="24"/>
          <w:szCs w:val="24"/>
        </w:rPr>
        <w:t xml:space="preserve">that </w:t>
      </w:r>
      <w:r w:rsidRPr="000239D0">
        <w:rPr>
          <w:rFonts w:ascii="Times New Roman" w:hAnsi="Times New Roman"/>
          <w:sz w:val="24"/>
          <w:szCs w:val="24"/>
        </w:rPr>
        <w:t xml:space="preserve">the claimant filed the request for review within the prescribed time and to ensure the claimant completed the requisite steps permitting the </w:t>
      </w:r>
      <w:r w:rsidR="006C4157">
        <w:rPr>
          <w:rFonts w:ascii="Times New Roman" w:hAnsi="Times New Roman"/>
          <w:sz w:val="24"/>
          <w:szCs w:val="24"/>
        </w:rPr>
        <w:t>AC</w:t>
      </w:r>
      <w:r w:rsidRPr="000239D0">
        <w:rPr>
          <w:rFonts w:ascii="Times New Roman" w:hAnsi="Times New Roman"/>
          <w:sz w:val="24"/>
          <w:szCs w:val="24"/>
        </w:rPr>
        <w:t xml:space="preserve"> review.  The </w:t>
      </w:r>
      <w:r w:rsidR="00565CA5">
        <w:rPr>
          <w:rFonts w:ascii="Times New Roman" w:hAnsi="Times New Roman"/>
          <w:sz w:val="24"/>
          <w:szCs w:val="24"/>
        </w:rPr>
        <w:t>AC</w:t>
      </w:r>
      <w:r w:rsidR="00186773">
        <w:rPr>
          <w:rFonts w:ascii="Times New Roman" w:hAnsi="Times New Roman"/>
          <w:sz w:val="24"/>
          <w:szCs w:val="24"/>
        </w:rPr>
        <w:t xml:space="preserve"> uses the information to: (1)</w:t>
      </w:r>
      <w:r w:rsidR="008A7924">
        <w:rPr>
          <w:rFonts w:ascii="Times New Roman" w:hAnsi="Times New Roman"/>
          <w:sz w:val="24"/>
          <w:szCs w:val="24"/>
        </w:rPr>
        <w:t> </w:t>
      </w:r>
      <w:r w:rsidR="00186773">
        <w:rPr>
          <w:rFonts w:ascii="Times New Roman" w:hAnsi="Times New Roman"/>
          <w:sz w:val="24"/>
          <w:szCs w:val="24"/>
        </w:rPr>
        <w:t>d</w:t>
      </w:r>
      <w:r w:rsidRPr="000239D0">
        <w:rPr>
          <w:rFonts w:ascii="Times New Roman" w:hAnsi="Times New Roman"/>
          <w:sz w:val="24"/>
          <w:szCs w:val="24"/>
        </w:rPr>
        <w:t xml:space="preserve">ocument the claimant’s reason(s) for disagreeing with the </w:t>
      </w:r>
      <w:r w:rsidR="006C4157">
        <w:rPr>
          <w:rFonts w:ascii="Times New Roman" w:hAnsi="Times New Roman"/>
          <w:sz w:val="24"/>
          <w:szCs w:val="24"/>
        </w:rPr>
        <w:t>hearing</w:t>
      </w:r>
      <w:r w:rsidRPr="000239D0" w:rsidR="006C4157">
        <w:rPr>
          <w:rFonts w:ascii="Times New Roman" w:hAnsi="Times New Roman"/>
          <w:sz w:val="24"/>
          <w:szCs w:val="24"/>
        </w:rPr>
        <w:t xml:space="preserve"> </w:t>
      </w:r>
      <w:r w:rsidRPr="000239D0">
        <w:rPr>
          <w:rFonts w:ascii="Times New Roman" w:hAnsi="Times New Roman"/>
          <w:sz w:val="24"/>
          <w:szCs w:val="24"/>
        </w:rPr>
        <w:t>decision or dismissal</w:t>
      </w:r>
      <w:r w:rsidR="006C4157">
        <w:rPr>
          <w:rFonts w:ascii="Times New Roman" w:hAnsi="Times New Roman"/>
          <w:sz w:val="24"/>
          <w:szCs w:val="24"/>
        </w:rPr>
        <w:t xml:space="preserve"> order</w:t>
      </w:r>
      <w:r w:rsidRPr="000239D0">
        <w:rPr>
          <w:rFonts w:ascii="Times New Roman" w:hAnsi="Times New Roman"/>
          <w:sz w:val="24"/>
          <w:szCs w:val="24"/>
        </w:rPr>
        <w:t xml:space="preserve">; (2) determine whether the claimant has additional evidence to submit; and (3) </w:t>
      </w:r>
      <w:r w:rsidR="00671F32">
        <w:rPr>
          <w:rFonts w:ascii="Times New Roman" w:hAnsi="Times New Roman"/>
          <w:sz w:val="24"/>
          <w:szCs w:val="24"/>
        </w:rPr>
        <w:t>confirm</w:t>
      </w:r>
      <w:r w:rsidRPr="000239D0" w:rsidR="00671F32">
        <w:rPr>
          <w:rFonts w:ascii="Times New Roman" w:hAnsi="Times New Roman"/>
          <w:sz w:val="24"/>
          <w:szCs w:val="24"/>
        </w:rPr>
        <w:t xml:space="preserve"> </w:t>
      </w:r>
      <w:r w:rsidRPr="000239D0">
        <w:rPr>
          <w:rFonts w:ascii="Times New Roman" w:hAnsi="Times New Roman"/>
          <w:sz w:val="24"/>
          <w:szCs w:val="24"/>
        </w:rPr>
        <w:t>whether the claimant has a representative or wants to appoint one</w:t>
      </w:r>
      <w:r w:rsidR="00671F32">
        <w:rPr>
          <w:rFonts w:ascii="Times New Roman" w:hAnsi="Times New Roman"/>
          <w:sz w:val="24"/>
          <w:szCs w:val="24"/>
        </w:rPr>
        <w:t xml:space="preserve">, </w:t>
      </w:r>
      <w:r w:rsidR="008A7924">
        <w:rPr>
          <w:rFonts w:ascii="Times New Roman" w:hAnsi="Times New Roman"/>
          <w:sz w:val="24"/>
          <w:szCs w:val="24"/>
        </w:rPr>
        <w:t>regardless of</w:t>
      </w:r>
      <w:r w:rsidR="00671F32">
        <w:rPr>
          <w:rFonts w:ascii="Times New Roman" w:hAnsi="Times New Roman"/>
          <w:sz w:val="24"/>
          <w:szCs w:val="24"/>
        </w:rPr>
        <w:t xml:space="preserve"> if they had a representative during the initial hearing or hearing request</w:t>
      </w:r>
      <w:r w:rsidRPr="000239D0">
        <w:rPr>
          <w:rFonts w:ascii="Times New Roman" w:hAnsi="Times New Roman"/>
          <w:sz w:val="24"/>
          <w:szCs w:val="24"/>
        </w:rPr>
        <w:t xml:space="preserve">.  The respondents are </w:t>
      </w:r>
      <w:r w:rsidR="0043630C">
        <w:rPr>
          <w:rFonts w:ascii="Times New Roman" w:hAnsi="Times New Roman"/>
          <w:sz w:val="24"/>
          <w:szCs w:val="24"/>
        </w:rPr>
        <w:t xml:space="preserve">generally </w:t>
      </w:r>
      <w:r w:rsidRPr="000239D0">
        <w:rPr>
          <w:rFonts w:ascii="Times New Roman" w:hAnsi="Times New Roman"/>
          <w:sz w:val="24"/>
          <w:szCs w:val="24"/>
        </w:rPr>
        <w:t>claimants requesting review of a</w:t>
      </w:r>
      <w:r w:rsidR="00AE6656">
        <w:rPr>
          <w:rFonts w:ascii="Times New Roman" w:hAnsi="Times New Roman"/>
          <w:sz w:val="24"/>
          <w:szCs w:val="24"/>
        </w:rPr>
        <w:t xml:space="preserve"> hearing</w:t>
      </w:r>
      <w:r w:rsidRPr="000239D0">
        <w:rPr>
          <w:rFonts w:ascii="Times New Roman" w:hAnsi="Times New Roman"/>
          <w:sz w:val="24"/>
          <w:szCs w:val="24"/>
        </w:rPr>
        <w:t xml:space="preserve"> decision or </w:t>
      </w:r>
      <w:r w:rsidR="0073062A">
        <w:rPr>
          <w:rFonts w:ascii="Times New Roman" w:hAnsi="Times New Roman"/>
          <w:sz w:val="24"/>
          <w:szCs w:val="24"/>
        </w:rPr>
        <w:t xml:space="preserve">order of </w:t>
      </w:r>
      <w:r w:rsidRPr="000239D0">
        <w:rPr>
          <w:rFonts w:ascii="Times New Roman" w:hAnsi="Times New Roman"/>
          <w:sz w:val="24"/>
          <w:szCs w:val="24"/>
        </w:rPr>
        <w:t>dismissal</w:t>
      </w:r>
      <w:r w:rsidR="000F17E9">
        <w:rPr>
          <w:rFonts w:ascii="Times New Roman" w:hAnsi="Times New Roman"/>
          <w:sz w:val="24"/>
          <w:szCs w:val="24"/>
        </w:rPr>
        <w:t xml:space="preserve">, or their appointed representative </w:t>
      </w:r>
      <w:r w:rsidR="0043630C">
        <w:rPr>
          <w:rFonts w:ascii="Times New Roman" w:hAnsi="Times New Roman"/>
          <w:sz w:val="24"/>
          <w:szCs w:val="24"/>
        </w:rPr>
        <w:t xml:space="preserve">, </w:t>
      </w:r>
      <w:r w:rsidR="003518CB">
        <w:rPr>
          <w:rFonts w:ascii="Times New Roman" w:hAnsi="Times New Roman"/>
          <w:sz w:val="24"/>
          <w:szCs w:val="24"/>
        </w:rPr>
        <w:t xml:space="preserve">guardian, parent </w:t>
      </w:r>
      <w:r w:rsidR="0073062A">
        <w:rPr>
          <w:rFonts w:ascii="Times New Roman" w:hAnsi="Times New Roman"/>
          <w:sz w:val="24"/>
          <w:szCs w:val="24"/>
        </w:rPr>
        <w:t>of a</w:t>
      </w:r>
      <w:r w:rsidR="003518CB">
        <w:rPr>
          <w:rFonts w:ascii="Times New Roman" w:hAnsi="Times New Roman"/>
          <w:sz w:val="24"/>
          <w:szCs w:val="24"/>
        </w:rPr>
        <w:t xml:space="preserve"> minor claimant, </w:t>
      </w:r>
      <w:r w:rsidR="0043630C">
        <w:rPr>
          <w:rFonts w:ascii="Times New Roman" w:hAnsi="Times New Roman"/>
          <w:sz w:val="24"/>
          <w:szCs w:val="24"/>
        </w:rPr>
        <w:t>or representative payee</w:t>
      </w:r>
      <w:r w:rsidRPr="000239D0">
        <w:rPr>
          <w:rFonts w:ascii="Times New Roman" w:hAnsi="Times New Roman"/>
          <w:sz w:val="24"/>
          <w:szCs w:val="24"/>
        </w:rPr>
        <w:t>.</w:t>
      </w:r>
      <w:r w:rsidR="0073062A">
        <w:rPr>
          <w:rFonts w:ascii="Times New Roman" w:hAnsi="Times New Roman"/>
          <w:sz w:val="24"/>
          <w:szCs w:val="24"/>
        </w:rPr>
        <w:t xml:space="preserve">  </w:t>
      </w:r>
      <w:r w:rsidR="00DB544F">
        <w:rPr>
          <w:rFonts w:ascii="Times New Roman" w:hAnsi="Times New Roman"/>
          <w:sz w:val="24"/>
          <w:szCs w:val="24"/>
        </w:rPr>
        <w:t>If the respondent is a representative, the appropriate SSA-1696 must have already been filed or be filed alongside the HA-520.</w:t>
      </w:r>
      <w:r w:rsidR="00885194">
        <w:rPr>
          <w:rFonts w:ascii="Times New Roman" w:hAnsi="Times New Roman"/>
          <w:sz w:val="24"/>
          <w:szCs w:val="24"/>
        </w:rPr>
        <w:t xml:space="preserve"> </w:t>
      </w:r>
      <w:r w:rsidR="001F28E7">
        <w:rPr>
          <w:rFonts w:ascii="Times New Roman" w:hAnsi="Times New Roman"/>
          <w:sz w:val="24"/>
          <w:szCs w:val="24"/>
        </w:rPr>
        <w:t xml:space="preserve"> </w:t>
      </w:r>
      <w:r w:rsidR="00885194">
        <w:rPr>
          <w:rFonts w:ascii="Times New Roman" w:hAnsi="Times New Roman"/>
          <w:sz w:val="24"/>
          <w:szCs w:val="24"/>
        </w:rPr>
        <w:t>Th</w:t>
      </w:r>
      <w:r w:rsidR="00881ACF">
        <w:rPr>
          <w:rFonts w:ascii="Times New Roman" w:hAnsi="Times New Roman"/>
          <w:sz w:val="24"/>
          <w:szCs w:val="24"/>
        </w:rPr>
        <w:t xml:space="preserve">e respondent may also be a third party </w:t>
      </w:r>
      <w:r w:rsidR="003A39A9">
        <w:rPr>
          <w:rFonts w:ascii="Times New Roman" w:hAnsi="Times New Roman"/>
          <w:sz w:val="24"/>
          <w:szCs w:val="24"/>
        </w:rPr>
        <w:t>filing the request for review on behalf of the claimant.</w:t>
      </w:r>
      <w:r w:rsidR="00AA49AC">
        <w:rPr>
          <w:rFonts w:ascii="Times New Roman" w:hAnsi="Times New Roman"/>
          <w:sz w:val="24"/>
          <w:szCs w:val="24"/>
        </w:rPr>
        <w:t xml:space="preserve">  </w:t>
      </w:r>
      <w:r w:rsidR="003A39A9">
        <w:rPr>
          <w:rFonts w:ascii="Times New Roman" w:hAnsi="Times New Roman"/>
          <w:sz w:val="24"/>
          <w:szCs w:val="24"/>
        </w:rPr>
        <w:t>If a third party responds, staff assisting the AC may contact the claimant to notify the claimant of the appeal and det</w:t>
      </w:r>
      <w:r w:rsidR="00180347">
        <w:rPr>
          <w:rFonts w:ascii="Times New Roman" w:hAnsi="Times New Roman"/>
          <w:sz w:val="24"/>
          <w:szCs w:val="24"/>
        </w:rPr>
        <w:t>ermine whether the claimant wants to proceed and/or whether the claimant was attempting to appoint the third party as a representative.</w:t>
      </w:r>
    </w:p>
    <w:p w:rsidR="00121275" w:rsidP="008A7924" w14:paraId="2540A82E" w14:textId="1EBFD0D0">
      <w:pPr>
        <w:rPr>
          <w:sz w:val="24"/>
          <w:szCs w:val="24"/>
        </w:rPr>
      </w:pPr>
    </w:p>
    <w:p w:rsidR="008A7924" w:rsidP="008A7924" w14:paraId="3FBA84EB" w14:textId="7189FE8A">
      <w:pPr>
        <w:rPr>
          <w:sz w:val="24"/>
          <w:szCs w:val="24"/>
        </w:rPr>
      </w:pPr>
    </w:p>
    <w:p w:rsidR="008A7924" w:rsidRPr="00186773" w:rsidP="008A7924" w14:paraId="55F6E5CC" w14:textId="77777777">
      <w:pPr>
        <w:rPr>
          <w:sz w:val="24"/>
          <w:szCs w:val="24"/>
        </w:rPr>
      </w:pPr>
    </w:p>
    <w:p w:rsidR="00C82862" w:rsidRPr="000239D0" w:rsidP="008A7924" w14:paraId="4D363C18" w14:textId="6DAE4907">
      <w:pPr>
        <w:pStyle w:val="ListParagraph"/>
        <w:numPr>
          <w:ilvl w:val="0"/>
          <w:numId w:val="24"/>
        </w:numPr>
        <w:spacing w:after="0" w:line="240" w:lineRule="auto"/>
        <w:ind w:left="1440" w:hanging="720"/>
        <w:rPr>
          <w:rFonts w:ascii="Times New Roman" w:hAnsi="Times New Roman"/>
          <w:sz w:val="24"/>
          <w:szCs w:val="24"/>
        </w:rPr>
      </w:pPr>
      <w:r w:rsidRPr="000239D0">
        <w:rPr>
          <w:rFonts w:ascii="Times New Roman" w:hAnsi="Times New Roman"/>
          <w:b/>
          <w:bCs/>
          <w:sz w:val="24"/>
          <w:szCs w:val="24"/>
        </w:rPr>
        <w:t>Use of Information Technology to Collect the Information</w:t>
      </w:r>
    </w:p>
    <w:p w:rsidR="00C82862" w:rsidRPr="000239D0" w:rsidP="008A7924" w14:paraId="312EE66B" w14:textId="69EA0305">
      <w:pPr>
        <w:pStyle w:val="ListParagraph"/>
        <w:spacing w:after="0" w:line="240" w:lineRule="auto"/>
        <w:ind w:left="1440"/>
        <w:rPr>
          <w:rFonts w:ascii="Times New Roman" w:hAnsi="Times New Roman"/>
          <w:sz w:val="24"/>
          <w:szCs w:val="24"/>
        </w:rPr>
      </w:pPr>
      <w:r w:rsidRPr="00CE65C8">
        <w:rPr>
          <w:rFonts w:ascii="Times New Roman" w:eastAsia="Times New Roman" w:hAnsi="Times New Roman"/>
          <w:noProof/>
          <w:snapToGrid w:val="0"/>
          <w:sz w:val="24"/>
          <w:szCs w:val="24"/>
        </w:rPr>
        <w:t xml:space="preserve">In accordance with the agency’s Government </w:t>
      </w:r>
      <w:r w:rsidR="00186773">
        <w:rPr>
          <w:rFonts w:ascii="Times New Roman" w:eastAsia="Times New Roman" w:hAnsi="Times New Roman"/>
          <w:noProof/>
          <w:snapToGrid w:val="0"/>
          <w:sz w:val="24"/>
          <w:szCs w:val="24"/>
        </w:rPr>
        <w:t>Paperwork Elimination Act</w:t>
      </w:r>
      <w:r w:rsidRPr="00CE65C8">
        <w:rPr>
          <w:rFonts w:ascii="Times New Roman" w:eastAsia="Times New Roman" w:hAnsi="Times New Roman"/>
          <w:noProof/>
          <w:snapToGrid w:val="0"/>
          <w:sz w:val="24"/>
          <w:szCs w:val="24"/>
        </w:rPr>
        <w:t xml:space="preserve"> plan,</w:t>
      </w:r>
      <w:r w:rsidRPr="000239D0">
        <w:rPr>
          <w:rFonts w:ascii="Times New Roman" w:hAnsi="Times New Roman"/>
          <w:sz w:val="24"/>
          <w:szCs w:val="24"/>
        </w:rPr>
        <w:t xml:space="preserve"> we developed </w:t>
      </w:r>
      <w:r w:rsidRPr="000239D0" w:rsidR="003E36DD">
        <w:rPr>
          <w:rFonts w:ascii="Times New Roman" w:hAnsi="Times New Roman"/>
          <w:sz w:val="24"/>
          <w:szCs w:val="24"/>
        </w:rPr>
        <w:t xml:space="preserve">the </w:t>
      </w:r>
      <w:r w:rsidR="00BF56DB">
        <w:rPr>
          <w:rFonts w:ascii="Times New Roman" w:hAnsi="Times New Roman"/>
          <w:sz w:val="24"/>
          <w:szCs w:val="24"/>
        </w:rPr>
        <w:t>i</w:t>
      </w:r>
      <w:r w:rsidRPr="000239D0" w:rsidR="003E36DD">
        <w:rPr>
          <w:rFonts w:ascii="Times New Roman" w:hAnsi="Times New Roman"/>
          <w:sz w:val="24"/>
          <w:szCs w:val="24"/>
        </w:rPr>
        <w:t>nternet</w:t>
      </w:r>
      <w:r w:rsidR="003E36DD">
        <w:rPr>
          <w:rFonts w:ascii="Times New Roman" w:hAnsi="Times New Roman"/>
          <w:sz w:val="24"/>
          <w:szCs w:val="24"/>
        </w:rPr>
        <w:t xml:space="preserve"> version of Form HA-520, the </w:t>
      </w:r>
      <w:r w:rsidRPr="000239D0" w:rsidR="003E36DD">
        <w:rPr>
          <w:rFonts w:ascii="Times New Roman" w:hAnsi="Times New Roman"/>
          <w:sz w:val="24"/>
          <w:szCs w:val="24"/>
        </w:rPr>
        <w:t>i520</w:t>
      </w:r>
      <w:r w:rsidR="003E36DD">
        <w:rPr>
          <w:rFonts w:ascii="Times New Roman" w:hAnsi="Times New Roman"/>
          <w:sz w:val="24"/>
          <w:szCs w:val="24"/>
        </w:rPr>
        <w:t xml:space="preserve">.  The i520 allows </w:t>
      </w:r>
      <w:r w:rsidRPr="000239D0">
        <w:rPr>
          <w:rFonts w:ascii="Times New Roman" w:hAnsi="Times New Roman"/>
          <w:sz w:val="24"/>
          <w:szCs w:val="24"/>
        </w:rPr>
        <w:t>claimants and appointed</w:t>
      </w:r>
      <w:r w:rsidR="003E36DD">
        <w:rPr>
          <w:rFonts w:ascii="Times New Roman" w:hAnsi="Times New Roman"/>
          <w:sz w:val="24"/>
          <w:szCs w:val="24"/>
        </w:rPr>
        <w:t xml:space="preserve"> </w:t>
      </w:r>
      <w:r w:rsidR="00186773">
        <w:rPr>
          <w:rFonts w:ascii="Times New Roman" w:hAnsi="Times New Roman"/>
          <w:sz w:val="24"/>
          <w:szCs w:val="24"/>
        </w:rPr>
        <w:t>representatives</w:t>
      </w:r>
      <w:r w:rsidRPr="000239D0">
        <w:rPr>
          <w:rFonts w:ascii="Times New Roman" w:hAnsi="Times New Roman"/>
          <w:sz w:val="24"/>
          <w:szCs w:val="24"/>
        </w:rPr>
        <w:t xml:space="preserve"> to submit appea</w:t>
      </w:r>
      <w:r w:rsidR="003E36DD">
        <w:rPr>
          <w:rFonts w:ascii="Times New Roman" w:hAnsi="Times New Roman"/>
          <w:sz w:val="24"/>
          <w:szCs w:val="24"/>
        </w:rPr>
        <w:t>ls and evidence electronically</w:t>
      </w:r>
      <w:r w:rsidRPr="000239D0">
        <w:rPr>
          <w:rFonts w:ascii="Times New Roman" w:hAnsi="Times New Roman"/>
          <w:sz w:val="24"/>
          <w:szCs w:val="24"/>
        </w:rPr>
        <w:t>.  However,</w:t>
      </w:r>
      <w:r w:rsidR="003E36DD">
        <w:rPr>
          <w:rFonts w:ascii="Times New Roman" w:hAnsi="Times New Roman"/>
          <w:sz w:val="24"/>
          <w:szCs w:val="24"/>
        </w:rPr>
        <w:t xml:space="preserve"> at this time,</w:t>
      </w:r>
      <w:r w:rsidRPr="000239D0">
        <w:rPr>
          <w:rFonts w:ascii="Times New Roman" w:hAnsi="Times New Roman"/>
          <w:sz w:val="24"/>
          <w:szCs w:val="24"/>
        </w:rPr>
        <w:t xml:space="preserve"> this method is not available for appeals to the Office of Appellate Operations (OAO).  </w:t>
      </w:r>
      <w:r w:rsidRPr="00381118" w:rsidR="00381118">
        <w:rPr>
          <w:rFonts w:ascii="Times New Roman" w:eastAsia="Times New Roman" w:hAnsi="Times New Roman"/>
          <w:snapToGrid w:val="0"/>
          <w:sz w:val="24"/>
          <w:szCs w:val="24"/>
        </w:rPr>
        <w:t xml:space="preserve">Based on our data, we estimate approximately </w:t>
      </w:r>
      <w:r w:rsidR="00381118">
        <w:rPr>
          <w:rFonts w:ascii="Times New Roman" w:eastAsia="Times New Roman" w:hAnsi="Times New Roman"/>
          <w:snapToGrid w:val="0"/>
          <w:sz w:val="24"/>
          <w:szCs w:val="24"/>
        </w:rPr>
        <w:t>75</w:t>
      </w:r>
      <w:r w:rsidRPr="00381118" w:rsidR="00381118">
        <w:rPr>
          <w:rFonts w:ascii="Times New Roman" w:eastAsia="Times New Roman" w:hAnsi="Times New Roman"/>
          <w:snapToGrid w:val="0"/>
          <w:sz w:val="24"/>
          <w:szCs w:val="24"/>
        </w:rPr>
        <w:t>% of respondents under this OMB number use the electronic version.</w:t>
      </w:r>
    </w:p>
    <w:p w:rsidR="00C82862" w:rsidRPr="000239D0" w:rsidP="008A7924" w14:paraId="6DF8CDDB" w14:textId="77777777">
      <w:pPr>
        <w:pStyle w:val="ListParagraph"/>
        <w:spacing w:after="0" w:line="240" w:lineRule="auto"/>
        <w:ind w:left="1440"/>
        <w:rPr>
          <w:rFonts w:ascii="Times New Roman" w:hAnsi="Times New Roman"/>
          <w:sz w:val="24"/>
          <w:szCs w:val="24"/>
        </w:rPr>
      </w:pPr>
    </w:p>
    <w:p w:rsidR="00C82862" w:rsidRPr="000239D0" w:rsidP="008A7924" w14:paraId="52348DEC" w14:textId="05CEDEB1">
      <w:pPr>
        <w:pStyle w:val="ListParagraph"/>
        <w:numPr>
          <w:ilvl w:val="0"/>
          <w:numId w:val="24"/>
        </w:numPr>
        <w:spacing w:after="0" w:line="240" w:lineRule="auto"/>
        <w:ind w:left="1440" w:hanging="720"/>
        <w:rPr>
          <w:rFonts w:ascii="Times New Roman" w:hAnsi="Times New Roman"/>
          <w:sz w:val="24"/>
          <w:szCs w:val="24"/>
        </w:rPr>
      </w:pPr>
      <w:r w:rsidRPr="000239D0">
        <w:rPr>
          <w:rFonts w:ascii="Times New Roman" w:hAnsi="Times New Roman"/>
          <w:b/>
          <w:sz w:val="24"/>
          <w:szCs w:val="24"/>
        </w:rPr>
        <w:t>Why We Cannot Use Duplicate Information</w:t>
      </w:r>
    </w:p>
    <w:p w:rsidR="00C82862" w:rsidRPr="000239D0" w:rsidP="008A7924" w14:paraId="463D4286" w14:textId="4A660A68">
      <w:pPr>
        <w:pStyle w:val="ListParagraph"/>
        <w:spacing w:after="0" w:line="240" w:lineRule="auto"/>
        <w:ind w:left="1440"/>
        <w:rPr>
          <w:rFonts w:ascii="Times New Roman" w:hAnsi="Times New Roman"/>
          <w:sz w:val="24"/>
          <w:szCs w:val="24"/>
        </w:rPr>
      </w:pPr>
      <w:r w:rsidRPr="00713C03">
        <w:rPr>
          <w:rFonts w:ascii="Times New Roman" w:eastAsia="Times New Roman" w:hAnsi="Times New Roman"/>
          <w:noProof/>
          <w:snapToGrid w:val="0"/>
          <w:sz w:val="24"/>
          <w:szCs w:val="24"/>
        </w:rPr>
        <w:t>The nature of the information we collect and the manner in which we collect it preclude</w:t>
      </w:r>
      <w:r>
        <w:rPr>
          <w:rFonts w:ascii="Times New Roman" w:eastAsia="Times New Roman" w:hAnsi="Times New Roman"/>
          <w:noProof/>
          <w:snapToGrid w:val="0"/>
          <w:sz w:val="24"/>
          <w:szCs w:val="24"/>
        </w:rPr>
        <w:t>s</w:t>
      </w:r>
      <w:r w:rsidRPr="00713C03">
        <w:rPr>
          <w:rFonts w:ascii="Times New Roman" w:eastAsia="Times New Roman" w:hAnsi="Times New Roman"/>
          <w:noProof/>
          <w:snapToGrid w:val="0"/>
          <w:sz w:val="24"/>
          <w:szCs w:val="24"/>
        </w:rPr>
        <w:t xml:space="preserve"> duplication.  SSA does not use another collection instrument to obtain similar data</w:t>
      </w:r>
      <w:r w:rsidRPr="000239D0">
        <w:rPr>
          <w:rFonts w:ascii="Times New Roman" w:hAnsi="Times New Roman"/>
          <w:sz w:val="24"/>
          <w:szCs w:val="24"/>
        </w:rPr>
        <w:t>.</w:t>
      </w:r>
    </w:p>
    <w:p w:rsidR="00C82862" w:rsidRPr="000239D0" w:rsidP="008A7924" w14:paraId="1E344DC7" w14:textId="77777777">
      <w:pPr>
        <w:pStyle w:val="ListParagraph"/>
        <w:spacing w:after="0" w:line="240" w:lineRule="auto"/>
        <w:ind w:left="1440"/>
        <w:rPr>
          <w:rFonts w:ascii="Times New Roman" w:hAnsi="Times New Roman"/>
          <w:sz w:val="24"/>
          <w:szCs w:val="24"/>
        </w:rPr>
      </w:pPr>
    </w:p>
    <w:p w:rsidR="00C82862" w:rsidRPr="000239D0" w:rsidP="008A7924" w14:paraId="6C41E5C5" w14:textId="5AFF948B">
      <w:pPr>
        <w:pStyle w:val="ListParagraph"/>
        <w:numPr>
          <w:ilvl w:val="0"/>
          <w:numId w:val="24"/>
        </w:numPr>
        <w:spacing w:after="0" w:line="240" w:lineRule="auto"/>
        <w:ind w:left="1440" w:hanging="720"/>
        <w:rPr>
          <w:rFonts w:ascii="Times New Roman" w:hAnsi="Times New Roman"/>
          <w:sz w:val="24"/>
          <w:szCs w:val="24"/>
        </w:rPr>
      </w:pPr>
      <w:r w:rsidRPr="000239D0">
        <w:rPr>
          <w:rFonts w:ascii="Times New Roman" w:hAnsi="Times New Roman"/>
          <w:b/>
          <w:sz w:val="24"/>
          <w:szCs w:val="24"/>
        </w:rPr>
        <w:t>Minimizing Burden on Small Respondents</w:t>
      </w:r>
    </w:p>
    <w:p w:rsidR="00C82862" w:rsidRPr="000239D0" w:rsidP="008A7924" w14:paraId="4CE6BEE4" w14:textId="3E7A4316">
      <w:pPr>
        <w:pStyle w:val="ListParagraph"/>
        <w:spacing w:after="0" w:line="240" w:lineRule="auto"/>
        <w:ind w:left="1440"/>
        <w:rPr>
          <w:rFonts w:ascii="Times New Roman" w:hAnsi="Times New Roman"/>
          <w:sz w:val="24"/>
          <w:szCs w:val="24"/>
        </w:rPr>
      </w:pPr>
      <w:r w:rsidRPr="000239D0">
        <w:rPr>
          <w:rFonts w:ascii="Times New Roman" w:hAnsi="Times New Roman"/>
          <w:sz w:val="24"/>
          <w:szCs w:val="24"/>
        </w:rPr>
        <w:t>This collection does not affect small businesses or other small entities.</w:t>
      </w:r>
    </w:p>
    <w:p w:rsidR="00C82862" w:rsidRPr="000239D0" w:rsidP="008A7924" w14:paraId="5E2EA4EF" w14:textId="77777777">
      <w:pPr>
        <w:pStyle w:val="ListParagraph"/>
        <w:spacing w:after="0" w:line="240" w:lineRule="auto"/>
        <w:ind w:left="1440"/>
        <w:rPr>
          <w:rFonts w:ascii="Times New Roman" w:hAnsi="Times New Roman"/>
          <w:sz w:val="24"/>
          <w:szCs w:val="24"/>
        </w:rPr>
      </w:pPr>
    </w:p>
    <w:p w:rsidR="00C82862" w:rsidRPr="000239D0" w:rsidP="008A7924" w14:paraId="19F28273" w14:textId="72A98041">
      <w:pPr>
        <w:pStyle w:val="ListParagraph"/>
        <w:numPr>
          <w:ilvl w:val="0"/>
          <w:numId w:val="24"/>
        </w:numPr>
        <w:spacing w:after="0" w:line="240" w:lineRule="auto"/>
        <w:ind w:left="1440" w:hanging="720"/>
        <w:rPr>
          <w:rFonts w:ascii="Times New Roman" w:hAnsi="Times New Roman"/>
          <w:sz w:val="24"/>
          <w:szCs w:val="24"/>
        </w:rPr>
      </w:pPr>
      <w:r w:rsidRPr="000239D0">
        <w:rPr>
          <w:rFonts w:ascii="Times New Roman" w:hAnsi="Times New Roman"/>
          <w:b/>
          <w:sz w:val="24"/>
          <w:szCs w:val="24"/>
        </w:rPr>
        <w:t>Consequence of Not Collecting Information or Collecting it Less Frequently</w:t>
      </w:r>
    </w:p>
    <w:p w:rsidR="00C82862" w:rsidRPr="000239D0" w:rsidP="008A7924" w14:paraId="6B7A558A" w14:textId="7BE737F1">
      <w:pPr>
        <w:pStyle w:val="ListParagraph"/>
        <w:spacing w:after="0" w:line="240" w:lineRule="auto"/>
        <w:ind w:left="1440"/>
        <w:rPr>
          <w:rFonts w:ascii="Times New Roman" w:hAnsi="Times New Roman"/>
          <w:bCs/>
          <w:sz w:val="24"/>
          <w:szCs w:val="24"/>
        </w:rPr>
      </w:pPr>
      <w:r w:rsidRPr="000239D0">
        <w:rPr>
          <w:rFonts w:ascii="Times New Roman" w:hAnsi="Times New Roman"/>
          <w:bCs/>
          <w:sz w:val="24"/>
          <w:szCs w:val="24"/>
        </w:rPr>
        <w:t xml:space="preserve">If we did not collect this information, claimants would have no way to appeal a denied </w:t>
      </w:r>
      <w:r w:rsidR="007440E3">
        <w:rPr>
          <w:rFonts w:ascii="Times New Roman" w:hAnsi="Times New Roman"/>
          <w:bCs/>
          <w:sz w:val="24"/>
          <w:szCs w:val="24"/>
        </w:rPr>
        <w:t xml:space="preserve">or dismissed </w:t>
      </w:r>
      <w:r w:rsidRPr="000239D0">
        <w:rPr>
          <w:rFonts w:ascii="Times New Roman" w:hAnsi="Times New Roman"/>
          <w:bCs/>
          <w:sz w:val="24"/>
          <w:szCs w:val="24"/>
        </w:rPr>
        <w:t>claim to the next level of adjudication.  Because we only collect this information on an as needed basis, we cannot collect it less frequently.  There are no technical or legal obstacles to burden reduction.</w:t>
      </w:r>
    </w:p>
    <w:p w:rsidR="00C82862" w:rsidRPr="000239D0" w:rsidP="008A7924" w14:paraId="6162F912" w14:textId="77777777">
      <w:pPr>
        <w:pStyle w:val="ListParagraph"/>
        <w:spacing w:after="0" w:line="240" w:lineRule="auto"/>
        <w:ind w:left="1440"/>
        <w:rPr>
          <w:rFonts w:ascii="Times New Roman" w:hAnsi="Times New Roman"/>
          <w:sz w:val="24"/>
          <w:szCs w:val="24"/>
        </w:rPr>
      </w:pPr>
    </w:p>
    <w:p w:rsidR="00C82862" w:rsidRPr="000239D0" w:rsidP="008A7924" w14:paraId="633AC784" w14:textId="2A2A4550">
      <w:pPr>
        <w:pStyle w:val="ListParagraph"/>
        <w:numPr>
          <w:ilvl w:val="0"/>
          <w:numId w:val="24"/>
        </w:numPr>
        <w:spacing w:after="0" w:line="240" w:lineRule="auto"/>
        <w:ind w:left="1440" w:hanging="720"/>
        <w:rPr>
          <w:rFonts w:ascii="Times New Roman" w:hAnsi="Times New Roman"/>
          <w:sz w:val="24"/>
          <w:szCs w:val="24"/>
        </w:rPr>
      </w:pPr>
      <w:r w:rsidRPr="000239D0">
        <w:rPr>
          <w:rFonts w:ascii="Times New Roman" w:hAnsi="Times New Roman"/>
          <w:b/>
          <w:sz w:val="24"/>
          <w:szCs w:val="24"/>
        </w:rPr>
        <w:t>Special Circumstances</w:t>
      </w:r>
    </w:p>
    <w:p w:rsidR="00C82862" w:rsidRPr="000239D0" w:rsidP="008A7924" w14:paraId="149F8CEF" w14:textId="28730E57">
      <w:pPr>
        <w:pStyle w:val="ListParagraph"/>
        <w:spacing w:after="0" w:line="240" w:lineRule="auto"/>
        <w:ind w:left="1440"/>
        <w:rPr>
          <w:rFonts w:ascii="Times New Roman" w:hAnsi="Times New Roman"/>
          <w:bCs/>
          <w:sz w:val="24"/>
          <w:szCs w:val="24"/>
        </w:rPr>
      </w:pPr>
      <w:r w:rsidRPr="000239D0">
        <w:rPr>
          <w:rFonts w:ascii="Times New Roman" w:hAnsi="Times New Roman"/>
          <w:sz w:val="24"/>
          <w:szCs w:val="24"/>
        </w:rPr>
        <w:t xml:space="preserve">There are no special circumstances that would cause SSA to conduct this information collection in a manner inconsistent with </w:t>
      </w:r>
      <w:r w:rsidRPr="000239D0">
        <w:rPr>
          <w:rFonts w:ascii="Times New Roman" w:hAnsi="Times New Roman"/>
          <w:i/>
          <w:sz w:val="24"/>
          <w:szCs w:val="24"/>
        </w:rPr>
        <w:t>5 CFR 1320.5</w:t>
      </w:r>
      <w:r w:rsidRPr="000239D0">
        <w:rPr>
          <w:rFonts w:ascii="Times New Roman" w:hAnsi="Times New Roman"/>
          <w:bCs/>
          <w:sz w:val="24"/>
          <w:szCs w:val="24"/>
        </w:rPr>
        <w:t>.</w:t>
      </w:r>
    </w:p>
    <w:p w:rsidR="00C82862" w:rsidRPr="000239D0" w:rsidP="008A7924" w14:paraId="60F9F8D8" w14:textId="77777777">
      <w:pPr>
        <w:pStyle w:val="ListParagraph"/>
        <w:spacing w:after="0" w:line="240" w:lineRule="auto"/>
        <w:ind w:left="1440"/>
        <w:rPr>
          <w:rFonts w:ascii="Times New Roman" w:hAnsi="Times New Roman"/>
          <w:sz w:val="24"/>
          <w:szCs w:val="24"/>
        </w:rPr>
      </w:pPr>
    </w:p>
    <w:p w:rsidR="00C82862" w:rsidRPr="000239D0" w:rsidP="008A7924" w14:paraId="32B1C7E9" w14:textId="4201F7C3">
      <w:pPr>
        <w:pStyle w:val="ListParagraph"/>
        <w:numPr>
          <w:ilvl w:val="0"/>
          <w:numId w:val="24"/>
        </w:numPr>
        <w:spacing w:after="0" w:line="240" w:lineRule="auto"/>
        <w:ind w:left="1440" w:hanging="720"/>
        <w:rPr>
          <w:rFonts w:ascii="Times New Roman" w:hAnsi="Times New Roman"/>
          <w:sz w:val="24"/>
          <w:szCs w:val="24"/>
        </w:rPr>
      </w:pPr>
      <w:r w:rsidRPr="000239D0">
        <w:rPr>
          <w:rFonts w:ascii="Times New Roman" w:hAnsi="Times New Roman"/>
          <w:b/>
          <w:sz w:val="24"/>
          <w:szCs w:val="24"/>
        </w:rPr>
        <w:t>Solicitation of Public Comment and Other Consultations with the Public</w:t>
      </w:r>
    </w:p>
    <w:p w:rsidR="00C82862" w:rsidRPr="000239D0" w:rsidP="008A7924" w14:paraId="1EDB91F2" w14:textId="2E85E202">
      <w:pPr>
        <w:pStyle w:val="ListParagraph"/>
        <w:spacing w:after="0" w:line="240" w:lineRule="auto"/>
        <w:ind w:left="1440"/>
        <w:rPr>
          <w:rFonts w:ascii="Times New Roman" w:hAnsi="Times New Roman"/>
          <w:b/>
          <w:sz w:val="24"/>
          <w:szCs w:val="24"/>
        </w:rPr>
      </w:pPr>
      <w:r w:rsidRPr="00D53669">
        <w:rPr>
          <w:rFonts w:ascii="Times New Roman" w:eastAsia="Times New Roman" w:hAnsi="Times New Roman"/>
          <w:noProof/>
          <w:snapToGrid w:val="0"/>
          <w:sz w:val="24"/>
          <w:szCs w:val="24"/>
        </w:rPr>
        <w:t xml:space="preserve">The 60-day advance Federal Register Notice published on December 30, 2020 at 85 FR 86638, and we received no public comments.  The 30-day FRN published on </w:t>
      </w:r>
      <w:r w:rsidR="00B91F6D">
        <w:rPr>
          <w:rFonts w:ascii="Times New Roman" w:eastAsia="Times New Roman" w:hAnsi="Times New Roman"/>
          <w:noProof/>
          <w:snapToGrid w:val="0"/>
          <w:sz w:val="24"/>
          <w:szCs w:val="24"/>
        </w:rPr>
        <w:t>March 1</w:t>
      </w:r>
      <w:r w:rsidRPr="00D53669">
        <w:rPr>
          <w:rFonts w:ascii="Times New Roman" w:eastAsia="Times New Roman" w:hAnsi="Times New Roman"/>
          <w:noProof/>
          <w:snapToGrid w:val="0"/>
          <w:sz w:val="24"/>
          <w:szCs w:val="24"/>
        </w:rPr>
        <w:t xml:space="preserve">, 2021 at 86 FR </w:t>
      </w:r>
      <w:r w:rsidR="00B91F6D">
        <w:rPr>
          <w:rFonts w:ascii="Times New Roman" w:eastAsia="Times New Roman" w:hAnsi="Times New Roman"/>
          <w:noProof/>
          <w:snapToGrid w:val="0"/>
          <w:sz w:val="24"/>
          <w:szCs w:val="24"/>
        </w:rPr>
        <w:t>12068</w:t>
      </w:r>
      <w:r w:rsidRPr="00D53669">
        <w:rPr>
          <w:rFonts w:ascii="Times New Roman" w:eastAsia="Times New Roman" w:hAnsi="Times New Roman"/>
          <w:noProof/>
          <w:snapToGrid w:val="0"/>
          <w:sz w:val="24"/>
          <w:szCs w:val="24"/>
        </w:rPr>
        <w:t xml:space="preserve">.  If we receive any comments in response to this </w:t>
      </w:r>
      <w:r w:rsidR="00FE70A2">
        <w:rPr>
          <w:rFonts w:ascii="Times New Roman" w:eastAsia="Times New Roman" w:hAnsi="Times New Roman"/>
          <w:noProof/>
          <w:snapToGrid w:val="0"/>
          <w:sz w:val="24"/>
          <w:szCs w:val="24"/>
        </w:rPr>
        <w:t>n</w:t>
      </w:r>
      <w:r w:rsidRPr="00D53669">
        <w:rPr>
          <w:rFonts w:ascii="Times New Roman" w:eastAsia="Times New Roman" w:hAnsi="Times New Roman"/>
          <w:noProof/>
          <w:snapToGrid w:val="0"/>
          <w:sz w:val="24"/>
          <w:szCs w:val="24"/>
        </w:rPr>
        <w:t>otice, we will forward them to OMB</w:t>
      </w:r>
      <w:r w:rsidRPr="000239D0" w:rsidR="000239D0">
        <w:rPr>
          <w:rFonts w:ascii="Times New Roman" w:hAnsi="Times New Roman"/>
          <w:sz w:val="24"/>
          <w:szCs w:val="24"/>
        </w:rPr>
        <w:t>.</w:t>
      </w:r>
    </w:p>
    <w:p w:rsidR="00C82862" w:rsidRPr="000239D0" w:rsidP="008A7924" w14:paraId="687AC103" w14:textId="77777777">
      <w:pPr>
        <w:pStyle w:val="ListParagraph"/>
        <w:spacing w:after="0" w:line="240" w:lineRule="auto"/>
        <w:ind w:left="1440"/>
        <w:rPr>
          <w:rFonts w:ascii="Times New Roman" w:hAnsi="Times New Roman"/>
          <w:sz w:val="24"/>
          <w:szCs w:val="24"/>
        </w:rPr>
      </w:pPr>
    </w:p>
    <w:p w:rsidR="00C82862" w:rsidRPr="000239D0" w:rsidP="008A7924" w14:paraId="3B436E16" w14:textId="5C3D55D1">
      <w:pPr>
        <w:pStyle w:val="ListParagraph"/>
        <w:numPr>
          <w:ilvl w:val="0"/>
          <w:numId w:val="24"/>
        </w:numPr>
        <w:spacing w:after="0" w:line="240" w:lineRule="auto"/>
        <w:ind w:left="1440" w:hanging="720"/>
        <w:rPr>
          <w:rFonts w:ascii="Times New Roman" w:hAnsi="Times New Roman"/>
          <w:sz w:val="24"/>
          <w:szCs w:val="24"/>
        </w:rPr>
      </w:pPr>
      <w:r w:rsidRPr="000239D0">
        <w:rPr>
          <w:rFonts w:ascii="Times New Roman" w:hAnsi="Times New Roman"/>
          <w:b/>
          <w:sz w:val="24"/>
          <w:szCs w:val="24"/>
        </w:rPr>
        <w:t>Payment or Gifts to Respondents</w:t>
      </w:r>
    </w:p>
    <w:p w:rsidR="00C82862" w:rsidRPr="000239D0" w:rsidP="008A7924" w14:paraId="4A012743" w14:textId="3562AB81">
      <w:pPr>
        <w:pStyle w:val="ListParagraph"/>
        <w:spacing w:after="0" w:line="240" w:lineRule="auto"/>
        <w:ind w:left="1440"/>
        <w:rPr>
          <w:rFonts w:ascii="Times New Roman" w:hAnsi="Times New Roman"/>
          <w:b/>
          <w:sz w:val="24"/>
          <w:szCs w:val="24"/>
        </w:rPr>
      </w:pPr>
      <w:r w:rsidRPr="000239D0">
        <w:rPr>
          <w:rFonts w:ascii="Times New Roman" w:hAnsi="Times New Roman"/>
          <w:sz w:val="24"/>
          <w:szCs w:val="24"/>
        </w:rPr>
        <w:t>SSA does not provide payments or gifts to the respondents.</w:t>
      </w:r>
    </w:p>
    <w:p w:rsidR="00D53669" w:rsidRPr="000239D0" w:rsidP="008A7924" w14:paraId="2BFB06A4" w14:textId="77777777">
      <w:pPr>
        <w:pStyle w:val="ListParagraph"/>
        <w:spacing w:after="0" w:line="240" w:lineRule="auto"/>
        <w:ind w:left="1440"/>
        <w:rPr>
          <w:rFonts w:ascii="Times New Roman" w:hAnsi="Times New Roman"/>
          <w:sz w:val="24"/>
          <w:szCs w:val="24"/>
        </w:rPr>
      </w:pPr>
    </w:p>
    <w:p w:rsidR="00C82862" w:rsidRPr="000239D0" w:rsidP="008A7924" w14:paraId="38122677" w14:textId="21D11993">
      <w:pPr>
        <w:pStyle w:val="ListParagraph"/>
        <w:numPr>
          <w:ilvl w:val="0"/>
          <w:numId w:val="24"/>
        </w:numPr>
        <w:spacing w:after="0" w:line="240" w:lineRule="auto"/>
        <w:ind w:left="1440" w:hanging="720"/>
        <w:rPr>
          <w:rFonts w:ascii="Times New Roman" w:hAnsi="Times New Roman"/>
          <w:sz w:val="24"/>
          <w:szCs w:val="24"/>
        </w:rPr>
      </w:pPr>
      <w:r w:rsidRPr="000239D0">
        <w:rPr>
          <w:rFonts w:ascii="Times New Roman" w:hAnsi="Times New Roman"/>
          <w:b/>
          <w:bCs/>
          <w:sz w:val="24"/>
          <w:szCs w:val="24"/>
        </w:rPr>
        <w:t>Assurances of Confidentiality</w:t>
      </w:r>
    </w:p>
    <w:p w:rsidR="00C82862" w:rsidRPr="000239D0" w:rsidP="008A7924" w14:paraId="18C35F51" w14:textId="5E11749E">
      <w:pPr>
        <w:pStyle w:val="ListParagraph"/>
        <w:spacing w:after="0" w:line="240" w:lineRule="auto"/>
        <w:ind w:left="1440"/>
        <w:rPr>
          <w:rFonts w:ascii="Times New Roman" w:hAnsi="Times New Roman"/>
          <w:sz w:val="24"/>
          <w:szCs w:val="24"/>
        </w:rPr>
      </w:pPr>
      <w:r w:rsidRPr="00D53669">
        <w:rPr>
          <w:rFonts w:ascii="Times New Roman" w:hAnsi="Times New Roman"/>
          <w:sz w:val="24"/>
          <w:szCs w:val="24"/>
        </w:rPr>
        <w:t xml:space="preserve">SSA protects and holds confidential the information it collects in accordance with </w:t>
      </w:r>
      <w:r w:rsidRPr="00D53669">
        <w:rPr>
          <w:rFonts w:ascii="Times New Roman" w:hAnsi="Times New Roman"/>
          <w:i/>
          <w:sz w:val="24"/>
          <w:szCs w:val="24"/>
        </w:rPr>
        <w:t>42 U.S.C. 1306, 20 CFR 401</w:t>
      </w:r>
      <w:r w:rsidRPr="00D53669">
        <w:rPr>
          <w:rFonts w:ascii="Times New Roman" w:hAnsi="Times New Roman"/>
          <w:sz w:val="24"/>
          <w:szCs w:val="24"/>
        </w:rPr>
        <w:t xml:space="preserve"> and </w:t>
      </w:r>
      <w:r w:rsidRPr="00D53669">
        <w:rPr>
          <w:rFonts w:ascii="Times New Roman" w:hAnsi="Times New Roman"/>
          <w:i/>
          <w:sz w:val="24"/>
          <w:szCs w:val="24"/>
        </w:rPr>
        <w:t>402, 5 U.S.C. 552</w:t>
      </w:r>
      <w:r w:rsidRPr="00D53669">
        <w:rPr>
          <w:rFonts w:ascii="Times New Roman" w:hAnsi="Times New Roman"/>
          <w:sz w:val="24"/>
          <w:szCs w:val="24"/>
        </w:rPr>
        <w:t xml:space="preserve"> (Freedom of Information Act), </w:t>
      </w:r>
      <w:r w:rsidRPr="00D53669">
        <w:rPr>
          <w:rFonts w:ascii="Times New Roman" w:hAnsi="Times New Roman"/>
          <w:i/>
          <w:sz w:val="24"/>
          <w:szCs w:val="24"/>
        </w:rPr>
        <w:t>5 U.S.C. 552a</w:t>
      </w:r>
      <w:r w:rsidRPr="00D53669">
        <w:rPr>
          <w:rFonts w:ascii="Times New Roman" w:hAnsi="Times New Roman"/>
          <w:sz w:val="24"/>
          <w:szCs w:val="24"/>
        </w:rPr>
        <w:t xml:space="preserve"> (Privacy Act of 1974), and OMB Circular No. A-130</w:t>
      </w:r>
      <w:r w:rsidRPr="000239D0">
        <w:rPr>
          <w:rFonts w:ascii="Times New Roman" w:eastAsia="SimSun" w:hAnsi="Times New Roman"/>
          <w:bCs/>
          <w:color w:val="0000FF"/>
          <w:sz w:val="24"/>
          <w:szCs w:val="24"/>
        </w:rPr>
        <w:t>.</w:t>
      </w:r>
    </w:p>
    <w:p w:rsidR="00C82862" w:rsidRPr="000239D0" w:rsidP="008A7924" w14:paraId="1A2C74CE" w14:textId="77777777">
      <w:pPr>
        <w:pStyle w:val="ListParagraph"/>
        <w:spacing w:after="0" w:line="240" w:lineRule="auto"/>
        <w:ind w:left="1440"/>
        <w:rPr>
          <w:rFonts w:ascii="Times New Roman" w:hAnsi="Times New Roman"/>
          <w:sz w:val="24"/>
          <w:szCs w:val="24"/>
        </w:rPr>
      </w:pPr>
    </w:p>
    <w:p w:rsidR="00C82862" w:rsidRPr="000239D0" w:rsidP="008A7924" w14:paraId="6DCEDC77" w14:textId="634D69E9">
      <w:pPr>
        <w:pStyle w:val="ListParagraph"/>
        <w:numPr>
          <w:ilvl w:val="0"/>
          <w:numId w:val="24"/>
        </w:numPr>
        <w:spacing w:after="0" w:line="240" w:lineRule="auto"/>
        <w:ind w:left="1440" w:hanging="720"/>
        <w:rPr>
          <w:rFonts w:ascii="Times New Roman" w:hAnsi="Times New Roman"/>
          <w:sz w:val="24"/>
          <w:szCs w:val="24"/>
        </w:rPr>
      </w:pPr>
      <w:r w:rsidRPr="000239D0">
        <w:rPr>
          <w:rFonts w:ascii="Times New Roman" w:hAnsi="Times New Roman"/>
          <w:b/>
          <w:sz w:val="24"/>
          <w:szCs w:val="24"/>
        </w:rPr>
        <w:t>Justification for Sensitive Questions</w:t>
      </w:r>
    </w:p>
    <w:p w:rsidR="00C82862" w:rsidP="008A7924" w14:paraId="3341B0C2" w14:textId="56861201">
      <w:pPr>
        <w:pStyle w:val="ListParagraph"/>
        <w:spacing w:after="0" w:line="240" w:lineRule="auto"/>
        <w:ind w:left="1440"/>
        <w:rPr>
          <w:rFonts w:ascii="Times New Roman" w:hAnsi="Times New Roman"/>
          <w:sz w:val="24"/>
          <w:szCs w:val="24"/>
        </w:rPr>
      </w:pPr>
      <w:r w:rsidRPr="000239D0">
        <w:rPr>
          <w:rFonts w:ascii="Times New Roman" w:hAnsi="Times New Roman"/>
          <w:sz w:val="24"/>
          <w:szCs w:val="24"/>
        </w:rPr>
        <w:t>This information collection does not contain any questions of a sensitive nature</w:t>
      </w:r>
      <w:r w:rsidR="007F7C33">
        <w:rPr>
          <w:rFonts w:ascii="Times New Roman" w:hAnsi="Times New Roman"/>
          <w:sz w:val="24"/>
          <w:szCs w:val="24"/>
        </w:rPr>
        <w:t>.</w:t>
      </w:r>
    </w:p>
    <w:p w:rsidR="007A5B39" w:rsidRPr="00186773" w:rsidP="008A7924" w14:paraId="706D9CEF" w14:textId="77777777">
      <w:pPr>
        <w:pStyle w:val="ListParagraph"/>
        <w:spacing w:after="0" w:line="240" w:lineRule="auto"/>
        <w:ind w:left="1440"/>
        <w:rPr>
          <w:rFonts w:ascii="Times New Roman" w:hAnsi="Times New Roman"/>
          <w:sz w:val="24"/>
          <w:szCs w:val="24"/>
        </w:rPr>
      </w:pPr>
    </w:p>
    <w:p w:rsidR="00C82862" w:rsidRPr="000239D0" w:rsidP="008A7924" w14:paraId="2BE4FD57" w14:textId="3479FBC5">
      <w:pPr>
        <w:pStyle w:val="ListParagraph"/>
        <w:numPr>
          <w:ilvl w:val="0"/>
          <w:numId w:val="24"/>
        </w:numPr>
        <w:spacing w:after="0" w:line="240" w:lineRule="auto"/>
        <w:ind w:left="1440" w:hanging="720"/>
        <w:rPr>
          <w:rFonts w:ascii="Times New Roman" w:hAnsi="Times New Roman"/>
          <w:sz w:val="24"/>
          <w:szCs w:val="24"/>
        </w:rPr>
      </w:pPr>
      <w:r w:rsidRPr="000239D0">
        <w:rPr>
          <w:rFonts w:ascii="Times New Roman" w:hAnsi="Times New Roman"/>
          <w:b/>
          <w:sz w:val="24"/>
          <w:szCs w:val="24"/>
        </w:rPr>
        <w:t>Estimates of Public Reporting Burden</w:t>
      </w:r>
    </w:p>
    <w:p w:rsidR="00252875" w:rsidP="008A7924" w14:paraId="641468C5" w14:textId="6F469A88">
      <w:pPr>
        <w:pStyle w:val="ListParagraph"/>
        <w:spacing w:after="0" w:line="240" w:lineRule="auto"/>
        <w:ind w:left="1440"/>
        <w:rPr>
          <w:rFonts w:ascii="Times New Roman" w:hAnsi="Times New Roman"/>
          <w:bCs/>
          <w:sz w:val="24"/>
          <w:szCs w:val="24"/>
        </w:rPr>
      </w:pPr>
      <w:r w:rsidRPr="00D53669">
        <w:rPr>
          <w:rFonts w:ascii="Times New Roman" w:hAnsi="Times New Roman"/>
          <w:bCs/>
          <w:sz w:val="24"/>
          <w:szCs w:val="24"/>
        </w:rPr>
        <w:t>Please see the burden chart below:</w:t>
      </w:r>
    </w:p>
    <w:tbl>
      <w:tblPr>
        <w:tblW w:w="11491" w:type="dxa"/>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6"/>
        <w:gridCol w:w="1524"/>
        <w:gridCol w:w="1334"/>
        <w:gridCol w:w="1285"/>
        <w:gridCol w:w="1307"/>
        <w:gridCol w:w="1389"/>
        <w:gridCol w:w="1390"/>
        <w:gridCol w:w="1776"/>
      </w:tblGrid>
      <w:tr w14:paraId="05586F80" w14:textId="77777777" w:rsidTr="00FD50BD">
        <w:tblPrEx>
          <w:tblW w:w="11491" w:type="dxa"/>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29" w:type="dxa"/>
            <w:shd w:val="clear" w:color="auto" w:fill="auto"/>
          </w:tcPr>
          <w:p w:rsidR="00D53669" w:rsidRPr="00D53669" w:rsidP="00D53669" w14:paraId="7F33E397" w14:textId="77777777">
            <w:pPr>
              <w:rPr>
                <w:b/>
                <w:sz w:val="24"/>
                <w:szCs w:val="24"/>
                <w:lang w:eastAsia="en-US"/>
              </w:rPr>
            </w:pPr>
            <w:r w:rsidRPr="00D53669">
              <w:rPr>
                <w:b/>
                <w:sz w:val="24"/>
                <w:szCs w:val="24"/>
                <w:lang w:eastAsia="en-US"/>
              </w:rPr>
              <w:t>Modality of Completion</w:t>
            </w:r>
          </w:p>
        </w:tc>
        <w:tc>
          <w:tcPr>
            <w:tcW w:w="1525" w:type="dxa"/>
            <w:shd w:val="clear" w:color="auto" w:fill="auto"/>
          </w:tcPr>
          <w:p w:rsidR="00D53669" w:rsidRPr="00D53669" w:rsidP="00D53669" w14:paraId="04AF23C0" w14:textId="77777777">
            <w:pPr>
              <w:rPr>
                <w:b/>
                <w:sz w:val="24"/>
                <w:szCs w:val="24"/>
                <w:lang w:eastAsia="en-US"/>
              </w:rPr>
            </w:pPr>
            <w:r w:rsidRPr="00D53669">
              <w:rPr>
                <w:b/>
                <w:sz w:val="24"/>
                <w:szCs w:val="24"/>
                <w:lang w:eastAsia="en-US"/>
              </w:rPr>
              <w:t>Number of Respondents</w:t>
            </w:r>
          </w:p>
        </w:tc>
        <w:tc>
          <w:tcPr>
            <w:tcW w:w="1348" w:type="dxa"/>
            <w:shd w:val="clear" w:color="auto" w:fill="auto"/>
          </w:tcPr>
          <w:p w:rsidR="00D53669" w:rsidRPr="00D53669" w:rsidP="00D53669" w14:paraId="4DFB3505" w14:textId="77777777">
            <w:pPr>
              <w:rPr>
                <w:b/>
                <w:sz w:val="24"/>
                <w:szCs w:val="24"/>
                <w:lang w:eastAsia="en-US"/>
              </w:rPr>
            </w:pPr>
            <w:r w:rsidRPr="00D53669">
              <w:rPr>
                <w:b/>
                <w:sz w:val="24"/>
                <w:szCs w:val="24"/>
                <w:lang w:eastAsia="en-US"/>
              </w:rPr>
              <w:t>Frequency of Response</w:t>
            </w:r>
          </w:p>
        </w:tc>
        <w:tc>
          <w:tcPr>
            <w:tcW w:w="1343" w:type="dxa"/>
            <w:shd w:val="clear" w:color="auto" w:fill="auto"/>
          </w:tcPr>
          <w:p w:rsidR="00D53669" w:rsidRPr="00D53669" w:rsidP="00D53669" w14:paraId="392DEA77" w14:textId="77777777">
            <w:pPr>
              <w:rPr>
                <w:b/>
                <w:sz w:val="24"/>
                <w:szCs w:val="24"/>
                <w:lang w:eastAsia="en-US"/>
              </w:rPr>
            </w:pPr>
            <w:r w:rsidRPr="00D53669">
              <w:rPr>
                <w:b/>
                <w:sz w:val="24"/>
                <w:szCs w:val="24"/>
                <w:lang w:eastAsia="en-US"/>
              </w:rPr>
              <w:t>Average Burden Per Response (minutes)</w:t>
            </w:r>
          </w:p>
        </w:tc>
        <w:tc>
          <w:tcPr>
            <w:tcW w:w="1337" w:type="dxa"/>
            <w:shd w:val="clear" w:color="auto" w:fill="auto"/>
          </w:tcPr>
          <w:p w:rsidR="00D53669" w:rsidRPr="00D53669" w:rsidP="00D53669" w14:paraId="3188B56B" w14:textId="77777777">
            <w:pPr>
              <w:rPr>
                <w:b/>
                <w:sz w:val="24"/>
                <w:szCs w:val="24"/>
                <w:lang w:eastAsia="en-US"/>
              </w:rPr>
            </w:pPr>
            <w:r w:rsidRPr="00D53669">
              <w:rPr>
                <w:b/>
                <w:sz w:val="24"/>
                <w:szCs w:val="24"/>
                <w:lang w:eastAsia="en-US"/>
              </w:rPr>
              <w:t>Estimated Total Annual Burden (hours)</w:t>
            </w:r>
          </w:p>
        </w:tc>
        <w:tc>
          <w:tcPr>
            <w:tcW w:w="1389" w:type="dxa"/>
          </w:tcPr>
          <w:p w:rsidR="00D53669" w:rsidRPr="00D53669" w:rsidP="00D53669" w14:paraId="64A489B5" w14:textId="108670DA">
            <w:pPr>
              <w:rPr>
                <w:b/>
                <w:sz w:val="24"/>
                <w:szCs w:val="24"/>
                <w:lang w:eastAsia="en-US"/>
              </w:rPr>
            </w:pPr>
            <w:r w:rsidRPr="00D53669">
              <w:rPr>
                <w:b/>
                <w:sz w:val="24"/>
                <w:szCs w:val="24"/>
                <w:lang w:eastAsia="en-US"/>
              </w:rPr>
              <w:t>Average Theoretical Hourly Cost Amount (dollars)*</w:t>
            </w:r>
            <w:r w:rsidR="003F6658">
              <w:rPr>
                <w:b/>
                <w:sz w:val="24"/>
                <w:szCs w:val="24"/>
                <w:lang w:eastAsia="en-US"/>
              </w:rPr>
              <w:t>*</w:t>
            </w:r>
          </w:p>
        </w:tc>
        <w:tc>
          <w:tcPr>
            <w:tcW w:w="1510" w:type="dxa"/>
          </w:tcPr>
          <w:p w:rsidR="00D53669" w:rsidRPr="00D53669" w:rsidP="00D53669" w14:paraId="1743DBAB" w14:textId="77777777">
            <w:pPr>
              <w:rPr>
                <w:b/>
                <w:sz w:val="24"/>
                <w:szCs w:val="24"/>
                <w:lang w:eastAsia="en-US"/>
              </w:rPr>
            </w:pPr>
            <w:r w:rsidRPr="00D53669">
              <w:rPr>
                <w:b/>
                <w:sz w:val="24"/>
                <w:szCs w:val="24"/>
                <w:lang w:eastAsia="en-US"/>
              </w:rPr>
              <w:t>Average</w:t>
            </w:r>
          </w:p>
          <w:p w:rsidR="00D53669" w:rsidRPr="00D53669" w:rsidP="00D53669" w14:paraId="214EECB7" w14:textId="77777777">
            <w:pPr>
              <w:rPr>
                <w:b/>
                <w:sz w:val="24"/>
                <w:szCs w:val="24"/>
                <w:lang w:eastAsia="en-US"/>
              </w:rPr>
            </w:pPr>
            <w:r w:rsidRPr="00D53669">
              <w:rPr>
                <w:b/>
                <w:sz w:val="24"/>
                <w:szCs w:val="24"/>
                <w:lang w:eastAsia="en-US"/>
              </w:rPr>
              <w:t>wait time in</w:t>
            </w:r>
          </w:p>
          <w:p w:rsidR="00D53669" w:rsidRPr="00D53669" w:rsidP="00D53669" w14:paraId="6BDBE7CB" w14:textId="77777777">
            <w:pPr>
              <w:rPr>
                <w:b/>
                <w:sz w:val="24"/>
                <w:szCs w:val="24"/>
                <w:lang w:eastAsia="en-US"/>
              </w:rPr>
            </w:pPr>
            <w:r w:rsidRPr="00D53669">
              <w:rPr>
                <w:b/>
                <w:sz w:val="24"/>
                <w:szCs w:val="24"/>
                <w:lang w:eastAsia="en-US"/>
              </w:rPr>
              <w:t>field office</w:t>
            </w:r>
          </w:p>
          <w:p w:rsidR="00D53669" w:rsidRPr="00D53669" w:rsidP="00D53669" w14:paraId="6E58433D" w14:textId="10A405FC">
            <w:pPr>
              <w:rPr>
                <w:b/>
                <w:sz w:val="24"/>
                <w:szCs w:val="24"/>
                <w:lang w:eastAsia="en-US"/>
              </w:rPr>
            </w:pPr>
            <w:r w:rsidRPr="00D53669">
              <w:rPr>
                <w:b/>
                <w:sz w:val="24"/>
                <w:szCs w:val="24"/>
                <w:lang w:eastAsia="en-US"/>
              </w:rPr>
              <w:t>(minutes) **</w:t>
            </w:r>
            <w:r w:rsidR="003F6658">
              <w:rPr>
                <w:b/>
                <w:sz w:val="24"/>
                <w:szCs w:val="24"/>
                <w:lang w:eastAsia="en-US"/>
              </w:rPr>
              <w:t>*</w:t>
            </w:r>
          </w:p>
        </w:tc>
        <w:tc>
          <w:tcPr>
            <w:tcW w:w="1510" w:type="dxa"/>
          </w:tcPr>
          <w:p w:rsidR="00D53669" w:rsidRPr="00D53669" w:rsidP="00D53669" w14:paraId="4B187BF6" w14:textId="7F863D28">
            <w:pPr>
              <w:rPr>
                <w:b/>
                <w:sz w:val="24"/>
                <w:szCs w:val="24"/>
                <w:lang w:eastAsia="en-US"/>
              </w:rPr>
            </w:pPr>
            <w:r w:rsidRPr="00D53669">
              <w:rPr>
                <w:b/>
                <w:sz w:val="24"/>
                <w:szCs w:val="24"/>
                <w:lang w:eastAsia="en-US"/>
              </w:rPr>
              <w:t>Total Annual Opportunity Cost (dollars)***</w:t>
            </w:r>
            <w:r w:rsidR="003F6658">
              <w:rPr>
                <w:b/>
                <w:sz w:val="24"/>
                <w:szCs w:val="24"/>
                <w:lang w:eastAsia="en-US"/>
              </w:rPr>
              <w:t>*</w:t>
            </w:r>
          </w:p>
        </w:tc>
      </w:tr>
      <w:tr w14:paraId="7717465A" w14:textId="77777777" w:rsidTr="00FD50BD">
        <w:tblPrEx>
          <w:tblW w:w="11491" w:type="dxa"/>
          <w:tblInd w:w="-1065" w:type="dxa"/>
          <w:tblLook w:val="04A0"/>
        </w:tblPrEx>
        <w:tc>
          <w:tcPr>
            <w:tcW w:w="1529" w:type="dxa"/>
            <w:shd w:val="clear" w:color="auto" w:fill="auto"/>
          </w:tcPr>
          <w:p w:rsidR="00D53669" w:rsidRPr="00D53669" w:rsidP="00D53669" w14:paraId="2CBA40E4" w14:textId="77777777">
            <w:pPr>
              <w:contextualSpacing/>
              <w:rPr>
                <w:sz w:val="24"/>
                <w:szCs w:val="24"/>
                <w:lang w:eastAsia="en-US"/>
              </w:rPr>
            </w:pPr>
            <w:r w:rsidRPr="00D53669">
              <w:rPr>
                <w:sz w:val="24"/>
                <w:szCs w:val="24"/>
                <w:lang w:eastAsia="en-US"/>
              </w:rPr>
              <w:t>HA-520 – Paper</w:t>
            </w:r>
          </w:p>
        </w:tc>
        <w:tc>
          <w:tcPr>
            <w:tcW w:w="1525" w:type="dxa"/>
            <w:tcBorders>
              <w:top w:val="nil"/>
              <w:left w:val="nil"/>
              <w:bottom w:val="single" w:sz="8" w:space="0" w:color="auto"/>
              <w:right w:val="single" w:sz="8" w:space="0" w:color="auto"/>
            </w:tcBorders>
          </w:tcPr>
          <w:p w:rsidR="00D53669" w:rsidRPr="00D53669" w:rsidP="00D53669" w14:paraId="005837EF" w14:textId="585C8F57">
            <w:pPr>
              <w:snapToGrid w:val="0"/>
              <w:jc w:val="right"/>
              <w:rPr>
                <w:sz w:val="24"/>
                <w:szCs w:val="24"/>
                <w:lang w:eastAsia="ar-SA"/>
              </w:rPr>
            </w:pPr>
            <w:r w:rsidRPr="00D53669">
              <w:rPr>
                <w:sz w:val="24"/>
                <w:szCs w:val="24"/>
                <w:lang w:eastAsia="ar-SA"/>
              </w:rPr>
              <w:t>37,900</w:t>
            </w:r>
            <w:r w:rsidR="00EE74F9">
              <w:rPr>
                <w:sz w:val="24"/>
                <w:szCs w:val="24"/>
                <w:lang w:eastAsia="ar-SA"/>
              </w:rPr>
              <w:t>*</w:t>
            </w:r>
          </w:p>
        </w:tc>
        <w:tc>
          <w:tcPr>
            <w:tcW w:w="1348" w:type="dxa"/>
            <w:tcBorders>
              <w:top w:val="nil"/>
              <w:left w:val="nil"/>
              <w:bottom w:val="single" w:sz="8" w:space="0" w:color="auto"/>
              <w:right w:val="single" w:sz="8" w:space="0" w:color="auto"/>
            </w:tcBorders>
          </w:tcPr>
          <w:p w:rsidR="00D53669" w:rsidRPr="00D53669" w:rsidP="00D53669" w14:paraId="53667BC7" w14:textId="77777777">
            <w:pPr>
              <w:snapToGrid w:val="0"/>
              <w:ind w:left="-104" w:firstLine="104"/>
              <w:jc w:val="right"/>
              <w:rPr>
                <w:sz w:val="24"/>
                <w:szCs w:val="24"/>
                <w:lang w:eastAsia="ar-SA"/>
              </w:rPr>
            </w:pPr>
            <w:r w:rsidRPr="00D53669">
              <w:rPr>
                <w:sz w:val="24"/>
                <w:szCs w:val="24"/>
                <w:lang w:eastAsia="ar-SA"/>
              </w:rPr>
              <w:t>1</w:t>
            </w:r>
          </w:p>
        </w:tc>
        <w:tc>
          <w:tcPr>
            <w:tcW w:w="1343" w:type="dxa"/>
            <w:tcBorders>
              <w:top w:val="nil"/>
              <w:left w:val="nil"/>
              <w:bottom w:val="single" w:sz="8" w:space="0" w:color="auto"/>
              <w:right w:val="single" w:sz="8" w:space="0" w:color="auto"/>
            </w:tcBorders>
          </w:tcPr>
          <w:p w:rsidR="00D53669" w:rsidRPr="00D53669" w:rsidP="00D53669" w14:paraId="1DA764BA" w14:textId="7E27F479">
            <w:pPr>
              <w:snapToGrid w:val="0"/>
              <w:jc w:val="right"/>
              <w:rPr>
                <w:sz w:val="24"/>
                <w:szCs w:val="24"/>
                <w:lang w:eastAsia="ar-SA"/>
              </w:rPr>
            </w:pPr>
            <w:r>
              <w:rPr>
                <w:sz w:val="24"/>
                <w:szCs w:val="24"/>
                <w:lang w:eastAsia="ar-SA"/>
              </w:rPr>
              <w:t>30</w:t>
            </w:r>
          </w:p>
        </w:tc>
        <w:tc>
          <w:tcPr>
            <w:tcW w:w="1337" w:type="dxa"/>
            <w:tcBorders>
              <w:top w:val="nil"/>
              <w:left w:val="nil"/>
              <w:bottom w:val="single" w:sz="8" w:space="0" w:color="auto"/>
              <w:right w:val="single" w:sz="8" w:space="0" w:color="auto"/>
            </w:tcBorders>
          </w:tcPr>
          <w:p w:rsidR="00D53669" w:rsidRPr="00D53669" w:rsidP="00D53669" w14:paraId="39CFF6DB" w14:textId="20AE2CF4">
            <w:pPr>
              <w:snapToGrid w:val="0"/>
              <w:jc w:val="right"/>
              <w:rPr>
                <w:sz w:val="24"/>
                <w:szCs w:val="24"/>
                <w:lang w:eastAsia="ar-SA"/>
              </w:rPr>
            </w:pPr>
            <w:r>
              <w:rPr>
                <w:sz w:val="24"/>
                <w:szCs w:val="24"/>
                <w:lang w:eastAsia="ar-SA"/>
              </w:rPr>
              <w:t>18,950</w:t>
            </w:r>
          </w:p>
        </w:tc>
        <w:tc>
          <w:tcPr>
            <w:tcW w:w="1389" w:type="dxa"/>
          </w:tcPr>
          <w:p w:rsidR="00D53669" w:rsidRPr="00D53669" w:rsidP="006D3E48" w14:paraId="7A3E0DBD" w14:textId="24461829">
            <w:pPr>
              <w:contextualSpacing/>
              <w:jc w:val="right"/>
              <w:rPr>
                <w:sz w:val="24"/>
                <w:szCs w:val="24"/>
                <w:lang w:eastAsia="en-US"/>
              </w:rPr>
            </w:pPr>
            <w:r w:rsidRPr="00D53669">
              <w:rPr>
                <w:sz w:val="24"/>
                <w:szCs w:val="24"/>
                <w:lang w:eastAsia="en-US"/>
              </w:rPr>
              <w:t>$</w:t>
            </w:r>
            <w:r w:rsidR="003F6658">
              <w:rPr>
                <w:sz w:val="24"/>
                <w:szCs w:val="24"/>
                <w:lang w:eastAsia="en-US"/>
              </w:rPr>
              <w:t>12.81</w:t>
            </w:r>
            <w:r w:rsidR="00C152C5">
              <w:rPr>
                <w:sz w:val="24"/>
                <w:szCs w:val="24"/>
                <w:lang w:eastAsia="en-US"/>
              </w:rPr>
              <w:t>*</w:t>
            </w:r>
            <w:r w:rsidRPr="00D53669">
              <w:rPr>
                <w:sz w:val="24"/>
                <w:szCs w:val="24"/>
                <w:lang w:eastAsia="en-US"/>
              </w:rPr>
              <w:t>*</w:t>
            </w:r>
          </w:p>
        </w:tc>
        <w:tc>
          <w:tcPr>
            <w:tcW w:w="1510" w:type="dxa"/>
          </w:tcPr>
          <w:p w:rsidR="00D53669" w:rsidRPr="00D53669" w:rsidP="00D53669" w14:paraId="39A2183A" w14:textId="42CF3F1F">
            <w:pPr>
              <w:contextualSpacing/>
              <w:jc w:val="right"/>
              <w:rPr>
                <w:sz w:val="24"/>
                <w:szCs w:val="24"/>
                <w:lang w:eastAsia="en-US"/>
              </w:rPr>
            </w:pPr>
            <w:r w:rsidRPr="00D53669">
              <w:rPr>
                <w:sz w:val="24"/>
                <w:szCs w:val="24"/>
                <w:lang w:eastAsia="en-US"/>
              </w:rPr>
              <w:t>24</w:t>
            </w:r>
            <w:r w:rsidR="00C152C5">
              <w:rPr>
                <w:sz w:val="24"/>
                <w:szCs w:val="24"/>
                <w:lang w:eastAsia="en-US"/>
              </w:rPr>
              <w:t>*</w:t>
            </w:r>
            <w:r w:rsidRPr="00D53669">
              <w:rPr>
                <w:sz w:val="24"/>
                <w:szCs w:val="24"/>
                <w:lang w:eastAsia="en-US"/>
              </w:rPr>
              <w:t>**</w:t>
            </w:r>
          </w:p>
        </w:tc>
        <w:tc>
          <w:tcPr>
            <w:tcW w:w="1510" w:type="dxa"/>
          </w:tcPr>
          <w:p w:rsidR="00D53669" w:rsidRPr="00D53669" w:rsidP="003F6658" w14:paraId="1A88399F" w14:textId="4D56A861">
            <w:pPr>
              <w:contextualSpacing/>
              <w:jc w:val="right"/>
              <w:rPr>
                <w:sz w:val="24"/>
                <w:szCs w:val="24"/>
                <w:lang w:eastAsia="en-US"/>
              </w:rPr>
            </w:pPr>
            <w:r w:rsidRPr="00D53669">
              <w:rPr>
                <w:sz w:val="24"/>
                <w:szCs w:val="24"/>
                <w:lang w:eastAsia="en-US"/>
              </w:rPr>
              <w:t>$</w:t>
            </w:r>
            <w:r w:rsidR="003F6658">
              <w:rPr>
                <w:sz w:val="24"/>
                <w:szCs w:val="24"/>
                <w:lang w:eastAsia="en-US"/>
              </w:rPr>
              <w:t>436,949</w:t>
            </w:r>
            <w:r w:rsidRPr="00D53669">
              <w:rPr>
                <w:sz w:val="24"/>
                <w:szCs w:val="24"/>
                <w:lang w:eastAsia="en-US"/>
              </w:rPr>
              <w:t>*</w:t>
            </w:r>
            <w:r w:rsidR="00C152C5">
              <w:rPr>
                <w:sz w:val="24"/>
                <w:szCs w:val="24"/>
                <w:lang w:eastAsia="en-US"/>
              </w:rPr>
              <w:t>*</w:t>
            </w:r>
            <w:r w:rsidRPr="00D53669">
              <w:rPr>
                <w:sz w:val="24"/>
                <w:szCs w:val="24"/>
                <w:lang w:eastAsia="en-US"/>
              </w:rPr>
              <w:t>**</w:t>
            </w:r>
          </w:p>
        </w:tc>
      </w:tr>
      <w:tr w14:paraId="342B17F9" w14:textId="77777777" w:rsidTr="00FD50BD">
        <w:tblPrEx>
          <w:tblW w:w="11491" w:type="dxa"/>
          <w:tblInd w:w="-1065" w:type="dxa"/>
          <w:tblLook w:val="04A0"/>
        </w:tblPrEx>
        <w:tc>
          <w:tcPr>
            <w:tcW w:w="1529" w:type="dxa"/>
            <w:shd w:val="clear" w:color="auto" w:fill="auto"/>
          </w:tcPr>
          <w:p w:rsidR="00D53669" w:rsidRPr="00D53669" w:rsidP="00D53669" w14:paraId="52F2D05F" w14:textId="77777777">
            <w:pPr>
              <w:contextualSpacing/>
              <w:rPr>
                <w:sz w:val="24"/>
                <w:szCs w:val="24"/>
                <w:lang w:eastAsia="en-US"/>
              </w:rPr>
            </w:pPr>
            <w:r w:rsidRPr="00D53669">
              <w:rPr>
                <w:sz w:val="24"/>
                <w:szCs w:val="24"/>
                <w:lang w:eastAsia="en-US"/>
              </w:rPr>
              <w:t>i520 – Internet</w:t>
            </w:r>
          </w:p>
        </w:tc>
        <w:tc>
          <w:tcPr>
            <w:tcW w:w="1525" w:type="dxa"/>
            <w:tcBorders>
              <w:top w:val="nil"/>
              <w:left w:val="nil"/>
              <w:bottom w:val="single" w:sz="8" w:space="0" w:color="auto"/>
              <w:right w:val="single" w:sz="8" w:space="0" w:color="auto"/>
            </w:tcBorders>
          </w:tcPr>
          <w:p w:rsidR="00D53669" w:rsidRPr="00D53669" w:rsidP="00D53669" w14:paraId="4830B915" w14:textId="77777777">
            <w:pPr>
              <w:snapToGrid w:val="0"/>
              <w:jc w:val="right"/>
              <w:rPr>
                <w:sz w:val="24"/>
                <w:szCs w:val="24"/>
                <w:lang w:eastAsia="ar-SA"/>
              </w:rPr>
            </w:pPr>
            <w:r w:rsidRPr="00D53669">
              <w:rPr>
                <w:sz w:val="24"/>
                <w:szCs w:val="24"/>
                <w:lang w:eastAsia="ar-SA"/>
              </w:rPr>
              <w:t>113,700</w:t>
            </w:r>
          </w:p>
        </w:tc>
        <w:tc>
          <w:tcPr>
            <w:tcW w:w="1348" w:type="dxa"/>
            <w:tcBorders>
              <w:top w:val="nil"/>
              <w:left w:val="nil"/>
              <w:bottom w:val="single" w:sz="8" w:space="0" w:color="auto"/>
              <w:right w:val="single" w:sz="8" w:space="0" w:color="auto"/>
            </w:tcBorders>
          </w:tcPr>
          <w:p w:rsidR="00D53669" w:rsidRPr="00D53669" w:rsidP="00D53669" w14:paraId="10393C0A" w14:textId="77777777">
            <w:pPr>
              <w:snapToGrid w:val="0"/>
              <w:ind w:left="-104" w:firstLine="104"/>
              <w:jc w:val="right"/>
              <w:rPr>
                <w:sz w:val="24"/>
                <w:szCs w:val="24"/>
                <w:lang w:eastAsia="ar-SA"/>
              </w:rPr>
            </w:pPr>
            <w:r w:rsidRPr="00D53669">
              <w:rPr>
                <w:sz w:val="24"/>
                <w:szCs w:val="24"/>
                <w:lang w:eastAsia="ar-SA"/>
              </w:rPr>
              <w:t>1</w:t>
            </w:r>
          </w:p>
        </w:tc>
        <w:tc>
          <w:tcPr>
            <w:tcW w:w="1343" w:type="dxa"/>
            <w:tcBorders>
              <w:top w:val="nil"/>
              <w:left w:val="nil"/>
              <w:bottom w:val="single" w:sz="8" w:space="0" w:color="auto"/>
              <w:right w:val="single" w:sz="8" w:space="0" w:color="auto"/>
            </w:tcBorders>
          </w:tcPr>
          <w:p w:rsidR="00D53669" w:rsidRPr="00D53669" w:rsidP="00D53669" w14:paraId="7EC10433" w14:textId="5F03B3CD">
            <w:pPr>
              <w:snapToGrid w:val="0"/>
              <w:jc w:val="right"/>
              <w:rPr>
                <w:sz w:val="24"/>
                <w:szCs w:val="24"/>
                <w:lang w:eastAsia="ar-SA"/>
              </w:rPr>
            </w:pPr>
            <w:r>
              <w:rPr>
                <w:sz w:val="24"/>
                <w:szCs w:val="24"/>
                <w:lang w:eastAsia="ar-SA"/>
              </w:rPr>
              <w:t>4</w:t>
            </w:r>
            <w:r w:rsidRPr="00D53669">
              <w:rPr>
                <w:sz w:val="24"/>
                <w:szCs w:val="24"/>
                <w:lang w:eastAsia="ar-SA"/>
              </w:rPr>
              <w:t>5</w:t>
            </w:r>
          </w:p>
        </w:tc>
        <w:tc>
          <w:tcPr>
            <w:tcW w:w="1337" w:type="dxa"/>
            <w:tcBorders>
              <w:top w:val="nil"/>
              <w:left w:val="nil"/>
              <w:bottom w:val="single" w:sz="8" w:space="0" w:color="auto"/>
              <w:right w:val="single" w:sz="8" w:space="0" w:color="auto"/>
            </w:tcBorders>
          </w:tcPr>
          <w:p w:rsidR="00D53669" w:rsidRPr="00D53669" w:rsidP="00D53669" w14:paraId="4DCB1E0D" w14:textId="2C15B32A">
            <w:pPr>
              <w:snapToGrid w:val="0"/>
              <w:jc w:val="right"/>
              <w:rPr>
                <w:sz w:val="24"/>
                <w:szCs w:val="24"/>
                <w:lang w:eastAsia="ar-SA"/>
              </w:rPr>
            </w:pPr>
            <w:r>
              <w:rPr>
                <w:sz w:val="24"/>
                <w:szCs w:val="24"/>
                <w:lang w:eastAsia="ar-SA"/>
              </w:rPr>
              <w:t>85,275</w:t>
            </w:r>
          </w:p>
        </w:tc>
        <w:tc>
          <w:tcPr>
            <w:tcW w:w="1389" w:type="dxa"/>
          </w:tcPr>
          <w:p w:rsidR="00D53669" w:rsidRPr="00D53669" w:rsidP="006D3E48" w14:paraId="044CA694" w14:textId="3B85F469">
            <w:pPr>
              <w:contextualSpacing/>
              <w:jc w:val="right"/>
              <w:rPr>
                <w:sz w:val="24"/>
                <w:szCs w:val="24"/>
                <w:lang w:eastAsia="en-US"/>
              </w:rPr>
            </w:pPr>
            <w:r w:rsidRPr="00D53669">
              <w:rPr>
                <w:sz w:val="24"/>
                <w:szCs w:val="24"/>
                <w:lang w:eastAsia="en-US"/>
              </w:rPr>
              <w:t>$</w:t>
            </w:r>
            <w:r w:rsidR="003F6658">
              <w:rPr>
                <w:sz w:val="24"/>
                <w:szCs w:val="24"/>
                <w:lang w:eastAsia="en-US"/>
              </w:rPr>
              <w:t>12.81</w:t>
            </w:r>
            <w:r w:rsidR="00C152C5">
              <w:rPr>
                <w:sz w:val="24"/>
                <w:szCs w:val="24"/>
                <w:lang w:eastAsia="en-US"/>
              </w:rPr>
              <w:t>*</w:t>
            </w:r>
            <w:r w:rsidRPr="00D53669">
              <w:rPr>
                <w:sz w:val="24"/>
                <w:szCs w:val="24"/>
                <w:lang w:eastAsia="en-US"/>
              </w:rPr>
              <w:t>*</w:t>
            </w:r>
          </w:p>
        </w:tc>
        <w:tc>
          <w:tcPr>
            <w:tcW w:w="1510" w:type="dxa"/>
          </w:tcPr>
          <w:p w:rsidR="00D53669" w:rsidRPr="00D53669" w:rsidP="00D53669" w14:paraId="0B9F24AE" w14:textId="77777777">
            <w:pPr>
              <w:contextualSpacing/>
              <w:jc w:val="right"/>
              <w:rPr>
                <w:sz w:val="24"/>
                <w:szCs w:val="24"/>
                <w:lang w:eastAsia="en-US"/>
              </w:rPr>
            </w:pPr>
          </w:p>
        </w:tc>
        <w:tc>
          <w:tcPr>
            <w:tcW w:w="1510" w:type="dxa"/>
          </w:tcPr>
          <w:p w:rsidR="00D53669" w:rsidRPr="00D53669" w:rsidP="00831039" w14:paraId="734EE16D" w14:textId="2DA273C9">
            <w:pPr>
              <w:contextualSpacing/>
              <w:jc w:val="right"/>
              <w:rPr>
                <w:sz w:val="24"/>
                <w:szCs w:val="24"/>
                <w:lang w:eastAsia="en-US"/>
              </w:rPr>
            </w:pPr>
            <w:r w:rsidRPr="00D53669">
              <w:rPr>
                <w:sz w:val="24"/>
                <w:szCs w:val="24"/>
                <w:lang w:eastAsia="en-US"/>
              </w:rPr>
              <w:t>$</w:t>
            </w:r>
            <w:r w:rsidR="003F6658">
              <w:rPr>
                <w:sz w:val="24"/>
                <w:szCs w:val="24"/>
                <w:lang w:eastAsia="en-US"/>
              </w:rPr>
              <w:t>1,092,373</w:t>
            </w:r>
            <w:r w:rsidRPr="00D53669">
              <w:rPr>
                <w:sz w:val="24"/>
                <w:szCs w:val="24"/>
                <w:lang w:eastAsia="en-US"/>
              </w:rPr>
              <w:t>*</w:t>
            </w:r>
            <w:r w:rsidR="00C152C5">
              <w:rPr>
                <w:sz w:val="24"/>
                <w:szCs w:val="24"/>
                <w:lang w:eastAsia="en-US"/>
              </w:rPr>
              <w:t>*</w:t>
            </w:r>
            <w:r w:rsidRPr="00D53669">
              <w:rPr>
                <w:sz w:val="24"/>
                <w:szCs w:val="24"/>
                <w:lang w:eastAsia="en-US"/>
              </w:rPr>
              <w:t>**</w:t>
            </w:r>
          </w:p>
        </w:tc>
      </w:tr>
      <w:tr w14:paraId="6182FEF7" w14:textId="77777777" w:rsidTr="00FD50BD">
        <w:tblPrEx>
          <w:tblW w:w="11491" w:type="dxa"/>
          <w:tblInd w:w="-1065" w:type="dxa"/>
          <w:tblLook w:val="04A0"/>
        </w:tblPrEx>
        <w:tc>
          <w:tcPr>
            <w:tcW w:w="1529" w:type="dxa"/>
            <w:shd w:val="clear" w:color="auto" w:fill="auto"/>
          </w:tcPr>
          <w:p w:rsidR="00D53669" w:rsidRPr="00D53669" w:rsidP="008A7924" w14:paraId="74436B38" w14:textId="77777777">
            <w:pPr>
              <w:contextualSpacing/>
              <w:rPr>
                <w:b/>
                <w:sz w:val="24"/>
                <w:szCs w:val="24"/>
                <w:lang w:eastAsia="en-US"/>
              </w:rPr>
            </w:pPr>
            <w:r w:rsidRPr="00D53669">
              <w:rPr>
                <w:b/>
                <w:sz w:val="24"/>
                <w:szCs w:val="24"/>
                <w:lang w:eastAsia="en-US"/>
              </w:rPr>
              <w:t>Totals</w:t>
            </w:r>
          </w:p>
        </w:tc>
        <w:tc>
          <w:tcPr>
            <w:tcW w:w="1525" w:type="dxa"/>
            <w:tcBorders>
              <w:top w:val="nil"/>
              <w:left w:val="nil"/>
              <w:bottom w:val="single" w:sz="8" w:space="0" w:color="auto"/>
              <w:right w:val="single" w:sz="8" w:space="0" w:color="auto"/>
            </w:tcBorders>
          </w:tcPr>
          <w:p w:rsidR="00D53669" w:rsidRPr="00D53669" w:rsidP="008A7924" w14:paraId="59753349" w14:textId="77777777">
            <w:pPr>
              <w:snapToGrid w:val="0"/>
              <w:jc w:val="right"/>
              <w:rPr>
                <w:b/>
                <w:bCs/>
                <w:sz w:val="24"/>
                <w:szCs w:val="24"/>
                <w:lang w:eastAsia="ar-SA"/>
              </w:rPr>
            </w:pPr>
            <w:r w:rsidRPr="00D53669">
              <w:rPr>
                <w:b/>
                <w:bCs/>
                <w:sz w:val="24"/>
                <w:szCs w:val="24"/>
                <w:lang w:eastAsia="ar-SA"/>
              </w:rPr>
              <w:t>151,600</w:t>
            </w:r>
          </w:p>
        </w:tc>
        <w:tc>
          <w:tcPr>
            <w:tcW w:w="1348" w:type="dxa"/>
            <w:tcBorders>
              <w:top w:val="nil"/>
              <w:left w:val="nil"/>
              <w:bottom w:val="single" w:sz="8" w:space="0" w:color="auto"/>
              <w:right w:val="single" w:sz="8" w:space="0" w:color="auto"/>
            </w:tcBorders>
          </w:tcPr>
          <w:p w:rsidR="00D53669" w:rsidRPr="00D53669" w:rsidP="008A7924" w14:paraId="003D5FC0" w14:textId="77777777">
            <w:pPr>
              <w:snapToGrid w:val="0"/>
              <w:ind w:left="-104" w:firstLine="104"/>
              <w:jc w:val="right"/>
              <w:rPr>
                <w:b/>
                <w:bCs/>
                <w:sz w:val="24"/>
                <w:szCs w:val="24"/>
                <w:lang w:eastAsia="ar-SA"/>
              </w:rPr>
            </w:pPr>
          </w:p>
        </w:tc>
        <w:tc>
          <w:tcPr>
            <w:tcW w:w="1343" w:type="dxa"/>
            <w:tcBorders>
              <w:top w:val="nil"/>
              <w:left w:val="nil"/>
              <w:bottom w:val="single" w:sz="8" w:space="0" w:color="auto"/>
              <w:right w:val="single" w:sz="8" w:space="0" w:color="auto"/>
            </w:tcBorders>
          </w:tcPr>
          <w:p w:rsidR="00D53669" w:rsidRPr="00D53669" w:rsidP="008A7924" w14:paraId="4D8EEF43" w14:textId="77777777">
            <w:pPr>
              <w:snapToGrid w:val="0"/>
              <w:jc w:val="right"/>
              <w:rPr>
                <w:b/>
                <w:bCs/>
                <w:sz w:val="24"/>
                <w:szCs w:val="24"/>
                <w:lang w:eastAsia="ar-SA"/>
              </w:rPr>
            </w:pPr>
          </w:p>
        </w:tc>
        <w:tc>
          <w:tcPr>
            <w:tcW w:w="1337" w:type="dxa"/>
            <w:tcBorders>
              <w:top w:val="nil"/>
              <w:left w:val="nil"/>
              <w:bottom w:val="single" w:sz="8" w:space="0" w:color="auto"/>
              <w:right w:val="single" w:sz="8" w:space="0" w:color="auto"/>
            </w:tcBorders>
          </w:tcPr>
          <w:p w:rsidR="00D53669" w:rsidRPr="00D53669" w:rsidP="008A7924" w14:paraId="7F7DC51D" w14:textId="748EB0F6">
            <w:pPr>
              <w:snapToGrid w:val="0"/>
              <w:jc w:val="right"/>
              <w:rPr>
                <w:b/>
                <w:bCs/>
                <w:sz w:val="24"/>
                <w:szCs w:val="24"/>
                <w:lang w:eastAsia="ar-SA"/>
              </w:rPr>
            </w:pPr>
            <w:r>
              <w:rPr>
                <w:b/>
                <w:bCs/>
                <w:sz w:val="24"/>
                <w:szCs w:val="24"/>
                <w:lang w:eastAsia="ar-SA"/>
              </w:rPr>
              <w:t>104,225</w:t>
            </w:r>
          </w:p>
        </w:tc>
        <w:tc>
          <w:tcPr>
            <w:tcW w:w="1389" w:type="dxa"/>
          </w:tcPr>
          <w:p w:rsidR="00D53669" w:rsidRPr="00D53669" w:rsidP="008A7924" w14:paraId="16FFE7B8" w14:textId="77777777">
            <w:pPr>
              <w:contextualSpacing/>
              <w:jc w:val="right"/>
              <w:rPr>
                <w:b/>
                <w:sz w:val="24"/>
                <w:szCs w:val="24"/>
                <w:lang w:eastAsia="en-US"/>
              </w:rPr>
            </w:pPr>
          </w:p>
        </w:tc>
        <w:tc>
          <w:tcPr>
            <w:tcW w:w="1510" w:type="dxa"/>
          </w:tcPr>
          <w:p w:rsidR="00D53669" w:rsidRPr="00D53669" w:rsidP="008A7924" w14:paraId="72692CD2" w14:textId="77777777">
            <w:pPr>
              <w:contextualSpacing/>
              <w:jc w:val="right"/>
              <w:rPr>
                <w:b/>
                <w:sz w:val="24"/>
                <w:szCs w:val="24"/>
                <w:lang w:eastAsia="en-US"/>
              </w:rPr>
            </w:pPr>
          </w:p>
        </w:tc>
        <w:tc>
          <w:tcPr>
            <w:tcW w:w="1510" w:type="dxa"/>
          </w:tcPr>
          <w:p w:rsidR="00D53669" w:rsidRPr="00D53669" w:rsidP="008A7924" w14:paraId="47E97038" w14:textId="733F678B">
            <w:pPr>
              <w:contextualSpacing/>
              <w:jc w:val="right"/>
              <w:rPr>
                <w:b/>
                <w:sz w:val="24"/>
                <w:szCs w:val="24"/>
                <w:lang w:eastAsia="en-US"/>
              </w:rPr>
            </w:pPr>
            <w:r w:rsidRPr="00D53669">
              <w:rPr>
                <w:b/>
                <w:sz w:val="24"/>
                <w:szCs w:val="24"/>
                <w:lang w:eastAsia="en-US"/>
              </w:rPr>
              <w:t>$</w:t>
            </w:r>
            <w:r w:rsidR="00334A0C">
              <w:rPr>
                <w:b/>
                <w:sz w:val="24"/>
                <w:szCs w:val="24"/>
                <w:lang w:eastAsia="en-US"/>
              </w:rPr>
              <w:t>1,</w:t>
            </w:r>
            <w:r w:rsidR="003F6658">
              <w:rPr>
                <w:b/>
                <w:sz w:val="24"/>
                <w:szCs w:val="24"/>
                <w:lang w:eastAsia="en-US"/>
              </w:rPr>
              <w:t>529,322</w:t>
            </w:r>
            <w:r w:rsidRPr="00D53669">
              <w:rPr>
                <w:b/>
                <w:sz w:val="24"/>
                <w:szCs w:val="24"/>
                <w:lang w:eastAsia="en-US"/>
              </w:rPr>
              <w:t>*</w:t>
            </w:r>
            <w:r w:rsidR="00C152C5">
              <w:rPr>
                <w:b/>
                <w:sz w:val="24"/>
                <w:szCs w:val="24"/>
                <w:lang w:eastAsia="en-US"/>
              </w:rPr>
              <w:t>*</w:t>
            </w:r>
            <w:r w:rsidRPr="00D53669">
              <w:rPr>
                <w:b/>
                <w:sz w:val="24"/>
                <w:szCs w:val="24"/>
                <w:lang w:eastAsia="en-US"/>
              </w:rPr>
              <w:t>**</w:t>
            </w:r>
          </w:p>
        </w:tc>
      </w:tr>
    </w:tbl>
    <w:p w:rsidR="00EE74F9" w:rsidP="008A7924" w14:paraId="3550C43D" w14:textId="7BDAB213">
      <w:pPr>
        <w:widowControl w:val="0"/>
        <w:tabs>
          <w:tab w:val="left" w:pos="1440"/>
        </w:tabs>
        <w:autoSpaceDE w:val="0"/>
        <w:autoSpaceDN w:val="0"/>
        <w:adjustRightInd w:val="0"/>
        <w:ind w:left="1440"/>
        <w:contextualSpacing/>
        <w:rPr>
          <w:snapToGrid w:val="0"/>
          <w:sz w:val="24"/>
          <w:szCs w:val="24"/>
          <w:lang w:eastAsia="en-US"/>
        </w:rPr>
      </w:pPr>
      <w:r>
        <w:rPr>
          <w:snapToGrid w:val="0"/>
          <w:sz w:val="24"/>
          <w:szCs w:val="24"/>
          <w:lang w:eastAsia="en-US"/>
        </w:rPr>
        <w:t>* We note that this figure may include forms completed by the FO</w:t>
      </w:r>
      <w:r w:rsidR="00C152C5">
        <w:rPr>
          <w:snapToGrid w:val="0"/>
          <w:sz w:val="24"/>
          <w:szCs w:val="24"/>
          <w:lang w:eastAsia="en-US"/>
        </w:rPr>
        <w:t>.</w:t>
      </w:r>
    </w:p>
    <w:p w:rsidR="008A7924" w:rsidP="008A7924" w14:paraId="0FEE837C" w14:textId="77777777">
      <w:pPr>
        <w:widowControl w:val="0"/>
        <w:tabs>
          <w:tab w:val="left" w:pos="1440"/>
        </w:tabs>
        <w:autoSpaceDE w:val="0"/>
        <w:autoSpaceDN w:val="0"/>
        <w:adjustRightInd w:val="0"/>
        <w:ind w:left="1440"/>
        <w:contextualSpacing/>
        <w:rPr>
          <w:snapToGrid w:val="0"/>
          <w:sz w:val="24"/>
          <w:szCs w:val="24"/>
          <w:lang w:eastAsia="en-US"/>
        </w:rPr>
      </w:pPr>
    </w:p>
    <w:p w:rsidR="00D53669" w:rsidRPr="00D53669" w:rsidP="008A7924" w14:paraId="0E9DA6F0" w14:textId="1316B6F5">
      <w:pPr>
        <w:widowControl w:val="0"/>
        <w:tabs>
          <w:tab w:val="left" w:pos="1440"/>
        </w:tabs>
        <w:autoSpaceDE w:val="0"/>
        <w:autoSpaceDN w:val="0"/>
        <w:adjustRightInd w:val="0"/>
        <w:ind w:left="1440"/>
        <w:contextualSpacing/>
        <w:rPr>
          <w:snapToGrid w:val="0"/>
          <w:sz w:val="24"/>
          <w:szCs w:val="24"/>
          <w:lang w:eastAsia="en-US"/>
        </w:rPr>
      </w:pPr>
      <w:r w:rsidRPr="00D53669">
        <w:rPr>
          <w:snapToGrid w:val="0"/>
          <w:sz w:val="24"/>
          <w:szCs w:val="24"/>
          <w:lang w:eastAsia="en-US"/>
        </w:rPr>
        <w:t>*</w:t>
      </w:r>
      <w:r w:rsidR="00C152C5">
        <w:rPr>
          <w:snapToGrid w:val="0"/>
          <w:sz w:val="24"/>
          <w:szCs w:val="24"/>
          <w:lang w:eastAsia="en-US"/>
        </w:rPr>
        <w:t>*</w:t>
      </w:r>
      <w:r w:rsidRPr="00D53669">
        <w:rPr>
          <w:snapToGrid w:val="0"/>
          <w:sz w:val="24"/>
          <w:szCs w:val="24"/>
          <w:lang w:eastAsia="en-US"/>
        </w:rPr>
        <w:t xml:space="preserve"> We based this figure on average DI payments based on SSA's current FY 202</w:t>
      </w:r>
      <w:r w:rsidR="006D3E48">
        <w:rPr>
          <w:snapToGrid w:val="0"/>
          <w:sz w:val="24"/>
          <w:szCs w:val="24"/>
          <w:lang w:eastAsia="en-US"/>
        </w:rPr>
        <w:t>1</w:t>
      </w:r>
      <w:r w:rsidRPr="00D53669">
        <w:rPr>
          <w:snapToGrid w:val="0"/>
          <w:sz w:val="24"/>
          <w:szCs w:val="24"/>
          <w:lang w:eastAsia="en-US"/>
        </w:rPr>
        <w:t xml:space="preserve"> data (</w:t>
      </w:r>
      <w:hyperlink r:id="rId9" w:history="1">
        <w:r w:rsidRPr="007911CF" w:rsidR="003F6658">
          <w:rPr>
            <w:rStyle w:val="Hyperlink"/>
            <w:sz w:val="24"/>
            <w:szCs w:val="24"/>
          </w:rPr>
          <w:t>https://www.ssa.gov/legislation/2023factsheet.pdf</w:t>
        </w:r>
      </w:hyperlink>
      <w:r w:rsidRPr="00D53669">
        <w:rPr>
          <w:snapToGrid w:val="0"/>
          <w:sz w:val="24"/>
          <w:szCs w:val="24"/>
          <w:lang w:eastAsia="en-US"/>
        </w:rPr>
        <w:t>).</w:t>
      </w:r>
    </w:p>
    <w:p w:rsidR="00D53669" w:rsidP="008A7924" w14:paraId="5A8CF770" w14:textId="77777777">
      <w:pPr>
        <w:widowControl w:val="0"/>
        <w:tabs>
          <w:tab w:val="left" w:pos="1440"/>
        </w:tabs>
        <w:autoSpaceDE w:val="0"/>
        <w:autoSpaceDN w:val="0"/>
        <w:adjustRightInd w:val="0"/>
        <w:ind w:left="1440"/>
        <w:contextualSpacing/>
        <w:rPr>
          <w:snapToGrid w:val="0"/>
          <w:sz w:val="24"/>
          <w:szCs w:val="24"/>
          <w:lang w:eastAsia="en-US"/>
        </w:rPr>
      </w:pPr>
    </w:p>
    <w:p w:rsidR="00D53669" w:rsidRPr="00D53669" w:rsidP="008A7924" w14:paraId="511A0254" w14:textId="23B555AA">
      <w:pPr>
        <w:widowControl w:val="0"/>
        <w:tabs>
          <w:tab w:val="left" w:pos="1440"/>
        </w:tabs>
        <w:autoSpaceDE w:val="0"/>
        <w:autoSpaceDN w:val="0"/>
        <w:adjustRightInd w:val="0"/>
        <w:ind w:left="1440"/>
        <w:contextualSpacing/>
        <w:rPr>
          <w:snapToGrid w:val="0"/>
          <w:sz w:val="24"/>
          <w:szCs w:val="24"/>
          <w:lang w:eastAsia="en-US"/>
        </w:rPr>
      </w:pPr>
      <w:r w:rsidRPr="00D53669">
        <w:rPr>
          <w:snapToGrid w:val="0"/>
          <w:sz w:val="24"/>
          <w:szCs w:val="24"/>
          <w:lang w:eastAsia="en-US"/>
        </w:rPr>
        <w:t>**</w:t>
      </w:r>
      <w:r w:rsidR="00C152C5">
        <w:rPr>
          <w:snapToGrid w:val="0"/>
          <w:sz w:val="24"/>
          <w:szCs w:val="24"/>
          <w:lang w:eastAsia="en-US"/>
        </w:rPr>
        <w:t>*</w:t>
      </w:r>
      <w:r w:rsidRPr="00D53669">
        <w:rPr>
          <w:snapToGrid w:val="0"/>
          <w:sz w:val="24"/>
          <w:szCs w:val="24"/>
          <w:lang w:eastAsia="en-US"/>
        </w:rPr>
        <w:t xml:space="preserve"> We based this figure on the average FY 2020 wait times for field offices, based on SSA’s current management information data.</w:t>
      </w:r>
    </w:p>
    <w:p w:rsidR="00D53669" w:rsidP="008A7924" w14:paraId="0CA2947E" w14:textId="77777777">
      <w:pPr>
        <w:pStyle w:val="ListParagraph"/>
        <w:tabs>
          <w:tab w:val="left" w:pos="1440"/>
        </w:tabs>
        <w:spacing w:after="0" w:line="240" w:lineRule="auto"/>
        <w:ind w:left="1440"/>
        <w:rPr>
          <w:rFonts w:ascii="Times New Roman" w:eastAsia="SimSun" w:hAnsi="Times New Roman"/>
          <w:sz w:val="24"/>
          <w:szCs w:val="24"/>
          <w:lang w:eastAsia="ar-SA"/>
        </w:rPr>
      </w:pPr>
    </w:p>
    <w:p w:rsidR="00252875" w:rsidP="008A7924" w14:paraId="0E85D16F" w14:textId="35D9149E">
      <w:pPr>
        <w:pStyle w:val="ListParagraph"/>
        <w:tabs>
          <w:tab w:val="left" w:pos="1440"/>
        </w:tabs>
        <w:spacing w:after="0" w:line="240" w:lineRule="auto"/>
        <w:ind w:left="1440"/>
        <w:rPr>
          <w:rFonts w:ascii="Times New Roman" w:hAnsi="Times New Roman"/>
          <w:sz w:val="24"/>
          <w:szCs w:val="24"/>
        </w:rPr>
      </w:pPr>
      <w:r w:rsidRPr="00D53669">
        <w:rPr>
          <w:rFonts w:ascii="Times New Roman" w:eastAsia="SimSun" w:hAnsi="Times New Roman"/>
          <w:sz w:val="24"/>
          <w:szCs w:val="24"/>
          <w:lang w:eastAsia="ar-SA"/>
        </w:rPr>
        <w:t>*</w:t>
      </w:r>
      <w:r w:rsidR="00C152C5">
        <w:rPr>
          <w:rFonts w:ascii="Times New Roman" w:eastAsia="SimSun" w:hAnsi="Times New Roman"/>
          <w:sz w:val="24"/>
          <w:szCs w:val="24"/>
          <w:lang w:eastAsia="ar-SA"/>
        </w:rPr>
        <w:t>*</w:t>
      </w:r>
      <w:r w:rsidRPr="00D53669">
        <w:rPr>
          <w:rFonts w:ascii="Times New Roman" w:eastAsia="SimSun" w:hAnsi="Times New Roman"/>
          <w:sz w:val="24"/>
          <w:szCs w:val="24"/>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D53669">
        <w:rPr>
          <w:rFonts w:ascii="Times New Roman" w:eastAsia="SimSun" w:hAnsi="Times New Roman"/>
          <w:b/>
          <w:sz w:val="24"/>
          <w:szCs w:val="24"/>
          <w:u w:val="single"/>
          <w:lang w:eastAsia="ar-SA"/>
        </w:rPr>
        <w:t>There is no actual charge to respondents to complete the application</w:t>
      </w:r>
      <w:r w:rsidRPr="00C11552">
        <w:rPr>
          <w:rFonts w:ascii="Times New Roman" w:hAnsi="Times New Roman"/>
          <w:sz w:val="24"/>
          <w:szCs w:val="24"/>
        </w:rPr>
        <w:t>.</w:t>
      </w:r>
    </w:p>
    <w:p w:rsidR="00381118" w:rsidP="008A7924" w14:paraId="156115E2" w14:textId="2A4D3DD3">
      <w:pPr>
        <w:pStyle w:val="ListParagraph"/>
        <w:tabs>
          <w:tab w:val="left" w:pos="1440"/>
        </w:tabs>
        <w:spacing w:after="0" w:line="240" w:lineRule="auto"/>
        <w:ind w:left="1440"/>
        <w:rPr>
          <w:rFonts w:ascii="Times New Roman" w:hAnsi="Times New Roman"/>
          <w:sz w:val="24"/>
          <w:szCs w:val="24"/>
        </w:rPr>
      </w:pPr>
    </w:p>
    <w:p w:rsidR="00381118" w:rsidRPr="00381118" w:rsidP="008A7924" w14:paraId="29EC2F3A" w14:textId="3EB16428">
      <w:pPr>
        <w:suppressAutoHyphens/>
        <w:ind w:left="1440"/>
        <w:rPr>
          <w:kern w:val="1"/>
          <w:sz w:val="24"/>
          <w:szCs w:val="24"/>
          <w:lang w:eastAsia="ar-SA"/>
        </w:rPr>
      </w:pPr>
      <w:r w:rsidRPr="00381118">
        <w:rPr>
          <w:kern w:val="1"/>
          <w:sz w:val="24"/>
          <w:szCs w:val="24"/>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381118" w:rsidRPr="00381118" w:rsidP="00381118" w14:paraId="7924524B" w14:textId="77777777">
      <w:pPr>
        <w:suppressAutoHyphens/>
        <w:spacing w:line="100" w:lineRule="atLeast"/>
        <w:ind w:left="1440"/>
        <w:rPr>
          <w:kern w:val="1"/>
          <w:sz w:val="24"/>
          <w:szCs w:val="24"/>
          <w:lang w:eastAsia="ar-SA"/>
        </w:rPr>
      </w:pPr>
    </w:p>
    <w:tbl>
      <w:tblPr>
        <w:tblStyle w:val="TableGrid3"/>
        <w:tblW w:w="0" w:type="auto"/>
        <w:tblLook w:val="04A0"/>
      </w:tblPr>
      <w:tblGrid>
        <w:gridCol w:w="1870"/>
        <w:gridCol w:w="1870"/>
        <w:gridCol w:w="1870"/>
        <w:gridCol w:w="1870"/>
        <w:gridCol w:w="1870"/>
      </w:tblGrid>
      <w:tr w14:paraId="06B3102D" w14:textId="77777777" w:rsidTr="00FD50BD">
        <w:tblPrEx>
          <w:tblW w:w="0" w:type="auto"/>
          <w:tblLook w:val="04A0"/>
        </w:tblPrEx>
        <w:tc>
          <w:tcPr>
            <w:tcW w:w="1870" w:type="dxa"/>
          </w:tcPr>
          <w:p w:rsidR="00381118" w:rsidRPr="00381118" w:rsidP="00381118" w14:paraId="7D2A3641" w14:textId="77777777">
            <w:pPr>
              <w:suppressAutoHyphens/>
              <w:spacing w:line="100" w:lineRule="atLeast"/>
              <w:rPr>
                <w:kern w:val="1"/>
                <w:sz w:val="24"/>
                <w:szCs w:val="24"/>
                <w:lang w:eastAsia="ar-SA"/>
              </w:rPr>
            </w:pPr>
            <w:r w:rsidRPr="00381118">
              <w:rPr>
                <w:kern w:val="1"/>
                <w:sz w:val="24"/>
                <w:szCs w:val="24"/>
                <w:lang w:eastAsia="ar-SA"/>
              </w:rPr>
              <w:t>Total Number of Respondents Who Visit a Field Office</w:t>
            </w:r>
          </w:p>
        </w:tc>
        <w:tc>
          <w:tcPr>
            <w:tcW w:w="1870" w:type="dxa"/>
          </w:tcPr>
          <w:p w:rsidR="00381118" w:rsidRPr="00381118" w:rsidP="00381118" w14:paraId="57705E23" w14:textId="77777777">
            <w:pPr>
              <w:suppressAutoHyphens/>
              <w:spacing w:line="100" w:lineRule="atLeast"/>
              <w:rPr>
                <w:kern w:val="1"/>
                <w:sz w:val="24"/>
                <w:szCs w:val="24"/>
                <w:lang w:eastAsia="ar-SA"/>
              </w:rPr>
            </w:pPr>
            <w:r w:rsidRPr="00381118">
              <w:rPr>
                <w:kern w:val="1"/>
                <w:sz w:val="24"/>
                <w:szCs w:val="24"/>
                <w:lang w:eastAsia="ar-SA"/>
              </w:rPr>
              <w:t>Frequency of Response</w:t>
            </w:r>
          </w:p>
        </w:tc>
        <w:tc>
          <w:tcPr>
            <w:tcW w:w="1870" w:type="dxa"/>
          </w:tcPr>
          <w:p w:rsidR="00381118" w:rsidRPr="00381118" w:rsidP="00381118" w14:paraId="0CD84EBE" w14:textId="77777777">
            <w:pPr>
              <w:suppressAutoHyphens/>
              <w:spacing w:line="100" w:lineRule="atLeast"/>
              <w:rPr>
                <w:kern w:val="1"/>
                <w:sz w:val="24"/>
                <w:szCs w:val="24"/>
                <w:lang w:eastAsia="ar-SA"/>
              </w:rPr>
            </w:pPr>
            <w:r w:rsidRPr="00381118">
              <w:rPr>
                <w:kern w:val="1"/>
                <w:sz w:val="24"/>
                <w:szCs w:val="24"/>
                <w:lang w:eastAsia="ar-SA"/>
              </w:rPr>
              <w:t>Average One-Way Travel Time to a Field Office (minutes)</w:t>
            </w:r>
          </w:p>
        </w:tc>
        <w:tc>
          <w:tcPr>
            <w:tcW w:w="1870" w:type="dxa"/>
          </w:tcPr>
          <w:p w:rsidR="00381118" w:rsidRPr="00381118" w:rsidP="00381118" w14:paraId="61518352" w14:textId="77777777">
            <w:pPr>
              <w:suppressAutoHyphens/>
              <w:spacing w:line="100" w:lineRule="atLeast"/>
              <w:rPr>
                <w:kern w:val="1"/>
                <w:sz w:val="24"/>
                <w:szCs w:val="24"/>
                <w:lang w:eastAsia="ar-SA"/>
              </w:rPr>
            </w:pPr>
            <w:r w:rsidRPr="00381118">
              <w:rPr>
                <w:kern w:val="1"/>
                <w:sz w:val="24"/>
                <w:szCs w:val="24"/>
                <w:lang w:eastAsia="ar-SA"/>
              </w:rPr>
              <w:t>Estimated Total Travel Time to a Field Office (hours)</w:t>
            </w:r>
          </w:p>
        </w:tc>
        <w:tc>
          <w:tcPr>
            <w:tcW w:w="1870" w:type="dxa"/>
          </w:tcPr>
          <w:p w:rsidR="00381118" w:rsidRPr="00381118" w:rsidP="00381118" w14:paraId="0F27D8C1" w14:textId="141B2675">
            <w:pPr>
              <w:suppressAutoHyphens/>
              <w:spacing w:line="100" w:lineRule="atLeast"/>
              <w:rPr>
                <w:kern w:val="1"/>
                <w:sz w:val="24"/>
                <w:szCs w:val="24"/>
                <w:lang w:eastAsia="ar-SA"/>
              </w:rPr>
            </w:pPr>
            <w:r w:rsidRPr="00381118">
              <w:rPr>
                <w:kern w:val="1"/>
                <w:sz w:val="24"/>
                <w:szCs w:val="24"/>
                <w:lang w:eastAsia="ar-SA"/>
              </w:rPr>
              <w:t>Total Annual Opportunity Cost for Travel Time (dollars)****</w:t>
            </w:r>
            <w:r w:rsidR="00EF3A85">
              <w:rPr>
                <w:kern w:val="1"/>
                <w:sz w:val="24"/>
                <w:szCs w:val="24"/>
                <w:lang w:eastAsia="ar-SA"/>
              </w:rPr>
              <w:t>*</w:t>
            </w:r>
          </w:p>
        </w:tc>
      </w:tr>
      <w:tr w14:paraId="52E7B6C6" w14:textId="77777777" w:rsidTr="00FD50BD">
        <w:tblPrEx>
          <w:tblW w:w="0" w:type="auto"/>
          <w:tblLook w:val="04A0"/>
        </w:tblPrEx>
        <w:tc>
          <w:tcPr>
            <w:tcW w:w="1870" w:type="dxa"/>
          </w:tcPr>
          <w:p w:rsidR="00381118" w:rsidRPr="00381118" w:rsidP="00381118" w14:paraId="1E803A55" w14:textId="6283011B">
            <w:pPr>
              <w:suppressAutoHyphens/>
              <w:spacing w:line="100" w:lineRule="atLeast"/>
              <w:jc w:val="right"/>
              <w:rPr>
                <w:kern w:val="1"/>
                <w:sz w:val="24"/>
                <w:szCs w:val="24"/>
                <w:lang w:eastAsia="ar-SA"/>
              </w:rPr>
            </w:pPr>
            <w:r>
              <w:rPr>
                <w:rFonts w:eastAsia="Calibri"/>
                <w:sz w:val="24"/>
                <w:szCs w:val="24"/>
                <w:lang w:eastAsia="en-US"/>
              </w:rPr>
              <w:t>37,900</w:t>
            </w:r>
          </w:p>
        </w:tc>
        <w:tc>
          <w:tcPr>
            <w:tcW w:w="1870" w:type="dxa"/>
          </w:tcPr>
          <w:p w:rsidR="00381118" w:rsidRPr="00381118" w:rsidP="00381118" w14:paraId="384A9A42" w14:textId="77777777">
            <w:pPr>
              <w:suppressAutoHyphens/>
              <w:spacing w:line="100" w:lineRule="atLeast"/>
              <w:jc w:val="right"/>
              <w:rPr>
                <w:kern w:val="1"/>
                <w:sz w:val="24"/>
                <w:szCs w:val="24"/>
                <w:lang w:eastAsia="ar-SA"/>
              </w:rPr>
            </w:pPr>
            <w:r w:rsidRPr="00381118">
              <w:rPr>
                <w:kern w:val="1"/>
                <w:sz w:val="24"/>
                <w:szCs w:val="24"/>
                <w:lang w:eastAsia="ar-SA"/>
              </w:rPr>
              <w:t>1</w:t>
            </w:r>
          </w:p>
        </w:tc>
        <w:tc>
          <w:tcPr>
            <w:tcW w:w="1870" w:type="dxa"/>
          </w:tcPr>
          <w:p w:rsidR="00381118" w:rsidRPr="00381118" w:rsidP="00381118" w14:paraId="210CA57A" w14:textId="77777777">
            <w:pPr>
              <w:suppressAutoHyphens/>
              <w:spacing w:line="100" w:lineRule="atLeast"/>
              <w:jc w:val="right"/>
              <w:rPr>
                <w:kern w:val="1"/>
                <w:sz w:val="24"/>
                <w:szCs w:val="24"/>
                <w:lang w:eastAsia="ar-SA"/>
              </w:rPr>
            </w:pPr>
            <w:r w:rsidRPr="00381118">
              <w:rPr>
                <w:kern w:val="1"/>
                <w:sz w:val="24"/>
                <w:szCs w:val="24"/>
                <w:lang w:eastAsia="ar-SA"/>
              </w:rPr>
              <w:t>30</w:t>
            </w:r>
          </w:p>
        </w:tc>
        <w:tc>
          <w:tcPr>
            <w:tcW w:w="1870" w:type="dxa"/>
          </w:tcPr>
          <w:p w:rsidR="00381118" w:rsidRPr="00381118" w:rsidP="00381118" w14:paraId="7D350871" w14:textId="12AA6541">
            <w:pPr>
              <w:suppressAutoHyphens/>
              <w:spacing w:line="100" w:lineRule="atLeast"/>
              <w:jc w:val="right"/>
              <w:rPr>
                <w:kern w:val="1"/>
                <w:sz w:val="24"/>
                <w:szCs w:val="24"/>
                <w:lang w:eastAsia="ar-SA"/>
              </w:rPr>
            </w:pPr>
            <w:r>
              <w:rPr>
                <w:kern w:val="1"/>
                <w:sz w:val="24"/>
                <w:szCs w:val="24"/>
                <w:lang w:eastAsia="ar-SA"/>
              </w:rPr>
              <w:t>18,950</w:t>
            </w:r>
          </w:p>
        </w:tc>
        <w:tc>
          <w:tcPr>
            <w:tcW w:w="1870" w:type="dxa"/>
          </w:tcPr>
          <w:p w:rsidR="00381118" w:rsidRPr="00381118" w:rsidP="002D2B79" w14:paraId="7691D00F" w14:textId="68EB08DE">
            <w:pPr>
              <w:suppressAutoHyphens/>
              <w:spacing w:line="100" w:lineRule="atLeast"/>
              <w:jc w:val="right"/>
              <w:rPr>
                <w:kern w:val="1"/>
                <w:sz w:val="24"/>
                <w:szCs w:val="24"/>
                <w:lang w:eastAsia="ar-SA"/>
              </w:rPr>
            </w:pPr>
            <w:r w:rsidRPr="00381118">
              <w:rPr>
                <w:kern w:val="1"/>
                <w:sz w:val="24"/>
                <w:szCs w:val="24"/>
                <w:lang w:eastAsia="ar-SA"/>
              </w:rPr>
              <w:t>$</w:t>
            </w:r>
            <w:r w:rsidR="003F6658">
              <w:rPr>
                <w:kern w:val="1"/>
                <w:sz w:val="24"/>
                <w:szCs w:val="24"/>
                <w:lang w:eastAsia="ar-SA"/>
              </w:rPr>
              <w:t>242,750*****</w:t>
            </w:r>
          </w:p>
        </w:tc>
      </w:tr>
    </w:tbl>
    <w:p w:rsidR="00381118" w:rsidRPr="00381118" w:rsidP="00381118" w14:paraId="1E5BB65A" w14:textId="77358285">
      <w:pPr>
        <w:suppressAutoHyphens/>
        <w:spacing w:line="100" w:lineRule="atLeast"/>
        <w:ind w:left="1440"/>
        <w:rPr>
          <w:kern w:val="1"/>
          <w:sz w:val="24"/>
          <w:szCs w:val="24"/>
          <w:lang w:eastAsia="ar-SA"/>
        </w:rPr>
      </w:pPr>
      <w:r w:rsidRPr="00381118">
        <w:rPr>
          <w:kern w:val="1"/>
          <w:sz w:val="24"/>
          <w:szCs w:val="24"/>
          <w:lang w:eastAsia="ar-SA"/>
        </w:rPr>
        <w:t>**</w:t>
      </w:r>
      <w:r w:rsidR="00EF3A85">
        <w:rPr>
          <w:kern w:val="1"/>
          <w:sz w:val="24"/>
          <w:szCs w:val="24"/>
          <w:lang w:eastAsia="ar-SA"/>
        </w:rPr>
        <w:t>*</w:t>
      </w:r>
      <w:r w:rsidRPr="00381118">
        <w:rPr>
          <w:kern w:val="1"/>
          <w:sz w:val="24"/>
          <w:szCs w:val="24"/>
          <w:lang w:eastAsia="ar-SA"/>
        </w:rPr>
        <w:t>**</w:t>
      </w:r>
      <w:r w:rsidR="0094001C">
        <w:rPr>
          <w:kern w:val="1"/>
          <w:sz w:val="24"/>
          <w:szCs w:val="24"/>
          <w:lang w:eastAsia="ar-SA"/>
        </w:rPr>
        <w:t xml:space="preserve"> </w:t>
      </w:r>
      <w:r w:rsidRPr="00381118">
        <w:rPr>
          <w:kern w:val="1"/>
          <w:sz w:val="24"/>
          <w:szCs w:val="24"/>
          <w:lang w:eastAsia="ar-SA"/>
        </w:rPr>
        <w:t xml:space="preserve">We based this dollar amount on the Average Theoretical Hourly Cost Amount in dollars shown on the burden chart above. </w:t>
      </w:r>
    </w:p>
    <w:p w:rsidR="00381118" w:rsidRPr="00381118" w:rsidP="00381118" w14:paraId="3F6F6E2A" w14:textId="77777777">
      <w:pPr>
        <w:suppressAutoHyphens/>
        <w:spacing w:line="100" w:lineRule="atLeast"/>
        <w:rPr>
          <w:kern w:val="1"/>
          <w:sz w:val="24"/>
          <w:szCs w:val="24"/>
          <w:lang w:eastAsia="ar-SA"/>
        </w:rPr>
      </w:pPr>
      <w:r w:rsidRPr="00381118">
        <w:rPr>
          <w:kern w:val="1"/>
          <w:sz w:val="24"/>
          <w:szCs w:val="24"/>
          <w:lang w:eastAsia="ar-SA"/>
        </w:rPr>
        <w:t xml:space="preserve"> </w:t>
      </w:r>
    </w:p>
    <w:p w:rsidR="00381118" w:rsidRPr="00381118" w:rsidP="008A7924" w14:paraId="30E2286F" w14:textId="77777777">
      <w:pPr>
        <w:suppressAutoHyphens/>
        <w:ind w:left="1440"/>
        <w:rPr>
          <w:kern w:val="1"/>
          <w:sz w:val="24"/>
          <w:szCs w:val="24"/>
          <w:lang w:eastAsia="ar-SA"/>
        </w:rPr>
      </w:pPr>
      <w:r w:rsidRPr="00381118">
        <w:rPr>
          <w:kern w:val="1"/>
          <w:sz w:val="24"/>
          <w:szCs w:val="24"/>
          <w:lang w:eastAsia="ar-SA"/>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w:t>
      </w:r>
      <w:r w:rsidRPr="00381118">
        <w:rPr>
          <w:kern w:val="1"/>
          <w:sz w:val="24"/>
          <w:szCs w:val="24"/>
          <w:lang w:eastAsia="ar-SA"/>
        </w:rPr>
        <w:t>“the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381118" w:rsidRPr="00381118" w:rsidP="008A7924" w14:paraId="6F3608BB" w14:textId="77777777">
      <w:pPr>
        <w:suppressAutoHyphens/>
        <w:rPr>
          <w:kern w:val="1"/>
          <w:sz w:val="24"/>
          <w:szCs w:val="24"/>
          <w:lang w:eastAsia="ar-SA"/>
        </w:rPr>
      </w:pPr>
    </w:p>
    <w:p w:rsidR="00381118" w:rsidRPr="00C11552" w:rsidP="008A7924" w14:paraId="70498FBB" w14:textId="08FD22C4">
      <w:pPr>
        <w:pStyle w:val="ListParagraph"/>
        <w:tabs>
          <w:tab w:val="left" w:pos="1440"/>
        </w:tabs>
        <w:spacing w:after="0" w:line="240" w:lineRule="auto"/>
        <w:ind w:left="1440"/>
        <w:rPr>
          <w:rFonts w:ascii="Times New Roman" w:hAnsi="Times New Roman"/>
          <w:sz w:val="24"/>
          <w:szCs w:val="24"/>
        </w:rPr>
      </w:pPr>
      <w:r w:rsidRPr="00381118">
        <w:rPr>
          <w:rFonts w:ascii="Times New Roman" w:eastAsia="Times New Roman" w:hAnsi="Times New Roman"/>
          <w:kern w:val="1"/>
          <w:sz w:val="24"/>
          <w:szCs w:val="24"/>
          <w:lang w:eastAsia="ar-SA"/>
        </w:rPr>
        <w:t>NOTE:</w:t>
      </w:r>
      <w:r w:rsidR="00334A0C">
        <w:rPr>
          <w:rFonts w:ascii="Times New Roman" w:eastAsia="Times New Roman" w:hAnsi="Times New Roman"/>
          <w:kern w:val="1"/>
          <w:sz w:val="24"/>
          <w:szCs w:val="24"/>
          <w:lang w:eastAsia="ar-SA"/>
        </w:rPr>
        <w:t xml:space="preserve"> </w:t>
      </w:r>
      <w:r w:rsidRPr="00381118">
        <w:rPr>
          <w:rFonts w:ascii="Times New Roman" w:eastAsia="Times New Roman" w:hAnsi="Times New Roman"/>
          <w:kern w:val="1"/>
          <w:sz w:val="24"/>
          <w:szCs w:val="24"/>
          <w:lang w:eastAsia="ar-SA"/>
        </w:rPr>
        <w:t xml:space="preserve"> We included the total opportunity cost estimate from this chart in our calculations when showing the total opportunity cost estimates in the paragraph below.</w:t>
      </w:r>
    </w:p>
    <w:p w:rsidR="00D030D8" w:rsidP="008A7924" w14:paraId="3AA81C36" w14:textId="4AB9B025">
      <w:pPr>
        <w:pStyle w:val="ListParagraph"/>
        <w:spacing w:after="0" w:line="240" w:lineRule="auto"/>
        <w:ind w:left="1440"/>
        <w:rPr>
          <w:rFonts w:ascii="Times New Roman" w:hAnsi="Times New Roman"/>
          <w:sz w:val="24"/>
          <w:szCs w:val="24"/>
        </w:rPr>
      </w:pPr>
    </w:p>
    <w:p w:rsidR="00D030D8" w:rsidRPr="008A7924" w:rsidP="008A7924" w14:paraId="1CDC1B29" w14:textId="678F2D4D">
      <w:pPr>
        <w:pStyle w:val="ListParagraph"/>
        <w:spacing w:after="0" w:line="240" w:lineRule="auto"/>
        <w:ind w:left="1440"/>
        <w:rPr>
          <w:rFonts w:ascii="Times New Roman" w:hAnsi="Times New Roman"/>
          <w:sz w:val="24"/>
          <w:szCs w:val="24"/>
        </w:rPr>
      </w:pPr>
      <w:r w:rsidRPr="008A7924">
        <w:rPr>
          <w:rFonts w:ascii="Times New Roman" w:eastAsia="Times New Roman" w:hAnsi="Times New Roman"/>
          <w:noProof/>
          <w:snapToGrid w:val="0"/>
          <w:sz w:val="24"/>
          <w:szCs w:val="24"/>
        </w:rPr>
        <w:t xml:space="preserve">We base our burden estimates on current management information data, which includes data from actual interviews, as well as from years of conducting this information collection.  Per our management information data, we believe that the </w:t>
      </w:r>
      <w:r w:rsidRPr="008A7924" w:rsidR="00E83E4B">
        <w:rPr>
          <w:rFonts w:ascii="Times New Roman" w:eastAsia="Times New Roman" w:hAnsi="Times New Roman"/>
          <w:b/>
          <w:bCs/>
          <w:noProof/>
          <w:snapToGrid w:val="0"/>
          <w:sz w:val="24"/>
          <w:szCs w:val="24"/>
        </w:rPr>
        <w:t>30 &amp; 45</w:t>
      </w:r>
      <w:r w:rsidRPr="008A7924">
        <w:rPr>
          <w:rFonts w:ascii="Times New Roman" w:eastAsia="Times New Roman" w:hAnsi="Times New Roman"/>
          <w:noProof/>
          <w:snapToGrid w:val="0"/>
          <w:sz w:val="24"/>
          <w:szCs w:val="24"/>
        </w:rPr>
        <w:t xml:space="preserve"> minutes shown in our chart above accurately shows the average burden per response for reading the instructions, gathering the facts, and answering the questions.  Based on our current management information data, the current burden information we provided is accurate</w:t>
      </w:r>
      <w:r w:rsidRPr="008A7924">
        <w:rPr>
          <w:rFonts w:ascii="Times New Roman" w:eastAsia="Times New Roman" w:hAnsi="Times New Roman"/>
          <w:snapToGrid w:val="0"/>
          <w:sz w:val="24"/>
          <w:szCs w:val="24"/>
        </w:rPr>
        <w:t xml:space="preserve">.  The total burden for this ICR is </w:t>
      </w:r>
      <w:r w:rsidRPr="008A7924" w:rsidR="00E83E4B">
        <w:rPr>
          <w:rFonts w:ascii="Times New Roman" w:eastAsia="Times New Roman" w:hAnsi="Times New Roman"/>
          <w:b/>
          <w:snapToGrid w:val="0"/>
          <w:sz w:val="24"/>
          <w:szCs w:val="24"/>
        </w:rPr>
        <w:t>104,225</w:t>
      </w:r>
      <w:r w:rsidRPr="008A7924">
        <w:rPr>
          <w:rFonts w:ascii="Times New Roman" w:eastAsia="Times New Roman" w:hAnsi="Times New Roman"/>
          <w:snapToGrid w:val="0"/>
          <w:sz w:val="24"/>
          <w:szCs w:val="24"/>
        </w:rPr>
        <w:t xml:space="preserve"> burden hours (reflecting SSA management information data), which results in an associated theoretical (not actual) opportunity cost financial burden of </w:t>
      </w:r>
      <w:r w:rsidRPr="008A7924">
        <w:rPr>
          <w:rFonts w:ascii="Times New Roman" w:eastAsia="Times New Roman" w:hAnsi="Times New Roman"/>
          <w:b/>
          <w:snapToGrid w:val="0"/>
          <w:sz w:val="24"/>
          <w:szCs w:val="24"/>
        </w:rPr>
        <w:t>$</w:t>
      </w:r>
      <w:r w:rsidR="003F6658">
        <w:rPr>
          <w:rFonts w:ascii="Times New Roman" w:eastAsia="Times New Roman" w:hAnsi="Times New Roman"/>
          <w:b/>
          <w:snapToGrid w:val="0"/>
          <w:sz w:val="24"/>
          <w:szCs w:val="24"/>
        </w:rPr>
        <w:t>1,772,072</w:t>
      </w:r>
      <w:r w:rsidRPr="008A7924">
        <w:rPr>
          <w:rFonts w:ascii="Times New Roman" w:eastAsia="Times New Roman" w:hAnsi="Times New Roman"/>
          <w:snapToGrid w:val="0"/>
          <w:sz w:val="24"/>
          <w:szCs w:val="24"/>
        </w:rPr>
        <w:t>.  SSA does not charge respondents to complete our applications</w:t>
      </w:r>
    </w:p>
    <w:p w:rsidR="000239D0" w:rsidRPr="000239D0" w:rsidP="008A7924" w14:paraId="7863B112" w14:textId="77777777">
      <w:pPr>
        <w:pStyle w:val="ListParagraph"/>
        <w:spacing w:after="0" w:line="240" w:lineRule="auto"/>
        <w:ind w:left="1080"/>
        <w:rPr>
          <w:rFonts w:ascii="Times New Roman" w:hAnsi="Times New Roman"/>
          <w:sz w:val="24"/>
          <w:szCs w:val="24"/>
        </w:rPr>
      </w:pPr>
    </w:p>
    <w:p w:rsidR="00C82862" w:rsidRPr="000239D0" w:rsidP="008A7924" w14:paraId="46BC7860" w14:textId="1725718F">
      <w:pPr>
        <w:pStyle w:val="ListParagraph"/>
        <w:numPr>
          <w:ilvl w:val="0"/>
          <w:numId w:val="24"/>
        </w:numPr>
        <w:spacing w:after="0" w:line="240" w:lineRule="auto"/>
        <w:ind w:left="1440" w:hanging="720"/>
        <w:rPr>
          <w:rFonts w:ascii="Times New Roman" w:hAnsi="Times New Roman"/>
          <w:sz w:val="24"/>
          <w:szCs w:val="24"/>
        </w:rPr>
      </w:pPr>
      <w:r w:rsidRPr="000239D0">
        <w:rPr>
          <w:rFonts w:ascii="Times New Roman" w:hAnsi="Times New Roman"/>
          <w:b/>
          <w:sz w:val="24"/>
          <w:szCs w:val="24"/>
        </w:rPr>
        <w:t>Annual Cost to the Respondents (Other)</w:t>
      </w:r>
    </w:p>
    <w:p w:rsidR="000239D0" w:rsidRPr="000239D0" w:rsidP="008A7924" w14:paraId="0384D0BA" w14:textId="5C765511">
      <w:pPr>
        <w:pStyle w:val="ListParagraph"/>
        <w:spacing w:after="0" w:line="240" w:lineRule="auto"/>
        <w:ind w:left="1440"/>
        <w:rPr>
          <w:rFonts w:ascii="Times New Roman" w:hAnsi="Times New Roman"/>
          <w:sz w:val="24"/>
          <w:szCs w:val="24"/>
        </w:rPr>
      </w:pPr>
      <w:r w:rsidRPr="000239D0">
        <w:rPr>
          <w:rFonts w:ascii="Times New Roman" w:hAnsi="Times New Roman"/>
          <w:sz w:val="24"/>
          <w:szCs w:val="24"/>
        </w:rPr>
        <w:t>This collection does not impose a known cost burden to the respondents</w:t>
      </w:r>
      <w:r w:rsidRPr="000239D0">
        <w:rPr>
          <w:rFonts w:ascii="Times New Roman" w:hAnsi="Times New Roman"/>
          <w:bCs/>
          <w:sz w:val="24"/>
          <w:szCs w:val="24"/>
        </w:rPr>
        <w:t>.</w:t>
      </w:r>
    </w:p>
    <w:p w:rsidR="000239D0" w:rsidRPr="000239D0" w:rsidP="008A7924" w14:paraId="194820CD" w14:textId="77777777">
      <w:pPr>
        <w:pStyle w:val="ListParagraph"/>
        <w:spacing w:after="0" w:line="240" w:lineRule="auto"/>
        <w:ind w:left="1440"/>
        <w:rPr>
          <w:rFonts w:ascii="Times New Roman" w:hAnsi="Times New Roman"/>
          <w:sz w:val="24"/>
          <w:szCs w:val="24"/>
        </w:rPr>
      </w:pPr>
    </w:p>
    <w:p w:rsidR="00252875" w:rsidRPr="007F7C33" w:rsidP="008A7924" w14:paraId="74E88478" w14:textId="6B30C8C6">
      <w:pPr>
        <w:pStyle w:val="ListParagraph"/>
        <w:numPr>
          <w:ilvl w:val="0"/>
          <w:numId w:val="24"/>
        </w:numPr>
        <w:spacing w:after="0" w:line="240" w:lineRule="auto"/>
        <w:ind w:left="1440" w:hanging="720"/>
        <w:rPr>
          <w:rFonts w:ascii="Times New Roman" w:hAnsi="Times New Roman"/>
          <w:color w:val="000000"/>
          <w:sz w:val="24"/>
          <w:szCs w:val="24"/>
        </w:rPr>
      </w:pPr>
      <w:r w:rsidRPr="007F7C33">
        <w:rPr>
          <w:rFonts w:ascii="Times New Roman" w:hAnsi="Times New Roman"/>
          <w:b/>
          <w:sz w:val="24"/>
          <w:szCs w:val="24"/>
        </w:rPr>
        <w:t>Annual Cost to Federal Government</w:t>
      </w:r>
    </w:p>
    <w:p w:rsidR="00252875" w:rsidP="008A7924" w14:paraId="48F0A2C0" w14:textId="68C498A1">
      <w:pPr>
        <w:pStyle w:val="ListParagraph"/>
        <w:spacing w:after="0" w:line="240" w:lineRule="auto"/>
        <w:ind w:left="1440"/>
        <w:rPr>
          <w:rFonts w:ascii="Times New Roman" w:hAnsi="Times New Roman"/>
          <w:color w:val="000000"/>
          <w:sz w:val="24"/>
          <w:szCs w:val="24"/>
        </w:rPr>
      </w:pPr>
      <w:r>
        <w:rPr>
          <w:rFonts w:ascii="Times New Roman" w:hAnsi="Times New Roman"/>
          <w:color w:val="000000"/>
          <w:sz w:val="24"/>
          <w:szCs w:val="24"/>
        </w:rPr>
        <w:t>The annual cost to the Federal Government is approximately $92</w:t>
      </w:r>
      <w:r w:rsidR="00521B56">
        <w:rPr>
          <w:rFonts w:ascii="Times New Roman" w:hAnsi="Times New Roman"/>
          <w:color w:val="000000"/>
          <w:sz w:val="24"/>
          <w:szCs w:val="24"/>
        </w:rPr>
        <w:t>3</w:t>
      </w:r>
      <w:r>
        <w:rPr>
          <w:rFonts w:ascii="Times New Roman" w:hAnsi="Times New Roman"/>
          <w:color w:val="000000"/>
          <w:sz w:val="24"/>
          <w:szCs w:val="24"/>
        </w:rPr>
        <w:t>,</w:t>
      </w:r>
      <w:r w:rsidR="00521B56">
        <w:rPr>
          <w:rFonts w:ascii="Times New Roman" w:hAnsi="Times New Roman"/>
          <w:color w:val="000000"/>
          <w:sz w:val="24"/>
          <w:szCs w:val="24"/>
        </w:rPr>
        <w:t>4</w:t>
      </w:r>
      <w:r>
        <w:rPr>
          <w:rFonts w:ascii="Times New Roman" w:hAnsi="Times New Roman"/>
          <w:color w:val="000000"/>
          <w:sz w:val="24"/>
          <w:szCs w:val="24"/>
        </w:rPr>
        <w:t>57.  This estimate accounts for costs from the following areas:</w:t>
      </w:r>
    </w:p>
    <w:p w:rsidR="00B70E4F" w:rsidP="008A7924" w14:paraId="0BABE6EA" w14:textId="77777777">
      <w:pPr>
        <w:pStyle w:val="ListParagraph"/>
        <w:spacing w:after="0" w:line="240" w:lineRule="auto"/>
        <w:ind w:left="1080"/>
        <w:rPr>
          <w:rFonts w:ascii="Times New Roman" w:hAnsi="Times New Roman"/>
          <w:b/>
          <w:sz w:val="24"/>
          <w:szCs w:val="24"/>
        </w:rPr>
      </w:pPr>
    </w:p>
    <w:tbl>
      <w:tblPr>
        <w:tblW w:w="8190" w:type="dxa"/>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40"/>
        <w:gridCol w:w="3060"/>
        <w:gridCol w:w="1890"/>
      </w:tblGrid>
      <w:tr w14:paraId="6936DD10" w14:textId="77777777" w:rsidTr="003F6658">
        <w:tblPrEx>
          <w:tblW w:w="8190" w:type="dxa"/>
          <w:tblInd w:w="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90"/>
        </w:trPr>
        <w:tc>
          <w:tcPr>
            <w:tcW w:w="3240" w:type="dxa"/>
            <w:tcMar>
              <w:top w:w="0" w:type="dxa"/>
              <w:left w:w="108" w:type="dxa"/>
              <w:bottom w:w="0" w:type="dxa"/>
              <w:right w:w="108" w:type="dxa"/>
            </w:tcMar>
            <w:hideMark/>
          </w:tcPr>
          <w:p w:rsidR="00252875" w14:paraId="1D3EA57B" w14:textId="77777777">
            <w:pPr>
              <w:snapToGrid w:val="0"/>
              <w:rPr>
                <w:b/>
                <w:bCs/>
                <w:color w:val="000000"/>
                <w:sz w:val="24"/>
                <w:szCs w:val="24"/>
                <w:lang w:eastAsia="en-US"/>
              </w:rPr>
            </w:pPr>
            <w:r>
              <w:rPr>
                <w:b/>
                <w:bCs/>
                <w:color w:val="000000"/>
                <w:sz w:val="24"/>
                <w:szCs w:val="24"/>
              </w:rPr>
              <w:t>Description of Cost Factor</w:t>
            </w:r>
          </w:p>
        </w:tc>
        <w:tc>
          <w:tcPr>
            <w:tcW w:w="3060" w:type="dxa"/>
            <w:tcMar>
              <w:top w:w="0" w:type="dxa"/>
              <w:left w:w="108" w:type="dxa"/>
              <w:bottom w:w="0" w:type="dxa"/>
              <w:right w:w="108" w:type="dxa"/>
            </w:tcMar>
            <w:hideMark/>
          </w:tcPr>
          <w:p w:rsidR="00252875" w14:paraId="075F132A" w14:textId="77777777">
            <w:pPr>
              <w:snapToGrid w:val="0"/>
              <w:rPr>
                <w:b/>
                <w:bCs/>
                <w:color w:val="000000"/>
                <w:sz w:val="24"/>
                <w:szCs w:val="24"/>
              </w:rPr>
            </w:pPr>
            <w:r>
              <w:rPr>
                <w:b/>
                <w:bCs/>
                <w:color w:val="000000"/>
                <w:sz w:val="24"/>
                <w:szCs w:val="24"/>
              </w:rPr>
              <w:t>Methodology for Estimating Cost</w:t>
            </w:r>
          </w:p>
        </w:tc>
        <w:tc>
          <w:tcPr>
            <w:tcW w:w="1890" w:type="dxa"/>
            <w:tcMar>
              <w:top w:w="0" w:type="dxa"/>
              <w:left w:w="108" w:type="dxa"/>
              <w:bottom w:w="0" w:type="dxa"/>
              <w:right w:w="108" w:type="dxa"/>
            </w:tcMar>
            <w:hideMark/>
          </w:tcPr>
          <w:p w:rsidR="00252875" w14:paraId="656EDD90" w14:textId="77777777">
            <w:pPr>
              <w:snapToGrid w:val="0"/>
              <w:rPr>
                <w:b/>
                <w:bCs/>
                <w:color w:val="000000"/>
                <w:sz w:val="24"/>
                <w:szCs w:val="24"/>
              </w:rPr>
            </w:pPr>
            <w:r>
              <w:rPr>
                <w:b/>
                <w:bCs/>
                <w:color w:val="000000"/>
                <w:sz w:val="24"/>
                <w:szCs w:val="24"/>
              </w:rPr>
              <w:t>Cost in Dollars*</w:t>
            </w:r>
          </w:p>
        </w:tc>
      </w:tr>
      <w:tr w14:paraId="43FD171F" w14:textId="77777777" w:rsidTr="003F6658">
        <w:tblPrEx>
          <w:tblW w:w="8190" w:type="dxa"/>
          <w:tblInd w:w="1160" w:type="dxa"/>
          <w:tblCellMar>
            <w:left w:w="0" w:type="dxa"/>
            <w:right w:w="0" w:type="dxa"/>
          </w:tblCellMar>
          <w:tblLook w:val="04A0"/>
        </w:tblPrEx>
        <w:trPr>
          <w:trHeight w:val="512"/>
        </w:trPr>
        <w:tc>
          <w:tcPr>
            <w:tcW w:w="3240" w:type="dxa"/>
            <w:tcMar>
              <w:top w:w="0" w:type="dxa"/>
              <w:left w:w="108" w:type="dxa"/>
              <w:bottom w:w="0" w:type="dxa"/>
              <w:right w:w="108" w:type="dxa"/>
            </w:tcMar>
            <w:hideMark/>
          </w:tcPr>
          <w:p w:rsidR="00252875" w14:paraId="78CBA366" w14:textId="77777777">
            <w:pPr>
              <w:snapToGrid w:val="0"/>
              <w:rPr>
                <w:color w:val="000000"/>
                <w:sz w:val="24"/>
                <w:szCs w:val="24"/>
              </w:rPr>
            </w:pPr>
            <w:r>
              <w:rPr>
                <w:color w:val="000000"/>
                <w:sz w:val="24"/>
                <w:szCs w:val="24"/>
              </w:rPr>
              <w:t>Designing and Printing the Form</w:t>
            </w:r>
          </w:p>
        </w:tc>
        <w:tc>
          <w:tcPr>
            <w:tcW w:w="3060" w:type="dxa"/>
            <w:tcMar>
              <w:top w:w="0" w:type="dxa"/>
              <w:left w:w="108" w:type="dxa"/>
              <w:bottom w:w="0" w:type="dxa"/>
              <w:right w:w="108" w:type="dxa"/>
            </w:tcMar>
            <w:hideMark/>
          </w:tcPr>
          <w:p w:rsidR="00252875" w14:paraId="3748722C" w14:textId="77777777">
            <w:pPr>
              <w:snapToGrid w:val="0"/>
              <w:rPr>
                <w:color w:val="000000"/>
                <w:sz w:val="24"/>
                <w:szCs w:val="24"/>
              </w:rPr>
            </w:pPr>
            <w:r>
              <w:rPr>
                <w:color w:val="000000"/>
                <w:sz w:val="24"/>
                <w:szCs w:val="24"/>
              </w:rPr>
              <w:t>Design Cost + Printing Cost</w:t>
            </w:r>
          </w:p>
        </w:tc>
        <w:tc>
          <w:tcPr>
            <w:tcW w:w="1890" w:type="dxa"/>
            <w:tcMar>
              <w:top w:w="0" w:type="dxa"/>
              <w:left w:w="108" w:type="dxa"/>
              <w:bottom w:w="0" w:type="dxa"/>
              <w:right w:w="108" w:type="dxa"/>
            </w:tcMar>
            <w:hideMark/>
          </w:tcPr>
          <w:p w:rsidR="00252875" w14:paraId="7150CE09" w14:textId="77777777">
            <w:pPr>
              <w:snapToGrid w:val="0"/>
              <w:jc w:val="right"/>
              <w:rPr>
                <w:color w:val="000000"/>
                <w:sz w:val="24"/>
                <w:szCs w:val="24"/>
              </w:rPr>
            </w:pPr>
            <w:r>
              <w:rPr>
                <w:color w:val="000000"/>
                <w:sz w:val="24"/>
                <w:szCs w:val="24"/>
              </w:rPr>
              <w:t>$8,370</w:t>
            </w:r>
          </w:p>
        </w:tc>
      </w:tr>
      <w:tr w14:paraId="2028F50B" w14:textId="77777777" w:rsidTr="003F6658">
        <w:tblPrEx>
          <w:tblW w:w="8190" w:type="dxa"/>
          <w:tblInd w:w="1160" w:type="dxa"/>
          <w:tblCellMar>
            <w:left w:w="0" w:type="dxa"/>
            <w:right w:w="0" w:type="dxa"/>
          </w:tblCellMar>
          <w:tblLook w:val="04A0"/>
        </w:tblPrEx>
        <w:trPr>
          <w:trHeight w:val="547"/>
        </w:trPr>
        <w:tc>
          <w:tcPr>
            <w:tcW w:w="3240" w:type="dxa"/>
            <w:tcMar>
              <w:top w:w="0" w:type="dxa"/>
              <w:left w:w="108" w:type="dxa"/>
              <w:bottom w:w="0" w:type="dxa"/>
              <w:right w:w="108" w:type="dxa"/>
            </w:tcMar>
            <w:hideMark/>
          </w:tcPr>
          <w:p w:rsidR="00252875" w14:paraId="5F6CD0CF" w14:textId="77777777">
            <w:pPr>
              <w:snapToGrid w:val="0"/>
              <w:rPr>
                <w:color w:val="000000"/>
                <w:sz w:val="24"/>
                <w:szCs w:val="24"/>
              </w:rPr>
            </w:pPr>
            <w:r>
              <w:rPr>
                <w:color w:val="000000"/>
                <w:sz w:val="24"/>
                <w:szCs w:val="24"/>
              </w:rPr>
              <w:t>Distributing, Shipping, and Material Costs for the Form</w:t>
            </w:r>
          </w:p>
        </w:tc>
        <w:tc>
          <w:tcPr>
            <w:tcW w:w="3060" w:type="dxa"/>
            <w:tcMar>
              <w:top w:w="0" w:type="dxa"/>
              <w:left w:w="108" w:type="dxa"/>
              <w:bottom w:w="0" w:type="dxa"/>
              <w:right w:w="108" w:type="dxa"/>
            </w:tcMar>
            <w:hideMark/>
          </w:tcPr>
          <w:p w:rsidR="00252875" w14:paraId="6C937927" w14:textId="77777777">
            <w:pPr>
              <w:snapToGrid w:val="0"/>
              <w:rPr>
                <w:color w:val="000000"/>
                <w:sz w:val="24"/>
                <w:szCs w:val="24"/>
              </w:rPr>
            </w:pPr>
            <w:r>
              <w:rPr>
                <w:color w:val="000000"/>
                <w:sz w:val="24"/>
                <w:szCs w:val="24"/>
              </w:rPr>
              <w:t>Distribution + Shipping + Material Cost</w:t>
            </w:r>
          </w:p>
        </w:tc>
        <w:tc>
          <w:tcPr>
            <w:tcW w:w="1890" w:type="dxa"/>
            <w:tcMar>
              <w:top w:w="0" w:type="dxa"/>
              <w:left w:w="108" w:type="dxa"/>
              <w:bottom w:w="0" w:type="dxa"/>
              <w:right w:w="108" w:type="dxa"/>
            </w:tcMar>
            <w:hideMark/>
          </w:tcPr>
          <w:p w:rsidR="00252875" w14:paraId="709BB2D8" w14:textId="77777777">
            <w:pPr>
              <w:snapToGrid w:val="0"/>
              <w:jc w:val="right"/>
              <w:rPr>
                <w:color w:val="000000"/>
                <w:sz w:val="24"/>
                <w:szCs w:val="24"/>
              </w:rPr>
            </w:pPr>
            <w:r>
              <w:rPr>
                <w:color w:val="000000"/>
                <w:sz w:val="24"/>
                <w:szCs w:val="24"/>
              </w:rPr>
              <w:t>$5,175</w:t>
            </w:r>
          </w:p>
        </w:tc>
      </w:tr>
      <w:tr w14:paraId="2A817CA6" w14:textId="77777777" w:rsidTr="003F6658">
        <w:tblPrEx>
          <w:tblW w:w="8190" w:type="dxa"/>
          <w:tblInd w:w="1160" w:type="dxa"/>
          <w:tblCellMar>
            <w:left w:w="0" w:type="dxa"/>
            <w:right w:w="0" w:type="dxa"/>
          </w:tblCellMar>
          <w:tblLook w:val="04A0"/>
        </w:tblPrEx>
        <w:trPr>
          <w:trHeight w:val="1150"/>
        </w:trPr>
        <w:tc>
          <w:tcPr>
            <w:tcW w:w="3240" w:type="dxa"/>
            <w:tcMar>
              <w:top w:w="0" w:type="dxa"/>
              <w:left w:w="108" w:type="dxa"/>
              <w:bottom w:w="0" w:type="dxa"/>
              <w:right w:w="108" w:type="dxa"/>
            </w:tcMar>
            <w:hideMark/>
          </w:tcPr>
          <w:p w:rsidR="00252875" w14:paraId="5E4D621D" w14:textId="77777777">
            <w:pPr>
              <w:snapToGrid w:val="0"/>
              <w:rPr>
                <w:color w:val="000000"/>
                <w:sz w:val="24"/>
                <w:szCs w:val="24"/>
              </w:rPr>
            </w:pPr>
            <w:r>
              <w:rPr>
                <w:color w:val="000000"/>
                <w:sz w:val="24"/>
                <w:szCs w:val="24"/>
              </w:rPr>
              <w:t>SSA Employee (e.g., field office, 800 number, DDS staff) Information Collection and Processing Time</w:t>
            </w:r>
          </w:p>
        </w:tc>
        <w:tc>
          <w:tcPr>
            <w:tcW w:w="3060" w:type="dxa"/>
            <w:tcMar>
              <w:top w:w="0" w:type="dxa"/>
              <w:left w:w="108" w:type="dxa"/>
              <w:bottom w:w="0" w:type="dxa"/>
              <w:right w:w="108" w:type="dxa"/>
            </w:tcMar>
            <w:hideMark/>
          </w:tcPr>
          <w:p w:rsidR="00252875" w14:paraId="59B9D870" w14:textId="77777777">
            <w:pPr>
              <w:snapToGrid w:val="0"/>
              <w:rPr>
                <w:color w:val="000000"/>
                <w:sz w:val="24"/>
                <w:szCs w:val="24"/>
              </w:rPr>
            </w:pPr>
            <w:r>
              <w:rPr>
                <w:color w:val="000000"/>
                <w:sz w:val="24"/>
                <w:szCs w:val="24"/>
              </w:rPr>
              <w:t>GS-9 employee x # of responses x processing time</w:t>
            </w:r>
          </w:p>
        </w:tc>
        <w:tc>
          <w:tcPr>
            <w:tcW w:w="1890" w:type="dxa"/>
            <w:tcMar>
              <w:top w:w="0" w:type="dxa"/>
              <w:left w:w="108" w:type="dxa"/>
              <w:bottom w:w="0" w:type="dxa"/>
              <w:right w:w="108" w:type="dxa"/>
            </w:tcMar>
            <w:hideMark/>
          </w:tcPr>
          <w:p w:rsidR="00252875" w14:paraId="49B11BBA" w14:textId="77777777">
            <w:pPr>
              <w:snapToGrid w:val="0"/>
              <w:jc w:val="right"/>
              <w:rPr>
                <w:color w:val="000000"/>
                <w:sz w:val="24"/>
                <w:szCs w:val="24"/>
              </w:rPr>
            </w:pPr>
            <w:r>
              <w:rPr>
                <w:color w:val="000000"/>
                <w:sz w:val="24"/>
                <w:szCs w:val="24"/>
              </w:rPr>
              <w:t>$903,292</w:t>
            </w:r>
          </w:p>
        </w:tc>
      </w:tr>
      <w:tr w14:paraId="7AF2D67C" w14:textId="77777777" w:rsidTr="003F6658">
        <w:tblPrEx>
          <w:tblW w:w="8190" w:type="dxa"/>
          <w:tblInd w:w="1160" w:type="dxa"/>
          <w:tblCellMar>
            <w:left w:w="0" w:type="dxa"/>
            <w:right w:w="0" w:type="dxa"/>
          </w:tblCellMar>
          <w:tblLook w:val="04A0"/>
        </w:tblPrEx>
        <w:trPr>
          <w:trHeight w:val="745"/>
        </w:trPr>
        <w:tc>
          <w:tcPr>
            <w:tcW w:w="3240" w:type="dxa"/>
            <w:tcMar>
              <w:top w:w="0" w:type="dxa"/>
              <w:left w:w="108" w:type="dxa"/>
              <w:bottom w:w="0" w:type="dxa"/>
              <w:right w:w="108" w:type="dxa"/>
            </w:tcMar>
            <w:hideMark/>
          </w:tcPr>
          <w:p w:rsidR="00252875" w14:paraId="4497AA1F" w14:textId="77777777">
            <w:pPr>
              <w:snapToGrid w:val="0"/>
              <w:rPr>
                <w:color w:val="000000"/>
                <w:sz w:val="24"/>
                <w:szCs w:val="24"/>
              </w:rPr>
            </w:pPr>
            <w:r>
              <w:rPr>
                <w:color w:val="000000"/>
                <w:sz w:val="24"/>
                <w:szCs w:val="24"/>
              </w:rPr>
              <w:t>Full-Time Equivalent Costs</w:t>
            </w:r>
          </w:p>
        </w:tc>
        <w:tc>
          <w:tcPr>
            <w:tcW w:w="3060" w:type="dxa"/>
            <w:tcMar>
              <w:top w:w="0" w:type="dxa"/>
              <w:left w:w="108" w:type="dxa"/>
              <w:bottom w:w="0" w:type="dxa"/>
              <w:right w:w="108" w:type="dxa"/>
            </w:tcMar>
            <w:hideMark/>
          </w:tcPr>
          <w:p w:rsidR="00252875" w14:paraId="09663B7C" w14:textId="77777777">
            <w:pPr>
              <w:snapToGrid w:val="0"/>
              <w:rPr>
                <w:color w:val="000000"/>
                <w:sz w:val="24"/>
                <w:szCs w:val="24"/>
              </w:rPr>
            </w:pPr>
            <w:r>
              <w:rPr>
                <w:color w:val="000000"/>
                <w:sz w:val="24"/>
                <w:szCs w:val="24"/>
              </w:rPr>
              <w:t>Out of pocket costs + Other expenses for providing this service</w:t>
            </w:r>
          </w:p>
        </w:tc>
        <w:tc>
          <w:tcPr>
            <w:tcW w:w="1890" w:type="dxa"/>
            <w:tcMar>
              <w:top w:w="0" w:type="dxa"/>
              <w:left w:w="108" w:type="dxa"/>
              <w:bottom w:w="0" w:type="dxa"/>
              <w:right w:w="108" w:type="dxa"/>
            </w:tcMar>
            <w:hideMark/>
          </w:tcPr>
          <w:p w:rsidR="00252875" w14:paraId="3204BDD1" w14:textId="57730CA3">
            <w:pPr>
              <w:snapToGrid w:val="0"/>
              <w:jc w:val="right"/>
              <w:rPr>
                <w:color w:val="000000"/>
                <w:sz w:val="24"/>
                <w:szCs w:val="24"/>
              </w:rPr>
            </w:pPr>
            <w:r>
              <w:rPr>
                <w:color w:val="000000"/>
                <w:sz w:val="24"/>
                <w:szCs w:val="24"/>
              </w:rPr>
              <w:t>$0</w:t>
            </w:r>
            <w:r w:rsidR="00E83E4B">
              <w:rPr>
                <w:color w:val="000000"/>
                <w:sz w:val="24"/>
                <w:szCs w:val="24"/>
              </w:rPr>
              <w:t>*</w:t>
            </w:r>
          </w:p>
        </w:tc>
      </w:tr>
      <w:tr w14:paraId="1568A218" w14:textId="77777777" w:rsidTr="003F6658">
        <w:tblPrEx>
          <w:tblW w:w="8190" w:type="dxa"/>
          <w:tblInd w:w="1160" w:type="dxa"/>
          <w:tblCellMar>
            <w:left w:w="0" w:type="dxa"/>
            <w:right w:w="0" w:type="dxa"/>
          </w:tblCellMar>
          <w:tblLook w:val="04A0"/>
        </w:tblPrEx>
        <w:trPr>
          <w:trHeight w:val="880"/>
        </w:trPr>
        <w:tc>
          <w:tcPr>
            <w:tcW w:w="3240" w:type="dxa"/>
            <w:tcMar>
              <w:top w:w="0" w:type="dxa"/>
              <w:left w:w="108" w:type="dxa"/>
              <w:bottom w:w="0" w:type="dxa"/>
              <w:right w:w="108" w:type="dxa"/>
            </w:tcMar>
            <w:hideMark/>
          </w:tcPr>
          <w:p w:rsidR="00252875" w14:paraId="511B51E6" w14:textId="77777777">
            <w:pPr>
              <w:snapToGrid w:val="0"/>
              <w:rPr>
                <w:color w:val="000000"/>
                <w:sz w:val="24"/>
                <w:szCs w:val="24"/>
              </w:rPr>
            </w:pPr>
            <w:r>
              <w:rPr>
                <w:color w:val="000000"/>
                <w:sz w:val="24"/>
                <w:szCs w:val="24"/>
              </w:rPr>
              <w:t>Systems Development, Updating, and Maintenance</w:t>
            </w:r>
          </w:p>
        </w:tc>
        <w:tc>
          <w:tcPr>
            <w:tcW w:w="3060" w:type="dxa"/>
            <w:tcMar>
              <w:top w:w="0" w:type="dxa"/>
              <w:left w:w="108" w:type="dxa"/>
              <w:bottom w:w="0" w:type="dxa"/>
              <w:right w:w="108" w:type="dxa"/>
            </w:tcMar>
            <w:hideMark/>
          </w:tcPr>
          <w:p w:rsidR="00252875" w14:paraId="2021D254" w14:textId="77777777">
            <w:pPr>
              <w:snapToGrid w:val="0"/>
              <w:rPr>
                <w:color w:val="000000"/>
                <w:sz w:val="24"/>
                <w:szCs w:val="24"/>
              </w:rPr>
            </w:pPr>
            <w:r>
              <w:rPr>
                <w:color w:val="000000"/>
                <w:sz w:val="24"/>
                <w:szCs w:val="24"/>
              </w:rPr>
              <w:t>GS-9 employee x man hours for development, updating, maintenance</w:t>
            </w:r>
          </w:p>
        </w:tc>
        <w:tc>
          <w:tcPr>
            <w:tcW w:w="1890" w:type="dxa"/>
            <w:tcMar>
              <w:top w:w="0" w:type="dxa"/>
              <w:left w:w="108" w:type="dxa"/>
              <w:bottom w:w="0" w:type="dxa"/>
              <w:right w:w="108" w:type="dxa"/>
            </w:tcMar>
            <w:hideMark/>
          </w:tcPr>
          <w:p w:rsidR="00252875" w14:paraId="4C8E97F6" w14:textId="1ABA432C">
            <w:pPr>
              <w:snapToGrid w:val="0"/>
              <w:jc w:val="right"/>
              <w:rPr>
                <w:color w:val="000000"/>
                <w:sz w:val="24"/>
                <w:szCs w:val="24"/>
              </w:rPr>
            </w:pPr>
            <w:r>
              <w:rPr>
                <w:color w:val="000000"/>
                <w:sz w:val="24"/>
                <w:szCs w:val="24"/>
              </w:rPr>
              <w:t>$</w:t>
            </w:r>
            <w:r w:rsidRPr="00521B56" w:rsidR="00521B56">
              <w:rPr>
                <w:sz w:val="24"/>
                <w:szCs w:val="24"/>
              </w:rPr>
              <w:t>6,620</w:t>
            </w:r>
          </w:p>
        </w:tc>
      </w:tr>
      <w:tr w14:paraId="03D95933" w14:textId="77777777" w:rsidTr="003F6658">
        <w:tblPrEx>
          <w:tblW w:w="8190" w:type="dxa"/>
          <w:tblInd w:w="1160" w:type="dxa"/>
          <w:tblCellMar>
            <w:left w:w="0" w:type="dxa"/>
            <w:right w:w="0" w:type="dxa"/>
          </w:tblCellMar>
          <w:tblLook w:val="04A0"/>
        </w:tblPrEx>
        <w:trPr>
          <w:trHeight w:val="340"/>
        </w:trPr>
        <w:tc>
          <w:tcPr>
            <w:tcW w:w="3240" w:type="dxa"/>
            <w:tcMar>
              <w:top w:w="0" w:type="dxa"/>
              <w:left w:w="108" w:type="dxa"/>
              <w:bottom w:w="0" w:type="dxa"/>
              <w:right w:w="108" w:type="dxa"/>
            </w:tcMar>
            <w:hideMark/>
          </w:tcPr>
          <w:p w:rsidR="00252875" w14:paraId="6A1F3182" w14:textId="77777777">
            <w:pPr>
              <w:snapToGrid w:val="0"/>
              <w:rPr>
                <w:color w:val="000000"/>
                <w:sz w:val="24"/>
                <w:szCs w:val="24"/>
              </w:rPr>
            </w:pPr>
            <w:r>
              <w:rPr>
                <w:color w:val="000000"/>
                <w:sz w:val="24"/>
                <w:szCs w:val="24"/>
              </w:rPr>
              <w:t>Quantifiable IT Costs</w:t>
            </w:r>
          </w:p>
        </w:tc>
        <w:tc>
          <w:tcPr>
            <w:tcW w:w="3060" w:type="dxa"/>
            <w:tcMar>
              <w:top w:w="0" w:type="dxa"/>
              <w:left w:w="108" w:type="dxa"/>
              <w:bottom w:w="0" w:type="dxa"/>
              <w:right w:w="108" w:type="dxa"/>
            </w:tcMar>
            <w:hideMark/>
          </w:tcPr>
          <w:p w:rsidR="00252875" w14:paraId="49BB2A4F" w14:textId="77777777">
            <w:pPr>
              <w:snapToGrid w:val="0"/>
              <w:rPr>
                <w:color w:val="000000"/>
                <w:sz w:val="24"/>
                <w:szCs w:val="24"/>
              </w:rPr>
            </w:pPr>
            <w:r>
              <w:rPr>
                <w:color w:val="000000"/>
                <w:sz w:val="24"/>
                <w:szCs w:val="24"/>
              </w:rPr>
              <w:t>Any additional IT costs</w:t>
            </w:r>
          </w:p>
        </w:tc>
        <w:tc>
          <w:tcPr>
            <w:tcW w:w="1890" w:type="dxa"/>
            <w:tcMar>
              <w:top w:w="0" w:type="dxa"/>
              <w:left w:w="108" w:type="dxa"/>
              <w:bottom w:w="0" w:type="dxa"/>
              <w:right w:w="108" w:type="dxa"/>
            </w:tcMar>
            <w:hideMark/>
          </w:tcPr>
          <w:p w:rsidR="00252875" w14:paraId="2C52E9A0" w14:textId="73B89E08">
            <w:pPr>
              <w:snapToGrid w:val="0"/>
              <w:jc w:val="right"/>
              <w:rPr>
                <w:color w:val="000000"/>
                <w:sz w:val="24"/>
                <w:szCs w:val="24"/>
              </w:rPr>
            </w:pPr>
            <w:r>
              <w:rPr>
                <w:color w:val="000000"/>
                <w:sz w:val="24"/>
                <w:szCs w:val="24"/>
              </w:rPr>
              <w:t>$0</w:t>
            </w:r>
            <w:r w:rsidR="00E83E4B">
              <w:rPr>
                <w:color w:val="000000"/>
                <w:sz w:val="24"/>
                <w:szCs w:val="24"/>
              </w:rPr>
              <w:t>*</w:t>
            </w:r>
          </w:p>
        </w:tc>
      </w:tr>
      <w:tr w14:paraId="0C86BCE6" w14:textId="77777777" w:rsidTr="003F6658">
        <w:tblPrEx>
          <w:tblW w:w="8190" w:type="dxa"/>
          <w:tblInd w:w="1160" w:type="dxa"/>
          <w:tblCellMar>
            <w:left w:w="0" w:type="dxa"/>
            <w:right w:w="0" w:type="dxa"/>
          </w:tblCellMar>
          <w:tblLook w:val="04A0"/>
        </w:tblPrEx>
        <w:trPr>
          <w:trHeight w:val="295"/>
        </w:trPr>
        <w:tc>
          <w:tcPr>
            <w:tcW w:w="3240" w:type="dxa"/>
            <w:tcMar>
              <w:top w:w="0" w:type="dxa"/>
              <w:left w:w="108" w:type="dxa"/>
              <w:bottom w:w="0" w:type="dxa"/>
              <w:right w:w="108" w:type="dxa"/>
            </w:tcMar>
            <w:hideMark/>
          </w:tcPr>
          <w:p w:rsidR="00252875" w:rsidRPr="0061265A" w14:paraId="443FA43D" w14:textId="77777777">
            <w:pPr>
              <w:snapToGrid w:val="0"/>
              <w:rPr>
                <w:b/>
                <w:color w:val="000000"/>
                <w:sz w:val="24"/>
                <w:szCs w:val="24"/>
              </w:rPr>
            </w:pPr>
            <w:r w:rsidRPr="0061265A">
              <w:rPr>
                <w:b/>
                <w:color w:val="000000"/>
                <w:sz w:val="24"/>
                <w:szCs w:val="24"/>
              </w:rPr>
              <w:t>Total</w:t>
            </w:r>
          </w:p>
        </w:tc>
        <w:tc>
          <w:tcPr>
            <w:tcW w:w="3060" w:type="dxa"/>
            <w:tcMar>
              <w:top w:w="0" w:type="dxa"/>
              <w:left w:w="108" w:type="dxa"/>
              <w:bottom w:w="0" w:type="dxa"/>
              <w:right w:w="108" w:type="dxa"/>
            </w:tcMar>
          </w:tcPr>
          <w:p w:rsidR="00252875" w:rsidRPr="0061265A" w14:paraId="588C802A" w14:textId="77777777">
            <w:pPr>
              <w:snapToGrid w:val="0"/>
              <w:rPr>
                <w:b/>
                <w:color w:val="000000"/>
                <w:sz w:val="24"/>
                <w:szCs w:val="24"/>
              </w:rPr>
            </w:pPr>
          </w:p>
        </w:tc>
        <w:tc>
          <w:tcPr>
            <w:tcW w:w="1890" w:type="dxa"/>
            <w:tcMar>
              <w:top w:w="0" w:type="dxa"/>
              <w:left w:w="108" w:type="dxa"/>
              <w:bottom w:w="0" w:type="dxa"/>
              <w:right w:w="108" w:type="dxa"/>
            </w:tcMar>
            <w:hideMark/>
          </w:tcPr>
          <w:p w:rsidR="00252875" w:rsidRPr="0061265A" w:rsidP="00521B56" w14:paraId="211DBA74" w14:textId="3B14EDD7">
            <w:pPr>
              <w:snapToGrid w:val="0"/>
              <w:jc w:val="right"/>
              <w:rPr>
                <w:b/>
                <w:color w:val="000000"/>
                <w:sz w:val="24"/>
                <w:szCs w:val="24"/>
              </w:rPr>
            </w:pPr>
            <w:r w:rsidRPr="0061265A">
              <w:rPr>
                <w:b/>
                <w:color w:val="000000"/>
                <w:sz w:val="24"/>
                <w:szCs w:val="24"/>
              </w:rPr>
              <w:t>$92</w:t>
            </w:r>
            <w:r w:rsidR="00521B56">
              <w:rPr>
                <w:b/>
                <w:color w:val="000000"/>
                <w:sz w:val="24"/>
                <w:szCs w:val="24"/>
              </w:rPr>
              <w:t>3</w:t>
            </w:r>
            <w:r w:rsidRPr="0061265A">
              <w:rPr>
                <w:b/>
                <w:color w:val="000000"/>
                <w:sz w:val="24"/>
                <w:szCs w:val="24"/>
              </w:rPr>
              <w:t>,</w:t>
            </w:r>
            <w:r w:rsidR="00521B56">
              <w:rPr>
                <w:b/>
                <w:color w:val="000000"/>
                <w:sz w:val="24"/>
                <w:szCs w:val="24"/>
              </w:rPr>
              <w:t>4</w:t>
            </w:r>
            <w:r w:rsidRPr="0061265A">
              <w:rPr>
                <w:b/>
                <w:color w:val="000000"/>
                <w:sz w:val="24"/>
                <w:szCs w:val="24"/>
              </w:rPr>
              <w:t>57</w:t>
            </w:r>
          </w:p>
        </w:tc>
      </w:tr>
    </w:tbl>
    <w:p w:rsidR="00252875" w:rsidRPr="00C11552" w:rsidP="008A7924" w14:paraId="2F86F9D7" w14:textId="77777777">
      <w:pPr>
        <w:pStyle w:val="ListParagraph"/>
        <w:spacing w:after="0" w:line="240" w:lineRule="auto"/>
        <w:ind w:left="1440"/>
        <w:rPr>
          <w:rFonts w:ascii="Times New Roman" w:hAnsi="Times New Roman"/>
          <w:sz w:val="24"/>
          <w:szCs w:val="24"/>
        </w:rPr>
      </w:pPr>
      <w:r w:rsidRPr="00C11552">
        <w:rPr>
          <w:rFonts w:ascii="Times New Roman" w:hAnsi="Times New Roman"/>
          <w:sz w:val="24"/>
          <w:szCs w:val="24"/>
        </w:rPr>
        <w:t>* We have inserted a $0 amount for cost factors that do not apply to this collection.</w:t>
      </w:r>
    </w:p>
    <w:p w:rsidR="00252875" w:rsidRPr="00C11552" w:rsidP="008A7924" w14:paraId="664B8AD3" w14:textId="77777777">
      <w:pPr>
        <w:pStyle w:val="ListParagraph"/>
        <w:spacing w:after="0" w:line="240" w:lineRule="auto"/>
        <w:ind w:left="1440"/>
        <w:rPr>
          <w:rFonts w:ascii="Times New Roman" w:hAnsi="Times New Roman"/>
          <w:sz w:val="24"/>
          <w:szCs w:val="24"/>
        </w:rPr>
      </w:pPr>
    </w:p>
    <w:p w:rsidR="00071D95" w:rsidRPr="00C11552" w:rsidP="008A7924" w14:paraId="476C4241" w14:textId="79B8A209">
      <w:pPr>
        <w:pStyle w:val="ListParagraph"/>
        <w:spacing w:after="0" w:line="240" w:lineRule="auto"/>
        <w:ind w:left="1440"/>
        <w:rPr>
          <w:rFonts w:ascii="Times New Roman" w:hAnsi="Times New Roman"/>
          <w:sz w:val="24"/>
          <w:szCs w:val="24"/>
        </w:rPr>
      </w:pPr>
      <w:r w:rsidRPr="00C11552">
        <w:rPr>
          <w:rFonts w:ascii="Times New Roman" w:hAnsi="Times New Roman"/>
          <w:sz w:val="24"/>
          <w:szCs w:val="24"/>
        </w:rPr>
        <w:t xml:space="preserve">SSA is unable to break down the costs to the Federal government further than we already have.  </w:t>
      </w:r>
      <w:r w:rsidR="0061265A">
        <w:rPr>
          <w:rFonts w:ascii="Times New Roman" w:hAnsi="Times New Roman"/>
          <w:sz w:val="24"/>
          <w:szCs w:val="24"/>
        </w:rPr>
        <w:t>I</w:t>
      </w:r>
      <w:r w:rsidRPr="00C11552">
        <w:rPr>
          <w:rFonts w:ascii="Times New Roman" w:hAnsi="Times New Roman"/>
          <w:sz w:val="24"/>
          <w:szCs w:val="24"/>
        </w:rPr>
        <w:t>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071D95" w:rsidRPr="00071D95" w:rsidP="008A7924" w14:paraId="2F571887" w14:textId="77777777">
      <w:pPr>
        <w:pStyle w:val="ListParagraph"/>
        <w:spacing w:after="0" w:line="240" w:lineRule="auto"/>
        <w:ind w:left="1080"/>
        <w:rPr>
          <w:rFonts w:ascii="Times New Roman" w:hAnsi="Times New Roman"/>
          <w:sz w:val="24"/>
          <w:szCs w:val="24"/>
        </w:rPr>
      </w:pPr>
    </w:p>
    <w:p w:rsidR="000239D0" w:rsidRPr="000239D0" w:rsidP="008A7924" w14:paraId="42A866D6" w14:textId="467E7C10">
      <w:pPr>
        <w:pStyle w:val="ListParagraph"/>
        <w:numPr>
          <w:ilvl w:val="0"/>
          <w:numId w:val="24"/>
        </w:numPr>
        <w:spacing w:after="0" w:line="240" w:lineRule="auto"/>
        <w:ind w:left="1440" w:hanging="720"/>
        <w:rPr>
          <w:rFonts w:ascii="Times New Roman" w:hAnsi="Times New Roman"/>
          <w:sz w:val="24"/>
          <w:szCs w:val="24"/>
        </w:rPr>
      </w:pPr>
      <w:r w:rsidRPr="000239D0">
        <w:rPr>
          <w:rFonts w:ascii="Times New Roman" w:hAnsi="Times New Roman"/>
          <w:b/>
          <w:bCs/>
          <w:sz w:val="24"/>
          <w:szCs w:val="24"/>
        </w:rPr>
        <w:t>Program Changes or Adjustments to the Information Collection Request</w:t>
      </w:r>
    </w:p>
    <w:p w:rsidR="00252875" w:rsidP="008A7924" w14:paraId="67805B85" w14:textId="0C1CD2AF">
      <w:pPr>
        <w:pStyle w:val="ListParagraph"/>
        <w:tabs>
          <w:tab w:val="left" w:pos="1440"/>
        </w:tabs>
        <w:spacing w:after="0" w:line="240" w:lineRule="auto"/>
        <w:ind w:left="1440"/>
        <w:rPr>
          <w:rFonts w:ascii="Times New Roman" w:hAnsi="Times New Roman"/>
          <w:sz w:val="24"/>
          <w:szCs w:val="24"/>
        </w:rPr>
      </w:pPr>
      <w:r w:rsidRPr="00C11552">
        <w:rPr>
          <w:rFonts w:ascii="Times New Roman" w:hAnsi="Times New Roman"/>
          <w:sz w:val="24"/>
          <w:szCs w:val="24"/>
        </w:rPr>
        <w:t>When we last cleared this IC in 201</w:t>
      </w:r>
      <w:r>
        <w:rPr>
          <w:rFonts w:ascii="Times New Roman" w:hAnsi="Times New Roman"/>
          <w:sz w:val="24"/>
          <w:szCs w:val="24"/>
        </w:rPr>
        <w:t>8</w:t>
      </w:r>
      <w:r w:rsidRPr="00C11552">
        <w:rPr>
          <w:rFonts w:ascii="Times New Roman" w:hAnsi="Times New Roman"/>
          <w:sz w:val="24"/>
          <w:szCs w:val="24"/>
        </w:rPr>
        <w:t xml:space="preserve">, the burden was </w:t>
      </w:r>
      <w:r>
        <w:rPr>
          <w:rFonts w:ascii="Times New Roman" w:hAnsi="Times New Roman"/>
          <w:sz w:val="24"/>
          <w:szCs w:val="24"/>
        </w:rPr>
        <w:t>35,000</w:t>
      </w:r>
      <w:r w:rsidRPr="00C11552">
        <w:rPr>
          <w:rFonts w:ascii="Times New Roman" w:hAnsi="Times New Roman"/>
          <w:sz w:val="24"/>
          <w:szCs w:val="24"/>
        </w:rPr>
        <w:t xml:space="preserve"> hours.  However, we are currently reporting a burden of </w:t>
      </w:r>
      <w:r w:rsidR="005A71B6">
        <w:rPr>
          <w:rFonts w:ascii="Times New Roman" w:hAnsi="Times New Roman"/>
          <w:sz w:val="24"/>
          <w:szCs w:val="24"/>
        </w:rPr>
        <w:t>104,225</w:t>
      </w:r>
      <w:r w:rsidRPr="00C11552">
        <w:rPr>
          <w:rFonts w:ascii="Times New Roman" w:hAnsi="Times New Roman"/>
          <w:sz w:val="24"/>
          <w:szCs w:val="24"/>
        </w:rPr>
        <w:t xml:space="preserve"> hours.  This change stems </w:t>
      </w:r>
      <w:r w:rsidR="00A027B9">
        <w:rPr>
          <w:rFonts w:ascii="Times New Roman" w:hAnsi="Times New Roman"/>
          <w:sz w:val="24"/>
          <w:szCs w:val="24"/>
        </w:rPr>
        <w:t xml:space="preserve">from </w:t>
      </w:r>
      <w:r w:rsidRPr="00C11552">
        <w:rPr>
          <w:rFonts w:ascii="Times New Roman" w:hAnsi="Times New Roman"/>
          <w:sz w:val="24"/>
          <w:szCs w:val="24"/>
        </w:rPr>
        <w:t xml:space="preserve">a decrease in the number of responses from </w:t>
      </w:r>
      <w:r w:rsidR="007C3609">
        <w:rPr>
          <w:rFonts w:ascii="Times New Roman" w:hAnsi="Times New Roman"/>
          <w:sz w:val="24"/>
          <w:szCs w:val="24"/>
        </w:rPr>
        <w:t xml:space="preserve">175,000 </w:t>
      </w:r>
      <w:r w:rsidRPr="00C11552">
        <w:rPr>
          <w:rFonts w:ascii="Times New Roman" w:hAnsi="Times New Roman"/>
          <w:sz w:val="24"/>
          <w:szCs w:val="24"/>
        </w:rPr>
        <w:t xml:space="preserve">to </w:t>
      </w:r>
      <w:r w:rsidR="007C3609">
        <w:rPr>
          <w:rFonts w:ascii="Times New Roman" w:hAnsi="Times New Roman"/>
          <w:sz w:val="24"/>
          <w:szCs w:val="24"/>
        </w:rPr>
        <w:t>151,600</w:t>
      </w:r>
      <w:r w:rsidRPr="00C11552">
        <w:rPr>
          <w:rFonts w:ascii="Times New Roman" w:hAnsi="Times New Roman"/>
          <w:sz w:val="24"/>
          <w:szCs w:val="24"/>
        </w:rPr>
        <w:t xml:space="preserve">.  </w:t>
      </w:r>
      <w:r w:rsidR="005A71B6">
        <w:rPr>
          <w:rFonts w:ascii="Times New Roman" w:hAnsi="Times New Roman"/>
          <w:sz w:val="24"/>
          <w:szCs w:val="24"/>
        </w:rPr>
        <w:t>In addition, we agreed with OMB to increase our burden per response for this form, which increased the overall burden for the ICR</w:t>
      </w:r>
      <w:r w:rsidRPr="00C11552">
        <w:rPr>
          <w:rFonts w:ascii="Times New Roman" w:hAnsi="Times New Roman"/>
          <w:sz w:val="24"/>
          <w:szCs w:val="24"/>
        </w:rPr>
        <w:t>.  Although the number of responses changed, SSA did not take any actions to cause this change.  These figures represent current Management Information data.</w:t>
      </w:r>
    </w:p>
    <w:p w:rsidR="008A7924" w:rsidP="008A7924" w14:paraId="380DFE42" w14:textId="77777777">
      <w:pPr>
        <w:pStyle w:val="ListParagraph"/>
        <w:tabs>
          <w:tab w:val="left" w:pos="1440"/>
        </w:tabs>
        <w:spacing w:after="0" w:line="240" w:lineRule="auto"/>
        <w:ind w:left="1440"/>
        <w:rPr>
          <w:rFonts w:ascii="Times New Roman" w:hAnsi="Times New Roman"/>
          <w:sz w:val="24"/>
          <w:szCs w:val="24"/>
        </w:rPr>
      </w:pPr>
    </w:p>
    <w:p w:rsidR="00D030D8" w:rsidRPr="00D030D8" w:rsidP="008A7924" w14:paraId="4488BB73" w14:textId="75863C9E">
      <w:pPr>
        <w:ind w:left="1440"/>
        <w:rPr>
          <w:b/>
          <w:bCs/>
          <w:iCs/>
          <w:sz w:val="24"/>
          <w:szCs w:val="24"/>
          <w:lang w:eastAsia="en-US" w:bidi="en-US"/>
        </w:rPr>
      </w:pPr>
      <w:r w:rsidRPr="00D030D8">
        <w:rPr>
          <w:color w:val="000000"/>
          <w:sz w:val="24"/>
          <w:szCs w:val="24"/>
          <w:lang w:eastAsia="en-US" w:bidi="en-US"/>
        </w:rPr>
        <w:t xml:space="preserve">Note: The total burden reflected in ROCIS is </w:t>
      </w:r>
      <w:r w:rsidR="005A71B6">
        <w:rPr>
          <w:b/>
          <w:bCs/>
          <w:color w:val="000000"/>
          <w:sz w:val="24"/>
          <w:szCs w:val="24"/>
          <w:lang w:eastAsia="en-US" w:bidi="en-US"/>
        </w:rPr>
        <w:t>123,175</w:t>
      </w:r>
      <w:r w:rsidRPr="00D030D8">
        <w:rPr>
          <w:color w:val="000000"/>
          <w:sz w:val="24"/>
          <w:szCs w:val="24"/>
          <w:lang w:eastAsia="en-US" w:bidi="en-US"/>
        </w:rPr>
        <w:t xml:space="preserve">, while the burden cited in #12 of the Supporting Statement is </w:t>
      </w:r>
      <w:r>
        <w:rPr>
          <w:b/>
          <w:bCs/>
          <w:color w:val="000000"/>
          <w:sz w:val="24"/>
          <w:szCs w:val="24"/>
          <w:lang w:eastAsia="en-US" w:bidi="en-US"/>
        </w:rPr>
        <w:t>104,225</w:t>
      </w:r>
      <w:r w:rsidRPr="00D030D8">
        <w:rPr>
          <w:color w:val="000000"/>
          <w:sz w:val="24"/>
          <w:szCs w:val="24"/>
          <w:lang w:eastAsia="en-US" w:bidi="en-US"/>
        </w:rPr>
        <w:t>.  This discrepancy is because the ROCIS burden reflects the following components:  field office waiting time + a rough estimate of a 30-minute, one-way, drive burden.  In contrast, the chart in #12 of the Supporting Statement reflects actual burden.</w:t>
      </w:r>
    </w:p>
    <w:p w:rsidR="00661D85" w:rsidRPr="008058FB" w:rsidP="008A7924" w14:paraId="5BC01EFA" w14:textId="77777777">
      <w:pPr>
        <w:pStyle w:val="ListParagraph"/>
        <w:tabs>
          <w:tab w:val="left" w:pos="1440"/>
        </w:tabs>
        <w:spacing w:after="0" w:line="240" w:lineRule="auto"/>
        <w:ind w:left="1440"/>
        <w:rPr>
          <w:rFonts w:ascii="Times New Roman" w:hAnsi="Times New Roman"/>
          <w:b/>
          <w:bCs/>
          <w:sz w:val="24"/>
          <w:szCs w:val="24"/>
        </w:rPr>
      </w:pPr>
    </w:p>
    <w:p w:rsidR="000239D0" w:rsidRPr="000239D0" w:rsidP="008A7924" w14:paraId="517DEC8B" w14:textId="39747EC4">
      <w:pPr>
        <w:pStyle w:val="ListParagraph"/>
        <w:numPr>
          <w:ilvl w:val="0"/>
          <w:numId w:val="24"/>
        </w:numPr>
        <w:tabs>
          <w:tab w:val="left" w:pos="1440"/>
        </w:tabs>
        <w:spacing w:after="0" w:line="240" w:lineRule="auto"/>
        <w:ind w:left="1440" w:hanging="720"/>
        <w:rPr>
          <w:rFonts w:ascii="Times New Roman" w:hAnsi="Times New Roman"/>
          <w:sz w:val="24"/>
          <w:szCs w:val="24"/>
        </w:rPr>
      </w:pPr>
      <w:r w:rsidRPr="000239D0">
        <w:rPr>
          <w:rFonts w:ascii="Times New Roman" w:hAnsi="Times New Roman"/>
          <w:b/>
          <w:bCs/>
          <w:sz w:val="24"/>
          <w:szCs w:val="24"/>
        </w:rPr>
        <w:t>Plans for Publication of Information Collection Results</w:t>
      </w:r>
    </w:p>
    <w:p w:rsidR="000239D0" w:rsidRPr="000239D0" w:rsidP="008A7924" w14:paraId="452FF141" w14:textId="76160A1F">
      <w:pPr>
        <w:pStyle w:val="ListParagraph"/>
        <w:tabs>
          <w:tab w:val="left" w:pos="1440"/>
        </w:tabs>
        <w:spacing w:after="0" w:line="240" w:lineRule="auto"/>
        <w:ind w:left="1440"/>
        <w:rPr>
          <w:rFonts w:ascii="Times New Roman" w:hAnsi="Times New Roman"/>
          <w:b/>
          <w:bCs/>
          <w:sz w:val="24"/>
          <w:szCs w:val="24"/>
        </w:rPr>
      </w:pPr>
      <w:r w:rsidRPr="000239D0">
        <w:rPr>
          <w:rFonts w:ascii="Times New Roman" w:hAnsi="Times New Roman"/>
          <w:bCs/>
          <w:sz w:val="24"/>
          <w:szCs w:val="24"/>
        </w:rPr>
        <w:t>SSA will not publish the results of the information collection.</w:t>
      </w:r>
    </w:p>
    <w:p w:rsidR="000239D0" w:rsidRPr="000239D0" w:rsidP="008A7924" w14:paraId="5B473276" w14:textId="77777777">
      <w:pPr>
        <w:pStyle w:val="ListParagraph"/>
        <w:tabs>
          <w:tab w:val="left" w:pos="1440"/>
        </w:tabs>
        <w:spacing w:after="0" w:line="240" w:lineRule="auto"/>
        <w:ind w:left="1440"/>
        <w:rPr>
          <w:rFonts w:ascii="Times New Roman" w:hAnsi="Times New Roman"/>
          <w:sz w:val="24"/>
          <w:szCs w:val="24"/>
        </w:rPr>
      </w:pPr>
    </w:p>
    <w:p w:rsidR="000239D0" w:rsidRPr="000239D0" w:rsidP="008A7924" w14:paraId="4B65A249" w14:textId="6D79478A">
      <w:pPr>
        <w:pStyle w:val="ListParagraph"/>
        <w:numPr>
          <w:ilvl w:val="0"/>
          <w:numId w:val="24"/>
        </w:numPr>
        <w:tabs>
          <w:tab w:val="left" w:pos="1440"/>
        </w:tabs>
        <w:spacing w:after="0" w:line="240" w:lineRule="auto"/>
        <w:ind w:left="1440" w:hanging="720"/>
        <w:rPr>
          <w:rFonts w:ascii="Times New Roman" w:hAnsi="Times New Roman"/>
          <w:sz w:val="24"/>
          <w:szCs w:val="24"/>
        </w:rPr>
      </w:pPr>
      <w:r w:rsidRPr="000239D0">
        <w:rPr>
          <w:rFonts w:ascii="Times New Roman" w:hAnsi="Times New Roman"/>
          <w:b/>
          <w:sz w:val="24"/>
          <w:szCs w:val="24"/>
        </w:rPr>
        <w:t>Displaying the OMB Approval Expiration Date</w:t>
      </w:r>
    </w:p>
    <w:p w:rsidR="000239D0" w:rsidRPr="00071D95" w:rsidP="008A7924" w14:paraId="374D8675" w14:textId="4D886842">
      <w:pPr>
        <w:pStyle w:val="ListParagraph"/>
        <w:tabs>
          <w:tab w:val="left" w:pos="1440"/>
        </w:tabs>
        <w:spacing w:after="0" w:line="240" w:lineRule="auto"/>
        <w:ind w:left="1440"/>
        <w:rPr>
          <w:rFonts w:ascii="Times New Roman" w:hAnsi="Times New Roman"/>
          <w:sz w:val="24"/>
          <w:szCs w:val="24"/>
        </w:rPr>
      </w:pPr>
      <w:r>
        <w:rPr>
          <w:rFonts w:ascii="Times New Roman" w:hAnsi="Times New Roman"/>
          <w:sz w:val="24"/>
          <w:szCs w:val="24"/>
        </w:rPr>
        <w:t xml:space="preserve">For the paper Form HA-520, </w:t>
      </w:r>
      <w:r w:rsidRPr="00071D95">
        <w:rPr>
          <w:rFonts w:ascii="Times New Roman" w:hAnsi="Times New Roman"/>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071D95" w:rsidRPr="00071D95" w:rsidP="008A7924" w14:paraId="4067D458" w14:textId="77777777">
      <w:pPr>
        <w:pStyle w:val="ListParagraph"/>
        <w:tabs>
          <w:tab w:val="left" w:pos="1440"/>
        </w:tabs>
        <w:spacing w:after="0" w:line="240" w:lineRule="auto"/>
        <w:ind w:left="1440"/>
        <w:rPr>
          <w:rFonts w:ascii="Times New Roman" w:hAnsi="Times New Roman"/>
          <w:sz w:val="24"/>
          <w:szCs w:val="24"/>
        </w:rPr>
      </w:pPr>
    </w:p>
    <w:p w:rsidR="00071D95" w:rsidRPr="00071D95" w:rsidP="008A7924" w14:paraId="6A4A15BF" w14:textId="42D31652">
      <w:pPr>
        <w:pStyle w:val="ListParagraph"/>
        <w:tabs>
          <w:tab w:val="left" w:pos="1440"/>
        </w:tabs>
        <w:spacing w:after="0" w:line="240" w:lineRule="auto"/>
        <w:ind w:left="1440"/>
        <w:rPr>
          <w:rFonts w:ascii="Times New Roman" w:hAnsi="Times New Roman"/>
          <w:sz w:val="24"/>
          <w:szCs w:val="24"/>
        </w:rPr>
      </w:pPr>
      <w:r>
        <w:rPr>
          <w:rFonts w:ascii="Times New Roman" w:hAnsi="Times New Roman"/>
          <w:sz w:val="24"/>
          <w:szCs w:val="24"/>
        </w:rPr>
        <w:t xml:space="preserve">For the i520, </w:t>
      </w:r>
      <w:r w:rsidRPr="00071D95">
        <w:rPr>
          <w:rFonts w:ascii="Times New Roman" w:hAnsi="Times New Roman"/>
          <w:sz w:val="24"/>
          <w:szCs w:val="24"/>
        </w:rPr>
        <w:t xml:space="preserve">SSA is not requesting an exception to the requirement to display </w:t>
      </w:r>
      <w:r>
        <w:rPr>
          <w:rFonts w:ascii="Times New Roman" w:hAnsi="Times New Roman"/>
          <w:sz w:val="24"/>
          <w:szCs w:val="24"/>
        </w:rPr>
        <w:t>the OMB approval expiration date</w:t>
      </w:r>
      <w:r w:rsidRPr="00071D95">
        <w:rPr>
          <w:rFonts w:ascii="Times New Roman" w:hAnsi="Times New Roman"/>
          <w:sz w:val="24"/>
          <w:szCs w:val="24"/>
        </w:rPr>
        <w:t>.</w:t>
      </w:r>
    </w:p>
    <w:p w:rsidR="000239D0" w:rsidRPr="000239D0" w:rsidP="008A7924" w14:paraId="1AD4C220" w14:textId="77777777">
      <w:pPr>
        <w:pStyle w:val="ListParagraph"/>
        <w:tabs>
          <w:tab w:val="left" w:pos="1440"/>
        </w:tabs>
        <w:spacing w:after="0" w:line="240" w:lineRule="auto"/>
        <w:ind w:left="1440"/>
        <w:rPr>
          <w:rFonts w:ascii="Times New Roman" w:hAnsi="Times New Roman"/>
          <w:sz w:val="24"/>
          <w:szCs w:val="24"/>
        </w:rPr>
      </w:pPr>
    </w:p>
    <w:p w:rsidR="000239D0" w:rsidRPr="000239D0" w:rsidP="008A7924" w14:paraId="3954C9E2" w14:textId="69E71352">
      <w:pPr>
        <w:pStyle w:val="ListParagraph"/>
        <w:numPr>
          <w:ilvl w:val="0"/>
          <w:numId w:val="24"/>
        </w:numPr>
        <w:tabs>
          <w:tab w:val="left" w:pos="1440"/>
        </w:tabs>
        <w:spacing w:after="0" w:line="240" w:lineRule="auto"/>
        <w:ind w:left="1440" w:hanging="720"/>
        <w:rPr>
          <w:rFonts w:ascii="Times New Roman" w:hAnsi="Times New Roman"/>
          <w:sz w:val="24"/>
          <w:szCs w:val="24"/>
        </w:rPr>
      </w:pPr>
      <w:r w:rsidRPr="000239D0">
        <w:rPr>
          <w:rFonts w:ascii="Times New Roman" w:hAnsi="Times New Roman"/>
          <w:b/>
          <w:sz w:val="24"/>
          <w:szCs w:val="24"/>
        </w:rPr>
        <w:t>Exceptions to Certification Statement</w:t>
      </w:r>
    </w:p>
    <w:p w:rsidR="000239D0" w:rsidRPr="000239D0" w:rsidP="008A7924" w14:paraId="560333BB" w14:textId="77777777">
      <w:pPr>
        <w:pStyle w:val="ListParagraph"/>
        <w:tabs>
          <w:tab w:val="left" w:pos="1440"/>
        </w:tabs>
        <w:spacing w:after="0" w:line="240" w:lineRule="auto"/>
        <w:ind w:left="1440"/>
        <w:rPr>
          <w:rFonts w:ascii="Times New Roman" w:hAnsi="Times New Roman"/>
          <w:sz w:val="24"/>
          <w:szCs w:val="24"/>
        </w:rPr>
      </w:pPr>
      <w:r w:rsidRPr="000239D0">
        <w:rPr>
          <w:rFonts w:ascii="Times New Roman" w:hAnsi="Times New Roman"/>
          <w:sz w:val="24"/>
          <w:szCs w:val="24"/>
        </w:rPr>
        <w:t xml:space="preserve">SSA is not requesting an exception to the certification requirements at </w:t>
      </w:r>
    </w:p>
    <w:p w:rsidR="00C82862" w:rsidP="008A7924" w14:paraId="57771200" w14:textId="2230B0CD">
      <w:pPr>
        <w:pStyle w:val="ListParagraph"/>
        <w:tabs>
          <w:tab w:val="left" w:pos="1440"/>
        </w:tabs>
        <w:spacing w:after="0" w:line="240" w:lineRule="auto"/>
        <w:ind w:left="1440"/>
        <w:rPr>
          <w:rFonts w:ascii="Times New Roman" w:hAnsi="Times New Roman"/>
          <w:i/>
          <w:sz w:val="24"/>
          <w:szCs w:val="24"/>
        </w:rPr>
      </w:pPr>
      <w:r w:rsidRPr="000239D0">
        <w:rPr>
          <w:rFonts w:ascii="Times New Roman" w:hAnsi="Times New Roman"/>
          <w:i/>
          <w:sz w:val="24"/>
          <w:szCs w:val="24"/>
        </w:rPr>
        <w:t>5 CFR 1320.9</w:t>
      </w:r>
      <w:r w:rsidRPr="000239D0">
        <w:rPr>
          <w:rFonts w:ascii="Times New Roman" w:hAnsi="Times New Roman"/>
          <w:sz w:val="24"/>
          <w:szCs w:val="24"/>
        </w:rPr>
        <w:t xml:space="preserve"> and related provisions at </w:t>
      </w:r>
      <w:r w:rsidRPr="000239D0">
        <w:rPr>
          <w:rFonts w:ascii="Times New Roman" w:hAnsi="Times New Roman"/>
          <w:i/>
          <w:sz w:val="24"/>
          <w:szCs w:val="24"/>
        </w:rPr>
        <w:t>5 CFR 1320.8(b)(3).</w:t>
      </w:r>
    </w:p>
    <w:p w:rsidR="00071D95" w:rsidRPr="000239D0" w:rsidP="008A7924" w14:paraId="40FB68C3" w14:textId="77777777">
      <w:pPr>
        <w:pStyle w:val="ListParagraph"/>
        <w:spacing w:after="0" w:line="240" w:lineRule="auto"/>
        <w:ind w:left="1080"/>
        <w:rPr>
          <w:rFonts w:ascii="Times New Roman" w:hAnsi="Times New Roman"/>
          <w:sz w:val="24"/>
          <w:szCs w:val="24"/>
        </w:rPr>
      </w:pPr>
    </w:p>
    <w:p w:rsidR="00E31202" w:rsidP="008A7924" w14:paraId="22D2CDBC" w14:textId="0BE000AC">
      <w:pPr>
        <w:pStyle w:val="ListParagraph"/>
        <w:numPr>
          <w:ilvl w:val="0"/>
          <w:numId w:val="23"/>
        </w:numPr>
        <w:spacing w:after="0" w:line="240" w:lineRule="auto"/>
        <w:ind w:hanging="540"/>
        <w:rPr>
          <w:rFonts w:ascii="Times New Roman" w:hAnsi="Times New Roman"/>
          <w:b/>
          <w:sz w:val="24"/>
          <w:szCs w:val="24"/>
          <w:u w:val="single"/>
        </w:rPr>
      </w:pPr>
      <w:r w:rsidRPr="000239D0">
        <w:rPr>
          <w:rFonts w:ascii="Times New Roman" w:hAnsi="Times New Roman"/>
          <w:b/>
          <w:sz w:val="24"/>
          <w:szCs w:val="24"/>
          <w:u w:val="single"/>
        </w:rPr>
        <w:t>Collections of Information Employing Statistical Methods</w:t>
      </w:r>
    </w:p>
    <w:p w:rsidR="008A7924" w:rsidRPr="00071D95" w:rsidP="008A7924" w14:paraId="2B868008" w14:textId="77777777">
      <w:pPr>
        <w:pStyle w:val="ListParagraph"/>
        <w:spacing w:after="0" w:line="240" w:lineRule="auto"/>
        <w:rPr>
          <w:rFonts w:ascii="Times New Roman" w:hAnsi="Times New Roman"/>
          <w:b/>
          <w:sz w:val="24"/>
          <w:szCs w:val="24"/>
          <w:u w:val="single"/>
        </w:rPr>
      </w:pPr>
    </w:p>
    <w:p w:rsidR="001613CD" w:rsidRPr="000239D0" w:rsidP="008A7924" w14:paraId="22D2CDF1" w14:textId="46183A66">
      <w:pPr>
        <w:ind w:left="1440"/>
        <w:rPr>
          <w:sz w:val="24"/>
          <w:szCs w:val="24"/>
        </w:rPr>
      </w:pPr>
      <w:r w:rsidRPr="000239D0">
        <w:rPr>
          <w:bCs/>
          <w:sz w:val="24"/>
          <w:szCs w:val="24"/>
        </w:rPr>
        <w:t>SSA did not use statistical methods for this information collection.</w:t>
      </w:r>
    </w:p>
    <w:sectPr>
      <w:footerReference w:type="default" r:id="rId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350D" w14:paraId="22D2CDFA" w14:textId="5118400F">
    <w:pPr>
      <w:pStyle w:val="Footer"/>
      <w:tabs>
        <w:tab w:val="clear" w:pos="8640"/>
        <w:tab w:val="right"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D7AB8"/>
    <w:multiLevelType w:val="singleLevel"/>
    <w:tmpl w:val="A5E2788C"/>
    <w:lvl w:ilvl="0">
      <w:start w:val="4"/>
      <w:numFmt w:val="decimal"/>
      <w:lvlText w:val="%1."/>
      <w:lvlJc w:val="left"/>
      <w:pPr>
        <w:tabs>
          <w:tab w:val="num" w:pos="1440"/>
        </w:tabs>
        <w:ind w:left="1440" w:hanging="720"/>
      </w:pPr>
    </w:lvl>
  </w:abstractNum>
  <w:abstractNum w:abstractNumId="1">
    <w:nsid w:val="075F04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097A4396"/>
    <w:multiLevelType w:val="hybridMultilevel"/>
    <w:tmpl w:val="27CC0638"/>
    <w:lvl w:ilvl="0">
      <w:start w:val="1"/>
      <w:numFmt w:val="upperLetter"/>
      <w:lvlText w:val="%1."/>
      <w:lvlJc w:val="left"/>
      <w:pPr>
        <w:ind w:left="720" w:hanging="360"/>
      </w:pPr>
      <w:rPr>
        <w:rFonts w:ascii="Times New Roman" w:hAnsi="Times New Roman" w:cs="Times New Roman"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A22D9E"/>
    <w:multiLevelType w:val="singleLevel"/>
    <w:tmpl w:val="A68256E4"/>
    <w:lvl w:ilvl="0">
      <w:start w:val="11"/>
      <w:numFmt w:val="decimal"/>
      <w:lvlText w:val="%1."/>
      <w:lvlJc w:val="left"/>
      <w:pPr>
        <w:tabs>
          <w:tab w:val="num" w:pos="1440"/>
        </w:tabs>
        <w:ind w:left="1440" w:hanging="720"/>
      </w:pPr>
      <w:rPr>
        <w:b w:val="0"/>
      </w:rPr>
    </w:lvl>
  </w:abstractNum>
  <w:abstractNum w:abstractNumId="4">
    <w:nsid w:val="125F0923"/>
    <w:multiLevelType w:val="singleLevel"/>
    <w:tmpl w:val="389C3ABE"/>
    <w:lvl w:ilvl="0">
      <w:start w:val="9"/>
      <w:numFmt w:val="decimal"/>
      <w:lvlText w:val="%1."/>
      <w:lvlJc w:val="left"/>
      <w:pPr>
        <w:tabs>
          <w:tab w:val="num" w:pos="1440"/>
        </w:tabs>
        <w:ind w:left="1440" w:hanging="720"/>
      </w:pPr>
    </w:lvl>
  </w:abstractNum>
  <w:abstractNum w:abstractNumId="5">
    <w:nsid w:val="17B95681"/>
    <w:multiLevelType w:val="singleLevel"/>
    <w:tmpl w:val="445A9C6C"/>
    <w:lvl w:ilvl="0">
      <w:start w:val="1"/>
      <w:numFmt w:val="bullet"/>
      <w:lvlText w:val=""/>
      <w:lvlJc w:val="left"/>
      <w:pPr>
        <w:tabs>
          <w:tab w:val="num" w:pos="720"/>
        </w:tabs>
        <w:ind w:left="720" w:hanging="360"/>
      </w:pPr>
      <w:rPr>
        <w:rFonts w:ascii="Wingdings" w:hAnsi="Wingdings" w:hint="default"/>
      </w:rPr>
    </w:lvl>
  </w:abstractNum>
  <w:abstractNum w:abstractNumId="6">
    <w:nsid w:val="17E02568"/>
    <w:multiLevelType w:val="singleLevel"/>
    <w:tmpl w:val="C6DEB228"/>
    <w:lvl w:ilvl="0">
      <w:start w:val="8"/>
      <w:numFmt w:val="decimal"/>
      <w:lvlText w:val="%1."/>
      <w:lvlJc w:val="left"/>
      <w:pPr>
        <w:tabs>
          <w:tab w:val="num" w:pos="1440"/>
        </w:tabs>
        <w:ind w:left="1440" w:hanging="720"/>
      </w:pPr>
      <w:rPr>
        <w:rFonts w:hint="default"/>
        <w:b w:val="0"/>
      </w:rPr>
    </w:lvl>
  </w:abstractNum>
  <w:abstractNum w:abstractNumId="7">
    <w:nsid w:val="19CF4E61"/>
    <w:multiLevelType w:val="singleLevel"/>
    <w:tmpl w:val="C3ECDE46"/>
    <w:lvl w:ilvl="0">
      <w:start w:val="1"/>
      <w:numFmt w:val="upperLetter"/>
      <w:pStyle w:val="Heading3"/>
      <w:lvlText w:val="%1."/>
      <w:lvlJc w:val="left"/>
      <w:pPr>
        <w:tabs>
          <w:tab w:val="num" w:pos="585"/>
        </w:tabs>
        <w:ind w:left="585" w:hanging="585"/>
      </w:pPr>
      <w:rPr>
        <w:rFonts w:hint="default"/>
        <w:u w:val="none"/>
      </w:rPr>
    </w:lvl>
  </w:abstractNum>
  <w:abstractNum w:abstractNumId="8">
    <w:nsid w:val="25F31213"/>
    <w:multiLevelType w:val="singleLevel"/>
    <w:tmpl w:val="A4E20FE8"/>
    <w:lvl w:ilvl="0">
      <w:start w:val="14"/>
      <w:numFmt w:val="decimal"/>
      <w:lvlText w:val="%1."/>
      <w:lvlJc w:val="left"/>
      <w:pPr>
        <w:tabs>
          <w:tab w:val="num" w:pos="1440"/>
        </w:tabs>
        <w:ind w:left="1440" w:hanging="720"/>
      </w:pPr>
      <w:rPr>
        <w:b w:val="0"/>
      </w:rPr>
    </w:lvl>
  </w:abstractNum>
  <w:abstractNum w:abstractNumId="9">
    <w:nsid w:val="311D55E0"/>
    <w:multiLevelType w:val="singleLevel"/>
    <w:tmpl w:val="B7666DA0"/>
    <w:lvl w:ilvl="0">
      <w:start w:val="12"/>
      <w:numFmt w:val="decimal"/>
      <w:lvlText w:val="%1."/>
      <w:lvlJc w:val="left"/>
      <w:pPr>
        <w:tabs>
          <w:tab w:val="num" w:pos="1440"/>
        </w:tabs>
        <w:ind w:left="1440" w:hanging="720"/>
      </w:pPr>
      <w:rPr>
        <w:b w:val="0"/>
      </w:rPr>
    </w:lvl>
  </w:abstractNum>
  <w:abstractNum w:abstractNumId="10">
    <w:nsid w:val="3CCF217F"/>
    <w:multiLevelType w:val="hybridMultilevel"/>
    <w:tmpl w:val="60FE78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3E1E90"/>
    <w:multiLevelType w:val="hybridMultilevel"/>
    <w:tmpl w:val="7FC05AF2"/>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6C073AB"/>
    <w:multiLevelType w:val="singleLevel"/>
    <w:tmpl w:val="08D63F60"/>
    <w:lvl w:ilvl="0">
      <w:start w:val="1"/>
      <w:numFmt w:val="upperLetter"/>
      <w:pStyle w:val="Heading4"/>
      <w:lvlText w:val="%1."/>
      <w:lvlJc w:val="left"/>
      <w:pPr>
        <w:tabs>
          <w:tab w:val="num" w:pos="720"/>
        </w:tabs>
        <w:ind w:left="720" w:hanging="720"/>
      </w:pPr>
      <w:rPr>
        <w:u w:val="none"/>
      </w:rPr>
    </w:lvl>
  </w:abstractNum>
  <w:abstractNum w:abstractNumId="13">
    <w:nsid w:val="4E41654C"/>
    <w:multiLevelType w:val="singleLevel"/>
    <w:tmpl w:val="A7FC147A"/>
    <w:lvl w:ilvl="0">
      <w:start w:val="1"/>
      <w:numFmt w:val="decimal"/>
      <w:lvlText w:val="%1."/>
      <w:lvlJc w:val="left"/>
      <w:pPr>
        <w:tabs>
          <w:tab w:val="num" w:pos="540"/>
        </w:tabs>
        <w:ind w:left="540" w:hanging="540"/>
      </w:pPr>
      <w:rPr>
        <w:rFonts w:hint="default"/>
      </w:rPr>
    </w:lvl>
  </w:abstractNum>
  <w:abstractNum w:abstractNumId="14">
    <w:nsid w:val="56C15F86"/>
    <w:multiLevelType w:val="hybridMultilevel"/>
    <w:tmpl w:val="88324F2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CF3898"/>
    <w:multiLevelType w:val="singleLevel"/>
    <w:tmpl w:val="34BC7EAC"/>
    <w:lvl w:ilvl="0">
      <w:start w:val="13"/>
      <w:numFmt w:val="decimal"/>
      <w:lvlText w:val="%1."/>
      <w:lvlJc w:val="left"/>
      <w:pPr>
        <w:tabs>
          <w:tab w:val="num" w:pos="1440"/>
        </w:tabs>
        <w:ind w:left="1440" w:hanging="720"/>
      </w:pPr>
      <w:rPr>
        <w:b w:val="0"/>
      </w:rPr>
    </w:lvl>
  </w:abstractNum>
  <w:abstractNum w:abstractNumId="16">
    <w:nsid w:val="5CE44E7E"/>
    <w:multiLevelType w:val="hybridMultilevel"/>
    <w:tmpl w:val="585C5736"/>
    <w:lvl w:ilvl="0">
      <w:start w:val="1"/>
      <w:numFmt w:val="decimal"/>
      <w:lvlText w:val="%1."/>
      <w:lvlJc w:val="left"/>
      <w:pPr>
        <w:ind w:left="1080" w:hanging="360"/>
      </w:pPr>
      <w:rPr>
        <w:rFonts w:ascii="Times New Roman" w:hAnsi="Times New Roman" w:cs="Times New Roman"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640902E2"/>
    <w:multiLevelType w:val="singleLevel"/>
    <w:tmpl w:val="843C9692"/>
    <w:lvl w:ilvl="0">
      <w:start w:val="8"/>
      <w:numFmt w:val="decimal"/>
      <w:lvlText w:val="%1."/>
      <w:lvlJc w:val="left"/>
      <w:pPr>
        <w:tabs>
          <w:tab w:val="num" w:pos="480"/>
        </w:tabs>
        <w:ind w:left="480" w:hanging="480"/>
      </w:pPr>
      <w:rPr>
        <w:rFonts w:hint="default"/>
      </w:rPr>
    </w:lvl>
  </w:abstractNum>
  <w:abstractNum w:abstractNumId="18">
    <w:nsid w:val="6EE466F0"/>
    <w:multiLevelType w:val="singleLevel"/>
    <w:tmpl w:val="B88C5F7C"/>
    <w:lvl w:ilvl="0">
      <w:start w:val="15"/>
      <w:numFmt w:val="decimal"/>
      <w:lvlText w:val="%1."/>
      <w:lvlJc w:val="left"/>
      <w:pPr>
        <w:tabs>
          <w:tab w:val="num" w:pos="1440"/>
        </w:tabs>
        <w:ind w:left="1440" w:hanging="720"/>
      </w:pPr>
      <w:rPr>
        <w:b w:val="0"/>
      </w:rPr>
    </w:lvl>
  </w:abstractNum>
  <w:abstractNum w:abstractNumId="19">
    <w:nsid w:val="70AD5F59"/>
    <w:multiLevelType w:val="singleLevel"/>
    <w:tmpl w:val="5994D5C2"/>
    <w:lvl w:ilvl="0">
      <w:start w:val="1"/>
      <w:numFmt w:val="decimal"/>
      <w:lvlText w:val="%1."/>
      <w:lvlJc w:val="left"/>
      <w:pPr>
        <w:tabs>
          <w:tab w:val="num" w:pos="1440"/>
        </w:tabs>
        <w:ind w:left="1440" w:hanging="720"/>
      </w:pPr>
    </w:lvl>
  </w:abstractNum>
  <w:abstractNum w:abstractNumId="20">
    <w:nsid w:val="73FE3A15"/>
    <w:multiLevelType w:val="singleLevel"/>
    <w:tmpl w:val="1298A3D8"/>
    <w:lvl w:ilvl="0">
      <w:start w:val="1"/>
      <w:numFmt w:val="bullet"/>
      <w:lvlText w:val=""/>
      <w:lvlJc w:val="left"/>
      <w:pPr>
        <w:tabs>
          <w:tab w:val="num" w:pos="900"/>
        </w:tabs>
        <w:ind w:left="900" w:hanging="360"/>
      </w:pPr>
      <w:rPr>
        <w:rFonts w:ascii="Symbol" w:hAnsi="Symbol" w:hint="default"/>
      </w:rPr>
    </w:lvl>
  </w:abstractNum>
  <w:abstractNum w:abstractNumId="21">
    <w:nsid w:val="740F3006"/>
    <w:multiLevelType w:val="singleLevel"/>
    <w:tmpl w:val="FFCAAD2C"/>
    <w:lvl w:ilvl="0">
      <w:start w:val="3"/>
      <w:numFmt w:val="decimal"/>
      <w:lvlText w:val="%1."/>
      <w:lvlJc w:val="left"/>
      <w:pPr>
        <w:tabs>
          <w:tab w:val="num" w:pos="1440"/>
        </w:tabs>
        <w:ind w:left="1440" w:hanging="720"/>
      </w:pPr>
      <w:rPr>
        <w:b w:val="0"/>
      </w:rPr>
    </w:lvl>
  </w:abstractNum>
  <w:abstractNum w:abstractNumId="22">
    <w:nsid w:val="758654D7"/>
    <w:multiLevelType w:val="hybridMultilevel"/>
    <w:tmpl w:val="E8107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8121772"/>
    <w:multiLevelType w:val="singleLevel"/>
    <w:tmpl w:val="37F2ADF2"/>
    <w:lvl w:ilvl="0">
      <w:start w:val="4"/>
      <w:numFmt w:val="decimal"/>
      <w:lvlText w:val="%1."/>
      <w:lvlJc w:val="left"/>
      <w:pPr>
        <w:tabs>
          <w:tab w:val="num" w:pos="540"/>
        </w:tabs>
        <w:ind w:left="540" w:hanging="540"/>
      </w:pPr>
      <w:rPr>
        <w:rFonts w:hint="default"/>
      </w:rPr>
    </w:lvl>
  </w:abstractNum>
  <w:abstractNum w:abstractNumId="24">
    <w:nsid w:val="7CA069EE"/>
    <w:multiLevelType w:val="singleLevel"/>
    <w:tmpl w:val="389C3ABE"/>
    <w:lvl w:ilvl="0">
      <w:start w:val="9"/>
      <w:numFmt w:val="decimal"/>
      <w:lvlText w:val="%1."/>
      <w:lvlJc w:val="left"/>
      <w:pPr>
        <w:tabs>
          <w:tab w:val="num" w:pos="1440"/>
        </w:tabs>
        <w:ind w:left="1440" w:hanging="720"/>
      </w:pPr>
    </w:lvl>
  </w:abstractNum>
  <w:abstractNum w:abstractNumId="25">
    <w:nsid w:val="7F257889"/>
    <w:multiLevelType w:val="singleLevel"/>
    <w:tmpl w:val="78F6EF7C"/>
    <w:lvl w:ilvl="0">
      <w:start w:val="1"/>
      <w:numFmt w:val="decimal"/>
      <w:lvlText w:val="%1."/>
      <w:lvlJc w:val="left"/>
      <w:pPr>
        <w:tabs>
          <w:tab w:val="num" w:pos="810"/>
        </w:tabs>
        <w:ind w:left="810" w:hanging="720"/>
      </w:pPr>
      <w:rPr>
        <w:b w:val="0"/>
      </w:rPr>
    </w:lvl>
  </w:abstractNum>
  <w:num w:numId="1" w16cid:durableId="1823041178">
    <w:abstractNumId w:val="7"/>
  </w:num>
  <w:num w:numId="2" w16cid:durableId="2141144418">
    <w:abstractNumId w:val="13"/>
  </w:num>
  <w:num w:numId="3" w16cid:durableId="141123867">
    <w:abstractNumId w:val="20"/>
  </w:num>
  <w:num w:numId="4" w16cid:durableId="63651476">
    <w:abstractNumId w:val="23"/>
  </w:num>
  <w:num w:numId="5" w16cid:durableId="203640790">
    <w:abstractNumId w:val="17"/>
  </w:num>
  <w:num w:numId="6" w16cid:durableId="2133206101">
    <w:abstractNumId w:val="1"/>
  </w:num>
  <w:num w:numId="7" w16cid:durableId="568155597">
    <w:abstractNumId w:val="12"/>
  </w:num>
  <w:num w:numId="8" w16cid:durableId="230972748">
    <w:abstractNumId w:val="25"/>
  </w:num>
  <w:num w:numId="9" w16cid:durableId="841050887">
    <w:abstractNumId w:val="19"/>
  </w:num>
  <w:num w:numId="10" w16cid:durableId="793016708">
    <w:abstractNumId w:val="24"/>
  </w:num>
  <w:num w:numId="11" w16cid:durableId="187836414">
    <w:abstractNumId w:val="4"/>
  </w:num>
  <w:num w:numId="12" w16cid:durableId="1841384617">
    <w:abstractNumId w:val="3"/>
  </w:num>
  <w:num w:numId="13" w16cid:durableId="232861696">
    <w:abstractNumId w:val="6"/>
  </w:num>
  <w:num w:numId="14" w16cid:durableId="1035428201">
    <w:abstractNumId w:val="5"/>
  </w:num>
  <w:num w:numId="15" w16cid:durableId="1887915066">
    <w:abstractNumId w:val="9"/>
  </w:num>
  <w:num w:numId="16" w16cid:durableId="21176484">
    <w:abstractNumId w:val="18"/>
  </w:num>
  <w:num w:numId="17" w16cid:durableId="1992559865">
    <w:abstractNumId w:val="15"/>
  </w:num>
  <w:num w:numId="18" w16cid:durableId="1437015858">
    <w:abstractNumId w:val="8"/>
  </w:num>
  <w:num w:numId="19" w16cid:durableId="1631666916">
    <w:abstractNumId w:val="21"/>
  </w:num>
  <w:num w:numId="20" w16cid:durableId="264001995">
    <w:abstractNumId w:val="0"/>
  </w:num>
  <w:num w:numId="21" w16cid:durableId="1169641251">
    <w:abstractNumId w:val="22"/>
  </w:num>
  <w:num w:numId="22" w16cid:durableId="1547065252">
    <w:abstractNumId w:val="10"/>
  </w:num>
  <w:num w:numId="23" w16cid:durableId="1842819156">
    <w:abstractNumId w:val="2"/>
  </w:num>
  <w:num w:numId="24" w16cid:durableId="99952223">
    <w:abstractNumId w:val="16"/>
  </w:num>
  <w:num w:numId="25" w16cid:durableId="787118570">
    <w:abstractNumId w:val="14"/>
  </w:num>
  <w:num w:numId="26" w16cid:durableId="5989545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2E"/>
    <w:rsid w:val="000047A5"/>
    <w:rsid w:val="00012339"/>
    <w:rsid w:val="000239D0"/>
    <w:rsid w:val="00026603"/>
    <w:rsid w:val="0003779B"/>
    <w:rsid w:val="00053434"/>
    <w:rsid w:val="000535D5"/>
    <w:rsid w:val="0005399A"/>
    <w:rsid w:val="00055B7C"/>
    <w:rsid w:val="00071D95"/>
    <w:rsid w:val="00074A35"/>
    <w:rsid w:val="00074D9F"/>
    <w:rsid w:val="00080BC1"/>
    <w:rsid w:val="000845DA"/>
    <w:rsid w:val="00094809"/>
    <w:rsid w:val="000A32A6"/>
    <w:rsid w:val="000A5F03"/>
    <w:rsid w:val="000B182C"/>
    <w:rsid w:val="000C205C"/>
    <w:rsid w:val="000C5B01"/>
    <w:rsid w:val="000D3957"/>
    <w:rsid w:val="000E51EC"/>
    <w:rsid w:val="000F17E9"/>
    <w:rsid w:val="000F3780"/>
    <w:rsid w:val="000F57DC"/>
    <w:rsid w:val="00101204"/>
    <w:rsid w:val="00111429"/>
    <w:rsid w:val="00115822"/>
    <w:rsid w:val="00121275"/>
    <w:rsid w:val="0012438E"/>
    <w:rsid w:val="0012744B"/>
    <w:rsid w:val="00132693"/>
    <w:rsid w:val="0013313A"/>
    <w:rsid w:val="00141CB9"/>
    <w:rsid w:val="00152DF5"/>
    <w:rsid w:val="00153026"/>
    <w:rsid w:val="00160C2E"/>
    <w:rsid w:val="001613CD"/>
    <w:rsid w:val="001650DB"/>
    <w:rsid w:val="00170D66"/>
    <w:rsid w:val="00173017"/>
    <w:rsid w:val="00180347"/>
    <w:rsid w:val="001825AC"/>
    <w:rsid w:val="00186773"/>
    <w:rsid w:val="00186873"/>
    <w:rsid w:val="00193C92"/>
    <w:rsid w:val="00194364"/>
    <w:rsid w:val="00194F9D"/>
    <w:rsid w:val="0019538E"/>
    <w:rsid w:val="001A0AF4"/>
    <w:rsid w:val="001A2421"/>
    <w:rsid w:val="001C4A70"/>
    <w:rsid w:val="001C6C19"/>
    <w:rsid w:val="001C76EC"/>
    <w:rsid w:val="001D4180"/>
    <w:rsid w:val="001D47F1"/>
    <w:rsid w:val="001E1A4E"/>
    <w:rsid w:val="001E3780"/>
    <w:rsid w:val="001E4C3A"/>
    <w:rsid w:val="001F215B"/>
    <w:rsid w:val="001F28E7"/>
    <w:rsid w:val="001F541E"/>
    <w:rsid w:val="002065D3"/>
    <w:rsid w:val="00213973"/>
    <w:rsid w:val="00222FA2"/>
    <w:rsid w:val="002333B7"/>
    <w:rsid w:val="00235F4C"/>
    <w:rsid w:val="00244743"/>
    <w:rsid w:val="00252875"/>
    <w:rsid w:val="00257D9A"/>
    <w:rsid w:val="00266D25"/>
    <w:rsid w:val="002770A7"/>
    <w:rsid w:val="00277F59"/>
    <w:rsid w:val="002845D6"/>
    <w:rsid w:val="002901CF"/>
    <w:rsid w:val="002947F4"/>
    <w:rsid w:val="002A51E4"/>
    <w:rsid w:val="002C34C5"/>
    <w:rsid w:val="002C6232"/>
    <w:rsid w:val="002D2B79"/>
    <w:rsid w:val="002E19BF"/>
    <w:rsid w:val="002E4A57"/>
    <w:rsid w:val="0030079A"/>
    <w:rsid w:val="00306059"/>
    <w:rsid w:val="00307142"/>
    <w:rsid w:val="003171D3"/>
    <w:rsid w:val="00322379"/>
    <w:rsid w:val="00330C94"/>
    <w:rsid w:val="003316CF"/>
    <w:rsid w:val="00334A0C"/>
    <w:rsid w:val="003451AD"/>
    <w:rsid w:val="003518CB"/>
    <w:rsid w:val="00351D29"/>
    <w:rsid w:val="0035568D"/>
    <w:rsid w:val="003605F0"/>
    <w:rsid w:val="00367DF7"/>
    <w:rsid w:val="00370577"/>
    <w:rsid w:val="00373C0C"/>
    <w:rsid w:val="00381118"/>
    <w:rsid w:val="0038572A"/>
    <w:rsid w:val="003909ED"/>
    <w:rsid w:val="00393121"/>
    <w:rsid w:val="003A00AE"/>
    <w:rsid w:val="003A0754"/>
    <w:rsid w:val="003A1D9E"/>
    <w:rsid w:val="003A39A9"/>
    <w:rsid w:val="003C70B9"/>
    <w:rsid w:val="003C72B1"/>
    <w:rsid w:val="003E36DD"/>
    <w:rsid w:val="003E6E43"/>
    <w:rsid w:val="003F046C"/>
    <w:rsid w:val="003F6658"/>
    <w:rsid w:val="00411E55"/>
    <w:rsid w:val="00413491"/>
    <w:rsid w:val="00413EA7"/>
    <w:rsid w:val="0042710B"/>
    <w:rsid w:val="00430929"/>
    <w:rsid w:val="00433DBC"/>
    <w:rsid w:val="0043630C"/>
    <w:rsid w:val="00446528"/>
    <w:rsid w:val="004474F9"/>
    <w:rsid w:val="004605A6"/>
    <w:rsid w:val="0046119F"/>
    <w:rsid w:val="0046199C"/>
    <w:rsid w:val="00464157"/>
    <w:rsid w:val="00466D51"/>
    <w:rsid w:val="00477052"/>
    <w:rsid w:val="00480857"/>
    <w:rsid w:val="004861D6"/>
    <w:rsid w:val="00496228"/>
    <w:rsid w:val="004A2E9E"/>
    <w:rsid w:val="004C1AB3"/>
    <w:rsid w:val="004C3C80"/>
    <w:rsid w:val="004C4AC9"/>
    <w:rsid w:val="004D082C"/>
    <w:rsid w:val="004D0EE5"/>
    <w:rsid w:val="004D1D48"/>
    <w:rsid w:val="004D31A5"/>
    <w:rsid w:val="004D6529"/>
    <w:rsid w:val="004E3BCA"/>
    <w:rsid w:val="004E5119"/>
    <w:rsid w:val="004E7494"/>
    <w:rsid w:val="004E7871"/>
    <w:rsid w:val="004F6C8E"/>
    <w:rsid w:val="00505A53"/>
    <w:rsid w:val="00517C22"/>
    <w:rsid w:val="00521B56"/>
    <w:rsid w:val="00530445"/>
    <w:rsid w:val="0053386D"/>
    <w:rsid w:val="00534FBA"/>
    <w:rsid w:val="0053517C"/>
    <w:rsid w:val="00544B92"/>
    <w:rsid w:val="005535D9"/>
    <w:rsid w:val="00557A2D"/>
    <w:rsid w:val="00565CA5"/>
    <w:rsid w:val="0056614A"/>
    <w:rsid w:val="00576D37"/>
    <w:rsid w:val="0058507A"/>
    <w:rsid w:val="005864A7"/>
    <w:rsid w:val="00587935"/>
    <w:rsid w:val="005919A3"/>
    <w:rsid w:val="005A71B6"/>
    <w:rsid w:val="005D0D82"/>
    <w:rsid w:val="005D77BA"/>
    <w:rsid w:val="005D7DA7"/>
    <w:rsid w:val="005E1EEE"/>
    <w:rsid w:val="005E75AF"/>
    <w:rsid w:val="005F3C44"/>
    <w:rsid w:val="00610A5D"/>
    <w:rsid w:val="0061265A"/>
    <w:rsid w:val="006159E8"/>
    <w:rsid w:val="00616073"/>
    <w:rsid w:val="00623566"/>
    <w:rsid w:val="006536CD"/>
    <w:rsid w:val="00661D85"/>
    <w:rsid w:val="00670909"/>
    <w:rsid w:val="00671040"/>
    <w:rsid w:val="0067123B"/>
    <w:rsid w:val="00671F32"/>
    <w:rsid w:val="006746CB"/>
    <w:rsid w:val="00681338"/>
    <w:rsid w:val="006836CC"/>
    <w:rsid w:val="006A616A"/>
    <w:rsid w:val="006B3097"/>
    <w:rsid w:val="006C1DE8"/>
    <w:rsid w:val="006C1FC3"/>
    <w:rsid w:val="006C20CF"/>
    <w:rsid w:val="006C4157"/>
    <w:rsid w:val="006D3E48"/>
    <w:rsid w:val="006D7BF3"/>
    <w:rsid w:val="006E1090"/>
    <w:rsid w:val="006E1A70"/>
    <w:rsid w:val="006E3A18"/>
    <w:rsid w:val="00702467"/>
    <w:rsid w:val="00713C03"/>
    <w:rsid w:val="00722F53"/>
    <w:rsid w:val="00723ABF"/>
    <w:rsid w:val="0073062A"/>
    <w:rsid w:val="0073542D"/>
    <w:rsid w:val="007440E3"/>
    <w:rsid w:val="00745A0E"/>
    <w:rsid w:val="00757565"/>
    <w:rsid w:val="0075790D"/>
    <w:rsid w:val="00762217"/>
    <w:rsid w:val="00767D4B"/>
    <w:rsid w:val="00777910"/>
    <w:rsid w:val="00777A02"/>
    <w:rsid w:val="00783AE0"/>
    <w:rsid w:val="007911CF"/>
    <w:rsid w:val="00792710"/>
    <w:rsid w:val="00792770"/>
    <w:rsid w:val="007A55BC"/>
    <w:rsid w:val="007A5B39"/>
    <w:rsid w:val="007C1206"/>
    <w:rsid w:val="007C3609"/>
    <w:rsid w:val="007D1DE7"/>
    <w:rsid w:val="007E1054"/>
    <w:rsid w:val="007E26E8"/>
    <w:rsid w:val="007F11B4"/>
    <w:rsid w:val="007F29CC"/>
    <w:rsid w:val="007F7763"/>
    <w:rsid w:val="007F7C33"/>
    <w:rsid w:val="008058FB"/>
    <w:rsid w:val="0081143F"/>
    <w:rsid w:val="0081304A"/>
    <w:rsid w:val="00821427"/>
    <w:rsid w:val="00831039"/>
    <w:rsid w:val="008602EE"/>
    <w:rsid w:val="008800CE"/>
    <w:rsid w:val="00881ACF"/>
    <w:rsid w:val="00884E98"/>
    <w:rsid w:val="00885194"/>
    <w:rsid w:val="008943CB"/>
    <w:rsid w:val="008A375D"/>
    <w:rsid w:val="008A7924"/>
    <w:rsid w:val="008B1F4B"/>
    <w:rsid w:val="008B43D2"/>
    <w:rsid w:val="008D48A8"/>
    <w:rsid w:val="008E1C04"/>
    <w:rsid w:val="008E278A"/>
    <w:rsid w:val="008F0F59"/>
    <w:rsid w:val="00912C8A"/>
    <w:rsid w:val="0091350D"/>
    <w:rsid w:val="00916F1A"/>
    <w:rsid w:val="009203AF"/>
    <w:rsid w:val="00922965"/>
    <w:rsid w:val="00931D38"/>
    <w:rsid w:val="00935316"/>
    <w:rsid w:val="009356E5"/>
    <w:rsid w:val="00935850"/>
    <w:rsid w:val="0094001C"/>
    <w:rsid w:val="0094068A"/>
    <w:rsid w:val="00945C72"/>
    <w:rsid w:val="00960C2E"/>
    <w:rsid w:val="00964ADF"/>
    <w:rsid w:val="009677AA"/>
    <w:rsid w:val="00971AFA"/>
    <w:rsid w:val="0097377D"/>
    <w:rsid w:val="009A3125"/>
    <w:rsid w:val="009B0797"/>
    <w:rsid w:val="009B137D"/>
    <w:rsid w:val="009C5E7B"/>
    <w:rsid w:val="009C7CFD"/>
    <w:rsid w:val="009F2C89"/>
    <w:rsid w:val="009F3215"/>
    <w:rsid w:val="009F6D74"/>
    <w:rsid w:val="00A0072B"/>
    <w:rsid w:val="00A027B9"/>
    <w:rsid w:val="00A02E00"/>
    <w:rsid w:val="00A03880"/>
    <w:rsid w:val="00A117D0"/>
    <w:rsid w:val="00A3391C"/>
    <w:rsid w:val="00A35D9F"/>
    <w:rsid w:val="00A5418F"/>
    <w:rsid w:val="00A72EB6"/>
    <w:rsid w:val="00A91296"/>
    <w:rsid w:val="00AA1A2E"/>
    <w:rsid w:val="00AA49AC"/>
    <w:rsid w:val="00AA74B4"/>
    <w:rsid w:val="00AA7E26"/>
    <w:rsid w:val="00AB6BB2"/>
    <w:rsid w:val="00AC153B"/>
    <w:rsid w:val="00AD6953"/>
    <w:rsid w:val="00AD6B25"/>
    <w:rsid w:val="00AE2DD0"/>
    <w:rsid w:val="00AE4715"/>
    <w:rsid w:val="00AE5711"/>
    <w:rsid w:val="00AE6656"/>
    <w:rsid w:val="00AF4778"/>
    <w:rsid w:val="00AF6675"/>
    <w:rsid w:val="00B015CF"/>
    <w:rsid w:val="00B148E6"/>
    <w:rsid w:val="00B1643A"/>
    <w:rsid w:val="00B206D2"/>
    <w:rsid w:val="00B40852"/>
    <w:rsid w:val="00B42E55"/>
    <w:rsid w:val="00B5475E"/>
    <w:rsid w:val="00B66B2B"/>
    <w:rsid w:val="00B70E4F"/>
    <w:rsid w:val="00B91E4E"/>
    <w:rsid w:val="00B91F6D"/>
    <w:rsid w:val="00B97228"/>
    <w:rsid w:val="00BA30C9"/>
    <w:rsid w:val="00BA37E7"/>
    <w:rsid w:val="00BB477E"/>
    <w:rsid w:val="00BB60A0"/>
    <w:rsid w:val="00BB7E47"/>
    <w:rsid w:val="00BC32F8"/>
    <w:rsid w:val="00BC7DD9"/>
    <w:rsid w:val="00BD6DCF"/>
    <w:rsid w:val="00BE2EE5"/>
    <w:rsid w:val="00BE5053"/>
    <w:rsid w:val="00BE7C20"/>
    <w:rsid w:val="00BF56DB"/>
    <w:rsid w:val="00C023B7"/>
    <w:rsid w:val="00C042E7"/>
    <w:rsid w:val="00C04FB7"/>
    <w:rsid w:val="00C11552"/>
    <w:rsid w:val="00C11C2F"/>
    <w:rsid w:val="00C15211"/>
    <w:rsid w:val="00C152C5"/>
    <w:rsid w:val="00C1609B"/>
    <w:rsid w:val="00C2309C"/>
    <w:rsid w:val="00C3454A"/>
    <w:rsid w:val="00C42D38"/>
    <w:rsid w:val="00C46CAD"/>
    <w:rsid w:val="00C507D5"/>
    <w:rsid w:val="00C62CC9"/>
    <w:rsid w:val="00C738B6"/>
    <w:rsid w:val="00C73AB1"/>
    <w:rsid w:val="00C76F12"/>
    <w:rsid w:val="00C82862"/>
    <w:rsid w:val="00C9083E"/>
    <w:rsid w:val="00C918DC"/>
    <w:rsid w:val="00C95375"/>
    <w:rsid w:val="00CA0D64"/>
    <w:rsid w:val="00CA3B11"/>
    <w:rsid w:val="00CB2C09"/>
    <w:rsid w:val="00CB5988"/>
    <w:rsid w:val="00CB5AE4"/>
    <w:rsid w:val="00CC2B7D"/>
    <w:rsid w:val="00CD3C8C"/>
    <w:rsid w:val="00CD416F"/>
    <w:rsid w:val="00CD688B"/>
    <w:rsid w:val="00CD6EC5"/>
    <w:rsid w:val="00CE32B3"/>
    <w:rsid w:val="00CE65C8"/>
    <w:rsid w:val="00CF3031"/>
    <w:rsid w:val="00CF3CAB"/>
    <w:rsid w:val="00CF69D7"/>
    <w:rsid w:val="00CF7C97"/>
    <w:rsid w:val="00D01ACC"/>
    <w:rsid w:val="00D01E8D"/>
    <w:rsid w:val="00D030D8"/>
    <w:rsid w:val="00D12A08"/>
    <w:rsid w:val="00D16769"/>
    <w:rsid w:val="00D16F3D"/>
    <w:rsid w:val="00D23B4B"/>
    <w:rsid w:val="00D30AEE"/>
    <w:rsid w:val="00D317E8"/>
    <w:rsid w:val="00D40D1E"/>
    <w:rsid w:val="00D418F5"/>
    <w:rsid w:val="00D45700"/>
    <w:rsid w:val="00D53669"/>
    <w:rsid w:val="00D54E24"/>
    <w:rsid w:val="00D57A75"/>
    <w:rsid w:val="00D63D1E"/>
    <w:rsid w:val="00D66601"/>
    <w:rsid w:val="00D67F0A"/>
    <w:rsid w:val="00D70E1B"/>
    <w:rsid w:val="00D72579"/>
    <w:rsid w:val="00D72649"/>
    <w:rsid w:val="00D727B7"/>
    <w:rsid w:val="00D72A7E"/>
    <w:rsid w:val="00D7428B"/>
    <w:rsid w:val="00D82F95"/>
    <w:rsid w:val="00D8740C"/>
    <w:rsid w:val="00D9126B"/>
    <w:rsid w:val="00D92E68"/>
    <w:rsid w:val="00D9382E"/>
    <w:rsid w:val="00DA26AC"/>
    <w:rsid w:val="00DA2C1D"/>
    <w:rsid w:val="00DA5DA0"/>
    <w:rsid w:val="00DB544F"/>
    <w:rsid w:val="00DB6D76"/>
    <w:rsid w:val="00DC47BB"/>
    <w:rsid w:val="00DC72FF"/>
    <w:rsid w:val="00DE5785"/>
    <w:rsid w:val="00DF11D4"/>
    <w:rsid w:val="00E1004D"/>
    <w:rsid w:val="00E1137C"/>
    <w:rsid w:val="00E15FA3"/>
    <w:rsid w:val="00E21697"/>
    <w:rsid w:val="00E30DCB"/>
    <w:rsid w:val="00E31202"/>
    <w:rsid w:val="00E329D5"/>
    <w:rsid w:val="00E34AE6"/>
    <w:rsid w:val="00E37FF8"/>
    <w:rsid w:val="00E44B2E"/>
    <w:rsid w:val="00E6114A"/>
    <w:rsid w:val="00E619C7"/>
    <w:rsid w:val="00E720E4"/>
    <w:rsid w:val="00E72B22"/>
    <w:rsid w:val="00E74DF7"/>
    <w:rsid w:val="00E75198"/>
    <w:rsid w:val="00E83E4B"/>
    <w:rsid w:val="00EA6C19"/>
    <w:rsid w:val="00EB0DCF"/>
    <w:rsid w:val="00EB2F23"/>
    <w:rsid w:val="00EC09CF"/>
    <w:rsid w:val="00EC1491"/>
    <w:rsid w:val="00EC3FF0"/>
    <w:rsid w:val="00EC46C9"/>
    <w:rsid w:val="00ED09E3"/>
    <w:rsid w:val="00EE74F9"/>
    <w:rsid w:val="00EF1706"/>
    <w:rsid w:val="00EF3A85"/>
    <w:rsid w:val="00F2106A"/>
    <w:rsid w:val="00F21E43"/>
    <w:rsid w:val="00F238E6"/>
    <w:rsid w:val="00F24FE3"/>
    <w:rsid w:val="00F25CBA"/>
    <w:rsid w:val="00F26457"/>
    <w:rsid w:val="00F2711A"/>
    <w:rsid w:val="00F27196"/>
    <w:rsid w:val="00F349AD"/>
    <w:rsid w:val="00F42F42"/>
    <w:rsid w:val="00F649AA"/>
    <w:rsid w:val="00F67850"/>
    <w:rsid w:val="00F70D29"/>
    <w:rsid w:val="00F71E61"/>
    <w:rsid w:val="00F731ED"/>
    <w:rsid w:val="00F77267"/>
    <w:rsid w:val="00FA597A"/>
    <w:rsid w:val="00FB419D"/>
    <w:rsid w:val="00FB71E2"/>
    <w:rsid w:val="00FD01CE"/>
    <w:rsid w:val="00FD70E7"/>
    <w:rsid w:val="00FE5FEB"/>
    <w:rsid w:val="00FE6ACA"/>
    <w:rsid w:val="00FE70A2"/>
    <w:rsid w:val="00FF68B7"/>
    <w:rsid w:val="203BB701"/>
    <w:rsid w:val="2542BDC5"/>
    <w:rsid w:val="2F44C9FF"/>
    <w:rsid w:val="34B0D421"/>
    <w:rsid w:val="767F96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D2CD8D"/>
  <w15:docId w15:val="{4DD9F61E-3392-4027-89A0-25175B94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jc w:val="right"/>
      <w:outlineLvl w:val="0"/>
    </w:pPr>
    <w:rPr>
      <w:sz w:val="24"/>
      <w:szCs w:val="24"/>
    </w:rPr>
  </w:style>
  <w:style w:type="paragraph" w:styleId="Heading2">
    <w:name w:val="heading 2"/>
    <w:basedOn w:val="Normal"/>
    <w:next w:val="Normal"/>
    <w:qFormat/>
    <w:pPr>
      <w:keepNext/>
      <w:jc w:val="center"/>
      <w:outlineLvl w:val="1"/>
    </w:pPr>
    <w:rPr>
      <w:sz w:val="24"/>
      <w:szCs w:val="24"/>
    </w:rPr>
  </w:style>
  <w:style w:type="paragraph" w:styleId="Heading3">
    <w:name w:val="heading 3"/>
    <w:basedOn w:val="Normal"/>
    <w:next w:val="Normal"/>
    <w:qFormat/>
    <w:pPr>
      <w:keepNext/>
      <w:numPr>
        <w:numId w:val="1"/>
      </w:numPr>
      <w:outlineLvl w:val="2"/>
    </w:pPr>
    <w:rPr>
      <w:sz w:val="24"/>
      <w:szCs w:val="24"/>
      <w:u w:val="single"/>
    </w:rPr>
  </w:style>
  <w:style w:type="paragraph" w:styleId="Heading4">
    <w:name w:val="heading 4"/>
    <w:basedOn w:val="Normal"/>
    <w:next w:val="Normal"/>
    <w:qFormat/>
    <w:pPr>
      <w:keepNext/>
      <w:numPr>
        <w:numId w:val="7"/>
      </w:numPr>
      <w:outlineLvl w:val="3"/>
    </w:pPr>
    <w:rPr>
      <w:b/>
      <w:bCs/>
      <w:sz w:val="28"/>
      <w:szCs w:val="28"/>
      <w:u w:val="single"/>
    </w:rPr>
  </w:style>
  <w:style w:type="paragraph" w:styleId="Heading5">
    <w:name w:val="heading 5"/>
    <w:basedOn w:val="Normal"/>
    <w:next w:val="Normal"/>
    <w:qFormat/>
    <w:pPr>
      <w:keepNext/>
      <w:tabs>
        <w:tab w:val="left" w:pos="8190"/>
      </w:tabs>
      <w:jc w:val="center"/>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widowControl w:val="0"/>
      <w:ind w:left="1440"/>
    </w:pPr>
    <w:rPr>
      <w:rFonts w:ascii="Courier New" w:hAnsi="Courier New" w:cs="Courier New"/>
      <w:snapToGrid w:val="0"/>
      <w:sz w:val="24"/>
      <w:szCs w:val="24"/>
      <w:lang w:eastAsia="en-U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EndnoteText">
    <w:name w:val="endnote text"/>
    <w:basedOn w:val="Normal"/>
    <w:semiHidden/>
    <w:pPr>
      <w:widowControl w:val="0"/>
    </w:pPr>
    <w:rPr>
      <w:rFonts w:ascii="Courier" w:hAnsi="Courier"/>
      <w:snapToGrid w:val="0"/>
      <w:sz w:val="24"/>
      <w:szCs w:val="24"/>
      <w:lang w:eastAsia="en-US"/>
    </w:rPr>
  </w:style>
  <w:style w:type="paragraph" w:styleId="BodyText3">
    <w:name w:val="Body Text 3"/>
    <w:basedOn w:val="Normal"/>
    <w:rsid w:val="00D9382E"/>
    <w:pPr>
      <w:spacing w:after="120"/>
    </w:pPr>
    <w:rPr>
      <w:sz w:val="16"/>
      <w:szCs w:val="16"/>
    </w:rPr>
  </w:style>
  <w:style w:type="paragraph" w:styleId="BodyText2">
    <w:name w:val="Body Text 2"/>
    <w:basedOn w:val="Normal"/>
    <w:rsid w:val="00D9382E"/>
    <w:pPr>
      <w:spacing w:after="120" w:line="480" w:lineRule="auto"/>
    </w:pPr>
  </w:style>
  <w:style w:type="paragraph" w:styleId="BalloonText">
    <w:name w:val="Balloon Text"/>
    <w:basedOn w:val="Normal"/>
    <w:semiHidden/>
    <w:rsid w:val="00CB5AE4"/>
    <w:rPr>
      <w:rFonts w:ascii="Tahoma" w:hAnsi="Tahoma" w:cs="Tahoma"/>
      <w:sz w:val="16"/>
      <w:szCs w:val="16"/>
    </w:rPr>
  </w:style>
  <w:style w:type="paragraph" w:styleId="DocumentMap">
    <w:name w:val="Document Map"/>
    <w:basedOn w:val="Normal"/>
    <w:semiHidden/>
    <w:rsid w:val="00393121"/>
    <w:pPr>
      <w:shd w:val="clear" w:color="auto" w:fill="000080"/>
    </w:pPr>
    <w:rPr>
      <w:rFonts w:ascii="Tahoma" w:hAnsi="Tahoma" w:cs="Tahoma"/>
    </w:rPr>
  </w:style>
  <w:style w:type="paragraph" w:styleId="ListParagraph">
    <w:name w:val="List Paragraph"/>
    <w:basedOn w:val="Normal"/>
    <w:uiPriority w:val="34"/>
    <w:qFormat/>
    <w:rsid w:val="001613CD"/>
    <w:pPr>
      <w:spacing w:after="200" w:line="276"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rsid w:val="00AA7E26"/>
    <w:rPr>
      <w:sz w:val="16"/>
      <w:szCs w:val="16"/>
    </w:rPr>
  </w:style>
  <w:style w:type="paragraph" w:styleId="CommentText">
    <w:name w:val="annotation text"/>
    <w:basedOn w:val="Normal"/>
    <w:link w:val="CommentTextChar"/>
    <w:rsid w:val="00AA7E26"/>
  </w:style>
  <w:style w:type="character" w:customStyle="1" w:styleId="CommentTextChar">
    <w:name w:val="Comment Text Char"/>
    <w:basedOn w:val="DefaultParagraphFont"/>
    <w:link w:val="CommentText"/>
    <w:rsid w:val="00AA7E26"/>
    <w:rPr>
      <w:lang w:eastAsia="zh-CN"/>
    </w:rPr>
  </w:style>
  <w:style w:type="paragraph" w:styleId="CommentSubject">
    <w:name w:val="annotation subject"/>
    <w:basedOn w:val="CommentText"/>
    <w:next w:val="CommentText"/>
    <w:link w:val="CommentSubjectChar"/>
    <w:rsid w:val="00AA7E26"/>
    <w:rPr>
      <w:b/>
      <w:bCs/>
    </w:rPr>
  </w:style>
  <w:style w:type="character" w:customStyle="1" w:styleId="CommentSubjectChar">
    <w:name w:val="Comment Subject Char"/>
    <w:basedOn w:val="CommentTextChar"/>
    <w:link w:val="CommentSubject"/>
    <w:rsid w:val="00AA7E26"/>
    <w:rPr>
      <w:b/>
      <w:bCs/>
      <w:lang w:eastAsia="zh-CN"/>
    </w:rPr>
  </w:style>
  <w:style w:type="table" w:styleId="TableGrid">
    <w:name w:val="Table Grid"/>
    <w:basedOn w:val="TableNormal"/>
    <w:rsid w:val="00C82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t8">
    <w:name w:val="TxBr_t8"/>
    <w:basedOn w:val="Normal"/>
    <w:rsid w:val="000239D0"/>
    <w:pPr>
      <w:widowControl w:val="0"/>
      <w:autoSpaceDE w:val="0"/>
      <w:autoSpaceDN w:val="0"/>
      <w:adjustRightInd w:val="0"/>
      <w:spacing w:line="277" w:lineRule="atLeast"/>
    </w:pPr>
    <w:rPr>
      <w:sz w:val="24"/>
      <w:szCs w:val="24"/>
      <w:lang w:eastAsia="en-US"/>
    </w:rPr>
  </w:style>
  <w:style w:type="character" w:customStyle="1" w:styleId="HeaderChar">
    <w:name w:val="Header Char"/>
    <w:link w:val="Header"/>
    <w:rsid w:val="000239D0"/>
    <w:rPr>
      <w:lang w:eastAsia="zh-CN"/>
    </w:rPr>
  </w:style>
  <w:style w:type="character" w:styleId="Hyperlink">
    <w:name w:val="Hyperlink"/>
    <w:basedOn w:val="DefaultParagraphFont"/>
    <w:uiPriority w:val="99"/>
    <w:unhideWhenUsed/>
    <w:rsid w:val="00252875"/>
    <w:rPr>
      <w:color w:val="0563C1"/>
      <w:u w:val="single"/>
    </w:rPr>
  </w:style>
  <w:style w:type="paragraph" w:styleId="Title">
    <w:name w:val="Title"/>
    <w:basedOn w:val="Normal"/>
    <w:next w:val="Normal"/>
    <w:link w:val="TitleChar"/>
    <w:uiPriority w:val="10"/>
    <w:qFormat/>
    <w:rsid w:val="00D53669"/>
    <w:pPr>
      <w:spacing w:before="240" w:after="60"/>
      <w:jc w:val="center"/>
      <w:outlineLvl w:val="0"/>
    </w:pPr>
    <w:rPr>
      <w:rFonts w:ascii="Cambria" w:hAnsi="Cambria"/>
      <w:b/>
      <w:bCs/>
      <w:kern w:val="28"/>
      <w:sz w:val="32"/>
      <w:szCs w:val="32"/>
      <w:lang w:eastAsia="en-US"/>
    </w:rPr>
  </w:style>
  <w:style w:type="character" w:customStyle="1" w:styleId="TitleChar">
    <w:name w:val="Title Char"/>
    <w:basedOn w:val="DefaultParagraphFont"/>
    <w:link w:val="Title"/>
    <w:uiPriority w:val="10"/>
    <w:rsid w:val="00D53669"/>
    <w:rPr>
      <w:rFonts w:ascii="Cambria" w:hAnsi="Cambria"/>
      <w:b/>
      <w:bCs/>
      <w:kern w:val="28"/>
      <w:sz w:val="32"/>
      <w:szCs w:val="32"/>
    </w:rPr>
  </w:style>
  <w:style w:type="paragraph" w:styleId="Revision">
    <w:name w:val="Revision"/>
    <w:hidden/>
    <w:uiPriority w:val="71"/>
    <w:rsid w:val="00381118"/>
    <w:rPr>
      <w:rFonts w:ascii="Courier" w:hAnsi="Courier"/>
      <w:noProof/>
      <w:snapToGrid w:val="0"/>
      <w:sz w:val="24"/>
      <w:szCs w:val="24"/>
    </w:rPr>
  </w:style>
  <w:style w:type="table" w:customStyle="1" w:styleId="TableGrid3">
    <w:name w:val="Table Grid3"/>
    <w:basedOn w:val="TableNormal"/>
    <w:next w:val="TableGrid"/>
    <w:uiPriority w:val="39"/>
    <w:rsid w:val="00381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84E98"/>
    <w:rPr>
      <w:color w:val="605E5C"/>
      <w:shd w:val="clear" w:color="auto" w:fill="E1DFDD"/>
    </w:rPr>
  </w:style>
  <w:style w:type="character" w:styleId="FollowedHyperlink">
    <w:name w:val="FollowedHyperlink"/>
    <w:basedOn w:val="DefaultParagraphFont"/>
    <w:semiHidden/>
    <w:unhideWhenUsed/>
    <w:rsid w:val="00BE7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ssa.gov/legislation/2023factsheet.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Notes1 xmlns="8b0b9b52-b17a-45d4-b350-57968515631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65DB4CFE971E943930EBF60B7234A1F" ma:contentTypeVersion="16" ma:contentTypeDescription="Create a new document." ma:contentTypeScope="" ma:versionID="8968e9cd76a860b877bf26589205622e">
  <xsd:schema xmlns:xsd="http://www.w3.org/2001/XMLSchema" xmlns:xs="http://www.w3.org/2001/XMLSchema" xmlns:p="http://schemas.microsoft.com/office/2006/metadata/properties" xmlns:ns2="8b0b9b52-b17a-45d4-b350-579685156312" xmlns:ns3="1544bbee-f4f2-43e6-bc0c-dad08a6077d5" targetNamespace="http://schemas.microsoft.com/office/2006/metadata/properties" ma:root="true" ma:fieldsID="6790259de60ac25daa6d362020bfcd9c" ns2:_="" ns3:_="">
    <xsd:import namespace="8b0b9b52-b17a-45d4-b350-579685156312"/>
    <xsd:import namespace="1544bbee-f4f2-43e6-bc0c-dad08a6077d5"/>
    <xsd:element name="properties">
      <xsd:complexType>
        <xsd:sequence>
          <xsd:element name="documentManagement">
            <xsd:complexType>
              <xsd:all>
                <xsd:element ref="ns2:Notes1" minOccurs="0"/>
                <xsd:element ref="ns2:SharedWithUser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b9b52-b17a-45d4-b350-579685156312"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44bbee-f4f2-43e6-bc0c-dad08a6077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F10DD-4F84-4BD1-A145-7D5FF9025171}">
  <ds:schemaRefs>
    <ds:schemaRef ds:uri="http://purl.org/dc/terms/"/>
    <ds:schemaRef ds:uri="http://schemas.openxmlformats.org/package/2006/metadata/core-properties"/>
    <ds:schemaRef ds:uri="8b0b9b52-b17a-45d4-b350-579685156312"/>
    <ds:schemaRef ds:uri="http://schemas.microsoft.com/office/2006/documentManagement/types"/>
    <ds:schemaRef ds:uri="http://schemas.microsoft.com/office/infopath/2007/PartnerControls"/>
    <ds:schemaRef ds:uri="1544bbee-f4f2-43e6-bc0c-dad08a6077d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0A83594-844B-4673-8C0B-1E30C4C8994A}">
  <ds:schemaRefs>
    <ds:schemaRef ds:uri="http://schemas.openxmlformats.org/officeDocument/2006/bibliography"/>
  </ds:schemaRefs>
</ds:datastoreItem>
</file>

<file path=customXml/itemProps3.xml><?xml version="1.0" encoding="utf-8"?>
<ds:datastoreItem xmlns:ds="http://schemas.openxmlformats.org/officeDocument/2006/customXml" ds:itemID="{B3F276D2-E3AF-4B70-92A6-3F8F91FFECAC}">
  <ds:schemaRefs>
    <ds:schemaRef ds:uri="http://schemas.microsoft.com/sharepoint/v3/contenttype/forms"/>
  </ds:schemaRefs>
</ds:datastoreItem>
</file>

<file path=customXml/itemProps4.xml><?xml version="1.0" encoding="utf-8"?>
<ds:datastoreItem xmlns:ds="http://schemas.openxmlformats.org/officeDocument/2006/customXml" ds:itemID="{75B08870-A6D0-4984-9CC3-0EB933AD3129}">
  <ds:schemaRefs>
    <ds:schemaRef ds:uri="http://schemas.microsoft.com/sharepoint/events"/>
  </ds:schemaRefs>
</ds:datastoreItem>
</file>

<file path=customXml/itemProps5.xml><?xml version="1.0" encoding="utf-8"?>
<ds:datastoreItem xmlns:ds="http://schemas.openxmlformats.org/officeDocument/2006/customXml" ds:itemID="{651054AC-2494-487D-AC01-363C5DA0D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b9b52-b17a-45d4-b350-579685156312"/>
    <ds:schemaRef ds:uri="1544bbee-f4f2-43e6-bc0c-dad08a6077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2453</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Theresa</dc:creator>
  <cp:lastModifiedBy>Naomi Sipple</cp:lastModifiedBy>
  <cp:revision>3</cp:revision>
  <dcterms:created xsi:type="dcterms:W3CDTF">2023-06-13T13:50:00Z</dcterms:created>
  <dcterms:modified xsi:type="dcterms:W3CDTF">2023-06-13T14:10:00Z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0x010100D65DB4CFE971E943930EBF60B7234A1F</vt:lpwstr>
  </property>
  <property fmtid="{D5CDD505-2E9C-101B-9397-08002B2CF9AE}" pid="3" name="_dlc_DocId">
    <vt:lpwstr>HMX4Z55ATU5P-2079430379-972</vt:lpwstr>
  </property>
  <property fmtid="{D5CDD505-2E9C-101B-9397-08002B2CF9AE}" pid="4" name="_dlc_DocIdItemGuid">
    <vt:lpwstr>38da40d5-c08c-4106-8c07-701b3eae48c9</vt:lpwstr>
  </property>
  <property fmtid="{D5CDD505-2E9C-101B-9397-08002B2CF9AE}" pid="5" name="_dlc_DocIdUrl">
    <vt:lpwstr>https://socialsecuritygov.sharepoint.com/sites/ModCollaboration-43eaa/_layouts/15/DocIdRedir.aspx?ID=HMX4Z55ATU5P-2079430379-972, HMX4Z55ATU5P-2079430379-972</vt:lpwstr>
  </property>
</Properties>
</file>