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2E19" w:rsidRPr="00A731CA" w:rsidP="002C2E19" w14:paraId="17A24031" w14:textId="77777777">
      <w:pPr>
        <w:pStyle w:val="ReportCover-Title"/>
        <w:jc w:val="center"/>
        <w:rPr>
          <w:rFonts w:ascii="Arial" w:hAnsi="Arial" w:cs="Arial"/>
          <w:color w:val="auto"/>
        </w:rPr>
      </w:pPr>
      <w:r w:rsidRPr="00A731CA">
        <w:rPr>
          <w:rFonts w:ascii="Arial" w:eastAsia="Arial Unicode MS" w:hAnsi="Arial" w:cs="Arial"/>
          <w:noProof/>
          <w:color w:val="auto"/>
        </w:rPr>
        <w:t>Evaluation of Resources to Support the Identification and Care of Children with Prenatal Substance or Alcohol Exposure in the Child Welfare System</w:t>
      </w:r>
    </w:p>
    <w:p w:rsidR="00597E7F" w:rsidRPr="00A525BA" w:rsidP="00597E7F" w14:paraId="4CCFB17D" w14:textId="77777777">
      <w:pPr>
        <w:pStyle w:val="ReportCover-Title"/>
        <w:rPr>
          <w:rFonts w:ascii="Arial" w:hAnsi="Arial" w:cs="Arial"/>
          <w:color w:val="auto"/>
          <w:sz w:val="24"/>
          <w:szCs w:val="24"/>
        </w:rPr>
      </w:pPr>
    </w:p>
    <w:p w:rsidR="00597E7F" w:rsidRPr="00A525BA" w:rsidP="00597E7F" w14:paraId="56D8DECD" w14:textId="77777777">
      <w:pPr>
        <w:pStyle w:val="ReportCover-Title"/>
        <w:rPr>
          <w:rFonts w:ascii="Arial" w:hAnsi="Arial" w:cs="Arial"/>
          <w:color w:val="auto"/>
          <w:sz w:val="24"/>
          <w:szCs w:val="24"/>
        </w:rPr>
      </w:pPr>
    </w:p>
    <w:p w:rsidR="00597E7F" w:rsidRPr="0068023F" w:rsidP="00597E7F" w14:paraId="58E848DF" w14:textId="31882AF1">
      <w:pPr>
        <w:pStyle w:val="ReportCover-Title"/>
        <w:jc w:val="center"/>
        <w:rPr>
          <w:rFonts w:ascii="Arial" w:hAnsi="Arial" w:cs="Arial"/>
          <w:color w:val="auto"/>
          <w:sz w:val="32"/>
          <w:szCs w:val="32"/>
        </w:rPr>
      </w:pPr>
      <w:r w:rsidRPr="0068023F">
        <w:rPr>
          <w:rFonts w:ascii="Arial" w:hAnsi="Arial" w:cs="Arial"/>
          <w:color w:val="auto"/>
          <w:sz w:val="32"/>
          <w:szCs w:val="32"/>
        </w:rPr>
        <w:t>OMB Information Collection Request</w:t>
      </w:r>
    </w:p>
    <w:p w:rsidR="00597E7F" w:rsidRPr="0068023F" w:rsidP="00597E7F" w14:paraId="62406A27" w14:textId="4DB7DEC1">
      <w:pPr>
        <w:pStyle w:val="ReportCover-Title"/>
        <w:jc w:val="center"/>
        <w:rPr>
          <w:rFonts w:ascii="Arial" w:hAnsi="Arial" w:cs="Arial"/>
          <w:color w:val="auto"/>
          <w:sz w:val="32"/>
          <w:szCs w:val="32"/>
        </w:rPr>
      </w:pPr>
      <w:r w:rsidRPr="0068023F">
        <w:rPr>
          <w:rFonts w:ascii="Arial" w:hAnsi="Arial" w:cs="Arial"/>
          <w:color w:val="auto"/>
          <w:sz w:val="32"/>
          <w:szCs w:val="32"/>
        </w:rPr>
        <w:t xml:space="preserve">0970 </w:t>
      </w:r>
      <w:r w:rsidR="00541F1E">
        <w:rPr>
          <w:rFonts w:ascii="Arial" w:hAnsi="Arial" w:cs="Arial"/>
          <w:color w:val="auto"/>
          <w:sz w:val="32"/>
          <w:szCs w:val="32"/>
        </w:rPr>
        <w:t>–</w:t>
      </w:r>
      <w:r w:rsidRPr="0068023F">
        <w:rPr>
          <w:rFonts w:ascii="Arial" w:hAnsi="Arial" w:cs="Arial"/>
          <w:color w:val="auto"/>
          <w:sz w:val="32"/>
          <w:szCs w:val="32"/>
        </w:rPr>
        <w:t xml:space="preserve"> </w:t>
      </w:r>
      <w:r w:rsidR="00541F1E">
        <w:rPr>
          <w:rFonts w:ascii="Arial" w:hAnsi="Arial" w:cs="Arial"/>
          <w:color w:val="auto"/>
          <w:sz w:val="32"/>
          <w:szCs w:val="32"/>
        </w:rPr>
        <w:t>0608</w:t>
      </w:r>
    </w:p>
    <w:p w:rsidR="00597E7F" w:rsidRPr="00A525BA" w:rsidP="00597E7F" w14:paraId="5C353D86" w14:textId="77777777">
      <w:pPr>
        <w:rPr>
          <w:rFonts w:ascii="Arial" w:hAnsi="Arial" w:cs="Arial"/>
          <w:sz w:val="24"/>
          <w:szCs w:val="24"/>
        </w:rPr>
      </w:pPr>
    </w:p>
    <w:p w:rsidR="00597E7F" w:rsidRPr="00A525BA" w:rsidP="00597E7F" w14:paraId="018611FA" w14:textId="77777777">
      <w:pPr>
        <w:pStyle w:val="ReportCover-Date"/>
        <w:jc w:val="center"/>
        <w:rPr>
          <w:rFonts w:ascii="Arial" w:hAnsi="Arial" w:cs="Arial"/>
          <w:color w:val="auto"/>
          <w:szCs w:val="24"/>
        </w:rPr>
      </w:pPr>
    </w:p>
    <w:p w:rsidR="00597E7F" w:rsidRPr="00F72246" w:rsidP="002C2E19" w14:paraId="0F6C6490" w14:textId="77777777">
      <w:pPr>
        <w:pStyle w:val="ReportCover-Date"/>
        <w:spacing w:after="0" w:line="240" w:lineRule="auto"/>
        <w:jc w:val="center"/>
        <w:rPr>
          <w:rFonts w:ascii="Arial" w:hAnsi="Arial" w:cs="Arial"/>
          <w:color w:val="auto"/>
          <w:sz w:val="48"/>
          <w:szCs w:val="48"/>
        </w:rPr>
      </w:pPr>
      <w:r w:rsidRPr="00F72246">
        <w:rPr>
          <w:rFonts w:ascii="Arial" w:hAnsi="Arial" w:cs="Arial"/>
          <w:color w:val="auto"/>
          <w:sz w:val="48"/>
          <w:szCs w:val="48"/>
        </w:rPr>
        <w:t xml:space="preserve">Supporting Statement Part B – </w:t>
      </w:r>
    </w:p>
    <w:p w:rsidR="00597E7F" w:rsidRPr="00F72246" w:rsidP="00597E7F" w14:paraId="4C5A9964" w14:textId="77777777">
      <w:pPr>
        <w:pStyle w:val="ReportCover-Date"/>
        <w:spacing w:after="360" w:line="240" w:lineRule="auto"/>
        <w:jc w:val="center"/>
        <w:rPr>
          <w:rFonts w:ascii="Arial" w:hAnsi="Arial" w:cs="Arial"/>
          <w:color w:val="auto"/>
          <w:sz w:val="48"/>
          <w:szCs w:val="48"/>
        </w:rPr>
      </w:pPr>
      <w:r w:rsidRPr="00F72246">
        <w:rPr>
          <w:rFonts w:ascii="Arial" w:hAnsi="Arial" w:cs="Arial"/>
          <w:color w:val="auto"/>
          <w:sz w:val="48"/>
          <w:szCs w:val="48"/>
        </w:rPr>
        <w:t>Statistical Methods</w:t>
      </w:r>
    </w:p>
    <w:p w:rsidR="00B177AC" w:rsidRPr="00833CA3" w:rsidP="00B177AC" w14:paraId="5B9902AD" w14:textId="77777777">
      <w:pPr>
        <w:jc w:val="center"/>
        <w:rPr>
          <w:rFonts w:ascii="Arial" w:hAnsi="Arial" w:cs="Arial"/>
          <w:b/>
          <w:bCs/>
          <w:sz w:val="40"/>
          <w:szCs w:val="40"/>
        </w:rPr>
      </w:pPr>
      <w:r w:rsidRPr="00833CA3">
        <w:rPr>
          <w:rFonts w:ascii="Arial" w:hAnsi="Arial" w:cs="Arial"/>
          <w:b/>
          <w:bCs/>
          <w:sz w:val="40"/>
          <w:szCs w:val="40"/>
        </w:rPr>
        <w:t xml:space="preserve">Type of Request: </w:t>
      </w:r>
      <w:r w:rsidRPr="00833CA3">
        <w:rPr>
          <w:rFonts w:ascii="Arial" w:hAnsi="Arial" w:cs="Arial"/>
          <w:sz w:val="40"/>
          <w:szCs w:val="40"/>
        </w:rPr>
        <w:t>Revision</w:t>
      </w:r>
    </w:p>
    <w:p w:rsidR="00B177AC" w:rsidP="002C2E19" w14:paraId="41716A82" w14:textId="77777777">
      <w:pPr>
        <w:pStyle w:val="ReportCover-Date"/>
        <w:jc w:val="center"/>
        <w:rPr>
          <w:rFonts w:ascii="Arial" w:hAnsi="Arial" w:cs="Arial"/>
          <w:color w:val="auto"/>
          <w:szCs w:val="24"/>
        </w:rPr>
      </w:pPr>
    </w:p>
    <w:p w:rsidR="00597E7F" w:rsidRPr="00A525BA" w:rsidP="002C2E19" w14:paraId="149F0017" w14:textId="7D8C7043">
      <w:pPr>
        <w:pStyle w:val="ReportCover-Date"/>
        <w:jc w:val="center"/>
        <w:rPr>
          <w:rFonts w:ascii="Arial" w:hAnsi="Arial" w:cs="Arial"/>
          <w:szCs w:val="24"/>
        </w:rPr>
      </w:pPr>
      <w:r>
        <w:rPr>
          <w:rFonts w:ascii="Arial" w:hAnsi="Arial" w:cs="Arial"/>
          <w:color w:val="auto"/>
          <w:szCs w:val="24"/>
        </w:rPr>
        <w:t xml:space="preserve">October </w:t>
      </w:r>
      <w:r w:rsidR="00541F1E">
        <w:rPr>
          <w:rFonts w:ascii="Arial" w:hAnsi="Arial" w:cs="Arial"/>
          <w:color w:val="auto"/>
          <w:szCs w:val="24"/>
        </w:rPr>
        <w:t>2023</w:t>
      </w:r>
    </w:p>
    <w:p w:rsidR="00597E7F" w:rsidRPr="00A525BA" w:rsidP="00597E7F" w14:paraId="32D31E57" w14:textId="77777777">
      <w:pPr>
        <w:jc w:val="center"/>
        <w:rPr>
          <w:rFonts w:ascii="Arial" w:hAnsi="Arial" w:cs="Arial"/>
          <w:sz w:val="24"/>
          <w:szCs w:val="24"/>
        </w:rPr>
      </w:pPr>
    </w:p>
    <w:p w:rsidR="00597E7F" w:rsidRPr="00A525BA" w:rsidP="00597E7F" w14:paraId="683FBAFB" w14:textId="77777777">
      <w:pPr>
        <w:jc w:val="center"/>
        <w:rPr>
          <w:rFonts w:ascii="Arial" w:hAnsi="Arial" w:cs="Arial"/>
          <w:sz w:val="24"/>
          <w:szCs w:val="24"/>
        </w:rPr>
      </w:pPr>
    </w:p>
    <w:p w:rsidR="00597E7F" w:rsidRPr="00A525BA" w:rsidP="00597E7F" w14:paraId="7A876378" w14:textId="77777777">
      <w:pPr>
        <w:jc w:val="center"/>
        <w:rPr>
          <w:rFonts w:ascii="Arial" w:hAnsi="Arial" w:cs="Arial"/>
          <w:sz w:val="24"/>
          <w:szCs w:val="24"/>
        </w:rPr>
      </w:pPr>
    </w:p>
    <w:p w:rsidR="00597E7F" w:rsidRPr="00A525BA" w:rsidP="00597E7F" w14:paraId="36FFDB7F" w14:textId="77777777">
      <w:pPr>
        <w:jc w:val="center"/>
        <w:rPr>
          <w:rFonts w:ascii="Arial" w:hAnsi="Arial" w:cs="Arial"/>
          <w:sz w:val="24"/>
          <w:szCs w:val="24"/>
        </w:rPr>
      </w:pPr>
    </w:p>
    <w:p w:rsidR="00597E7F" w:rsidRPr="00A525BA" w:rsidP="00597E7F" w14:paraId="10945601" w14:textId="77777777">
      <w:pPr>
        <w:jc w:val="center"/>
        <w:rPr>
          <w:rFonts w:ascii="Arial" w:hAnsi="Arial" w:cs="Arial"/>
          <w:sz w:val="24"/>
          <w:szCs w:val="24"/>
        </w:rPr>
      </w:pPr>
    </w:p>
    <w:p w:rsidR="00597E7F" w:rsidRPr="00A525BA" w:rsidP="00597E7F" w14:paraId="25B4270D" w14:textId="77777777">
      <w:pPr>
        <w:jc w:val="center"/>
        <w:rPr>
          <w:rFonts w:ascii="Arial" w:hAnsi="Arial" w:cs="Arial"/>
          <w:sz w:val="24"/>
          <w:szCs w:val="24"/>
        </w:rPr>
      </w:pPr>
    </w:p>
    <w:p w:rsidR="00597E7F" w:rsidRPr="00A525BA" w:rsidP="00597E7F" w14:paraId="0B4AEA87" w14:textId="77777777">
      <w:pPr>
        <w:jc w:val="center"/>
        <w:rPr>
          <w:rFonts w:ascii="Arial" w:hAnsi="Arial" w:cs="Arial"/>
          <w:sz w:val="24"/>
          <w:szCs w:val="24"/>
        </w:rPr>
      </w:pPr>
    </w:p>
    <w:p w:rsidR="00597E7F" w:rsidRPr="004A23DC" w:rsidP="00597E7F" w14:paraId="5413F77C" w14:textId="77777777">
      <w:pPr>
        <w:jc w:val="center"/>
        <w:rPr>
          <w:rFonts w:ascii="Arial" w:hAnsi="Arial" w:cs="Arial"/>
        </w:rPr>
      </w:pPr>
      <w:r w:rsidRPr="004A23DC">
        <w:rPr>
          <w:rFonts w:ascii="Arial" w:hAnsi="Arial" w:cs="Arial"/>
        </w:rPr>
        <w:t>Submitted By:</w:t>
      </w:r>
    </w:p>
    <w:p w:rsidR="002C2E19" w:rsidRPr="004A23DC" w:rsidP="002C2E19" w14:paraId="1E56BC85" w14:textId="77777777">
      <w:pPr>
        <w:jc w:val="center"/>
        <w:rPr>
          <w:rFonts w:ascii="Arial" w:hAnsi="Arial" w:cs="Arial"/>
        </w:rPr>
      </w:pPr>
      <w:r w:rsidRPr="004A23DC">
        <w:rPr>
          <w:rFonts w:ascii="Arial" w:hAnsi="Arial" w:cs="Arial"/>
        </w:rPr>
        <w:t>Children’s Bureau</w:t>
      </w:r>
    </w:p>
    <w:p w:rsidR="002C2E19" w:rsidRPr="004A23DC" w:rsidP="002C2E19" w14:paraId="008AF43D" w14:textId="77777777">
      <w:pPr>
        <w:jc w:val="center"/>
        <w:rPr>
          <w:rFonts w:ascii="Arial" w:hAnsi="Arial" w:cs="Arial"/>
        </w:rPr>
      </w:pPr>
      <w:r w:rsidRPr="004A23DC">
        <w:rPr>
          <w:rFonts w:ascii="Arial" w:hAnsi="Arial" w:cs="Arial"/>
        </w:rPr>
        <w:t xml:space="preserve">Administration for Children and Families </w:t>
      </w:r>
    </w:p>
    <w:p w:rsidR="002C2E19" w:rsidRPr="004A23DC" w:rsidP="002C2E19" w14:paraId="6DC88B4B" w14:textId="77777777">
      <w:pPr>
        <w:jc w:val="center"/>
        <w:rPr>
          <w:rFonts w:ascii="Arial" w:hAnsi="Arial" w:cs="Arial"/>
        </w:rPr>
      </w:pPr>
      <w:r w:rsidRPr="004A23DC">
        <w:rPr>
          <w:rFonts w:ascii="Arial" w:hAnsi="Arial" w:cs="Arial"/>
        </w:rPr>
        <w:t>U.S. Department of Health and Human Services</w:t>
      </w:r>
    </w:p>
    <w:p w:rsidR="00597E7F" w:rsidRPr="00A525BA" w:rsidP="00597E7F" w14:paraId="7DEF6B98" w14:textId="14C5893E">
      <w:pPr>
        <w:jc w:val="center"/>
        <w:rPr>
          <w:rFonts w:ascii="Arial" w:hAnsi="Arial" w:cs="Arial"/>
          <w:sz w:val="24"/>
          <w:szCs w:val="24"/>
        </w:rPr>
      </w:pPr>
    </w:p>
    <w:p w:rsidR="00597E7F" w:rsidP="00597E7F" w14:paraId="64FF9A6E" w14:textId="2C44668D">
      <w:pPr>
        <w:jc w:val="center"/>
        <w:rPr>
          <w:rFonts w:ascii="Arial" w:hAnsi="Arial" w:cs="Arial"/>
          <w:sz w:val="24"/>
          <w:szCs w:val="24"/>
        </w:rPr>
      </w:pPr>
    </w:p>
    <w:p w:rsidR="0055407D" w:rsidRPr="0055407D" w:rsidP="00597E7F" w14:paraId="571F0C35" w14:textId="51BC7E7C">
      <w:pPr>
        <w:jc w:val="center"/>
        <w:rPr>
          <w:rFonts w:ascii="Times New Roman" w:hAnsi="Times New Roman"/>
          <w:sz w:val="24"/>
          <w:szCs w:val="24"/>
        </w:rPr>
      </w:pPr>
      <w:r w:rsidRPr="0055407D">
        <w:rPr>
          <w:rFonts w:ascii="Times New Roman" w:hAnsi="Times New Roman"/>
          <w:b/>
          <w:bCs/>
          <w:sz w:val="24"/>
          <w:szCs w:val="24"/>
        </w:rPr>
        <w:t>Note:</w:t>
      </w:r>
      <w:r w:rsidRPr="0055407D">
        <w:rPr>
          <w:rFonts w:ascii="Times New Roman" w:hAnsi="Times New Roman"/>
          <w:sz w:val="24"/>
          <w:szCs w:val="24"/>
        </w:rPr>
        <w:t xml:space="preserve"> This Supporting Statement has been updated to reflect a revision request to include focus groups with participants. </w:t>
      </w:r>
      <w:r w:rsidR="00C86F6E">
        <w:rPr>
          <w:rFonts w:ascii="Times New Roman" w:hAnsi="Times New Roman"/>
          <w:sz w:val="24"/>
          <w:szCs w:val="24"/>
        </w:rPr>
        <w:t xml:space="preserve">Only minor </w:t>
      </w:r>
      <w:r w:rsidRPr="0055407D">
        <w:rPr>
          <w:rFonts w:ascii="Times New Roman" w:hAnsi="Times New Roman"/>
          <w:sz w:val="24"/>
          <w:szCs w:val="24"/>
        </w:rPr>
        <w:t>changes are proposed to previously approved survey activities</w:t>
      </w:r>
      <w:r w:rsidR="00C86F6E">
        <w:rPr>
          <w:rFonts w:ascii="Times New Roman" w:hAnsi="Times New Roman"/>
          <w:sz w:val="24"/>
          <w:szCs w:val="24"/>
        </w:rPr>
        <w:t>, to remove</w:t>
      </w:r>
      <w:r w:rsidR="00682468">
        <w:rPr>
          <w:rFonts w:ascii="Times New Roman" w:hAnsi="Times New Roman"/>
          <w:sz w:val="24"/>
          <w:szCs w:val="24"/>
        </w:rPr>
        <w:t xml:space="preserve"> a few items no longer aligned with toolkit content</w:t>
      </w:r>
      <w:r w:rsidRPr="0055407D">
        <w:rPr>
          <w:rFonts w:ascii="Times New Roman" w:hAnsi="Times New Roman"/>
          <w:sz w:val="24"/>
          <w:szCs w:val="24"/>
        </w:rPr>
        <w:t xml:space="preserve">.  </w:t>
      </w:r>
    </w:p>
    <w:p w:rsidR="0055407D" w:rsidRPr="00A525BA" w:rsidP="00597E7F" w14:paraId="459D3E56" w14:textId="77777777">
      <w:pPr>
        <w:jc w:val="center"/>
        <w:rPr>
          <w:rFonts w:ascii="Arial" w:hAnsi="Arial" w:cs="Arial"/>
          <w:sz w:val="24"/>
          <w:szCs w:val="24"/>
        </w:rPr>
      </w:pPr>
    </w:p>
    <w:p w:rsidR="002C3C4F" w:rsidRPr="00A525BA" w:rsidP="00817E2B" w14:paraId="22C82529" w14:textId="77777777">
      <w:pPr>
        <w:widowControl/>
        <w:numPr>
          <w:ilvl w:val="0"/>
          <w:numId w:val="4"/>
        </w:numPr>
        <w:tabs>
          <w:tab w:val="num" w:pos="360"/>
          <w:tab w:val="clear" w:pos="720"/>
        </w:tabs>
        <w:spacing w:after="120"/>
        <w:ind w:left="360"/>
        <w:rPr>
          <w:rFonts w:ascii="Times New Roman" w:hAnsi="Times New Roman"/>
          <w:b/>
          <w:snapToGrid/>
          <w:sz w:val="24"/>
          <w:szCs w:val="24"/>
        </w:rPr>
      </w:pPr>
      <w:r w:rsidRPr="00A525BA">
        <w:rPr>
          <w:rFonts w:ascii="Times New Roman" w:hAnsi="Times New Roman"/>
          <w:b/>
          <w:snapToGrid/>
          <w:sz w:val="24"/>
          <w:szCs w:val="24"/>
        </w:rPr>
        <w:t xml:space="preserve">Respondent Universe and Sampling Methods </w:t>
      </w:r>
    </w:p>
    <w:p w:rsidR="00AD2EB3" w:rsidRPr="00EE3102" w:rsidP="00AD2EB3" w14:paraId="2C0BE058" w14:textId="77777777">
      <w:pPr>
        <w:tabs>
          <w:tab w:val="left" w:pos="-720"/>
          <w:tab w:val="left" w:pos="0"/>
        </w:tabs>
        <w:suppressAutoHyphens/>
        <w:rPr>
          <w:rFonts w:ascii="Times New Roman" w:hAnsi="Times New Roman"/>
          <w:sz w:val="22"/>
          <w:szCs w:val="22"/>
        </w:rPr>
      </w:pPr>
      <w:r w:rsidRPr="00EE3102">
        <w:rPr>
          <w:rFonts w:ascii="Times New Roman" w:hAnsi="Times New Roman"/>
          <w:sz w:val="22"/>
          <w:szCs w:val="22"/>
        </w:rPr>
        <w:t xml:space="preserve">No statistical methodology for stratification and sample selection will be used for the information collection activities in this request. The information to be collected is descriptive and will not be used for formal hypothesis testing. A nonprobability sampling approach is the most efficient and appropriate method for generating respondent groups for the information collection activities described here. </w:t>
      </w:r>
    </w:p>
    <w:p w:rsidR="00AD2EB3" w:rsidP="00AD2EB3" w14:paraId="4720849C" w14:textId="132FFFB8">
      <w:pPr>
        <w:tabs>
          <w:tab w:val="left" w:pos="-720"/>
          <w:tab w:val="left" w:pos="0"/>
        </w:tabs>
        <w:suppressAutoHyphens/>
        <w:rPr>
          <w:rFonts w:ascii="Times New Roman" w:hAnsi="Times New Roman"/>
          <w:sz w:val="24"/>
          <w:szCs w:val="24"/>
        </w:rPr>
      </w:pPr>
    </w:p>
    <w:p w:rsidR="00353A70" w:rsidRPr="00A30748" w:rsidP="00815B17" w14:paraId="075EDBF2" w14:textId="77777777">
      <w:pPr>
        <w:spacing w:after="60"/>
        <w:rPr>
          <w:rFonts w:ascii="Times New Roman" w:hAnsi="Times New Roman"/>
          <w:i/>
          <w:iCs/>
          <w:sz w:val="22"/>
          <w:szCs w:val="22"/>
        </w:rPr>
      </w:pPr>
      <w:r w:rsidRPr="00A30748">
        <w:rPr>
          <w:rFonts w:ascii="Times New Roman" w:hAnsi="Times New Roman"/>
          <w:i/>
          <w:iCs/>
          <w:sz w:val="22"/>
          <w:szCs w:val="22"/>
        </w:rPr>
        <w:t>Evaluation Sites</w:t>
      </w:r>
    </w:p>
    <w:p w:rsidR="00353A70" w:rsidRPr="00C81D94" w:rsidP="00353A70" w14:paraId="7459F749" w14:textId="58EECADE">
      <w:pPr>
        <w:rPr>
          <w:rFonts w:ascii="Times New Roman" w:hAnsi="Times New Roman"/>
          <w:sz w:val="22"/>
          <w:szCs w:val="22"/>
        </w:rPr>
      </w:pPr>
      <w:r w:rsidRPr="0044483F">
        <w:rPr>
          <w:rFonts w:ascii="Times New Roman" w:hAnsi="Times New Roman"/>
          <w:sz w:val="22"/>
          <w:szCs w:val="22"/>
        </w:rPr>
        <w:t xml:space="preserve">Child welfare </w:t>
      </w:r>
      <w:r w:rsidR="0055407D">
        <w:rPr>
          <w:rFonts w:ascii="Times New Roman" w:hAnsi="Times New Roman"/>
          <w:sz w:val="22"/>
          <w:szCs w:val="22"/>
        </w:rPr>
        <w:t xml:space="preserve">(CW) </w:t>
      </w:r>
      <w:r w:rsidRPr="0044483F">
        <w:rPr>
          <w:rFonts w:ascii="Times New Roman" w:hAnsi="Times New Roman"/>
          <w:sz w:val="22"/>
          <w:szCs w:val="22"/>
        </w:rPr>
        <w:t xml:space="preserve">agencies in </w:t>
      </w:r>
      <w:r>
        <w:rPr>
          <w:rFonts w:ascii="Times New Roman" w:hAnsi="Times New Roman"/>
          <w:sz w:val="22"/>
          <w:szCs w:val="22"/>
        </w:rPr>
        <w:t xml:space="preserve">up to </w:t>
      </w:r>
      <w:r w:rsidRPr="0044483F">
        <w:rPr>
          <w:rFonts w:ascii="Times New Roman" w:hAnsi="Times New Roman"/>
          <w:sz w:val="22"/>
          <w:szCs w:val="22"/>
        </w:rPr>
        <w:t xml:space="preserve">two states </w:t>
      </w:r>
      <w:r w:rsidR="005A3ABF">
        <w:rPr>
          <w:rFonts w:ascii="Times New Roman" w:hAnsi="Times New Roman"/>
          <w:sz w:val="22"/>
          <w:szCs w:val="22"/>
        </w:rPr>
        <w:t>are being</w:t>
      </w:r>
      <w:r w:rsidRPr="0044483F">
        <w:rPr>
          <w:rFonts w:ascii="Times New Roman" w:hAnsi="Times New Roman"/>
          <w:sz w:val="22"/>
          <w:szCs w:val="22"/>
        </w:rPr>
        <w:t xml:space="preserve"> recruited to participate in the formative evaluation. The study team </w:t>
      </w:r>
      <w:r w:rsidR="005A3ABF">
        <w:rPr>
          <w:rFonts w:ascii="Times New Roman" w:hAnsi="Times New Roman"/>
          <w:sz w:val="22"/>
          <w:szCs w:val="22"/>
        </w:rPr>
        <w:t>began</w:t>
      </w:r>
      <w:r w:rsidRPr="0044483F">
        <w:rPr>
          <w:rFonts w:ascii="Times New Roman" w:hAnsi="Times New Roman"/>
          <w:sz w:val="22"/>
          <w:szCs w:val="22"/>
        </w:rPr>
        <w:t xml:space="preserve"> by identifying states for potential outreach and engagement. The team </w:t>
      </w:r>
      <w:r w:rsidR="005A3ABF">
        <w:rPr>
          <w:rFonts w:ascii="Times New Roman" w:hAnsi="Times New Roman"/>
          <w:sz w:val="22"/>
          <w:szCs w:val="22"/>
        </w:rPr>
        <w:t xml:space="preserve">is </w:t>
      </w:r>
      <w:r w:rsidRPr="0044483F">
        <w:rPr>
          <w:rFonts w:ascii="Times New Roman" w:hAnsi="Times New Roman"/>
          <w:sz w:val="22"/>
          <w:szCs w:val="22"/>
        </w:rPr>
        <w:t>focus</w:t>
      </w:r>
      <w:r w:rsidR="005A3ABF">
        <w:rPr>
          <w:rFonts w:ascii="Times New Roman" w:hAnsi="Times New Roman"/>
          <w:sz w:val="22"/>
          <w:szCs w:val="22"/>
        </w:rPr>
        <w:t>ed</w:t>
      </w:r>
      <w:r w:rsidRPr="0044483F">
        <w:rPr>
          <w:rFonts w:ascii="Times New Roman" w:hAnsi="Times New Roman"/>
          <w:sz w:val="22"/>
          <w:szCs w:val="22"/>
        </w:rPr>
        <w:t xml:space="preserve"> on states that (</w:t>
      </w:r>
      <w:r>
        <w:rPr>
          <w:rFonts w:ascii="Times New Roman" w:hAnsi="Times New Roman"/>
          <w:sz w:val="22"/>
          <w:szCs w:val="22"/>
        </w:rPr>
        <w:t>1</w:t>
      </w:r>
      <w:r w:rsidRPr="0044483F">
        <w:rPr>
          <w:rFonts w:ascii="Times New Roman" w:hAnsi="Times New Roman"/>
          <w:sz w:val="22"/>
          <w:szCs w:val="22"/>
        </w:rPr>
        <w:t xml:space="preserve">) participated </w:t>
      </w:r>
      <w:r w:rsidRPr="00543367">
        <w:rPr>
          <w:rFonts w:ascii="Times New Roman" w:hAnsi="Times New Roman"/>
          <w:sz w:val="22"/>
          <w:szCs w:val="22"/>
        </w:rPr>
        <w:t>in a preceding PAE study conducted by the study team</w:t>
      </w:r>
      <w:r>
        <w:rPr>
          <w:rStyle w:val="FootnoteReference"/>
          <w:rFonts w:ascii="Times New Roman" w:hAnsi="Times New Roman"/>
          <w:sz w:val="22"/>
          <w:szCs w:val="22"/>
        </w:rPr>
        <w:footnoteReference w:id="2"/>
      </w:r>
      <w:r w:rsidRPr="00543367">
        <w:rPr>
          <w:rFonts w:ascii="Times New Roman" w:hAnsi="Times New Roman"/>
          <w:sz w:val="22"/>
          <w:szCs w:val="22"/>
        </w:rPr>
        <w:t>;</w:t>
      </w:r>
      <w:r>
        <w:rPr>
          <w:rFonts w:ascii="Times New Roman" w:hAnsi="Times New Roman"/>
          <w:sz w:val="22"/>
          <w:szCs w:val="22"/>
        </w:rPr>
        <w:t xml:space="preserve"> </w:t>
      </w:r>
      <w:r w:rsidRPr="0044483F">
        <w:rPr>
          <w:rFonts w:ascii="Times New Roman" w:hAnsi="Times New Roman"/>
          <w:sz w:val="22"/>
          <w:szCs w:val="22"/>
        </w:rPr>
        <w:t>(</w:t>
      </w:r>
      <w:r>
        <w:rPr>
          <w:rFonts w:ascii="Times New Roman" w:hAnsi="Times New Roman"/>
          <w:sz w:val="22"/>
          <w:szCs w:val="22"/>
        </w:rPr>
        <w:t>2</w:t>
      </w:r>
      <w:r w:rsidRPr="0044483F">
        <w:rPr>
          <w:rFonts w:ascii="Times New Roman" w:hAnsi="Times New Roman"/>
          <w:sz w:val="22"/>
          <w:szCs w:val="22"/>
        </w:rPr>
        <w:t xml:space="preserve">) have been identified by </w:t>
      </w:r>
      <w:r>
        <w:rPr>
          <w:rFonts w:ascii="Times New Roman" w:hAnsi="Times New Roman"/>
          <w:sz w:val="22"/>
          <w:szCs w:val="22"/>
        </w:rPr>
        <w:t xml:space="preserve">project consultants or partners (including </w:t>
      </w:r>
      <w:r w:rsidRPr="0044483F">
        <w:rPr>
          <w:rFonts w:ascii="Times New Roman" w:hAnsi="Times New Roman"/>
          <w:sz w:val="22"/>
          <w:szCs w:val="22"/>
        </w:rPr>
        <w:t xml:space="preserve">their </w:t>
      </w:r>
      <w:r w:rsidR="0055407D">
        <w:rPr>
          <w:rFonts w:ascii="Times New Roman" w:hAnsi="Times New Roman"/>
          <w:sz w:val="22"/>
          <w:szCs w:val="22"/>
        </w:rPr>
        <w:t>Children’s Bureau (</w:t>
      </w:r>
      <w:r>
        <w:rPr>
          <w:rFonts w:ascii="Times New Roman" w:hAnsi="Times New Roman"/>
          <w:sz w:val="22"/>
          <w:szCs w:val="22"/>
        </w:rPr>
        <w:t>CB</w:t>
      </w:r>
      <w:r w:rsidR="0055407D">
        <w:rPr>
          <w:rFonts w:ascii="Times New Roman" w:hAnsi="Times New Roman"/>
          <w:sz w:val="22"/>
          <w:szCs w:val="22"/>
        </w:rPr>
        <w:t>)</w:t>
      </w:r>
      <w:r w:rsidRPr="0044483F">
        <w:rPr>
          <w:rFonts w:ascii="Times New Roman" w:hAnsi="Times New Roman"/>
          <w:sz w:val="22"/>
          <w:szCs w:val="22"/>
        </w:rPr>
        <w:t xml:space="preserve"> Regional Office</w:t>
      </w:r>
      <w:r>
        <w:rPr>
          <w:rFonts w:ascii="Times New Roman" w:hAnsi="Times New Roman"/>
          <w:sz w:val="22"/>
          <w:szCs w:val="22"/>
        </w:rPr>
        <w:t>)</w:t>
      </w:r>
      <w:r w:rsidRPr="0044483F">
        <w:rPr>
          <w:rFonts w:ascii="Times New Roman" w:hAnsi="Times New Roman"/>
          <w:sz w:val="22"/>
          <w:szCs w:val="22"/>
        </w:rPr>
        <w:t xml:space="preserve"> as engaging in efforts to address PAE</w:t>
      </w:r>
      <w:r>
        <w:rPr>
          <w:rFonts w:ascii="Times New Roman" w:hAnsi="Times New Roman"/>
          <w:sz w:val="22"/>
          <w:szCs w:val="22"/>
        </w:rPr>
        <w:t xml:space="preserve"> in their child welfare system</w:t>
      </w:r>
      <w:r w:rsidRPr="0044483F">
        <w:rPr>
          <w:rFonts w:ascii="Times New Roman" w:hAnsi="Times New Roman"/>
          <w:sz w:val="22"/>
          <w:szCs w:val="22"/>
        </w:rPr>
        <w:t>; or (</w:t>
      </w:r>
      <w:r>
        <w:rPr>
          <w:rFonts w:ascii="Times New Roman" w:hAnsi="Times New Roman"/>
          <w:sz w:val="22"/>
          <w:szCs w:val="22"/>
        </w:rPr>
        <w:t>3</w:t>
      </w:r>
      <w:r w:rsidRPr="0044483F">
        <w:rPr>
          <w:rFonts w:ascii="Times New Roman" w:hAnsi="Times New Roman"/>
          <w:sz w:val="22"/>
          <w:szCs w:val="22"/>
        </w:rPr>
        <w:t xml:space="preserve">) were previously approached </w:t>
      </w:r>
      <w:r>
        <w:rPr>
          <w:rFonts w:ascii="Times New Roman" w:hAnsi="Times New Roman"/>
          <w:sz w:val="22"/>
          <w:szCs w:val="22"/>
        </w:rPr>
        <w:t xml:space="preserve">by the study team </w:t>
      </w:r>
      <w:r w:rsidRPr="0044483F">
        <w:rPr>
          <w:rFonts w:ascii="Times New Roman" w:hAnsi="Times New Roman"/>
          <w:sz w:val="22"/>
          <w:szCs w:val="22"/>
        </w:rPr>
        <w:t>about participating in the usability testing phase of the study (described above) and declined</w:t>
      </w:r>
      <w:r>
        <w:rPr>
          <w:rFonts w:ascii="Times New Roman" w:hAnsi="Times New Roman"/>
          <w:sz w:val="22"/>
          <w:szCs w:val="22"/>
        </w:rPr>
        <w:t>,</w:t>
      </w:r>
      <w:r w:rsidRPr="0044483F">
        <w:rPr>
          <w:rFonts w:ascii="Times New Roman" w:hAnsi="Times New Roman"/>
          <w:sz w:val="22"/>
          <w:szCs w:val="22"/>
        </w:rPr>
        <w:t xml:space="preserve"> but indicated they might be willing to participate in the formative evaluation. </w:t>
      </w:r>
      <w:r w:rsidR="00756F9F">
        <w:rPr>
          <w:rFonts w:ascii="Times New Roman" w:hAnsi="Times New Roman"/>
          <w:sz w:val="22"/>
          <w:szCs w:val="22"/>
        </w:rPr>
        <w:t>T</w:t>
      </w:r>
      <w:r w:rsidRPr="0044483F">
        <w:rPr>
          <w:rFonts w:ascii="Times New Roman" w:hAnsi="Times New Roman"/>
          <w:sz w:val="22"/>
          <w:szCs w:val="22"/>
        </w:rPr>
        <w:t>he initial set of states has been identified for outreach and engagement</w:t>
      </w:r>
      <w:r w:rsidR="00756F9F">
        <w:rPr>
          <w:rFonts w:ascii="Times New Roman" w:hAnsi="Times New Roman"/>
          <w:sz w:val="22"/>
          <w:szCs w:val="22"/>
        </w:rPr>
        <w:t>.</w:t>
      </w:r>
      <w:r w:rsidR="00C86F6E">
        <w:rPr>
          <w:rFonts w:ascii="Times New Roman" w:hAnsi="Times New Roman"/>
          <w:sz w:val="22"/>
          <w:szCs w:val="22"/>
        </w:rPr>
        <w:t xml:space="preserve"> </w:t>
      </w:r>
      <w:r w:rsidR="00756F9F">
        <w:rPr>
          <w:rFonts w:ascii="Times New Roman" w:hAnsi="Times New Roman"/>
          <w:sz w:val="22"/>
          <w:szCs w:val="22"/>
        </w:rPr>
        <w:t>T</w:t>
      </w:r>
      <w:r w:rsidRPr="0044483F">
        <w:rPr>
          <w:rFonts w:ascii="Times New Roman" w:hAnsi="Times New Roman"/>
          <w:sz w:val="22"/>
          <w:szCs w:val="22"/>
        </w:rPr>
        <w:t xml:space="preserve">he study team </w:t>
      </w:r>
      <w:r w:rsidR="00756F9F">
        <w:rPr>
          <w:rFonts w:ascii="Times New Roman" w:hAnsi="Times New Roman"/>
          <w:sz w:val="22"/>
          <w:szCs w:val="22"/>
        </w:rPr>
        <w:t>is working</w:t>
      </w:r>
      <w:r w:rsidRPr="0044483F">
        <w:rPr>
          <w:rFonts w:ascii="Times New Roman" w:hAnsi="Times New Roman"/>
          <w:sz w:val="22"/>
          <w:szCs w:val="22"/>
        </w:rPr>
        <w:t xml:space="preserve"> with state or county agency directors to determine </w:t>
      </w:r>
      <w:r>
        <w:rPr>
          <w:rFonts w:ascii="Times New Roman" w:hAnsi="Times New Roman"/>
          <w:sz w:val="22"/>
          <w:szCs w:val="22"/>
        </w:rPr>
        <w:t>up to four “</w:t>
      </w:r>
      <w:r w:rsidRPr="0044483F">
        <w:rPr>
          <w:rFonts w:ascii="Times New Roman" w:hAnsi="Times New Roman"/>
          <w:sz w:val="22"/>
          <w:szCs w:val="22"/>
        </w:rPr>
        <w:t>sites</w:t>
      </w:r>
      <w:r>
        <w:rPr>
          <w:rFonts w:ascii="Times New Roman" w:hAnsi="Times New Roman"/>
          <w:sz w:val="22"/>
          <w:szCs w:val="22"/>
        </w:rPr>
        <w:t>”</w:t>
      </w:r>
      <w:r w:rsidRPr="0044483F">
        <w:rPr>
          <w:rFonts w:ascii="Times New Roman" w:hAnsi="Times New Roman"/>
          <w:sz w:val="22"/>
          <w:szCs w:val="22"/>
        </w:rPr>
        <w:t xml:space="preserve"> </w:t>
      </w:r>
      <w:r>
        <w:rPr>
          <w:rFonts w:ascii="Times New Roman" w:hAnsi="Times New Roman"/>
          <w:sz w:val="22"/>
          <w:szCs w:val="22"/>
        </w:rPr>
        <w:t>total with</w:t>
      </w:r>
      <w:r w:rsidRPr="0044483F">
        <w:rPr>
          <w:rFonts w:ascii="Times New Roman" w:hAnsi="Times New Roman"/>
          <w:sz w:val="22"/>
          <w:szCs w:val="22"/>
        </w:rPr>
        <w:t xml:space="preserve">in the states to implement the toolkit intervention and participate in the </w:t>
      </w:r>
      <w:r w:rsidRPr="00316014">
        <w:rPr>
          <w:rFonts w:ascii="Times New Roman" w:hAnsi="Times New Roman"/>
          <w:sz w:val="22"/>
          <w:szCs w:val="22"/>
        </w:rPr>
        <w:t xml:space="preserve">study. </w:t>
      </w:r>
      <w:r w:rsidR="00643554">
        <w:rPr>
          <w:rFonts w:ascii="Times New Roman" w:hAnsi="Times New Roman"/>
          <w:sz w:val="22"/>
          <w:szCs w:val="22"/>
        </w:rPr>
        <w:t>Sites are being</w:t>
      </w:r>
      <w:r w:rsidRPr="00316014">
        <w:rPr>
          <w:rFonts w:ascii="Times New Roman" w:hAnsi="Times New Roman"/>
          <w:sz w:val="22"/>
          <w:szCs w:val="22"/>
        </w:rPr>
        <w:t xml:space="preserve"> determined in consultation with the child welfare agency but may include one or two supervisory (or otherwise grouped) teams within one local child welfare agency, an office within one local child welfare agency, a region (e.g., multiple offices within a child welfare jurisdiction) or a county.</w:t>
      </w:r>
      <w:r>
        <w:t xml:space="preserve"> </w:t>
      </w:r>
    </w:p>
    <w:p w:rsidR="00353A70" w:rsidP="00353A70" w14:paraId="3A709E76" w14:textId="77777777">
      <w:pPr>
        <w:rPr>
          <w:rFonts w:ascii="Times New Roman" w:hAnsi="Times New Roman"/>
          <w:sz w:val="22"/>
          <w:szCs w:val="22"/>
        </w:rPr>
      </w:pPr>
    </w:p>
    <w:p w:rsidR="00353A70" w:rsidRPr="0044483F" w:rsidP="00353A70" w14:paraId="0D7BE0EC" w14:textId="77777777">
      <w:pPr>
        <w:rPr>
          <w:rFonts w:ascii="Times New Roman" w:hAnsi="Times New Roman"/>
          <w:sz w:val="22"/>
          <w:szCs w:val="22"/>
        </w:rPr>
      </w:pPr>
      <w:r w:rsidRPr="0044483F">
        <w:rPr>
          <w:rFonts w:ascii="Times New Roman" w:hAnsi="Times New Roman"/>
          <w:sz w:val="22"/>
          <w:szCs w:val="22"/>
        </w:rPr>
        <w:t xml:space="preserve">The </w:t>
      </w:r>
      <w:r w:rsidRPr="0044483F">
        <w:rPr>
          <w:rFonts w:ascii="Times New Roman" w:hAnsi="Times New Roman"/>
          <w:b/>
          <w:bCs/>
          <w:sz w:val="22"/>
          <w:szCs w:val="22"/>
        </w:rPr>
        <w:t>criteria for inclusion</w:t>
      </w:r>
      <w:r w:rsidRPr="0044483F">
        <w:rPr>
          <w:rFonts w:ascii="Times New Roman" w:hAnsi="Times New Roman"/>
          <w:sz w:val="22"/>
          <w:szCs w:val="22"/>
        </w:rPr>
        <w:t xml:space="preserve"> in the formative evaluation </w:t>
      </w:r>
      <w:r>
        <w:rPr>
          <w:rFonts w:ascii="Times New Roman" w:hAnsi="Times New Roman"/>
          <w:sz w:val="22"/>
          <w:szCs w:val="22"/>
        </w:rPr>
        <w:t>are as follows</w:t>
      </w:r>
      <w:r w:rsidRPr="0044483F">
        <w:rPr>
          <w:rFonts w:ascii="Times New Roman" w:hAnsi="Times New Roman"/>
          <w:sz w:val="22"/>
          <w:szCs w:val="22"/>
        </w:rPr>
        <w:t>:</w:t>
      </w:r>
    </w:p>
    <w:p w:rsidR="00353A70" w:rsidRPr="0044483F" w:rsidP="00353A70" w14:paraId="64707F38" w14:textId="77777777">
      <w:pPr>
        <w:pStyle w:val="ListParagraph"/>
        <w:widowControl/>
        <w:numPr>
          <w:ilvl w:val="0"/>
          <w:numId w:val="32"/>
        </w:numPr>
        <w:spacing w:before="200" w:after="200"/>
        <w:contextualSpacing/>
        <w:rPr>
          <w:rFonts w:ascii="Times New Roman" w:hAnsi="Times New Roman"/>
          <w:sz w:val="22"/>
          <w:szCs w:val="22"/>
        </w:rPr>
      </w:pPr>
      <w:r>
        <w:rPr>
          <w:rFonts w:ascii="Times New Roman" w:hAnsi="Times New Roman"/>
          <w:sz w:val="22"/>
          <w:szCs w:val="22"/>
        </w:rPr>
        <w:t>The site has i</w:t>
      </w:r>
      <w:r w:rsidRPr="0044483F">
        <w:rPr>
          <w:rFonts w:ascii="Times New Roman" w:hAnsi="Times New Roman"/>
          <w:sz w:val="22"/>
          <w:szCs w:val="22"/>
        </w:rPr>
        <w:t xml:space="preserve">nterest in the project, evaluation, and desired outcomes </w:t>
      </w:r>
    </w:p>
    <w:p w:rsidR="00353A70" w:rsidRPr="0044483F" w:rsidP="00353A70" w14:paraId="4ACD7E1B" w14:textId="77777777">
      <w:pPr>
        <w:pStyle w:val="ListParagraph"/>
        <w:widowControl/>
        <w:numPr>
          <w:ilvl w:val="0"/>
          <w:numId w:val="32"/>
        </w:numPr>
        <w:spacing w:before="200" w:after="200"/>
        <w:contextualSpacing/>
        <w:rPr>
          <w:rFonts w:ascii="Times New Roman" w:hAnsi="Times New Roman"/>
          <w:sz w:val="22"/>
          <w:szCs w:val="22"/>
        </w:rPr>
      </w:pPr>
      <w:r>
        <w:rPr>
          <w:rFonts w:ascii="Times New Roman" w:hAnsi="Times New Roman"/>
          <w:sz w:val="22"/>
          <w:szCs w:val="22"/>
        </w:rPr>
        <w:t>The v</w:t>
      </w:r>
      <w:r w:rsidRPr="0044483F">
        <w:rPr>
          <w:rFonts w:ascii="Times New Roman" w:hAnsi="Times New Roman"/>
          <w:sz w:val="22"/>
          <w:szCs w:val="22"/>
        </w:rPr>
        <w:t>alues and culture of the agency align with the project objectives and activities (e.g., known interest/prior experience in contributing to building evidence for child welfare practices)</w:t>
      </w:r>
    </w:p>
    <w:p w:rsidR="00353A70" w:rsidRPr="0044483F" w:rsidP="00353A70" w14:paraId="486BA7D3" w14:textId="77777777">
      <w:pPr>
        <w:pStyle w:val="ListParagraph"/>
        <w:widowControl/>
        <w:numPr>
          <w:ilvl w:val="0"/>
          <w:numId w:val="32"/>
        </w:numPr>
        <w:spacing w:before="200" w:after="200"/>
        <w:contextualSpacing/>
        <w:rPr>
          <w:rFonts w:ascii="Times New Roman" w:hAnsi="Times New Roman"/>
          <w:sz w:val="22"/>
          <w:szCs w:val="22"/>
        </w:rPr>
      </w:pPr>
      <w:r>
        <w:rPr>
          <w:rFonts w:ascii="Times New Roman" w:hAnsi="Times New Roman"/>
          <w:sz w:val="22"/>
          <w:szCs w:val="22"/>
        </w:rPr>
        <w:t>The site has a</w:t>
      </w:r>
      <w:r w:rsidRPr="0044483F">
        <w:rPr>
          <w:rFonts w:ascii="Times New Roman" w:hAnsi="Times New Roman"/>
          <w:sz w:val="22"/>
          <w:szCs w:val="22"/>
        </w:rPr>
        <w:t>dequate staff resources to test the toolkit. Indicators include:</w:t>
      </w:r>
    </w:p>
    <w:p w:rsidR="00353A70" w:rsidRPr="0044483F" w:rsidP="00353A70" w14:paraId="65123792" w14:textId="77777777">
      <w:pPr>
        <w:pStyle w:val="ListParagraph"/>
        <w:widowControl/>
        <w:numPr>
          <w:ilvl w:val="1"/>
          <w:numId w:val="32"/>
        </w:numPr>
        <w:spacing w:before="200" w:after="200"/>
        <w:contextualSpacing/>
        <w:rPr>
          <w:rFonts w:ascii="Times New Roman" w:hAnsi="Times New Roman"/>
          <w:sz w:val="22"/>
          <w:szCs w:val="22"/>
        </w:rPr>
      </w:pPr>
      <w:r w:rsidRPr="0044483F">
        <w:rPr>
          <w:rFonts w:ascii="Times New Roman" w:hAnsi="Times New Roman"/>
          <w:sz w:val="22"/>
          <w:szCs w:val="22"/>
        </w:rPr>
        <w:t>Sufficient number of supervisors</w:t>
      </w:r>
    </w:p>
    <w:p w:rsidR="00353A70" w:rsidRPr="0044483F" w:rsidP="00353A70" w14:paraId="06EAC7CA" w14:textId="77777777">
      <w:pPr>
        <w:pStyle w:val="ListParagraph"/>
        <w:widowControl/>
        <w:numPr>
          <w:ilvl w:val="1"/>
          <w:numId w:val="32"/>
        </w:numPr>
        <w:spacing w:before="200" w:after="200"/>
        <w:contextualSpacing/>
        <w:rPr>
          <w:rFonts w:ascii="Times New Roman" w:hAnsi="Times New Roman"/>
          <w:sz w:val="22"/>
          <w:szCs w:val="22"/>
        </w:rPr>
      </w:pPr>
      <w:r w:rsidRPr="0044483F">
        <w:rPr>
          <w:rFonts w:ascii="Times New Roman" w:hAnsi="Times New Roman"/>
          <w:sz w:val="22"/>
          <w:szCs w:val="22"/>
        </w:rPr>
        <w:t xml:space="preserve">Staff who serve in varied agency roles </w:t>
      </w:r>
    </w:p>
    <w:p w:rsidR="00353A70" w:rsidRPr="0044483F" w:rsidP="00353A70" w14:paraId="77FF4B80" w14:textId="77777777">
      <w:pPr>
        <w:pStyle w:val="ListParagraph"/>
        <w:widowControl/>
        <w:numPr>
          <w:ilvl w:val="1"/>
          <w:numId w:val="32"/>
        </w:numPr>
        <w:spacing w:before="200" w:after="200"/>
        <w:contextualSpacing/>
        <w:rPr>
          <w:rFonts w:ascii="Times New Roman" w:hAnsi="Times New Roman"/>
          <w:sz w:val="22"/>
          <w:szCs w:val="22"/>
        </w:rPr>
      </w:pPr>
      <w:r w:rsidRPr="0044483F">
        <w:rPr>
          <w:rFonts w:ascii="Times New Roman" w:hAnsi="Times New Roman"/>
          <w:sz w:val="22"/>
          <w:szCs w:val="22"/>
        </w:rPr>
        <w:t>Time to complete evaluation activities</w:t>
      </w:r>
    </w:p>
    <w:p w:rsidR="00353A70" w:rsidRPr="0044483F" w:rsidP="00353A70" w14:paraId="18005368" w14:textId="77777777">
      <w:pPr>
        <w:pStyle w:val="ListParagraph"/>
        <w:widowControl/>
        <w:numPr>
          <w:ilvl w:val="0"/>
          <w:numId w:val="32"/>
        </w:numPr>
        <w:spacing w:before="200" w:after="200"/>
        <w:contextualSpacing/>
        <w:rPr>
          <w:rFonts w:ascii="Times New Roman" w:hAnsi="Times New Roman"/>
          <w:sz w:val="22"/>
          <w:szCs w:val="22"/>
        </w:rPr>
      </w:pPr>
      <w:r>
        <w:rPr>
          <w:rFonts w:ascii="Times New Roman" w:hAnsi="Times New Roman"/>
          <w:sz w:val="22"/>
          <w:szCs w:val="22"/>
        </w:rPr>
        <w:t>There is e</w:t>
      </w:r>
      <w:r w:rsidRPr="0044483F">
        <w:rPr>
          <w:rFonts w:ascii="Times New Roman" w:hAnsi="Times New Roman"/>
          <w:sz w:val="22"/>
          <w:szCs w:val="22"/>
        </w:rPr>
        <w:t>vidence of buy-in/support (internal and external, frontline to leadership) to implement PAE/PSE resources as envisioned. Indicators include:</w:t>
      </w:r>
    </w:p>
    <w:p w:rsidR="00353A70" w:rsidRPr="0044483F" w:rsidP="00353A70" w14:paraId="5F8C7174" w14:textId="77777777">
      <w:pPr>
        <w:pStyle w:val="ListParagraph"/>
        <w:widowControl/>
        <w:numPr>
          <w:ilvl w:val="1"/>
          <w:numId w:val="32"/>
        </w:numPr>
        <w:spacing w:before="200" w:after="200"/>
        <w:contextualSpacing/>
        <w:rPr>
          <w:rFonts w:ascii="Times New Roman" w:hAnsi="Times New Roman"/>
          <w:sz w:val="22"/>
          <w:szCs w:val="22"/>
        </w:rPr>
      </w:pPr>
      <w:r w:rsidRPr="0044483F">
        <w:rPr>
          <w:rFonts w:ascii="Times New Roman" w:hAnsi="Times New Roman"/>
          <w:sz w:val="22"/>
          <w:szCs w:val="22"/>
        </w:rPr>
        <w:t>Enthusiastic response to the toolkit from individuals with influence at the site (e.g., a likely program champion)</w:t>
      </w:r>
    </w:p>
    <w:p w:rsidR="00353A70" w:rsidRPr="0044483F" w:rsidP="00353A70" w14:paraId="29E96395" w14:textId="1843B1F7">
      <w:pPr>
        <w:pStyle w:val="ListParagraph"/>
        <w:widowControl/>
        <w:numPr>
          <w:ilvl w:val="1"/>
          <w:numId w:val="32"/>
        </w:numPr>
        <w:spacing w:before="200" w:after="200"/>
        <w:contextualSpacing/>
        <w:rPr>
          <w:rFonts w:ascii="Times New Roman" w:hAnsi="Times New Roman"/>
          <w:sz w:val="22"/>
          <w:szCs w:val="22"/>
        </w:rPr>
      </w:pPr>
      <w:r w:rsidRPr="0044483F">
        <w:rPr>
          <w:rFonts w:ascii="Times New Roman" w:hAnsi="Times New Roman"/>
          <w:sz w:val="22"/>
          <w:szCs w:val="22"/>
        </w:rPr>
        <w:t>Presence of state plans regarding F</w:t>
      </w:r>
      <w:r w:rsidR="00815B17">
        <w:rPr>
          <w:rFonts w:ascii="Times New Roman" w:hAnsi="Times New Roman"/>
          <w:sz w:val="22"/>
          <w:szCs w:val="22"/>
        </w:rPr>
        <w:t xml:space="preserve">etal </w:t>
      </w:r>
      <w:r w:rsidRPr="0044483F">
        <w:rPr>
          <w:rFonts w:ascii="Times New Roman" w:hAnsi="Times New Roman"/>
          <w:sz w:val="22"/>
          <w:szCs w:val="22"/>
        </w:rPr>
        <w:t>A</w:t>
      </w:r>
      <w:r w:rsidR="00815B17">
        <w:rPr>
          <w:rFonts w:ascii="Times New Roman" w:hAnsi="Times New Roman"/>
          <w:sz w:val="22"/>
          <w:szCs w:val="22"/>
        </w:rPr>
        <w:t xml:space="preserve">lcohol </w:t>
      </w:r>
      <w:r w:rsidRPr="0044483F">
        <w:rPr>
          <w:rFonts w:ascii="Times New Roman" w:hAnsi="Times New Roman"/>
          <w:sz w:val="22"/>
          <w:szCs w:val="22"/>
        </w:rPr>
        <w:t>S</w:t>
      </w:r>
      <w:r w:rsidR="00815B17">
        <w:rPr>
          <w:rFonts w:ascii="Times New Roman" w:hAnsi="Times New Roman"/>
          <w:sz w:val="22"/>
          <w:szCs w:val="22"/>
        </w:rPr>
        <w:t xml:space="preserve">yndrome </w:t>
      </w:r>
      <w:r w:rsidRPr="0044483F">
        <w:rPr>
          <w:rFonts w:ascii="Times New Roman" w:hAnsi="Times New Roman"/>
          <w:sz w:val="22"/>
          <w:szCs w:val="22"/>
        </w:rPr>
        <w:t>D</w:t>
      </w:r>
      <w:r w:rsidR="00815B17">
        <w:rPr>
          <w:rFonts w:ascii="Times New Roman" w:hAnsi="Times New Roman"/>
          <w:sz w:val="22"/>
          <w:szCs w:val="22"/>
        </w:rPr>
        <w:t>isorder</w:t>
      </w:r>
      <w:r w:rsidRPr="0044483F">
        <w:rPr>
          <w:rFonts w:ascii="Times New Roman" w:hAnsi="Times New Roman"/>
          <w:sz w:val="22"/>
          <w:szCs w:val="22"/>
        </w:rPr>
        <w:t>s or evidence of state’s awareness of the importance of addressing alcohol impacts within substance exposed newborn plans of safe care, etc.</w:t>
      </w:r>
    </w:p>
    <w:p w:rsidR="00353A70" w:rsidRPr="0044483F" w:rsidP="00353A70" w14:paraId="799E08F1" w14:textId="77777777">
      <w:pPr>
        <w:pStyle w:val="ListParagraph"/>
        <w:widowControl/>
        <w:numPr>
          <w:ilvl w:val="0"/>
          <w:numId w:val="32"/>
        </w:numPr>
        <w:spacing w:before="200" w:after="200"/>
        <w:contextualSpacing/>
        <w:rPr>
          <w:rFonts w:ascii="Times New Roman" w:hAnsi="Times New Roman"/>
          <w:sz w:val="22"/>
          <w:szCs w:val="22"/>
        </w:rPr>
      </w:pPr>
      <w:r>
        <w:rPr>
          <w:rFonts w:ascii="Times New Roman" w:hAnsi="Times New Roman"/>
          <w:sz w:val="22"/>
          <w:szCs w:val="22"/>
        </w:rPr>
        <w:t>There is c</w:t>
      </w:r>
      <w:r w:rsidRPr="0044483F">
        <w:rPr>
          <w:rFonts w:ascii="Times New Roman" w:hAnsi="Times New Roman"/>
          <w:sz w:val="22"/>
          <w:szCs w:val="22"/>
        </w:rPr>
        <w:t xml:space="preserve">apacity to engage teams/individuals within the site who are in roles aligned with or are targeted users of specific components of the toolkit (e.g., foster care/adoption workers able to assess quality and utility of resources to be provided to caregivers) </w:t>
      </w:r>
    </w:p>
    <w:p w:rsidR="00353A70" w:rsidRPr="00DB4E75" w:rsidP="00827680" w14:paraId="3ECA0022" w14:textId="0F887D09">
      <w:pPr>
        <w:pStyle w:val="ListParagraph"/>
        <w:widowControl/>
        <w:numPr>
          <w:ilvl w:val="0"/>
          <w:numId w:val="32"/>
        </w:numPr>
        <w:spacing w:before="200"/>
        <w:contextualSpacing/>
        <w:rPr>
          <w:rFonts w:ascii="Times New Roman" w:hAnsi="Times New Roman"/>
          <w:i/>
          <w:iCs/>
          <w:sz w:val="22"/>
          <w:szCs w:val="22"/>
        </w:rPr>
      </w:pPr>
      <w:r w:rsidRPr="000C5FBE">
        <w:rPr>
          <w:rFonts w:ascii="Times New Roman" w:hAnsi="Times New Roman"/>
          <w:sz w:val="22"/>
          <w:szCs w:val="22"/>
        </w:rPr>
        <w:t>Access to adjunct partners (e.g., established referral processes with assessment and other services that will help to inform evaluation o</w:t>
      </w:r>
      <w:r w:rsidR="00815B17">
        <w:rPr>
          <w:rFonts w:ascii="Times New Roman" w:hAnsi="Times New Roman"/>
          <w:sz w:val="22"/>
          <w:szCs w:val="22"/>
        </w:rPr>
        <w:t>f</w:t>
      </w:r>
      <w:r w:rsidRPr="000C5FBE">
        <w:rPr>
          <w:rFonts w:ascii="Times New Roman" w:hAnsi="Times New Roman"/>
          <w:sz w:val="22"/>
          <w:szCs w:val="22"/>
        </w:rPr>
        <w:t xml:space="preserve"> aligned toolkit resources)</w:t>
      </w:r>
    </w:p>
    <w:p w:rsidR="00A6200C" w:rsidP="00AD2EB3" w14:paraId="218C6AD3" w14:textId="63C2C7B0">
      <w:pPr>
        <w:tabs>
          <w:tab w:val="left" w:pos="-720"/>
          <w:tab w:val="left" w:pos="0"/>
        </w:tabs>
        <w:suppressAutoHyphens/>
        <w:rPr>
          <w:rFonts w:ascii="Times New Roman" w:hAnsi="Times New Roman"/>
          <w:sz w:val="24"/>
          <w:szCs w:val="24"/>
        </w:rPr>
      </w:pPr>
    </w:p>
    <w:p w:rsidR="00AD2EB3" w:rsidRPr="00A525BA" w:rsidP="00AD2EB3" w14:paraId="7BF7866D" w14:textId="7BBB6CEB">
      <w:pPr>
        <w:tabs>
          <w:tab w:val="left" w:pos="-720"/>
          <w:tab w:val="left" w:pos="0"/>
        </w:tabs>
        <w:suppressAutoHyphens/>
        <w:rPr>
          <w:rFonts w:ascii="Times New Roman" w:hAnsi="Times New Roman"/>
          <w:sz w:val="24"/>
          <w:szCs w:val="24"/>
        </w:rPr>
      </w:pPr>
      <w:r w:rsidRPr="00A525BA">
        <w:rPr>
          <w:rFonts w:ascii="Times New Roman" w:hAnsi="Times New Roman"/>
          <w:sz w:val="24"/>
          <w:szCs w:val="24"/>
        </w:rPr>
        <w:t>Child welfare staff and leadership will be recruited from within each implementation site to implement the toolkit intervention and serve as survey respondents.</w:t>
      </w:r>
      <w:r w:rsidRPr="00A525BA" w:rsidR="00AD0347">
        <w:rPr>
          <w:rFonts w:ascii="Times New Roman" w:hAnsi="Times New Roman"/>
          <w:sz w:val="24"/>
          <w:szCs w:val="24"/>
        </w:rPr>
        <w:t xml:space="preserve"> </w:t>
      </w:r>
      <w:r w:rsidRPr="00A525BA" w:rsidR="00D72779">
        <w:rPr>
          <w:rFonts w:ascii="Times New Roman" w:hAnsi="Times New Roman"/>
          <w:sz w:val="24"/>
          <w:szCs w:val="24"/>
        </w:rPr>
        <w:t>The targeted sample size is a</w:t>
      </w:r>
      <w:r w:rsidRPr="00A525BA" w:rsidR="00AD0347">
        <w:rPr>
          <w:rFonts w:ascii="Times New Roman" w:hAnsi="Times New Roman"/>
          <w:sz w:val="24"/>
          <w:szCs w:val="24"/>
        </w:rPr>
        <w:t xml:space="preserve">pproximately 8 </w:t>
      </w:r>
      <w:r w:rsidRPr="00A525BA" w:rsidR="007B0313">
        <w:rPr>
          <w:rFonts w:ascii="Times New Roman" w:hAnsi="Times New Roman"/>
          <w:sz w:val="24"/>
          <w:szCs w:val="24"/>
        </w:rPr>
        <w:t xml:space="preserve">respondents </w:t>
      </w:r>
      <w:r w:rsidRPr="00A525BA" w:rsidR="00AD0347">
        <w:rPr>
          <w:rFonts w:ascii="Times New Roman" w:hAnsi="Times New Roman"/>
          <w:sz w:val="24"/>
          <w:szCs w:val="24"/>
        </w:rPr>
        <w:t>for each site (we estimate up to 32 respondents total across four sites).</w:t>
      </w:r>
      <w:r w:rsidR="00E066EA">
        <w:rPr>
          <w:rFonts w:ascii="Times New Roman" w:hAnsi="Times New Roman"/>
          <w:sz w:val="24"/>
          <w:szCs w:val="24"/>
        </w:rPr>
        <w:t xml:space="preserve"> </w:t>
      </w:r>
      <w:r w:rsidR="00F42B60">
        <w:rPr>
          <w:rFonts w:ascii="Times New Roman" w:hAnsi="Times New Roman"/>
          <w:sz w:val="24"/>
          <w:szCs w:val="24"/>
        </w:rPr>
        <w:t>Seven of the 8 respondents at each site will be recruited to participate in the focus group</w:t>
      </w:r>
      <w:r w:rsidR="00BE02B4">
        <w:rPr>
          <w:rFonts w:ascii="Times New Roman" w:hAnsi="Times New Roman"/>
          <w:sz w:val="24"/>
          <w:szCs w:val="24"/>
        </w:rPr>
        <w:t xml:space="preserve">s (all respondents except for the Director). </w:t>
      </w:r>
    </w:p>
    <w:p w:rsidR="00AD2EB3" w:rsidRPr="00A525BA" w:rsidP="00AD2EB3" w14:paraId="77AE4C2A" w14:textId="74ACE642">
      <w:pPr>
        <w:tabs>
          <w:tab w:val="left" w:pos="-720"/>
          <w:tab w:val="left" w:pos="0"/>
        </w:tabs>
        <w:suppressAutoHyphens/>
        <w:rPr>
          <w:rFonts w:ascii="Times New Roman" w:hAnsi="Times New Roman"/>
          <w:sz w:val="24"/>
          <w:szCs w:val="24"/>
        </w:rPr>
      </w:pPr>
    </w:p>
    <w:p w:rsidR="00AD2EB3" w:rsidP="00AD2EB3" w14:paraId="331EA838" w14:textId="766E3642">
      <w:pPr>
        <w:rPr>
          <w:rFonts w:ascii="Times New Roman" w:hAnsi="Times New Roman"/>
          <w:sz w:val="24"/>
          <w:szCs w:val="24"/>
        </w:rPr>
      </w:pPr>
      <w:r w:rsidRPr="00A525BA">
        <w:rPr>
          <w:rFonts w:ascii="Times New Roman" w:hAnsi="Times New Roman"/>
          <w:sz w:val="24"/>
          <w:szCs w:val="24"/>
        </w:rPr>
        <w:t>The child welfare s</w:t>
      </w:r>
      <w:r w:rsidRPr="00A525BA">
        <w:rPr>
          <w:rFonts w:ascii="Times New Roman" w:hAnsi="Times New Roman"/>
          <w:sz w:val="24"/>
          <w:szCs w:val="24"/>
        </w:rPr>
        <w:t xml:space="preserve">taff </w:t>
      </w:r>
      <w:r w:rsidR="00A82DF6">
        <w:rPr>
          <w:rFonts w:ascii="Times New Roman" w:hAnsi="Times New Roman"/>
          <w:sz w:val="24"/>
          <w:szCs w:val="24"/>
        </w:rPr>
        <w:t xml:space="preserve">that will be </w:t>
      </w:r>
      <w:r w:rsidRPr="00A525BA">
        <w:rPr>
          <w:rFonts w:ascii="Times New Roman" w:hAnsi="Times New Roman"/>
          <w:sz w:val="24"/>
          <w:szCs w:val="24"/>
        </w:rPr>
        <w:t xml:space="preserve">needed to participate </w:t>
      </w:r>
      <w:r w:rsidRPr="00A525BA">
        <w:rPr>
          <w:rFonts w:ascii="Times New Roman" w:hAnsi="Times New Roman"/>
          <w:sz w:val="24"/>
          <w:szCs w:val="24"/>
        </w:rPr>
        <w:t xml:space="preserve">in implementation and data collection </w:t>
      </w:r>
      <w:r w:rsidRPr="00A525BA">
        <w:rPr>
          <w:rFonts w:ascii="Times New Roman" w:hAnsi="Times New Roman"/>
          <w:sz w:val="24"/>
          <w:szCs w:val="24"/>
        </w:rPr>
        <w:t xml:space="preserve">at each site </w:t>
      </w:r>
      <w:r w:rsidRPr="00A525BA">
        <w:rPr>
          <w:rFonts w:ascii="Times New Roman" w:hAnsi="Times New Roman"/>
          <w:sz w:val="24"/>
          <w:szCs w:val="24"/>
        </w:rPr>
        <w:t xml:space="preserve">will be similar to the </w:t>
      </w:r>
      <w:r w:rsidRPr="00A525BA">
        <w:rPr>
          <w:rFonts w:ascii="Times New Roman" w:hAnsi="Times New Roman"/>
          <w:sz w:val="24"/>
          <w:szCs w:val="24"/>
        </w:rPr>
        <w:t>anticipated end users of the toolkit and would include staff from among the following roles</w:t>
      </w:r>
      <w:r w:rsidR="001F135C">
        <w:rPr>
          <w:rFonts w:ascii="Times New Roman" w:hAnsi="Times New Roman"/>
          <w:sz w:val="24"/>
          <w:szCs w:val="24"/>
        </w:rPr>
        <w:t xml:space="preserve"> shown in </w:t>
      </w:r>
      <w:r w:rsidR="00A82DF6">
        <w:rPr>
          <w:rFonts w:ascii="Times New Roman" w:hAnsi="Times New Roman"/>
          <w:sz w:val="24"/>
          <w:szCs w:val="24"/>
        </w:rPr>
        <w:t>T</w:t>
      </w:r>
      <w:r w:rsidR="001F135C">
        <w:rPr>
          <w:rFonts w:ascii="Times New Roman" w:hAnsi="Times New Roman"/>
          <w:sz w:val="24"/>
          <w:szCs w:val="24"/>
        </w:rPr>
        <w:t>able B1.</w:t>
      </w:r>
    </w:p>
    <w:p w:rsidR="000F67CB" w:rsidP="00AD2EB3" w14:paraId="5D3679CC" w14:textId="3FD07CBD">
      <w:pPr>
        <w:rPr>
          <w:rFonts w:ascii="Times New Roman" w:hAnsi="Times New Roman"/>
          <w:sz w:val="24"/>
          <w:szCs w:val="24"/>
        </w:rPr>
      </w:pPr>
    </w:p>
    <w:p w:rsidR="000F67CB" w:rsidP="00AD2EB3" w14:paraId="3C4E3BF2" w14:textId="29F3C691">
      <w:pPr>
        <w:rPr>
          <w:rFonts w:ascii="Times New Roman" w:hAnsi="Times New Roman"/>
          <w:sz w:val="24"/>
          <w:szCs w:val="24"/>
        </w:rPr>
      </w:pPr>
      <w:r>
        <w:rPr>
          <w:rFonts w:ascii="Times New Roman" w:hAnsi="Times New Roman"/>
          <w:sz w:val="24"/>
          <w:szCs w:val="24"/>
        </w:rPr>
        <w:t xml:space="preserve">Table B1. </w:t>
      </w:r>
      <w:r w:rsidR="00F11483">
        <w:rPr>
          <w:rFonts w:ascii="Times New Roman" w:hAnsi="Times New Roman"/>
          <w:sz w:val="24"/>
          <w:szCs w:val="24"/>
        </w:rPr>
        <w:t>Child welfare staff roles for inclusion in the study</w:t>
      </w:r>
    </w:p>
    <w:tbl>
      <w:tblPr>
        <w:tblStyle w:val="TableGrid1"/>
        <w:tblW w:w="9085" w:type="dxa"/>
        <w:tblInd w:w="0" w:type="dxa"/>
        <w:tblLook w:val="04A0"/>
      </w:tblPr>
      <w:tblGrid>
        <w:gridCol w:w="6565"/>
        <w:gridCol w:w="2520"/>
      </w:tblGrid>
      <w:tr w14:paraId="6506F8C1" w14:textId="77777777" w:rsidTr="004521B7">
        <w:tblPrEx>
          <w:tblW w:w="9085" w:type="dxa"/>
          <w:tblInd w:w="0" w:type="dxa"/>
          <w:tblLook w:val="04A0"/>
        </w:tblPrEx>
        <w:trPr>
          <w:tblHeader/>
        </w:trPr>
        <w:tc>
          <w:tcPr>
            <w:tcW w:w="6565" w:type="dxa"/>
            <w:tcBorders>
              <w:bottom w:val="single" w:sz="12" w:space="0" w:color="auto"/>
            </w:tcBorders>
            <w:shd w:val="clear" w:color="auto" w:fill="D9D9D9" w:themeFill="background1" w:themeFillShade="D9"/>
          </w:tcPr>
          <w:p w:rsidR="00F11483" w:rsidRPr="00547EEB" w:rsidP="00941AB6" w14:paraId="2A109083" w14:textId="68954BB7">
            <w:pPr>
              <w:rPr>
                <w:rFonts w:ascii="Times New Roman" w:hAnsi="Times New Roman"/>
                <w:b/>
                <w:bCs/>
                <w:iCs/>
                <w:sz w:val="22"/>
                <w:szCs w:val="22"/>
              </w:rPr>
            </w:pPr>
            <w:r>
              <w:rPr>
                <w:rFonts w:ascii="Times New Roman" w:hAnsi="Times New Roman"/>
                <w:b/>
                <w:bCs/>
                <w:iCs/>
                <w:sz w:val="22"/>
                <w:szCs w:val="22"/>
              </w:rPr>
              <w:t>Child welfare agency role</w:t>
            </w:r>
          </w:p>
        </w:tc>
        <w:tc>
          <w:tcPr>
            <w:tcW w:w="2520" w:type="dxa"/>
            <w:tcBorders>
              <w:bottom w:val="single" w:sz="12" w:space="0" w:color="auto"/>
            </w:tcBorders>
            <w:shd w:val="clear" w:color="auto" w:fill="D9D9D9" w:themeFill="background1" w:themeFillShade="D9"/>
          </w:tcPr>
          <w:p w:rsidR="00F11483" w:rsidRPr="00547EEB" w:rsidP="00941AB6" w14:paraId="5884C9B4" w14:textId="0F81E209">
            <w:pPr>
              <w:rPr>
                <w:rFonts w:ascii="Times New Roman" w:hAnsi="Times New Roman"/>
                <w:b/>
                <w:bCs/>
                <w:iCs/>
                <w:sz w:val="22"/>
                <w:szCs w:val="22"/>
              </w:rPr>
            </w:pPr>
            <w:r>
              <w:rPr>
                <w:rFonts w:ascii="Times New Roman" w:hAnsi="Times New Roman"/>
                <w:b/>
                <w:bCs/>
                <w:iCs/>
                <w:sz w:val="22"/>
                <w:szCs w:val="22"/>
              </w:rPr>
              <w:t>Number of participants</w:t>
            </w:r>
            <w:r w:rsidR="005E2FC9">
              <w:rPr>
                <w:rFonts w:ascii="Times New Roman" w:hAnsi="Times New Roman"/>
                <w:b/>
                <w:bCs/>
                <w:iCs/>
                <w:sz w:val="22"/>
                <w:szCs w:val="22"/>
              </w:rPr>
              <w:t xml:space="preserve"> (per site)</w:t>
            </w:r>
          </w:p>
        </w:tc>
      </w:tr>
      <w:tr w14:paraId="34067FA9" w14:textId="77777777" w:rsidTr="004521B7">
        <w:tblPrEx>
          <w:tblW w:w="9085" w:type="dxa"/>
          <w:tblInd w:w="0" w:type="dxa"/>
          <w:tblLook w:val="04A0"/>
        </w:tblPrEx>
        <w:tc>
          <w:tcPr>
            <w:tcW w:w="6565" w:type="dxa"/>
            <w:tcBorders>
              <w:top w:val="single" w:sz="12" w:space="0" w:color="auto"/>
            </w:tcBorders>
          </w:tcPr>
          <w:p w:rsidR="00F11483" w:rsidRPr="00547EEB" w:rsidP="00941AB6" w14:paraId="5781F03C" w14:textId="284422EC">
            <w:pPr>
              <w:rPr>
                <w:rFonts w:ascii="Times New Roman" w:hAnsi="Times New Roman"/>
                <w:sz w:val="22"/>
                <w:szCs w:val="22"/>
              </w:rPr>
            </w:pPr>
            <w:r>
              <w:rPr>
                <w:rFonts w:ascii="Times New Roman" w:hAnsi="Times New Roman"/>
                <w:sz w:val="22"/>
                <w:szCs w:val="22"/>
              </w:rPr>
              <w:t>Director</w:t>
            </w:r>
          </w:p>
        </w:tc>
        <w:tc>
          <w:tcPr>
            <w:tcW w:w="2520" w:type="dxa"/>
            <w:tcBorders>
              <w:top w:val="single" w:sz="12" w:space="0" w:color="auto"/>
            </w:tcBorders>
          </w:tcPr>
          <w:p w:rsidR="00F11483" w:rsidRPr="00547EEB" w:rsidP="00941AB6" w14:paraId="3B74F4F0" w14:textId="63ADACD2">
            <w:pPr>
              <w:rPr>
                <w:rFonts w:ascii="Times New Roman" w:hAnsi="Times New Roman"/>
                <w:sz w:val="22"/>
                <w:szCs w:val="22"/>
              </w:rPr>
            </w:pPr>
            <w:r>
              <w:rPr>
                <w:rFonts w:ascii="Times New Roman" w:hAnsi="Times New Roman"/>
                <w:sz w:val="22"/>
                <w:szCs w:val="22"/>
              </w:rPr>
              <w:t>1</w:t>
            </w:r>
          </w:p>
        </w:tc>
      </w:tr>
      <w:tr w14:paraId="0911674A" w14:textId="77777777" w:rsidTr="004521B7">
        <w:tblPrEx>
          <w:tblW w:w="9085" w:type="dxa"/>
          <w:tblInd w:w="0" w:type="dxa"/>
          <w:tblLook w:val="04A0"/>
        </w:tblPrEx>
        <w:tc>
          <w:tcPr>
            <w:tcW w:w="6565" w:type="dxa"/>
          </w:tcPr>
          <w:p w:rsidR="00F11483" w:rsidRPr="00547EEB" w:rsidP="00941AB6" w14:paraId="785C418B" w14:textId="770D9116">
            <w:pPr>
              <w:rPr>
                <w:rFonts w:ascii="Times New Roman" w:hAnsi="Times New Roman"/>
                <w:sz w:val="22"/>
                <w:szCs w:val="22"/>
              </w:rPr>
            </w:pPr>
            <w:r>
              <w:rPr>
                <w:rFonts w:ascii="Times New Roman" w:hAnsi="Times New Roman"/>
                <w:sz w:val="22"/>
                <w:szCs w:val="22"/>
              </w:rPr>
              <w:t>Supervisor</w:t>
            </w:r>
          </w:p>
        </w:tc>
        <w:tc>
          <w:tcPr>
            <w:tcW w:w="2520" w:type="dxa"/>
          </w:tcPr>
          <w:p w:rsidR="00F11483" w:rsidRPr="00547EEB" w:rsidP="00941AB6" w14:paraId="16E1E325" w14:textId="470B8151">
            <w:pPr>
              <w:rPr>
                <w:rFonts w:ascii="Times New Roman" w:hAnsi="Times New Roman"/>
                <w:sz w:val="22"/>
                <w:szCs w:val="22"/>
              </w:rPr>
            </w:pPr>
            <w:r>
              <w:rPr>
                <w:rFonts w:ascii="Times New Roman" w:hAnsi="Times New Roman"/>
                <w:sz w:val="22"/>
                <w:szCs w:val="22"/>
              </w:rPr>
              <w:t>2-3</w:t>
            </w:r>
          </w:p>
        </w:tc>
      </w:tr>
      <w:tr w14:paraId="4F113BB0" w14:textId="77777777" w:rsidTr="004521B7">
        <w:tblPrEx>
          <w:tblW w:w="9085" w:type="dxa"/>
          <w:tblInd w:w="0" w:type="dxa"/>
          <w:tblLook w:val="04A0"/>
        </w:tblPrEx>
        <w:tc>
          <w:tcPr>
            <w:tcW w:w="6565" w:type="dxa"/>
          </w:tcPr>
          <w:p w:rsidR="00F11483" w:rsidRPr="00547EEB" w:rsidP="00941AB6" w14:paraId="21D95FCD" w14:textId="4BA43A8E">
            <w:pPr>
              <w:rPr>
                <w:rFonts w:ascii="Times New Roman" w:hAnsi="Times New Roman"/>
                <w:sz w:val="22"/>
                <w:szCs w:val="22"/>
              </w:rPr>
            </w:pPr>
            <w:r w:rsidRPr="00A525BA">
              <w:rPr>
                <w:rFonts w:ascii="Times New Roman" w:hAnsi="Times New Roman"/>
                <w:sz w:val="24"/>
                <w:szCs w:val="24"/>
              </w:rPr>
              <w:t>Staff from a variety of program areas including investigation/intake, ongoing case management, foster care/adoption/permanency,</w:t>
            </w:r>
            <w:r>
              <w:rPr>
                <w:rStyle w:val="FootnoteReference"/>
                <w:rFonts w:ascii="Times New Roman" w:hAnsi="Times New Roman"/>
                <w:sz w:val="24"/>
                <w:szCs w:val="24"/>
              </w:rPr>
              <w:footnoteReference w:id="3"/>
            </w:r>
            <w:r w:rsidRPr="00A525BA">
              <w:rPr>
                <w:rFonts w:ascii="Times New Roman" w:hAnsi="Times New Roman"/>
                <w:sz w:val="24"/>
                <w:szCs w:val="24"/>
              </w:rPr>
              <w:t xml:space="preserve"> family preservation services</w:t>
            </w:r>
          </w:p>
        </w:tc>
        <w:tc>
          <w:tcPr>
            <w:tcW w:w="2520" w:type="dxa"/>
          </w:tcPr>
          <w:p w:rsidR="00F11483" w:rsidRPr="00547EEB" w:rsidP="00941AB6" w14:paraId="2B3CF937" w14:textId="7165A49F">
            <w:pPr>
              <w:rPr>
                <w:rFonts w:ascii="Times New Roman" w:hAnsi="Times New Roman"/>
                <w:sz w:val="22"/>
                <w:szCs w:val="22"/>
              </w:rPr>
            </w:pPr>
            <w:r>
              <w:rPr>
                <w:rFonts w:ascii="Times New Roman" w:hAnsi="Times New Roman"/>
                <w:sz w:val="22"/>
                <w:szCs w:val="22"/>
              </w:rPr>
              <w:t>2-3</w:t>
            </w:r>
          </w:p>
        </w:tc>
      </w:tr>
      <w:tr w14:paraId="3BCDA189" w14:textId="77777777" w:rsidTr="004521B7">
        <w:tblPrEx>
          <w:tblW w:w="9085" w:type="dxa"/>
          <w:tblInd w:w="0" w:type="dxa"/>
          <w:tblLook w:val="04A0"/>
        </w:tblPrEx>
        <w:tc>
          <w:tcPr>
            <w:tcW w:w="6565" w:type="dxa"/>
          </w:tcPr>
          <w:p w:rsidR="00170B91" w:rsidP="00941AB6" w14:paraId="276AE797" w14:textId="77777777">
            <w:pPr>
              <w:rPr>
                <w:rFonts w:ascii="Times New Roman" w:hAnsi="Times New Roman"/>
                <w:sz w:val="24"/>
                <w:szCs w:val="24"/>
              </w:rPr>
            </w:pPr>
            <w:r w:rsidRPr="00A525BA">
              <w:rPr>
                <w:rFonts w:ascii="Times New Roman" w:hAnsi="Times New Roman"/>
                <w:sz w:val="24"/>
                <w:szCs w:val="24"/>
              </w:rPr>
              <w:t>State or local child welfare agency professionals working in specialist roles that align with toolkit resources and targeted processes</w:t>
            </w:r>
            <w:r>
              <w:rPr>
                <w:rFonts w:ascii="Times New Roman" w:hAnsi="Times New Roman"/>
                <w:sz w:val="24"/>
                <w:szCs w:val="24"/>
              </w:rPr>
              <w:t xml:space="preserve">. </w:t>
            </w:r>
            <w:r w:rsidRPr="00A525BA">
              <w:rPr>
                <w:rFonts w:ascii="Times New Roman" w:hAnsi="Times New Roman"/>
                <w:sz w:val="24"/>
                <w:szCs w:val="24"/>
              </w:rPr>
              <w:t>These staff roles/participants will be explored during site engagement discussions, and may include:</w:t>
            </w:r>
          </w:p>
          <w:p w:rsidR="00170B91" w:rsidRPr="00A525BA" w:rsidP="004521B7" w14:paraId="4B435F1A" w14:textId="77777777">
            <w:pPr>
              <w:pStyle w:val="ListParagraph"/>
              <w:widowControl/>
              <w:numPr>
                <w:ilvl w:val="0"/>
                <w:numId w:val="27"/>
              </w:numPr>
              <w:spacing w:after="200"/>
              <w:contextualSpacing/>
              <w:rPr>
                <w:rFonts w:ascii="Times New Roman" w:hAnsi="Times New Roman"/>
                <w:sz w:val="24"/>
                <w:szCs w:val="24"/>
              </w:rPr>
            </w:pPr>
            <w:r w:rsidRPr="00A525BA">
              <w:rPr>
                <w:rFonts w:ascii="Times New Roman" w:hAnsi="Times New Roman"/>
                <w:sz w:val="24"/>
                <w:szCs w:val="24"/>
              </w:rPr>
              <w:t>Data/CQI specialists working with data and documentation systems</w:t>
            </w:r>
          </w:p>
          <w:p w:rsidR="00170B91" w:rsidRPr="00A525BA" w:rsidP="004521B7" w14:paraId="72A43AB7" w14:textId="77777777">
            <w:pPr>
              <w:pStyle w:val="ListParagraph"/>
              <w:widowControl/>
              <w:numPr>
                <w:ilvl w:val="0"/>
                <w:numId w:val="27"/>
              </w:numPr>
              <w:spacing w:before="200" w:after="200"/>
              <w:contextualSpacing/>
              <w:rPr>
                <w:rFonts w:ascii="Times New Roman" w:hAnsi="Times New Roman"/>
                <w:sz w:val="24"/>
                <w:szCs w:val="24"/>
              </w:rPr>
            </w:pPr>
            <w:r w:rsidRPr="00A525BA">
              <w:rPr>
                <w:rFonts w:ascii="Times New Roman" w:hAnsi="Times New Roman"/>
                <w:sz w:val="24"/>
                <w:szCs w:val="24"/>
              </w:rPr>
              <w:t>Local or state agency managers involved in determining agency strategic plans and practice guidance (e.g., substance-exposed newborn program manager)</w:t>
            </w:r>
          </w:p>
          <w:p w:rsidR="00170B91" w:rsidRPr="00A564F8" w:rsidP="004521B7" w14:paraId="63A8F2EE" w14:textId="0E54F18A">
            <w:pPr>
              <w:pStyle w:val="ListParagraph"/>
              <w:widowControl/>
              <w:numPr>
                <w:ilvl w:val="0"/>
                <w:numId w:val="27"/>
              </w:numPr>
              <w:spacing w:before="200"/>
              <w:contextualSpacing/>
              <w:rPr>
                <w:rFonts w:ascii="Times New Roman" w:hAnsi="Times New Roman"/>
                <w:sz w:val="24"/>
                <w:szCs w:val="24"/>
              </w:rPr>
            </w:pPr>
            <w:r w:rsidRPr="00A525BA">
              <w:rPr>
                <w:rFonts w:ascii="Times New Roman" w:hAnsi="Times New Roman"/>
                <w:sz w:val="24"/>
                <w:szCs w:val="24"/>
              </w:rPr>
              <w:t>Training system lead staff</w:t>
            </w:r>
          </w:p>
        </w:tc>
        <w:tc>
          <w:tcPr>
            <w:tcW w:w="2520" w:type="dxa"/>
          </w:tcPr>
          <w:p w:rsidR="00170B91" w:rsidP="00941AB6" w14:paraId="637C8A2C" w14:textId="33244BD4">
            <w:pPr>
              <w:rPr>
                <w:rFonts w:ascii="Times New Roman" w:hAnsi="Times New Roman"/>
                <w:sz w:val="22"/>
                <w:szCs w:val="22"/>
              </w:rPr>
            </w:pPr>
            <w:r>
              <w:rPr>
                <w:rFonts w:ascii="Times New Roman" w:hAnsi="Times New Roman"/>
                <w:sz w:val="22"/>
                <w:szCs w:val="22"/>
              </w:rPr>
              <w:t>1-2</w:t>
            </w:r>
          </w:p>
        </w:tc>
      </w:tr>
    </w:tbl>
    <w:p w:rsidR="000F67CB" w:rsidRPr="00A525BA" w:rsidP="002A2943" w14:paraId="082BDE8F" w14:textId="34833EE4">
      <w:pPr>
        <w:tabs>
          <w:tab w:val="left" w:pos="1485"/>
        </w:tabs>
        <w:rPr>
          <w:rFonts w:ascii="Times New Roman" w:hAnsi="Times New Roman"/>
          <w:sz w:val="24"/>
          <w:szCs w:val="24"/>
        </w:rPr>
      </w:pPr>
    </w:p>
    <w:p w:rsidR="00BE385F" w:rsidP="00BE385F" w14:paraId="20BE3F5A" w14:textId="52811F5C">
      <w:pPr>
        <w:widowControl/>
        <w:rPr>
          <w:rFonts w:ascii="Times New Roman" w:hAnsi="Times New Roman"/>
          <w:snapToGrid/>
          <w:sz w:val="24"/>
          <w:szCs w:val="24"/>
        </w:rPr>
      </w:pPr>
    </w:p>
    <w:p w:rsidR="0055407D" w:rsidP="00BE385F" w14:paraId="3E9CE37D" w14:textId="77777777">
      <w:pPr>
        <w:widowControl/>
        <w:rPr>
          <w:rFonts w:ascii="Times New Roman" w:hAnsi="Times New Roman"/>
          <w:snapToGrid/>
          <w:sz w:val="24"/>
          <w:szCs w:val="24"/>
        </w:rPr>
      </w:pPr>
    </w:p>
    <w:p w:rsidR="00BE385F" w:rsidRPr="00DA122A" w:rsidP="00BE385F" w14:paraId="3D912335" w14:textId="77777777">
      <w:pPr>
        <w:widowControl/>
        <w:spacing w:after="60"/>
        <w:rPr>
          <w:rFonts w:ascii="Times New Roman" w:hAnsi="Times New Roman"/>
          <w:i/>
          <w:iCs/>
          <w:snapToGrid/>
          <w:sz w:val="22"/>
          <w:szCs w:val="22"/>
        </w:rPr>
      </w:pPr>
      <w:r w:rsidRPr="00DA122A">
        <w:rPr>
          <w:rFonts w:ascii="Times New Roman" w:hAnsi="Times New Roman"/>
          <w:i/>
          <w:iCs/>
          <w:snapToGrid/>
          <w:sz w:val="22"/>
          <w:szCs w:val="22"/>
        </w:rPr>
        <w:t>Recruitment</w:t>
      </w:r>
    </w:p>
    <w:p w:rsidR="00BE385F" w:rsidP="00BE385F" w14:paraId="000C06DB" w14:textId="78A322D3">
      <w:pPr>
        <w:widowControl/>
        <w:rPr>
          <w:rFonts w:ascii="Times New Roman" w:hAnsi="Times New Roman"/>
          <w:snapToGrid/>
          <w:sz w:val="22"/>
          <w:szCs w:val="22"/>
        </w:rPr>
      </w:pPr>
      <w:r w:rsidRPr="005340F5">
        <w:rPr>
          <w:rFonts w:ascii="Times New Roman" w:hAnsi="Times New Roman"/>
          <w:snapToGrid/>
          <w:sz w:val="22"/>
          <w:szCs w:val="22"/>
        </w:rPr>
        <w:t xml:space="preserve">The study team </w:t>
      </w:r>
      <w:r w:rsidR="00682468">
        <w:rPr>
          <w:rStyle w:val="cf01"/>
          <w:rFonts w:ascii="Times New Roman" w:hAnsi="Times New Roman" w:cs="Times New Roman"/>
          <w:sz w:val="22"/>
          <w:szCs w:val="22"/>
        </w:rPr>
        <w:t>and Federal Project Officer are</w:t>
      </w:r>
      <w:r w:rsidR="00680014">
        <w:rPr>
          <w:rStyle w:val="cf01"/>
          <w:rFonts w:ascii="Times New Roman" w:hAnsi="Times New Roman" w:cs="Times New Roman"/>
          <w:sz w:val="22"/>
          <w:szCs w:val="22"/>
        </w:rPr>
        <w:t xml:space="preserve"> </w:t>
      </w:r>
      <w:r w:rsidR="00682468">
        <w:rPr>
          <w:rStyle w:val="cf01"/>
          <w:rFonts w:ascii="Times New Roman" w:hAnsi="Times New Roman" w:cs="Times New Roman"/>
          <w:sz w:val="22"/>
          <w:szCs w:val="22"/>
        </w:rPr>
        <w:t>connecting with</w:t>
      </w:r>
      <w:r w:rsidR="00C86F6E">
        <w:rPr>
          <w:rStyle w:val="cf01"/>
          <w:rFonts w:ascii="Times New Roman" w:hAnsi="Times New Roman" w:cs="Times New Roman"/>
          <w:sz w:val="22"/>
          <w:szCs w:val="22"/>
        </w:rPr>
        <w:t xml:space="preserve"> </w:t>
      </w:r>
      <w:r w:rsidRPr="005340F5">
        <w:rPr>
          <w:rStyle w:val="cf01"/>
          <w:rFonts w:ascii="Times New Roman" w:hAnsi="Times New Roman" w:cs="Times New Roman"/>
          <w:sz w:val="22"/>
          <w:szCs w:val="22"/>
        </w:rPr>
        <w:t>ACF Regional Offices to discuss potential states</w:t>
      </w:r>
      <w:r w:rsidR="0021574F">
        <w:rPr>
          <w:rStyle w:val="cf01"/>
          <w:rFonts w:ascii="Times New Roman" w:hAnsi="Times New Roman" w:cs="Times New Roman"/>
          <w:sz w:val="22"/>
          <w:szCs w:val="22"/>
        </w:rPr>
        <w:t xml:space="preserve"> and sites</w:t>
      </w:r>
      <w:r w:rsidRPr="005340F5">
        <w:rPr>
          <w:rStyle w:val="cf01"/>
          <w:rFonts w:ascii="Times New Roman" w:hAnsi="Times New Roman" w:cs="Times New Roman"/>
          <w:sz w:val="22"/>
          <w:szCs w:val="22"/>
        </w:rPr>
        <w:t xml:space="preserve"> for inclusion in the study (see B-1 for more detailed information about site selection; see </w:t>
      </w:r>
      <w:r w:rsidRPr="005E4F73">
        <w:rPr>
          <w:rStyle w:val="cf01"/>
          <w:rFonts w:ascii="Times New Roman" w:hAnsi="Times New Roman" w:cs="Times New Roman"/>
          <w:sz w:val="22"/>
          <w:szCs w:val="22"/>
        </w:rPr>
        <w:t>appendix</w:t>
      </w:r>
      <w:r w:rsidRPr="005340F5">
        <w:rPr>
          <w:rStyle w:val="cf01"/>
          <w:rFonts w:ascii="Times New Roman" w:hAnsi="Times New Roman" w:cs="Times New Roman"/>
          <w:sz w:val="22"/>
          <w:szCs w:val="22"/>
        </w:rPr>
        <w:t xml:space="preserve"> </w:t>
      </w:r>
      <w:r w:rsidR="00677889">
        <w:rPr>
          <w:rStyle w:val="cf01"/>
          <w:rFonts w:ascii="Times New Roman" w:hAnsi="Times New Roman" w:cs="Times New Roman"/>
          <w:sz w:val="22"/>
          <w:szCs w:val="22"/>
        </w:rPr>
        <w:t xml:space="preserve">A </w:t>
      </w:r>
      <w:r w:rsidRPr="005340F5">
        <w:rPr>
          <w:rStyle w:val="cf01"/>
          <w:rFonts w:ascii="Times New Roman" w:hAnsi="Times New Roman" w:cs="Times New Roman"/>
          <w:sz w:val="22"/>
          <w:szCs w:val="22"/>
        </w:rPr>
        <w:t xml:space="preserve">for the text of this letter and </w:t>
      </w:r>
      <w:r w:rsidR="003000F2">
        <w:rPr>
          <w:rStyle w:val="cf01"/>
          <w:rFonts w:ascii="Times New Roman" w:hAnsi="Times New Roman" w:cs="Times New Roman"/>
          <w:sz w:val="22"/>
          <w:szCs w:val="22"/>
        </w:rPr>
        <w:t xml:space="preserve">appendix B for </w:t>
      </w:r>
      <w:r w:rsidRPr="005340F5">
        <w:rPr>
          <w:rStyle w:val="cf01"/>
          <w:rFonts w:ascii="Times New Roman" w:hAnsi="Times New Roman" w:cs="Times New Roman"/>
          <w:sz w:val="22"/>
          <w:szCs w:val="22"/>
        </w:rPr>
        <w:t>a written description of the study</w:t>
      </w:r>
      <w:r w:rsidR="003000F2">
        <w:rPr>
          <w:rStyle w:val="cf01"/>
          <w:rFonts w:ascii="Times New Roman" w:hAnsi="Times New Roman" w:cs="Times New Roman"/>
          <w:sz w:val="22"/>
          <w:szCs w:val="22"/>
        </w:rPr>
        <w:t xml:space="preserve"> that </w:t>
      </w:r>
      <w:r w:rsidR="00BE5BC2">
        <w:rPr>
          <w:rStyle w:val="cf01"/>
          <w:rFonts w:ascii="Times New Roman" w:hAnsi="Times New Roman" w:cs="Times New Roman"/>
          <w:sz w:val="22"/>
          <w:szCs w:val="22"/>
        </w:rPr>
        <w:t>is being applied in outreach</w:t>
      </w:r>
      <w:r w:rsidR="003000F2">
        <w:rPr>
          <w:rStyle w:val="cf01"/>
          <w:rFonts w:ascii="Times New Roman" w:hAnsi="Times New Roman" w:cs="Times New Roman"/>
          <w:sz w:val="22"/>
          <w:szCs w:val="22"/>
        </w:rPr>
        <w:t xml:space="preserve"> to the Regional Offices</w:t>
      </w:r>
      <w:r w:rsidRPr="005340F5">
        <w:rPr>
          <w:rStyle w:val="cf01"/>
          <w:rFonts w:ascii="Times New Roman" w:hAnsi="Times New Roman" w:cs="Times New Roman"/>
          <w:sz w:val="22"/>
          <w:szCs w:val="22"/>
        </w:rPr>
        <w:t xml:space="preserve">). </w:t>
      </w:r>
      <w:r>
        <w:rPr>
          <w:rFonts w:ascii="Times New Roman" w:hAnsi="Times New Roman"/>
          <w:snapToGrid/>
          <w:sz w:val="22"/>
          <w:szCs w:val="22"/>
        </w:rPr>
        <w:t>Once</w:t>
      </w:r>
      <w:r>
        <w:rPr>
          <w:rFonts w:ascii="Times New Roman" w:hAnsi="Times New Roman"/>
          <w:snapToGrid/>
          <w:sz w:val="22"/>
          <w:szCs w:val="22"/>
        </w:rPr>
        <w:t xml:space="preserve"> potential states are identified, the </w:t>
      </w:r>
      <w:r w:rsidR="00B177AC">
        <w:rPr>
          <w:rFonts w:ascii="Times New Roman" w:hAnsi="Times New Roman"/>
          <w:snapToGrid/>
          <w:sz w:val="22"/>
          <w:szCs w:val="22"/>
        </w:rPr>
        <w:t>Federal Project Officer</w:t>
      </w:r>
      <w:r>
        <w:rPr>
          <w:rFonts w:ascii="Times New Roman" w:hAnsi="Times New Roman"/>
          <w:snapToGrid/>
          <w:sz w:val="22"/>
          <w:szCs w:val="22"/>
        </w:rPr>
        <w:t xml:space="preserve"> and study director would send letters to directors of the state</w:t>
      </w:r>
      <w:r w:rsidR="00BE5BC2">
        <w:rPr>
          <w:rFonts w:ascii="Times New Roman" w:hAnsi="Times New Roman"/>
          <w:snapToGrid/>
          <w:sz w:val="22"/>
          <w:szCs w:val="22"/>
        </w:rPr>
        <w:t xml:space="preserve"> and</w:t>
      </w:r>
      <w:r w:rsidR="006C79B9">
        <w:rPr>
          <w:rFonts w:ascii="Times New Roman" w:hAnsi="Times New Roman"/>
          <w:snapToGrid/>
          <w:sz w:val="22"/>
          <w:szCs w:val="22"/>
        </w:rPr>
        <w:t>/or</w:t>
      </w:r>
      <w:r w:rsidR="00BE5BC2">
        <w:rPr>
          <w:rFonts w:ascii="Times New Roman" w:hAnsi="Times New Roman"/>
          <w:snapToGrid/>
          <w:sz w:val="22"/>
          <w:szCs w:val="22"/>
        </w:rPr>
        <w:t xml:space="preserve"> county</w:t>
      </w:r>
      <w:r>
        <w:rPr>
          <w:rFonts w:ascii="Times New Roman" w:hAnsi="Times New Roman"/>
          <w:snapToGrid/>
          <w:sz w:val="22"/>
          <w:szCs w:val="22"/>
        </w:rPr>
        <w:t xml:space="preserve"> child welfare agencies to request a meeting to discuss potential participation in the study</w:t>
      </w:r>
      <w:r w:rsidR="003A375C">
        <w:rPr>
          <w:rFonts w:ascii="Times New Roman" w:hAnsi="Times New Roman"/>
          <w:snapToGrid/>
          <w:sz w:val="22"/>
          <w:szCs w:val="22"/>
        </w:rPr>
        <w:t xml:space="preserve"> (see appendix A)</w:t>
      </w:r>
      <w:r>
        <w:rPr>
          <w:rFonts w:ascii="Times New Roman" w:hAnsi="Times New Roman"/>
          <w:snapToGrid/>
          <w:sz w:val="22"/>
          <w:szCs w:val="22"/>
        </w:rPr>
        <w:t>. If the state</w:t>
      </w:r>
      <w:r w:rsidR="00BE5BC2">
        <w:rPr>
          <w:rFonts w:ascii="Times New Roman" w:hAnsi="Times New Roman"/>
          <w:snapToGrid/>
          <w:sz w:val="22"/>
          <w:szCs w:val="22"/>
        </w:rPr>
        <w:t xml:space="preserve"> and county</w:t>
      </w:r>
      <w:r>
        <w:rPr>
          <w:rFonts w:ascii="Times New Roman" w:hAnsi="Times New Roman"/>
          <w:snapToGrid/>
          <w:sz w:val="22"/>
          <w:szCs w:val="22"/>
        </w:rPr>
        <w:t xml:space="preserve"> is interested in participating, the study team would work with the state to identify site</w:t>
      </w:r>
      <w:r w:rsidR="00680217">
        <w:rPr>
          <w:rFonts w:ascii="Times New Roman" w:hAnsi="Times New Roman"/>
          <w:snapToGrid/>
          <w:sz w:val="22"/>
          <w:szCs w:val="22"/>
        </w:rPr>
        <w:t xml:space="preserve"> </w:t>
      </w:r>
      <w:r w:rsidR="00BE5BC2">
        <w:rPr>
          <w:rFonts w:ascii="Times New Roman" w:hAnsi="Times New Roman"/>
          <w:snapToGrid/>
          <w:sz w:val="22"/>
          <w:szCs w:val="22"/>
        </w:rPr>
        <w:t>teams</w:t>
      </w:r>
      <w:r>
        <w:rPr>
          <w:rFonts w:ascii="Times New Roman" w:hAnsi="Times New Roman"/>
          <w:snapToGrid/>
          <w:sz w:val="22"/>
          <w:szCs w:val="22"/>
        </w:rPr>
        <w:t xml:space="preserve"> that might be the best fit for implementation of the toolkit and participation in the study. The study team would then send letters (see appendix</w:t>
      </w:r>
      <w:r w:rsidR="00397A29">
        <w:rPr>
          <w:rFonts w:ascii="Times New Roman" w:hAnsi="Times New Roman"/>
          <w:snapToGrid/>
          <w:sz w:val="22"/>
          <w:szCs w:val="22"/>
        </w:rPr>
        <w:t xml:space="preserve"> A</w:t>
      </w:r>
      <w:r>
        <w:rPr>
          <w:rFonts w:ascii="Times New Roman" w:hAnsi="Times New Roman"/>
          <w:snapToGrid/>
          <w:sz w:val="22"/>
          <w:szCs w:val="22"/>
        </w:rPr>
        <w:t>) to the directors</w:t>
      </w:r>
      <w:r w:rsidR="001F5508">
        <w:rPr>
          <w:rFonts w:ascii="Times New Roman" w:hAnsi="Times New Roman"/>
          <w:snapToGrid/>
          <w:sz w:val="22"/>
          <w:szCs w:val="22"/>
        </w:rPr>
        <w:t xml:space="preserve"> or identified contacts</w:t>
      </w:r>
      <w:r>
        <w:rPr>
          <w:rFonts w:ascii="Times New Roman" w:hAnsi="Times New Roman"/>
          <w:snapToGrid/>
          <w:sz w:val="22"/>
          <w:szCs w:val="22"/>
        </w:rPr>
        <w:t xml:space="preserve"> of those sites to request a discussion about this possibility.</w:t>
      </w:r>
    </w:p>
    <w:p w:rsidR="00BE385F" w:rsidP="00BE385F" w14:paraId="686FB295" w14:textId="1EFAA91E">
      <w:pPr>
        <w:widowControl/>
        <w:rPr>
          <w:rFonts w:ascii="Times New Roman" w:hAnsi="Times New Roman"/>
          <w:snapToGrid/>
          <w:sz w:val="22"/>
          <w:szCs w:val="22"/>
        </w:rPr>
      </w:pPr>
    </w:p>
    <w:p w:rsidR="002E5376" w:rsidP="002E5376" w14:paraId="665E698F" w14:textId="6879D28A">
      <w:pPr>
        <w:rPr>
          <w:rFonts w:ascii="Times New Roman" w:hAnsi="Times New Roman"/>
          <w:color w:val="000000"/>
          <w:sz w:val="22"/>
          <w:szCs w:val="22"/>
        </w:rPr>
      </w:pPr>
      <w:r>
        <w:rPr>
          <w:rFonts w:ascii="Times New Roman" w:hAnsi="Times New Roman"/>
          <w:sz w:val="22"/>
          <w:szCs w:val="22"/>
        </w:rPr>
        <w:t xml:space="preserve">For sites that agree to participate in the study, </w:t>
      </w:r>
      <w:r w:rsidRPr="00BC2B06">
        <w:rPr>
          <w:rFonts w:ascii="Times New Roman" w:hAnsi="Times New Roman"/>
          <w:color w:val="000000"/>
          <w:sz w:val="22"/>
          <w:szCs w:val="22"/>
        </w:rPr>
        <w:t>agreement</w:t>
      </w:r>
      <w:r>
        <w:rPr>
          <w:rFonts w:ascii="Times New Roman" w:hAnsi="Times New Roman"/>
          <w:color w:val="000000"/>
          <w:sz w:val="22"/>
          <w:szCs w:val="22"/>
        </w:rPr>
        <w:t>s</w:t>
      </w:r>
      <w:r w:rsidRPr="00BC2B06">
        <w:rPr>
          <w:rFonts w:ascii="Times New Roman" w:hAnsi="Times New Roman"/>
          <w:color w:val="000000"/>
          <w:sz w:val="22"/>
          <w:szCs w:val="22"/>
        </w:rPr>
        <w:t xml:space="preserve"> </w:t>
      </w:r>
      <w:r w:rsidR="00680217">
        <w:rPr>
          <w:rFonts w:ascii="Times New Roman" w:hAnsi="Times New Roman"/>
          <w:color w:val="000000"/>
          <w:sz w:val="22"/>
          <w:szCs w:val="22"/>
        </w:rPr>
        <w:t>are being</w:t>
      </w:r>
      <w:r w:rsidRPr="00BC2B06">
        <w:rPr>
          <w:rFonts w:ascii="Times New Roman" w:hAnsi="Times New Roman"/>
          <w:color w:val="000000"/>
          <w:sz w:val="22"/>
          <w:szCs w:val="22"/>
        </w:rPr>
        <w:t xml:space="preserve"> developed and executed with the agencies </w:t>
      </w:r>
      <w:r w:rsidR="00397A29">
        <w:rPr>
          <w:rFonts w:ascii="Times New Roman" w:hAnsi="Times New Roman"/>
          <w:color w:val="000000"/>
          <w:sz w:val="22"/>
          <w:szCs w:val="22"/>
        </w:rPr>
        <w:t xml:space="preserve">to </w:t>
      </w:r>
      <w:r w:rsidRPr="00BC2B06">
        <w:rPr>
          <w:rFonts w:ascii="Times New Roman" w:hAnsi="Times New Roman"/>
          <w:color w:val="000000"/>
          <w:sz w:val="22"/>
          <w:szCs w:val="22"/>
        </w:rPr>
        <w:t>outline the activities and resource expectations of site participation (including desired number and type of staff to participate, estimated hours and timeframe, information collection activities), treatment of the data (including data security and privacy, analysis</w:t>
      </w:r>
      <w:r w:rsidR="00030737">
        <w:rPr>
          <w:rFonts w:ascii="Times New Roman" w:hAnsi="Times New Roman"/>
          <w:color w:val="000000"/>
          <w:sz w:val="22"/>
          <w:szCs w:val="22"/>
        </w:rPr>
        <w:t>,</w:t>
      </w:r>
      <w:r w:rsidRPr="00BC2B06">
        <w:rPr>
          <w:rFonts w:ascii="Times New Roman" w:hAnsi="Times New Roman"/>
          <w:color w:val="000000"/>
          <w:sz w:val="22"/>
          <w:szCs w:val="22"/>
        </w:rPr>
        <w:t xml:space="preserve"> and reporting), and extent and type of study team support to the site during the formative evaluation.</w:t>
      </w:r>
    </w:p>
    <w:p w:rsidR="002E5376" w:rsidP="00BE385F" w14:paraId="1136A311" w14:textId="77777777">
      <w:pPr>
        <w:widowControl/>
        <w:rPr>
          <w:rFonts w:ascii="Times New Roman" w:hAnsi="Times New Roman"/>
          <w:snapToGrid/>
          <w:sz w:val="22"/>
          <w:szCs w:val="22"/>
        </w:rPr>
      </w:pPr>
    </w:p>
    <w:p w:rsidR="004F7B95" w:rsidRPr="00A525BA" w:rsidP="00DE529D" w14:paraId="1A8FB4AC" w14:textId="77777777">
      <w:pPr>
        <w:widowControl/>
        <w:ind w:left="360"/>
        <w:rPr>
          <w:rFonts w:ascii="Times New Roman" w:hAnsi="Times New Roman"/>
          <w:snapToGrid/>
          <w:sz w:val="24"/>
          <w:szCs w:val="24"/>
        </w:rPr>
      </w:pPr>
    </w:p>
    <w:p w:rsidR="002C3C4F" w:rsidRPr="00A525BA" w:rsidP="00817E2B" w14:paraId="1612E562" w14:textId="77777777">
      <w:pPr>
        <w:widowControl/>
        <w:numPr>
          <w:ilvl w:val="0"/>
          <w:numId w:val="4"/>
        </w:numPr>
        <w:tabs>
          <w:tab w:val="num" w:pos="360"/>
          <w:tab w:val="clear" w:pos="720"/>
        </w:tabs>
        <w:spacing w:after="120"/>
        <w:ind w:left="360"/>
        <w:rPr>
          <w:rFonts w:ascii="Times New Roman" w:hAnsi="Times New Roman"/>
          <w:b/>
          <w:snapToGrid/>
          <w:sz w:val="24"/>
          <w:szCs w:val="24"/>
        </w:rPr>
      </w:pPr>
      <w:r w:rsidRPr="00A525BA">
        <w:rPr>
          <w:rFonts w:ascii="Times New Roman" w:hAnsi="Times New Roman"/>
          <w:b/>
          <w:snapToGrid/>
          <w:sz w:val="24"/>
          <w:szCs w:val="24"/>
        </w:rPr>
        <w:t xml:space="preserve">Procedures for the Collection of Information </w:t>
      </w:r>
    </w:p>
    <w:p w:rsidR="00463C03" w:rsidP="008E1C10" w14:paraId="6D932D75" w14:textId="77777777">
      <w:pPr>
        <w:spacing w:after="60"/>
        <w:rPr>
          <w:rFonts w:ascii="Times New Roman" w:hAnsi="Times New Roman"/>
          <w:i/>
          <w:iCs/>
          <w:sz w:val="24"/>
          <w:szCs w:val="24"/>
        </w:rPr>
      </w:pPr>
      <w:r w:rsidRPr="00463C03">
        <w:rPr>
          <w:rFonts w:ascii="Times New Roman" w:hAnsi="Times New Roman"/>
          <w:i/>
          <w:iCs/>
          <w:sz w:val="24"/>
          <w:szCs w:val="24"/>
        </w:rPr>
        <w:t>Surveys</w:t>
      </w:r>
    </w:p>
    <w:p w:rsidR="00491AE6" w:rsidRPr="00A525BA" w:rsidP="00D06F8B" w14:paraId="392C14F9" w14:textId="2E076AA6">
      <w:pPr>
        <w:rPr>
          <w:rFonts w:ascii="Times New Roman" w:hAnsi="Times New Roman"/>
          <w:sz w:val="24"/>
          <w:szCs w:val="24"/>
        </w:rPr>
      </w:pPr>
      <w:r w:rsidRPr="00A525BA">
        <w:rPr>
          <w:rFonts w:ascii="Times New Roman" w:hAnsi="Times New Roman"/>
          <w:sz w:val="24"/>
          <w:szCs w:val="24"/>
        </w:rPr>
        <w:t xml:space="preserve">At each designated data collection timepoint (see A-2), respondents will receive an </w:t>
      </w:r>
      <w:r w:rsidRPr="00C611D2">
        <w:rPr>
          <w:rFonts w:ascii="Times New Roman" w:hAnsi="Times New Roman"/>
          <w:sz w:val="24"/>
          <w:szCs w:val="24"/>
        </w:rPr>
        <w:t>email</w:t>
      </w:r>
      <w:r w:rsidRPr="00A525BA">
        <w:rPr>
          <w:rFonts w:ascii="Times New Roman" w:hAnsi="Times New Roman"/>
          <w:sz w:val="24"/>
          <w:szCs w:val="24"/>
        </w:rPr>
        <w:t xml:space="preserve"> notification from the </w:t>
      </w:r>
      <w:r w:rsidRPr="00A525BA" w:rsidR="006A653E">
        <w:rPr>
          <w:rFonts w:ascii="Times New Roman" w:hAnsi="Times New Roman"/>
          <w:sz w:val="24"/>
          <w:szCs w:val="24"/>
        </w:rPr>
        <w:t>study</w:t>
      </w:r>
      <w:r w:rsidRPr="00A525BA">
        <w:rPr>
          <w:rFonts w:ascii="Times New Roman" w:hAnsi="Times New Roman"/>
          <w:sz w:val="24"/>
          <w:szCs w:val="24"/>
        </w:rPr>
        <w:t xml:space="preserve"> team, inviting them to complete one or more of the survey instruments</w:t>
      </w:r>
      <w:r w:rsidR="00C611D2">
        <w:rPr>
          <w:rFonts w:ascii="Times New Roman" w:hAnsi="Times New Roman"/>
          <w:sz w:val="24"/>
          <w:szCs w:val="24"/>
        </w:rPr>
        <w:t xml:space="preserve"> (see appendix A)</w:t>
      </w:r>
      <w:r w:rsidRPr="00A525BA">
        <w:rPr>
          <w:rFonts w:ascii="Times New Roman" w:hAnsi="Times New Roman"/>
          <w:sz w:val="24"/>
          <w:szCs w:val="24"/>
        </w:rPr>
        <w:t>.</w:t>
      </w:r>
      <w:r w:rsidRPr="00A525BA" w:rsidR="00757CD1">
        <w:rPr>
          <w:rFonts w:ascii="Times New Roman" w:hAnsi="Times New Roman"/>
          <w:sz w:val="24"/>
          <w:szCs w:val="24"/>
        </w:rPr>
        <w:t xml:space="preserve"> The email will include </w:t>
      </w:r>
      <w:r w:rsidRPr="00A525BA" w:rsidR="00B67B04">
        <w:rPr>
          <w:rFonts w:ascii="Times New Roman" w:hAnsi="Times New Roman"/>
          <w:sz w:val="24"/>
          <w:szCs w:val="24"/>
        </w:rPr>
        <w:t xml:space="preserve">details regarding the purpose of the survey, administration timing, and consent processes. </w:t>
      </w:r>
      <w:r w:rsidRPr="00A525BA">
        <w:rPr>
          <w:rFonts w:ascii="Times New Roman" w:hAnsi="Times New Roman"/>
          <w:sz w:val="24"/>
          <w:szCs w:val="24"/>
        </w:rPr>
        <w:t xml:space="preserve">The email will include a </w:t>
      </w:r>
      <w:r w:rsidRPr="00A525BA" w:rsidR="00D06F8B">
        <w:rPr>
          <w:rFonts w:ascii="Times New Roman" w:hAnsi="Times New Roman"/>
          <w:sz w:val="24"/>
          <w:szCs w:val="24"/>
        </w:rPr>
        <w:t xml:space="preserve">respondent-specific </w:t>
      </w:r>
      <w:r w:rsidRPr="00A525BA">
        <w:rPr>
          <w:rFonts w:ascii="Times New Roman" w:hAnsi="Times New Roman"/>
          <w:sz w:val="24"/>
          <w:szCs w:val="24"/>
        </w:rPr>
        <w:t>web-link to the online survey. At the top of each survey there will be introductory language including the purpose of the data collection effort, instructions for completing the survey, and language to inform the respondent that their participation is voluntary and that their information will be kept private to the extent permitted by law</w:t>
      </w:r>
      <w:r w:rsidRPr="00A525BA" w:rsidR="00D06F8B">
        <w:rPr>
          <w:rFonts w:ascii="Times New Roman" w:hAnsi="Times New Roman"/>
          <w:sz w:val="24"/>
          <w:szCs w:val="24"/>
        </w:rPr>
        <w:t xml:space="preserve"> (see </w:t>
      </w:r>
      <w:r w:rsidRPr="00A525BA" w:rsidR="00AB65AB">
        <w:rPr>
          <w:rFonts w:ascii="Times New Roman" w:hAnsi="Times New Roman"/>
          <w:sz w:val="24"/>
          <w:szCs w:val="24"/>
        </w:rPr>
        <w:t xml:space="preserve">attached </w:t>
      </w:r>
      <w:r w:rsidRPr="00A525BA" w:rsidR="007C1DCE">
        <w:rPr>
          <w:rFonts w:ascii="Times New Roman" w:hAnsi="Times New Roman"/>
          <w:sz w:val="24"/>
          <w:szCs w:val="24"/>
        </w:rPr>
        <w:t>Instruments</w:t>
      </w:r>
      <w:r w:rsidRPr="00A525BA" w:rsidR="00AB65AB">
        <w:rPr>
          <w:rFonts w:ascii="Times New Roman" w:hAnsi="Times New Roman"/>
          <w:sz w:val="24"/>
          <w:szCs w:val="24"/>
        </w:rPr>
        <w:t>).</w:t>
      </w:r>
      <w:r w:rsidRPr="00A525BA">
        <w:rPr>
          <w:rFonts w:ascii="Times New Roman" w:hAnsi="Times New Roman"/>
          <w:sz w:val="24"/>
          <w:szCs w:val="24"/>
        </w:rPr>
        <w:t xml:space="preserve"> </w:t>
      </w:r>
      <w:r w:rsidRPr="00A525BA" w:rsidR="00D06F8B">
        <w:rPr>
          <w:rFonts w:ascii="Times New Roman" w:hAnsi="Times New Roman"/>
          <w:sz w:val="24"/>
          <w:szCs w:val="24"/>
        </w:rPr>
        <w:t xml:space="preserve">Respondents will be asked to indicate (by clicking a radial button) that they agree or disagree that (1) they have read the information, (2) they voluntarily agree to participate in the survey, and (3) they are 18 years of age or older. Agreement with these statements indicates active consent to data collection via that instrument and enables the respondent to begin the survey. The </w:t>
      </w:r>
      <w:r w:rsidRPr="00A525BA" w:rsidR="006A653E">
        <w:rPr>
          <w:rFonts w:ascii="Times New Roman" w:hAnsi="Times New Roman"/>
          <w:sz w:val="24"/>
          <w:szCs w:val="24"/>
        </w:rPr>
        <w:t>study</w:t>
      </w:r>
      <w:r w:rsidRPr="00A525BA" w:rsidR="00D06F8B">
        <w:rPr>
          <w:rFonts w:ascii="Times New Roman" w:hAnsi="Times New Roman"/>
          <w:sz w:val="24"/>
          <w:szCs w:val="24"/>
        </w:rPr>
        <w:t xml:space="preserve"> team will send email reminders twice to those who receive the survey link but do not complete the survey (with the exclusion of those who received the survey but actively declined to complete it). </w:t>
      </w:r>
    </w:p>
    <w:p w:rsidR="00D06F8B" w:rsidRPr="00A525BA" w:rsidP="00D06F8B" w14:paraId="73F78417" w14:textId="79936D73">
      <w:pPr>
        <w:rPr>
          <w:rFonts w:ascii="Times New Roman" w:hAnsi="Times New Roman"/>
          <w:sz w:val="24"/>
          <w:szCs w:val="24"/>
        </w:rPr>
      </w:pPr>
    </w:p>
    <w:p w:rsidR="00076D6D" w:rsidP="00D06F8B" w14:paraId="001A3A4F" w14:textId="3DE5A698">
      <w:pPr>
        <w:rPr>
          <w:rFonts w:ascii="Times New Roman" w:hAnsi="Times New Roman"/>
          <w:sz w:val="24"/>
          <w:szCs w:val="24"/>
        </w:rPr>
      </w:pPr>
      <w:r w:rsidRPr="00A525BA">
        <w:rPr>
          <w:rFonts w:ascii="Times New Roman" w:hAnsi="Times New Roman"/>
          <w:sz w:val="24"/>
          <w:szCs w:val="24"/>
        </w:rPr>
        <w:t xml:space="preserve">As data are collected, the </w:t>
      </w:r>
      <w:r w:rsidRPr="00A525BA" w:rsidR="00005D91">
        <w:rPr>
          <w:rFonts w:ascii="Times New Roman" w:hAnsi="Times New Roman"/>
          <w:sz w:val="24"/>
          <w:szCs w:val="24"/>
        </w:rPr>
        <w:t xml:space="preserve">study team will conduct quality control procedures with regard to the following aspects of survey administration and data analysis: (1) accuracy and completeness of survey distribution lists; (2) accuracy and completeness of </w:t>
      </w:r>
      <w:r w:rsidRPr="00A525BA">
        <w:rPr>
          <w:rFonts w:ascii="Times New Roman" w:hAnsi="Times New Roman"/>
          <w:sz w:val="24"/>
          <w:szCs w:val="24"/>
        </w:rPr>
        <w:t xml:space="preserve">the </w:t>
      </w:r>
      <w:r w:rsidRPr="00A525BA" w:rsidR="00005D91">
        <w:rPr>
          <w:rFonts w:ascii="Times New Roman" w:hAnsi="Times New Roman"/>
          <w:sz w:val="24"/>
          <w:szCs w:val="24"/>
        </w:rPr>
        <w:t>survey programming</w:t>
      </w:r>
      <w:r w:rsidRPr="00A525BA">
        <w:rPr>
          <w:rFonts w:ascii="Times New Roman" w:hAnsi="Times New Roman"/>
          <w:sz w:val="24"/>
          <w:szCs w:val="24"/>
        </w:rPr>
        <w:t xml:space="preserve"> in Qualtrics</w:t>
      </w:r>
      <w:r w:rsidRPr="00A525BA" w:rsidR="00005D91">
        <w:rPr>
          <w:rFonts w:ascii="Times New Roman" w:hAnsi="Times New Roman"/>
          <w:sz w:val="24"/>
          <w:szCs w:val="24"/>
        </w:rPr>
        <w:t xml:space="preserve">, including internal testing of all versions of the surveys; (3) </w:t>
      </w:r>
      <w:r w:rsidRPr="00A525BA" w:rsidR="007D7A77">
        <w:rPr>
          <w:rFonts w:ascii="Times New Roman" w:hAnsi="Times New Roman"/>
          <w:sz w:val="24"/>
          <w:szCs w:val="24"/>
        </w:rPr>
        <w:t xml:space="preserve">comprehensive documentation of the data structure (e.g., variable names; coding information); (4) </w:t>
      </w:r>
      <w:r w:rsidRPr="00A525BA" w:rsidR="00005D91">
        <w:rPr>
          <w:rFonts w:ascii="Times New Roman" w:hAnsi="Times New Roman"/>
          <w:sz w:val="24"/>
          <w:szCs w:val="24"/>
        </w:rPr>
        <w:t xml:space="preserve">monitoring </w:t>
      </w:r>
      <w:r w:rsidRPr="00A525BA">
        <w:rPr>
          <w:rFonts w:ascii="Times New Roman" w:hAnsi="Times New Roman"/>
          <w:sz w:val="24"/>
          <w:szCs w:val="24"/>
        </w:rPr>
        <w:t xml:space="preserve">of </w:t>
      </w:r>
      <w:r w:rsidRPr="00A525BA" w:rsidR="00005D91">
        <w:rPr>
          <w:rFonts w:ascii="Times New Roman" w:hAnsi="Times New Roman"/>
          <w:sz w:val="24"/>
          <w:szCs w:val="24"/>
        </w:rPr>
        <w:t xml:space="preserve">response rates and </w:t>
      </w:r>
      <w:r w:rsidRPr="00A525BA">
        <w:rPr>
          <w:rFonts w:ascii="Times New Roman" w:hAnsi="Times New Roman"/>
          <w:sz w:val="24"/>
          <w:szCs w:val="24"/>
        </w:rPr>
        <w:t>missing data</w:t>
      </w:r>
      <w:r w:rsidRPr="00A525BA" w:rsidR="00005D91">
        <w:rPr>
          <w:rFonts w:ascii="Times New Roman" w:hAnsi="Times New Roman"/>
          <w:sz w:val="24"/>
          <w:szCs w:val="24"/>
        </w:rPr>
        <w:t>; (</w:t>
      </w:r>
      <w:r w:rsidRPr="00A525BA" w:rsidR="007D7A77">
        <w:rPr>
          <w:rFonts w:ascii="Times New Roman" w:hAnsi="Times New Roman"/>
          <w:sz w:val="24"/>
          <w:szCs w:val="24"/>
        </w:rPr>
        <w:t>5</w:t>
      </w:r>
      <w:r w:rsidRPr="00A525BA" w:rsidR="00005D91">
        <w:rPr>
          <w:rFonts w:ascii="Times New Roman" w:hAnsi="Times New Roman"/>
          <w:sz w:val="24"/>
          <w:szCs w:val="24"/>
        </w:rPr>
        <w:t xml:space="preserve">) </w:t>
      </w:r>
      <w:r w:rsidRPr="00A525BA">
        <w:rPr>
          <w:rFonts w:ascii="Times New Roman" w:hAnsi="Times New Roman"/>
          <w:sz w:val="24"/>
          <w:szCs w:val="24"/>
        </w:rPr>
        <w:t xml:space="preserve">email </w:t>
      </w:r>
      <w:r w:rsidRPr="00A525BA" w:rsidR="00005D91">
        <w:rPr>
          <w:rFonts w:ascii="Times New Roman" w:hAnsi="Times New Roman"/>
          <w:sz w:val="24"/>
          <w:szCs w:val="24"/>
        </w:rPr>
        <w:t>reminders to non-responders; (</w:t>
      </w:r>
      <w:r w:rsidRPr="00A525BA" w:rsidR="007D7A77">
        <w:rPr>
          <w:rFonts w:ascii="Times New Roman" w:hAnsi="Times New Roman"/>
          <w:sz w:val="24"/>
          <w:szCs w:val="24"/>
        </w:rPr>
        <w:t>6</w:t>
      </w:r>
      <w:r w:rsidRPr="00A525BA" w:rsidR="00005D91">
        <w:rPr>
          <w:rFonts w:ascii="Times New Roman" w:hAnsi="Times New Roman"/>
          <w:sz w:val="24"/>
          <w:szCs w:val="24"/>
        </w:rPr>
        <w:t>)</w:t>
      </w:r>
      <w:r w:rsidRPr="00A525BA">
        <w:rPr>
          <w:rFonts w:ascii="Times New Roman" w:hAnsi="Times New Roman"/>
          <w:sz w:val="24"/>
          <w:szCs w:val="24"/>
        </w:rPr>
        <w:t xml:space="preserve"> </w:t>
      </w:r>
      <w:r w:rsidRPr="00A525BA" w:rsidR="00005D91">
        <w:rPr>
          <w:rFonts w:ascii="Times New Roman" w:hAnsi="Times New Roman"/>
          <w:sz w:val="24"/>
          <w:szCs w:val="24"/>
        </w:rPr>
        <w:t>descriptive analysis of data; (</w:t>
      </w:r>
      <w:r w:rsidRPr="00A525BA" w:rsidR="007D7A77">
        <w:rPr>
          <w:rFonts w:ascii="Times New Roman" w:hAnsi="Times New Roman"/>
          <w:sz w:val="24"/>
          <w:szCs w:val="24"/>
        </w:rPr>
        <w:t>7</w:t>
      </w:r>
      <w:r w:rsidRPr="00A525BA" w:rsidR="00005D91">
        <w:rPr>
          <w:rFonts w:ascii="Times New Roman" w:hAnsi="Times New Roman"/>
          <w:sz w:val="24"/>
          <w:szCs w:val="24"/>
        </w:rPr>
        <w:t xml:space="preserve">) completeness and accuracy in all </w:t>
      </w:r>
      <w:r w:rsidRPr="00A525BA" w:rsidR="007D7A77">
        <w:rPr>
          <w:rFonts w:ascii="Times New Roman" w:hAnsi="Times New Roman"/>
          <w:sz w:val="24"/>
          <w:szCs w:val="24"/>
        </w:rPr>
        <w:t xml:space="preserve">data handling) and </w:t>
      </w:r>
      <w:r w:rsidRPr="00A525BA" w:rsidR="00005D91">
        <w:rPr>
          <w:rFonts w:ascii="Times New Roman" w:hAnsi="Times New Roman"/>
          <w:sz w:val="24"/>
          <w:szCs w:val="24"/>
        </w:rPr>
        <w:t>reporting with regard to respondent privacy</w:t>
      </w:r>
      <w:r w:rsidRPr="00A525BA" w:rsidR="007D7A77">
        <w:rPr>
          <w:rFonts w:ascii="Times New Roman" w:hAnsi="Times New Roman"/>
          <w:sz w:val="24"/>
          <w:szCs w:val="24"/>
        </w:rPr>
        <w:t xml:space="preserve"> </w:t>
      </w:r>
      <w:r w:rsidRPr="00A525BA" w:rsidR="007D7A77">
        <w:rPr>
          <w:rFonts w:ascii="Times New Roman" w:hAnsi="Times New Roman"/>
          <w:sz w:val="24"/>
          <w:szCs w:val="24"/>
        </w:rPr>
        <w:t>(e.g., deidentification of data)</w:t>
      </w:r>
      <w:r w:rsidRPr="00A525BA" w:rsidR="00005D91">
        <w:rPr>
          <w:rFonts w:ascii="Times New Roman" w:hAnsi="Times New Roman"/>
          <w:sz w:val="24"/>
          <w:szCs w:val="24"/>
        </w:rPr>
        <w:t>.</w:t>
      </w:r>
    </w:p>
    <w:p w:rsidR="00463C03" w:rsidP="00D06F8B" w14:paraId="65CA9814" w14:textId="77777777">
      <w:pPr>
        <w:rPr>
          <w:rFonts w:ascii="Times New Roman" w:hAnsi="Times New Roman"/>
          <w:sz w:val="24"/>
          <w:szCs w:val="24"/>
        </w:rPr>
      </w:pPr>
    </w:p>
    <w:p w:rsidR="00463C03" w:rsidRPr="00463C03" w:rsidP="008E1C10" w14:paraId="079ECACF" w14:textId="3AC6D687">
      <w:pPr>
        <w:spacing w:after="60"/>
        <w:rPr>
          <w:rFonts w:ascii="Times New Roman" w:hAnsi="Times New Roman"/>
          <w:i/>
          <w:iCs/>
          <w:sz w:val="24"/>
          <w:szCs w:val="24"/>
        </w:rPr>
      </w:pPr>
      <w:r w:rsidRPr="00463C03">
        <w:rPr>
          <w:rFonts w:ascii="Times New Roman" w:hAnsi="Times New Roman"/>
          <w:i/>
          <w:iCs/>
          <w:sz w:val="24"/>
          <w:szCs w:val="24"/>
        </w:rPr>
        <w:t>Focus Group</w:t>
      </w:r>
      <w:r>
        <w:rPr>
          <w:rFonts w:ascii="Times New Roman" w:hAnsi="Times New Roman"/>
          <w:i/>
          <w:iCs/>
          <w:sz w:val="24"/>
          <w:szCs w:val="24"/>
        </w:rPr>
        <w:t>s</w:t>
      </w:r>
    </w:p>
    <w:p w:rsidR="00463C03" w:rsidP="00463C03" w14:paraId="60D1850A" w14:textId="771C83F1">
      <w:pPr>
        <w:pStyle w:val="paragraph"/>
        <w:spacing w:before="0" w:beforeAutospacing="0" w:after="0" w:afterAutospacing="0"/>
        <w:textAlignment w:val="baseline"/>
        <w:rPr>
          <w:rFonts w:ascii="Segoe UI" w:hAnsi="Segoe UI" w:cs="Segoe UI"/>
          <w:sz w:val="18"/>
          <w:szCs w:val="18"/>
        </w:rPr>
      </w:pPr>
      <w:r>
        <w:rPr>
          <w:rStyle w:val="normaltextrun"/>
        </w:rPr>
        <w:t xml:space="preserve">Advance appointments will be made for the </w:t>
      </w:r>
      <w:r>
        <w:rPr>
          <w:rStyle w:val="normaltextrun"/>
          <w:i/>
          <w:iCs/>
        </w:rPr>
        <w:t xml:space="preserve">Focus Groups </w:t>
      </w:r>
      <w:r w:rsidRPr="004A7621">
        <w:rPr>
          <w:rStyle w:val="normaltextrun"/>
        </w:rPr>
        <w:t xml:space="preserve">of </w:t>
      </w:r>
      <w:r w:rsidR="0081122B">
        <w:rPr>
          <w:rStyle w:val="normaltextrun"/>
        </w:rPr>
        <w:t xml:space="preserve">the participating </w:t>
      </w:r>
      <w:r w:rsidRPr="004A7621">
        <w:rPr>
          <w:rStyle w:val="normaltextrun"/>
        </w:rPr>
        <w:t>child welfare agency staff</w:t>
      </w:r>
      <w:r>
        <w:rPr>
          <w:rStyle w:val="normaltextrun"/>
          <w:i/>
          <w:iCs/>
        </w:rPr>
        <w:t xml:space="preserve">. </w:t>
      </w:r>
      <w:r>
        <w:rPr>
          <w:rStyle w:val="normaltextrun"/>
        </w:rPr>
        <w:t xml:space="preserve">The study team will work with </w:t>
      </w:r>
      <w:r w:rsidR="00B46513">
        <w:rPr>
          <w:rStyle w:val="normaltextrun"/>
        </w:rPr>
        <w:t>designated</w:t>
      </w:r>
      <w:r>
        <w:rPr>
          <w:rStyle w:val="normaltextrun"/>
        </w:rPr>
        <w:t xml:space="preserve"> CW agency </w:t>
      </w:r>
      <w:r w:rsidR="00B46513">
        <w:rPr>
          <w:rStyle w:val="normaltextrun"/>
        </w:rPr>
        <w:t>study liaisons</w:t>
      </w:r>
      <w:r>
        <w:rPr>
          <w:rStyle w:val="normaltextrun"/>
        </w:rPr>
        <w:t xml:space="preserve"> to identify appropriate participants. The study team will provide written descriptions of the purpose and process for the focus groups which will be used by the </w:t>
      </w:r>
      <w:r w:rsidR="00B46513">
        <w:rPr>
          <w:rStyle w:val="normaltextrun"/>
        </w:rPr>
        <w:t>study liaisons</w:t>
      </w:r>
      <w:r>
        <w:rPr>
          <w:rStyle w:val="normaltextrun"/>
        </w:rPr>
        <w:t xml:space="preserve"> to invite participants. If staff members indicate their agreement, the team will contact them with an invitation to participate in the focus group. The team will follow up with each participant to schedule the date and time of the focus group. </w:t>
      </w:r>
      <w:r>
        <w:rPr>
          <w:rStyle w:val="eop"/>
        </w:rPr>
        <w:t> </w:t>
      </w:r>
    </w:p>
    <w:p w:rsidR="00463C03" w:rsidP="00463C03" w14:paraId="60E9C632"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463C03" w:rsidP="00463C03" w14:paraId="036545C8" w14:textId="0DEE8876">
      <w:pPr>
        <w:pStyle w:val="paragraph"/>
        <w:spacing w:before="0" w:beforeAutospacing="0" w:after="0" w:afterAutospacing="0"/>
        <w:textAlignment w:val="baseline"/>
        <w:rPr>
          <w:rFonts w:ascii="Segoe UI" w:hAnsi="Segoe UI" w:cs="Segoe UI"/>
          <w:sz w:val="18"/>
          <w:szCs w:val="18"/>
        </w:rPr>
      </w:pPr>
      <w:r>
        <w:rPr>
          <w:rStyle w:val="normaltextrun"/>
        </w:rPr>
        <w:t xml:space="preserve">Quality control procedures for the focus groups will be implemented by the study team in regard to the following: (1) accuracy and completeness of inclusion of appropriate respondents; (2) accuracy and completeness of questions and training of </w:t>
      </w:r>
      <w:r w:rsidR="004A7621">
        <w:rPr>
          <w:rStyle w:val="normaltextrun"/>
        </w:rPr>
        <w:t>focus group facilitators</w:t>
      </w:r>
      <w:r>
        <w:rPr>
          <w:rStyle w:val="normaltextrun"/>
        </w:rPr>
        <w:t xml:space="preserve">; (3) completeness and accuracy of coding processes for qualitative responses to open-ended questions; and (4) completeness and accuracy in all reporting in consideration of respondent privacy. Data codebooks will detail all decisions applied during coding and analysis. Subsets of data will be reviewed and/or coded for reliability across collectors, where appropriate. </w:t>
      </w:r>
    </w:p>
    <w:p w:rsidR="00463C03" w:rsidRPr="00A525BA" w:rsidP="00FC1BF9" w14:paraId="580909D5" w14:textId="77777777">
      <w:pPr>
        <w:tabs>
          <w:tab w:val="left" w:pos="-720"/>
          <w:tab w:val="left" w:pos="0"/>
        </w:tabs>
        <w:suppressAutoHyphens/>
        <w:rPr>
          <w:rFonts w:ascii="Times New Roman" w:hAnsi="Times New Roman"/>
          <w:sz w:val="24"/>
          <w:szCs w:val="24"/>
          <w:highlight w:val="yellow"/>
        </w:rPr>
      </w:pPr>
    </w:p>
    <w:p w:rsidR="007D7A77" w:rsidRPr="00A525BA" w:rsidP="007D7A77" w14:paraId="7265CD3A" w14:textId="5C8D992A">
      <w:pPr>
        <w:tabs>
          <w:tab w:val="left" w:pos="-720"/>
          <w:tab w:val="left" w:pos="0"/>
        </w:tabs>
        <w:suppressAutoHyphens/>
        <w:rPr>
          <w:rFonts w:ascii="Times New Roman" w:hAnsi="Times New Roman"/>
          <w:sz w:val="24"/>
          <w:szCs w:val="24"/>
        </w:rPr>
      </w:pPr>
      <w:r w:rsidRPr="00A525BA">
        <w:rPr>
          <w:rFonts w:ascii="Times New Roman" w:hAnsi="Times New Roman"/>
          <w:sz w:val="24"/>
          <w:szCs w:val="24"/>
        </w:rPr>
        <w:t xml:space="preserve">The collection of </w:t>
      </w:r>
      <w:r w:rsidR="0055632E">
        <w:rPr>
          <w:rFonts w:ascii="Times New Roman" w:hAnsi="Times New Roman"/>
          <w:sz w:val="24"/>
          <w:szCs w:val="24"/>
        </w:rPr>
        <w:t xml:space="preserve">survey and focus group </w:t>
      </w:r>
      <w:r w:rsidRPr="00A525BA">
        <w:rPr>
          <w:rFonts w:ascii="Times New Roman" w:hAnsi="Times New Roman"/>
          <w:sz w:val="24"/>
          <w:szCs w:val="24"/>
        </w:rPr>
        <w:t>data will be guided by a written data security plan, the purpose of which is to document the activities the study team will undertake to maintain the safety and security of all data collected</w:t>
      </w:r>
      <w:r w:rsidR="002F3F66">
        <w:rPr>
          <w:rFonts w:ascii="Times New Roman" w:hAnsi="Times New Roman"/>
          <w:sz w:val="24"/>
          <w:szCs w:val="24"/>
        </w:rPr>
        <w:t xml:space="preserve"> </w:t>
      </w:r>
      <w:r w:rsidRPr="00BA3572" w:rsidR="00E3039D">
        <w:rPr>
          <w:rFonts w:ascii="Times New Roman" w:hAnsi="Times New Roman"/>
          <w:sz w:val="24"/>
          <w:szCs w:val="24"/>
        </w:rPr>
        <w:t>(see A-10)</w:t>
      </w:r>
      <w:r w:rsidRPr="00BA3572">
        <w:rPr>
          <w:rFonts w:ascii="Times New Roman" w:hAnsi="Times New Roman"/>
          <w:sz w:val="24"/>
          <w:szCs w:val="24"/>
        </w:rPr>
        <w:t>.</w:t>
      </w:r>
      <w:r w:rsidRPr="00A525BA">
        <w:rPr>
          <w:sz w:val="24"/>
          <w:szCs w:val="24"/>
        </w:rPr>
        <w:t xml:space="preserve"> </w:t>
      </w:r>
    </w:p>
    <w:p w:rsidR="00FC1BF9" w:rsidP="00FC1BF9" w14:paraId="23BBF9CE" w14:textId="6D5198F6">
      <w:pPr>
        <w:tabs>
          <w:tab w:val="left" w:pos="-720"/>
          <w:tab w:val="left" w:pos="0"/>
        </w:tabs>
        <w:suppressAutoHyphens/>
        <w:rPr>
          <w:rFonts w:ascii="Times New Roman" w:hAnsi="Times New Roman"/>
          <w:sz w:val="24"/>
          <w:szCs w:val="24"/>
        </w:rPr>
      </w:pPr>
    </w:p>
    <w:p w:rsidR="0055407D" w:rsidRPr="00A525BA" w:rsidP="00FC1BF9" w14:paraId="6E660FF3" w14:textId="77777777">
      <w:pPr>
        <w:tabs>
          <w:tab w:val="left" w:pos="-720"/>
          <w:tab w:val="left" w:pos="0"/>
        </w:tabs>
        <w:suppressAutoHyphens/>
        <w:rPr>
          <w:rFonts w:ascii="Times New Roman" w:hAnsi="Times New Roman"/>
          <w:sz w:val="24"/>
          <w:szCs w:val="24"/>
        </w:rPr>
      </w:pPr>
    </w:p>
    <w:p w:rsidR="00707AFB" w:rsidRPr="00A525BA" w:rsidP="00817E2B" w14:paraId="7A93F97B" w14:textId="1070D981">
      <w:pPr>
        <w:numPr>
          <w:ilvl w:val="0"/>
          <w:numId w:val="4"/>
        </w:numPr>
        <w:tabs>
          <w:tab w:val="left" w:pos="-720"/>
          <w:tab w:val="left" w:pos="0"/>
          <w:tab w:val="num" w:pos="360"/>
          <w:tab w:val="clear" w:pos="720"/>
        </w:tabs>
        <w:suppressAutoHyphens/>
        <w:spacing w:after="120"/>
        <w:ind w:left="360"/>
        <w:rPr>
          <w:rFonts w:ascii="Times New Roman" w:hAnsi="Times New Roman"/>
          <w:b/>
          <w:sz w:val="24"/>
          <w:szCs w:val="24"/>
        </w:rPr>
      </w:pPr>
      <w:r w:rsidRPr="00A525BA">
        <w:rPr>
          <w:rFonts w:ascii="Times New Roman" w:hAnsi="Times New Roman"/>
          <w:b/>
          <w:sz w:val="24"/>
          <w:szCs w:val="24"/>
        </w:rPr>
        <w:t>Methods to Maximize Response Rates and Deal with Nonresponse</w:t>
      </w:r>
      <w:r w:rsidRPr="00A525BA">
        <w:rPr>
          <w:rFonts w:ascii="Times New Roman" w:hAnsi="Times New Roman"/>
          <w:b/>
          <w:sz w:val="24"/>
          <w:szCs w:val="24"/>
        </w:rPr>
        <w:tab/>
      </w:r>
    </w:p>
    <w:p w:rsidR="0098191D" w:rsidRPr="00A525BA" w:rsidP="0098191D" w14:paraId="22179119" w14:textId="77777777">
      <w:pPr>
        <w:autoSpaceDE w:val="0"/>
        <w:autoSpaceDN w:val="0"/>
        <w:adjustRightInd w:val="0"/>
        <w:spacing w:after="60"/>
        <w:rPr>
          <w:rFonts w:ascii="Times New Roman" w:hAnsi="Times New Roman"/>
          <w:i/>
          <w:color w:val="000000"/>
          <w:sz w:val="24"/>
          <w:szCs w:val="24"/>
        </w:rPr>
      </w:pPr>
      <w:r w:rsidRPr="00A525BA">
        <w:rPr>
          <w:rFonts w:ascii="Times New Roman" w:hAnsi="Times New Roman"/>
          <w:i/>
          <w:color w:val="000000"/>
          <w:sz w:val="24"/>
          <w:szCs w:val="24"/>
        </w:rPr>
        <w:t>Response Rates</w:t>
      </w:r>
    </w:p>
    <w:p w:rsidR="0098191D" w:rsidP="00C611D2" w14:paraId="7D26239A" w14:textId="3DB5EDB1">
      <w:pPr>
        <w:rPr>
          <w:rFonts w:ascii="Times New Roman" w:hAnsi="Times New Roman"/>
          <w:color w:val="000000"/>
          <w:sz w:val="24"/>
          <w:szCs w:val="24"/>
        </w:rPr>
      </w:pPr>
      <w:r w:rsidRPr="00A525BA">
        <w:rPr>
          <w:rFonts w:ascii="Times New Roman" w:hAnsi="Times New Roman"/>
          <w:sz w:val="24"/>
          <w:szCs w:val="24"/>
        </w:rPr>
        <w:t xml:space="preserve">Maximizing response rates is critical to the administration of these data collection efforts. The content and format of the instruments were developed in close consultation with </w:t>
      </w:r>
      <w:r w:rsidRPr="00A525BA" w:rsidR="002F6A42">
        <w:rPr>
          <w:rFonts w:ascii="Times New Roman" w:hAnsi="Times New Roman"/>
          <w:sz w:val="24"/>
          <w:szCs w:val="24"/>
        </w:rPr>
        <w:t xml:space="preserve">Federal partners and </w:t>
      </w:r>
      <w:r w:rsidRPr="00A525BA" w:rsidR="00ED79A8">
        <w:rPr>
          <w:rFonts w:ascii="Times New Roman" w:hAnsi="Times New Roman"/>
          <w:sz w:val="24"/>
          <w:szCs w:val="24"/>
        </w:rPr>
        <w:t>expert consultants</w:t>
      </w:r>
      <w:r w:rsidRPr="00A525BA">
        <w:rPr>
          <w:rFonts w:ascii="Times New Roman" w:hAnsi="Times New Roman"/>
          <w:sz w:val="24"/>
          <w:szCs w:val="24"/>
        </w:rPr>
        <w:t xml:space="preserve">. </w:t>
      </w:r>
      <w:r w:rsidRPr="00A525BA">
        <w:rPr>
          <w:rFonts w:ascii="Times New Roman" w:hAnsi="Times New Roman"/>
          <w:color w:val="000000"/>
          <w:sz w:val="24"/>
          <w:szCs w:val="24"/>
        </w:rPr>
        <w:t>Though these data collection activities are not designed to produce statistically generalizable findings and participation in the data collection activities is wholly at the respondents’ discretion, response rates will be collected when applicable and possible for quality improvement purposes.</w:t>
      </w:r>
    </w:p>
    <w:p w:rsidR="00807D6D" w:rsidRPr="00A525BA" w:rsidP="0098191D" w14:paraId="076C850F" w14:textId="77777777">
      <w:pPr>
        <w:ind w:firstLine="360"/>
        <w:rPr>
          <w:rFonts w:ascii="Times New Roman" w:hAnsi="Times New Roman"/>
          <w:color w:val="000000"/>
          <w:sz w:val="24"/>
          <w:szCs w:val="24"/>
        </w:rPr>
      </w:pPr>
    </w:p>
    <w:p w:rsidR="0098191D" w:rsidRPr="00A525BA" w:rsidP="00C611D2" w14:paraId="3B30BBA3" w14:textId="4EB339B7">
      <w:pPr>
        <w:spacing w:after="120"/>
        <w:rPr>
          <w:rFonts w:ascii="Times New Roman" w:hAnsi="Times New Roman"/>
          <w:sz w:val="24"/>
          <w:szCs w:val="24"/>
        </w:rPr>
      </w:pPr>
      <w:r w:rsidRPr="00A525BA">
        <w:rPr>
          <w:rFonts w:ascii="Times New Roman" w:hAnsi="Times New Roman"/>
          <w:sz w:val="24"/>
          <w:szCs w:val="24"/>
        </w:rPr>
        <w:t>Data collection strategies that emphasize flexibility, privacy, and a respect for the respondent’s time facilitate timely participation. The following strategies will be implemented to maximize participation in the data collection:</w:t>
      </w:r>
    </w:p>
    <w:p w:rsidR="0098191D" w:rsidRPr="00BA3572" w:rsidP="008E1C10" w14:paraId="579B3D3F" w14:textId="2E9366A4">
      <w:pPr>
        <w:numPr>
          <w:ilvl w:val="0"/>
          <w:numId w:val="31"/>
        </w:numPr>
        <w:tabs>
          <w:tab w:val="clear" w:pos="360"/>
          <w:tab w:val="num" w:pos="720"/>
        </w:tabs>
        <w:ind w:left="720"/>
        <w:rPr>
          <w:rFonts w:ascii="Times New Roman" w:hAnsi="Times New Roman"/>
          <w:sz w:val="24"/>
          <w:szCs w:val="24"/>
        </w:rPr>
      </w:pPr>
      <w:r w:rsidRPr="00A525BA">
        <w:rPr>
          <w:rFonts w:ascii="Times New Roman" w:hAnsi="Times New Roman"/>
          <w:i/>
          <w:sz w:val="24"/>
          <w:szCs w:val="24"/>
        </w:rPr>
        <w:t>Introduction and notification</w:t>
      </w:r>
      <w:r w:rsidRPr="00A525BA">
        <w:rPr>
          <w:rFonts w:ascii="Times New Roman" w:hAnsi="Times New Roman"/>
          <w:sz w:val="24"/>
          <w:szCs w:val="24"/>
        </w:rPr>
        <w:t xml:space="preserve">: Strategies to introduce </w:t>
      </w:r>
      <w:r w:rsidRPr="00A525BA" w:rsidR="0001698D">
        <w:rPr>
          <w:rFonts w:ascii="Times New Roman" w:hAnsi="Times New Roman"/>
          <w:sz w:val="24"/>
          <w:szCs w:val="24"/>
        </w:rPr>
        <w:t xml:space="preserve">the study to state agency and site </w:t>
      </w:r>
      <w:r w:rsidRPr="00BA3572" w:rsidR="0001698D">
        <w:rPr>
          <w:rFonts w:ascii="Times New Roman" w:hAnsi="Times New Roman"/>
          <w:sz w:val="24"/>
          <w:szCs w:val="24"/>
        </w:rPr>
        <w:t>leadership</w:t>
      </w:r>
      <w:r w:rsidRPr="00BA3572" w:rsidR="00F41276">
        <w:rPr>
          <w:rFonts w:ascii="Times New Roman" w:hAnsi="Times New Roman"/>
          <w:sz w:val="24"/>
          <w:szCs w:val="24"/>
        </w:rPr>
        <w:t xml:space="preserve"> (described in A-2)</w:t>
      </w:r>
      <w:r w:rsidRPr="00BA3572" w:rsidR="0001698D">
        <w:rPr>
          <w:rFonts w:ascii="Times New Roman" w:hAnsi="Times New Roman"/>
          <w:sz w:val="24"/>
          <w:szCs w:val="24"/>
        </w:rPr>
        <w:t xml:space="preserve">, </w:t>
      </w:r>
      <w:r w:rsidRPr="00BA3572" w:rsidR="00D930CB">
        <w:rPr>
          <w:rFonts w:ascii="Times New Roman" w:hAnsi="Times New Roman"/>
          <w:sz w:val="24"/>
          <w:szCs w:val="24"/>
        </w:rPr>
        <w:t xml:space="preserve">and to </w:t>
      </w:r>
      <w:r w:rsidRPr="00BA3572" w:rsidR="00F41276">
        <w:rPr>
          <w:rFonts w:ascii="Times New Roman" w:hAnsi="Times New Roman"/>
          <w:sz w:val="24"/>
          <w:szCs w:val="24"/>
        </w:rPr>
        <w:t xml:space="preserve">recruit </w:t>
      </w:r>
      <w:r w:rsidRPr="00BA3572" w:rsidR="00D45413">
        <w:rPr>
          <w:rFonts w:ascii="Times New Roman" w:hAnsi="Times New Roman"/>
          <w:sz w:val="24"/>
          <w:szCs w:val="24"/>
        </w:rPr>
        <w:t xml:space="preserve">staff to the </w:t>
      </w:r>
      <w:r w:rsidRPr="00BA3572">
        <w:rPr>
          <w:rFonts w:ascii="Times New Roman" w:hAnsi="Times New Roman"/>
          <w:sz w:val="24"/>
          <w:szCs w:val="24"/>
        </w:rPr>
        <w:t>data collection</w:t>
      </w:r>
      <w:r w:rsidRPr="00BA3572" w:rsidR="00F41276">
        <w:rPr>
          <w:rFonts w:ascii="Times New Roman" w:hAnsi="Times New Roman"/>
          <w:sz w:val="24"/>
          <w:szCs w:val="24"/>
        </w:rPr>
        <w:t xml:space="preserve"> </w:t>
      </w:r>
      <w:r w:rsidRPr="00BA3572" w:rsidR="00D45413">
        <w:rPr>
          <w:rFonts w:ascii="Times New Roman" w:hAnsi="Times New Roman"/>
          <w:sz w:val="24"/>
          <w:szCs w:val="24"/>
        </w:rPr>
        <w:t>effort</w:t>
      </w:r>
      <w:r w:rsidRPr="00BA3572" w:rsidR="007F74EA">
        <w:rPr>
          <w:rFonts w:ascii="Times New Roman" w:hAnsi="Times New Roman"/>
          <w:sz w:val="24"/>
          <w:szCs w:val="24"/>
        </w:rPr>
        <w:t xml:space="preserve">s </w:t>
      </w:r>
      <w:r w:rsidRPr="00BA3572" w:rsidR="0070317C">
        <w:rPr>
          <w:rFonts w:ascii="Times New Roman" w:hAnsi="Times New Roman"/>
          <w:sz w:val="24"/>
          <w:szCs w:val="24"/>
        </w:rPr>
        <w:t>will be</w:t>
      </w:r>
      <w:r w:rsidRPr="00BA3572">
        <w:rPr>
          <w:rFonts w:ascii="Times New Roman" w:hAnsi="Times New Roman"/>
          <w:sz w:val="24"/>
          <w:szCs w:val="24"/>
        </w:rPr>
        <w:t xml:space="preserve"> used for </w:t>
      </w:r>
      <w:r w:rsidRPr="00BA3572" w:rsidR="0070317C">
        <w:rPr>
          <w:rFonts w:ascii="Times New Roman" w:hAnsi="Times New Roman"/>
          <w:sz w:val="24"/>
          <w:szCs w:val="24"/>
        </w:rPr>
        <w:t>all</w:t>
      </w:r>
      <w:r w:rsidRPr="00BA3572">
        <w:rPr>
          <w:rFonts w:ascii="Times New Roman" w:hAnsi="Times New Roman"/>
          <w:sz w:val="24"/>
          <w:szCs w:val="24"/>
        </w:rPr>
        <w:t xml:space="preserve"> instruments. </w:t>
      </w:r>
    </w:p>
    <w:p w:rsidR="0098191D" w:rsidRPr="00A525BA" w:rsidP="008E1C10" w14:paraId="79897C57" w14:textId="49909B32">
      <w:pPr>
        <w:numPr>
          <w:ilvl w:val="0"/>
          <w:numId w:val="31"/>
        </w:numPr>
        <w:tabs>
          <w:tab w:val="clear" w:pos="360"/>
          <w:tab w:val="num" w:pos="720"/>
        </w:tabs>
        <w:ind w:left="720"/>
        <w:rPr>
          <w:rFonts w:ascii="Times New Roman" w:hAnsi="Times New Roman"/>
          <w:sz w:val="24"/>
          <w:szCs w:val="24"/>
        </w:rPr>
      </w:pPr>
      <w:r w:rsidRPr="00A525BA">
        <w:rPr>
          <w:rFonts w:ascii="Times New Roman" w:hAnsi="Times New Roman"/>
          <w:i/>
          <w:sz w:val="24"/>
          <w:szCs w:val="24"/>
        </w:rPr>
        <w:t xml:space="preserve">Timing of data collection: </w:t>
      </w:r>
      <w:r w:rsidRPr="00A525BA">
        <w:rPr>
          <w:rFonts w:ascii="Times New Roman" w:hAnsi="Times New Roman"/>
          <w:iCs/>
          <w:sz w:val="24"/>
          <w:szCs w:val="24"/>
        </w:rPr>
        <w:t xml:space="preserve">Individualized </w:t>
      </w:r>
      <w:r w:rsidRPr="00A525BA">
        <w:rPr>
          <w:rFonts w:ascii="Times New Roman" w:hAnsi="Times New Roman"/>
          <w:sz w:val="24"/>
          <w:szCs w:val="24"/>
        </w:rPr>
        <w:t xml:space="preserve">discussions </w:t>
      </w:r>
      <w:r w:rsidRPr="00A525BA" w:rsidR="0070317C">
        <w:rPr>
          <w:rFonts w:ascii="Times New Roman" w:hAnsi="Times New Roman"/>
          <w:sz w:val="24"/>
          <w:szCs w:val="24"/>
        </w:rPr>
        <w:t>will be</w:t>
      </w:r>
      <w:r w:rsidRPr="00A525BA">
        <w:rPr>
          <w:rFonts w:ascii="Times New Roman" w:hAnsi="Times New Roman"/>
          <w:sz w:val="24"/>
          <w:szCs w:val="24"/>
        </w:rPr>
        <w:t xml:space="preserve"> held with </w:t>
      </w:r>
      <w:r w:rsidRPr="00A525BA" w:rsidR="00797335">
        <w:rPr>
          <w:rFonts w:ascii="Times New Roman" w:hAnsi="Times New Roman"/>
          <w:sz w:val="24"/>
          <w:szCs w:val="24"/>
        </w:rPr>
        <w:t>each site</w:t>
      </w:r>
      <w:r w:rsidRPr="00A525BA">
        <w:rPr>
          <w:rFonts w:ascii="Times New Roman" w:hAnsi="Times New Roman"/>
          <w:sz w:val="24"/>
          <w:szCs w:val="24"/>
        </w:rPr>
        <w:t xml:space="preserve"> to determine optimal periods for data collection to minimize respondent burden and to </w:t>
      </w:r>
      <w:r w:rsidRPr="00A525BA">
        <w:rPr>
          <w:rFonts w:ascii="Times New Roman" w:hAnsi="Times New Roman"/>
          <w:sz w:val="24"/>
          <w:szCs w:val="24"/>
        </w:rPr>
        <w:t>facilitate recall</w:t>
      </w:r>
      <w:r w:rsidRPr="00A525BA" w:rsidR="00797335">
        <w:rPr>
          <w:rFonts w:ascii="Times New Roman" w:hAnsi="Times New Roman"/>
          <w:sz w:val="24"/>
          <w:szCs w:val="24"/>
        </w:rPr>
        <w:t>.</w:t>
      </w:r>
      <w:r w:rsidRPr="00A525BA">
        <w:rPr>
          <w:rFonts w:ascii="Times New Roman" w:hAnsi="Times New Roman"/>
          <w:sz w:val="24"/>
          <w:szCs w:val="24"/>
        </w:rPr>
        <w:t xml:space="preserve"> </w:t>
      </w:r>
    </w:p>
    <w:p w:rsidR="0098191D" w:rsidRPr="00A525BA" w:rsidP="008E1C10" w14:paraId="40984D6A" w14:textId="3CD0E252">
      <w:pPr>
        <w:numPr>
          <w:ilvl w:val="0"/>
          <w:numId w:val="31"/>
        </w:numPr>
        <w:tabs>
          <w:tab w:val="clear" w:pos="360"/>
          <w:tab w:val="num" w:pos="720"/>
        </w:tabs>
        <w:ind w:left="720"/>
        <w:rPr>
          <w:rFonts w:ascii="Times New Roman" w:hAnsi="Times New Roman"/>
          <w:i/>
          <w:sz w:val="24"/>
          <w:szCs w:val="24"/>
        </w:rPr>
      </w:pPr>
      <w:r w:rsidRPr="00A525BA">
        <w:rPr>
          <w:rFonts w:ascii="Times New Roman" w:hAnsi="Times New Roman"/>
          <w:i/>
          <w:sz w:val="24"/>
          <w:szCs w:val="24"/>
        </w:rPr>
        <w:t>Administration</w:t>
      </w:r>
      <w:r w:rsidRPr="00A525BA">
        <w:rPr>
          <w:rFonts w:ascii="Times New Roman" w:hAnsi="Times New Roman"/>
          <w:sz w:val="24"/>
          <w:szCs w:val="24"/>
        </w:rPr>
        <w:t>: For surveys, reminder emails will be sent (per discussion above) to promote participation and a high response.</w:t>
      </w:r>
      <w:r w:rsidR="00EB12DC">
        <w:rPr>
          <w:rFonts w:ascii="Times New Roman" w:hAnsi="Times New Roman"/>
          <w:sz w:val="24"/>
          <w:szCs w:val="24"/>
        </w:rPr>
        <w:t xml:space="preserve"> For focus groups, t</w:t>
      </w:r>
      <w:r w:rsidRPr="00EB12DC" w:rsidR="00EB12DC">
        <w:rPr>
          <w:rFonts w:ascii="Times New Roman" w:hAnsi="Times New Roman"/>
          <w:sz w:val="24"/>
          <w:szCs w:val="24"/>
        </w:rPr>
        <w:t xml:space="preserve">he CW </w:t>
      </w:r>
      <w:r w:rsidR="00B46513">
        <w:rPr>
          <w:rFonts w:ascii="Times New Roman" w:hAnsi="Times New Roman"/>
          <w:sz w:val="24"/>
          <w:szCs w:val="24"/>
        </w:rPr>
        <w:t>agency study liaison</w:t>
      </w:r>
      <w:r w:rsidRPr="00EB12DC" w:rsidR="00EB12DC">
        <w:rPr>
          <w:rFonts w:ascii="Times New Roman" w:hAnsi="Times New Roman"/>
          <w:sz w:val="24"/>
          <w:szCs w:val="24"/>
        </w:rPr>
        <w:t xml:space="preserve"> will be asked to contact possible respondents and inquire about their interest and willingness to be contacted by the study team to learn more about participation and their preferred method of contact (phone or email). The study team will contact each of the willing respondents, introduce the </w:t>
      </w:r>
      <w:r w:rsidR="00EB12DC">
        <w:rPr>
          <w:rFonts w:ascii="Times New Roman" w:hAnsi="Times New Roman"/>
          <w:sz w:val="24"/>
          <w:szCs w:val="24"/>
        </w:rPr>
        <w:t>s</w:t>
      </w:r>
      <w:r w:rsidRPr="00EB12DC" w:rsidR="00EB12DC">
        <w:rPr>
          <w:rFonts w:ascii="Times New Roman" w:hAnsi="Times New Roman"/>
          <w:sz w:val="24"/>
          <w:szCs w:val="24"/>
        </w:rPr>
        <w:t xml:space="preserve">tudy, and provide details regarding the purpose, </w:t>
      </w:r>
      <w:r w:rsidRPr="00EB12DC" w:rsidR="00EB12DC">
        <w:rPr>
          <w:rFonts w:ascii="Times New Roman" w:hAnsi="Times New Roman"/>
          <w:sz w:val="24"/>
          <w:szCs w:val="24"/>
        </w:rPr>
        <w:t>scheduling</w:t>
      </w:r>
      <w:r w:rsidRPr="00EB12DC" w:rsidR="00EB12DC">
        <w:rPr>
          <w:rFonts w:ascii="Times New Roman" w:hAnsi="Times New Roman"/>
          <w:sz w:val="24"/>
          <w:szCs w:val="24"/>
        </w:rPr>
        <w:t xml:space="preserve"> and consent processes. The study team will schedule the </w:t>
      </w:r>
      <w:r w:rsidR="00EB12DC">
        <w:rPr>
          <w:rFonts w:ascii="Times New Roman" w:hAnsi="Times New Roman"/>
          <w:sz w:val="24"/>
          <w:szCs w:val="24"/>
        </w:rPr>
        <w:t>focus group</w:t>
      </w:r>
      <w:r w:rsidRPr="00EB12DC" w:rsidR="00EB12DC">
        <w:rPr>
          <w:rFonts w:ascii="Times New Roman" w:hAnsi="Times New Roman"/>
          <w:sz w:val="24"/>
          <w:szCs w:val="24"/>
        </w:rPr>
        <w:t xml:space="preserve"> at a time available to the most respondents. </w:t>
      </w:r>
      <w:r w:rsidR="00EB12DC">
        <w:rPr>
          <w:rFonts w:ascii="Times New Roman" w:hAnsi="Times New Roman"/>
          <w:sz w:val="24"/>
          <w:szCs w:val="24"/>
        </w:rPr>
        <w:t>If held in person, a</w:t>
      </w:r>
      <w:r w:rsidRPr="00EB12DC" w:rsidR="00EB12DC">
        <w:rPr>
          <w:rFonts w:ascii="Times New Roman" w:hAnsi="Times New Roman"/>
          <w:sz w:val="24"/>
          <w:szCs w:val="24"/>
        </w:rPr>
        <w:t xml:space="preserve"> location most convenient to the respondents and with the capacity for private discussion will be identified and reserved for the meeting (e.g., a library meeting room space). </w:t>
      </w:r>
      <w:r w:rsidR="00EB12DC">
        <w:rPr>
          <w:rFonts w:ascii="Times New Roman" w:hAnsi="Times New Roman"/>
          <w:sz w:val="24"/>
          <w:szCs w:val="24"/>
        </w:rPr>
        <w:t>If held virtually, t</w:t>
      </w:r>
      <w:r w:rsidRPr="00EB12DC" w:rsidR="00EB12DC">
        <w:rPr>
          <w:rFonts w:ascii="Times New Roman" w:hAnsi="Times New Roman"/>
          <w:sz w:val="24"/>
          <w:szCs w:val="24"/>
        </w:rPr>
        <w:t xml:space="preserve">he study team will </w:t>
      </w:r>
      <w:r w:rsidR="00EB12DC">
        <w:rPr>
          <w:rFonts w:ascii="Times New Roman" w:hAnsi="Times New Roman"/>
          <w:sz w:val="24"/>
          <w:szCs w:val="24"/>
        </w:rPr>
        <w:t>provide respondents with a link to participate in a virtual meeting via Zoom</w:t>
      </w:r>
      <w:r w:rsidRPr="00EB12DC" w:rsidR="00EB12DC">
        <w:rPr>
          <w:rFonts w:ascii="Times New Roman" w:hAnsi="Times New Roman"/>
          <w:sz w:val="24"/>
          <w:szCs w:val="24"/>
        </w:rPr>
        <w:t xml:space="preserve">. The study team will confirm the focus group via email or phone 2 to 3 days before the focus group. </w:t>
      </w:r>
    </w:p>
    <w:p w:rsidR="0098191D" w:rsidRPr="00A525BA" w:rsidP="008E1C10" w14:paraId="2DDEB56C" w14:textId="523B7B8A">
      <w:pPr>
        <w:numPr>
          <w:ilvl w:val="0"/>
          <w:numId w:val="31"/>
        </w:numPr>
        <w:tabs>
          <w:tab w:val="clear" w:pos="360"/>
          <w:tab w:val="num" w:pos="720"/>
        </w:tabs>
        <w:ind w:left="720"/>
        <w:rPr>
          <w:rFonts w:ascii="Times New Roman" w:hAnsi="Times New Roman"/>
          <w:sz w:val="24"/>
          <w:szCs w:val="24"/>
        </w:rPr>
      </w:pPr>
      <w:r w:rsidRPr="00A525BA">
        <w:rPr>
          <w:rFonts w:ascii="Times New Roman" w:hAnsi="Times New Roman"/>
          <w:i/>
          <w:sz w:val="24"/>
          <w:szCs w:val="24"/>
        </w:rPr>
        <w:t xml:space="preserve">Alternate response methods: </w:t>
      </w:r>
      <w:r w:rsidRPr="00A525BA">
        <w:rPr>
          <w:rFonts w:ascii="Times New Roman" w:hAnsi="Times New Roman"/>
          <w:sz w:val="24"/>
          <w:szCs w:val="24"/>
        </w:rPr>
        <w:t>Respondents will be given</w:t>
      </w:r>
      <w:r w:rsidRPr="00A525BA">
        <w:rPr>
          <w:rFonts w:ascii="Times New Roman" w:hAnsi="Times New Roman"/>
          <w:i/>
          <w:sz w:val="24"/>
          <w:szCs w:val="24"/>
        </w:rPr>
        <w:t xml:space="preserve"> </w:t>
      </w:r>
      <w:r w:rsidRPr="00A525BA">
        <w:rPr>
          <w:rFonts w:ascii="Times New Roman" w:hAnsi="Times New Roman"/>
          <w:sz w:val="24"/>
          <w:szCs w:val="24"/>
        </w:rPr>
        <w:t>the</w:t>
      </w:r>
      <w:r w:rsidRPr="00A525BA">
        <w:rPr>
          <w:rFonts w:ascii="Times New Roman" w:hAnsi="Times New Roman"/>
          <w:i/>
          <w:sz w:val="24"/>
          <w:szCs w:val="24"/>
        </w:rPr>
        <w:t xml:space="preserve"> </w:t>
      </w:r>
      <w:r w:rsidRPr="00A525BA" w:rsidR="003849DB">
        <w:rPr>
          <w:rFonts w:ascii="Times New Roman" w:hAnsi="Times New Roman"/>
          <w:sz w:val="24"/>
          <w:szCs w:val="24"/>
        </w:rPr>
        <w:t>opportunity</w:t>
      </w:r>
      <w:r w:rsidRPr="00A525BA">
        <w:rPr>
          <w:rFonts w:ascii="Times New Roman" w:hAnsi="Times New Roman"/>
          <w:sz w:val="24"/>
          <w:szCs w:val="24"/>
        </w:rPr>
        <w:t xml:space="preserve"> to use an alternate method for responding to surveys</w:t>
      </w:r>
      <w:r w:rsidR="00EB12DC">
        <w:rPr>
          <w:rFonts w:ascii="Times New Roman" w:hAnsi="Times New Roman"/>
          <w:sz w:val="24"/>
          <w:szCs w:val="24"/>
        </w:rPr>
        <w:t xml:space="preserve"> and focus groups</w:t>
      </w:r>
      <w:r w:rsidRPr="00A525BA">
        <w:rPr>
          <w:rFonts w:ascii="Times New Roman" w:hAnsi="Times New Roman"/>
          <w:i/>
          <w:sz w:val="24"/>
          <w:szCs w:val="24"/>
        </w:rPr>
        <w:t xml:space="preserve">, </w:t>
      </w:r>
      <w:r w:rsidRPr="00A525BA">
        <w:rPr>
          <w:rFonts w:ascii="Times New Roman" w:hAnsi="Times New Roman"/>
          <w:iCs/>
          <w:sz w:val="24"/>
          <w:szCs w:val="24"/>
        </w:rPr>
        <w:t>such as submitting a paper version with written responses to questions, if this method helps to increase participation.</w:t>
      </w:r>
      <w:r w:rsidRPr="00A525BA">
        <w:rPr>
          <w:rFonts w:ascii="Times New Roman" w:hAnsi="Times New Roman"/>
          <w:i/>
          <w:sz w:val="24"/>
          <w:szCs w:val="24"/>
        </w:rPr>
        <w:t xml:space="preserve"> </w:t>
      </w:r>
    </w:p>
    <w:p w:rsidR="00807D6D" w:rsidP="008E1C10" w14:paraId="530702C1" w14:textId="6BC1049A">
      <w:pPr>
        <w:numPr>
          <w:ilvl w:val="0"/>
          <w:numId w:val="31"/>
        </w:numPr>
        <w:tabs>
          <w:tab w:val="clear" w:pos="360"/>
          <w:tab w:val="num" w:pos="720"/>
        </w:tabs>
        <w:autoSpaceDE w:val="0"/>
        <w:autoSpaceDN w:val="0"/>
        <w:adjustRightInd w:val="0"/>
        <w:ind w:left="720"/>
        <w:rPr>
          <w:rFonts w:ascii="Times New Roman" w:hAnsi="Times New Roman"/>
          <w:sz w:val="24"/>
          <w:szCs w:val="24"/>
        </w:rPr>
      </w:pPr>
      <w:r w:rsidRPr="00A525BA">
        <w:rPr>
          <w:rFonts w:ascii="Times New Roman" w:hAnsi="Times New Roman"/>
          <w:i/>
          <w:iCs/>
          <w:sz w:val="24"/>
          <w:szCs w:val="24"/>
        </w:rPr>
        <w:t xml:space="preserve">Assurances of data privacy: </w:t>
      </w:r>
      <w:r w:rsidRPr="00A525BA">
        <w:rPr>
          <w:rFonts w:ascii="Times New Roman" w:hAnsi="Times New Roman"/>
          <w:sz w:val="24"/>
          <w:szCs w:val="24"/>
        </w:rPr>
        <w:t xml:space="preserve">Respondents to surveys </w:t>
      </w:r>
      <w:r w:rsidR="00EB12DC">
        <w:rPr>
          <w:rFonts w:ascii="Times New Roman" w:hAnsi="Times New Roman"/>
          <w:sz w:val="24"/>
          <w:szCs w:val="24"/>
        </w:rPr>
        <w:t xml:space="preserve">and focus groups </w:t>
      </w:r>
      <w:r w:rsidRPr="00A525BA">
        <w:rPr>
          <w:rFonts w:ascii="Times New Roman" w:hAnsi="Times New Roman"/>
          <w:sz w:val="24"/>
          <w:szCs w:val="24"/>
        </w:rPr>
        <w:t>will be assured that reported data are aggregated and not attributable to individual</w:t>
      </w:r>
      <w:r w:rsidRPr="00A525BA" w:rsidR="003C44E4">
        <w:rPr>
          <w:rFonts w:ascii="Times New Roman" w:hAnsi="Times New Roman"/>
          <w:sz w:val="24"/>
          <w:szCs w:val="24"/>
        </w:rPr>
        <w:t xml:space="preserve"> respondents.</w:t>
      </w:r>
      <w:r w:rsidRPr="00A525BA">
        <w:rPr>
          <w:rFonts w:ascii="Times New Roman" w:hAnsi="Times New Roman"/>
          <w:sz w:val="24"/>
          <w:szCs w:val="24"/>
        </w:rPr>
        <w:t xml:space="preserve"> </w:t>
      </w:r>
    </w:p>
    <w:p w:rsidR="00807D6D" w:rsidRPr="00807D6D" w:rsidP="00220314" w14:paraId="61626E94" w14:textId="77777777">
      <w:pPr>
        <w:autoSpaceDE w:val="0"/>
        <w:autoSpaceDN w:val="0"/>
        <w:adjustRightInd w:val="0"/>
        <w:ind w:left="360"/>
        <w:rPr>
          <w:rFonts w:ascii="Times New Roman" w:hAnsi="Times New Roman"/>
          <w:sz w:val="24"/>
          <w:szCs w:val="24"/>
        </w:rPr>
      </w:pPr>
    </w:p>
    <w:p w:rsidR="0098191D" w:rsidRPr="00A525BA" w:rsidP="0098191D" w14:paraId="3E410EA5" w14:textId="77777777">
      <w:pPr>
        <w:autoSpaceDE w:val="0"/>
        <w:autoSpaceDN w:val="0"/>
        <w:adjustRightInd w:val="0"/>
        <w:spacing w:after="60"/>
        <w:rPr>
          <w:rFonts w:ascii="Times New Roman" w:hAnsi="Times New Roman"/>
          <w:i/>
          <w:color w:val="000000"/>
          <w:sz w:val="24"/>
          <w:szCs w:val="24"/>
        </w:rPr>
      </w:pPr>
      <w:r w:rsidRPr="00A525BA">
        <w:rPr>
          <w:rFonts w:ascii="Times New Roman" w:hAnsi="Times New Roman"/>
          <w:i/>
          <w:color w:val="000000"/>
          <w:sz w:val="24"/>
          <w:szCs w:val="24"/>
        </w:rPr>
        <w:t>Non-Response</w:t>
      </w:r>
    </w:p>
    <w:p w:rsidR="0098191D" w:rsidRPr="00A525BA" w:rsidP="00C611D2" w14:paraId="60DB9E8A" w14:textId="3C973445">
      <w:pPr>
        <w:rPr>
          <w:rFonts w:ascii="Times New Roman" w:hAnsi="Times New Roman"/>
          <w:sz w:val="24"/>
          <w:szCs w:val="24"/>
        </w:rPr>
      </w:pPr>
      <w:r w:rsidRPr="00A525BA">
        <w:rPr>
          <w:rFonts w:ascii="Times New Roman" w:hAnsi="Times New Roman"/>
          <w:sz w:val="24"/>
          <w:szCs w:val="24"/>
        </w:rPr>
        <w:t xml:space="preserve">As participants will not be randomly sampled and findings are not intended to be representative, non-response bias will not be calculated. The </w:t>
      </w:r>
      <w:r w:rsidRPr="00A525BA" w:rsidR="003C44E4">
        <w:rPr>
          <w:rFonts w:ascii="Times New Roman" w:hAnsi="Times New Roman"/>
          <w:sz w:val="24"/>
          <w:szCs w:val="24"/>
        </w:rPr>
        <w:t>study</w:t>
      </w:r>
      <w:r w:rsidRPr="00A525BA">
        <w:rPr>
          <w:rFonts w:ascii="Times New Roman" w:hAnsi="Times New Roman"/>
          <w:sz w:val="24"/>
          <w:szCs w:val="24"/>
        </w:rPr>
        <w:t xml:space="preserve"> team will, however, track refusal rates and refusal demographics</w:t>
      </w:r>
      <w:r w:rsidRPr="00A525BA" w:rsidR="00B21BAA">
        <w:rPr>
          <w:rFonts w:ascii="Times New Roman" w:hAnsi="Times New Roman"/>
          <w:sz w:val="24"/>
          <w:szCs w:val="24"/>
        </w:rPr>
        <w:t xml:space="preserve"> (where possible)</w:t>
      </w:r>
      <w:r w:rsidRPr="00A525BA">
        <w:rPr>
          <w:rFonts w:ascii="Times New Roman" w:hAnsi="Times New Roman"/>
          <w:sz w:val="24"/>
          <w:szCs w:val="24"/>
        </w:rPr>
        <w:t>, to gain an understanding of potential patterns in data collection participation and refusal. For some data collections, respondent demographics will be documented and reported in written materials associated with the data collection.</w:t>
      </w:r>
    </w:p>
    <w:p w:rsidR="00817E2B" w:rsidP="00DE529D" w14:paraId="4F30D8DC" w14:textId="5922041A">
      <w:pPr>
        <w:tabs>
          <w:tab w:val="left" w:pos="-720"/>
          <w:tab w:val="left" w:pos="360"/>
        </w:tabs>
        <w:suppressAutoHyphens/>
        <w:ind w:left="360"/>
        <w:rPr>
          <w:rFonts w:ascii="Times New Roman" w:hAnsi="Times New Roman"/>
          <w:sz w:val="24"/>
          <w:szCs w:val="24"/>
        </w:rPr>
      </w:pPr>
    </w:p>
    <w:p w:rsidR="0055407D" w:rsidRPr="00A525BA" w:rsidP="00DE529D" w14:paraId="09042EF1" w14:textId="77777777">
      <w:pPr>
        <w:tabs>
          <w:tab w:val="left" w:pos="-720"/>
          <w:tab w:val="left" w:pos="360"/>
        </w:tabs>
        <w:suppressAutoHyphens/>
        <w:ind w:left="360"/>
        <w:rPr>
          <w:rFonts w:ascii="Times New Roman" w:hAnsi="Times New Roman"/>
          <w:sz w:val="24"/>
          <w:szCs w:val="24"/>
        </w:rPr>
      </w:pPr>
    </w:p>
    <w:p w:rsidR="002C3C4F" w:rsidRPr="00A525BA" w:rsidP="00817E2B" w14:paraId="1FFC4258" w14:textId="77777777">
      <w:pPr>
        <w:widowControl/>
        <w:numPr>
          <w:ilvl w:val="0"/>
          <w:numId w:val="4"/>
        </w:numPr>
        <w:tabs>
          <w:tab w:val="num" w:pos="360"/>
          <w:tab w:val="clear" w:pos="720"/>
        </w:tabs>
        <w:spacing w:after="120"/>
        <w:ind w:left="360"/>
        <w:rPr>
          <w:rFonts w:ascii="Times New Roman" w:hAnsi="Times New Roman"/>
          <w:b/>
          <w:snapToGrid/>
          <w:sz w:val="24"/>
          <w:szCs w:val="24"/>
        </w:rPr>
      </w:pPr>
      <w:r w:rsidRPr="00A525BA">
        <w:rPr>
          <w:rFonts w:ascii="Times New Roman" w:hAnsi="Times New Roman"/>
          <w:b/>
          <w:snapToGrid/>
          <w:sz w:val="24"/>
          <w:szCs w:val="24"/>
        </w:rPr>
        <w:t xml:space="preserve">Test of Procedures or Methods to be Undertaken </w:t>
      </w:r>
    </w:p>
    <w:p w:rsidR="00275554" w14:paraId="74FF151B" w14:textId="6E5B01E5">
      <w:pPr>
        <w:pStyle w:val="pf0"/>
        <w:spacing w:before="0" w:beforeAutospacing="0" w:after="0" w:afterAutospacing="0"/>
      </w:pPr>
      <w:r w:rsidRPr="00A525BA">
        <w:rPr>
          <w:rStyle w:val="cf01"/>
          <w:rFonts w:ascii="Times New Roman" w:hAnsi="Times New Roman" w:cs="Times New Roman"/>
          <w:sz w:val="24"/>
          <w:szCs w:val="24"/>
        </w:rPr>
        <w:t>All surveys for the formative evaluation were tested by members of the study team to determine the time required to complete them (i.e., burden)</w:t>
      </w:r>
      <w:r w:rsidRPr="00A525BA" w:rsidR="001F7C89">
        <w:rPr>
          <w:rStyle w:val="cf01"/>
          <w:rFonts w:ascii="Times New Roman" w:hAnsi="Times New Roman" w:cs="Times New Roman"/>
          <w:sz w:val="24"/>
          <w:szCs w:val="24"/>
        </w:rPr>
        <w:t>.</w:t>
      </w:r>
      <w:r w:rsidRPr="00A525BA">
        <w:rPr>
          <w:rStyle w:val="cf01"/>
          <w:rFonts w:ascii="Times New Roman" w:hAnsi="Times New Roman" w:cs="Times New Roman"/>
          <w:sz w:val="24"/>
          <w:szCs w:val="24"/>
        </w:rPr>
        <w:t xml:space="preserve"> The </w:t>
      </w:r>
      <w:r w:rsidRPr="00A525BA">
        <w:rPr>
          <w:rStyle w:val="cf01"/>
          <w:rFonts w:ascii="Times New Roman" w:hAnsi="Times New Roman" w:cs="Times New Roman"/>
          <w:sz w:val="24"/>
          <w:szCs w:val="24"/>
        </w:rPr>
        <w:t>s</w:t>
      </w:r>
      <w:r w:rsidRPr="00A525BA">
        <w:t xml:space="preserve">urvey of PAE/PSE-related knowledge </w:t>
      </w:r>
      <w:r w:rsidRPr="00BA3572">
        <w:t>(see A-2)</w:t>
      </w:r>
      <w:r w:rsidRPr="00A525BA">
        <w:t xml:space="preserve"> was also tested by fewer than 10 outside consultants to </w:t>
      </w:r>
      <w:r w:rsidRPr="00A525BA" w:rsidR="00835461">
        <w:t xml:space="preserve">aid in </w:t>
      </w:r>
      <w:r w:rsidRPr="00A525BA" w:rsidR="00EF350C">
        <w:t>an</w:t>
      </w:r>
      <w:r w:rsidRPr="00A525BA">
        <w:t xml:space="preserve"> item </w:t>
      </w:r>
      <w:r w:rsidRPr="00A525BA" w:rsidR="00EF350C">
        <w:t>analysis. The study team analyzed those test data to</w:t>
      </w:r>
      <w:r w:rsidRPr="00A525BA" w:rsidR="009E2C8F">
        <w:t xml:space="preserve"> determine item </w:t>
      </w:r>
      <w:r w:rsidRPr="00A525BA">
        <w:t>discrimination</w:t>
      </w:r>
      <w:r w:rsidRPr="00A525BA" w:rsidR="009E2C8F">
        <w:t xml:space="preserve"> </w:t>
      </w:r>
      <w:r w:rsidRPr="00A525BA" w:rsidR="005413BA">
        <w:t>and made refinements to some items to adjust their difficulty level.</w:t>
      </w:r>
    </w:p>
    <w:p w:rsidR="001A50E6" w14:paraId="7DB13F47" w14:textId="77777777">
      <w:pPr>
        <w:pStyle w:val="pf0"/>
        <w:spacing w:before="0" w:beforeAutospacing="0" w:after="0" w:afterAutospacing="0"/>
      </w:pPr>
    </w:p>
    <w:p w:rsidR="001A50E6" w:rsidRPr="008E1C10" w:rsidP="001A50E6" w14:paraId="29B37962" w14:textId="7C61BD49">
      <w:pPr>
        <w:widowControl/>
        <w:rPr>
          <w:rFonts w:ascii="Times New Roman" w:hAnsi="Times New Roman"/>
          <w:sz w:val="24"/>
          <w:szCs w:val="24"/>
        </w:rPr>
      </w:pPr>
      <w:r>
        <w:rPr>
          <w:rFonts w:ascii="Times New Roman" w:hAnsi="Times New Roman"/>
          <w:sz w:val="24"/>
          <w:szCs w:val="24"/>
        </w:rPr>
        <w:t xml:space="preserve">The </w:t>
      </w:r>
      <w:r w:rsidR="0014522B">
        <w:rPr>
          <w:rFonts w:ascii="Times New Roman" w:hAnsi="Times New Roman"/>
          <w:sz w:val="24"/>
          <w:szCs w:val="24"/>
        </w:rPr>
        <w:t>focus group protocol was internally reviewed</w:t>
      </w:r>
      <w:r w:rsidR="004E1A79">
        <w:rPr>
          <w:rFonts w:ascii="Times New Roman" w:hAnsi="Times New Roman"/>
          <w:sz w:val="24"/>
          <w:szCs w:val="24"/>
        </w:rPr>
        <w:t xml:space="preserve"> and refined</w:t>
      </w:r>
      <w:r w:rsidR="0014522B">
        <w:rPr>
          <w:rFonts w:ascii="Times New Roman" w:hAnsi="Times New Roman"/>
          <w:sz w:val="24"/>
          <w:szCs w:val="24"/>
        </w:rPr>
        <w:t xml:space="preserve"> by </w:t>
      </w:r>
      <w:r w:rsidR="00383667">
        <w:rPr>
          <w:rFonts w:ascii="Times New Roman" w:hAnsi="Times New Roman"/>
          <w:sz w:val="24"/>
          <w:szCs w:val="24"/>
        </w:rPr>
        <w:t xml:space="preserve">team members, the Federal Project Officer, and </w:t>
      </w:r>
      <w:r w:rsidR="002572D0">
        <w:rPr>
          <w:rFonts w:ascii="Times New Roman" w:hAnsi="Times New Roman"/>
          <w:sz w:val="24"/>
          <w:szCs w:val="24"/>
        </w:rPr>
        <w:t xml:space="preserve">one </w:t>
      </w:r>
      <w:r w:rsidR="00383667">
        <w:rPr>
          <w:rFonts w:ascii="Times New Roman" w:hAnsi="Times New Roman"/>
          <w:sz w:val="24"/>
          <w:szCs w:val="24"/>
        </w:rPr>
        <w:t>evaluation subcontract</w:t>
      </w:r>
      <w:r w:rsidR="002572D0">
        <w:rPr>
          <w:rFonts w:ascii="Times New Roman" w:hAnsi="Times New Roman"/>
          <w:sz w:val="24"/>
          <w:szCs w:val="24"/>
        </w:rPr>
        <w:t>or</w:t>
      </w:r>
      <w:r w:rsidR="00383667">
        <w:rPr>
          <w:rFonts w:ascii="Times New Roman" w:hAnsi="Times New Roman"/>
          <w:sz w:val="24"/>
          <w:szCs w:val="24"/>
        </w:rPr>
        <w:t xml:space="preserve"> consultant</w:t>
      </w:r>
      <w:r w:rsidR="001531B9">
        <w:rPr>
          <w:rFonts w:ascii="Times New Roman" w:hAnsi="Times New Roman"/>
          <w:sz w:val="24"/>
          <w:szCs w:val="24"/>
        </w:rPr>
        <w:t xml:space="preserve"> from the University of Louisville</w:t>
      </w:r>
      <w:r w:rsidR="00383667">
        <w:rPr>
          <w:rFonts w:ascii="Times New Roman" w:hAnsi="Times New Roman"/>
          <w:sz w:val="24"/>
          <w:szCs w:val="24"/>
        </w:rPr>
        <w:t xml:space="preserve"> listed below in </w:t>
      </w:r>
      <w:r w:rsidRPr="008E1C10" w:rsidR="00383667">
        <w:rPr>
          <w:rFonts w:ascii="Times New Roman" w:hAnsi="Times New Roman"/>
          <w:b/>
          <w:bCs/>
          <w:sz w:val="24"/>
          <w:szCs w:val="24"/>
        </w:rPr>
        <w:t>5</w:t>
      </w:r>
      <w:r w:rsidR="00383667">
        <w:rPr>
          <w:rFonts w:ascii="Times New Roman" w:hAnsi="Times New Roman"/>
          <w:sz w:val="24"/>
          <w:szCs w:val="24"/>
        </w:rPr>
        <w:t xml:space="preserve">. </w:t>
      </w:r>
      <w:r w:rsidRPr="008E1C10">
        <w:rPr>
          <w:rFonts w:ascii="Times New Roman" w:hAnsi="Times New Roman"/>
          <w:sz w:val="24"/>
          <w:szCs w:val="24"/>
        </w:rPr>
        <w:t>The estimates of burden hours for the focus group were determined based upon the proposed 90-minute administration period. Based upon the usability phase of evaluation, similar focus group protocols of between 10-12 questions conducted with 6-8 informants</w:t>
      </w:r>
      <w:r w:rsidR="00727F83">
        <w:rPr>
          <w:rFonts w:ascii="Times New Roman" w:hAnsi="Times New Roman"/>
          <w:sz w:val="24"/>
          <w:szCs w:val="24"/>
        </w:rPr>
        <w:t xml:space="preserve"> on similar topics (e.g., facilitators, barriers, applicability of the toolkit)</w:t>
      </w:r>
      <w:r w:rsidRPr="008E1C10">
        <w:rPr>
          <w:rFonts w:ascii="Times New Roman" w:hAnsi="Times New Roman"/>
          <w:sz w:val="24"/>
          <w:szCs w:val="24"/>
        </w:rPr>
        <w:t xml:space="preserve"> were </w:t>
      </w:r>
      <w:r w:rsidR="00727F83">
        <w:rPr>
          <w:rFonts w:ascii="Times New Roman" w:hAnsi="Times New Roman"/>
          <w:sz w:val="24"/>
          <w:szCs w:val="24"/>
        </w:rPr>
        <w:t xml:space="preserve">clearly understood and </w:t>
      </w:r>
      <w:r w:rsidRPr="008E1C10">
        <w:rPr>
          <w:rFonts w:ascii="Times New Roman" w:hAnsi="Times New Roman"/>
          <w:sz w:val="24"/>
          <w:szCs w:val="24"/>
        </w:rPr>
        <w:t xml:space="preserve">successfully completed in a 90-minute administration period. </w:t>
      </w:r>
    </w:p>
    <w:p w:rsidR="001A50E6" w:rsidRPr="00A525BA" w:rsidP="008E1C10" w14:paraId="189CCFE8" w14:textId="77777777">
      <w:pPr>
        <w:pStyle w:val="pf0"/>
        <w:spacing w:before="0" w:beforeAutospacing="0" w:after="0" w:afterAutospacing="0"/>
      </w:pPr>
    </w:p>
    <w:p w:rsidR="003B7A50" w:rsidP="00DE529D" w14:paraId="10A6B25F" w14:textId="6976779D">
      <w:pPr>
        <w:widowControl/>
        <w:tabs>
          <w:tab w:val="left" w:pos="360"/>
        </w:tabs>
        <w:ind w:left="360"/>
        <w:rPr>
          <w:rFonts w:ascii="Times New Roman" w:hAnsi="Times New Roman"/>
          <w:snapToGrid/>
          <w:sz w:val="24"/>
          <w:szCs w:val="24"/>
        </w:rPr>
      </w:pPr>
    </w:p>
    <w:p w:rsidR="0055407D" w:rsidRPr="00A525BA" w:rsidP="00DE529D" w14:paraId="00D7B50E" w14:textId="77777777">
      <w:pPr>
        <w:widowControl/>
        <w:tabs>
          <w:tab w:val="left" w:pos="360"/>
        </w:tabs>
        <w:ind w:left="360"/>
        <w:rPr>
          <w:rFonts w:ascii="Times New Roman" w:hAnsi="Times New Roman"/>
          <w:snapToGrid/>
          <w:sz w:val="24"/>
          <w:szCs w:val="24"/>
        </w:rPr>
      </w:pPr>
    </w:p>
    <w:p w:rsidR="00EC698B" w:rsidRPr="00A525BA" w:rsidP="00817E2B" w14:paraId="661592CB" w14:textId="77777777">
      <w:pPr>
        <w:widowControl/>
        <w:numPr>
          <w:ilvl w:val="0"/>
          <w:numId w:val="4"/>
        </w:numPr>
        <w:tabs>
          <w:tab w:val="num" w:pos="360"/>
          <w:tab w:val="clear" w:pos="720"/>
        </w:tabs>
        <w:spacing w:after="120"/>
        <w:ind w:left="360"/>
        <w:rPr>
          <w:rFonts w:ascii="Times New Roman" w:hAnsi="Times New Roman"/>
          <w:b/>
          <w:snapToGrid/>
          <w:sz w:val="24"/>
          <w:szCs w:val="24"/>
        </w:rPr>
      </w:pPr>
      <w:r w:rsidRPr="00A525BA">
        <w:rPr>
          <w:rFonts w:ascii="Times New Roman" w:hAnsi="Times New Roman"/>
          <w:b/>
          <w:snapToGrid/>
          <w:sz w:val="24"/>
          <w:szCs w:val="24"/>
        </w:rPr>
        <w:t>Individuals Consulted on Statistical Aspects and Individuals Collecting and/or Analyzing Data</w:t>
      </w:r>
    </w:p>
    <w:p w:rsidR="00076D6D" w:rsidRPr="00A525BA" w:rsidP="00DE529D" w14:paraId="496D3FB3" w14:textId="5B4008C7">
      <w:pPr>
        <w:widowControl/>
        <w:ind w:left="360"/>
        <w:rPr>
          <w:rFonts w:ascii="Times New Roman" w:hAnsi="Times New Roman"/>
          <w:bCs/>
          <w:snapToGrid/>
          <w:sz w:val="24"/>
          <w:szCs w:val="24"/>
        </w:rPr>
      </w:pPr>
      <w:r w:rsidRPr="00A525BA">
        <w:rPr>
          <w:rFonts w:ascii="Times New Roman" w:hAnsi="Times New Roman"/>
          <w:bCs/>
          <w:snapToGrid/>
          <w:sz w:val="24"/>
          <w:szCs w:val="24"/>
        </w:rPr>
        <w:t>The contractor will collect and analyze the information for the CB.</w:t>
      </w:r>
    </w:p>
    <w:p w:rsidR="00076D6D" w:rsidRPr="00A525BA" w:rsidP="00DE529D" w14:paraId="429D982E" w14:textId="77777777">
      <w:pPr>
        <w:widowControl/>
        <w:ind w:left="360"/>
        <w:rPr>
          <w:rFonts w:ascii="Times New Roman" w:hAnsi="Times New Roman"/>
          <w:bCs/>
          <w:snapToGrid/>
          <w:sz w:val="24"/>
          <w:szCs w:val="24"/>
        </w:rPr>
      </w:pPr>
    </w:p>
    <w:tbl>
      <w:tblPr>
        <w:tblStyle w:val="TableGrid"/>
        <w:tblW w:w="0" w:type="auto"/>
        <w:tblInd w:w="360" w:type="dxa"/>
        <w:tblLook w:val="04A0"/>
      </w:tblPr>
      <w:tblGrid>
        <w:gridCol w:w="3775"/>
        <w:gridCol w:w="5215"/>
      </w:tblGrid>
      <w:tr w14:paraId="5467381C" w14:textId="77777777" w:rsidTr="00931596">
        <w:tblPrEx>
          <w:tblW w:w="0" w:type="auto"/>
          <w:tblInd w:w="360" w:type="dxa"/>
          <w:tblLook w:val="04A0"/>
        </w:tblPrEx>
        <w:tc>
          <w:tcPr>
            <w:tcW w:w="3775" w:type="dxa"/>
          </w:tcPr>
          <w:p w:rsidR="00076D6D" w:rsidRPr="00A525BA" w:rsidP="00DE529D" w14:paraId="00F02EFB" w14:textId="3B575F64">
            <w:pPr>
              <w:widowControl/>
              <w:rPr>
                <w:rFonts w:ascii="Times New Roman" w:hAnsi="Times New Roman"/>
                <w:b/>
                <w:snapToGrid/>
                <w:sz w:val="24"/>
                <w:szCs w:val="24"/>
              </w:rPr>
            </w:pPr>
            <w:r w:rsidRPr="00A525BA">
              <w:rPr>
                <w:rFonts w:ascii="Times New Roman" w:hAnsi="Times New Roman"/>
                <w:b/>
                <w:snapToGrid/>
                <w:sz w:val="24"/>
                <w:szCs w:val="24"/>
              </w:rPr>
              <w:t>Study Contractor</w:t>
            </w:r>
          </w:p>
        </w:tc>
        <w:tc>
          <w:tcPr>
            <w:tcW w:w="5215" w:type="dxa"/>
          </w:tcPr>
          <w:p w:rsidR="00076D6D" w:rsidRPr="00A525BA" w:rsidP="00DE529D" w14:paraId="194703BD" w14:textId="6BEB8A4A">
            <w:pPr>
              <w:widowControl/>
              <w:rPr>
                <w:rFonts w:ascii="Times New Roman" w:hAnsi="Times New Roman"/>
                <w:b/>
                <w:snapToGrid/>
                <w:sz w:val="24"/>
                <w:szCs w:val="24"/>
              </w:rPr>
            </w:pPr>
            <w:r w:rsidRPr="00A525BA">
              <w:rPr>
                <w:rFonts w:ascii="Times New Roman" w:hAnsi="Times New Roman"/>
                <w:b/>
                <w:snapToGrid/>
                <w:sz w:val="24"/>
                <w:szCs w:val="24"/>
              </w:rPr>
              <w:t>Subcontractors</w:t>
            </w:r>
          </w:p>
        </w:tc>
      </w:tr>
      <w:tr w14:paraId="7554FC8F" w14:textId="77777777" w:rsidTr="00931596">
        <w:tblPrEx>
          <w:tblW w:w="0" w:type="auto"/>
          <w:tblInd w:w="360" w:type="dxa"/>
          <w:tblLook w:val="04A0"/>
        </w:tblPrEx>
        <w:tc>
          <w:tcPr>
            <w:tcW w:w="3775" w:type="dxa"/>
            <w:vMerge w:val="restart"/>
          </w:tcPr>
          <w:p w:rsidR="0097570C" w:rsidRPr="00A525BA" w:rsidP="00DE529D" w14:paraId="64637DBB" w14:textId="77777777">
            <w:pPr>
              <w:widowControl/>
              <w:rPr>
                <w:rFonts w:ascii="Times New Roman" w:hAnsi="Times New Roman"/>
                <w:bCs/>
                <w:snapToGrid/>
                <w:sz w:val="24"/>
                <w:szCs w:val="24"/>
              </w:rPr>
            </w:pPr>
            <w:r w:rsidRPr="00A525BA">
              <w:rPr>
                <w:rFonts w:ascii="Times New Roman" w:hAnsi="Times New Roman"/>
                <w:bCs/>
                <w:snapToGrid/>
                <w:sz w:val="24"/>
                <w:szCs w:val="24"/>
              </w:rPr>
              <w:t>James Bell Associates</w:t>
            </w:r>
          </w:p>
          <w:p w:rsidR="0097570C" w:rsidRPr="00A525BA" w:rsidP="00DE529D" w14:paraId="1660791E" w14:textId="5C3C7769">
            <w:pPr>
              <w:widowControl/>
              <w:rPr>
                <w:rFonts w:ascii="Times New Roman" w:hAnsi="Times New Roman"/>
                <w:bCs/>
                <w:snapToGrid/>
                <w:sz w:val="24"/>
                <w:szCs w:val="24"/>
              </w:rPr>
            </w:pPr>
            <w:r w:rsidRPr="00A525BA">
              <w:rPr>
                <w:rFonts w:ascii="Times New Roman" w:hAnsi="Times New Roman"/>
                <w:bCs/>
                <w:snapToGrid/>
                <w:sz w:val="24"/>
                <w:szCs w:val="24"/>
              </w:rPr>
              <w:t>2000 15</w:t>
            </w:r>
            <w:r w:rsidRPr="00A525BA">
              <w:rPr>
                <w:rFonts w:ascii="Times New Roman" w:hAnsi="Times New Roman"/>
                <w:bCs/>
                <w:snapToGrid/>
                <w:sz w:val="24"/>
                <w:szCs w:val="24"/>
                <w:vertAlign w:val="superscript"/>
              </w:rPr>
              <w:t>th</w:t>
            </w:r>
            <w:r w:rsidRPr="00A525BA">
              <w:rPr>
                <w:rFonts w:ascii="Times New Roman" w:hAnsi="Times New Roman"/>
                <w:bCs/>
                <w:snapToGrid/>
                <w:sz w:val="24"/>
                <w:szCs w:val="24"/>
              </w:rPr>
              <w:t xml:space="preserve"> Street North, Suite 100</w:t>
            </w:r>
          </w:p>
          <w:p w:rsidR="0097570C" w:rsidRPr="00A525BA" w:rsidP="00DE529D" w14:paraId="16E07655" w14:textId="143146CA">
            <w:pPr>
              <w:widowControl/>
              <w:rPr>
                <w:rFonts w:ascii="Times New Roman" w:hAnsi="Times New Roman"/>
                <w:bCs/>
                <w:snapToGrid/>
                <w:sz w:val="24"/>
                <w:szCs w:val="24"/>
              </w:rPr>
            </w:pPr>
            <w:r w:rsidRPr="00A525BA">
              <w:rPr>
                <w:rFonts w:ascii="Times New Roman" w:hAnsi="Times New Roman"/>
                <w:bCs/>
                <w:snapToGrid/>
                <w:sz w:val="24"/>
                <w:szCs w:val="24"/>
              </w:rPr>
              <w:t>Arlington, VA 22201</w:t>
            </w:r>
          </w:p>
        </w:tc>
        <w:tc>
          <w:tcPr>
            <w:tcW w:w="5215" w:type="dxa"/>
          </w:tcPr>
          <w:p w:rsidR="0097570C" w:rsidRPr="00A525BA" w:rsidP="00DE529D" w14:paraId="36ED9294" w14:textId="77777777">
            <w:pPr>
              <w:widowControl/>
              <w:rPr>
                <w:rFonts w:ascii="Times New Roman" w:hAnsi="Times New Roman"/>
                <w:bCs/>
                <w:snapToGrid/>
                <w:sz w:val="24"/>
                <w:szCs w:val="24"/>
              </w:rPr>
            </w:pPr>
            <w:r w:rsidRPr="00A525BA">
              <w:rPr>
                <w:rFonts w:ascii="Times New Roman" w:hAnsi="Times New Roman"/>
                <w:bCs/>
                <w:snapToGrid/>
                <w:sz w:val="24"/>
                <w:szCs w:val="24"/>
              </w:rPr>
              <w:t>ICF</w:t>
            </w:r>
          </w:p>
          <w:p w:rsidR="0097570C" w:rsidRPr="00A525BA" w:rsidP="00DE529D" w14:paraId="0D4C11AA" w14:textId="77777777">
            <w:pPr>
              <w:widowControl/>
              <w:rPr>
                <w:rFonts w:ascii="Times New Roman" w:hAnsi="Times New Roman"/>
                <w:bCs/>
                <w:snapToGrid/>
                <w:sz w:val="24"/>
                <w:szCs w:val="24"/>
              </w:rPr>
            </w:pPr>
            <w:r w:rsidRPr="00A525BA">
              <w:rPr>
                <w:rFonts w:ascii="Times New Roman" w:hAnsi="Times New Roman"/>
                <w:bCs/>
                <w:snapToGrid/>
                <w:sz w:val="24"/>
                <w:szCs w:val="24"/>
              </w:rPr>
              <w:t>9300 Lee Highway</w:t>
            </w:r>
          </w:p>
          <w:p w:rsidR="0097570C" w:rsidRPr="00A525BA" w:rsidP="00A525BA" w14:paraId="3C28691B" w14:textId="11D314AE">
            <w:pPr>
              <w:widowControl/>
              <w:rPr>
                <w:rFonts w:ascii="Times New Roman" w:hAnsi="Times New Roman"/>
                <w:bCs/>
                <w:snapToGrid/>
                <w:sz w:val="24"/>
                <w:szCs w:val="24"/>
              </w:rPr>
            </w:pPr>
            <w:r w:rsidRPr="00A525BA">
              <w:rPr>
                <w:rFonts w:ascii="Times New Roman" w:hAnsi="Times New Roman"/>
                <w:bCs/>
                <w:snapToGrid/>
                <w:sz w:val="24"/>
                <w:szCs w:val="24"/>
              </w:rPr>
              <w:t>Fairfax, VA 22030</w:t>
            </w:r>
          </w:p>
        </w:tc>
      </w:tr>
      <w:tr w14:paraId="437F0C72" w14:textId="77777777" w:rsidTr="00931596">
        <w:tblPrEx>
          <w:tblW w:w="0" w:type="auto"/>
          <w:tblInd w:w="360" w:type="dxa"/>
          <w:tblLook w:val="04A0"/>
        </w:tblPrEx>
        <w:tc>
          <w:tcPr>
            <w:tcW w:w="3775" w:type="dxa"/>
            <w:vMerge/>
          </w:tcPr>
          <w:p w:rsidR="0097570C" w:rsidRPr="00A525BA" w:rsidP="00DE529D" w14:paraId="2192C7BD" w14:textId="77777777">
            <w:pPr>
              <w:widowControl/>
              <w:rPr>
                <w:rFonts w:ascii="Times New Roman" w:hAnsi="Times New Roman"/>
                <w:bCs/>
                <w:snapToGrid/>
                <w:sz w:val="24"/>
                <w:szCs w:val="24"/>
              </w:rPr>
            </w:pPr>
          </w:p>
        </w:tc>
        <w:tc>
          <w:tcPr>
            <w:tcW w:w="5215" w:type="dxa"/>
          </w:tcPr>
          <w:p w:rsidR="0097570C" w:rsidRPr="00A525BA" w:rsidP="00A525BA" w14:paraId="61DBD731" w14:textId="77777777">
            <w:pPr>
              <w:widowControl/>
              <w:rPr>
                <w:rFonts w:ascii="Times New Roman" w:hAnsi="Times New Roman"/>
                <w:bCs/>
                <w:snapToGrid/>
                <w:sz w:val="24"/>
                <w:szCs w:val="24"/>
              </w:rPr>
            </w:pPr>
            <w:r w:rsidRPr="00A525BA">
              <w:rPr>
                <w:rFonts w:ascii="Times New Roman" w:hAnsi="Times New Roman"/>
                <w:bCs/>
                <w:snapToGrid/>
                <w:sz w:val="24"/>
                <w:szCs w:val="24"/>
              </w:rPr>
              <w:t>Anita Barbee, Ph.D.; Martin Hall, Ph.D.; and</w:t>
            </w:r>
          </w:p>
          <w:p w:rsidR="0097570C" w:rsidRPr="00A525BA" w:rsidP="00A525BA" w14:paraId="49DB53AF" w14:textId="77777777">
            <w:pPr>
              <w:widowControl/>
              <w:rPr>
                <w:rFonts w:ascii="Times New Roman" w:hAnsi="Times New Roman"/>
                <w:bCs/>
                <w:snapToGrid/>
                <w:sz w:val="24"/>
                <w:szCs w:val="24"/>
              </w:rPr>
            </w:pPr>
            <w:r w:rsidRPr="00A525BA">
              <w:rPr>
                <w:rFonts w:ascii="Times New Roman" w:hAnsi="Times New Roman"/>
                <w:bCs/>
                <w:snapToGrid/>
                <w:sz w:val="24"/>
                <w:szCs w:val="24"/>
              </w:rPr>
              <w:t>Becky Antle, Ph.D.</w:t>
            </w:r>
          </w:p>
          <w:p w:rsidR="0097570C" w:rsidRPr="00A525BA" w:rsidP="00A525BA" w14:paraId="7E263517" w14:textId="77777777">
            <w:pPr>
              <w:widowControl/>
              <w:rPr>
                <w:rFonts w:ascii="Times New Roman" w:hAnsi="Times New Roman"/>
                <w:bCs/>
                <w:snapToGrid/>
                <w:sz w:val="24"/>
                <w:szCs w:val="24"/>
              </w:rPr>
            </w:pPr>
            <w:r w:rsidRPr="00A525BA">
              <w:rPr>
                <w:rFonts w:ascii="Times New Roman" w:hAnsi="Times New Roman"/>
                <w:bCs/>
                <w:snapToGrid/>
                <w:sz w:val="24"/>
                <w:szCs w:val="24"/>
              </w:rPr>
              <w:t xml:space="preserve">Raymond A. Kent School of Social Work and Family Science </w:t>
            </w:r>
          </w:p>
          <w:p w:rsidR="0097570C" w:rsidRPr="00A525BA" w:rsidP="00A525BA" w14:paraId="1ACFAF5D" w14:textId="77777777">
            <w:pPr>
              <w:widowControl/>
              <w:rPr>
                <w:rFonts w:ascii="Times New Roman" w:hAnsi="Times New Roman"/>
                <w:bCs/>
                <w:snapToGrid/>
                <w:sz w:val="24"/>
                <w:szCs w:val="24"/>
              </w:rPr>
            </w:pPr>
            <w:r w:rsidRPr="00A525BA">
              <w:rPr>
                <w:rFonts w:ascii="Times New Roman" w:hAnsi="Times New Roman"/>
                <w:bCs/>
                <w:snapToGrid/>
                <w:sz w:val="24"/>
                <w:szCs w:val="24"/>
              </w:rPr>
              <w:t>Oppenheimer Hall</w:t>
            </w:r>
          </w:p>
          <w:p w:rsidR="0097570C" w:rsidRPr="00A525BA" w:rsidP="00A525BA" w14:paraId="2C874DF1" w14:textId="77777777">
            <w:pPr>
              <w:widowControl/>
              <w:rPr>
                <w:rFonts w:ascii="Times New Roman" w:hAnsi="Times New Roman"/>
                <w:bCs/>
                <w:snapToGrid/>
                <w:sz w:val="24"/>
                <w:szCs w:val="24"/>
              </w:rPr>
            </w:pPr>
            <w:r w:rsidRPr="00A525BA">
              <w:rPr>
                <w:rFonts w:ascii="Times New Roman" w:hAnsi="Times New Roman"/>
                <w:bCs/>
                <w:snapToGrid/>
                <w:sz w:val="24"/>
                <w:szCs w:val="24"/>
              </w:rPr>
              <w:t>2217 S. Third Street</w:t>
            </w:r>
          </w:p>
          <w:p w:rsidR="0097570C" w:rsidRPr="00A525BA" w:rsidP="00A525BA" w14:paraId="5DC5D125" w14:textId="77777777">
            <w:pPr>
              <w:widowControl/>
              <w:rPr>
                <w:rFonts w:ascii="Times New Roman" w:hAnsi="Times New Roman"/>
                <w:bCs/>
                <w:snapToGrid/>
                <w:sz w:val="24"/>
                <w:szCs w:val="24"/>
              </w:rPr>
            </w:pPr>
            <w:r w:rsidRPr="00A525BA">
              <w:rPr>
                <w:rFonts w:ascii="Times New Roman" w:hAnsi="Times New Roman"/>
                <w:bCs/>
                <w:snapToGrid/>
                <w:sz w:val="24"/>
                <w:szCs w:val="24"/>
              </w:rPr>
              <w:t>University of Louisville</w:t>
            </w:r>
          </w:p>
          <w:p w:rsidR="0097570C" w:rsidRPr="00A525BA" w:rsidP="00A525BA" w14:paraId="17055AF4" w14:textId="08F553EF">
            <w:pPr>
              <w:widowControl/>
              <w:rPr>
                <w:rFonts w:ascii="Times New Roman" w:hAnsi="Times New Roman"/>
                <w:bCs/>
                <w:snapToGrid/>
                <w:sz w:val="24"/>
                <w:szCs w:val="24"/>
              </w:rPr>
            </w:pPr>
            <w:r w:rsidRPr="00A525BA">
              <w:rPr>
                <w:rFonts w:ascii="Times New Roman" w:hAnsi="Times New Roman"/>
                <w:bCs/>
                <w:snapToGrid/>
                <w:sz w:val="24"/>
                <w:szCs w:val="24"/>
              </w:rPr>
              <w:t>Louisville, KY 40292</w:t>
            </w:r>
          </w:p>
        </w:tc>
      </w:tr>
    </w:tbl>
    <w:p w:rsidR="00076D6D" w:rsidRPr="00A525BA" w:rsidP="00DE529D" w14:paraId="2C399B82" w14:textId="77777777">
      <w:pPr>
        <w:widowControl/>
        <w:ind w:left="360"/>
        <w:rPr>
          <w:rFonts w:ascii="Times New Roman" w:hAnsi="Times New Roman"/>
          <w:bCs/>
          <w:snapToGrid/>
          <w:sz w:val="24"/>
          <w:szCs w:val="24"/>
        </w:rPr>
      </w:pPr>
    </w:p>
    <w:sectPr w:rsidSect="00A918E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C5EBF" w14:paraId="52ED9611" w14:textId="77777777">
      <w:pPr>
        <w:spacing w:line="20" w:lineRule="exact"/>
        <w:rPr>
          <w:sz w:val="24"/>
        </w:rPr>
      </w:pPr>
    </w:p>
  </w:endnote>
  <w:endnote w:type="continuationSeparator" w:id="1">
    <w:p w:rsidR="004C5EBF" w14:paraId="257CF15D" w14:textId="77777777">
      <w:r>
        <w:rPr>
          <w:sz w:val="24"/>
        </w:rPr>
        <w:t xml:space="preserve"> </w:t>
      </w:r>
    </w:p>
  </w:endnote>
  <w:endnote w:type="continuationNotice" w:id="2">
    <w:p w:rsidR="004C5EBF" w14:paraId="64C582F5"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C5EBF" w14:paraId="091BAFF9" w14:textId="77777777">
      <w:r>
        <w:rPr>
          <w:sz w:val="24"/>
        </w:rPr>
        <w:separator/>
      </w:r>
    </w:p>
  </w:footnote>
  <w:footnote w:type="continuationSeparator" w:id="1">
    <w:p w:rsidR="004C5EBF" w14:paraId="10BA40A1" w14:textId="77777777">
      <w:r>
        <w:continuationSeparator/>
      </w:r>
    </w:p>
  </w:footnote>
  <w:footnote w:id="2">
    <w:p w:rsidR="00353A70" w:rsidRPr="002B26A4" w:rsidP="00353A70" w14:paraId="24346BE1" w14:textId="77777777">
      <w:pPr>
        <w:pStyle w:val="paragraph"/>
        <w:spacing w:before="0" w:beforeAutospacing="0" w:after="0" w:afterAutospacing="0"/>
        <w:rPr>
          <w:color w:val="000000" w:themeColor="text1"/>
          <w:sz w:val="20"/>
          <w:szCs w:val="20"/>
        </w:rPr>
      </w:pPr>
      <w:r w:rsidRPr="002B26A4">
        <w:rPr>
          <w:rStyle w:val="FootnoteReference"/>
          <w:sz w:val="20"/>
          <w:szCs w:val="20"/>
        </w:rPr>
        <w:footnoteRef/>
      </w:r>
      <w:r w:rsidRPr="002B26A4">
        <w:rPr>
          <w:sz w:val="20"/>
          <w:szCs w:val="20"/>
        </w:rPr>
        <w:t xml:space="preserve"> </w:t>
      </w:r>
      <w:r w:rsidRPr="002B26A4">
        <w:rPr>
          <w:color w:val="000000" w:themeColor="text1"/>
          <w:sz w:val="20"/>
          <w:szCs w:val="20"/>
        </w:rPr>
        <w:t xml:space="preserve">The Prenatal Alcohol and Other Drug Exposures in Child Welfare Study explored the current state of CW policies and practices related to PSE in five geographically diverse states from </w:t>
      </w:r>
      <w:r>
        <w:rPr>
          <w:color w:val="000000" w:themeColor="text1"/>
          <w:sz w:val="20"/>
          <w:szCs w:val="20"/>
        </w:rPr>
        <w:t>2016</w:t>
      </w:r>
      <w:r w:rsidRPr="002B26A4">
        <w:rPr>
          <w:color w:val="000000" w:themeColor="text1"/>
          <w:sz w:val="20"/>
          <w:szCs w:val="20"/>
        </w:rPr>
        <w:t xml:space="preserve"> to </w:t>
      </w:r>
      <w:r>
        <w:rPr>
          <w:color w:val="000000" w:themeColor="text1"/>
          <w:sz w:val="20"/>
          <w:szCs w:val="20"/>
        </w:rPr>
        <w:t>2021</w:t>
      </w:r>
      <w:r w:rsidRPr="002B26A4">
        <w:rPr>
          <w:color w:val="000000" w:themeColor="text1"/>
          <w:sz w:val="20"/>
          <w:szCs w:val="20"/>
        </w:rPr>
        <w:t xml:space="preserve"> (</w:t>
      </w:r>
      <w:r w:rsidRPr="002960D4">
        <w:rPr>
          <w:color w:val="000000" w:themeColor="text1"/>
          <w:sz w:val="20"/>
          <w:szCs w:val="20"/>
        </w:rPr>
        <w:t>OMB 0970-0511, exp 5/31/2021).</w:t>
      </w:r>
      <w:r w:rsidRPr="002B26A4">
        <w:rPr>
          <w:color w:val="000000" w:themeColor="text1"/>
          <w:sz w:val="20"/>
          <w:szCs w:val="20"/>
        </w:rPr>
        <w:t xml:space="preserve"> The study identified gaps as well as opportunities to enhance training, policies, and practices related to identifying and caring for children with PSE and served as the basis for the development of the toolkit that the proposed information collection will evaluate. </w:t>
      </w:r>
    </w:p>
    <w:p w:rsidR="00353A70" w:rsidP="00353A70" w14:paraId="0A1B51DC" w14:textId="77777777">
      <w:pPr>
        <w:pStyle w:val="FootnoteText"/>
      </w:pPr>
    </w:p>
  </w:footnote>
  <w:footnote w:id="3">
    <w:p w:rsidR="009357D1" w:rsidRPr="00AD0347" w:rsidP="009357D1" w14:paraId="76673931" w14:textId="77777777">
      <w:pPr>
        <w:pStyle w:val="FootnoteText"/>
        <w:rPr>
          <w:rFonts w:ascii="Times New Roman" w:hAnsi="Times New Roman"/>
          <w:sz w:val="20"/>
        </w:rPr>
      </w:pPr>
      <w:r w:rsidRPr="00AD0347">
        <w:rPr>
          <w:rStyle w:val="FootnoteReference"/>
          <w:rFonts w:ascii="Times New Roman" w:hAnsi="Times New Roman"/>
          <w:sz w:val="20"/>
        </w:rPr>
        <w:footnoteRef/>
      </w:r>
      <w:r w:rsidRPr="00AD0347">
        <w:rPr>
          <w:rFonts w:ascii="Times New Roman" w:hAnsi="Times New Roman"/>
          <w:sz w:val="20"/>
        </w:rPr>
        <w:t xml:space="preserve"> Child welfare agencies vary in the description of program areas. For example, “ongoing” workers in one agency may be “foster care” workers in another. The project team will clarify the role types and responsibilities during engagement calls.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7D353AF"/>
    <w:multiLevelType w:val="hybridMultilevel"/>
    <w:tmpl w:val="5E7C3BD4"/>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F5E31A3"/>
    <w:multiLevelType w:val="multilevel"/>
    <w:tmpl w:val="E22E9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822A00"/>
    <w:multiLevelType w:val="hybridMultilevel"/>
    <w:tmpl w:val="AC70F37C"/>
    <w:lvl w:ilvl="0">
      <w:start w:val="1"/>
      <w:numFmt w:val="bullet"/>
      <w:lvlText w:val=""/>
      <w:lvlJc w:val="left"/>
      <w:pPr>
        <w:ind w:left="78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9EF219B"/>
    <w:multiLevelType w:val="multilevel"/>
    <w:tmpl w:val="05167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9FA07C6"/>
    <w:multiLevelType w:val="multilevel"/>
    <w:tmpl w:val="E0E08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B4744E3"/>
    <w:multiLevelType w:val="hybridMultilevel"/>
    <w:tmpl w:val="D846783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46916B73"/>
    <w:multiLevelType w:val="hybridMultilevel"/>
    <w:tmpl w:val="9F6ED186"/>
    <w:lvl w:ilvl="0">
      <w:start w:val="1"/>
      <w:numFmt w:val="lowerLetter"/>
      <w:lvlText w:val="%1."/>
      <w:lvlJc w:val="left"/>
      <w:pPr>
        <w:tabs>
          <w:tab w:val="num" w:pos="360"/>
        </w:tabs>
        <w:ind w:left="360" w:hanging="360"/>
      </w:pPr>
      <w:rPr>
        <w:rFonts w:hint="default"/>
        <w:b w:val="0"/>
        <w:i w:val="0"/>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1440"/>
        </w:tabs>
        <w:ind w:left="1440" w:hanging="180"/>
      </w:pPr>
    </w:lvl>
    <w:lvl w:ilvl="3" w:tentative="1">
      <w:start w:val="1"/>
      <w:numFmt w:val="decimal"/>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Roman"/>
      <w:lvlText w:val="%6."/>
      <w:lvlJc w:val="right"/>
      <w:pPr>
        <w:tabs>
          <w:tab w:val="num" w:pos="3600"/>
        </w:tabs>
        <w:ind w:left="3600" w:hanging="180"/>
      </w:pPr>
    </w:lvl>
    <w:lvl w:ilvl="6" w:tentative="1">
      <w:start w:val="1"/>
      <w:numFmt w:val="decimal"/>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13">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503C4CDE"/>
    <w:multiLevelType w:val="hybridMultilevel"/>
    <w:tmpl w:val="4E80F4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1">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676F5443"/>
    <w:multiLevelType w:val="multilevel"/>
    <w:tmpl w:val="A5DC6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A532E40"/>
    <w:multiLevelType w:val="multilevel"/>
    <w:tmpl w:val="279C0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73751B18"/>
    <w:multiLevelType w:val="multilevel"/>
    <w:tmpl w:val="4C722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7DC42C90"/>
    <w:multiLevelType w:val="hybridMultilevel"/>
    <w:tmpl w:val="230CCA7C"/>
    <w:lvl w:ilvl="0">
      <w:start w:va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13310062">
    <w:abstractNumId w:val="18"/>
  </w:num>
  <w:num w:numId="2" w16cid:durableId="318190695">
    <w:abstractNumId w:val="20"/>
  </w:num>
  <w:num w:numId="3" w16cid:durableId="2029796817">
    <w:abstractNumId w:val="22"/>
  </w:num>
  <w:num w:numId="4" w16cid:durableId="1624847063">
    <w:abstractNumId w:val="10"/>
  </w:num>
  <w:num w:numId="5" w16cid:durableId="1134983111">
    <w:abstractNumId w:val="14"/>
  </w:num>
  <w:num w:numId="6" w16cid:durableId="324893025">
    <w:abstractNumId w:val="17"/>
  </w:num>
  <w:num w:numId="7" w16cid:durableId="1906917455">
    <w:abstractNumId w:val="3"/>
  </w:num>
  <w:num w:numId="8" w16cid:durableId="725877283">
    <w:abstractNumId w:val="16"/>
  </w:num>
  <w:num w:numId="9" w16cid:durableId="1282149938">
    <w:abstractNumId w:val="23"/>
  </w:num>
  <w:num w:numId="10" w16cid:durableId="154226434">
    <w:abstractNumId w:val="15"/>
  </w:num>
  <w:num w:numId="11" w16cid:durableId="59792706">
    <w:abstractNumId w:val="13"/>
  </w:num>
  <w:num w:numId="12" w16cid:durableId="594477279">
    <w:abstractNumId w:val="0"/>
  </w:num>
  <w:num w:numId="13" w16cid:durableId="188954128">
    <w:abstractNumId w:val="27"/>
  </w:num>
  <w:num w:numId="14" w16cid:durableId="546530512">
    <w:abstractNumId w:val="1"/>
  </w:num>
  <w:num w:numId="15" w16cid:durableId="1974675723">
    <w:abstractNumId w:val="7"/>
  </w:num>
  <w:num w:numId="16" w16cid:durableId="1630473967">
    <w:abstractNumId w:val="21"/>
  </w:num>
  <w:num w:numId="17" w16cid:durableId="2125028923">
    <w:abstractNumId w:val="28"/>
  </w:num>
  <w:num w:numId="18" w16cid:durableId="514614673">
    <w:abstractNumId w:val="8"/>
  </w:num>
  <w:num w:numId="19" w16cid:durableId="1959218593">
    <w:abstractNumId w:val="30"/>
  </w:num>
  <w:num w:numId="20" w16cid:durableId="1643852800">
    <w:abstractNumId w:val="24"/>
  </w:num>
  <w:num w:numId="21" w16cid:durableId="713238049">
    <w:abstractNumId w:val="25"/>
  </w:num>
  <w:num w:numId="22" w16cid:durableId="1081608646">
    <w:abstractNumId w:val="4"/>
  </w:num>
  <w:num w:numId="23" w16cid:durableId="1214271695">
    <w:abstractNumId w:val="26"/>
  </w:num>
  <w:num w:numId="24" w16cid:durableId="560211062">
    <w:abstractNumId w:val="9"/>
  </w:num>
  <w:num w:numId="25" w16cid:durableId="309991396">
    <w:abstractNumId w:val="29"/>
  </w:num>
  <w:num w:numId="26" w16cid:durableId="822820610">
    <w:abstractNumId w:val="6"/>
  </w:num>
  <w:num w:numId="27" w16cid:durableId="1860124071">
    <w:abstractNumId w:val="2"/>
  </w:num>
  <w:num w:numId="28" w16cid:durableId="683357515">
    <w:abstractNumId w:val="31"/>
  </w:num>
  <w:num w:numId="29" w16cid:durableId="561139884">
    <w:abstractNumId w:val="11"/>
  </w:num>
  <w:num w:numId="30" w16cid:durableId="1521890807">
    <w:abstractNumId w:val="19"/>
  </w:num>
  <w:num w:numId="31" w16cid:durableId="305401414">
    <w:abstractNumId w:val="12"/>
  </w:num>
  <w:num w:numId="32" w16cid:durableId="14413343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3D0F"/>
    <w:rsid w:val="00005D91"/>
    <w:rsid w:val="0001698D"/>
    <w:rsid w:val="00022586"/>
    <w:rsid w:val="00030737"/>
    <w:rsid w:val="00034F1A"/>
    <w:rsid w:val="00050F07"/>
    <w:rsid w:val="000520F9"/>
    <w:rsid w:val="00056C4B"/>
    <w:rsid w:val="00075889"/>
    <w:rsid w:val="00076D6D"/>
    <w:rsid w:val="0009007E"/>
    <w:rsid w:val="000A6E1F"/>
    <w:rsid w:val="000C5DC1"/>
    <w:rsid w:val="000C5FBE"/>
    <w:rsid w:val="000F069F"/>
    <w:rsid w:val="000F67CB"/>
    <w:rsid w:val="00102200"/>
    <w:rsid w:val="001337B5"/>
    <w:rsid w:val="001379D7"/>
    <w:rsid w:val="0014145B"/>
    <w:rsid w:val="00143FCD"/>
    <w:rsid w:val="0014522B"/>
    <w:rsid w:val="00153034"/>
    <w:rsid w:val="001531B9"/>
    <w:rsid w:val="00160621"/>
    <w:rsid w:val="00170B91"/>
    <w:rsid w:val="00182A42"/>
    <w:rsid w:val="00186385"/>
    <w:rsid w:val="001A50E6"/>
    <w:rsid w:val="001C2010"/>
    <w:rsid w:val="001C483C"/>
    <w:rsid w:val="001C7FFE"/>
    <w:rsid w:val="001D1651"/>
    <w:rsid w:val="001E44DD"/>
    <w:rsid w:val="001F135C"/>
    <w:rsid w:val="001F5508"/>
    <w:rsid w:val="001F7C89"/>
    <w:rsid w:val="0021574F"/>
    <w:rsid w:val="00220314"/>
    <w:rsid w:val="00222C7F"/>
    <w:rsid w:val="00226C42"/>
    <w:rsid w:val="00234235"/>
    <w:rsid w:val="002464EB"/>
    <w:rsid w:val="002509BD"/>
    <w:rsid w:val="00256377"/>
    <w:rsid w:val="002572D0"/>
    <w:rsid w:val="0025786F"/>
    <w:rsid w:val="002751DE"/>
    <w:rsid w:val="00275554"/>
    <w:rsid w:val="00276A73"/>
    <w:rsid w:val="002900AB"/>
    <w:rsid w:val="00290A1C"/>
    <w:rsid w:val="002955BC"/>
    <w:rsid w:val="0029589B"/>
    <w:rsid w:val="002960D4"/>
    <w:rsid w:val="00296738"/>
    <w:rsid w:val="00297EDF"/>
    <w:rsid w:val="002A2943"/>
    <w:rsid w:val="002B26A4"/>
    <w:rsid w:val="002C2E19"/>
    <w:rsid w:val="002C3C4F"/>
    <w:rsid w:val="002E10D1"/>
    <w:rsid w:val="002E5376"/>
    <w:rsid w:val="002F3F66"/>
    <w:rsid w:val="002F6622"/>
    <w:rsid w:val="002F6A42"/>
    <w:rsid w:val="003000F2"/>
    <w:rsid w:val="003041F2"/>
    <w:rsid w:val="00316014"/>
    <w:rsid w:val="003405A4"/>
    <w:rsid w:val="00343AC3"/>
    <w:rsid w:val="00353A70"/>
    <w:rsid w:val="00354319"/>
    <w:rsid w:val="00367F3D"/>
    <w:rsid w:val="0038209B"/>
    <w:rsid w:val="00383667"/>
    <w:rsid w:val="003849DB"/>
    <w:rsid w:val="00397A29"/>
    <w:rsid w:val="003A375C"/>
    <w:rsid w:val="003B7A50"/>
    <w:rsid w:val="003C1D6E"/>
    <w:rsid w:val="003C44E4"/>
    <w:rsid w:val="003D520A"/>
    <w:rsid w:val="003E6EA3"/>
    <w:rsid w:val="003F42F9"/>
    <w:rsid w:val="00402D24"/>
    <w:rsid w:val="00405C10"/>
    <w:rsid w:val="00405EC8"/>
    <w:rsid w:val="004110F5"/>
    <w:rsid w:val="00413675"/>
    <w:rsid w:val="00414247"/>
    <w:rsid w:val="00422E1D"/>
    <w:rsid w:val="00424794"/>
    <w:rsid w:val="0044483F"/>
    <w:rsid w:val="004503CB"/>
    <w:rsid w:val="004521B7"/>
    <w:rsid w:val="004602FE"/>
    <w:rsid w:val="00463C03"/>
    <w:rsid w:val="0046628F"/>
    <w:rsid w:val="00467954"/>
    <w:rsid w:val="00476C1F"/>
    <w:rsid w:val="00480072"/>
    <w:rsid w:val="00490457"/>
    <w:rsid w:val="0049119A"/>
    <w:rsid w:val="00491AE6"/>
    <w:rsid w:val="004943E0"/>
    <w:rsid w:val="004A23DC"/>
    <w:rsid w:val="004A7621"/>
    <w:rsid w:val="004C5EBF"/>
    <w:rsid w:val="004D3810"/>
    <w:rsid w:val="004D61A2"/>
    <w:rsid w:val="004E1A79"/>
    <w:rsid w:val="004F45CE"/>
    <w:rsid w:val="004F56AA"/>
    <w:rsid w:val="004F7B95"/>
    <w:rsid w:val="005015C7"/>
    <w:rsid w:val="0051278C"/>
    <w:rsid w:val="00522C18"/>
    <w:rsid w:val="005340F5"/>
    <w:rsid w:val="005408E7"/>
    <w:rsid w:val="005413BA"/>
    <w:rsid w:val="00541E51"/>
    <w:rsid w:val="00541F1E"/>
    <w:rsid w:val="00543367"/>
    <w:rsid w:val="00547EEB"/>
    <w:rsid w:val="005520C3"/>
    <w:rsid w:val="0055407D"/>
    <w:rsid w:val="00554AAF"/>
    <w:rsid w:val="00556056"/>
    <w:rsid w:val="0055632E"/>
    <w:rsid w:val="005809ED"/>
    <w:rsid w:val="005824BD"/>
    <w:rsid w:val="00597E7F"/>
    <w:rsid w:val="005A3ABF"/>
    <w:rsid w:val="005A46D4"/>
    <w:rsid w:val="005B00FC"/>
    <w:rsid w:val="005B22D4"/>
    <w:rsid w:val="005C37BC"/>
    <w:rsid w:val="005C60F1"/>
    <w:rsid w:val="005D1B7E"/>
    <w:rsid w:val="005D274E"/>
    <w:rsid w:val="005D61DB"/>
    <w:rsid w:val="005E0B35"/>
    <w:rsid w:val="005E2FC9"/>
    <w:rsid w:val="005E4F73"/>
    <w:rsid w:val="005F0ED4"/>
    <w:rsid w:val="00603012"/>
    <w:rsid w:val="00603498"/>
    <w:rsid w:val="00604A89"/>
    <w:rsid w:val="006216B7"/>
    <w:rsid w:val="006318C5"/>
    <w:rsid w:val="00634E1D"/>
    <w:rsid w:val="00640565"/>
    <w:rsid w:val="00643554"/>
    <w:rsid w:val="00651F0F"/>
    <w:rsid w:val="00670683"/>
    <w:rsid w:val="00677889"/>
    <w:rsid w:val="00680014"/>
    <w:rsid w:val="00680217"/>
    <w:rsid w:val="0068023F"/>
    <w:rsid w:val="00681E38"/>
    <w:rsid w:val="00682468"/>
    <w:rsid w:val="00686484"/>
    <w:rsid w:val="006958A7"/>
    <w:rsid w:val="006A653E"/>
    <w:rsid w:val="006B1006"/>
    <w:rsid w:val="006B2726"/>
    <w:rsid w:val="006C79B9"/>
    <w:rsid w:val="006D1643"/>
    <w:rsid w:val="006E6629"/>
    <w:rsid w:val="006F589F"/>
    <w:rsid w:val="006F68BE"/>
    <w:rsid w:val="0070317C"/>
    <w:rsid w:val="00707AFB"/>
    <w:rsid w:val="00720A2E"/>
    <w:rsid w:val="00727F83"/>
    <w:rsid w:val="007412E3"/>
    <w:rsid w:val="00745094"/>
    <w:rsid w:val="00756F9F"/>
    <w:rsid w:val="00757CD1"/>
    <w:rsid w:val="00762C40"/>
    <w:rsid w:val="00786793"/>
    <w:rsid w:val="00790D2C"/>
    <w:rsid w:val="007935D5"/>
    <w:rsid w:val="00797335"/>
    <w:rsid w:val="007A0FBE"/>
    <w:rsid w:val="007B0313"/>
    <w:rsid w:val="007B4341"/>
    <w:rsid w:val="007C1DCE"/>
    <w:rsid w:val="007D7A77"/>
    <w:rsid w:val="007E07D8"/>
    <w:rsid w:val="007E48CC"/>
    <w:rsid w:val="007F74EA"/>
    <w:rsid w:val="0080325F"/>
    <w:rsid w:val="00807D6D"/>
    <w:rsid w:val="0081122B"/>
    <w:rsid w:val="00814C49"/>
    <w:rsid w:val="00815B17"/>
    <w:rsid w:val="00817E2B"/>
    <w:rsid w:val="00827680"/>
    <w:rsid w:val="00833CA3"/>
    <w:rsid w:val="00835461"/>
    <w:rsid w:val="00841BDF"/>
    <w:rsid w:val="0084609A"/>
    <w:rsid w:val="00846E18"/>
    <w:rsid w:val="00880144"/>
    <w:rsid w:val="008900A8"/>
    <w:rsid w:val="008955AC"/>
    <w:rsid w:val="008A5359"/>
    <w:rsid w:val="008D08FB"/>
    <w:rsid w:val="008E1C10"/>
    <w:rsid w:val="008F7221"/>
    <w:rsid w:val="009113FF"/>
    <w:rsid w:val="00911E98"/>
    <w:rsid w:val="00923E41"/>
    <w:rsid w:val="00931596"/>
    <w:rsid w:val="009357D1"/>
    <w:rsid w:val="00936A53"/>
    <w:rsid w:val="00941AB6"/>
    <w:rsid w:val="009451B1"/>
    <w:rsid w:val="00945B72"/>
    <w:rsid w:val="00957799"/>
    <w:rsid w:val="00962045"/>
    <w:rsid w:val="00966622"/>
    <w:rsid w:val="0097570C"/>
    <w:rsid w:val="0098191D"/>
    <w:rsid w:val="00983F58"/>
    <w:rsid w:val="009A6444"/>
    <w:rsid w:val="009B4007"/>
    <w:rsid w:val="009C2DE1"/>
    <w:rsid w:val="009C5213"/>
    <w:rsid w:val="009D789F"/>
    <w:rsid w:val="009E2C8F"/>
    <w:rsid w:val="009E6157"/>
    <w:rsid w:val="009F5543"/>
    <w:rsid w:val="009F58E1"/>
    <w:rsid w:val="00A04EF3"/>
    <w:rsid w:val="00A05B31"/>
    <w:rsid w:val="00A160B5"/>
    <w:rsid w:val="00A30748"/>
    <w:rsid w:val="00A525BA"/>
    <w:rsid w:val="00A564F8"/>
    <w:rsid w:val="00A61AC0"/>
    <w:rsid w:val="00A6200C"/>
    <w:rsid w:val="00A731CA"/>
    <w:rsid w:val="00A77AC0"/>
    <w:rsid w:val="00A82DF6"/>
    <w:rsid w:val="00A84422"/>
    <w:rsid w:val="00A918E4"/>
    <w:rsid w:val="00AA0553"/>
    <w:rsid w:val="00AA4405"/>
    <w:rsid w:val="00AA7110"/>
    <w:rsid w:val="00AA7B9B"/>
    <w:rsid w:val="00AB65AB"/>
    <w:rsid w:val="00AD0347"/>
    <w:rsid w:val="00AD2EB3"/>
    <w:rsid w:val="00AD5831"/>
    <w:rsid w:val="00AD5ED7"/>
    <w:rsid w:val="00AF399C"/>
    <w:rsid w:val="00AF4347"/>
    <w:rsid w:val="00AF5FE7"/>
    <w:rsid w:val="00B14349"/>
    <w:rsid w:val="00B177AC"/>
    <w:rsid w:val="00B21BAA"/>
    <w:rsid w:val="00B27347"/>
    <w:rsid w:val="00B46513"/>
    <w:rsid w:val="00B67B04"/>
    <w:rsid w:val="00B77BD3"/>
    <w:rsid w:val="00B84243"/>
    <w:rsid w:val="00B857AE"/>
    <w:rsid w:val="00B94492"/>
    <w:rsid w:val="00B95817"/>
    <w:rsid w:val="00BA3572"/>
    <w:rsid w:val="00BC2B06"/>
    <w:rsid w:val="00BD378C"/>
    <w:rsid w:val="00BE02B4"/>
    <w:rsid w:val="00BE385F"/>
    <w:rsid w:val="00BE5BC2"/>
    <w:rsid w:val="00C02282"/>
    <w:rsid w:val="00C13BA6"/>
    <w:rsid w:val="00C22D3C"/>
    <w:rsid w:val="00C26221"/>
    <w:rsid w:val="00C4592E"/>
    <w:rsid w:val="00C611D2"/>
    <w:rsid w:val="00C712F8"/>
    <w:rsid w:val="00C81D94"/>
    <w:rsid w:val="00C86F6E"/>
    <w:rsid w:val="00CB1A12"/>
    <w:rsid w:val="00CE53AB"/>
    <w:rsid w:val="00CE6182"/>
    <w:rsid w:val="00CF3668"/>
    <w:rsid w:val="00D02EF1"/>
    <w:rsid w:val="00D06F8B"/>
    <w:rsid w:val="00D176EB"/>
    <w:rsid w:val="00D203FE"/>
    <w:rsid w:val="00D33707"/>
    <w:rsid w:val="00D344B2"/>
    <w:rsid w:val="00D35628"/>
    <w:rsid w:val="00D40057"/>
    <w:rsid w:val="00D45413"/>
    <w:rsid w:val="00D50222"/>
    <w:rsid w:val="00D5402C"/>
    <w:rsid w:val="00D60543"/>
    <w:rsid w:val="00D67D80"/>
    <w:rsid w:val="00D72779"/>
    <w:rsid w:val="00D7443D"/>
    <w:rsid w:val="00D806D3"/>
    <w:rsid w:val="00D930CB"/>
    <w:rsid w:val="00D963C8"/>
    <w:rsid w:val="00D9648C"/>
    <w:rsid w:val="00D9720E"/>
    <w:rsid w:val="00DA122A"/>
    <w:rsid w:val="00DB2443"/>
    <w:rsid w:val="00DB4E75"/>
    <w:rsid w:val="00DC1C23"/>
    <w:rsid w:val="00DC57C7"/>
    <w:rsid w:val="00DE529D"/>
    <w:rsid w:val="00DF6D12"/>
    <w:rsid w:val="00E01B4E"/>
    <w:rsid w:val="00E066EA"/>
    <w:rsid w:val="00E15A97"/>
    <w:rsid w:val="00E3039D"/>
    <w:rsid w:val="00E368FB"/>
    <w:rsid w:val="00E4383A"/>
    <w:rsid w:val="00EB12DC"/>
    <w:rsid w:val="00EB798F"/>
    <w:rsid w:val="00EC26A5"/>
    <w:rsid w:val="00EC698B"/>
    <w:rsid w:val="00ED782E"/>
    <w:rsid w:val="00ED79A8"/>
    <w:rsid w:val="00EE3102"/>
    <w:rsid w:val="00EF350C"/>
    <w:rsid w:val="00F02021"/>
    <w:rsid w:val="00F10B17"/>
    <w:rsid w:val="00F11483"/>
    <w:rsid w:val="00F210CA"/>
    <w:rsid w:val="00F41276"/>
    <w:rsid w:val="00F42B60"/>
    <w:rsid w:val="00F72246"/>
    <w:rsid w:val="00F74692"/>
    <w:rsid w:val="00F75EF6"/>
    <w:rsid w:val="00F83116"/>
    <w:rsid w:val="00FA5092"/>
    <w:rsid w:val="00FB4221"/>
    <w:rsid w:val="00FB7547"/>
    <w:rsid w:val="00FC1BF9"/>
    <w:rsid w:val="00FC3847"/>
    <w:rsid w:val="00FE0503"/>
    <w:rsid w:val="00FE0FDC"/>
    <w:rsid w:val="00FF7C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uiPriority w:val="99"/>
    <w:rPr>
      <w:sz w:val="24"/>
    </w:rPr>
  </w:style>
  <w:style w:type="character" w:styleId="FootnoteReference">
    <w:name w:val="footnote reference"/>
    <w:uiPriority w:val="99"/>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link w:val="ListParagraphChar"/>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customStyle="1" w:styleId="cf01">
    <w:name w:val="cf01"/>
    <w:basedOn w:val="DefaultParagraphFont"/>
    <w:rsid w:val="00CF3668"/>
    <w:rPr>
      <w:rFonts w:ascii="Segoe UI" w:hAnsi="Segoe UI" w:cs="Segoe UI" w:hint="default"/>
      <w:sz w:val="18"/>
      <w:szCs w:val="18"/>
    </w:rPr>
  </w:style>
  <w:style w:type="paragraph" w:customStyle="1" w:styleId="pf1">
    <w:name w:val="pf1"/>
    <w:basedOn w:val="Normal"/>
    <w:rsid w:val="00CF3668"/>
    <w:pPr>
      <w:widowControl/>
      <w:spacing w:before="100" w:beforeAutospacing="1" w:after="100" w:afterAutospacing="1"/>
    </w:pPr>
    <w:rPr>
      <w:rFonts w:ascii="Times New Roman" w:hAnsi="Times New Roman"/>
      <w:snapToGrid/>
      <w:sz w:val="24"/>
      <w:szCs w:val="24"/>
    </w:rPr>
  </w:style>
  <w:style w:type="paragraph" w:customStyle="1" w:styleId="pf0">
    <w:name w:val="pf0"/>
    <w:basedOn w:val="Normal"/>
    <w:rsid w:val="00CF3668"/>
    <w:pPr>
      <w:widowControl/>
      <w:spacing w:before="100" w:beforeAutospacing="1" w:after="100" w:afterAutospacing="1"/>
    </w:pPr>
    <w:rPr>
      <w:rFonts w:ascii="Times New Roman" w:hAnsi="Times New Roman"/>
      <w:snapToGrid/>
      <w:sz w:val="24"/>
      <w:szCs w:val="24"/>
    </w:rPr>
  </w:style>
  <w:style w:type="paragraph" w:customStyle="1" w:styleId="paragraph">
    <w:name w:val="paragraph"/>
    <w:basedOn w:val="Normal"/>
    <w:rsid w:val="001379D7"/>
    <w:pPr>
      <w:widowControl/>
      <w:spacing w:before="100" w:beforeAutospacing="1" w:after="100" w:afterAutospacing="1"/>
    </w:pPr>
    <w:rPr>
      <w:rFonts w:ascii="Times New Roman" w:hAnsi="Times New Roman"/>
      <w:snapToGrid/>
      <w:sz w:val="24"/>
      <w:szCs w:val="24"/>
    </w:rPr>
  </w:style>
  <w:style w:type="table" w:customStyle="1" w:styleId="TableGrid1">
    <w:name w:val="Table Grid1"/>
    <w:basedOn w:val="TableNormal"/>
    <w:next w:val="TableGrid"/>
    <w:rsid w:val="002A29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353A70"/>
    <w:rPr>
      <w:rFonts w:ascii="Courier New" w:hAnsi="Courier New"/>
      <w:snapToGrid w:val="0"/>
    </w:rPr>
  </w:style>
  <w:style w:type="character" w:customStyle="1" w:styleId="normaltextrun">
    <w:name w:val="normaltextrun"/>
    <w:basedOn w:val="DefaultParagraphFont"/>
    <w:rsid w:val="00463C03"/>
  </w:style>
  <w:style w:type="character" w:customStyle="1" w:styleId="eop">
    <w:name w:val="eop"/>
    <w:basedOn w:val="DefaultParagraphFont"/>
    <w:rsid w:val="00463C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E37D4A80297EA4CA343EE9640D699C9" ma:contentTypeVersion="13" ma:contentTypeDescription="Create a new document." ma:contentTypeScope="" ma:versionID="4138ed5bdbb9987bcaada6ca9e0f55e7">
  <xsd:schema xmlns:xsd="http://www.w3.org/2001/XMLSchema" xmlns:xs="http://www.w3.org/2001/XMLSchema" xmlns:p="http://schemas.microsoft.com/office/2006/metadata/properties" xmlns:ns2="4cbb0422-5554-4edb-a4c9-8a17c90d6fd2" xmlns:ns3="c3998d20-101b-4ade-ab7d-5738902235c7" targetNamespace="http://schemas.microsoft.com/office/2006/metadata/properties" ma:root="true" ma:fieldsID="cac2de328629203e4808ea9dcad71140" ns2:_="" ns3:_="">
    <xsd:import namespace="4cbb0422-5554-4edb-a4c9-8a17c90d6fd2"/>
    <xsd:import namespace="c3998d20-101b-4ade-ab7d-5738902235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b0422-5554-4edb-a4c9-8a17c90d6f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998d20-101b-4ade-ab7d-5738902235c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2.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3.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7DED807-AA69-4EE8-9CF0-FB968F1F20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b0422-5554-4edb-a4c9-8a17c90d6fd2"/>
    <ds:schemaRef ds:uri="c3998d20-101b-4ade-ab7d-5738902235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2299</Words>
  <Characters>12927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Melz</dc:creator>
  <cp:lastModifiedBy>Jones, Molly (ACF)</cp:lastModifiedBy>
  <cp:revision>3</cp:revision>
  <dcterms:created xsi:type="dcterms:W3CDTF">2023-10-10T21:07:00Z</dcterms:created>
  <dcterms:modified xsi:type="dcterms:W3CDTF">2023-10-11T10:09:00Z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0x010100CE37D4A80297EA4CA343EE9640D699C9</vt:lpwstr>
  </property>
</Properties>
</file>