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839" w:rsidRPr="00F3473C" w:rsidP="00C70EAB" w14:paraId="3C387825" w14:textId="09F94EA4">
      <w:pPr>
        <w:pStyle w:val="ReportCover-Title"/>
        <w:spacing w:line="276" w:lineRule="auto"/>
        <w:jc w:val="center"/>
        <w:rPr>
          <w:rFonts w:ascii="Arial" w:hAnsi="Arial" w:cs="Arial"/>
          <w:color w:val="auto"/>
        </w:rPr>
      </w:pPr>
      <w:r w:rsidRPr="00F3473C">
        <w:rPr>
          <w:color w:val="auto"/>
        </w:rPr>
        <w:t xml:space="preserve">SRAENE </w:t>
      </w:r>
      <w:r w:rsidRPr="00F3473C">
        <w:rPr>
          <w:color w:val="auto"/>
        </w:rPr>
        <w:t>Substudy</w:t>
      </w:r>
      <w:r w:rsidRPr="00F3473C">
        <w:rPr>
          <w:color w:val="auto"/>
        </w:rPr>
        <w:t xml:space="preserve">: </w:t>
      </w:r>
      <w:r w:rsidRPr="00F3473C" w:rsidR="008C1DF7">
        <w:rPr>
          <w:color w:val="auto"/>
        </w:rPr>
        <w:t xml:space="preserve">Delivering SRAE Programming to Youth in Juvenile Justice Detention Centers and Foster Care Group Homes </w:t>
      </w:r>
    </w:p>
    <w:p w:rsidR="00A77839" w:rsidP="00D71AC1" w14:paraId="5D65EE98" w14:textId="77777777">
      <w:pPr>
        <w:pStyle w:val="ReportCover-Title"/>
        <w:spacing w:line="276" w:lineRule="auto"/>
        <w:rPr>
          <w:rFonts w:ascii="Arial" w:hAnsi="Arial" w:cs="Arial"/>
          <w:color w:val="auto"/>
        </w:rPr>
      </w:pPr>
    </w:p>
    <w:p w:rsidR="00A77839" w:rsidP="00D71AC1" w14:paraId="2A7F1E2D" w14:textId="77777777">
      <w:pPr>
        <w:pStyle w:val="ReportCover-Title"/>
        <w:spacing w:line="276" w:lineRule="auto"/>
        <w:jc w:val="center"/>
        <w:rPr>
          <w:rFonts w:ascii="Arial" w:hAnsi="Arial" w:cs="Arial"/>
          <w:color w:val="auto"/>
          <w:sz w:val="32"/>
          <w:szCs w:val="32"/>
        </w:rPr>
      </w:pPr>
      <w:r>
        <w:rPr>
          <w:rFonts w:ascii="Arial" w:hAnsi="Arial" w:cs="Arial"/>
          <w:color w:val="auto"/>
          <w:sz w:val="32"/>
          <w:szCs w:val="32"/>
        </w:rPr>
        <w:t>Formative Data Collections for ACF Research</w:t>
      </w:r>
    </w:p>
    <w:p w:rsidR="00A77839" w:rsidP="00D71AC1" w14:paraId="69B57FD5" w14:textId="66DC681F">
      <w:pPr>
        <w:pStyle w:val="ReportCover-Title"/>
        <w:spacing w:line="276" w:lineRule="auto"/>
        <w:jc w:val="center"/>
        <w:rPr>
          <w:rFonts w:ascii="Arial" w:hAnsi="Arial" w:cs="Arial"/>
          <w:color w:val="auto"/>
          <w:sz w:val="32"/>
          <w:szCs w:val="32"/>
        </w:rPr>
      </w:pPr>
      <w:r>
        <w:rPr>
          <w:rFonts w:ascii="Arial" w:hAnsi="Arial" w:cs="Arial"/>
          <w:color w:val="auto"/>
          <w:sz w:val="32"/>
          <w:szCs w:val="32"/>
        </w:rPr>
        <w:t>0970 - 0356</w:t>
      </w:r>
    </w:p>
    <w:p w:rsidR="00A77839" w:rsidP="00D71AC1" w14:paraId="72F60643" w14:textId="77777777">
      <w:pPr>
        <w:rPr>
          <w:rFonts w:ascii="Arial" w:hAnsi="Arial" w:cs="Arial"/>
        </w:rPr>
      </w:pPr>
    </w:p>
    <w:p w:rsidR="00A77839" w:rsidP="00D71AC1" w14:paraId="635B2A27" w14:textId="77777777">
      <w:pPr>
        <w:pStyle w:val="ReportCover-Date"/>
        <w:spacing w:line="276" w:lineRule="auto"/>
        <w:jc w:val="center"/>
        <w:rPr>
          <w:rFonts w:ascii="Arial" w:hAnsi="Arial" w:cs="Arial"/>
          <w:color w:val="auto"/>
        </w:rPr>
      </w:pPr>
    </w:p>
    <w:p w:rsidR="00A77839" w:rsidP="00D71AC1" w14:paraId="3B6D1713" w14:textId="77777777">
      <w:pPr>
        <w:pStyle w:val="ReportCover-Date"/>
        <w:spacing w:after="360" w:line="276" w:lineRule="auto"/>
        <w:jc w:val="center"/>
        <w:rPr>
          <w:rFonts w:ascii="Arial" w:hAnsi="Arial" w:cs="Arial"/>
          <w:color w:val="auto"/>
          <w:sz w:val="48"/>
          <w:szCs w:val="48"/>
        </w:rPr>
      </w:pPr>
      <w:r>
        <w:rPr>
          <w:rFonts w:ascii="Arial" w:hAnsi="Arial" w:cs="Arial"/>
          <w:color w:val="auto"/>
          <w:sz w:val="48"/>
          <w:szCs w:val="48"/>
        </w:rPr>
        <w:t>Supporting Statement</w:t>
      </w:r>
    </w:p>
    <w:p w:rsidR="00A77839" w:rsidP="00D71AC1" w14:paraId="631B05DF" w14:textId="77777777">
      <w:pPr>
        <w:pStyle w:val="ReportCover-Date"/>
        <w:spacing w:after="360" w:line="276" w:lineRule="auto"/>
        <w:jc w:val="center"/>
        <w:rPr>
          <w:rFonts w:ascii="Arial" w:hAnsi="Arial" w:cs="Arial"/>
          <w:color w:val="auto"/>
          <w:sz w:val="48"/>
          <w:szCs w:val="48"/>
        </w:rPr>
      </w:pPr>
      <w:r>
        <w:rPr>
          <w:rFonts w:ascii="Arial" w:hAnsi="Arial" w:cs="Arial"/>
          <w:color w:val="auto"/>
          <w:sz w:val="48"/>
          <w:szCs w:val="48"/>
        </w:rPr>
        <w:t>Part B</w:t>
      </w:r>
    </w:p>
    <w:p w:rsidR="005A403E" w:rsidP="00D71AC1" w14:paraId="3EB69037" w14:textId="742DA75B">
      <w:pPr>
        <w:pStyle w:val="ReportCover-Date"/>
        <w:spacing w:line="276" w:lineRule="auto"/>
        <w:jc w:val="center"/>
        <w:rPr>
          <w:rFonts w:ascii="Arial" w:hAnsi="Arial" w:cs="Arial"/>
          <w:color w:val="auto"/>
        </w:rPr>
      </w:pPr>
      <w:r>
        <w:rPr>
          <w:rFonts w:ascii="Arial" w:hAnsi="Arial" w:cs="Arial"/>
          <w:color w:val="auto"/>
        </w:rPr>
        <w:t xml:space="preserve">April </w:t>
      </w:r>
      <w:r>
        <w:rPr>
          <w:rFonts w:ascii="Arial" w:hAnsi="Arial" w:cs="Arial"/>
          <w:color w:val="auto"/>
        </w:rPr>
        <w:t>2023</w:t>
      </w:r>
    </w:p>
    <w:p w:rsidR="00A77839" w:rsidP="00D71AC1" w14:paraId="5B182E88" w14:textId="77777777">
      <w:pPr>
        <w:spacing w:after="0"/>
        <w:jc w:val="center"/>
        <w:rPr>
          <w:rFonts w:ascii="Arial" w:hAnsi="Arial" w:cs="Arial"/>
        </w:rPr>
      </w:pPr>
    </w:p>
    <w:p w:rsidR="00A77839" w:rsidP="00D71AC1" w14:paraId="49BE0B05" w14:textId="77777777">
      <w:pPr>
        <w:spacing w:after="0"/>
        <w:jc w:val="center"/>
        <w:rPr>
          <w:rFonts w:ascii="Arial" w:hAnsi="Arial" w:cs="Arial"/>
        </w:rPr>
      </w:pPr>
      <w:r>
        <w:rPr>
          <w:rFonts w:ascii="Arial" w:hAnsi="Arial" w:cs="Arial"/>
        </w:rPr>
        <w:t>Submitted By:</w:t>
      </w:r>
    </w:p>
    <w:p w:rsidR="00A77839" w:rsidP="00D71AC1" w14:paraId="1AB9A313" w14:textId="77777777">
      <w:pPr>
        <w:spacing w:after="0"/>
        <w:jc w:val="center"/>
        <w:rPr>
          <w:rFonts w:ascii="Arial" w:hAnsi="Arial" w:cs="Arial"/>
        </w:rPr>
      </w:pPr>
      <w:r>
        <w:rPr>
          <w:rFonts w:ascii="Arial" w:hAnsi="Arial" w:cs="Arial"/>
        </w:rPr>
        <w:t>Office of Planning, Research, and Evaluation</w:t>
      </w:r>
    </w:p>
    <w:p w:rsidR="00A77839" w:rsidP="00D71AC1" w14:paraId="5EB1C4BA" w14:textId="77777777">
      <w:pPr>
        <w:spacing w:after="0"/>
        <w:jc w:val="center"/>
        <w:rPr>
          <w:rFonts w:ascii="Arial" w:hAnsi="Arial" w:cs="Arial"/>
        </w:rPr>
      </w:pPr>
      <w:r>
        <w:rPr>
          <w:rFonts w:ascii="Arial" w:hAnsi="Arial" w:cs="Arial"/>
        </w:rPr>
        <w:t xml:space="preserve">Administration for Children and Families </w:t>
      </w:r>
    </w:p>
    <w:p w:rsidR="00A77839" w:rsidP="00D71AC1" w14:paraId="64D4EF95" w14:textId="77777777">
      <w:pPr>
        <w:spacing w:after="0"/>
        <w:jc w:val="center"/>
        <w:rPr>
          <w:rFonts w:ascii="Arial" w:hAnsi="Arial" w:cs="Arial"/>
        </w:rPr>
      </w:pPr>
      <w:r>
        <w:rPr>
          <w:rFonts w:ascii="Arial" w:hAnsi="Arial" w:cs="Arial"/>
        </w:rPr>
        <w:t>U.S. Department of Health and Human Services</w:t>
      </w:r>
    </w:p>
    <w:p w:rsidR="00A77839" w:rsidP="00D71AC1" w14:paraId="57F80311" w14:textId="77777777">
      <w:pPr>
        <w:spacing w:after="0"/>
        <w:jc w:val="center"/>
        <w:rPr>
          <w:rFonts w:ascii="Arial" w:hAnsi="Arial" w:cs="Arial"/>
        </w:rPr>
      </w:pPr>
    </w:p>
    <w:p w:rsidR="00A77839" w:rsidP="00D71AC1" w14:paraId="609A7825" w14:textId="77777777">
      <w:pPr>
        <w:spacing w:after="0"/>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A77839" w:rsidP="00D71AC1" w14:paraId="20FFFC89" w14:textId="77777777">
      <w:pPr>
        <w:spacing w:after="0"/>
        <w:jc w:val="center"/>
        <w:rPr>
          <w:rFonts w:ascii="Arial" w:hAnsi="Arial" w:cs="Arial"/>
        </w:rPr>
      </w:pPr>
      <w:r>
        <w:rPr>
          <w:rFonts w:ascii="Arial" w:hAnsi="Arial" w:cs="Arial"/>
        </w:rPr>
        <w:t>330 C Street, SW</w:t>
      </w:r>
    </w:p>
    <w:p w:rsidR="00A77839" w:rsidP="00D71AC1" w14:paraId="1787C620" w14:textId="77777777">
      <w:pPr>
        <w:spacing w:after="0"/>
        <w:jc w:val="center"/>
        <w:rPr>
          <w:rFonts w:ascii="Arial" w:hAnsi="Arial" w:cs="Arial"/>
        </w:rPr>
      </w:pPr>
      <w:r>
        <w:rPr>
          <w:rFonts w:ascii="Arial" w:hAnsi="Arial" w:cs="Arial"/>
        </w:rPr>
        <w:t>Washington, D.C. 20201</w:t>
      </w:r>
    </w:p>
    <w:p w:rsidR="00A77839" w:rsidP="00D71AC1" w14:paraId="4EC86F7F" w14:textId="77777777">
      <w:pPr>
        <w:spacing w:after="0"/>
        <w:jc w:val="center"/>
        <w:rPr>
          <w:rFonts w:ascii="Arial" w:hAnsi="Arial" w:cs="Arial"/>
        </w:rPr>
      </w:pPr>
    </w:p>
    <w:p w:rsidR="00A77839" w:rsidP="00D71AC1" w14:paraId="7A6A4BFA" w14:textId="77777777">
      <w:pPr>
        <w:spacing w:after="0"/>
        <w:jc w:val="center"/>
        <w:rPr>
          <w:rFonts w:ascii="Arial" w:hAnsi="Arial" w:cs="Arial"/>
        </w:rPr>
      </w:pPr>
      <w:r>
        <w:rPr>
          <w:rFonts w:ascii="Arial" w:hAnsi="Arial" w:cs="Arial"/>
        </w:rPr>
        <w:t>Project Officers:</w:t>
      </w:r>
    </w:p>
    <w:p w:rsidR="00A77839" w:rsidP="00D71AC1" w14:paraId="034BB3AD" w14:textId="12F9DAD9">
      <w:pPr>
        <w:spacing w:after="0"/>
        <w:jc w:val="center"/>
        <w:rPr>
          <w:rFonts w:ascii="Arial" w:hAnsi="Arial" w:cs="Arial"/>
        </w:rPr>
      </w:pPr>
      <w:bookmarkStart w:id="0" w:name="_Hlk110267953"/>
      <w:r>
        <w:rPr>
          <w:rFonts w:ascii="Arial" w:hAnsi="Arial" w:cs="Arial"/>
        </w:rPr>
        <w:t>Calonie Gray</w:t>
      </w:r>
    </w:p>
    <w:p w:rsidR="00DD496E" w:rsidP="00D71AC1" w14:paraId="164D7C5E" w14:textId="7D8BACB7">
      <w:pPr>
        <w:spacing w:after="0"/>
        <w:jc w:val="center"/>
        <w:rPr>
          <w:rFonts w:ascii="Arial" w:hAnsi="Arial" w:cs="Arial"/>
        </w:rPr>
      </w:pPr>
      <w:r>
        <w:rPr>
          <w:rFonts w:ascii="Arial" w:hAnsi="Arial" w:cs="Arial"/>
        </w:rPr>
        <w:t>MeGan Hill</w:t>
      </w:r>
    </w:p>
    <w:p w:rsidR="00DD496E" w:rsidP="00D71AC1" w14:paraId="7622D46F" w14:textId="1892180C">
      <w:pPr>
        <w:spacing w:after="0"/>
        <w:jc w:val="center"/>
        <w:rPr>
          <w:rFonts w:ascii="Arial" w:hAnsi="Arial" w:cs="Arial"/>
        </w:rPr>
      </w:pPr>
      <w:r>
        <w:rPr>
          <w:rFonts w:ascii="Arial" w:hAnsi="Arial" w:cs="Arial"/>
        </w:rPr>
        <w:t>Tia Brown</w:t>
      </w:r>
    </w:p>
    <w:bookmarkEnd w:id="0"/>
    <w:p w:rsidR="00A77839" w:rsidP="00D71AC1" w14:paraId="39C2D4FA" w14:textId="77777777">
      <w:pPr>
        <w:jc w:val="center"/>
        <w:rPr>
          <w:b/>
          <w:sz w:val="32"/>
          <w:szCs w:val="32"/>
        </w:rPr>
      </w:pPr>
      <w:r>
        <w:br w:type="page"/>
      </w:r>
      <w:r>
        <w:rPr>
          <w:b/>
          <w:sz w:val="32"/>
          <w:szCs w:val="32"/>
        </w:rPr>
        <w:t>Part B</w:t>
      </w:r>
    </w:p>
    <w:p w:rsidR="00A77839" w:rsidP="00D71AC1" w14:paraId="02713BED" w14:textId="77777777">
      <w:pPr>
        <w:spacing w:after="0"/>
        <w:rPr>
          <w:b/>
        </w:rPr>
      </w:pPr>
    </w:p>
    <w:p w:rsidR="00A77839" w:rsidP="00D71AC1" w14:paraId="4D14B7BB" w14:textId="77777777">
      <w:pPr>
        <w:spacing w:after="240"/>
      </w:pPr>
      <w:r>
        <w:rPr>
          <w:b/>
        </w:rPr>
        <w:t>B1.</w:t>
      </w:r>
      <w:r>
        <w:rPr>
          <w:b/>
        </w:rPr>
        <w:tab/>
        <w:t>Objectives</w:t>
      </w:r>
    </w:p>
    <w:p w:rsidR="00A77839" w:rsidP="00D71AC1" w14:paraId="2ED96976" w14:textId="77777777">
      <w:pPr>
        <w:spacing w:after="120"/>
        <w:rPr>
          <w:i/>
        </w:rPr>
      </w:pPr>
      <w:r>
        <w:rPr>
          <w:i/>
        </w:rPr>
        <w:t>Study Objectives</w:t>
      </w:r>
    </w:p>
    <w:p w:rsidR="002F6C61" w:rsidRPr="00AA2FE1" w:rsidP="00D71AC1" w14:paraId="1C215765" w14:textId="36E18121">
      <w:pPr>
        <w:tabs>
          <w:tab w:val="left" w:pos="-720"/>
        </w:tabs>
        <w:suppressAutoHyphens/>
        <w:spacing w:after="240"/>
        <w:rPr>
          <w:iCs/>
        </w:rPr>
      </w:pPr>
      <w:bookmarkStart w:id="1" w:name="_Hlk105773397"/>
      <w:r w:rsidRPr="008813EA">
        <w:rPr>
          <w:iCs/>
        </w:rPr>
        <w:t xml:space="preserve">The </w:t>
      </w:r>
      <w:r w:rsidR="00B45851">
        <w:rPr>
          <w:iCs/>
        </w:rPr>
        <w:t xml:space="preserve">objective </w:t>
      </w:r>
      <w:r w:rsidRPr="008813EA">
        <w:rPr>
          <w:iCs/>
        </w:rPr>
        <w:t xml:space="preserve">of this proposed </w:t>
      </w:r>
      <w:r w:rsidR="00B67646">
        <w:rPr>
          <w:iCs/>
        </w:rPr>
        <w:t xml:space="preserve">formative </w:t>
      </w:r>
      <w:r w:rsidRPr="008813EA">
        <w:rPr>
          <w:iCs/>
        </w:rPr>
        <w:t>data collection is to</w:t>
      </w:r>
      <w:r w:rsidR="00B45851">
        <w:rPr>
          <w:iCs/>
        </w:rPr>
        <w:t xml:space="preserve"> collect data from </w:t>
      </w:r>
      <w:r w:rsidR="00B67646">
        <w:rPr>
          <w:bCs/>
        </w:rPr>
        <w:t>Sexual Risk Avoidance Education (SRAE)</w:t>
      </w:r>
      <w:r w:rsidR="00B67646">
        <w:rPr>
          <w:iCs/>
        </w:rPr>
        <w:t xml:space="preserve"> </w:t>
      </w:r>
      <w:r w:rsidR="00B45851">
        <w:rPr>
          <w:iCs/>
        </w:rPr>
        <w:t xml:space="preserve">grantees </w:t>
      </w:r>
      <w:r w:rsidR="00137131">
        <w:rPr>
          <w:iCs/>
        </w:rPr>
        <w:t xml:space="preserve">and providers </w:t>
      </w:r>
      <w:r w:rsidR="00B45851">
        <w:rPr>
          <w:iCs/>
        </w:rPr>
        <w:t xml:space="preserve">about </w:t>
      </w:r>
      <w:r w:rsidR="00D76965">
        <w:rPr>
          <w:iCs/>
        </w:rPr>
        <w:t>their experiences implementing</w:t>
      </w:r>
      <w:r w:rsidR="00B45851">
        <w:rPr>
          <w:iCs/>
        </w:rPr>
        <w:t xml:space="preserve"> progra</w:t>
      </w:r>
      <w:r w:rsidR="00B67646">
        <w:rPr>
          <w:iCs/>
        </w:rPr>
        <w:t xml:space="preserve">ms </w:t>
      </w:r>
      <w:bookmarkStart w:id="2" w:name="_Hlk124349997"/>
      <w:r w:rsidR="006025FC">
        <w:t xml:space="preserve">in juvenile justice detention </w:t>
      </w:r>
      <w:r w:rsidRPr="00577AAF" w:rsidR="006025FC">
        <w:t>centers and foster care group homes</w:t>
      </w:r>
      <w:bookmarkStart w:id="3" w:name="_Hlk110439716"/>
      <w:bookmarkStart w:id="4" w:name="_Hlk105773607"/>
      <w:bookmarkEnd w:id="2"/>
      <w:r w:rsidRPr="00577AAF" w:rsidR="00B67646">
        <w:t xml:space="preserve">, </w:t>
      </w:r>
      <w:r w:rsidRPr="00577AAF" w:rsidR="00B67646">
        <w:rPr>
          <w:iCs/>
        </w:rPr>
        <w:t>including the</w:t>
      </w:r>
      <w:r w:rsidRPr="00577AAF" w:rsidR="0049411E">
        <w:rPr>
          <w:iCs/>
        </w:rPr>
        <w:t>ir</w:t>
      </w:r>
      <w:r w:rsidRPr="00577AAF" w:rsidR="00B67646">
        <w:rPr>
          <w:iCs/>
        </w:rPr>
        <w:t xml:space="preserve"> </w:t>
      </w:r>
      <w:r w:rsidRPr="00577AAF" w:rsidR="00B67646">
        <w:rPr>
          <w:bCs/>
        </w:rPr>
        <w:t xml:space="preserve">successes, challenges, and lessons learned. </w:t>
      </w:r>
      <w:bookmarkEnd w:id="3"/>
      <w:bookmarkEnd w:id="1"/>
      <w:bookmarkEnd w:id="4"/>
      <w:r w:rsidRPr="00577AAF" w:rsidR="00B67646">
        <w:rPr>
          <w:iCs/>
        </w:rPr>
        <w:t xml:space="preserve">The information collected through this study will be used to inform the development of future descriptive research focused on </w:t>
      </w:r>
      <w:r w:rsidRPr="00577AAF" w:rsidR="00B67646">
        <w:t xml:space="preserve">delivering SRAE programming to youth in these two </w:t>
      </w:r>
      <w:r w:rsidRPr="00577AAF" w:rsidR="0049411E">
        <w:t xml:space="preserve">community </w:t>
      </w:r>
      <w:r w:rsidRPr="00577AAF" w:rsidR="00B67646">
        <w:t>settings.</w:t>
      </w:r>
      <w:r w:rsidRPr="00577AAF" w:rsidR="00B67646">
        <w:rPr>
          <w:iCs/>
        </w:rPr>
        <w:t xml:space="preserve"> </w:t>
      </w:r>
      <w:bookmarkStart w:id="5" w:name="_Hlk130997490"/>
      <w:r w:rsidRPr="00577AAF" w:rsidR="00383750">
        <w:rPr>
          <w:iCs/>
        </w:rPr>
        <w:t xml:space="preserve">Specifically, data from this formative study will fill current gaps in knowledge about the unique implementation experiences among these providers and </w:t>
      </w:r>
      <w:r w:rsidR="00CD298A">
        <w:rPr>
          <w:iCs/>
        </w:rPr>
        <w:t>inform</w:t>
      </w:r>
      <w:r w:rsidRPr="00577AAF" w:rsidR="00383750">
        <w:rPr>
          <w:iCs/>
        </w:rPr>
        <w:t xml:space="preserve"> </w:t>
      </w:r>
      <w:r w:rsidR="005B27AE">
        <w:rPr>
          <w:iCs/>
        </w:rPr>
        <w:t>ACF</w:t>
      </w:r>
      <w:r w:rsidR="00CD298A">
        <w:rPr>
          <w:iCs/>
        </w:rPr>
        <w:t xml:space="preserve">’s </w:t>
      </w:r>
      <w:r w:rsidRPr="00577AAF" w:rsidR="00383750">
        <w:rPr>
          <w:iCs/>
        </w:rPr>
        <w:t xml:space="preserve">research agenda </w:t>
      </w:r>
      <w:r w:rsidR="00CD298A">
        <w:rPr>
          <w:iCs/>
        </w:rPr>
        <w:t xml:space="preserve">for </w:t>
      </w:r>
      <w:r w:rsidR="005B27AE">
        <w:rPr>
          <w:iCs/>
        </w:rPr>
        <w:t xml:space="preserve">further </w:t>
      </w:r>
      <w:r w:rsidR="00B5782B">
        <w:rPr>
          <w:iCs/>
        </w:rPr>
        <w:t>stud</w:t>
      </w:r>
      <w:r w:rsidR="00CD298A">
        <w:rPr>
          <w:iCs/>
        </w:rPr>
        <w:t>ies of</w:t>
      </w:r>
      <w:r w:rsidR="00B5782B">
        <w:rPr>
          <w:iCs/>
        </w:rPr>
        <w:t xml:space="preserve"> </w:t>
      </w:r>
      <w:r w:rsidRPr="00577AAF" w:rsidR="00383750">
        <w:rPr>
          <w:iCs/>
        </w:rPr>
        <w:t xml:space="preserve">SRAE programming </w:t>
      </w:r>
      <w:r w:rsidR="00B5782B">
        <w:rPr>
          <w:iCs/>
        </w:rPr>
        <w:t xml:space="preserve">provided to </w:t>
      </w:r>
      <w:r w:rsidRPr="00577AAF" w:rsidR="00383750">
        <w:rPr>
          <w:iCs/>
        </w:rPr>
        <w:t xml:space="preserve">youth </w:t>
      </w:r>
      <w:r w:rsidR="00B5782B">
        <w:rPr>
          <w:iCs/>
        </w:rPr>
        <w:t xml:space="preserve">in </w:t>
      </w:r>
      <w:r w:rsidR="00CD298A">
        <w:rPr>
          <w:iCs/>
        </w:rPr>
        <w:t>these settings</w:t>
      </w:r>
      <w:r w:rsidRPr="00577AAF" w:rsidR="00383750">
        <w:rPr>
          <w:iCs/>
        </w:rPr>
        <w:t xml:space="preserve">. </w:t>
      </w:r>
      <w:bookmarkEnd w:id="5"/>
      <w:r w:rsidRPr="00577AAF" w:rsidR="00B67646">
        <w:rPr>
          <w:iCs/>
        </w:rPr>
        <w:t>Additionally, the study findings will inform future technical assistance offerings to grantees and providers implementing SRAE programs in these settings.</w:t>
      </w:r>
    </w:p>
    <w:p w:rsidR="00A77839" w:rsidP="00D71AC1" w14:paraId="1F968B34" w14:textId="119711EB">
      <w:pPr>
        <w:tabs>
          <w:tab w:val="left" w:pos="-720"/>
        </w:tabs>
        <w:suppressAutoHyphens/>
        <w:spacing w:after="240"/>
        <w:rPr>
          <w:i/>
        </w:rPr>
      </w:pPr>
      <w:r>
        <w:rPr>
          <w:iCs/>
        </w:rPr>
        <w:t>The study research questions are described in Supporting Statement Part A, Section A2.</w:t>
      </w:r>
    </w:p>
    <w:p w:rsidR="00A77839" w:rsidP="00D71AC1" w14:paraId="6D6715A4" w14:textId="77777777">
      <w:pPr>
        <w:spacing w:after="120"/>
        <w:rPr>
          <w:i/>
        </w:rPr>
      </w:pPr>
      <w:r>
        <w:rPr>
          <w:i/>
        </w:rPr>
        <w:t xml:space="preserve">Generalizability of Results </w:t>
      </w:r>
    </w:p>
    <w:p w:rsidR="00994F0D" w:rsidP="00994F0D" w14:paraId="39888FC9" w14:textId="66640ED2">
      <w:pPr>
        <w:tabs>
          <w:tab w:val="left" w:pos="-720"/>
        </w:tabs>
        <w:suppressAutoHyphens/>
        <w:spacing w:after="240"/>
        <w:rPr>
          <w:iCs/>
        </w:rPr>
      </w:pPr>
      <w:r w:rsidRPr="00C308D0">
        <w:t xml:space="preserve">This study is </w:t>
      </w:r>
      <w:r w:rsidRPr="008A59F6">
        <w:t xml:space="preserve">intended to present an internally valid description of SRAE </w:t>
      </w:r>
      <w:r w:rsidRPr="008A59F6" w:rsidR="00AB753D">
        <w:t xml:space="preserve">grantees </w:t>
      </w:r>
      <w:r w:rsidR="00A86C12">
        <w:t>and provi</w:t>
      </w:r>
      <w:r w:rsidR="006025FC">
        <w:t>d</w:t>
      </w:r>
      <w:r w:rsidR="00A86C12">
        <w:t xml:space="preserve">ers </w:t>
      </w:r>
      <w:r w:rsidR="006025FC">
        <w:t xml:space="preserve">delivering SRAE programming to youth in </w:t>
      </w:r>
      <w:r w:rsidR="008C1DF7">
        <w:t xml:space="preserve">these two </w:t>
      </w:r>
      <w:r w:rsidR="006025FC">
        <w:t xml:space="preserve">specific settings </w:t>
      </w:r>
      <w:r w:rsidRPr="008A59F6" w:rsidR="00C308D0">
        <w:t>and</w:t>
      </w:r>
      <w:r w:rsidRPr="008A59F6">
        <w:t xml:space="preserve"> is not meant to promote statistical generalization to other program, sites, or service populations. </w:t>
      </w:r>
      <w:bookmarkStart w:id="6" w:name="_Hlk106361737"/>
      <w:r w:rsidRPr="008A59F6">
        <w:t xml:space="preserve">Data collected under </w:t>
      </w:r>
      <w:r w:rsidRPr="008A59F6">
        <w:rPr>
          <w:rFonts w:cs="Calibri"/>
        </w:rPr>
        <w:t xml:space="preserve">this generic information collection request will be used to </w:t>
      </w:r>
      <w:bookmarkEnd w:id="6"/>
      <w:r>
        <w:rPr>
          <w:iCs/>
        </w:rPr>
        <w:t>inform the development of a descriptive research study focused on SRAE programming within community settings.</w:t>
      </w:r>
    </w:p>
    <w:p w:rsidR="00A77839" w:rsidP="00994F0D" w14:paraId="34FFE667" w14:textId="5F64CFE6">
      <w:pPr>
        <w:tabs>
          <w:tab w:val="left" w:pos="-720"/>
        </w:tabs>
        <w:suppressAutoHyphens/>
        <w:spacing w:after="240"/>
        <w:rPr>
          <w:rFonts w:eastAsia="Times New Roman" w:cstheme="minorHAnsi"/>
          <w:i/>
          <w:color w:val="000000"/>
        </w:rPr>
      </w:pPr>
      <w:r>
        <w:rPr>
          <w:rFonts w:eastAsia="Times New Roman" w:cstheme="minorHAnsi"/>
          <w:i/>
          <w:color w:val="000000"/>
        </w:rPr>
        <w:t xml:space="preserve">Appropriateness of Study Design and Methods for Planned Uses </w:t>
      </w:r>
    </w:p>
    <w:p w:rsidR="004E0124" w:rsidP="00D71AC1" w14:paraId="658D9E35" w14:textId="6047D126">
      <w:pPr>
        <w:spacing w:after="240"/>
      </w:pPr>
      <w:r w:rsidRPr="009E5167">
        <w:t xml:space="preserve">We will conduct one-on-one asynchronous </w:t>
      </w:r>
      <w:r>
        <w:t xml:space="preserve">virtual </w:t>
      </w:r>
      <w:r w:rsidRPr="009E5167">
        <w:t>interviews</w:t>
      </w:r>
      <w:r>
        <w:t>.</w:t>
      </w:r>
      <w:r w:rsidR="0070010C">
        <w:t xml:space="preserve"> Respondents</w:t>
      </w:r>
      <w:r w:rsidRPr="009E5167">
        <w:t xml:space="preserve"> </w:t>
      </w:r>
      <w:r>
        <w:t>will</w:t>
      </w:r>
      <w:r w:rsidRPr="009E5167">
        <w:t xml:space="preserve"> log in</w:t>
      </w:r>
      <w:r>
        <w:t xml:space="preserve"> </w:t>
      </w:r>
      <w:r w:rsidRPr="009E5167">
        <w:t xml:space="preserve">to an online platform and </w:t>
      </w:r>
      <w:r w:rsidR="0070010C">
        <w:t>answer posted</w:t>
      </w:r>
      <w:r w:rsidRPr="009E5167">
        <w:t xml:space="preserve"> </w:t>
      </w:r>
      <w:r>
        <w:t xml:space="preserve">interview </w:t>
      </w:r>
      <w:r w:rsidRPr="009E5167">
        <w:t xml:space="preserve">questions moderated by </w:t>
      </w:r>
      <w:r>
        <w:t>the study team at Mathematica</w:t>
      </w:r>
      <w:r>
        <w:rPr>
          <w:rStyle w:val="FootnoteReference"/>
        </w:rPr>
        <w:footnoteReference w:id="2"/>
      </w:r>
      <w:r w:rsidRPr="009E5167">
        <w:t xml:space="preserve">. </w:t>
      </w:r>
      <w:r>
        <w:t xml:space="preserve">The flexibility of a self-administered instrument combined with the benefits of study team moderation to probe and follow up on open-ended responses </w:t>
      </w:r>
      <w:r w:rsidR="0070010C">
        <w:t>enables rapid</w:t>
      </w:r>
      <w:r>
        <w:t xml:space="preserve"> collect</w:t>
      </w:r>
      <w:r w:rsidR="0070010C">
        <w:t>ion of</w:t>
      </w:r>
      <w:r>
        <w:t xml:space="preserve"> qualitative data from a diverse set of grantees</w:t>
      </w:r>
      <w:r w:rsidR="00C229EF">
        <w:t xml:space="preserve"> and providers</w:t>
      </w:r>
      <w:r>
        <w:t xml:space="preserve">. </w:t>
      </w:r>
    </w:p>
    <w:p w:rsidR="004E0124" w:rsidRPr="00547FBD" w:rsidP="00D71AC1" w14:paraId="04FB4A93" w14:textId="6072F807">
      <w:pPr>
        <w:spacing w:after="240"/>
      </w:pPr>
      <w:r w:rsidRPr="009E5167">
        <w:t>Th</w:t>
      </w:r>
      <w:r>
        <w:t>e</w:t>
      </w:r>
      <w:r w:rsidRPr="009E5167">
        <w:t xml:space="preserve"> study design lends itself well to this population, as </w:t>
      </w:r>
      <w:r>
        <w:t xml:space="preserve">grantee </w:t>
      </w:r>
      <w:r w:rsidR="00C229EF">
        <w:t xml:space="preserve">and provider </w:t>
      </w:r>
      <w:r>
        <w:t>staff</w:t>
      </w:r>
      <w:r w:rsidRPr="009E5167">
        <w:t xml:space="preserve"> often have competing demands and </w:t>
      </w:r>
      <w:r>
        <w:t xml:space="preserve">might </w:t>
      </w:r>
      <w:r w:rsidRPr="009E5167">
        <w:t xml:space="preserve">find it difficult to </w:t>
      </w:r>
      <w:r>
        <w:t>set aside time during the day for a phone interview</w:t>
      </w:r>
      <w:r w:rsidRPr="009E5167">
        <w:t xml:space="preserve">. </w:t>
      </w:r>
      <w:r>
        <w:t>T</w:t>
      </w:r>
      <w:r w:rsidRPr="009E5167">
        <w:t>he chat</w:t>
      </w:r>
      <w:r>
        <w:t xml:space="preserve"> board</w:t>
      </w:r>
      <w:r w:rsidRPr="009E5167">
        <w:t xml:space="preserve"> format </w:t>
      </w:r>
      <w:r>
        <w:t>allows</w:t>
      </w:r>
      <w:r w:rsidRPr="009E5167">
        <w:t xml:space="preserve"> respondents </w:t>
      </w:r>
      <w:r>
        <w:t xml:space="preserve">to </w:t>
      </w:r>
      <w:r w:rsidRPr="009E5167">
        <w:t xml:space="preserve">complete </w:t>
      </w:r>
      <w:r>
        <w:t>the interview</w:t>
      </w:r>
      <w:r w:rsidRPr="009E5167">
        <w:t xml:space="preserve"> at </w:t>
      </w:r>
      <w:r>
        <w:t>their</w:t>
      </w:r>
      <w:r w:rsidRPr="009E5167">
        <w:t xml:space="preserve"> convenien</w:t>
      </w:r>
      <w:r>
        <w:t>ce</w:t>
      </w:r>
      <w:r w:rsidRPr="009E5167">
        <w:t xml:space="preserve"> </w:t>
      </w:r>
      <w:r>
        <w:t xml:space="preserve">over a </w:t>
      </w:r>
      <w:r w:rsidRPr="00DD5315">
        <w:t>five-day period.</w:t>
      </w:r>
      <w:r w:rsidRPr="009E5167">
        <w:t xml:space="preserve"> </w:t>
      </w:r>
      <w:r>
        <w:t xml:space="preserve">In addition, the design is appropriate to collect the data needed to meet the study objectives. The interview </w:t>
      </w:r>
      <w:r w:rsidRPr="008A59F6">
        <w:t>protocol</w:t>
      </w:r>
      <w:r>
        <w:t xml:space="preserve"> (Instrument 1) includes a mix of closed- and open-ended questions; the open-ended </w:t>
      </w:r>
      <w:r>
        <w:t>questions enable the</w:t>
      </w:r>
      <w:r w:rsidR="00105F23">
        <w:t xml:space="preserve"> study</w:t>
      </w:r>
      <w:r>
        <w:t xml:space="preserve"> team to collect more in-depth qualitative data to capture the diversity of grantee</w:t>
      </w:r>
      <w:r w:rsidR="00A86C12">
        <w:t xml:space="preserve"> and provider</w:t>
      </w:r>
      <w:r>
        <w:t xml:space="preserve">s’ experiences adapting </w:t>
      </w:r>
      <w:r w:rsidR="008A59F6">
        <w:t xml:space="preserve">SRAE programming to serve youth </w:t>
      </w:r>
      <w:r w:rsidR="008A532C">
        <w:t>in</w:t>
      </w:r>
      <w:r w:rsidR="008A59F6">
        <w:t xml:space="preserve"> </w:t>
      </w:r>
      <w:r w:rsidR="00BC0E62">
        <w:t>juvenile justice detention centers and foster care group homes</w:t>
      </w:r>
      <w:r w:rsidR="008A532C">
        <w:t xml:space="preserve">. </w:t>
      </w:r>
      <w:r>
        <w:t>The chat board format lets the study team moderate across interviews, following up with individual respondents as needed to ensure they collect the data necessary to address the study questions. We describe k</w:t>
      </w:r>
      <w:r w:rsidRPr="001029A5">
        <w:t>ey limitations</w:t>
      </w:r>
      <w:r>
        <w:t xml:space="preserve"> of the design</w:t>
      </w:r>
      <w:r w:rsidRPr="001029A5">
        <w:t xml:space="preserve"> in Supporting Statement Part A, Section A2</w:t>
      </w:r>
      <w:r w:rsidRPr="002E6E8C">
        <w:t>,</w:t>
      </w:r>
      <w:r w:rsidRPr="00B851CC">
        <w:t xml:space="preserve"> </w:t>
      </w:r>
      <w:r>
        <w:t xml:space="preserve">and </w:t>
      </w:r>
      <w:r w:rsidRPr="00B851CC">
        <w:t>will include</w:t>
      </w:r>
      <w:r>
        <w:t xml:space="preserve"> them</w:t>
      </w:r>
      <w:r w:rsidRPr="00B851CC">
        <w:t xml:space="preserve"> in </w:t>
      </w:r>
      <w:r>
        <w:t xml:space="preserve">internal </w:t>
      </w:r>
      <w:r w:rsidRPr="00B851CC">
        <w:t>written products associated with the study.</w:t>
      </w:r>
    </w:p>
    <w:p w:rsidR="00A77839" w:rsidRPr="00C308D0" w:rsidP="00D71AC1" w14:paraId="03AEDB20" w14:textId="464E976F">
      <w:r>
        <w:t>This</w:t>
      </w:r>
      <w:r w:rsidRPr="00C308D0" w:rsidR="00C34BA9">
        <w:t xml:space="preserve"> information is not intended to be used as the principal basis for public policy decisions, and it is not expected to meet the threshold of influential or highly influential scientific information. </w:t>
      </w:r>
    </w:p>
    <w:p w:rsidR="00A77839" w:rsidP="00D71AC1" w14:paraId="69365903" w14:textId="77777777">
      <w:pPr>
        <w:pStyle w:val="ListParagraph"/>
        <w:spacing w:after="240"/>
        <w:ind w:left="0"/>
        <w:rPr>
          <w:rFonts w:eastAsia="Times New Roman" w:cstheme="minorHAnsi"/>
          <w:color w:val="000000"/>
        </w:rPr>
      </w:pPr>
      <w:r>
        <w:rPr>
          <w:b/>
        </w:rPr>
        <w:t>B2.</w:t>
      </w:r>
      <w:r>
        <w:rPr>
          <w:b/>
        </w:rPr>
        <w:tab/>
      </w:r>
      <w:r>
        <w:rPr>
          <w:rFonts w:eastAsia="Times New Roman" w:cstheme="minorHAnsi"/>
          <w:b/>
          <w:bCs/>
          <w:color w:val="000000"/>
        </w:rPr>
        <w:t>Methods and Design</w:t>
      </w:r>
    </w:p>
    <w:p w:rsidR="00A77839" w:rsidP="00D71AC1" w14:paraId="6501C358" w14:textId="2C1E78D5">
      <w:pPr>
        <w:spacing w:after="120"/>
        <w:rPr>
          <w:rFonts w:eastAsia="Times New Roman" w:cstheme="minorHAnsi"/>
          <w:color w:val="000000"/>
        </w:rPr>
      </w:pPr>
      <w:r>
        <w:rPr>
          <w:rFonts w:eastAsia="Times New Roman" w:cstheme="minorHAnsi"/>
          <w:i/>
          <w:color w:val="000000"/>
        </w:rPr>
        <w:t>Target Population</w:t>
      </w:r>
    </w:p>
    <w:p w:rsidR="00B6107F" w:rsidRPr="00E37692" w:rsidP="00D71AC1" w14:paraId="4955A620" w14:textId="24131A5F">
      <w:pPr>
        <w:spacing w:after="240"/>
      </w:pPr>
      <w:r w:rsidRPr="008A532C">
        <w:t xml:space="preserve">The population of interest for this study is </w:t>
      </w:r>
      <w:r w:rsidRPr="008A532C" w:rsidR="004E2398">
        <w:t>a subset of all organizations funded through the SRAE gran</w:t>
      </w:r>
      <w:r w:rsidR="008A532C">
        <w:t>t</w:t>
      </w:r>
      <w:r w:rsidRPr="008A532C" w:rsidR="004E2398">
        <w:t xml:space="preserve"> program, that is, only those grantees</w:t>
      </w:r>
      <w:r w:rsidR="00A86C12">
        <w:t xml:space="preserve"> and providers</w:t>
      </w:r>
      <w:r w:rsidRPr="008A532C" w:rsidR="004E2398">
        <w:t xml:space="preserve"> who</w:t>
      </w:r>
      <w:r w:rsidR="00510341">
        <w:t>:</w:t>
      </w:r>
      <w:r w:rsidRPr="008A532C" w:rsidR="004E2398">
        <w:t xml:space="preserve"> 1) </w:t>
      </w:r>
      <w:r w:rsidR="00A86C12">
        <w:t>deliver</w:t>
      </w:r>
      <w:r w:rsidRPr="008A532C">
        <w:t xml:space="preserve"> direct </w:t>
      </w:r>
      <w:r w:rsidRPr="008A532C" w:rsidR="004E2398">
        <w:t xml:space="preserve">SRAE </w:t>
      </w:r>
      <w:r w:rsidRPr="008A532C">
        <w:t>servic</w:t>
      </w:r>
      <w:r w:rsidRPr="008A532C" w:rsidR="004E2398">
        <w:t xml:space="preserve">es, and 2) serve youth in </w:t>
      </w:r>
      <w:r w:rsidR="00BC0E62">
        <w:t>juvenile justice detention centers and</w:t>
      </w:r>
      <w:r w:rsidR="0070010C">
        <w:t>/or</w:t>
      </w:r>
      <w:r w:rsidR="00BC0E62">
        <w:t xml:space="preserve"> foster care group homes</w:t>
      </w:r>
      <w:r w:rsidR="00581B7C">
        <w:t xml:space="preserve">. </w:t>
      </w:r>
      <w:r w:rsidRPr="008A532C">
        <w:t>Respondents of interest for the interviews are the grantee administrators or program directors, whomever the grantee identifies as the most knowledgeable respondent.</w:t>
      </w:r>
      <w:r>
        <w:t xml:space="preserve"> </w:t>
      </w:r>
    </w:p>
    <w:p w:rsidR="00A77839" w:rsidP="00D71AC1" w14:paraId="6DE7E1F9" w14:textId="6BDE14EE">
      <w:pPr>
        <w:spacing w:after="240"/>
        <w:rPr>
          <w:rFonts w:eastAsia="Times New Roman" w:cstheme="minorHAnsi"/>
          <w:color w:val="000000"/>
        </w:rPr>
      </w:pPr>
      <w:r>
        <w:rPr>
          <w:rFonts w:eastAsia="Times New Roman" w:cstheme="minorHAnsi"/>
          <w:iCs/>
          <w:color w:val="000000"/>
        </w:rPr>
        <w:t>To identify the target populations, we will</w:t>
      </w:r>
      <w:r w:rsidR="00B6107F">
        <w:rPr>
          <w:rFonts w:eastAsia="Times New Roman" w:cstheme="minorHAnsi"/>
          <w:iCs/>
          <w:color w:val="000000"/>
        </w:rPr>
        <w:t xml:space="preserve"> use survey data collected under</w:t>
      </w:r>
      <w:r w:rsidR="00717B41">
        <w:rPr>
          <w:rFonts w:eastAsia="Times New Roman" w:cstheme="minorHAnsi"/>
          <w:iCs/>
          <w:color w:val="000000"/>
        </w:rPr>
        <w:t xml:space="preserve"> the SRAENE </w:t>
      </w:r>
      <w:r w:rsidR="008A532C">
        <w:rPr>
          <w:rFonts w:eastAsia="Times New Roman" w:cstheme="minorHAnsi"/>
          <w:iCs/>
          <w:color w:val="000000"/>
        </w:rPr>
        <w:t xml:space="preserve">Nationwide </w:t>
      </w:r>
      <w:r w:rsidRPr="008A532C" w:rsidR="008A532C">
        <w:rPr>
          <w:rFonts w:eastAsia="Times New Roman" w:cstheme="minorHAnsi"/>
          <w:iCs/>
          <w:color w:val="000000"/>
        </w:rPr>
        <w:t>Study</w:t>
      </w:r>
      <w:r w:rsidR="008A532C">
        <w:rPr>
          <w:rFonts w:eastAsia="Times New Roman" w:cstheme="minorHAnsi"/>
          <w:iCs/>
          <w:color w:val="000000"/>
        </w:rPr>
        <w:t xml:space="preserve"> (NWS)</w:t>
      </w:r>
      <w:r w:rsidRPr="008A532C" w:rsidR="008A532C">
        <w:rPr>
          <w:rFonts w:eastAsia="Times New Roman" w:cstheme="minorHAnsi"/>
          <w:iCs/>
          <w:color w:val="000000"/>
        </w:rPr>
        <w:t xml:space="preserve"> (</w:t>
      </w:r>
      <w:r w:rsidRPr="008A532C" w:rsidR="00B6107F">
        <w:rPr>
          <w:rFonts w:eastAsia="Times New Roman" w:cstheme="minorHAnsi"/>
          <w:iCs/>
          <w:color w:val="000000"/>
        </w:rPr>
        <w:t>OMB Control Number 0970-</w:t>
      </w:r>
      <w:r w:rsidRPr="008A532C" w:rsidR="008A532C">
        <w:rPr>
          <w:rFonts w:eastAsia="Times New Roman" w:cstheme="minorHAnsi"/>
          <w:iCs/>
          <w:color w:val="000000"/>
        </w:rPr>
        <w:t>0596;</w:t>
      </w:r>
      <w:r w:rsidRPr="008A532C" w:rsidR="00B6107F">
        <w:rPr>
          <w:rFonts w:eastAsia="Times New Roman" w:cstheme="minorHAnsi"/>
          <w:iCs/>
          <w:color w:val="000000"/>
        </w:rPr>
        <w:t xml:space="preserve"> Exp</w:t>
      </w:r>
      <w:r w:rsidRPr="008A532C" w:rsidR="008A532C">
        <w:rPr>
          <w:rFonts w:eastAsia="Times New Roman" w:cstheme="minorHAnsi"/>
          <w:iCs/>
          <w:color w:val="000000"/>
        </w:rPr>
        <w:t xml:space="preserve"> Date 10</w:t>
      </w:r>
      <w:r w:rsidR="008A532C">
        <w:rPr>
          <w:rFonts w:eastAsia="Times New Roman" w:cstheme="minorHAnsi"/>
          <w:iCs/>
          <w:color w:val="000000"/>
        </w:rPr>
        <w:t>/31/2025)</w:t>
      </w:r>
      <w:r>
        <w:rPr>
          <w:rFonts w:eastAsia="Times New Roman" w:cstheme="minorHAnsi"/>
          <w:iCs/>
          <w:color w:val="000000"/>
        </w:rPr>
        <w:t xml:space="preserve">. </w:t>
      </w:r>
      <w:r w:rsidR="008A532C">
        <w:rPr>
          <w:rFonts w:eastAsia="Times New Roman" w:cstheme="minorHAnsi"/>
          <w:iCs/>
          <w:color w:val="000000"/>
        </w:rPr>
        <w:t>The NWS</w:t>
      </w:r>
      <w:r w:rsidR="00717B41">
        <w:rPr>
          <w:rFonts w:eastAsia="Times New Roman" w:cstheme="minorHAnsi"/>
          <w:iCs/>
          <w:color w:val="000000"/>
        </w:rPr>
        <w:t xml:space="preserve"> collects </w:t>
      </w:r>
      <w:r w:rsidRPr="008A532C" w:rsidR="00717B41">
        <w:t>data</w:t>
      </w:r>
      <w:r w:rsidR="00717B41">
        <w:rPr>
          <w:rFonts w:eastAsia="Times New Roman" w:cstheme="minorHAnsi"/>
          <w:iCs/>
          <w:color w:val="000000"/>
        </w:rPr>
        <w:t xml:space="preserve"> from SRAE grantees, including state-level grantees</w:t>
      </w:r>
      <w:r w:rsidR="008A532C">
        <w:rPr>
          <w:rFonts w:eastAsia="Times New Roman" w:cstheme="minorHAnsi"/>
          <w:iCs/>
          <w:color w:val="000000"/>
        </w:rPr>
        <w:t xml:space="preserve"> and their providers,</w:t>
      </w:r>
      <w:r w:rsidR="00717B41">
        <w:rPr>
          <w:rFonts w:eastAsia="Times New Roman" w:cstheme="minorHAnsi"/>
          <w:iCs/>
          <w:color w:val="000000"/>
        </w:rPr>
        <w:t xml:space="preserve"> and </w:t>
      </w:r>
      <w:r w:rsidR="008A532C">
        <w:rPr>
          <w:rFonts w:eastAsia="Times New Roman" w:cstheme="minorHAnsi"/>
          <w:iCs/>
          <w:color w:val="000000"/>
        </w:rPr>
        <w:t>direct service provider grantees</w:t>
      </w:r>
      <w:r w:rsidR="00717B41">
        <w:rPr>
          <w:rFonts w:eastAsia="Times New Roman" w:cstheme="minorHAnsi"/>
          <w:iCs/>
          <w:color w:val="000000"/>
        </w:rPr>
        <w:t>. The surveys ask</w:t>
      </w:r>
      <w:r w:rsidR="002065D7">
        <w:rPr>
          <w:rFonts w:eastAsia="Times New Roman" w:cstheme="minorHAnsi"/>
          <w:iCs/>
          <w:color w:val="000000"/>
        </w:rPr>
        <w:t xml:space="preserve"> the grantee administrator or program director</w:t>
      </w:r>
      <w:r w:rsidR="00717B41">
        <w:rPr>
          <w:rFonts w:eastAsia="Times New Roman" w:cstheme="minorHAnsi"/>
          <w:iCs/>
          <w:color w:val="000000"/>
        </w:rPr>
        <w:t xml:space="preserve"> about</w:t>
      </w:r>
      <w:r w:rsidR="002065D7">
        <w:rPr>
          <w:rFonts w:eastAsia="Times New Roman" w:cstheme="minorHAnsi"/>
          <w:iCs/>
          <w:color w:val="000000"/>
        </w:rPr>
        <w:t xml:space="preserve"> settings in which youth</w:t>
      </w:r>
      <w:r w:rsidR="00717B41">
        <w:rPr>
          <w:rFonts w:eastAsia="Times New Roman" w:cstheme="minorHAnsi"/>
          <w:iCs/>
          <w:color w:val="000000"/>
        </w:rPr>
        <w:t xml:space="preserve"> </w:t>
      </w:r>
      <w:r w:rsidR="002065D7">
        <w:rPr>
          <w:rFonts w:eastAsia="Times New Roman" w:cstheme="minorHAnsi"/>
          <w:iCs/>
          <w:color w:val="000000"/>
        </w:rPr>
        <w:t>receive</w:t>
      </w:r>
      <w:r w:rsidR="00717B41">
        <w:rPr>
          <w:rFonts w:eastAsia="Times New Roman" w:cstheme="minorHAnsi"/>
          <w:iCs/>
          <w:color w:val="000000"/>
        </w:rPr>
        <w:t xml:space="preserve"> SRAE programming</w:t>
      </w:r>
      <w:r w:rsidR="002065D7">
        <w:rPr>
          <w:rFonts w:eastAsia="Times New Roman" w:cstheme="minorHAnsi"/>
          <w:iCs/>
          <w:color w:val="000000"/>
        </w:rPr>
        <w:t xml:space="preserve">, including whether they provide SRAE programming to youth in </w:t>
      </w:r>
      <w:r w:rsidR="004F0259">
        <w:rPr>
          <w:rFonts w:eastAsia="Times New Roman" w:cstheme="minorHAnsi"/>
          <w:iCs/>
          <w:color w:val="000000"/>
        </w:rPr>
        <w:t xml:space="preserve">juvenile justice </w:t>
      </w:r>
      <w:r w:rsidR="002065D7">
        <w:rPr>
          <w:rFonts w:eastAsia="Times New Roman" w:cstheme="minorHAnsi"/>
          <w:iCs/>
          <w:color w:val="000000"/>
        </w:rPr>
        <w:t xml:space="preserve">detention centers, </w:t>
      </w:r>
      <w:r w:rsidR="00581B7C">
        <w:rPr>
          <w:rFonts w:eastAsia="Times New Roman" w:cstheme="minorHAnsi"/>
          <w:iCs/>
          <w:color w:val="000000"/>
        </w:rPr>
        <w:t>and</w:t>
      </w:r>
      <w:r w:rsidR="0070010C">
        <w:rPr>
          <w:rFonts w:eastAsia="Times New Roman" w:cstheme="minorHAnsi"/>
          <w:iCs/>
          <w:color w:val="000000"/>
        </w:rPr>
        <w:t>/or</w:t>
      </w:r>
      <w:r w:rsidR="002065D7">
        <w:rPr>
          <w:rFonts w:eastAsia="Times New Roman" w:cstheme="minorHAnsi"/>
          <w:iCs/>
          <w:color w:val="000000"/>
        </w:rPr>
        <w:t xml:space="preserve"> foster care group homes</w:t>
      </w:r>
      <w:r w:rsidR="002065D7">
        <w:t xml:space="preserve">. Grantees </w:t>
      </w:r>
      <w:r w:rsidR="000A2DBD">
        <w:t xml:space="preserve">and providers </w:t>
      </w:r>
      <w:r w:rsidR="002065D7">
        <w:t xml:space="preserve">eligible for this study </w:t>
      </w:r>
      <w:r w:rsidR="0070010C">
        <w:t>are</w:t>
      </w:r>
      <w:r w:rsidR="002065D7">
        <w:t xml:space="preserve"> those </w:t>
      </w:r>
      <w:r w:rsidR="004F0259">
        <w:t>that indicate</w:t>
      </w:r>
      <w:r w:rsidR="004D0D26">
        <w:t xml:space="preserve"> in the NWS grantee or provider survey that</w:t>
      </w:r>
      <w:r w:rsidR="004F0259">
        <w:t xml:space="preserve"> </w:t>
      </w:r>
      <w:r w:rsidR="002065D7">
        <w:t>they serve youth in</w:t>
      </w:r>
      <w:r w:rsidR="006025FC">
        <w:t xml:space="preserve"> </w:t>
      </w:r>
      <w:r w:rsidR="004F0259">
        <w:t xml:space="preserve">one or </w:t>
      </w:r>
      <w:r w:rsidR="004F0259">
        <w:t>both of these</w:t>
      </w:r>
      <w:r w:rsidR="002065D7">
        <w:t xml:space="preserve"> settings.</w:t>
      </w:r>
      <w:r w:rsidR="002065D7">
        <w:rPr>
          <w:rFonts w:eastAsia="Times New Roman" w:cstheme="minorHAnsi"/>
          <w:iCs/>
          <w:color w:val="000000"/>
        </w:rPr>
        <w:t xml:space="preserve"> </w:t>
      </w:r>
      <w:r w:rsidR="002065D7">
        <w:rPr>
          <w:rFonts w:eastAsia="Times New Roman" w:cstheme="minorHAnsi"/>
          <w:color w:val="000000"/>
        </w:rPr>
        <w:t xml:space="preserve">Once the programs have been selected, </w:t>
      </w:r>
      <w:r w:rsidR="00510341">
        <w:rPr>
          <w:rFonts w:eastAsia="Times New Roman" w:cstheme="minorHAnsi"/>
          <w:color w:val="000000"/>
        </w:rPr>
        <w:t>the Administration for Children and Families (</w:t>
      </w:r>
      <w:r w:rsidR="002065D7">
        <w:rPr>
          <w:rFonts w:eastAsia="Times New Roman" w:cstheme="minorHAnsi"/>
          <w:color w:val="000000"/>
        </w:rPr>
        <w:t>ACF</w:t>
      </w:r>
      <w:r w:rsidR="00510341">
        <w:rPr>
          <w:rFonts w:eastAsia="Times New Roman" w:cstheme="minorHAnsi"/>
          <w:color w:val="000000"/>
        </w:rPr>
        <w:t>)</w:t>
      </w:r>
      <w:r w:rsidR="002065D7">
        <w:rPr>
          <w:rFonts w:eastAsia="Times New Roman" w:cstheme="minorHAnsi"/>
          <w:color w:val="000000"/>
        </w:rPr>
        <w:t xml:space="preserve"> will review and approve</w:t>
      </w:r>
      <w:r w:rsidR="00F15D36">
        <w:rPr>
          <w:rFonts w:eastAsia="Times New Roman" w:cstheme="minorHAnsi"/>
          <w:color w:val="000000"/>
        </w:rPr>
        <w:t xml:space="preserve"> prior to the start of</w:t>
      </w:r>
      <w:r w:rsidR="00717B41">
        <w:rPr>
          <w:rFonts w:eastAsia="Times New Roman" w:cstheme="minorHAnsi"/>
          <w:color w:val="000000"/>
        </w:rPr>
        <w:t xml:space="preserve"> data collection</w:t>
      </w:r>
      <w:r w:rsidR="00F15D36">
        <w:rPr>
          <w:rFonts w:eastAsia="Times New Roman" w:cstheme="minorHAnsi"/>
          <w:color w:val="000000"/>
        </w:rPr>
        <w:t>.</w:t>
      </w:r>
      <w:r w:rsidR="00717B41">
        <w:rPr>
          <w:rFonts w:eastAsia="Times New Roman" w:cstheme="minorHAnsi"/>
          <w:color w:val="000000"/>
        </w:rPr>
        <w:t xml:space="preserve"> </w:t>
      </w:r>
      <w:r>
        <w:rPr>
          <w:rFonts w:eastAsia="Times New Roman" w:cstheme="minorHAnsi"/>
          <w:color w:val="000000"/>
        </w:rPr>
        <w:t xml:space="preserve">An early review of </w:t>
      </w:r>
      <w:r w:rsidR="00F15D36">
        <w:rPr>
          <w:rFonts w:eastAsia="Times New Roman" w:cstheme="minorHAnsi"/>
          <w:color w:val="000000"/>
        </w:rPr>
        <w:t>data from the NWS surveys</w:t>
      </w:r>
      <w:r>
        <w:rPr>
          <w:rFonts w:eastAsia="Times New Roman" w:cstheme="minorHAnsi"/>
          <w:color w:val="000000"/>
        </w:rPr>
        <w:t xml:space="preserve"> </w:t>
      </w:r>
      <w:r w:rsidR="000A2DBD">
        <w:rPr>
          <w:rFonts w:eastAsia="Times New Roman" w:cstheme="minorHAnsi"/>
          <w:color w:val="000000"/>
        </w:rPr>
        <w:t xml:space="preserve">and performance measures </w:t>
      </w:r>
      <w:r>
        <w:rPr>
          <w:rFonts w:eastAsia="Times New Roman" w:cstheme="minorHAnsi"/>
          <w:color w:val="000000"/>
        </w:rPr>
        <w:t xml:space="preserve">suggests that there will be approximately </w:t>
      </w:r>
      <w:r w:rsidR="00F15D36">
        <w:rPr>
          <w:rFonts w:eastAsia="Times New Roman" w:cstheme="minorHAnsi"/>
          <w:color w:val="000000"/>
        </w:rPr>
        <w:t xml:space="preserve">75 </w:t>
      </w:r>
      <w:r>
        <w:rPr>
          <w:rFonts w:eastAsia="Times New Roman" w:cstheme="minorHAnsi"/>
          <w:color w:val="000000"/>
        </w:rPr>
        <w:t xml:space="preserve">eligible </w:t>
      </w:r>
      <w:r w:rsidR="00F15D36">
        <w:rPr>
          <w:rFonts w:eastAsia="Times New Roman" w:cstheme="minorHAnsi"/>
          <w:color w:val="000000"/>
        </w:rPr>
        <w:t>programs.</w:t>
      </w:r>
    </w:p>
    <w:p w:rsidR="00A77839" w:rsidP="00D71AC1" w14:paraId="4FC77AB9" w14:textId="77777777">
      <w:pPr>
        <w:spacing w:after="120"/>
        <w:rPr>
          <w:rFonts w:eastAsia="Times New Roman" w:cstheme="minorHAnsi"/>
          <w:i/>
          <w:color w:val="000000"/>
        </w:rPr>
      </w:pPr>
      <w:r>
        <w:rPr>
          <w:rFonts w:eastAsia="Times New Roman" w:cstheme="minorHAnsi"/>
          <w:i/>
          <w:color w:val="000000"/>
        </w:rPr>
        <w:t>Sampling and Site Selection</w:t>
      </w:r>
    </w:p>
    <w:p w:rsidR="00A77839" w:rsidRPr="00F15D36" w:rsidP="00D71AC1" w14:paraId="733935ED" w14:textId="05FFE348">
      <w:pPr>
        <w:tabs>
          <w:tab w:val="left" w:pos="-720"/>
        </w:tabs>
        <w:suppressAutoHyphens/>
        <w:spacing w:after="240"/>
        <w:rPr>
          <w:rFonts w:eastAsia="Times New Roman" w:cstheme="minorHAnsi"/>
          <w:bCs/>
          <w:color w:val="000000"/>
        </w:rPr>
      </w:pPr>
      <w:r w:rsidRPr="00F15D36">
        <w:rPr>
          <w:rFonts w:eastAsia="Times New Roman" w:cstheme="minorHAnsi"/>
          <w:color w:val="000000"/>
        </w:rPr>
        <w:t>Once the programs have been selected and approved, we will invite up to 75 of the programs selected to complete the interview.</w:t>
      </w:r>
      <w:r w:rsidRPr="00F15D36" w:rsidR="00C34BA9">
        <w:rPr>
          <w:rFonts w:eastAsia="Times New Roman" w:cstheme="minorHAnsi"/>
          <w:color w:val="000000"/>
          <w:shd w:val="clear" w:color="auto" w:fill="FFFFFF" w:themeFill="background1"/>
        </w:rPr>
        <w:t xml:space="preserve"> </w:t>
      </w:r>
      <w:r w:rsidR="0070010C">
        <w:rPr>
          <w:rFonts w:eastAsia="Times New Roman" w:cstheme="minorHAnsi"/>
          <w:color w:val="000000"/>
        </w:rPr>
        <w:t>Respondents</w:t>
      </w:r>
      <w:r w:rsidRPr="00F15D36" w:rsidR="00C34BA9">
        <w:rPr>
          <w:rFonts w:eastAsia="Times New Roman" w:cstheme="minorHAnsi"/>
          <w:color w:val="000000"/>
        </w:rPr>
        <w:t xml:space="preserve"> involved in data collection will be from a convenience sample; they may not be representative of the population all SRAE programs serve.</w:t>
      </w:r>
    </w:p>
    <w:p w:rsidR="00A77839" w:rsidP="00D71AC1" w14:paraId="16A1BD3F" w14:textId="77777777">
      <w:pPr>
        <w:autoSpaceDE w:val="0"/>
        <w:autoSpaceDN w:val="0"/>
        <w:adjustRightInd w:val="0"/>
        <w:spacing w:after="240"/>
        <w:rPr>
          <w:rFonts w:eastAsia="Times New Roman" w:cstheme="minorHAnsi"/>
          <w:b/>
          <w:bCs/>
          <w:color w:val="000000"/>
        </w:rPr>
      </w:pPr>
      <w:r>
        <w:rPr>
          <w:rFonts w:eastAsia="Times New Roman" w:cstheme="minorHAnsi"/>
          <w:b/>
          <w:bCs/>
          <w:color w:val="000000"/>
        </w:rPr>
        <w:t>B3.</w:t>
      </w:r>
      <w:r>
        <w:rPr>
          <w:rFonts w:eastAsia="Times New Roman" w:cstheme="minorHAnsi"/>
          <w:b/>
          <w:bCs/>
          <w:color w:val="000000"/>
        </w:rPr>
        <w:tab/>
        <w:t>Design of Data Collection Instruments</w:t>
      </w:r>
    </w:p>
    <w:p w:rsidR="00A77839" w:rsidP="00D71AC1" w14:paraId="55E5E44A" w14:textId="1A472D67">
      <w:pPr>
        <w:spacing w:after="120"/>
        <w:rPr>
          <w:rFonts w:eastAsia="Times New Roman" w:cstheme="minorHAnsi"/>
          <w:i/>
          <w:color w:val="000000"/>
        </w:rPr>
      </w:pPr>
      <w:r>
        <w:rPr>
          <w:rFonts w:eastAsia="Times New Roman" w:cstheme="minorHAnsi"/>
          <w:i/>
          <w:color w:val="000000"/>
        </w:rPr>
        <w:t>Development of Data Collection Instruments</w:t>
      </w:r>
    </w:p>
    <w:p w:rsidR="00B6107F" w:rsidRPr="00307859" w:rsidP="00D71AC1" w14:paraId="72BA88B2" w14:textId="7A0221FE">
      <w:pPr>
        <w:autoSpaceDE w:val="0"/>
        <w:autoSpaceDN w:val="0"/>
        <w:adjustRightInd w:val="0"/>
        <w:spacing w:after="240"/>
        <w:rPr>
          <w:rFonts w:eastAsia="Times New Roman" w:cstheme="minorHAnsi"/>
          <w:color w:val="000000"/>
        </w:rPr>
      </w:pPr>
      <w:r>
        <w:rPr>
          <w:rFonts w:eastAsia="Times New Roman" w:cstheme="minorHAnsi"/>
          <w:color w:val="000000"/>
        </w:rPr>
        <w:t>The</w:t>
      </w:r>
      <w:r w:rsidR="00D71AC1">
        <w:rPr>
          <w:rFonts w:eastAsia="Times New Roman" w:cstheme="minorHAnsi"/>
          <w:color w:val="000000"/>
        </w:rPr>
        <w:t xml:space="preserve"> study team developed the</w:t>
      </w:r>
      <w:r>
        <w:rPr>
          <w:rFonts w:eastAsia="Times New Roman" w:cstheme="minorHAnsi"/>
          <w:color w:val="000000"/>
        </w:rPr>
        <w:t xml:space="preserve"> </w:t>
      </w:r>
      <w:r w:rsidR="008C1DF7">
        <w:rPr>
          <w:rFonts w:eastAsia="Times New Roman"/>
        </w:rPr>
        <w:t xml:space="preserve">Interview protocol for </w:t>
      </w:r>
      <w:r w:rsidR="0070010C">
        <w:rPr>
          <w:rFonts w:eastAsia="Times New Roman"/>
        </w:rPr>
        <w:t xml:space="preserve">this study, </w:t>
      </w:r>
      <w:r w:rsidRPr="00C70EAB">
        <w:rPr>
          <w:rFonts w:eastAsia="Times New Roman" w:cstheme="minorHAnsi"/>
          <w:color w:val="000000"/>
        </w:rPr>
        <w:t>in co</w:t>
      </w:r>
      <w:r>
        <w:rPr>
          <w:rFonts w:eastAsia="Times New Roman" w:cstheme="minorHAnsi"/>
          <w:color w:val="000000"/>
        </w:rPr>
        <w:t>llaboration with ACF</w:t>
      </w:r>
      <w:r w:rsidR="0070010C">
        <w:rPr>
          <w:rFonts w:eastAsia="Times New Roman" w:cstheme="minorHAnsi"/>
          <w:color w:val="000000"/>
        </w:rPr>
        <w:t>,</w:t>
      </w:r>
      <w:r>
        <w:rPr>
          <w:rFonts w:eastAsia="Times New Roman" w:cstheme="minorHAnsi"/>
          <w:color w:val="000000"/>
        </w:rPr>
        <w:t xml:space="preserve"> </w:t>
      </w:r>
      <w:r w:rsidRPr="00581B7C">
        <w:rPr>
          <w:rFonts w:eastAsia="Times New Roman" w:cstheme="minorHAnsi"/>
          <w:color w:val="000000"/>
        </w:rPr>
        <w:t xml:space="preserve">to address four </w:t>
      </w:r>
      <w:r w:rsidR="00F15D36">
        <w:rPr>
          <w:rFonts w:eastAsia="Times New Roman" w:cstheme="minorHAnsi"/>
          <w:color w:val="000000"/>
        </w:rPr>
        <w:t>research questio</w:t>
      </w:r>
      <w:r w:rsidR="008152C1">
        <w:rPr>
          <w:rFonts w:eastAsia="Times New Roman" w:cstheme="minorHAnsi"/>
          <w:color w:val="000000"/>
        </w:rPr>
        <w:t>n</w:t>
      </w:r>
      <w:r w:rsidR="00F15D36">
        <w:rPr>
          <w:rFonts w:eastAsia="Times New Roman" w:cstheme="minorHAnsi"/>
          <w:color w:val="000000"/>
        </w:rPr>
        <w:t xml:space="preserve">s that reflect the information needs for ACF regarding SRAE programming </w:t>
      </w:r>
      <w:r w:rsidR="0070010C">
        <w:rPr>
          <w:rFonts w:eastAsia="Times New Roman" w:cstheme="minorHAnsi"/>
          <w:color w:val="000000"/>
        </w:rPr>
        <w:t xml:space="preserve">conducted by </w:t>
      </w:r>
      <w:r w:rsidR="00F15D36">
        <w:rPr>
          <w:rFonts w:eastAsia="Times New Roman" w:cstheme="minorHAnsi"/>
          <w:color w:val="000000"/>
        </w:rPr>
        <w:t xml:space="preserve">grantees serving youth in </w:t>
      </w:r>
      <w:r w:rsidR="008152C1">
        <w:rPr>
          <w:rFonts w:eastAsia="Times New Roman" w:cstheme="minorHAnsi"/>
          <w:color w:val="000000"/>
        </w:rPr>
        <w:t xml:space="preserve">the </w:t>
      </w:r>
      <w:r w:rsidR="00581B7C">
        <w:rPr>
          <w:rFonts w:eastAsia="Times New Roman" w:cstheme="minorHAnsi"/>
          <w:color w:val="000000"/>
        </w:rPr>
        <w:t>two</w:t>
      </w:r>
      <w:r w:rsidR="008152C1">
        <w:rPr>
          <w:rFonts w:eastAsia="Times New Roman" w:cstheme="minorHAnsi"/>
          <w:color w:val="000000"/>
        </w:rPr>
        <w:t xml:space="preserve"> settings of interest</w:t>
      </w:r>
      <w:r w:rsidR="00F15D36">
        <w:rPr>
          <w:rFonts w:eastAsia="Times New Roman" w:cstheme="minorHAnsi"/>
          <w:color w:val="000000"/>
        </w:rPr>
        <w:t>.</w:t>
      </w:r>
      <w:r>
        <w:rPr>
          <w:rFonts w:eastAsia="Times New Roman" w:cstheme="minorHAnsi"/>
          <w:color w:val="000000"/>
        </w:rPr>
        <w:t xml:space="preserve"> </w:t>
      </w:r>
      <w:r w:rsidR="002D3960">
        <w:rPr>
          <w:rFonts w:eastAsia="Times New Roman" w:cstheme="minorHAnsi"/>
          <w:color w:val="000000"/>
        </w:rPr>
        <w:t>The NWS survey</w:t>
      </w:r>
      <w:r>
        <w:rPr>
          <w:rStyle w:val="FootnoteReference"/>
          <w:rFonts w:eastAsia="Times New Roman" w:cstheme="minorHAnsi"/>
          <w:color w:val="000000"/>
        </w:rPr>
        <w:footnoteReference w:id="3"/>
      </w:r>
      <w:r w:rsidR="002D3960">
        <w:rPr>
          <w:rFonts w:eastAsia="Times New Roman" w:cstheme="minorHAnsi"/>
          <w:color w:val="000000"/>
        </w:rPr>
        <w:t xml:space="preserve"> collects high-level quantitative data on the populations SRAE programs serve and th</w:t>
      </w:r>
      <w:r w:rsidR="0070010C">
        <w:rPr>
          <w:rFonts w:eastAsia="Times New Roman" w:cstheme="minorHAnsi"/>
          <w:color w:val="000000"/>
        </w:rPr>
        <w:t>e</w:t>
      </w:r>
      <w:r w:rsidR="002D3960">
        <w:rPr>
          <w:rFonts w:eastAsia="Times New Roman" w:cstheme="minorHAnsi"/>
          <w:color w:val="000000"/>
        </w:rPr>
        <w:t xml:space="preserve"> settings, including juvenile justice detention centers and foster care group homes, </w:t>
      </w:r>
      <w:r w:rsidR="0070010C">
        <w:rPr>
          <w:rFonts w:eastAsia="Times New Roman" w:cstheme="minorHAnsi"/>
          <w:color w:val="000000"/>
        </w:rPr>
        <w:t>where grantees serve youth</w:t>
      </w:r>
      <w:r w:rsidR="002D3960">
        <w:rPr>
          <w:rFonts w:eastAsia="Times New Roman" w:cstheme="minorHAnsi"/>
          <w:color w:val="000000"/>
        </w:rPr>
        <w:t xml:space="preserve">. The NWS survey data provide prevalence rates, but do not provide in-depth, contextual data that this study will collect from providers serving youth in these specific settings. </w:t>
      </w:r>
      <w:r w:rsidR="008152C1">
        <w:rPr>
          <w:rFonts w:eastAsia="Times New Roman" w:cstheme="minorHAnsi"/>
          <w:color w:val="000000"/>
        </w:rPr>
        <w:t xml:space="preserve">The </w:t>
      </w:r>
      <w:r w:rsidR="00994F0D">
        <w:rPr>
          <w:rFonts w:eastAsia="Times New Roman" w:cstheme="minorHAnsi"/>
          <w:color w:val="000000"/>
        </w:rPr>
        <w:t>three</w:t>
      </w:r>
      <w:r w:rsidR="008152C1">
        <w:rPr>
          <w:rFonts w:eastAsia="Times New Roman" w:cstheme="minorHAnsi"/>
          <w:color w:val="000000"/>
        </w:rPr>
        <w:t xml:space="preserve"> primary topics covered by th</w:t>
      </w:r>
      <w:r w:rsidR="002D3960">
        <w:rPr>
          <w:rFonts w:eastAsia="Times New Roman" w:cstheme="minorHAnsi"/>
          <w:color w:val="000000"/>
        </w:rPr>
        <w:t>is study’s</w:t>
      </w:r>
      <w:r w:rsidR="008152C1">
        <w:rPr>
          <w:rFonts w:eastAsia="Times New Roman" w:cstheme="minorHAnsi"/>
          <w:color w:val="000000"/>
        </w:rPr>
        <w:t xml:space="preserve"> data collection protocol include</w:t>
      </w:r>
      <w:r w:rsidR="00510341">
        <w:rPr>
          <w:rFonts w:eastAsia="Times New Roman" w:cstheme="minorHAnsi"/>
          <w:color w:val="000000"/>
        </w:rPr>
        <w:t>:</w:t>
      </w:r>
      <w:r w:rsidR="008152C1">
        <w:rPr>
          <w:rFonts w:eastAsia="Times New Roman" w:cstheme="minorHAnsi"/>
          <w:color w:val="000000"/>
        </w:rPr>
        <w:t xml:space="preserve"> (1) how grantees </w:t>
      </w:r>
      <w:r w:rsidR="001A5CD4">
        <w:rPr>
          <w:rFonts w:eastAsia="Times New Roman" w:cstheme="minorHAnsi"/>
          <w:color w:val="000000"/>
        </w:rPr>
        <w:t xml:space="preserve">and providers </w:t>
      </w:r>
      <w:r w:rsidR="008152C1">
        <w:rPr>
          <w:rFonts w:eastAsia="Times New Roman" w:cstheme="minorHAnsi"/>
          <w:color w:val="000000"/>
        </w:rPr>
        <w:t xml:space="preserve">serve youth </w:t>
      </w:r>
      <w:r w:rsidR="00BC0E62">
        <w:t>in juvenile justice detention centers and foster care group homes</w:t>
      </w:r>
      <w:r w:rsidR="009B310C">
        <w:t>, including how they identify a curriculum and customize SRAE programming, how they recruit, enroll, and engage youth, how they train and support staff, and how they build partnerships</w:t>
      </w:r>
      <w:r w:rsidR="008152C1">
        <w:rPr>
          <w:rFonts w:eastAsia="Times New Roman" w:cstheme="minorHAnsi"/>
          <w:color w:val="000000"/>
        </w:rPr>
        <w:t>; (2)</w:t>
      </w:r>
      <w:r w:rsidR="00994F0D">
        <w:rPr>
          <w:rFonts w:eastAsia="Times New Roman" w:cstheme="minorHAnsi"/>
          <w:color w:val="000000"/>
        </w:rPr>
        <w:t xml:space="preserve"> the extent to which </w:t>
      </w:r>
      <w:r w:rsidR="00994F0D">
        <w:t>grantees and providers utilized different strategies when serving youth in juvenile justice detention centers and foster care group homes compared to when they served youth in other settings; and (3) the</w:t>
      </w:r>
      <w:r w:rsidR="008152C1">
        <w:rPr>
          <w:rFonts w:eastAsia="Times New Roman" w:cstheme="minorHAnsi"/>
          <w:color w:val="000000"/>
        </w:rPr>
        <w:t xml:space="preserve"> successes </w:t>
      </w:r>
      <w:r w:rsidR="00994F0D">
        <w:rPr>
          <w:rFonts w:eastAsia="Times New Roman" w:cstheme="minorHAnsi"/>
          <w:color w:val="000000"/>
        </w:rPr>
        <w:t xml:space="preserve">and challenges </w:t>
      </w:r>
      <w:r w:rsidR="008152C1">
        <w:rPr>
          <w:rFonts w:eastAsia="Times New Roman" w:cstheme="minorHAnsi"/>
          <w:color w:val="000000"/>
        </w:rPr>
        <w:t>grantees</w:t>
      </w:r>
      <w:r w:rsidR="001A5CD4">
        <w:rPr>
          <w:rFonts w:eastAsia="Times New Roman" w:cstheme="minorHAnsi"/>
          <w:color w:val="000000"/>
        </w:rPr>
        <w:t xml:space="preserve"> and providers</w:t>
      </w:r>
      <w:r w:rsidR="008152C1">
        <w:rPr>
          <w:rFonts w:eastAsia="Times New Roman" w:cstheme="minorHAnsi"/>
          <w:color w:val="000000"/>
        </w:rPr>
        <w:t xml:space="preserve"> have experienced with their programs</w:t>
      </w:r>
      <w:r w:rsidR="00994F0D">
        <w:rPr>
          <w:rFonts w:eastAsia="Times New Roman" w:cstheme="minorHAnsi"/>
          <w:color w:val="000000"/>
        </w:rPr>
        <w:t xml:space="preserve">. </w:t>
      </w:r>
      <w:r w:rsidR="004F6D9A">
        <w:rPr>
          <w:rFonts w:eastAsia="Times New Roman" w:cstheme="minorHAnsi"/>
          <w:color w:val="000000"/>
        </w:rPr>
        <w:t>The</w:t>
      </w:r>
      <w:r w:rsidR="002432D2">
        <w:rPr>
          <w:rFonts w:eastAsia="Times New Roman" w:cstheme="minorHAnsi"/>
          <w:color w:val="000000"/>
        </w:rPr>
        <w:t xml:space="preserve"> </w:t>
      </w:r>
      <w:r>
        <w:rPr>
          <w:rFonts w:eastAsia="Times New Roman" w:cstheme="minorHAnsi"/>
          <w:color w:val="000000"/>
        </w:rPr>
        <w:t xml:space="preserve">interview protocol </w:t>
      </w:r>
      <w:r w:rsidR="004F6D9A">
        <w:rPr>
          <w:rFonts w:eastAsia="Times New Roman" w:cstheme="minorHAnsi"/>
          <w:color w:val="000000"/>
        </w:rPr>
        <w:t xml:space="preserve">includes a combination of </w:t>
      </w:r>
      <w:r>
        <w:rPr>
          <w:rFonts w:eastAsia="Times New Roman" w:cstheme="minorHAnsi"/>
          <w:color w:val="000000"/>
        </w:rPr>
        <w:t>open-ended items</w:t>
      </w:r>
      <w:r w:rsidR="004F6D9A">
        <w:rPr>
          <w:rFonts w:eastAsia="Times New Roman" w:cstheme="minorHAnsi"/>
          <w:color w:val="000000"/>
        </w:rPr>
        <w:t xml:space="preserve"> that allow</w:t>
      </w:r>
      <w:r w:rsidRPr="004F6D9A" w:rsidR="004F6D9A">
        <w:rPr>
          <w:rFonts w:eastAsia="Times New Roman" w:cstheme="minorHAnsi"/>
          <w:color w:val="000000"/>
        </w:rPr>
        <w:t xml:space="preserve"> </w:t>
      </w:r>
      <w:r w:rsidR="004F6D9A">
        <w:rPr>
          <w:rFonts w:eastAsia="Times New Roman" w:cstheme="minorHAnsi"/>
          <w:color w:val="000000"/>
        </w:rPr>
        <w:t>providers to provide rich qualitative responses about their experiences and close-ended items</w:t>
      </w:r>
      <w:r>
        <w:rPr>
          <w:rFonts w:eastAsia="Times New Roman" w:cstheme="minorHAnsi"/>
          <w:color w:val="000000"/>
        </w:rPr>
        <w:t xml:space="preserve"> to meet the study objectives. </w:t>
      </w:r>
    </w:p>
    <w:p w:rsidR="00B6107F" w:rsidP="00D71AC1" w14:paraId="791AF70B" w14:textId="095DE1B3">
      <w:pPr>
        <w:spacing w:after="240"/>
      </w:pPr>
      <w:r>
        <w:t xml:space="preserve">The study design </w:t>
      </w:r>
      <w:r w:rsidR="0070010C">
        <w:t>reduces</w:t>
      </w:r>
      <w:r>
        <w:t xml:space="preserve"> measurement error in two ways: (1) study leads can oversee all interview moderators in the chat board, ensuring consistency in grantee</w:t>
      </w:r>
      <w:r w:rsidR="001A5CD4">
        <w:t xml:space="preserve"> and provider</w:t>
      </w:r>
      <w:r>
        <w:t xml:space="preserve"> probes and follow-ups and clarifying unclear or ambiguous responses, and (2) the online platform exports a transcript of all comments to interviewers, preventing errors in notetaking and transcription that could occur during a telephone or in-person interview.</w:t>
      </w:r>
    </w:p>
    <w:p w:rsidR="00A77839" w:rsidP="00D71AC1" w14:paraId="34F5B168" w14:textId="77777777">
      <w:pPr>
        <w:autoSpaceDE w:val="0"/>
        <w:autoSpaceDN w:val="0"/>
        <w:adjustRightInd w:val="0"/>
        <w:spacing w:after="120"/>
        <w:rPr>
          <w:rFonts w:eastAsia="Times New Roman" w:cstheme="minorHAnsi"/>
          <w:b/>
          <w:bCs/>
          <w:color w:val="000000"/>
        </w:rPr>
      </w:pPr>
      <w:r>
        <w:rPr>
          <w:rFonts w:eastAsia="Times New Roman" w:cstheme="minorHAnsi"/>
          <w:b/>
          <w:bCs/>
          <w:color w:val="000000"/>
        </w:rPr>
        <w:t xml:space="preserve">B4. </w:t>
      </w:r>
      <w:r>
        <w:rPr>
          <w:rFonts w:eastAsia="Times New Roman" w:cstheme="minorHAnsi"/>
          <w:b/>
          <w:bCs/>
          <w:color w:val="000000"/>
        </w:rPr>
        <w:tab/>
        <w:t>Collection of Data and Quality Control</w:t>
      </w:r>
    </w:p>
    <w:p w:rsidR="00F24623" w:rsidRPr="00F24397" w:rsidP="00D71AC1" w14:paraId="1287A716" w14:textId="50D67258">
      <w:pPr>
        <w:spacing w:after="240"/>
      </w:pPr>
      <w:r w:rsidRPr="00F24397">
        <w:t>ACF is contracting with Mathematica for this data collection.</w:t>
      </w:r>
    </w:p>
    <w:p w:rsidR="00F24623" w:rsidP="00D71AC1" w14:paraId="7921BFAB" w14:textId="5CA6D8C3">
      <w:pPr>
        <w:spacing w:after="240"/>
      </w:pPr>
      <w:r>
        <w:t>Mathematica</w:t>
      </w:r>
      <w:r w:rsidRPr="00F24397">
        <w:t xml:space="preserve"> will conduct the interview</w:t>
      </w:r>
      <w:r w:rsidR="0070010C">
        <w:t>s</w:t>
      </w:r>
      <w:r w:rsidRPr="00F24397">
        <w:t xml:space="preserve"> us</w:t>
      </w:r>
      <w:r>
        <w:t>ing</w:t>
      </w:r>
      <w:r w:rsidRPr="00F24397">
        <w:t xml:space="preserve"> </w:t>
      </w:r>
      <w:r w:rsidRPr="00F24397">
        <w:t>Qual</w:t>
      </w:r>
      <w:r>
        <w:t>B</w:t>
      </w:r>
      <w:r w:rsidRPr="00F24397">
        <w:t>oard</w:t>
      </w:r>
      <w:r>
        <w:t>,</w:t>
      </w:r>
      <w:r w:rsidRPr="00F24397">
        <w:t xml:space="preserve"> </w:t>
      </w:r>
      <w:r w:rsidRPr="003A64CF" w:rsidR="009369F6">
        <w:t>a chat board platform</w:t>
      </w:r>
      <w:r w:rsidRPr="00F24397" w:rsidR="009369F6">
        <w:t xml:space="preserve"> </w:t>
      </w:r>
      <w:r w:rsidRPr="00F24397">
        <w:t xml:space="preserve">where </w:t>
      </w:r>
      <w:r w:rsidR="0070010C">
        <w:t>respondents</w:t>
      </w:r>
      <w:r w:rsidRPr="00F24397">
        <w:t xml:space="preserve"> </w:t>
      </w:r>
      <w:r>
        <w:t>can</w:t>
      </w:r>
      <w:r w:rsidRPr="00F24397">
        <w:t xml:space="preserve"> see and respond to questions. </w:t>
      </w:r>
      <w:r>
        <w:t xml:space="preserve">The interview will not be </w:t>
      </w:r>
      <w:r w:rsidRPr="00F24397">
        <w:t>a real-time chat</w:t>
      </w:r>
      <w:r>
        <w:t>;</w:t>
      </w:r>
      <w:r w:rsidRPr="00F24397">
        <w:t xml:space="preserve"> </w:t>
      </w:r>
      <w:r w:rsidR="0070010C">
        <w:t>respondents</w:t>
      </w:r>
      <w:r w:rsidRPr="00F24397">
        <w:t xml:space="preserve"> can log on at any time convenient for them. </w:t>
      </w:r>
      <w:r w:rsidR="0070010C">
        <w:t xml:space="preserve">Individual respondents will not be able to see other participants’ responses. </w:t>
      </w:r>
      <w:r w:rsidR="002432D2">
        <w:t>Qualboard</w:t>
      </w:r>
      <w:r w:rsidR="002432D2">
        <w:t xml:space="preserve"> stores r</w:t>
      </w:r>
      <w:r w:rsidRPr="00F24397">
        <w:t xml:space="preserve">esponses </w:t>
      </w:r>
      <w:r>
        <w:t>in a database only accessible to the study team</w:t>
      </w:r>
      <w:r w:rsidRPr="00F24397">
        <w:t xml:space="preserve"> and </w:t>
      </w:r>
      <w:r w:rsidR="002432D2">
        <w:t xml:space="preserve">responses will be </w:t>
      </w:r>
      <w:r w:rsidRPr="00F24397">
        <w:t xml:space="preserve">used as an interview transcript. </w:t>
      </w:r>
    </w:p>
    <w:p w:rsidR="00BE3904" w:rsidP="00D71AC1" w14:paraId="6AC9C005" w14:textId="5B069FAA">
      <w:pPr>
        <w:spacing w:after="240"/>
      </w:pPr>
      <w:r>
        <w:t xml:space="preserve">Data collection will occur on a rolling basis. </w:t>
      </w:r>
      <w:r w:rsidRPr="000677B3" w:rsidR="000677B3">
        <w:t xml:space="preserve">We will stagger the data collection over a </w:t>
      </w:r>
      <w:r w:rsidR="00510341">
        <w:t>five</w:t>
      </w:r>
      <w:r w:rsidRPr="000677B3" w:rsidR="000677B3">
        <w:t xml:space="preserve">-week period, to limit the number of respondents accessing the board at one time. </w:t>
      </w:r>
      <w:r w:rsidR="000677B3">
        <w:t xml:space="preserve">Smaller groups will also enable the study team to more carefully review and moderate interviews. </w:t>
      </w:r>
      <w:r w:rsidRPr="000677B3" w:rsidR="000677B3">
        <w:t xml:space="preserve">We will release the interviews in groups of roughly 10 to 15 respondents each week. We expect respondents to complete the interview within one week, but some may require up to two weeks. </w:t>
      </w:r>
    </w:p>
    <w:p w:rsidR="00F24623" w:rsidRPr="00F24397" w:rsidP="00D71AC1" w14:paraId="474AD933" w14:textId="35AFA7CC">
      <w:pPr>
        <w:spacing w:after="240"/>
      </w:pPr>
      <w:r>
        <w:t>Before data collection, t</w:t>
      </w:r>
      <w:r w:rsidRPr="00B97C65">
        <w:t xml:space="preserve">he </w:t>
      </w:r>
      <w:r w:rsidR="0070010C">
        <w:t xml:space="preserve">study team </w:t>
      </w:r>
      <w:r w:rsidRPr="00B97C65">
        <w:t xml:space="preserve">will send an email inviting </w:t>
      </w:r>
      <w:r w:rsidR="00BE3904">
        <w:t xml:space="preserve">grantee or provider </w:t>
      </w:r>
      <w:r w:rsidRPr="00B97C65">
        <w:t xml:space="preserve">program directors to participate in an interview </w:t>
      </w:r>
      <w:r w:rsidRPr="001029A5">
        <w:t>(Appendix A:</w:t>
      </w:r>
      <w:r>
        <w:t xml:space="preserve"> </w:t>
      </w:r>
      <w:r w:rsidR="002D3960">
        <w:t>Study Notification and Reminder Materials</w:t>
      </w:r>
      <w:r w:rsidRPr="00B97C65">
        <w:t xml:space="preserve">). The invitation will </w:t>
      </w:r>
      <w:r>
        <w:t>explain</w:t>
      </w:r>
      <w:r w:rsidRPr="00B97C65">
        <w:t xml:space="preserve"> the purpose of the interview and</w:t>
      </w:r>
      <w:r>
        <w:t xml:space="preserve"> detail the data collection mode. It will include a proposed week of data collection, to ensure </w:t>
      </w:r>
      <w:r w:rsidR="0070010C">
        <w:t>respondents</w:t>
      </w:r>
      <w:r>
        <w:t xml:space="preserve"> will be available during their data collection window</w:t>
      </w:r>
      <w:r w:rsidRPr="00B97C65">
        <w:t xml:space="preserve">. </w:t>
      </w:r>
      <w:r w:rsidRPr="00BE3904">
        <w:t xml:space="preserve">Following the </w:t>
      </w:r>
      <w:r w:rsidRPr="00BE3904" w:rsidR="00BE3904">
        <w:t xml:space="preserve">initial </w:t>
      </w:r>
      <w:r w:rsidRPr="00BE3904">
        <w:t xml:space="preserve">invitation, </w:t>
      </w:r>
      <w:r w:rsidR="0070010C">
        <w:t>respondents</w:t>
      </w:r>
      <w:r w:rsidRPr="00BE3904">
        <w:t xml:space="preserve"> will </w:t>
      </w:r>
      <w:r w:rsidRPr="00F24397" w:rsidR="00BE3904">
        <w:t>receive log</w:t>
      </w:r>
      <w:r w:rsidR="00BE3904">
        <w:t>-</w:t>
      </w:r>
      <w:r w:rsidRPr="00F24397" w:rsidR="00BE3904">
        <w:t>in credentials via emai</w:t>
      </w:r>
      <w:r w:rsidRPr="001029A5" w:rsidR="00BE3904">
        <w:t>l</w:t>
      </w:r>
      <w:r w:rsidRPr="00F24397" w:rsidR="00BE3904">
        <w:t xml:space="preserve"> to access the </w:t>
      </w:r>
      <w:r w:rsidRPr="00BE3904" w:rsidR="00BE3904">
        <w:t>QualBoard</w:t>
      </w:r>
      <w:r w:rsidRPr="00BE3904" w:rsidR="00BE3904">
        <w:t xml:space="preserve"> site</w:t>
      </w:r>
      <w:r w:rsidRPr="00B75D1D">
        <w:t xml:space="preserve">. </w:t>
      </w:r>
      <w:r>
        <w:t>The contractor will follow up with interview nonrespondents to encourage their participation by highlighting the importance of the interviews. Federal project officers might</w:t>
      </w:r>
      <w:r w:rsidRPr="0005251B">
        <w:t xml:space="preserve"> </w:t>
      </w:r>
      <w:r>
        <w:t xml:space="preserve">also </w:t>
      </w:r>
      <w:r w:rsidRPr="0005251B">
        <w:t xml:space="preserve">contact nonrespondents </w:t>
      </w:r>
      <w:r>
        <w:t xml:space="preserve">to encourage their </w:t>
      </w:r>
      <w:r w:rsidRPr="0005251B">
        <w:t>participat</w:t>
      </w:r>
      <w:r>
        <w:t>ion</w:t>
      </w:r>
      <w:r w:rsidRPr="0005251B">
        <w:t>.</w:t>
      </w:r>
      <w:r>
        <w:t xml:space="preserve"> In addition, to encourage participation and to provide flexibility, upon request, we will allow </w:t>
      </w:r>
      <w:r w:rsidR="0070010C">
        <w:t>respondents</w:t>
      </w:r>
      <w:r>
        <w:t xml:space="preserve"> to complete the protocol via telephone with a trained member of the study team. </w:t>
      </w:r>
      <w:r w:rsidR="000677B3">
        <w:t xml:space="preserve">The assigned moderator will add the data collected over the phone to </w:t>
      </w:r>
      <w:r w:rsidR="000677B3">
        <w:t>Qualboard</w:t>
      </w:r>
      <w:r w:rsidR="000677B3">
        <w:t xml:space="preserve">. </w:t>
      </w:r>
    </w:p>
    <w:p w:rsidR="00F24623" w:rsidP="00D71AC1" w14:paraId="1D7B41FC" w14:textId="640BEDB0">
      <w:pPr>
        <w:spacing w:after="240"/>
      </w:pPr>
      <w:r w:rsidRPr="00F24397">
        <w:t xml:space="preserve">A trained </w:t>
      </w:r>
      <w:r>
        <w:t>member of</w:t>
      </w:r>
      <w:r w:rsidRPr="00F24397">
        <w:t xml:space="preserve"> </w:t>
      </w:r>
      <w:r>
        <w:t xml:space="preserve">Mathematica’s study team </w:t>
      </w:r>
      <w:r w:rsidRPr="00F24397">
        <w:t xml:space="preserve">will </w:t>
      </w:r>
      <w:r>
        <w:t xml:space="preserve">conduct </w:t>
      </w:r>
      <w:r w:rsidRPr="00F24397">
        <w:t xml:space="preserve">each interview. </w:t>
      </w:r>
      <w:r>
        <w:t>Q</w:t>
      </w:r>
      <w:r w:rsidRPr="00F24397">
        <w:t xml:space="preserve">uestions from the </w:t>
      </w:r>
      <w:r>
        <w:t>interview protocol</w:t>
      </w:r>
      <w:r w:rsidRPr="00F24397">
        <w:t xml:space="preserve"> </w:t>
      </w:r>
      <w:r>
        <w:t xml:space="preserve">will be programmed </w:t>
      </w:r>
      <w:r w:rsidRPr="00F24397">
        <w:t>in</w:t>
      </w:r>
      <w:r>
        <w:t xml:space="preserve">to chat boxes in </w:t>
      </w:r>
      <w:r>
        <w:t>QualBoard</w:t>
      </w:r>
      <w:r>
        <w:t>,</w:t>
      </w:r>
      <w:r w:rsidRPr="00F24397">
        <w:t xml:space="preserve"> and </w:t>
      </w:r>
      <w:r w:rsidR="0070010C">
        <w:t>respondents</w:t>
      </w:r>
      <w:r w:rsidRPr="00F24397">
        <w:t xml:space="preserve"> will type </w:t>
      </w:r>
      <w:r w:rsidR="0070010C">
        <w:t>in their answers</w:t>
      </w:r>
      <w:r w:rsidRPr="00F24397">
        <w:t xml:space="preserve">. </w:t>
      </w:r>
      <w:r>
        <w:t>Interview moderators</w:t>
      </w:r>
      <w:r w:rsidRPr="00F24397">
        <w:t xml:space="preserve"> will be trained on the interview </w:t>
      </w:r>
      <w:r>
        <w:t>protocol,</w:t>
      </w:r>
      <w:r w:rsidRPr="00F24397">
        <w:t xml:space="preserve"> and the project lead will review </w:t>
      </w:r>
      <w:r>
        <w:t>all</w:t>
      </w:r>
      <w:r w:rsidRPr="00F24397">
        <w:t xml:space="preserve"> </w:t>
      </w:r>
      <w:r>
        <w:t xml:space="preserve">moderators’ </w:t>
      </w:r>
      <w:r w:rsidRPr="00F24397">
        <w:t>session</w:t>
      </w:r>
      <w:r>
        <w:t>s</w:t>
      </w:r>
      <w:r w:rsidRPr="00F24397">
        <w:t xml:space="preserve"> for consistency in engagement with </w:t>
      </w:r>
      <w:r w:rsidR="0070010C">
        <w:t>respondent</w:t>
      </w:r>
      <w:r w:rsidRPr="00F24397">
        <w:t xml:space="preserve">s. Throughout the sessions, </w:t>
      </w:r>
      <w:r>
        <w:t>moderators</w:t>
      </w:r>
      <w:r w:rsidRPr="00F24397">
        <w:t xml:space="preserve"> will review responses</w:t>
      </w:r>
      <w:r>
        <w:t>.</w:t>
      </w:r>
      <w:r w:rsidRPr="00F24397">
        <w:t xml:space="preserve"> </w:t>
      </w:r>
      <w:r>
        <w:t>W</w:t>
      </w:r>
      <w:r w:rsidRPr="00F24397">
        <w:t xml:space="preserve">hen necessary, </w:t>
      </w:r>
      <w:r>
        <w:t xml:space="preserve">they will </w:t>
      </w:r>
      <w:r w:rsidRPr="00F24397">
        <w:t xml:space="preserve">encourage more in-depth responses </w:t>
      </w:r>
      <w:r>
        <w:t xml:space="preserve">and </w:t>
      </w:r>
      <w:r w:rsidRPr="00F24397">
        <w:t xml:space="preserve">probe </w:t>
      </w:r>
      <w:r w:rsidR="0070010C">
        <w:t>respondents</w:t>
      </w:r>
      <w:r w:rsidRPr="00F24397">
        <w:t xml:space="preserve"> to elaborate on responses. </w:t>
      </w:r>
      <w:r>
        <w:t xml:space="preserve">When the moderator asks a follow-up question, the </w:t>
      </w:r>
      <w:r w:rsidR="0070010C">
        <w:t>respondent</w:t>
      </w:r>
      <w:r>
        <w:t xml:space="preserve"> will receive an email notification that follow-up on their interview has been requested.</w:t>
      </w:r>
    </w:p>
    <w:p w:rsidR="004D0D26" w:rsidRPr="00F24397" w:rsidP="00D71AC1" w14:paraId="77776C51" w14:textId="39F99082">
      <w:pPr>
        <w:spacing w:after="240"/>
      </w:pPr>
      <w:r>
        <w:t xml:space="preserve">Table B.1. shows the </w:t>
      </w:r>
      <w:r w:rsidR="002F5650">
        <w:t>total expected number of participants, the data collection mode and expected time to complete the interview, and that this is a one-time data collection request of the participants.</w:t>
      </w:r>
    </w:p>
    <w:p w:rsidR="00A77839" w:rsidRPr="00813F86" w:rsidP="00D71AC1" w14:paraId="689D54F4" w14:textId="49BA8A69">
      <w:pPr>
        <w:pStyle w:val="Heading2A"/>
        <w:spacing w:before="40" w:after="40" w:line="276" w:lineRule="auto"/>
        <w:ind w:left="547" w:hanging="547"/>
        <w:rPr>
          <w:rFonts w:asciiTheme="majorHAnsi" w:hAnsiTheme="majorHAnsi"/>
        </w:rPr>
      </w:pPr>
      <w:r w:rsidRPr="00813F86">
        <w:rPr>
          <w:rFonts w:asciiTheme="majorHAnsi" w:hAnsiTheme="majorHAnsi"/>
        </w:rPr>
        <w:t xml:space="preserve">Table B.1. SRAENE </w:t>
      </w:r>
      <w:r w:rsidR="00641ADD">
        <w:rPr>
          <w:rFonts w:asciiTheme="majorHAnsi" w:hAnsiTheme="majorHAnsi"/>
        </w:rPr>
        <w:t xml:space="preserve">Formative Evaluation for the </w:t>
      </w:r>
      <w:r w:rsidRPr="00813F86">
        <w:rPr>
          <w:rFonts w:asciiTheme="majorHAnsi" w:hAnsiTheme="majorHAnsi"/>
        </w:rPr>
        <w:t>Program Components Impact Study: Data collection activities</w:t>
      </w:r>
    </w:p>
    <w:tbl>
      <w:tblPr>
        <w:tblStyle w:val="MathUBaseTable"/>
        <w:tblW w:w="4904" w:type="pct"/>
        <w:tblLook w:val="04A0"/>
      </w:tblPr>
      <w:tblGrid>
        <w:gridCol w:w="2523"/>
        <w:gridCol w:w="2697"/>
        <w:gridCol w:w="3960"/>
      </w:tblGrid>
      <w:tr w14:paraId="0CF831AD" w14:textId="77777777" w:rsidTr="00A77839">
        <w:tblPrEx>
          <w:tblW w:w="4904" w:type="pct"/>
          <w:tblLook w:val="04A0"/>
        </w:tblPrEx>
        <w:trPr>
          <w:trHeight w:val="120"/>
          <w:tblHeader/>
        </w:trPr>
        <w:tc>
          <w:tcPr>
            <w:tcW w:w="1374" w:type="pct"/>
          </w:tcPr>
          <w:p w:rsidR="00A77839" w:rsidP="00D71AC1" w14:paraId="76D0FCB7" w14:textId="77777777">
            <w:pPr>
              <w:pStyle w:val="TableHeaderLeft"/>
              <w:spacing w:before="0" w:after="0" w:line="276" w:lineRule="auto"/>
              <w:rPr>
                <w:rFonts w:asciiTheme="minorHAnsi" w:hAnsiTheme="minorHAnsi" w:cstheme="minorHAnsi"/>
                <w:szCs w:val="20"/>
              </w:rPr>
            </w:pPr>
            <w:r>
              <w:rPr>
                <w:rFonts w:asciiTheme="minorHAnsi" w:hAnsiTheme="minorHAnsi" w:cstheme="minorHAnsi"/>
                <w:szCs w:val="20"/>
              </w:rPr>
              <w:t>Data Collection</w:t>
            </w:r>
          </w:p>
        </w:tc>
        <w:tc>
          <w:tcPr>
            <w:tcW w:w="3626" w:type="pct"/>
            <w:gridSpan w:val="2"/>
            <w:tcBorders>
              <w:bottom w:val="single" w:sz="4" w:space="0" w:color="1F497D" w:themeColor="text2"/>
            </w:tcBorders>
          </w:tcPr>
          <w:p w:rsidR="00A77839" w:rsidP="00D71AC1" w14:paraId="4A7BDDC9" w14:textId="77777777">
            <w:pPr>
              <w:pStyle w:val="TableHeaderCenter"/>
              <w:spacing w:before="0" w:after="0" w:line="276" w:lineRule="auto"/>
              <w:jc w:val="left"/>
              <w:rPr>
                <w:rFonts w:asciiTheme="minorHAnsi" w:hAnsiTheme="minorHAnsi" w:cstheme="minorHAnsi"/>
                <w:szCs w:val="20"/>
              </w:rPr>
            </w:pPr>
            <w:r>
              <w:rPr>
                <w:rFonts w:asciiTheme="minorHAnsi" w:hAnsiTheme="minorHAnsi" w:cstheme="minorHAnsi"/>
                <w:szCs w:val="20"/>
              </w:rPr>
              <w:t>Administration plans</w:t>
            </w:r>
          </w:p>
        </w:tc>
      </w:tr>
      <w:tr w14:paraId="4B4BDF9B" w14:textId="77777777" w:rsidTr="00A77839">
        <w:tblPrEx>
          <w:tblW w:w="4904" w:type="pct"/>
          <w:tblLook w:val="04A0"/>
        </w:tblPrEx>
        <w:trPr>
          <w:trHeight w:val="120"/>
        </w:trPr>
        <w:tc>
          <w:tcPr>
            <w:tcW w:w="1374" w:type="pct"/>
            <w:vMerge w:val="restart"/>
            <w:tcBorders>
              <w:top w:val="nil"/>
              <w:right w:val="single" w:sz="4" w:space="0" w:color="046B5C"/>
            </w:tcBorders>
          </w:tcPr>
          <w:p w:rsidR="00A77839" w:rsidP="00D71AC1" w14:paraId="28968288" w14:textId="0B83ACFB">
            <w:pPr>
              <w:pStyle w:val="TableTextLeft"/>
              <w:spacing w:before="0" w:after="0" w:line="276" w:lineRule="auto"/>
              <w:rPr>
                <w:rFonts w:asciiTheme="minorHAnsi" w:hAnsiTheme="minorHAnsi" w:cstheme="minorHAnsi"/>
                <w:sz w:val="20"/>
                <w:szCs w:val="20"/>
              </w:rPr>
            </w:pPr>
            <w:r>
              <w:rPr>
                <w:rFonts w:eastAsia="Times New Roman"/>
              </w:rPr>
              <w:t>Interview protocol for SRAE grantees and providers delivering SRAE programming to youth in juvenile justice detention centers and foster care group homes</w:t>
            </w:r>
          </w:p>
        </w:tc>
        <w:tc>
          <w:tcPr>
            <w:tcW w:w="1469" w:type="pct"/>
            <w:tcBorders>
              <w:top w:val="single" w:sz="4" w:space="0" w:color="1F497D" w:themeColor="text2"/>
              <w:left w:val="single" w:sz="4" w:space="0" w:color="046B5C"/>
            </w:tcBorders>
          </w:tcPr>
          <w:p w:rsidR="00A77839" w:rsidP="00D71AC1" w14:paraId="311A563A" w14:textId="77777777">
            <w:pPr>
              <w:pStyle w:val="TableTextLeft"/>
              <w:spacing w:before="0" w:after="0" w:line="276" w:lineRule="auto"/>
              <w:rPr>
                <w:rFonts w:asciiTheme="minorHAnsi" w:hAnsiTheme="minorHAnsi" w:cstheme="minorHAnsi"/>
                <w:sz w:val="20"/>
                <w:szCs w:val="20"/>
              </w:rPr>
            </w:pPr>
            <w:r>
              <w:rPr>
                <w:rFonts w:asciiTheme="minorHAnsi" w:hAnsiTheme="minorHAnsi" w:cstheme="minorHAnsi"/>
                <w:sz w:val="20"/>
                <w:szCs w:val="20"/>
              </w:rPr>
              <w:t>Total participants</w:t>
            </w:r>
          </w:p>
        </w:tc>
        <w:tc>
          <w:tcPr>
            <w:tcW w:w="2157" w:type="pct"/>
          </w:tcPr>
          <w:p w:rsidR="00A77839" w:rsidP="00D71AC1" w14:paraId="5A6AB919" w14:textId="1FB2620A">
            <w:pPr>
              <w:pStyle w:val="TableTextLeft"/>
              <w:spacing w:before="0" w:after="0" w:line="276" w:lineRule="auto"/>
              <w:rPr>
                <w:rFonts w:asciiTheme="minorHAnsi" w:hAnsiTheme="minorHAnsi" w:cstheme="minorHAnsi"/>
                <w:sz w:val="20"/>
                <w:szCs w:val="20"/>
              </w:rPr>
            </w:pPr>
            <w:r>
              <w:rPr>
                <w:rFonts w:asciiTheme="minorHAnsi" w:hAnsiTheme="minorHAnsi" w:cstheme="minorHAnsi"/>
                <w:sz w:val="20"/>
                <w:szCs w:val="20"/>
              </w:rPr>
              <w:t>50</w:t>
            </w:r>
          </w:p>
        </w:tc>
      </w:tr>
      <w:tr w14:paraId="08D7EB75" w14:textId="77777777" w:rsidTr="00A77839">
        <w:tblPrEx>
          <w:tblW w:w="4904" w:type="pct"/>
          <w:tblLook w:val="04A0"/>
        </w:tblPrEx>
        <w:trPr>
          <w:trHeight w:val="120"/>
        </w:trPr>
        <w:tc>
          <w:tcPr>
            <w:tcW w:w="1374" w:type="pct"/>
            <w:vMerge/>
            <w:tcBorders>
              <w:right w:val="single" w:sz="4" w:space="0" w:color="046B5C"/>
            </w:tcBorders>
          </w:tcPr>
          <w:p w:rsidR="00A77839" w:rsidP="00D71AC1" w14:paraId="38CE09E3"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A77839" w:rsidP="00D71AC1" w14:paraId="535E155E" w14:textId="77777777">
            <w:pPr>
              <w:pStyle w:val="TableTextLeft"/>
              <w:spacing w:before="0" w:after="0" w:line="276" w:lineRule="auto"/>
              <w:rPr>
                <w:rFonts w:asciiTheme="minorHAnsi" w:hAnsiTheme="minorHAnsi" w:cstheme="minorHAnsi"/>
                <w:sz w:val="20"/>
                <w:szCs w:val="20"/>
              </w:rPr>
            </w:pPr>
            <w:r>
              <w:rPr>
                <w:rFonts w:asciiTheme="minorHAnsi" w:hAnsiTheme="minorHAnsi" w:cstheme="minorHAnsi"/>
                <w:sz w:val="20"/>
                <w:szCs w:val="20"/>
              </w:rPr>
              <w:t>Mode</w:t>
            </w:r>
          </w:p>
        </w:tc>
        <w:tc>
          <w:tcPr>
            <w:tcW w:w="2157" w:type="pct"/>
          </w:tcPr>
          <w:p w:rsidR="00A77839" w:rsidP="00D71AC1" w14:paraId="5B669110" w14:textId="77777777">
            <w:pPr>
              <w:pStyle w:val="TableTextLeft"/>
              <w:spacing w:before="0" w:after="0" w:line="276" w:lineRule="auto"/>
              <w:rPr>
                <w:rFonts w:asciiTheme="minorHAnsi" w:hAnsiTheme="minorHAnsi" w:cstheme="minorHAnsi"/>
                <w:sz w:val="20"/>
                <w:szCs w:val="20"/>
              </w:rPr>
            </w:pPr>
            <w:r>
              <w:rPr>
                <w:rFonts w:asciiTheme="minorHAnsi" w:hAnsiTheme="minorHAnsi" w:cstheme="minorHAnsi"/>
                <w:sz w:val="20"/>
                <w:szCs w:val="20"/>
              </w:rPr>
              <w:t>Web</w:t>
            </w:r>
          </w:p>
        </w:tc>
      </w:tr>
      <w:tr w14:paraId="5F263E22" w14:textId="77777777" w:rsidTr="00A77839">
        <w:tblPrEx>
          <w:tblW w:w="4904" w:type="pct"/>
          <w:tblLook w:val="04A0"/>
        </w:tblPrEx>
        <w:trPr>
          <w:trHeight w:val="120"/>
        </w:trPr>
        <w:tc>
          <w:tcPr>
            <w:tcW w:w="1374" w:type="pct"/>
            <w:vMerge/>
            <w:tcBorders>
              <w:right w:val="single" w:sz="4" w:space="0" w:color="046B5C"/>
            </w:tcBorders>
          </w:tcPr>
          <w:p w:rsidR="00A77839" w:rsidP="00D71AC1" w14:paraId="5E709668"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A77839" w:rsidP="00D71AC1" w14:paraId="204708BF" w14:textId="77777777">
            <w:pPr>
              <w:pStyle w:val="TableTextLeft"/>
              <w:spacing w:before="0" w:after="0" w:line="276" w:lineRule="auto"/>
              <w:rPr>
                <w:rFonts w:asciiTheme="minorHAnsi" w:hAnsiTheme="minorHAnsi" w:cstheme="minorHAnsi"/>
                <w:sz w:val="20"/>
                <w:szCs w:val="20"/>
              </w:rPr>
            </w:pPr>
            <w:r>
              <w:rPr>
                <w:rFonts w:asciiTheme="minorHAnsi" w:hAnsiTheme="minorHAnsi" w:cstheme="minorHAnsi"/>
                <w:sz w:val="20"/>
                <w:szCs w:val="20"/>
              </w:rPr>
              <w:t>Time</w:t>
            </w:r>
          </w:p>
        </w:tc>
        <w:tc>
          <w:tcPr>
            <w:tcW w:w="2157" w:type="pct"/>
          </w:tcPr>
          <w:p w:rsidR="00A77839" w:rsidP="00D71AC1" w14:paraId="60274F9E" w14:textId="72A159F0">
            <w:pPr>
              <w:pStyle w:val="TableTextLeft"/>
              <w:spacing w:before="0" w:after="0" w:line="276" w:lineRule="auto"/>
              <w:rPr>
                <w:rFonts w:asciiTheme="minorHAnsi" w:hAnsiTheme="minorHAnsi" w:cstheme="minorHAnsi"/>
                <w:sz w:val="20"/>
                <w:szCs w:val="20"/>
              </w:rPr>
            </w:pPr>
            <w:r>
              <w:rPr>
                <w:rFonts w:asciiTheme="minorHAnsi" w:hAnsiTheme="minorHAnsi" w:cstheme="minorHAnsi"/>
                <w:sz w:val="20"/>
                <w:szCs w:val="20"/>
              </w:rPr>
              <w:t>60</w:t>
            </w:r>
            <w:r w:rsidR="00C34BA9">
              <w:rPr>
                <w:rFonts w:asciiTheme="minorHAnsi" w:hAnsiTheme="minorHAnsi" w:cstheme="minorHAnsi"/>
                <w:sz w:val="20"/>
                <w:szCs w:val="20"/>
              </w:rPr>
              <w:t xml:space="preserve"> minutes</w:t>
            </w:r>
          </w:p>
        </w:tc>
      </w:tr>
      <w:tr w14:paraId="26C424B0" w14:textId="77777777" w:rsidTr="00A77839">
        <w:tblPrEx>
          <w:tblW w:w="4904" w:type="pct"/>
          <w:tblLook w:val="04A0"/>
        </w:tblPrEx>
        <w:trPr>
          <w:trHeight w:val="120"/>
        </w:trPr>
        <w:tc>
          <w:tcPr>
            <w:tcW w:w="1374" w:type="pct"/>
            <w:vMerge/>
            <w:tcBorders>
              <w:right w:val="single" w:sz="4" w:space="0" w:color="046B5C"/>
            </w:tcBorders>
          </w:tcPr>
          <w:p w:rsidR="00A77839" w:rsidP="00D71AC1" w14:paraId="592A811B" w14:textId="77777777">
            <w:pPr>
              <w:pStyle w:val="TableTextLeft"/>
              <w:spacing w:before="0" w:after="0" w:line="276" w:lineRule="auto"/>
              <w:rPr>
                <w:rFonts w:asciiTheme="minorHAnsi" w:hAnsiTheme="minorHAnsi" w:cstheme="minorHAnsi"/>
                <w:sz w:val="20"/>
                <w:szCs w:val="20"/>
              </w:rPr>
            </w:pPr>
          </w:p>
        </w:tc>
        <w:tc>
          <w:tcPr>
            <w:tcW w:w="1469" w:type="pct"/>
            <w:tcBorders>
              <w:top w:val="single" w:sz="4" w:space="0" w:color="1F497D" w:themeColor="text2"/>
              <w:left w:val="single" w:sz="4" w:space="0" w:color="046B5C"/>
            </w:tcBorders>
          </w:tcPr>
          <w:p w:rsidR="00A77839" w:rsidP="00D71AC1" w14:paraId="4EA7D215" w14:textId="77777777">
            <w:pPr>
              <w:pStyle w:val="TableTextLeft"/>
              <w:spacing w:before="0" w:after="0" w:line="276" w:lineRule="auto"/>
              <w:rPr>
                <w:rFonts w:asciiTheme="minorHAnsi" w:hAnsiTheme="minorHAnsi" w:cstheme="minorHAnsi"/>
                <w:sz w:val="20"/>
                <w:szCs w:val="20"/>
              </w:rPr>
            </w:pPr>
            <w:r>
              <w:rPr>
                <w:rFonts w:asciiTheme="minorHAnsi" w:hAnsiTheme="minorHAnsi" w:cstheme="minorHAnsi"/>
                <w:sz w:val="20"/>
                <w:szCs w:val="20"/>
              </w:rPr>
              <w:t>Frequency</w:t>
            </w:r>
          </w:p>
        </w:tc>
        <w:tc>
          <w:tcPr>
            <w:tcW w:w="2157" w:type="pct"/>
          </w:tcPr>
          <w:p w:rsidR="00A77839" w:rsidP="00D71AC1" w14:paraId="17335157" w14:textId="77777777">
            <w:pPr>
              <w:pStyle w:val="TableTextLeft"/>
              <w:spacing w:before="0" w:after="0" w:line="276" w:lineRule="auto"/>
              <w:rPr>
                <w:rFonts w:asciiTheme="minorHAnsi" w:hAnsiTheme="minorHAnsi" w:cstheme="minorHAnsi"/>
                <w:sz w:val="20"/>
                <w:szCs w:val="20"/>
              </w:rPr>
            </w:pPr>
            <w:r>
              <w:rPr>
                <w:rFonts w:asciiTheme="minorHAnsi" w:hAnsiTheme="minorHAnsi" w:cstheme="minorHAnsi"/>
                <w:sz w:val="20"/>
                <w:szCs w:val="20"/>
              </w:rPr>
              <w:t>1</w:t>
            </w:r>
          </w:p>
        </w:tc>
      </w:tr>
    </w:tbl>
    <w:p w:rsidR="00F24623" w:rsidP="00D71AC1" w14:paraId="3E3BD4F0" w14:textId="77777777">
      <w:pPr>
        <w:autoSpaceDE w:val="0"/>
        <w:autoSpaceDN w:val="0"/>
        <w:adjustRightInd w:val="0"/>
        <w:spacing w:after="120"/>
        <w:rPr>
          <w:rFonts w:eastAsia="Times New Roman" w:cstheme="minorHAnsi"/>
          <w:b/>
          <w:color w:val="000000"/>
        </w:rPr>
      </w:pPr>
    </w:p>
    <w:p w:rsidR="00A77839" w:rsidP="00D71AC1" w14:paraId="434F3BD4" w14:textId="1864C957">
      <w:pPr>
        <w:autoSpaceDE w:val="0"/>
        <w:autoSpaceDN w:val="0"/>
        <w:adjustRightInd w:val="0"/>
        <w:spacing w:after="120"/>
        <w:rPr>
          <w:rFonts w:eastAsia="Times New Roman" w:cstheme="minorHAnsi"/>
          <w:color w:val="000000"/>
        </w:rPr>
      </w:pPr>
      <w:r>
        <w:rPr>
          <w:rFonts w:eastAsia="Times New Roman" w:cstheme="minorHAnsi"/>
          <w:b/>
          <w:color w:val="000000"/>
        </w:rPr>
        <w:t>B5.</w:t>
      </w:r>
      <w:r>
        <w:rPr>
          <w:rFonts w:eastAsia="Times New Roman" w:cstheme="minorHAnsi"/>
          <w:b/>
          <w:color w:val="000000"/>
        </w:rPr>
        <w:tab/>
        <w:t>Response Rates and Potential Nonresponse Bias</w:t>
      </w:r>
    </w:p>
    <w:p w:rsidR="00A77839" w:rsidP="00D71AC1" w14:paraId="51B70922" w14:textId="77777777">
      <w:pPr>
        <w:spacing w:after="60"/>
        <w:rPr>
          <w:rFonts w:eastAsia="Times New Roman" w:cstheme="minorHAnsi"/>
          <w:i/>
          <w:color w:val="000000"/>
        </w:rPr>
      </w:pPr>
      <w:r>
        <w:rPr>
          <w:rFonts w:eastAsia="Times New Roman" w:cstheme="minorHAnsi"/>
          <w:i/>
          <w:color w:val="000000"/>
        </w:rPr>
        <w:t>Response Rates</w:t>
      </w:r>
    </w:p>
    <w:p w:rsidR="00F24623" w:rsidP="00D71AC1" w14:paraId="7BC7F16E" w14:textId="77777777">
      <w:pPr>
        <w:autoSpaceDE w:val="0"/>
        <w:autoSpaceDN w:val="0"/>
        <w:adjustRightInd w:val="0"/>
        <w:spacing w:after="240"/>
        <w:rPr>
          <w:rFonts w:eastAsia="Times New Roman" w:cstheme="minorHAnsi"/>
          <w:color w:val="000000"/>
        </w:rPr>
      </w:pPr>
      <w:r w:rsidRPr="00C32C8A">
        <w:rPr>
          <w:rFonts w:eastAsia="Times New Roman" w:cstheme="minorHAnsi"/>
          <w:color w:val="000000"/>
        </w:rPr>
        <w:t>The</w:t>
      </w:r>
      <w:r>
        <w:rPr>
          <w:rFonts w:eastAsia="Times New Roman" w:cstheme="minorHAnsi"/>
          <w:color w:val="000000"/>
        </w:rPr>
        <w:t xml:space="preserve"> interviews</w:t>
      </w:r>
      <w:r w:rsidRPr="00C32C8A">
        <w:rPr>
          <w:rFonts w:eastAsia="Times New Roman" w:cstheme="minorHAnsi"/>
          <w:color w:val="000000"/>
        </w:rPr>
        <w:t xml:space="preserve"> are not designed to produce statistically generalizable findings</w:t>
      </w:r>
      <w:r>
        <w:rPr>
          <w:rFonts w:eastAsia="Times New Roman" w:cstheme="minorHAnsi"/>
          <w:color w:val="000000"/>
        </w:rPr>
        <w:t xml:space="preserve">. </w:t>
      </w:r>
    </w:p>
    <w:p w:rsidR="00F24623" w:rsidP="00D71AC1" w14:paraId="4085FDC6" w14:textId="5B34B267">
      <w:pPr>
        <w:autoSpaceDE w:val="0"/>
        <w:autoSpaceDN w:val="0"/>
        <w:adjustRightInd w:val="0"/>
        <w:spacing w:after="240"/>
        <w:rPr>
          <w:rFonts w:eastAsia="Times New Roman" w:cstheme="minorHAnsi"/>
          <w:i/>
          <w:color w:val="000000"/>
        </w:rPr>
      </w:pPr>
      <w:r>
        <w:rPr>
          <w:rFonts w:eastAsia="Times New Roman" w:cstheme="minorHAnsi"/>
          <w:color w:val="000000"/>
        </w:rPr>
        <w:t xml:space="preserve">At the time of their application, grantees were notified that participation in any of the </w:t>
      </w:r>
      <w:r w:rsidR="00FD6B82">
        <w:rPr>
          <w:rFonts w:eastAsia="Times New Roman" w:cstheme="minorHAnsi"/>
          <w:color w:val="000000"/>
        </w:rPr>
        <w:t>SRAENE</w:t>
      </w:r>
      <w:r>
        <w:rPr>
          <w:rFonts w:eastAsia="Times New Roman" w:cstheme="minorHAnsi"/>
          <w:color w:val="000000"/>
        </w:rPr>
        <w:t xml:space="preserve"> activities </w:t>
      </w:r>
      <w:r w:rsidRPr="00C32C8A">
        <w:rPr>
          <w:rFonts w:eastAsia="Times New Roman" w:cstheme="minorHAnsi"/>
          <w:color w:val="000000"/>
        </w:rPr>
        <w:t>is</w:t>
      </w:r>
      <w:r>
        <w:rPr>
          <w:rFonts w:eastAsia="Times New Roman" w:cstheme="minorHAnsi"/>
          <w:color w:val="000000"/>
        </w:rPr>
        <w:t xml:space="preserve"> mandatory. However,</w:t>
      </w:r>
      <w:r w:rsidR="0070010C">
        <w:rPr>
          <w:rFonts w:eastAsia="Times New Roman" w:cstheme="minorHAnsi"/>
          <w:color w:val="000000"/>
        </w:rPr>
        <w:t xml:space="preserve"> study</w:t>
      </w:r>
      <w:r>
        <w:rPr>
          <w:rFonts w:eastAsia="Times New Roman" w:cstheme="minorHAnsi"/>
          <w:color w:val="000000"/>
        </w:rPr>
        <w:t xml:space="preserve"> respondents will be </w:t>
      </w:r>
      <w:r w:rsidR="0070010C">
        <w:rPr>
          <w:rFonts w:eastAsia="Times New Roman" w:cstheme="minorHAnsi"/>
          <w:color w:val="000000"/>
        </w:rPr>
        <w:t xml:space="preserve">informed </w:t>
      </w:r>
      <w:r>
        <w:rPr>
          <w:rFonts w:eastAsia="Times New Roman" w:cstheme="minorHAnsi"/>
          <w:color w:val="000000"/>
        </w:rPr>
        <w:t xml:space="preserve">that they can skip questions that they do not feel comfortable answering. Responses will be monitored and the study team and/or the </w:t>
      </w:r>
      <w:r w:rsidR="00510341">
        <w:rPr>
          <w:rFonts w:eastAsia="Times New Roman" w:cstheme="minorHAnsi"/>
          <w:color w:val="000000"/>
        </w:rPr>
        <w:t>Family and Youth Services Bureau (</w:t>
      </w:r>
      <w:r>
        <w:rPr>
          <w:rFonts w:eastAsia="Times New Roman" w:cstheme="minorHAnsi"/>
          <w:color w:val="000000"/>
        </w:rPr>
        <w:t>FYSB</w:t>
      </w:r>
      <w:r w:rsidR="00510341">
        <w:rPr>
          <w:rFonts w:eastAsia="Times New Roman" w:cstheme="minorHAnsi"/>
          <w:color w:val="000000"/>
        </w:rPr>
        <w:t>)</w:t>
      </w:r>
      <w:r>
        <w:rPr>
          <w:rFonts w:eastAsia="Times New Roman" w:cstheme="minorHAnsi"/>
          <w:color w:val="000000"/>
        </w:rPr>
        <w:t xml:space="preserve"> project officers will send reminders to nonrespondents. The study team will also offer telephone interviews for grantees</w:t>
      </w:r>
      <w:r w:rsidR="001A5CD4">
        <w:rPr>
          <w:rFonts w:eastAsia="Times New Roman" w:cstheme="minorHAnsi"/>
          <w:color w:val="000000"/>
        </w:rPr>
        <w:t xml:space="preserve"> and providers</w:t>
      </w:r>
      <w:r>
        <w:rPr>
          <w:rFonts w:eastAsia="Times New Roman" w:cstheme="minorHAnsi"/>
          <w:color w:val="000000"/>
        </w:rPr>
        <w:t xml:space="preserve"> if </w:t>
      </w:r>
      <w:r w:rsidR="0070010C">
        <w:rPr>
          <w:rFonts w:eastAsia="Times New Roman" w:cstheme="minorHAnsi"/>
          <w:color w:val="000000"/>
        </w:rPr>
        <w:t>they</w:t>
      </w:r>
      <w:r>
        <w:rPr>
          <w:rFonts w:eastAsia="Times New Roman" w:cstheme="minorHAnsi"/>
          <w:color w:val="000000"/>
        </w:rPr>
        <w:t xml:space="preserve"> prefer</w:t>
      </w:r>
      <w:r w:rsidR="0070010C">
        <w:rPr>
          <w:rFonts w:eastAsia="Times New Roman" w:cstheme="minorHAnsi"/>
          <w:color w:val="000000"/>
        </w:rPr>
        <w:t xml:space="preserve"> that mode</w:t>
      </w:r>
      <w:r>
        <w:rPr>
          <w:rFonts w:eastAsia="Times New Roman" w:cstheme="minorHAnsi"/>
          <w:color w:val="000000"/>
        </w:rPr>
        <w:t xml:space="preserve"> over the </w:t>
      </w:r>
      <w:r>
        <w:rPr>
          <w:rFonts w:eastAsia="Times New Roman" w:cstheme="minorHAnsi"/>
          <w:color w:val="000000"/>
        </w:rPr>
        <w:t>QualBoard</w:t>
      </w:r>
      <w:r>
        <w:rPr>
          <w:rFonts w:eastAsia="Times New Roman" w:cstheme="minorHAnsi"/>
          <w:color w:val="000000"/>
        </w:rPr>
        <w:t xml:space="preserve"> interface.</w:t>
      </w:r>
    </w:p>
    <w:p w:rsidR="00A77839" w:rsidP="00D71AC1" w14:paraId="1DDA0DB7" w14:textId="77777777">
      <w:pPr>
        <w:spacing w:after="60"/>
        <w:rPr>
          <w:rFonts w:eastAsia="Times New Roman" w:cstheme="minorHAnsi"/>
          <w:i/>
          <w:color w:val="000000"/>
        </w:rPr>
      </w:pPr>
      <w:r>
        <w:rPr>
          <w:rFonts w:eastAsia="Times New Roman" w:cstheme="minorHAnsi"/>
          <w:i/>
          <w:color w:val="000000"/>
        </w:rPr>
        <w:t>NonResponse</w:t>
      </w:r>
    </w:p>
    <w:p w:rsidR="00A77839" w:rsidRPr="00C308D0" w:rsidP="00D71AC1" w14:paraId="514CDC41" w14:textId="3875F820">
      <w:r w:rsidRPr="00C308D0">
        <w:t xml:space="preserve">Participants will not be randomly sampled, and findings are not intended to be representative. Consequently, we will not calculate nonresponse bias. </w:t>
      </w:r>
      <w:r w:rsidRPr="00C32C8A" w:rsidR="00F24623">
        <w:rPr>
          <w:rFonts w:eastAsia="Times New Roman" w:cstheme="minorHAnsi"/>
          <w:color w:val="000000"/>
        </w:rPr>
        <w:t xml:space="preserve">Respondent </w:t>
      </w:r>
      <w:r w:rsidR="00F24623">
        <w:rPr>
          <w:rFonts w:eastAsia="Times New Roman" w:cstheme="minorHAnsi"/>
          <w:color w:val="000000"/>
        </w:rPr>
        <w:t>grantee type</w:t>
      </w:r>
      <w:r w:rsidRPr="00C32C8A" w:rsidR="00F24623">
        <w:rPr>
          <w:rFonts w:eastAsia="Times New Roman" w:cstheme="minorHAnsi"/>
          <w:color w:val="000000"/>
        </w:rPr>
        <w:t xml:space="preserve"> will be documented and reported in written data collection materials.</w:t>
      </w:r>
    </w:p>
    <w:p w:rsidR="00A77839" w:rsidP="00D71AC1" w14:paraId="033CF96E" w14:textId="311CA848">
      <w:pPr>
        <w:autoSpaceDE w:val="0"/>
        <w:autoSpaceDN w:val="0"/>
        <w:adjustRightInd w:val="0"/>
        <w:spacing w:after="120"/>
        <w:rPr>
          <w:rFonts w:eastAsia="Times New Roman" w:cstheme="minorHAnsi"/>
        </w:rPr>
      </w:pPr>
      <w:r>
        <w:rPr>
          <w:rFonts w:eastAsia="Times New Roman" w:cstheme="minorHAnsi"/>
          <w:b/>
          <w:bCs/>
        </w:rPr>
        <w:t>B6.</w:t>
      </w:r>
      <w:r w:rsidR="00D122EB">
        <w:rPr>
          <w:rFonts w:eastAsia="Times New Roman" w:cstheme="minorHAnsi"/>
          <w:b/>
          <w:bCs/>
        </w:rPr>
        <w:tab/>
      </w:r>
      <w:r w:rsidRPr="00D122EB">
        <w:rPr>
          <w:rFonts w:eastAsia="Times New Roman" w:cstheme="minorHAnsi"/>
          <w:b/>
          <w:color w:val="000000"/>
        </w:rPr>
        <w:t>Production</w:t>
      </w:r>
      <w:r>
        <w:rPr>
          <w:rFonts w:eastAsia="Times New Roman" w:cstheme="minorHAnsi"/>
          <w:b/>
          <w:bCs/>
        </w:rPr>
        <w:t xml:space="preserve"> of Estimates and Projections</w:t>
      </w:r>
      <w:r>
        <w:rPr>
          <w:rFonts w:eastAsia="Times New Roman" w:cstheme="minorHAnsi"/>
        </w:rPr>
        <w:t xml:space="preserve"> </w:t>
      </w:r>
    </w:p>
    <w:p w:rsidR="00F24623" w:rsidP="00D71AC1" w14:paraId="42419037" w14:textId="77777777">
      <w:pPr>
        <w:spacing w:after="240"/>
        <w:rPr>
          <w:rFonts w:ascii="Times New Roman" w:eastAsia="Times New Roman" w:hAnsi="Times New Roman" w:cs="Times New Roman"/>
          <w:sz w:val="24"/>
          <w:szCs w:val="24"/>
        </w:rPr>
      </w:pPr>
      <w:r w:rsidRPr="0084670F">
        <w:t>The data will not be used to generate population estimates, either for internal use or dissemination.</w:t>
      </w:r>
    </w:p>
    <w:p w:rsidR="00A77839" w:rsidP="00D71AC1" w14:paraId="2DEE52B5" w14:textId="0B516E41">
      <w:pPr>
        <w:autoSpaceDE w:val="0"/>
        <w:autoSpaceDN w:val="0"/>
        <w:adjustRightInd w:val="0"/>
        <w:spacing w:after="120"/>
        <w:rPr>
          <w:rFonts w:eastAsia="Times New Roman" w:cstheme="minorHAnsi"/>
          <w:b/>
          <w:bCs/>
          <w:color w:val="000000"/>
        </w:rPr>
      </w:pPr>
      <w:r>
        <w:rPr>
          <w:rFonts w:eastAsia="Times New Roman" w:cstheme="minorHAnsi"/>
          <w:b/>
          <w:bCs/>
          <w:color w:val="000000"/>
        </w:rPr>
        <w:t>B7.</w:t>
      </w:r>
      <w:r w:rsidR="000361D4">
        <w:rPr>
          <w:rFonts w:eastAsia="Times New Roman" w:cstheme="minorHAnsi"/>
          <w:color w:val="000000"/>
        </w:rPr>
        <w:tab/>
      </w:r>
      <w:r>
        <w:rPr>
          <w:rFonts w:eastAsia="Times New Roman" w:cstheme="minorHAnsi"/>
          <w:b/>
          <w:bCs/>
          <w:color w:val="000000"/>
        </w:rPr>
        <w:t>Data Handling and Analysis</w:t>
      </w:r>
    </w:p>
    <w:p w:rsidR="00A77839" w:rsidP="00D71AC1" w14:paraId="2AE7C744" w14:textId="77777777">
      <w:pPr>
        <w:spacing w:after="60"/>
        <w:rPr>
          <w:rFonts w:eastAsia="Times New Roman" w:cstheme="minorHAnsi"/>
          <w:bCs/>
          <w:i/>
          <w:color w:val="000000"/>
        </w:rPr>
      </w:pPr>
      <w:r>
        <w:rPr>
          <w:rFonts w:eastAsia="Times New Roman" w:cstheme="minorHAnsi"/>
          <w:bCs/>
          <w:i/>
          <w:color w:val="000000"/>
        </w:rPr>
        <w:t>Data Handling</w:t>
      </w:r>
    </w:p>
    <w:p w:rsidR="00F24623" w:rsidRPr="009766B7" w:rsidP="00D71AC1" w14:paraId="3E85C2F2" w14:textId="77777777">
      <w:pPr>
        <w:spacing w:after="240"/>
      </w:pPr>
      <w:r w:rsidRPr="00C444F4">
        <w:t xml:space="preserve">Interview data retrieved from </w:t>
      </w:r>
      <w:r w:rsidRPr="00C444F4">
        <w:t>QualBoard</w:t>
      </w:r>
      <w:r w:rsidRPr="00C444F4">
        <w:t xml:space="preserve"> will be saved on a secure drive accessible only to Mathematica </w:t>
      </w:r>
      <w:r>
        <w:t>study</w:t>
      </w:r>
      <w:r w:rsidRPr="00C444F4">
        <w:t xml:space="preserve"> team members. Direct export of the </w:t>
      </w:r>
      <w:r w:rsidRPr="00C444F4">
        <w:t>QualBoard</w:t>
      </w:r>
      <w:r w:rsidRPr="00C444F4">
        <w:t xml:space="preserve"> data to the secure drive will result in minimal processing. </w:t>
      </w:r>
      <w:r>
        <w:t>Interviewers</w:t>
      </w:r>
      <w:r w:rsidRPr="00C444F4">
        <w:t xml:space="preserve"> will review transcripts to fix spelling and grammar issues, fill in missing words, and explain unclear terms or phrases in preparation for qualitative coding and analysis.</w:t>
      </w:r>
    </w:p>
    <w:p w:rsidR="00A77839" w:rsidP="00D71AC1" w14:paraId="23169BDD" w14:textId="77777777">
      <w:pPr>
        <w:spacing w:after="60"/>
        <w:rPr>
          <w:rFonts w:eastAsia="Times New Roman" w:cstheme="minorHAnsi"/>
          <w:bCs/>
          <w:i/>
          <w:color w:val="000000"/>
        </w:rPr>
      </w:pPr>
      <w:r>
        <w:rPr>
          <w:rFonts w:eastAsia="Times New Roman" w:cstheme="minorHAnsi"/>
          <w:bCs/>
          <w:i/>
          <w:color w:val="000000"/>
        </w:rPr>
        <w:t>Data Analysis</w:t>
      </w:r>
    </w:p>
    <w:p w:rsidR="00F24623" w:rsidRPr="009766B7" w:rsidP="00D71AC1" w14:paraId="06544C44" w14:textId="54599489">
      <w:pPr>
        <w:spacing w:after="240"/>
      </w:pPr>
      <w:r w:rsidRPr="00C444F4">
        <w:t xml:space="preserve">Qualitative data from the interview transcripts will be reviewed for overarching themes and lessons </w:t>
      </w:r>
      <w:r>
        <w:t>on</w:t>
      </w:r>
      <w:r w:rsidRPr="00C444F4">
        <w:t xml:space="preserve"> each of the key topics explored through the virtual discussions.</w:t>
      </w:r>
      <w:r>
        <w:t xml:space="preserve"> The study team will develop a coding scheme based on the </w:t>
      </w:r>
      <w:r w:rsidRPr="009A5D6E">
        <w:t>research</w:t>
      </w:r>
      <w:r>
        <w:t xml:space="preserve"> objectives and interview topics. Moderators will apply the coding scheme to the transcripts and conduct a thematic analysis of the responses under each topic. The task lead</w:t>
      </w:r>
      <w:r w:rsidR="004D2AC7">
        <w:t>s</w:t>
      </w:r>
      <w:r>
        <w:t xml:space="preserve"> for the interviews will monitor coding and thematic analysis across the team to ensure accuracy and consistency.</w:t>
      </w:r>
    </w:p>
    <w:p w:rsidR="00A77839" w:rsidP="00D71AC1" w14:paraId="2B065EE0" w14:textId="77777777">
      <w:pPr>
        <w:spacing w:after="60"/>
        <w:rPr>
          <w:rFonts w:eastAsia="Times New Roman" w:cstheme="minorHAnsi"/>
          <w:bCs/>
          <w:i/>
          <w:color w:val="000000"/>
        </w:rPr>
      </w:pPr>
      <w:r>
        <w:rPr>
          <w:rFonts w:eastAsia="Times New Roman" w:cstheme="minorHAnsi"/>
          <w:bCs/>
          <w:i/>
          <w:color w:val="000000"/>
        </w:rPr>
        <w:t>Data Use</w:t>
      </w:r>
    </w:p>
    <w:p w:rsidR="00A77839" w:rsidRPr="00383750" w:rsidP="00D71AC1" w14:paraId="2E727724" w14:textId="6AE8D7A5">
      <w:pPr>
        <w:tabs>
          <w:tab w:val="left" w:pos="-720"/>
        </w:tabs>
        <w:suppressAutoHyphens/>
        <w:spacing w:after="240"/>
        <w:rPr>
          <w:rFonts w:eastAsia="Times New Roman" w:cstheme="minorHAnsi"/>
          <w:bCs/>
          <w:i/>
          <w:color w:val="000000"/>
        </w:rPr>
      </w:pPr>
      <w:r w:rsidRPr="009A5D6E">
        <w:rPr>
          <w:iCs/>
        </w:rPr>
        <w:t xml:space="preserve">Data </w:t>
      </w:r>
      <w:r w:rsidRPr="00383750">
        <w:rPr>
          <w:iCs/>
        </w:rPr>
        <w:t>collected will be used to</w:t>
      </w:r>
      <w:r w:rsidRPr="00383750" w:rsidR="009A5D6E">
        <w:rPr>
          <w:rFonts w:cs="Calibri"/>
        </w:rPr>
        <w:t xml:space="preserve"> </w:t>
      </w:r>
      <w:r w:rsidRPr="00383750" w:rsidR="00FA7C6D">
        <w:rPr>
          <w:bCs/>
        </w:rPr>
        <w:t>improve ACF’s understanding of</w:t>
      </w:r>
      <w:r w:rsidRPr="00383750" w:rsidR="00994F0D">
        <w:rPr>
          <w:bCs/>
        </w:rPr>
        <w:t xml:space="preserve"> </w:t>
      </w:r>
      <w:r w:rsidRPr="00383750" w:rsidR="00FA7C6D">
        <w:rPr>
          <w:iCs/>
        </w:rPr>
        <w:t>understanding of how SRAE programs are implemented in juvenile justice and foster care group home settings.</w:t>
      </w:r>
    </w:p>
    <w:p w:rsidR="00A77839" w:rsidP="00D71AC1" w14:paraId="785169A8" w14:textId="585B2268">
      <w:pPr>
        <w:tabs>
          <w:tab w:val="left" w:pos="-720"/>
        </w:tabs>
        <w:suppressAutoHyphens/>
        <w:spacing w:after="240"/>
        <w:rPr>
          <w:rFonts w:eastAsia="Times New Roman" w:cstheme="minorHAnsi"/>
          <w:bCs/>
          <w:i/>
          <w:color w:val="000000"/>
        </w:rPr>
      </w:pPr>
      <w:r w:rsidRPr="00383750">
        <w:rPr>
          <w:iCs/>
        </w:rPr>
        <w:t xml:space="preserve">The </w:t>
      </w:r>
      <w:r w:rsidRPr="00383750">
        <w:rPr>
          <w:rFonts w:eastAsia="Times New Roman" w:cstheme="minorHAnsi"/>
        </w:rPr>
        <w:t>findings</w:t>
      </w:r>
      <w:r w:rsidRPr="00383750" w:rsidR="00E24C48">
        <w:rPr>
          <w:iCs/>
        </w:rPr>
        <w:t xml:space="preserve"> from this formative </w:t>
      </w:r>
      <w:r w:rsidRPr="00383750" w:rsidR="009A5D6E">
        <w:rPr>
          <w:iCs/>
        </w:rPr>
        <w:t>data collection</w:t>
      </w:r>
      <w:r w:rsidRPr="00383750">
        <w:rPr>
          <w:iCs/>
        </w:rPr>
        <w:t xml:space="preserve"> will </w:t>
      </w:r>
      <w:r w:rsidRPr="00383750" w:rsidR="00E24C48">
        <w:rPr>
          <w:bCs/>
        </w:rPr>
        <w:t>inform</w:t>
      </w:r>
      <w:r w:rsidRPr="00383750" w:rsidR="009A5D6E">
        <w:rPr>
          <w:bCs/>
        </w:rPr>
        <w:t xml:space="preserve"> the development of </w:t>
      </w:r>
      <w:r w:rsidRPr="00383750" w:rsidR="00994F0D">
        <w:rPr>
          <w:bCs/>
        </w:rPr>
        <w:t xml:space="preserve">future descriptive research on delivering SRAE programs to youth in community settings, specifically to youth </w:t>
      </w:r>
      <w:r w:rsidRPr="00383750" w:rsidR="0049411E">
        <w:rPr>
          <w:bCs/>
        </w:rPr>
        <w:t>engaged</w:t>
      </w:r>
      <w:r w:rsidRPr="00383750" w:rsidR="00994F0D">
        <w:rPr>
          <w:bCs/>
        </w:rPr>
        <w:t xml:space="preserve"> in the justice and child welfare systems. </w:t>
      </w:r>
      <w:r w:rsidR="00577AAF">
        <w:rPr>
          <w:bCs/>
        </w:rPr>
        <w:t>It will fill key gaps in knowledge and lay the foundation for developing a research agenda for future, rigorous exploration into how SRAE programming is implemented and experienced by youth within community settings.</w:t>
      </w:r>
      <w:r w:rsidRPr="00383750" w:rsidR="00994F0D">
        <w:rPr>
          <w:bCs/>
        </w:rPr>
        <w:t xml:space="preserve"> The findings will also </w:t>
      </w:r>
      <w:r w:rsidRPr="00383750" w:rsidR="009A5D6E">
        <w:rPr>
          <w:bCs/>
        </w:rPr>
        <w:t xml:space="preserve">support future SRAE technical assistance planning and resources for grantees serving </w:t>
      </w:r>
      <w:r w:rsidRPr="00383750" w:rsidR="00B75D1D">
        <w:rPr>
          <w:bCs/>
        </w:rPr>
        <w:t xml:space="preserve">youth in </w:t>
      </w:r>
      <w:r w:rsidRPr="00383750" w:rsidR="009A5D6E">
        <w:rPr>
          <w:bCs/>
        </w:rPr>
        <w:t xml:space="preserve">these </w:t>
      </w:r>
      <w:r w:rsidRPr="00383750" w:rsidR="00B75D1D">
        <w:rPr>
          <w:bCs/>
        </w:rPr>
        <w:t>settings</w:t>
      </w:r>
      <w:r w:rsidRPr="00383750" w:rsidR="009A5D6E">
        <w:rPr>
          <w:bCs/>
        </w:rPr>
        <w:t xml:space="preserve">. </w:t>
      </w:r>
      <w:r w:rsidRPr="00383750" w:rsidR="005E2ADE">
        <w:rPr>
          <w:iCs/>
        </w:rPr>
        <w:t xml:space="preserve">The primary purpose of the information collected is not publication, but findings </w:t>
      </w:r>
      <w:r w:rsidRPr="00383750" w:rsidR="00147562">
        <w:rPr>
          <w:iCs/>
        </w:rPr>
        <w:t xml:space="preserve">may </w:t>
      </w:r>
      <w:r w:rsidRPr="00383750" w:rsidR="005E2ADE">
        <w:rPr>
          <w:iCs/>
        </w:rPr>
        <w:t>be incorporated</w:t>
      </w:r>
      <w:r w:rsidRPr="009F77AB" w:rsidR="005E2ADE">
        <w:rPr>
          <w:iCs/>
        </w:rPr>
        <w:t xml:space="preserve"> into materials that are made publicly available</w:t>
      </w:r>
      <w:r w:rsidRPr="009F77AB" w:rsidR="00147562">
        <w:rPr>
          <w:iCs/>
        </w:rPr>
        <w:t>. For example</w:t>
      </w:r>
      <w:r w:rsidR="00801DBE">
        <w:rPr>
          <w:iCs/>
        </w:rPr>
        <w:t>,</w:t>
      </w:r>
      <w:r w:rsidRPr="009F77AB" w:rsidR="00147562">
        <w:rPr>
          <w:iCs/>
        </w:rPr>
        <w:t xml:space="preserve"> to contextualize </w:t>
      </w:r>
      <w:r w:rsidRPr="009F77AB" w:rsidR="00974B12">
        <w:rPr>
          <w:iCs/>
        </w:rPr>
        <w:t xml:space="preserve">the </w:t>
      </w:r>
      <w:r w:rsidR="00994F0D">
        <w:rPr>
          <w:iCs/>
        </w:rPr>
        <w:t>study design plans for</w:t>
      </w:r>
      <w:r w:rsidRPr="009F77AB" w:rsidR="00974B12">
        <w:rPr>
          <w:iCs/>
        </w:rPr>
        <w:t xml:space="preserve"> a future study, ACF may reference the findings from this formative phase.</w:t>
      </w:r>
      <w:r w:rsidR="00974B12">
        <w:rPr>
          <w:iCs/>
        </w:rPr>
        <w:t xml:space="preserve"> </w:t>
      </w:r>
      <w:r w:rsidR="005E2ADE">
        <w:rPr>
          <w:iCs/>
        </w:rPr>
        <w:t xml:space="preserve"> </w:t>
      </w:r>
    </w:p>
    <w:p w:rsidR="00A77839" w:rsidP="00D71AC1" w14:paraId="08750331" w14:textId="520B3278">
      <w:pPr>
        <w:spacing w:after="120"/>
        <w:rPr>
          <w:rFonts w:eastAsia="Times New Roman" w:cstheme="minorHAnsi"/>
        </w:rPr>
      </w:pPr>
      <w:r>
        <w:rPr>
          <w:rFonts w:eastAsia="Times New Roman" w:cstheme="minorHAnsi"/>
          <w:b/>
          <w:bCs/>
        </w:rPr>
        <w:t>B8.</w:t>
      </w:r>
      <w:r w:rsidR="000361D4">
        <w:rPr>
          <w:rFonts w:eastAsia="Times New Roman" w:cstheme="minorHAnsi"/>
          <w:b/>
          <w:bCs/>
        </w:rPr>
        <w:tab/>
      </w:r>
      <w:r>
        <w:rPr>
          <w:rFonts w:eastAsia="Times New Roman" w:cstheme="minorHAnsi"/>
          <w:b/>
          <w:bCs/>
        </w:rPr>
        <w:t>Contact Persons</w:t>
      </w:r>
    </w:p>
    <w:p w:rsidR="00A77839" w:rsidP="00D71AC1" w14:paraId="0C081910" w14:textId="6D37FC01">
      <w:pPr>
        <w:tabs>
          <w:tab w:val="left" w:pos="-720"/>
        </w:tabs>
        <w:suppressAutoHyphens/>
        <w:spacing w:after="240"/>
      </w:pPr>
      <w:r>
        <w:t>In Table B.</w:t>
      </w:r>
      <w:r w:rsidR="006025FC">
        <w:t>2</w:t>
      </w:r>
      <w:r>
        <w:t>, we list the federal and contract staff responsible for the study, including their affiliation and email address.</w:t>
      </w:r>
    </w:p>
    <w:p w:rsidR="00A77839" w:rsidRPr="00813F86" w:rsidP="00D71AC1" w14:paraId="2DB63F60" w14:textId="62809F3B">
      <w:pPr>
        <w:pStyle w:val="Heading2A"/>
        <w:spacing w:before="40" w:after="40" w:line="276" w:lineRule="auto"/>
        <w:ind w:left="547" w:hanging="547"/>
        <w:rPr>
          <w:rFonts w:asciiTheme="majorHAnsi" w:hAnsiTheme="majorHAnsi"/>
        </w:rPr>
      </w:pPr>
      <w:r w:rsidRPr="00813F86">
        <w:rPr>
          <w:rFonts w:asciiTheme="majorHAnsi" w:hAnsiTheme="majorHAnsi"/>
        </w:rPr>
        <w:t>Table B.</w:t>
      </w:r>
      <w:r w:rsidR="00813F86">
        <w:rPr>
          <w:rFonts w:asciiTheme="majorHAnsi" w:hAnsiTheme="majorHAnsi"/>
        </w:rPr>
        <w:t>2</w:t>
      </w:r>
      <w:r w:rsidRPr="00813F86">
        <w:rPr>
          <w:rFonts w:asciiTheme="majorHAnsi" w:hAnsiTheme="majorHAnsi"/>
        </w:rPr>
        <w:t>. Individuals Responsible for Study</w:t>
      </w:r>
    </w:p>
    <w:tbl>
      <w:tblPr>
        <w:tblW w:w="9630" w:type="dxa"/>
        <w:tblLayout w:type="fixed"/>
        <w:tblLook w:val="0400"/>
      </w:tblPr>
      <w:tblGrid>
        <w:gridCol w:w="2066"/>
        <w:gridCol w:w="4232"/>
        <w:gridCol w:w="3332"/>
      </w:tblGrid>
      <w:tr w14:paraId="042FAF3F" w14:textId="77777777" w:rsidTr="002F6C61">
        <w:tblPrEx>
          <w:tblW w:w="9630" w:type="dxa"/>
          <w:tblLayout w:type="fixed"/>
          <w:tblLook w:val="0400"/>
        </w:tblPrEx>
        <w:tc>
          <w:tcPr>
            <w:tcW w:w="2066" w:type="dxa"/>
            <w:shd w:val="clear" w:color="auto" w:fill="1F497D" w:themeFill="text2"/>
          </w:tcPr>
          <w:p w:rsidR="00A77839" w:rsidP="00D71AC1" w14:paraId="43AA0112" w14:textId="77777777">
            <w:pPr>
              <w:pStyle w:val="TableHeaderCenter"/>
              <w:spacing w:line="276" w:lineRule="auto"/>
              <w:jc w:val="left"/>
              <w:rPr>
                <w:rFonts w:eastAsia="Times New Roman"/>
                <w:b/>
                <w:bCs/>
              </w:rPr>
            </w:pPr>
            <w:r>
              <w:rPr>
                <w:rFonts w:eastAsia="Times New Roman"/>
                <w:b/>
                <w:bCs/>
              </w:rPr>
              <w:t>Name</w:t>
            </w:r>
          </w:p>
        </w:tc>
        <w:tc>
          <w:tcPr>
            <w:tcW w:w="4232" w:type="dxa"/>
            <w:shd w:val="clear" w:color="auto" w:fill="1F497D" w:themeFill="text2"/>
          </w:tcPr>
          <w:p w:rsidR="00A77839" w:rsidP="00D71AC1" w14:paraId="6BF7D60B" w14:textId="77777777">
            <w:pPr>
              <w:pStyle w:val="TableHeaderCenter"/>
              <w:spacing w:line="276" w:lineRule="auto"/>
              <w:rPr>
                <w:rFonts w:eastAsia="Times New Roman"/>
                <w:b/>
                <w:bCs/>
              </w:rPr>
            </w:pPr>
            <w:r>
              <w:rPr>
                <w:rFonts w:eastAsia="Times New Roman"/>
                <w:b/>
                <w:bCs/>
              </w:rPr>
              <w:t>Affiliation</w:t>
            </w:r>
          </w:p>
        </w:tc>
        <w:tc>
          <w:tcPr>
            <w:tcW w:w="3332" w:type="dxa"/>
            <w:shd w:val="clear" w:color="auto" w:fill="1F497D" w:themeFill="text2"/>
          </w:tcPr>
          <w:p w:rsidR="00A77839" w:rsidP="00D71AC1" w14:paraId="1DDB6147" w14:textId="77777777">
            <w:pPr>
              <w:pStyle w:val="TableHeaderCenter"/>
              <w:spacing w:line="276" w:lineRule="auto"/>
              <w:rPr>
                <w:rFonts w:eastAsia="Times New Roman"/>
                <w:b/>
                <w:bCs/>
              </w:rPr>
            </w:pPr>
            <w:r>
              <w:rPr>
                <w:rFonts w:eastAsia="Times New Roman"/>
                <w:b/>
                <w:bCs/>
              </w:rPr>
              <w:t>Email address</w:t>
            </w:r>
          </w:p>
        </w:tc>
      </w:tr>
      <w:tr w14:paraId="55F7CA96" w14:textId="77777777" w:rsidTr="002F6C61">
        <w:tblPrEx>
          <w:tblW w:w="9630" w:type="dxa"/>
          <w:tblLayout w:type="fixed"/>
          <w:tblLook w:val="0400"/>
        </w:tblPrEx>
        <w:trPr>
          <w:trHeight w:val="20"/>
        </w:trPr>
        <w:tc>
          <w:tcPr>
            <w:tcW w:w="2066" w:type="dxa"/>
            <w:tcBorders>
              <w:bottom w:val="single" w:sz="4" w:space="0" w:color="1F497D" w:themeColor="text2"/>
            </w:tcBorders>
            <w:shd w:val="clear" w:color="auto" w:fill="auto"/>
          </w:tcPr>
          <w:p w:rsidR="00A77839" w:rsidP="00D71AC1" w14:paraId="3462BE2F" w14:textId="77777777">
            <w:pPr>
              <w:pStyle w:val="TableTextLeft"/>
              <w:spacing w:line="276" w:lineRule="auto"/>
              <w:rPr>
                <w:rFonts w:eastAsia="Times New Roman"/>
              </w:rPr>
            </w:pPr>
            <w:r>
              <w:rPr>
                <w:rFonts w:eastAsia="Times New Roman"/>
              </w:rPr>
              <w:t>Calonie Gray</w:t>
            </w:r>
          </w:p>
        </w:tc>
        <w:tc>
          <w:tcPr>
            <w:tcW w:w="4232" w:type="dxa"/>
            <w:tcBorders>
              <w:bottom w:val="single" w:sz="4" w:space="0" w:color="1F497D" w:themeColor="text2"/>
            </w:tcBorders>
            <w:shd w:val="clear" w:color="auto" w:fill="auto"/>
          </w:tcPr>
          <w:p w:rsidR="00A77839" w:rsidP="00D71AC1" w14:paraId="4B26D0B0" w14:textId="77777777">
            <w:pPr>
              <w:pStyle w:val="TableTextLeft"/>
              <w:spacing w:line="276" w:lineRule="auto"/>
              <w:rPr>
                <w:rFonts w:eastAsia="Times New Roman"/>
              </w:rPr>
            </w:pPr>
            <w:r>
              <w:rPr>
                <w:rFonts w:eastAsia="Times New Roman"/>
              </w:rPr>
              <w:t>Office of Planning, Research, and Evaluation</w:t>
            </w:r>
          </w:p>
          <w:p w:rsidR="00A77839" w:rsidP="00D71AC1" w14:paraId="2B20D1F2" w14:textId="77777777">
            <w:pPr>
              <w:pStyle w:val="TableTextLeft"/>
              <w:spacing w:line="276" w:lineRule="auto"/>
              <w:rPr>
                <w:rFonts w:eastAsia="Times New Roman"/>
              </w:rPr>
            </w:pPr>
            <w:r>
              <w:rPr>
                <w:rFonts w:eastAsia="Times New Roman"/>
              </w:rPr>
              <w:t>Administration for Children and Families</w:t>
            </w:r>
          </w:p>
          <w:p w:rsidR="00A77839" w:rsidP="00D71AC1" w14:paraId="2522FADF" w14:textId="77777777">
            <w:pPr>
              <w:pStyle w:val="TableTextLeft"/>
              <w:spacing w:line="276" w:lineRule="auto"/>
              <w:rPr>
                <w:rFonts w:eastAsia="Times New Roman"/>
              </w:rPr>
            </w:pPr>
            <w:r>
              <w:rPr>
                <w:rFonts w:eastAsia="Times New Roman"/>
              </w:rPr>
              <w:t>U.S. Department of Health and Human Services</w:t>
            </w:r>
          </w:p>
        </w:tc>
        <w:tc>
          <w:tcPr>
            <w:tcW w:w="3332" w:type="dxa"/>
            <w:tcBorders>
              <w:bottom w:val="single" w:sz="4" w:space="0" w:color="1F497D" w:themeColor="text2"/>
            </w:tcBorders>
          </w:tcPr>
          <w:p w:rsidR="00A77839" w:rsidP="00D71AC1" w14:paraId="49FEFB34" w14:textId="77777777">
            <w:pPr>
              <w:pStyle w:val="TableTextLeft"/>
              <w:spacing w:line="276" w:lineRule="auto"/>
              <w:rPr>
                <w:rFonts w:eastAsia="Times New Roman"/>
              </w:rPr>
            </w:pPr>
            <w:r>
              <w:rPr>
                <w:rFonts w:eastAsia="Times New Roman"/>
              </w:rPr>
              <w:t>Calonie.Gray@acf.hhs.gov</w:t>
            </w:r>
          </w:p>
        </w:tc>
      </w:tr>
      <w:tr w14:paraId="6000B3AE"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A77839" w:rsidP="00D71AC1" w14:paraId="6CA2D820" w14:textId="77777777">
            <w:pPr>
              <w:pStyle w:val="TableTextLeft"/>
              <w:spacing w:line="276" w:lineRule="auto"/>
              <w:rPr>
                <w:rFonts w:eastAsia="Times New Roman"/>
              </w:rPr>
            </w:pPr>
            <w:r>
              <w:rPr>
                <w:rFonts w:eastAsia="Times New Roman"/>
              </w:rPr>
              <w:t>MeGan Hill</w:t>
            </w:r>
          </w:p>
        </w:tc>
        <w:tc>
          <w:tcPr>
            <w:tcW w:w="4232" w:type="dxa"/>
            <w:tcBorders>
              <w:top w:val="single" w:sz="4" w:space="0" w:color="1F497D" w:themeColor="text2"/>
              <w:bottom w:val="single" w:sz="4" w:space="0" w:color="1F497D" w:themeColor="text2"/>
            </w:tcBorders>
            <w:shd w:val="clear" w:color="auto" w:fill="auto"/>
          </w:tcPr>
          <w:p w:rsidR="00A77839" w:rsidP="00D71AC1" w14:paraId="3E4A31B2" w14:textId="77777777">
            <w:pPr>
              <w:pStyle w:val="TableTextLeft"/>
              <w:spacing w:line="276" w:lineRule="auto"/>
              <w:rPr>
                <w:rFonts w:eastAsia="Times New Roman"/>
              </w:rPr>
            </w:pPr>
            <w:r>
              <w:rPr>
                <w:rFonts w:eastAsia="Times New Roman"/>
              </w:rPr>
              <w:t>Family and Youth Services Bureau</w:t>
            </w:r>
          </w:p>
          <w:p w:rsidR="00A77839" w:rsidP="00D71AC1" w14:paraId="3F614D0F" w14:textId="77777777">
            <w:pPr>
              <w:pStyle w:val="TableTextLeft"/>
              <w:spacing w:line="276" w:lineRule="auto"/>
              <w:rPr>
                <w:rFonts w:eastAsia="Times New Roman"/>
              </w:rPr>
            </w:pPr>
            <w:r>
              <w:rPr>
                <w:rFonts w:eastAsia="Times New Roman"/>
              </w:rPr>
              <w:t>Administration for Children and Families</w:t>
            </w:r>
          </w:p>
          <w:p w:rsidR="00A77839" w:rsidP="00D71AC1" w14:paraId="12D618A9" w14:textId="77777777">
            <w:pPr>
              <w:pStyle w:val="TableTextLeft"/>
              <w:spacing w:line="276" w:lineRule="auto"/>
              <w:rPr>
                <w:rFonts w:eastAsia="Times New Roman"/>
              </w:rPr>
            </w:pPr>
            <w:r>
              <w:rPr>
                <w:rFonts w:eastAsia="Times New Roman"/>
              </w:rPr>
              <w:t>U.S. Department of Health and Human Services</w:t>
            </w:r>
          </w:p>
        </w:tc>
        <w:tc>
          <w:tcPr>
            <w:tcW w:w="3332" w:type="dxa"/>
            <w:tcBorders>
              <w:top w:val="single" w:sz="4" w:space="0" w:color="1F497D" w:themeColor="text2"/>
              <w:bottom w:val="single" w:sz="4" w:space="0" w:color="1F497D" w:themeColor="text2"/>
            </w:tcBorders>
          </w:tcPr>
          <w:p w:rsidR="00A77839" w:rsidP="00D71AC1" w14:paraId="3A7CC790" w14:textId="77777777">
            <w:pPr>
              <w:pStyle w:val="TableTextLeft"/>
              <w:spacing w:line="276" w:lineRule="auto"/>
              <w:rPr>
                <w:rFonts w:eastAsia="Times New Roman"/>
              </w:rPr>
            </w:pPr>
            <w:r>
              <w:rPr>
                <w:rFonts w:eastAsia="Times New Roman"/>
              </w:rPr>
              <w:t>Megan.Hill@acf.hhs.gov</w:t>
            </w:r>
          </w:p>
        </w:tc>
      </w:tr>
      <w:tr w14:paraId="5E280E1D"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F359C4" w:rsidP="00D71AC1" w14:paraId="58B9780F" w14:textId="3286DE4B">
            <w:pPr>
              <w:pStyle w:val="TableTextLeft"/>
              <w:spacing w:line="276" w:lineRule="auto"/>
              <w:rPr>
                <w:rFonts w:eastAsia="Times New Roman"/>
              </w:rPr>
            </w:pPr>
            <w:r>
              <w:rPr>
                <w:rFonts w:eastAsia="Times New Roman"/>
              </w:rPr>
              <w:t>Tia Brown</w:t>
            </w:r>
          </w:p>
        </w:tc>
        <w:tc>
          <w:tcPr>
            <w:tcW w:w="4232" w:type="dxa"/>
            <w:tcBorders>
              <w:top w:val="single" w:sz="4" w:space="0" w:color="1F497D" w:themeColor="text2"/>
              <w:bottom w:val="single" w:sz="4" w:space="0" w:color="1F497D" w:themeColor="text2"/>
            </w:tcBorders>
            <w:shd w:val="clear" w:color="auto" w:fill="auto"/>
          </w:tcPr>
          <w:p w:rsidR="00F359C4" w:rsidP="00D71AC1" w14:paraId="32C933E0" w14:textId="77777777">
            <w:pPr>
              <w:pStyle w:val="TableTextLeft"/>
              <w:spacing w:line="276" w:lineRule="auto"/>
              <w:rPr>
                <w:rFonts w:eastAsia="Times New Roman"/>
              </w:rPr>
            </w:pPr>
            <w:r>
              <w:rPr>
                <w:rFonts w:eastAsia="Times New Roman"/>
              </w:rPr>
              <w:t>Office of Planning, Research, and Evaluation</w:t>
            </w:r>
          </w:p>
          <w:p w:rsidR="00F359C4" w:rsidP="00D71AC1" w14:paraId="6BD7F881" w14:textId="77777777">
            <w:pPr>
              <w:pStyle w:val="TableTextLeft"/>
              <w:spacing w:line="276" w:lineRule="auto"/>
              <w:rPr>
                <w:rFonts w:eastAsia="Times New Roman"/>
              </w:rPr>
            </w:pPr>
            <w:r>
              <w:rPr>
                <w:rFonts w:eastAsia="Times New Roman"/>
              </w:rPr>
              <w:t>Administration for Children and Families</w:t>
            </w:r>
          </w:p>
          <w:p w:rsidR="00F359C4" w:rsidP="00D71AC1" w14:paraId="5E3FC9DD" w14:textId="57656ECA">
            <w:pPr>
              <w:pStyle w:val="TableTextLeft"/>
              <w:spacing w:line="276" w:lineRule="auto"/>
              <w:rPr>
                <w:rFonts w:eastAsia="Times New Roman"/>
              </w:rPr>
            </w:pPr>
            <w:r>
              <w:rPr>
                <w:rFonts w:eastAsia="Times New Roman"/>
              </w:rPr>
              <w:t>U.S. Department of Health and Human Services</w:t>
            </w:r>
          </w:p>
        </w:tc>
        <w:tc>
          <w:tcPr>
            <w:tcW w:w="3332" w:type="dxa"/>
            <w:tcBorders>
              <w:top w:val="single" w:sz="4" w:space="0" w:color="1F497D" w:themeColor="text2"/>
              <w:bottom w:val="single" w:sz="4" w:space="0" w:color="1F497D" w:themeColor="text2"/>
            </w:tcBorders>
          </w:tcPr>
          <w:p w:rsidR="00F359C4" w:rsidP="00D71AC1" w14:paraId="50300B23" w14:textId="34CE5F07">
            <w:pPr>
              <w:pStyle w:val="TableTextLeft"/>
              <w:spacing w:line="276" w:lineRule="auto"/>
              <w:rPr>
                <w:rFonts w:eastAsia="Times New Roman"/>
              </w:rPr>
            </w:pPr>
            <w:r>
              <w:rPr>
                <w:rFonts w:eastAsia="Times New Roman"/>
              </w:rPr>
              <w:t>Tia.Brown@acf.hhs.gov</w:t>
            </w:r>
          </w:p>
        </w:tc>
      </w:tr>
      <w:tr w14:paraId="47ECBE9A"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A77839" w:rsidP="00D71AC1" w14:paraId="15FA0849" w14:textId="77777777">
            <w:pPr>
              <w:pStyle w:val="TableTextLeft"/>
              <w:spacing w:line="276" w:lineRule="auto"/>
              <w:rPr>
                <w:rFonts w:eastAsia="Times New Roman"/>
              </w:rPr>
            </w:pPr>
            <w:r>
              <w:rPr>
                <w:rFonts w:eastAsia="Times New Roman"/>
              </w:rPr>
              <w:t>Susan Zief</w:t>
            </w:r>
          </w:p>
        </w:tc>
        <w:tc>
          <w:tcPr>
            <w:tcW w:w="4232" w:type="dxa"/>
            <w:tcBorders>
              <w:top w:val="single" w:sz="4" w:space="0" w:color="1F497D" w:themeColor="text2"/>
              <w:bottom w:val="single" w:sz="4" w:space="0" w:color="1F497D" w:themeColor="text2"/>
            </w:tcBorders>
            <w:shd w:val="clear" w:color="auto" w:fill="auto"/>
          </w:tcPr>
          <w:p w:rsidR="00A77839" w:rsidP="00D71AC1" w14:paraId="341C857A" w14:textId="77777777">
            <w:pPr>
              <w:pStyle w:val="TableTextLeft"/>
              <w:spacing w:line="276" w:lineRule="auto"/>
              <w:rPr>
                <w:rFonts w:eastAsia="Times New Roman"/>
              </w:rPr>
            </w:pPr>
            <w:r>
              <w:rPr>
                <w:rFonts w:eastAsia="Times New Roman"/>
              </w:rPr>
              <w:t>Mathematica</w:t>
            </w:r>
          </w:p>
        </w:tc>
        <w:tc>
          <w:tcPr>
            <w:tcW w:w="3332" w:type="dxa"/>
            <w:tcBorders>
              <w:top w:val="single" w:sz="4" w:space="0" w:color="1F497D" w:themeColor="text2"/>
              <w:bottom w:val="single" w:sz="4" w:space="0" w:color="1F497D" w:themeColor="text2"/>
            </w:tcBorders>
          </w:tcPr>
          <w:p w:rsidR="00A77839" w:rsidP="00D71AC1" w14:paraId="4539728F" w14:textId="77777777">
            <w:pPr>
              <w:pStyle w:val="TableTextLeft"/>
              <w:spacing w:line="276" w:lineRule="auto"/>
              <w:rPr>
                <w:rFonts w:eastAsia="Times New Roman"/>
              </w:rPr>
            </w:pPr>
            <w:r>
              <w:rPr>
                <w:rFonts w:eastAsia="Times New Roman"/>
              </w:rPr>
              <w:t>SZief@mathematica-mpr.com</w:t>
            </w:r>
          </w:p>
        </w:tc>
      </w:tr>
      <w:tr w14:paraId="0FC996B7"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A77839" w:rsidP="00D71AC1" w14:paraId="6058EDF0" w14:textId="3A97DA4E">
            <w:pPr>
              <w:pStyle w:val="TableTextLeft"/>
              <w:spacing w:line="276" w:lineRule="auto"/>
              <w:rPr>
                <w:rFonts w:eastAsia="Times New Roman"/>
              </w:rPr>
            </w:pPr>
            <w:r>
              <w:rPr>
                <w:rFonts w:eastAsia="Times New Roman"/>
              </w:rPr>
              <w:t>Betsy Keating</w:t>
            </w:r>
          </w:p>
        </w:tc>
        <w:tc>
          <w:tcPr>
            <w:tcW w:w="4232" w:type="dxa"/>
            <w:tcBorders>
              <w:top w:val="single" w:sz="4" w:space="0" w:color="1F497D" w:themeColor="text2"/>
              <w:bottom w:val="single" w:sz="4" w:space="0" w:color="1F497D" w:themeColor="text2"/>
            </w:tcBorders>
            <w:shd w:val="clear" w:color="auto" w:fill="auto"/>
          </w:tcPr>
          <w:p w:rsidR="00A77839" w:rsidP="00D71AC1" w14:paraId="4EAD01C7" w14:textId="77777777">
            <w:pPr>
              <w:pStyle w:val="TableTextLeft"/>
              <w:spacing w:line="276" w:lineRule="auto"/>
              <w:rPr>
                <w:rFonts w:eastAsia="Times New Roman"/>
              </w:rPr>
            </w:pPr>
            <w:r>
              <w:rPr>
                <w:rFonts w:eastAsia="Times New Roman"/>
              </w:rPr>
              <w:t>Mathematica</w:t>
            </w:r>
          </w:p>
        </w:tc>
        <w:tc>
          <w:tcPr>
            <w:tcW w:w="3332" w:type="dxa"/>
            <w:tcBorders>
              <w:top w:val="single" w:sz="4" w:space="0" w:color="1F497D" w:themeColor="text2"/>
              <w:bottom w:val="single" w:sz="4" w:space="0" w:color="1F497D" w:themeColor="text2"/>
            </w:tcBorders>
          </w:tcPr>
          <w:p w:rsidR="00A77839" w:rsidP="00D71AC1" w14:paraId="5E2A1738" w14:textId="56421552">
            <w:pPr>
              <w:pStyle w:val="TableTextLeft"/>
              <w:spacing w:line="276" w:lineRule="auto"/>
              <w:rPr>
                <w:rFonts w:eastAsia="Times New Roman"/>
              </w:rPr>
            </w:pPr>
            <w:r>
              <w:rPr>
                <w:rFonts w:eastAsia="Times New Roman"/>
              </w:rPr>
              <w:t>E</w:t>
            </w:r>
            <w:r w:rsidR="002F6C61">
              <w:rPr>
                <w:rFonts w:eastAsia="Times New Roman"/>
              </w:rPr>
              <w:t>Keating</w:t>
            </w:r>
            <w:r w:rsidR="00C34BA9">
              <w:rPr>
                <w:rFonts w:eastAsia="Times New Roman"/>
              </w:rPr>
              <w:t>@mathematica-mpr.com</w:t>
            </w:r>
          </w:p>
        </w:tc>
      </w:tr>
      <w:tr w14:paraId="0F23647C"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4303F6" w:rsidP="004303F6" w14:paraId="0BEE18B0" w14:textId="326ACF3A">
            <w:pPr>
              <w:pStyle w:val="TableTextLeft"/>
              <w:spacing w:line="276" w:lineRule="auto"/>
              <w:rPr>
                <w:rFonts w:eastAsia="Times New Roman"/>
              </w:rPr>
            </w:pPr>
            <w:r>
              <w:rPr>
                <w:rFonts w:eastAsia="Times New Roman"/>
              </w:rPr>
              <w:t>Theresa Neelan</w:t>
            </w:r>
          </w:p>
        </w:tc>
        <w:tc>
          <w:tcPr>
            <w:tcW w:w="4232" w:type="dxa"/>
            <w:tcBorders>
              <w:top w:val="single" w:sz="4" w:space="0" w:color="1F497D" w:themeColor="text2"/>
              <w:bottom w:val="single" w:sz="4" w:space="0" w:color="1F497D" w:themeColor="text2"/>
            </w:tcBorders>
            <w:shd w:val="clear" w:color="auto" w:fill="auto"/>
          </w:tcPr>
          <w:p w:rsidR="004303F6" w:rsidP="004303F6" w14:paraId="4835D6CD" w14:textId="469CA303">
            <w:pPr>
              <w:pStyle w:val="TableTextLeft"/>
              <w:spacing w:line="276" w:lineRule="auto"/>
              <w:rPr>
                <w:rFonts w:eastAsia="Times New Roman"/>
              </w:rPr>
            </w:pPr>
            <w:r>
              <w:rPr>
                <w:rFonts w:eastAsia="Times New Roman"/>
              </w:rPr>
              <w:t>Mathematica</w:t>
            </w:r>
          </w:p>
        </w:tc>
        <w:tc>
          <w:tcPr>
            <w:tcW w:w="3332" w:type="dxa"/>
            <w:tcBorders>
              <w:top w:val="single" w:sz="4" w:space="0" w:color="1F497D" w:themeColor="text2"/>
              <w:bottom w:val="single" w:sz="4" w:space="0" w:color="1F497D" w:themeColor="text2"/>
            </w:tcBorders>
          </w:tcPr>
          <w:p w:rsidR="004303F6" w:rsidP="004303F6" w14:paraId="547E5F85" w14:textId="022673C0">
            <w:pPr>
              <w:pStyle w:val="TableTextLeft"/>
              <w:spacing w:line="276" w:lineRule="auto"/>
              <w:rPr>
                <w:rFonts w:eastAsia="Times New Roman"/>
              </w:rPr>
            </w:pPr>
            <w:r>
              <w:rPr>
                <w:rFonts w:eastAsia="Times New Roman"/>
              </w:rPr>
              <w:t>TNeelan@mathematica-mpr.com</w:t>
            </w:r>
          </w:p>
        </w:tc>
      </w:tr>
      <w:tr w14:paraId="6567523D"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4303F6" w:rsidP="004303F6" w14:paraId="02ECA97D" w14:textId="654BCEBC">
            <w:pPr>
              <w:pStyle w:val="TableTextLeft"/>
              <w:spacing w:line="276" w:lineRule="auto"/>
              <w:rPr>
                <w:rFonts w:eastAsia="Times New Roman"/>
              </w:rPr>
            </w:pPr>
            <w:r>
              <w:rPr>
                <w:rFonts w:eastAsia="Times New Roman"/>
              </w:rPr>
              <w:t>Bess Fleischman</w:t>
            </w:r>
          </w:p>
        </w:tc>
        <w:tc>
          <w:tcPr>
            <w:tcW w:w="4232" w:type="dxa"/>
            <w:tcBorders>
              <w:top w:val="single" w:sz="4" w:space="0" w:color="1F497D" w:themeColor="text2"/>
              <w:bottom w:val="single" w:sz="4" w:space="0" w:color="1F497D" w:themeColor="text2"/>
            </w:tcBorders>
            <w:shd w:val="clear" w:color="auto" w:fill="auto"/>
          </w:tcPr>
          <w:p w:rsidR="004303F6" w:rsidP="004303F6" w14:paraId="4C2EE2DF" w14:textId="47153BB9">
            <w:pPr>
              <w:pStyle w:val="TableTextLeft"/>
              <w:spacing w:line="276" w:lineRule="auto"/>
              <w:rPr>
                <w:rFonts w:eastAsia="Times New Roman"/>
              </w:rPr>
            </w:pPr>
            <w:r>
              <w:rPr>
                <w:rFonts w:eastAsia="Times New Roman"/>
              </w:rPr>
              <w:t>Mathematica</w:t>
            </w:r>
          </w:p>
        </w:tc>
        <w:tc>
          <w:tcPr>
            <w:tcW w:w="3332" w:type="dxa"/>
            <w:tcBorders>
              <w:top w:val="single" w:sz="4" w:space="0" w:color="1F497D" w:themeColor="text2"/>
              <w:bottom w:val="single" w:sz="4" w:space="0" w:color="1F497D" w:themeColor="text2"/>
            </w:tcBorders>
          </w:tcPr>
          <w:p w:rsidR="004303F6" w:rsidP="004303F6" w14:paraId="3DC26346" w14:textId="31CC2843">
            <w:pPr>
              <w:pStyle w:val="TableTextLeft"/>
              <w:spacing w:line="276" w:lineRule="auto"/>
              <w:rPr>
                <w:rFonts w:eastAsia="Times New Roman"/>
              </w:rPr>
            </w:pPr>
            <w:r>
              <w:rPr>
                <w:rFonts w:eastAsia="Times New Roman"/>
              </w:rPr>
              <w:t>BFleischman@mathematica-mpr.com</w:t>
            </w:r>
          </w:p>
        </w:tc>
      </w:tr>
      <w:tr w14:paraId="6B3083E4" w14:textId="77777777" w:rsidTr="002F6C61">
        <w:tblPrEx>
          <w:tblW w:w="9630"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4303F6" w:rsidP="004303F6" w14:paraId="43A79604" w14:textId="77777777">
            <w:pPr>
              <w:pStyle w:val="TableTextLeft"/>
              <w:spacing w:line="276" w:lineRule="auto"/>
              <w:rPr>
                <w:rFonts w:eastAsia="Times New Roman"/>
              </w:rPr>
            </w:pPr>
            <w:r>
              <w:rPr>
                <w:rFonts w:eastAsia="Times New Roman"/>
              </w:rPr>
              <w:t>Tiffany Waits</w:t>
            </w:r>
          </w:p>
        </w:tc>
        <w:tc>
          <w:tcPr>
            <w:tcW w:w="4232" w:type="dxa"/>
            <w:tcBorders>
              <w:top w:val="single" w:sz="4" w:space="0" w:color="1F497D" w:themeColor="text2"/>
              <w:bottom w:val="single" w:sz="4" w:space="0" w:color="1F497D" w:themeColor="text2"/>
            </w:tcBorders>
            <w:shd w:val="clear" w:color="auto" w:fill="auto"/>
          </w:tcPr>
          <w:p w:rsidR="004303F6" w:rsidP="004303F6" w14:paraId="0F32DF63" w14:textId="77777777">
            <w:pPr>
              <w:pStyle w:val="TableTextLeft"/>
              <w:spacing w:line="276" w:lineRule="auto"/>
              <w:rPr>
                <w:rFonts w:eastAsia="Times New Roman"/>
              </w:rPr>
            </w:pPr>
            <w:r>
              <w:rPr>
                <w:rFonts w:eastAsia="Times New Roman"/>
              </w:rPr>
              <w:t>Mathematica</w:t>
            </w:r>
          </w:p>
        </w:tc>
        <w:tc>
          <w:tcPr>
            <w:tcW w:w="3332" w:type="dxa"/>
            <w:tcBorders>
              <w:top w:val="single" w:sz="4" w:space="0" w:color="1F497D" w:themeColor="text2"/>
              <w:bottom w:val="single" w:sz="4" w:space="0" w:color="1F497D" w:themeColor="text2"/>
            </w:tcBorders>
          </w:tcPr>
          <w:p w:rsidR="004303F6" w:rsidP="004303F6" w14:paraId="2DB09AD4" w14:textId="77777777">
            <w:pPr>
              <w:pStyle w:val="TableTextLeft"/>
              <w:spacing w:line="276" w:lineRule="auto"/>
              <w:rPr>
                <w:rFonts w:eastAsia="Times New Roman"/>
              </w:rPr>
            </w:pPr>
            <w:r>
              <w:rPr>
                <w:rFonts w:eastAsia="Times New Roman"/>
              </w:rPr>
              <w:t>TWaits@mathematica-mpr.com</w:t>
            </w:r>
          </w:p>
        </w:tc>
      </w:tr>
    </w:tbl>
    <w:p w:rsidR="000361D4" w:rsidP="00D71AC1" w14:paraId="05514E23" w14:textId="77777777">
      <w:pPr>
        <w:spacing w:after="240"/>
        <w:rPr>
          <w:b/>
        </w:rPr>
      </w:pPr>
    </w:p>
    <w:p w:rsidR="00A77839" w:rsidP="00D71AC1" w14:paraId="2EB768D1" w14:textId="3DDA934A">
      <w:pPr>
        <w:spacing w:after="240"/>
        <w:rPr>
          <w:b/>
        </w:rPr>
      </w:pPr>
      <w:r>
        <w:rPr>
          <w:b/>
        </w:rPr>
        <w:t>Attachments</w:t>
      </w:r>
    </w:p>
    <w:p w:rsidR="00A77839" w:rsidP="00D71AC1" w14:paraId="31B78D8C" w14:textId="77777777">
      <w:pPr>
        <w:spacing w:after="120"/>
        <w:ind w:left="187"/>
        <w:rPr>
          <w:b/>
          <w:bCs/>
        </w:rPr>
      </w:pPr>
      <w:r>
        <w:rPr>
          <w:b/>
          <w:bCs/>
        </w:rPr>
        <w:t>Appendices</w:t>
      </w:r>
    </w:p>
    <w:p w:rsidR="00A77839" w:rsidP="00D71AC1" w14:paraId="69BDFD23" w14:textId="77777777">
      <w:pPr>
        <w:spacing w:after="60"/>
        <w:ind w:left="180"/>
      </w:pPr>
      <w:r>
        <w:t>Appendix A: Study Notification and Reminder Materials</w:t>
      </w:r>
    </w:p>
    <w:p w:rsidR="00A77839" w:rsidP="00D71AC1" w14:paraId="373F1B49" w14:textId="77777777">
      <w:pPr>
        <w:spacing w:after="120"/>
        <w:ind w:left="187"/>
        <w:rPr>
          <w:b/>
          <w:bCs/>
        </w:rPr>
      </w:pPr>
      <w:r>
        <w:rPr>
          <w:b/>
          <w:bCs/>
        </w:rPr>
        <w:t>Instruments</w:t>
      </w:r>
    </w:p>
    <w:p w:rsidR="001A2F31" w:rsidP="0070010C" w14:paraId="06C784A7" w14:textId="1A8A17DA">
      <w:pPr>
        <w:spacing w:after="60"/>
        <w:ind w:left="180"/>
        <w:rPr>
          <w:rFonts w:ascii="Times New Roman" w:hAnsi="Times New Roman" w:cs="Times New Roman"/>
          <w:sz w:val="24"/>
          <w:szCs w:val="24"/>
        </w:rPr>
      </w:pPr>
      <w:r w:rsidRPr="0070010C">
        <w:t>Instrument</w:t>
      </w:r>
      <w:r>
        <w:t xml:space="preserve"> 1. </w:t>
      </w:r>
      <w:bookmarkStart w:id="7" w:name="_Hlk124257895"/>
      <w:r w:rsidR="0070010C">
        <w:rPr>
          <w:rFonts w:eastAsia="Times New Roman"/>
        </w:rPr>
        <w:t xml:space="preserve">Interview Protocol for SRAE Grantees and Providers Delivering SRAE Programming to </w:t>
      </w:r>
      <w:r w:rsidRPr="0070010C" w:rsidR="0070010C">
        <w:t>Youth</w:t>
      </w:r>
      <w:r w:rsidR="0070010C">
        <w:rPr>
          <w:rFonts w:eastAsia="Times New Roman"/>
        </w:rPr>
        <w:t xml:space="preserve"> in Juvenile Justice Detention Centers and Foster Care Group Homes</w:t>
      </w:r>
      <w:bookmarkEnd w:id="7"/>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A77839" w14:paraId="2E05EC81"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A77839" w14:paraId="344ED9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0331" w14:paraId="0CC191CA" w14:textId="77777777">
      <w:pPr>
        <w:spacing w:after="0" w:line="240" w:lineRule="auto"/>
      </w:pPr>
      <w:r>
        <w:separator/>
      </w:r>
    </w:p>
  </w:footnote>
  <w:footnote w:type="continuationSeparator" w:id="1">
    <w:p w:rsidR="00460331" w14:paraId="736E6AEF" w14:textId="77777777">
      <w:pPr>
        <w:spacing w:after="0" w:line="240" w:lineRule="auto"/>
      </w:pPr>
      <w:r>
        <w:continuationSeparator/>
      </w:r>
    </w:p>
  </w:footnote>
  <w:footnote w:id="2">
    <w:p w:rsidR="004E0124" w:rsidP="004E0124" w14:paraId="37688B6C" w14:textId="77777777">
      <w:pPr>
        <w:pStyle w:val="FootnoteText"/>
      </w:pPr>
      <w:r>
        <w:rPr>
          <w:rStyle w:val="FootnoteReference"/>
        </w:rPr>
        <w:footnoteRef/>
      </w:r>
      <w:r>
        <w:t xml:space="preserve"> ACF has contracted with Mathematica to carry out this information collection.</w:t>
      </w:r>
    </w:p>
  </w:footnote>
  <w:footnote w:id="3">
    <w:p w:rsidR="002D3960" w14:paraId="195D4992" w14:textId="2EF3B6EE">
      <w:pPr>
        <w:pStyle w:val="FootnoteText"/>
      </w:pPr>
      <w:r>
        <w:rPr>
          <w:rStyle w:val="FootnoteReference"/>
        </w:rPr>
        <w:footnoteRef/>
      </w:r>
      <w:r>
        <w:t xml:space="preserve"> The NWS survey is approved and conducted under OMB Control No: </w:t>
      </w:r>
      <w:r w:rsidRPr="008813EA">
        <w:rPr>
          <w:bCs/>
        </w:rPr>
        <w:t>0970</w:t>
      </w:r>
      <w:r>
        <w:rPr>
          <w:bCs/>
        </w:rPr>
        <w:t>-0956</w:t>
      </w:r>
      <w:r w:rsidR="00746639">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0EAB" w:rsidP="00C70EAB" w14:paraId="1778900B" w14:textId="77777777">
    <w:pPr>
      <w:spacing w:after="0"/>
      <w:jc w:val="center"/>
      <w:rPr>
        <w:b/>
      </w:rPr>
    </w:pPr>
    <w:r>
      <w:rPr>
        <w:b/>
      </w:rPr>
      <w:t xml:space="preserve">Alternative Supporting Statement Instructions for Information Collections Designed for </w:t>
    </w:r>
  </w:p>
  <w:p w:rsidR="00C70EAB" w:rsidP="00C70EAB" w14:paraId="073AA98D" w14:textId="77777777">
    <w:pPr>
      <w:spacing w:after="0"/>
      <w:jc w:val="center"/>
      <w:rPr>
        <w:b/>
      </w:rPr>
    </w:pPr>
    <w:r>
      <w:rPr>
        <w:b/>
      </w:rPr>
      <w:t>Research, Public Health Surveillance, and Program Evaluation Purposes</w:t>
    </w:r>
  </w:p>
  <w:p w:rsidR="00C70EAB" w14:paraId="685EC6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4B12DB"/>
    <w:multiLevelType w:val="hybridMultilevel"/>
    <w:tmpl w:val="59C2BF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3B6E6C"/>
    <w:multiLevelType w:val="hybridMultilevel"/>
    <w:tmpl w:val="9D8816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0B164C"/>
    <w:multiLevelType w:val="hybridMultilevel"/>
    <w:tmpl w:val="463E2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0166D7"/>
    <w:multiLevelType w:val="hybridMultilevel"/>
    <w:tmpl w:val="31E69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22A78DE"/>
    <w:multiLevelType w:val="hybridMultilevel"/>
    <w:tmpl w:val="B44EA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3582503">
    <w:abstractNumId w:val="5"/>
  </w:num>
  <w:num w:numId="2" w16cid:durableId="823818160">
    <w:abstractNumId w:val="19"/>
  </w:num>
  <w:num w:numId="3" w16cid:durableId="2059937902">
    <w:abstractNumId w:val="4"/>
  </w:num>
  <w:num w:numId="4" w16cid:durableId="455103140">
    <w:abstractNumId w:val="24"/>
  </w:num>
  <w:num w:numId="5" w16cid:durableId="1883441868">
    <w:abstractNumId w:val="16"/>
  </w:num>
  <w:num w:numId="6" w16cid:durableId="1621299479">
    <w:abstractNumId w:val="31"/>
  </w:num>
  <w:num w:numId="7" w16cid:durableId="506791586">
    <w:abstractNumId w:val="3"/>
  </w:num>
  <w:num w:numId="8" w16cid:durableId="350886332">
    <w:abstractNumId w:val="10"/>
  </w:num>
  <w:num w:numId="9" w16cid:durableId="1068040675">
    <w:abstractNumId w:val="15"/>
  </w:num>
  <w:num w:numId="10" w16cid:durableId="1300066851">
    <w:abstractNumId w:val="30"/>
  </w:num>
  <w:num w:numId="11" w16cid:durableId="2048943782">
    <w:abstractNumId w:val="33"/>
  </w:num>
  <w:num w:numId="12" w16cid:durableId="596719881">
    <w:abstractNumId w:val="28"/>
  </w:num>
  <w:num w:numId="13" w16cid:durableId="1135411278">
    <w:abstractNumId w:val="23"/>
  </w:num>
  <w:num w:numId="14" w16cid:durableId="782578291">
    <w:abstractNumId w:val="29"/>
  </w:num>
  <w:num w:numId="15" w16cid:durableId="406609306">
    <w:abstractNumId w:val="17"/>
  </w:num>
  <w:num w:numId="16" w16cid:durableId="1971738541">
    <w:abstractNumId w:val="22"/>
  </w:num>
  <w:num w:numId="17" w16cid:durableId="1249801801">
    <w:abstractNumId w:val="13"/>
  </w:num>
  <w:num w:numId="18" w16cid:durableId="1009331119">
    <w:abstractNumId w:val="9"/>
  </w:num>
  <w:num w:numId="19" w16cid:durableId="1637488629">
    <w:abstractNumId w:val="8"/>
  </w:num>
  <w:num w:numId="20" w16cid:durableId="458454863">
    <w:abstractNumId w:val="21"/>
  </w:num>
  <w:num w:numId="21" w16cid:durableId="563834140">
    <w:abstractNumId w:val="0"/>
  </w:num>
  <w:num w:numId="22" w16cid:durableId="1949963998">
    <w:abstractNumId w:val="1"/>
  </w:num>
  <w:num w:numId="23" w16cid:durableId="1504586055">
    <w:abstractNumId w:val="18"/>
  </w:num>
  <w:num w:numId="24" w16cid:durableId="2043094331">
    <w:abstractNumId w:val="2"/>
  </w:num>
  <w:num w:numId="25" w16cid:durableId="765421763">
    <w:abstractNumId w:val="12"/>
  </w:num>
  <w:num w:numId="26" w16cid:durableId="634484577">
    <w:abstractNumId w:val="20"/>
  </w:num>
  <w:num w:numId="27" w16cid:durableId="2079472582">
    <w:abstractNumId w:val="14"/>
  </w:num>
  <w:num w:numId="28" w16cid:durableId="396512453">
    <w:abstractNumId w:val="32"/>
  </w:num>
  <w:num w:numId="29" w16cid:durableId="1549075302">
    <w:abstractNumId w:val="25"/>
  </w:num>
  <w:num w:numId="30" w16cid:durableId="1221558052">
    <w:abstractNumId w:val="26"/>
  </w:num>
  <w:num w:numId="31" w16cid:durableId="86387069">
    <w:abstractNumId w:val="6"/>
  </w:num>
  <w:num w:numId="32" w16cid:durableId="1681396117">
    <w:abstractNumId w:val="27"/>
  </w:num>
  <w:num w:numId="33" w16cid:durableId="1207259432">
    <w:abstractNumId w:val="7"/>
  </w:num>
  <w:num w:numId="34" w16cid:durableId="112061371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39"/>
    <w:rsid w:val="00021AA8"/>
    <w:rsid w:val="0003262B"/>
    <w:rsid w:val="00034394"/>
    <w:rsid w:val="000361D4"/>
    <w:rsid w:val="0005251B"/>
    <w:rsid w:val="000677B3"/>
    <w:rsid w:val="00074242"/>
    <w:rsid w:val="00092FF7"/>
    <w:rsid w:val="000A2DBD"/>
    <w:rsid w:val="000B1DFE"/>
    <w:rsid w:val="001029A5"/>
    <w:rsid w:val="00105F23"/>
    <w:rsid w:val="00107634"/>
    <w:rsid w:val="00137131"/>
    <w:rsid w:val="001400FA"/>
    <w:rsid w:val="00147562"/>
    <w:rsid w:val="00194C90"/>
    <w:rsid w:val="00195E44"/>
    <w:rsid w:val="001A13B2"/>
    <w:rsid w:val="001A2F31"/>
    <w:rsid w:val="001A5CD4"/>
    <w:rsid w:val="001A6982"/>
    <w:rsid w:val="001B3990"/>
    <w:rsid w:val="001C0D3E"/>
    <w:rsid w:val="001D5B00"/>
    <w:rsid w:val="001E2EE3"/>
    <w:rsid w:val="001E7669"/>
    <w:rsid w:val="002023E2"/>
    <w:rsid w:val="002065D7"/>
    <w:rsid w:val="002114C0"/>
    <w:rsid w:val="00233D9A"/>
    <w:rsid w:val="00241187"/>
    <w:rsid w:val="002432D2"/>
    <w:rsid w:val="0025304A"/>
    <w:rsid w:val="00272B1C"/>
    <w:rsid w:val="00287CB1"/>
    <w:rsid w:val="002A48A6"/>
    <w:rsid w:val="002D10DD"/>
    <w:rsid w:val="002D3960"/>
    <w:rsid w:val="002E6E8C"/>
    <w:rsid w:val="002F5650"/>
    <w:rsid w:val="002F6C61"/>
    <w:rsid w:val="00307859"/>
    <w:rsid w:val="00324783"/>
    <w:rsid w:val="00331BF5"/>
    <w:rsid w:val="00383750"/>
    <w:rsid w:val="00394870"/>
    <w:rsid w:val="003A64CF"/>
    <w:rsid w:val="003D69B0"/>
    <w:rsid w:val="003E07ED"/>
    <w:rsid w:val="003E3500"/>
    <w:rsid w:val="003F0D01"/>
    <w:rsid w:val="004004DF"/>
    <w:rsid w:val="00401744"/>
    <w:rsid w:val="00403734"/>
    <w:rsid w:val="004303F6"/>
    <w:rsid w:val="00460331"/>
    <w:rsid w:val="0049411E"/>
    <w:rsid w:val="004D0D26"/>
    <w:rsid w:val="004D2AC7"/>
    <w:rsid w:val="004E0124"/>
    <w:rsid w:val="004E2398"/>
    <w:rsid w:val="004E281E"/>
    <w:rsid w:val="004F0259"/>
    <w:rsid w:val="004F6D9A"/>
    <w:rsid w:val="00504D06"/>
    <w:rsid w:val="00510341"/>
    <w:rsid w:val="00547F1E"/>
    <w:rsid w:val="00547FBD"/>
    <w:rsid w:val="00554433"/>
    <w:rsid w:val="00570620"/>
    <w:rsid w:val="005729F8"/>
    <w:rsid w:val="00577AAF"/>
    <w:rsid w:val="00577BF4"/>
    <w:rsid w:val="00581B7C"/>
    <w:rsid w:val="005847DB"/>
    <w:rsid w:val="005900C9"/>
    <w:rsid w:val="00596FA9"/>
    <w:rsid w:val="005A403E"/>
    <w:rsid w:val="005B27AE"/>
    <w:rsid w:val="005D7569"/>
    <w:rsid w:val="005E1F1A"/>
    <w:rsid w:val="005E2ADE"/>
    <w:rsid w:val="00601E6C"/>
    <w:rsid w:val="006025FC"/>
    <w:rsid w:val="006237FA"/>
    <w:rsid w:val="0063677A"/>
    <w:rsid w:val="00641ADD"/>
    <w:rsid w:val="006B55E0"/>
    <w:rsid w:val="006D3580"/>
    <w:rsid w:val="0070010C"/>
    <w:rsid w:val="00717B41"/>
    <w:rsid w:val="00720A1A"/>
    <w:rsid w:val="00727DD6"/>
    <w:rsid w:val="00746639"/>
    <w:rsid w:val="0076490E"/>
    <w:rsid w:val="007915B2"/>
    <w:rsid w:val="007D21D8"/>
    <w:rsid w:val="007E2B3A"/>
    <w:rsid w:val="007F4346"/>
    <w:rsid w:val="00801DBE"/>
    <w:rsid w:val="00813F86"/>
    <w:rsid w:val="008152C1"/>
    <w:rsid w:val="0084670F"/>
    <w:rsid w:val="00863D33"/>
    <w:rsid w:val="008813EA"/>
    <w:rsid w:val="008815BB"/>
    <w:rsid w:val="00886D69"/>
    <w:rsid w:val="008A532C"/>
    <w:rsid w:val="008A59F6"/>
    <w:rsid w:val="008C1DF7"/>
    <w:rsid w:val="00905AB3"/>
    <w:rsid w:val="009369F6"/>
    <w:rsid w:val="00936F5E"/>
    <w:rsid w:val="00974B12"/>
    <w:rsid w:val="009766B7"/>
    <w:rsid w:val="00985DDD"/>
    <w:rsid w:val="00994F0D"/>
    <w:rsid w:val="009A5D6E"/>
    <w:rsid w:val="009B310C"/>
    <w:rsid w:val="009B4062"/>
    <w:rsid w:val="009C228E"/>
    <w:rsid w:val="009D1F9E"/>
    <w:rsid w:val="009E5167"/>
    <w:rsid w:val="009F77AB"/>
    <w:rsid w:val="00A3337B"/>
    <w:rsid w:val="00A40A6A"/>
    <w:rsid w:val="00A4721F"/>
    <w:rsid w:val="00A53A15"/>
    <w:rsid w:val="00A77839"/>
    <w:rsid w:val="00A86C12"/>
    <w:rsid w:val="00AA2FE1"/>
    <w:rsid w:val="00AB22AA"/>
    <w:rsid w:val="00AB753D"/>
    <w:rsid w:val="00AD0599"/>
    <w:rsid w:val="00AE4F51"/>
    <w:rsid w:val="00AF000D"/>
    <w:rsid w:val="00B06CBC"/>
    <w:rsid w:val="00B30858"/>
    <w:rsid w:val="00B31E12"/>
    <w:rsid w:val="00B37BD9"/>
    <w:rsid w:val="00B45851"/>
    <w:rsid w:val="00B525C6"/>
    <w:rsid w:val="00B5782B"/>
    <w:rsid w:val="00B6026D"/>
    <w:rsid w:val="00B6107F"/>
    <w:rsid w:val="00B67646"/>
    <w:rsid w:val="00B75D1D"/>
    <w:rsid w:val="00B851CC"/>
    <w:rsid w:val="00B97C65"/>
    <w:rsid w:val="00BC0E62"/>
    <w:rsid w:val="00BC46A0"/>
    <w:rsid w:val="00BD086D"/>
    <w:rsid w:val="00BE3904"/>
    <w:rsid w:val="00BE4E3B"/>
    <w:rsid w:val="00BF0513"/>
    <w:rsid w:val="00BF1E8C"/>
    <w:rsid w:val="00BF5CE7"/>
    <w:rsid w:val="00C229EF"/>
    <w:rsid w:val="00C308D0"/>
    <w:rsid w:val="00C32C8A"/>
    <w:rsid w:val="00C34BA9"/>
    <w:rsid w:val="00C43D28"/>
    <w:rsid w:val="00C444F4"/>
    <w:rsid w:val="00C70EAB"/>
    <w:rsid w:val="00C825B4"/>
    <w:rsid w:val="00C965A8"/>
    <w:rsid w:val="00CB6731"/>
    <w:rsid w:val="00CB7519"/>
    <w:rsid w:val="00CD298A"/>
    <w:rsid w:val="00D122EB"/>
    <w:rsid w:val="00D15460"/>
    <w:rsid w:val="00D42BA1"/>
    <w:rsid w:val="00D50BE5"/>
    <w:rsid w:val="00D62AB6"/>
    <w:rsid w:val="00D71AC1"/>
    <w:rsid w:val="00D76965"/>
    <w:rsid w:val="00DA105B"/>
    <w:rsid w:val="00DA4BCC"/>
    <w:rsid w:val="00DA6527"/>
    <w:rsid w:val="00DA7A78"/>
    <w:rsid w:val="00DD496E"/>
    <w:rsid w:val="00DD5315"/>
    <w:rsid w:val="00E24C48"/>
    <w:rsid w:val="00E37692"/>
    <w:rsid w:val="00EA66DA"/>
    <w:rsid w:val="00EC4898"/>
    <w:rsid w:val="00F0035D"/>
    <w:rsid w:val="00F15D36"/>
    <w:rsid w:val="00F24397"/>
    <w:rsid w:val="00F24623"/>
    <w:rsid w:val="00F3473C"/>
    <w:rsid w:val="00F359C4"/>
    <w:rsid w:val="00F47199"/>
    <w:rsid w:val="00F6148F"/>
    <w:rsid w:val="00F874C8"/>
    <w:rsid w:val="00FA7C6D"/>
    <w:rsid w:val="00FC165F"/>
    <w:rsid w:val="00FD00EC"/>
    <w:rsid w:val="00FD6B82"/>
    <w:rsid w:val="00FE6E47"/>
    <w:rsid w:val="00FF07E2"/>
    <w:rsid w:val="00FF6F34"/>
  </w:rsids>
  <w:docVars>
    <w:docVar w:name="__Grammarly_42___1" w:val="H4sIAAAAAAAEAKtWcslP9kxRslIyNDY2MDQzNzQ0tjQxMTI2NDJT0lEKTi0uzszPAykwMq4FAPPnGFM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536377"/>
  <w15:docId w15:val="{94AEC39C-6F2A-4876-A8A8-28FAE364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link w:val="ListParagraph"/>
    <w:uiPriority w:val="34"/>
    <w:locked/>
  </w:style>
  <w:style w:type="paragraph" w:styleId="Revision">
    <w:name w:val="Revision"/>
    <w:hidden/>
    <w:uiPriority w:val="99"/>
    <w:semiHidden/>
    <w:pPr>
      <w:spacing w:after="0" w:line="240" w:lineRule="auto"/>
    </w:pPr>
  </w:style>
  <w:style w:type="paragraph" w:customStyle="1" w:styleId="ReportCover-Title">
    <w:name w:val="ReportCover-Title"/>
    <w:basedOn w:val="Normal"/>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pPr>
      <w:spacing w:after="840" w:line="260" w:lineRule="exact"/>
    </w:pPr>
    <w:rPr>
      <w:rFonts w:ascii="Franklin Gothic Medium" w:eastAsia="Times New Roman" w:hAnsi="Franklin Gothic Medium" w:cs="Times New Roman"/>
      <w:b/>
      <w:color w:val="003C79"/>
      <w:sz w:val="24"/>
      <w:szCs w:val="20"/>
    </w:rPr>
  </w:style>
  <w:style w:type="paragraph" w:customStyle="1" w:styleId="Heading2A">
    <w:name w:val="Heading 2A"/>
    <w:basedOn w:val="Normal"/>
    <w:pPr>
      <w:spacing w:after="120" w:line="240" w:lineRule="auto"/>
      <w:ind w:left="540" w:hanging="540"/>
    </w:pPr>
    <w:rPr>
      <w:b/>
    </w:r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pPr>
      <w:keepNext/>
      <w:jc w:val="center"/>
    </w:pPr>
    <w:rPr>
      <w:color w:val="FFFFFF" w:themeColor="background1"/>
      <w:sz w:val="20"/>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Normal"/>
    <w:qFormat/>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character" w:styleId="PageNumber">
    <w:name w:val="page number"/>
    <w:basedOn w:val="DefaultParagraphFont"/>
    <w:rsid w:val="006B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6929E-57FD-4BAA-B738-48344E57DE21}">
  <ds:schemaRefs>
    <ds:schemaRef ds:uri="http://schemas.openxmlformats.org/officeDocument/2006/bibliography"/>
  </ds:schemaRefs>
</ds:datastoreItem>
</file>

<file path=customXml/itemProps2.xml><?xml version="1.0" encoding="utf-8"?>
<ds:datastoreItem xmlns:ds="http://schemas.openxmlformats.org/officeDocument/2006/customXml" ds:itemID="{12728AD5-96F8-485B-8812-1E92FC8698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9825E4-70EB-4023-8C68-00E9052E955A}">
  <ds:schemaRefs>
    <ds:schemaRef ds:uri="http://schemas.microsoft.com/sharepoint/v3/contenttype/forms"/>
  </ds:schemaRefs>
</ds:datastoreItem>
</file>

<file path=customXml/itemProps4.xml><?xml version="1.0" encoding="utf-8"?>
<ds:datastoreItem xmlns:ds="http://schemas.openxmlformats.org/officeDocument/2006/customXml" ds:itemID="{A2457521-831E-4558-8DDF-1F480E923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Calonie (ACF)</dc:creator>
  <cp:lastModifiedBy>Gray, Calonie (ACF)</cp:lastModifiedBy>
  <cp:revision>3</cp:revision>
  <dcterms:created xsi:type="dcterms:W3CDTF">2023-04-05T16:24:00Z</dcterms:created>
  <dcterms:modified xsi:type="dcterms:W3CDTF">2023-04-05T16:24:00Z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