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54255A" w:rsidRPr="007B04EA" w:rsidP="00B13297" w14:paraId="62DEA0B8" w14:textId="698CB772">
      <w:pPr>
        <w:pStyle w:val="ReportCover-Title"/>
        <w:jc w:val="center"/>
        <w:rPr>
          <w:rFonts w:ascii="Arial" w:hAnsi="Arial" w:cs="Arial"/>
          <w:color w:val="auto"/>
        </w:rPr>
      </w:pPr>
      <w:r w:rsidRPr="007B04EA">
        <w:rPr>
          <w:rFonts w:ascii="Arial" w:eastAsia="Arial Unicode MS" w:hAnsi="Arial" w:cs="Arial"/>
          <w:noProof/>
          <w:color w:val="auto"/>
        </w:rPr>
        <w:t xml:space="preserve">GenIC: </w:t>
      </w:r>
      <w:r w:rsidRPr="007B04EA" w:rsidR="0012118A">
        <w:rPr>
          <w:rFonts w:ascii="Arial" w:eastAsia="Arial Unicode MS" w:hAnsi="Arial" w:cs="Arial"/>
          <w:noProof/>
          <w:color w:val="auto"/>
        </w:rPr>
        <w:t xml:space="preserve">Measuring, Supporting, and Understanding Child and Caregiver well-being through Employment and Self-Sufficiency </w:t>
      </w:r>
      <w:r w:rsidRPr="007B04EA" w:rsidR="005E0E75">
        <w:rPr>
          <w:rFonts w:ascii="Arial" w:eastAsia="Arial Unicode MS" w:hAnsi="Arial" w:cs="Arial"/>
          <w:noProof/>
          <w:color w:val="auto"/>
        </w:rPr>
        <w:t>R</w:t>
      </w:r>
      <w:r w:rsidRPr="007B04EA" w:rsidR="0012118A">
        <w:rPr>
          <w:rFonts w:ascii="Arial" w:eastAsia="Arial Unicode MS" w:hAnsi="Arial" w:cs="Arial"/>
          <w:noProof/>
          <w:color w:val="auto"/>
        </w:rPr>
        <w:t>esearch</w:t>
      </w:r>
    </w:p>
    <w:p w:rsidR="0054255A" w:rsidRPr="007B04EA" w:rsidP="00B13297" w14:paraId="11C893CE" w14:textId="77777777">
      <w:pPr>
        <w:pStyle w:val="ReportCover-Title"/>
        <w:rPr>
          <w:rFonts w:ascii="Arial" w:hAnsi="Arial" w:cs="Arial"/>
          <w:color w:val="auto"/>
        </w:rPr>
      </w:pPr>
    </w:p>
    <w:p w:rsidR="0054255A" w:rsidRPr="007B04EA" w:rsidP="00B13297" w14:paraId="56DAFAF6" w14:textId="77777777">
      <w:pPr>
        <w:pStyle w:val="ReportCover-Title"/>
        <w:rPr>
          <w:rFonts w:ascii="Arial" w:hAnsi="Arial" w:cs="Arial"/>
          <w:color w:val="auto"/>
        </w:rPr>
      </w:pPr>
    </w:p>
    <w:p w:rsidR="00F47720" w:rsidRPr="007B04EA" w:rsidP="00B3652D" w14:paraId="0CAE982C" w14:textId="77777777">
      <w:pPr>
        <w:pStyle w:val="ReportCover-Title"/>
        <w:jc w:val="center"/>
        <w:rPr>
          <w:rFonts w:ascii="Arial" w:hAnsi="Arial" w:cs="Arial"/>
          <w:color w:val="auto"/>
          <w:sz w:val="32"/>
          <w:szCs w:val="32"/>
        </w:rPr>
      </w:pPr>
      <w:r w:rsidRPr="007B04EA">
        <w:rPr>
          <w:rFonts w:ascii="Arial" w:hAnsi="Arial" w:cs="Arial"/>
          <w:color w:val="auto"/>
          <w:sz w:val="32"/>
          <w:szCs w:val="32"/>
        </w:rPr>
        <w:t xml:space="preserve">Under </w:t>
      </w:r>
    </w:p>
    <w:p w:rsidR="00F47720" w:rsidRPr="007B04EA" w:rsidP="00B3652D" w14:paraId="0815F196" w14:textId="4CE1C77B">
      <w:pPr>
        <w:pStyle w:val="ReportCover-Title"/>
        <w:jc w:val="center"/>
        <w:rPr>
          <w:rFonts w:ascii="Arial" w:hAnsi="Arial" w:cs="Arial"/>
          <w:color w:val="auto"/>
          <w:sz w:val="32"/>
          <w:szCs w:val="32"/>
        </w:rPr>
      </w:pPr>
      <w:r w:rsidRPr="007B04EA">
        <w:rPr>
          <w:rFonts w:ascii="Arial" w:hAnsi="Arial" w:cs="Arial"/>
          <w:color w:val="auto"/>
          <w:sz w:val="32"/>
          <w:szCs w:val="32"/>
        </w:rPr>
        <w:t>Umbrella Generic Clearance:</w:t>
      </w:r>
    </w:p>
    <w:p w:rsidR="00B3652D" w:rsidRPr="007B04EA" w:rsidP="00B3652D" w14:paraId="025E32B5" w14:textId="1468807D">
      <w:pPr>
        <w:pStyle w:val="ReportCover-Title"/>
        <w:jc w:val="center"/>
        <w:rPr>
          <w:rFonts w:ascii="Arial" w:hAnsi="Arial" w:cs="Arial"/>
          <w:color w:val="auto"/>
          <w:sz w:val="32"/>
          <w:szCs w:val="32"/>
        </w:rPr>
      </w:pPr>
      <w:r w:rsidRPr="007B04EA">
        <w:rPr>
          <w:rFonts w:ascii="Arial" w:hAnsi="Arial" w:cs="Arial"/>
          <w:color w:val="auto"/>
          <w:sz w:val="32"/>
          <w:szCs w:val="32"/>
        </w:rPr>
        <w:t>Formative Data Collections for ACF Research</w:t>
      </w:r>
    </w:p>
    <w:p w:rsidR="00B3652D" w:rsidRPr="007B04EA" w:rsidP="00B3652D" w14:paraId="16F24FC8" w14:textId="77777777">
      <w:pPr>
        <w:pStyle w:val="ReportCover-Title"/>
        <w:jc w:val="center"/>
        <w:rPr>
          <w:rFonts w:ascii="Arial" w:hAnsi="Arial" w:cs="Arial"/>
          <w:color w:val="auto"/>
          <w:sz w:val="32"/>
          <w:szCs w:val="32"/>
        </w:rPr>
      </w:pPr>
    </w:p>
    <w:p w:rsidR="00B3652D" w:rsidRPr="007B04EA" w:rsidP="00B3652D" w14:paraId="68EB784E" w14:textId="7A8BC126">
      <w:pPr>
        <w:pStyle w:val="ReportCover-Title"/>
        <w:jc w:val="center"/>
        <w:rPr>
          <w:rFonts w:ascii="Arial" w:hAnsi="Arial" w:cs="Arial"/>
          <w:color w:val="auto"/>
          <w:sz w:val="32"/>
          <w:szCs w:val="32"/>
        </w:rPr>
      </w:pPr>
      <w:r w:rsidRPr="007B04EA">
        <w:rPr>
          <w:rFonts w:ascii="Arial" w:hAnsi="Arial" w:cs="Arial"/>
          <w:color w:val="auto"/>
          <w:sz w:val="32"/>
          <w:szCs w:val="32"/>
        </w:rPr>
        <w:t xml:space="preserve">0970 </w:t>
      </w:r>
      <w:r w:rsidRPr="007B04EA" w:rsidR="00F4057A">
        <w:rPr>
          <w:rFonts w:ascii="Arial" w:hAnsi="Arial" w:cs="Arial"/>
          <w:color w:val="auto"/>
          <w:sz w:val="32"/>
          <w:szCs w:val="32"/>
        </w:rPr>
        <w:t>–</w:t>
      </w:r>
      <w:r w:rsidRPr="007B04EA">
        <w:rPr>
          <w:rFonts w:ascii="Arial" w:hAnsi="Arial" w:cs="Arial"/>
          <w:color w:val="auto"/>
          <w:sz w:val="32"/>
          <w:szCs w:val="32"/>
        </w:rPr>
        <w:t xml:space="preserve"> 0</w:t>
      </w:r>
      <w:r w:rsidRPr="007B04EA" w:rsidR="00FA5B1A">
        <w:rPr>
          <w:rFonts w:ascii="Arial" w:hAnsi="Arial" w:cs="Arial"/>
          <w:color w:val="auto"/>
          <w:sz w:val="32"/>
          <w:szCs w:val="32"/>
        </w:rPr>
        <w:t>356</w:t>
      </w:r>
    </w:p>
    <w:p w:rsidR="0054255A" w:rsidRPr="007B04EA" w:rsidP="00B13297" w14:paraId="20B97EA0" w14:textId="77777777">
      <w:pPr>
        <w:rPr>
          <w:rFonts w:ascii="Arial" w:hAnsi="Arial" w:cs="Arial"/>
        </w:rPr>
      </w:pPr>
    </w:p>
    <w:p w:rsidR="0054255A" w:rsidRPr="007B04EA" w:rsidP="00B13297" w14:paraId="073B8B22" w14:textId="77777777">
      <w:pPr>
        <w:pStyle w:val="ReportCover-Date"/>
        <w:jc w:val="center"/>
        <w:rPr>
          <w:rFonts w:ascii="Arial" w:hAnsi="Arial" w:cs="Arial"/>
          <w:color w:val="auto"/>
        </w:rPr>
      </w:pPr>
    </w:p>
    <w:p w:rsidR="0054255A" w:rsidRPr="007B04EA" w:rsidP="00B13297" w14:paraId="12554403" w14:textId="77777777">
      <w:pPr>
        <w:pStyle w:val="ReportCover-Date"/>
        <w:spacing w:after="360" w:line="240" w:lineRule="auto"/>
        <w:jc w:val="center"/>
        <w:rPr>
          <w:rFonts w:ascii="Arial" w:hAnsi="Arial" w:cs="Arial"/>
          <w:color w:val="auto"/>
          <w:sz w:val="48"/>
          <w:szCs w:val="48"/>
        </w:rPr>
      </w:pPr>
      <w:r w:rsidRPr="007B04EA">
        <w:rPr>
          <w:rFonts w:ascii="Arial" w:hAnsi="Arial" w:cs="Arial"/>
          <w:color w:val="auto"/>
          <w:sz w:val="48"/>
          <w:szCs w:val="48"/>
        </w:rPr>
        <w:t>Supporting Statement</w:t>
      </w:r>
    </w:p>
    <w:p w:rsidR="0054255A" w:rsidRPr="007B04EA" w:rsidP="00B13297" w14:paraId="6C1EE474" w14:textId="77777777">
      <w:pPr>
        <w:pStyle w:val="ReportCover-Date"/>
        <w:spacing w:after="360" w:line="240" w:lineRule="auto"/>
        <w:jc w:val="center"/>
        <w:rPr>
          <w:rFonts w:ascii="Arial" w:hAnsi="Arial" w:cs="Arial"/>
          <w:color w:val="auto"/>
          <w:sz w:val="48"/>
          <w:szCs w:val="48"/>
        </w:rPr>
      </w:pPr>
      <w:r w:rsidRPr="007B04EA">
        <w:rPr>
          <w:rFonts w:ascii="Arial" w:hAnsi="Arial" w:cs="Arial"/>
          <w:color w:val="auto"/>
          <w:sz w:val="48"/>
          <w:szCs w:val="48"/>
        </w:rPr>
        <w:t>Part A</w:t>
      </w:r>
    </w:p>
    <w:p w:rsidR="0054255A" w:rsidRPr="007B04EA" w:rsidP="00B13297" w14:paraId="782F2D46" w14:textId="055BFD56">
      <w:pPr>
        <w:pStyle w:val="ReportCover-Date"/>
        <w:jc w:val="center"/>
        <w:rPr>
          <w:rFonts w:ascii="Arial" w:hAnsi="Arial" w:cs="Arial"/>
          <w:color w:val="auto"/>
        </w:rPr>
      </w:pPr>
      <w:r w:rsidRPr="007B04EA">
        <w:rPr>
          <w:rFonts w:ascii="Arial" w:hAnsi="Arial" w:cs="Arial"/>
          <w:color w:val="auto"/>
        </w:rPr>
        <w:t>March</w:t>
      </w:r>
      <w:r w:rsidRPr="007B04EA">
        <w:rPr>
          <w:rFonts w:ascii="Arial" w:hAnsi="Arial" w:cs="Arial"/>
          <w:color w:val="auto"/>
        </w:rPr>
        <w:t xml:space="preserve"> </w:t>
      </w:r>
      <w:r w:rsidRPr="007B04EA" w:rsidR="004E4307">
        <w:rPr>
          <w:rFonts w:ascii="Arial" w:hAnsi="Arial" w:cs="Arial"/>
          <w:color w:val="auto"/>
        </w:rPr>
        <w:t>202</w:t>
      </w:r>
      <w:r w:rsidRPr="007B04EA" w:rsidR="00B1070A">
        <w:rPr>
          <w:rFonts w:ascii="Arial" w:hAnsi="Arial" w:cs="Arial"/>
          <w:color w:val="auto"/>
        </w:rPr>
        <w:t>3</w:t>
      </w:r>
    </w:p>
    <w:p w:rsidR="0054255A" w:rsidRPr="007B04EA" w:rsidP="00B13297" w14:paraId="44E8CF70" w14:textId="77777777">
      <w:pPr>
        <w:spacing w:after="0" w:line="240" w:lineRule="auto"/>
        <w:jc w:val="center"/>
        <w:rPr>
          <w:rFonts w:ascii="Arial" w:hAnsi="Arial" w:cs="Arial"/>
        </w:rPr>
      </w:pPr>
    </w:p>
    <w:p w:rsidR="0054255A" w:rsidRPr="007B04EA" w:rsidP="00B13297" w14:paraId="326AE304" w14:textId="77777777">
      <w:pPr>
        <w:spacing w:after="0" w:line="240" w:lineRule="auto"/>
        <w:jc w:val="center"/>
        <w:rPr>
          <w:rFonts w:ascii="Arial" w:hAnsi="Arial" w:cs="Arial"/>
        </w:rPr>
      </w:pPr>
      <w:r w:rsidRPr="007B04EA">
        <w:rPr>
          <w:rFonts w:ascii="Arial" w:hAnsi="Arial" w:cs="Arial"/>
        </w:rPr>
        <w:t>Submitted By:</w:t>
      </w:r>
    </w:p>
    <w:p w:rsidR="0054255A" w:rsidRPr="007B04EA" w:rsidP="00B13297" w14:paraId="4993D670" w14:textId="28A31F23">
      <w:pPr>
        <w:spacing w:after="0" w:line="240" w:lineRule="auto"/>
        <w:jc w:val="center"/>
        <w:rPr>
          <w:rFonts w:ascii="Arial" w:hAnsi="Arial" w:cs="Arial"/>
        </w:rPr>
      </w:pPr>
      <w:r w:rsidRPr="007B04EA">
        <w:rPr>
          <w:rFonts w:ascii="Arial" w:hAnsi="Arial" w:cs="Arial"/>
        </w:rPr>
        <w:t>Office of Planning, Research</w:t>
      </w:r>
      <w:r w:rsidRPr="007B04EA" w:rsidR="00B13297">
        <w:rPr>
          <w:rFonts w:ascii="Arial" w:hAnsi="Arial" w:cs="Arial"/>
        </w:rPr>
        <w:t>,</w:t>
      </w:r>
      <w:r w:rsidRPr="007B04EA">
        <w:rPr>
          <w:rFonts w:ascii="Arial" w:hAnsi="Arial" w:cs="Arial"/>
        </w:rPr>
        <w:t xml:space="preserve"> and Evaluation</w:t>
      </w:r>
    </w:p>
    <w:p w:rsidR="0054255A" w:rsidRPr="007B04EA" w:rsidP="00B13297" w14:paraId="47965330" w14:textId="77777777">
      <w:pPr>
        <w:spacing w:after="0" w:line="240" w:lineRule="auto"/>
        <w:jc w:val="center"/>
        <w:rPr>
          <w:rFonts w:ascii="Arial" w:hAnsi="Arial" w:cs="Arial"/>
        </w:rPr>
      </w:pPr>
      <w:r w:rsidRPr="007B04EA">
        <w:rPr>
          <w:rFonts w:ascii="Arial" w:hAnsi="Arial" w:cs="Arial"/>
        </w:rPr>
        <w:t xml:space="preserve">Administration for Children and Families </w:t>
      </w:r>
    </w:p>
    <w:p w:rsidR="0054255A" w:rsidRPr="007B04EA" w:rsidP="00B13297" w14:paraId="6D0243BB" w14:textId="77777777">
      <w:pPr>
        <w:spacing w:after="0" w:line="240" w:lineRule="auto"/>
        <w:jc w:val="center"/>
        <w:rPr>
          <w:rFonts w:ascii="Arial" w:hAnsi="Arial" w:cs="Arial"/>
        </w:rPr>
      </w:pPr>
      <w:r w:rsidRPr="007B04EA">
        <w:rPr>
          <w:rFonts w:ascii="Arial" w:hAnsi="Arial" w:cs="Arial"/>
        </w:rPr>
        <w:t>U.S. Department of Health and Human Services</w:t>
      </w:r>
    </w:p>
    <w:p w:rsidR="0054255A" w:rsidRPr="007B04EA" w:rsidP="00B13297" w14:paraId="0AED6156" w14:textId="77777777">
      <w:pPr>
        <w:spacing w:after="0" w:line="240" w:lineRule="auto"/>
        <w:jc w:val="center"/>
        <w:rPr>
          <w:rFonts w:ascii="Arial" w:hAnsi="Arial" w:cs="Arial"/>
        </w:rPr>
      </w:pPr>
    </w:p>
    <w:p w:rsidR="0054255A" w:rsidRPr="007B04EA" w:rsidP="00B13297" w14:paraId="4FBBD238" w14:textId="77777777">
      <w:pPr>
        <w:spacing w:after="0" w:line="240" w:lineRule="auto"/>
        <w:jc w:val="center"/>
        <w:rPr>
          <w:rFonts w:ascii="Arial" w:hAnsi="Arial" w:cs="Arial"/>
        </w:rPr>
      </w:pPr>
      <w:r w:rsidRPr="007B04EA">
        <w:rPr>
          <w:rFonts w:ascii="Arial" w:hAnsi="Arial" w:cs="Arial"/>
        </w:rPr>
        <w:t>4</w:t>
      </w:r>
      <w:r w:rsidRPr="007B04EA">
        <w:rPr>
          <w:rFonts w:ascii="Arial" w:hAnsi="Arial" w:cs="Arial"/>
          <w:vertAlign w:val="superscript"/>
        </w:rPr>
        <w:t>th</w:t>
      </w:r>
      <w:r w:rsidRPr="007B04EA">
        <w:rPr>
          <w:rFonts w:ascii="Arial" w:hAnsi="Arial" w:cs="Arial"/>
        </w:rPr>
        <w:t xml:space="preserve"> Floor, Mary E. Switzer Building</w:t>
      </w:r>
    </w:p>
    <w:p w:rsidR="0054255A" w:rsidRPr="007B04EA" w:rsidP="00B13297" w14:paraId="737C8E19" w14:textId="77777777">
      <w:pPr>
        <w:spacing w:after="0" w:line="240" w:lineRule="auto"/>
        <w:jc w:val="center"/>
        <w:rPr>
          <w:rFonts w:ascii="Arial" w:hAnsi="Arial" w:cs="Arial"/>
        </w:rPr>
      </w:pPr>
      <w:r w:rsidRPr="007B04EA">
        <w:rPr>
          <w:rFonts w:ascii="Arial" w:hAnsi="Arial" w:cs="Arial"/>
        </w:rPr>
        <w:t>330 C Street, SW</w:t>
      </w:r>
    </w:p>
    <w:p w:rsidR="0054255A" w:rsidRPr="007B04EA" w:rsidP="00B13297" w14:paraId="0C645A88" w14:textId="77777777">
      <w:pPr>
        <w:spacing w:after="0" w:line="240" w:lineRule="auto"/>
        <w:jc w:val="center"/>
        <w:rPr>
          <w:rFonts w:ascii="Arial" w:hAnsi="Arial" w:cs="Arial"/>
        </w:rPr>
      </w:pPr>
      <w:r w:rsidRPr="007B04EA">
        <w:rPr>
          <w:rFonts w:ascii="Arial" w:hAnsi="Arial" w:cs="Arial"/>
        </w:rPr>
        <w:t>Washington, D.C. 20201</w:t>
      </w:r>
    </w:p>
    <w:p w:rsidR="0054255A" w:rsidRPr="007B04EA" w:rsidP="00B13297" w14:paraId="00F1DA38" w14:textId="77777777">
      <w:pPr>
        <w:spacing w:after="0" w:line="240" w:lineRule="auto"/>
        <w:jc w:val="center"/>
        <w:rPr>
          <w:rFonts w:ascii="Arial" w:hAnsi="Arial" w:cs="Arial"/>
        </w:rPr>
      </w:pPr>
    </w:p>
    <w:p w:rsidR="0054255A" w:rsidRPr="007B04EA" w:rsidP="00B13297" w14:paraId="594D3C68" w14:textId="6AA7C2AE">
      <w:pPr>
        <w:spacing w:after="0" w:line="240" w:lineRule="auto"/>
        <w:jc w:val="center"/>
        <w:rPr>
          <w:rFonts w:ascii="Arial" w:hAnsi="Arial" w:cs="Arial"/>
        </w:rPr>
      </w:pPr>
      <w:r w:rsidRPr="007B04EA">
        <w:rPr>
          <w:rFonts w:ascii="Arial" w:hAnsi="Arial" w:cs="Arial"/>
        </w:rPr>
        <w:t>Project Officers:</w:t>
      </w:r>
      <w:r w:rsidRPr="007B04EA" w:rsidR="004E4307">
        <w:rPr>
          <w:rFonts w:ascii="Arial" w:hAnsi="Arial" w:cs="Arial"/>
        </w:rPr>
        <w:t xml:space="preserve"> Erin Cannon, Emily Ross, and Elizabeth Karberg</w:t>
      </w:r>
    </w:p>
    <w:p w:rsidR="0054255A" w:rsidRPr="007B04EA" w:rsidP="00B13297" w14:paraId="0313461E" w14:textId="77777777">
      <w:pPr>
        <w:spacing w:after="0" w:line="240" w:lineRule="auto"/>
        <w:jc w:val="center"/>
        <w:rPr>
          <w:b/>
        </w:rPr>
      </w:pPr>
    </w:p>
    <w:p w:rsidR="0054255A" w:rsidRPr="007B04EA" w:rsidP="00B13297" w14:paraId="15758DCB" w14:textId="77777777">
      <w:pPr>
        <w:spacing w:after="0" w:line="240" w:lineRule="auto"/>
        <w:jc w:val="center"/>
        <w:rPr>
          <w:b/>
        </w:rPr>
      </w:pPr>
    </w:p>
    <w:p w:rsidR="0054255A" w:rsidRPr="007B04EA" w:rsidP="00B13297" w14:paraId="59CD749F" w14:textId="77777777">
      <w:pPr>
        <w:jc w:val="center"/>
        <w:rPr>
          <w:b/>
        </w:rPr>
      </w:pPr>
    </w:p>
    <w:p w:rsidR="0054255A" w:rsidRPr="007B04EA" w:rsidP="00B13297" w14:paraId="07833600" w14:textId="2B3D80AE">
      <w:pPr>
        <w:rPr>
          <w:b/>
        </w:rPr>
      </w:pPr>
    </w:p>
    <w:p w:rsidR="0068303E" w:rsidRPr="007B04EA" w14:paraId="49E4A961" w14:textId="5E7DD7B2">
      <w:pPr>
        <w:rPr>
          <w:b/>
        </w:rPr>
      </w:pPr>
    </w:p>
    <w:p w:rsidR="00FA5B1A" w:rsidRPr="007B04EA" w14:paraId="1CC8C279" w14:textId="77777777">
      <w:pPr>
        <w:rPr>
          <w:b/>
        </w:rPr>
      </w:pPr>
    </w:p>
    <w:p w:rsidR="00624DDC" w:rsidRPr="007B04EA" w:rsidP="00624DDC" w14:paraId="36C08276" w14:textId="671DC8EB">
      <w:pPr>
        <w:spacing w:after="0" w:line="240" w:lineRule="auto"/>
        <w:jc w:val="center"/>
        <w:rPr>
          <w:b/>
          <w:sz w:val="32"/>
          <w:szCs w:val="32"/>
        </w:rPr>
      </w:pPr>
      <w:r w:rsidRPr="007B04EA">
        <w:rPr>
          <w:b/>
          <w:sz w:val="32"/>
          <w:szCs w:val="32"/>
        </w:rPr>
        <w:t>Part A</w:t>
      </w:r>
    </w:p>
    <w:p w:rsidR="00624DDC" w:rsidRPr="007B04EA" w:rsidP="00624DDC" w14:paraId="331767F9" w14:textId="77777777">
      <w:pPr>
        <w:spacing w:after="0" w:line="240" w:lineRule="auto"/>
        <w:jc w:val="center"/>
        <w:rPr>
          <w:b/>
        </w:rPr>
      </w:pPr>
    </w:p>
    <w:p w:rsidR="00026192" w:rsidRPr="007B04EA" w:rsidP="000F1E4A" w14:paraId="095FF910" w14:textId="77777777">
      <w:pPr>
        <w:spacing w:after="0" w:line="240" w:lineRule="auto"/>
        <w:rPr>
          <w:b/>
          <w:u w:val="single"/>
        </w:rPr>
      </w:pPr>
    </w:p>
    <w:p w:rsidR="00026192" w:rsidRPr="007B04EA" w:rsidP="000F1E4A" w14:paraId="4CA5E0BD" w14:textId="77777777">
      <w:pPr>
        <w:spacing w:after="0" w:line="240" w:lineRule="auto"/>
        <w:rPr>
          <w:b/>
          <w:u w:val="single"/>
        </w:rPr>
      </w:pPr>
    </w:p>
    <w:p w:rsidR="00840D32" w:rsidRPr="007B04EA" w:rsidP="000F1E4A" w14:paraId="5E4659ED" w14:textId="4B12C786">
      <w:pPr>
        <w:spacing w:after="0" w:line="240" w:lineRule="auto"/>
        <w:rPr>
          <w:b/>
          <w:sz w:val="28"/>
        </w:rPr>
      </w:pPr>
      <w:r w:rsidRPr="007B04EA">
        <w:rPr>
          <w:b/>
          <w:sz w:val="28"/>
          <w:u w:val="single"/>
        </w:rPr>
        <w:t>Executive Summary</w:t>
      </w:r>
    </w:p>
    <w:p w:rsidR="00B04785" w:rsidRPr="007B04EA" w:rsidP="000F1E4A" w14:paraId="5D7B325A" w14:textId="6F433416">
      <w:pPr>
        <w:spacing w:after="0" w:line="240" w:lineRule="auto"/>
        <w:rPr>
          <w:b/>
        </w:rPr>
      </w:pPr>
    </w:p>
    <w:p w:rsidR="00B04785" w:rsidRPr="007B04EA" w:rsidP="00BA03D0" w14:paraId="00321FF0" w14:textId="609AC7E2">
      <w:pPr>
        <w:pStyle w:val="ListParagraph"/>
        <w:numPr>
          <w:ilvl w:val="0"/>
          <w:numId w:val="1"/>
        </w:numPr>
        <w:spacing w:after="0" w:line="240" w:lineRule="auto"/>
      </w:pPr>
      <w:r w:rsidRPr="007B04EA">
        <w:rPr>
          <w:b/>
        </w:rPr>
        <w:t xml:space="preserve">Type of Request: </w:t>
      </w:r>
      <w:r w:rsidRPr="007B04EA">
        <w:t>This Information Collection Request is for a</w:t>
      </w:r>
      <w:r w:rsidRPr="007B04EA" w:rsidR="00B3652D">
        <w:t xml:space="preserve"> generic information collection </w:t>
      </w:r>
      <w:r w:rsidRPr="007B04EA" w:rsidR="00B47507">
        <w:t>(</w:t>
      </w:r>
      <w:r w:rsidRPr="007B04EA" w:rsidR="00B47507">
        <w:t>GenIC</w:t>
      </w:r>
      <w:r w:rsidRPr="007B04EA" w:rsidR="00B47507">
        <w:t xml:space="preserve">) </w:t>
      </w:r>
      <w:r w:rsidRPr="007B04EA" w:rsidR="00B3652D">
        <w:t xml:space="preserve">under the umbrella generic, </w:t>
      </w:r>
      <w:r w:rsidRPr="007B04EA" w:rsidR="00FA5B1A">
        <w:t>Formative Data Collections for ACF Research (0970-0356).</w:t>
      </w:r>
    </w:p>
    <w:p w:rsidR="00EA405B" w:rsidRPr="007B04EA" w:rsidP="00906F6A" w14:paraId="1FD514C1" w14:textId="78D17F26">
      <w:pPr>
        <w:spacing w:after="0" w:line="240" w:lineRule="auto"/>
      </w:pPr>
    </w:p>
    <w:p w:rsidR="00B3652D" w:rsidRPr="007B04EA" w:rsidP="00BA03D0" w14:paraId="6D04E0B1" w14:textId="35B32EF7">
      <w:pPr>
        <w:pStyle w:val="ListParagraph"/>
        <w:numPr>
          <w:ilvl w:val="0"/>
          <w:numId w:val="1"/>
        </w:numPr>
        <w:spacing w:after="0" w:line="240" w:lineRule="auto"/>
        <w:rPr>
          <w:rFonts w:cs="Calibri"/>
        </w:rPr>
      </w:pPr>
      <w:r w:rsidRPr="007B04EA">
        <w:rPr>
          <w:b/>
          <w:bCs/>
        </w:rPr>
        <w:t xml:space="preserve">Description of Request: </w:t>
      </w:r>
      <w:bookmarkStart w:id="0" w:name="_Hlk86847398"/>
      <w:r w:rsidRPr="007B04EA" w:rsidR="26A5DDF8">
        <w:t xml:space="preserve">The Measuring, Supporting, and Understanding Child and Caregiver </w:t>
      </w:r>
      <w:r w:rsidRPr="007B04EA" w:rsidR="00765CA9">
        <w:t>w</w:t>
      </w:r>
      <w:r w:rsidRPr="007B04EA" w:rsidR="26A5DDF8">
        <w:t xml:space="preserve">ell-being </w:t>
      </w:r>
      <w:r w:rsidRPr="007B04EA" w:rsidR="00765CA9">
        <w:t>t</w:t>
      </w:r>
      <w:r w:rsidRPr="007B04EA" w:rsidR="26A5DDF8">
        <w:t xml:space="preserve">hrough Employment and Self-Sufficiency </w:t>
      </w:r>
      <w:r w:rsidRPr="007B04EA" w:rsidR="00C56B35">
        <w:t>r</w:t>
      </w:r>
      <w:r w:rsidRPr="007B04EA" w:rsidR="26A5DDF8">
        <w:t xml:space="preserve">esearch (Measuring SUCCESS) </w:t>
      </w:r>
      <w:bookmarkEnd w:id="0"/>
      <w:r w:rsidRPr="007B04EA" w:rsidR="35F8EFE3">
        <w:t>project is</w:t>
      </w:r>
      <w:r w:rsidRPr="007B04EA" w:rsidR="26A5DDF8">
        <w:t xml:space="preserve"> </w:t>
      </w:r>
      <w:r w:rsidRPr="007B04EA" w:rsidR="00E8038D">
        <w:t>developing</w:t>
      </w:r>
      <w:r w:rsidRPr="007B04EA" w:rsidR="00503F92">
        <w:t xml:space="preserve"> a conceptual framework to </w:t>
      </w:r>
      <w:r w:rsidRPr="007B04EA" w:rsidR="00A975EA">
        <w:t>describe</w:t>
      </w:r>
      <w:r w:rsidRPr="007B04EA" w:rsidR="00A36104">
        <w:t xml:space="preserve"> </w:t>
      </w:r>
      <w:r w:rsidRPr="007B04EA" w:rsidR="00FF1708">
        <w:t>what,</w:t>
      </w:r>
      <w:r w:rsidRPr="007B04EA" w:rsidR="00E544CA">
        <w:t xml:space="preserve"> why</w:t>
      </w:r>
      <w:r w:rsidRPr="007B04EA" w:rsidR="00775CF4">
        <w:t>,</w:t>
      </w:r>
      <w:r w:rsidRPr="007B04EA" w:rsidR="00E544CA">
        <w:t xml:space="preserve"> and how</w:t>
      </w:r>
      <w:r w:rsidRPr="007B04EA" w:rsidR="00675499">
        <w:t xml:space="preserve"> to measure</w:t>
      </w:r>
      <w:r w:rsidRPr="007B04EA" w:rsidR="000D0A6E">
        <w:t xml:space="preserve"> </w:t>
      </w:r>
      <w:r w:rsidRPr="007B04EA" w:rsidR="004B4917">
        <w:t xml:space="preserve">family </w:t>
      </w:r>
      <w:r w:rsidRPr="007B04EA" w:rsidR="7F6781CA">
        <w:t>social</w:t>
      </w:r>
      <w:r w:rsidRPr="007B04EA" w:rsidR="26A5DDF8">
        <w:t xml:space="preserve"> well-being </w:t>
      </w:r>
      <w:r w:rsidRPr="007B04EA" w:rsidR="004B4917">
        <w:t>in the context</w:t>
      </w:r>
      <w:r w:rsidRPr="007B04EA" w:rsidR="000F2EBC">
        <w:t xml:space="preserve"> of </w:t>
      </w:r>
      <w:r w:rsidRPr="007B04EA" w:rsidR="007D184D">
        <w:t>the Administration for Children and Famil</w:t>
      </w:r>
      <w:r w:rsidRPr="007B04EA" w:rsidR="00D60EC0">
        <w:t>ies</w:t>
      </w:r>
      <w:r w:rsidRPr="007B04EA" w:rsidR="007D184D">
        <w:t xml:space="preserve"> </w:t>
      </w:r>
      <w:r w:rsidRPr="007B04EA" w:rsidR="009549B8">
        <w:t xml:space="preserve">Office of Planning, Research, and Evaluation </w:t>
      </w:r>
      <w:r w:rsidRPr="007B04EA" w:rsidR="008C44AC">
        <w:t xml:space="preserve">broader </w:t>
      </w:r>
      <w:r w:rsidRPr="007B04EA" w:rsidR="00F62507">
        <w:t xml:space="preserve">Portfolio on </w:t>
      </w:r>
      <w:r w:rsidRPr="007B04EA" w:rsidR="008D4ADD">
        <w:t>W</w:t>
      </w:r>
      <w:r w:rsidRPr="007B04EA" w:rsidR="000F2EBC">
        <w:t xml:space="preserve">elfare and </w:t>
      </w:r>
      <w:r w:rsidRPr="007B04EA" w:rsidR="008D4ADD">
        <w:t>F</w:t>
      </w:r>
      <w:r w:rsidRPr="007B04EA" w:rsidR="000F2EBC">
        <w:t xml:space="preserve">amily </w:t>
      </w:r>
      <w:r w:rsidRPr="007B04EA" w:rsidR="008D4ADD">
        <w:t>S</w:t>
      </w:r>
      <w:r w:rsidRPr="007B04EA" w:rsidR="000F2EBC">
        <w:t>elf-</w:t>
      </w:r>
      <w:r w:rsidRPr="007B04EA" w:rsidR="008D4ADD">
        <w:t>S</w:t>
      </w:r>
      <w:r w:rsidRPr="007B04EA" w:rsidR="000F2EBC">
        <w:t xml:space="preserve">ufficiency </w:t>
      </w:r>
      <w:r w:rsidRPr="007B04EA" w:rsidR="008D4ADD">
        <w:t>R</w:t>
      </w:r>
      <w:r w:rsidRPr="007B04EA" w:rsidR="007A1E90">
        <w:t>esearch</w:t>
      </w:r>
      <w:r w:rsidRPr="007B04EA" w:rsidR="00503F92">
        <w:t>.</w:t>
      </w:r>
      <w:r w:rsidRPr="007B04EA" w:rsidR="00383249">
        <w:t xml:space="preserve"> </w:t>
      </w:r>
      <w:r w:rsidRPr="007B04EA" w:rsidR="35F8EFE3">
        <w:t xml:space="preserve">The data collection effort will include one-time focus groups with </w:t>
      </w:r>
      <w:r w:rsidRPr="007B04EA" w:rsidR="00D70223">
        <w:t xml:space="preserve">welfare and family self-sufficiency </w:t>
      </w:r>
      <w:r w:rsidRPr="007B04EA" w:rsidR="35F8EFE3">
        <w:t>program clients</w:t>
      </w:r>
      <w:r w:rsidRPr="007B04EA" w:rsidR="2EFD689C">
        <w:t xml:space="preserve"> who are parents</w:t>
      </w:r>
      <w:r w:rsidRPr="007B04EA" w:rsidR="00155C4E">
        <w:t xml:space="preserve"> and caregivers</w:t>
      </w:r>
      <w:r w:rsidRPr="007B04EA" w:rsidR="006646EF">
        <w:t xml:space="preserve">, to provide the perspective of individuals </w:t>
      </w:r>
      <w:r w:rsidRPr="007B04EA" w:rsidR="00863AC5">
        <w:t>and families</w:t>
      </w:r>
      <w:r w:rsidRPr="007B04EA" w:rsidR="00F4654A">
        <w:t xml:space="preserve"> </w:t>
      </w:r>
      <w:r w:rsidRPr="007B04EA" w:rsidR="006646EF">
        <w:t>with lived</w:t>
      </w:r>
      <w:r w:rsidRPr="007B04EA" w:rsidR="008F6B10">
        <w:t xml:space="preserve"> experience</w:t>
      </w:r>
      <w:r w:rsidRPr="007B04EA" w:rsidR="008D3D68">
        <w:t>. Findings</w:t>
      </w:r>
      <w:r w:rsidRPr="007B04EA" w:rsidR="00481880">
        <w:t xml:space="preserve"> from this data collection effort are not intended to be generalized to a broader population</w:t>
      </w:r>
      <w:r w:rsidRPr="007B04EA" w:rsidR="008C44AC">
        <w:t>, but rather will provide one narrow perspective that will supplement other information gathering activities (a literature and conceptual model scan and synthesis,</w:t>
      </w:r>
      <w:r w:rsidRPr="007B04EA" w:rsidR="00354D3D">
        <w:t xml:space="preserve"> and</w:t>
      </w:r>
      <w:r w:rsidRPr="007B04EA" w:rsidR="008C44AC">
        <w:t xml:space="preserve"> input from government, academic, and other experts with lived experience) that all contribute to the conceptual model</w:t>
      </w:r>
      <w:r w:rsidRPr="007B04EA" w:rsidR="002620B3">
        <w:t xml:space="preserve">. Findings </w:t>
      </w:r>
      <w:r w:rsidRPr="007B04EA" w:rsidR="00747EA2">
        <w:t xml:space="preserve">from the focus groups </w:t>
      </w:r>
      <w:r w:rsidRPr="007B04EA" w:rsidR="008C44AC">
        <w:t>will not be generalizable to any broader population but will simply add context to the conceptual model</w:t>
      </w:r>
      <w:r w:rsidRPr="007B04EA" w:rsidR="35F8EFE3">
        <w:t xml:space="preserve">. </w:t>
      </w:r>
      <w:r w:rsidRPr="007B04EA" w:rsidR="006F336E">
        <w:t>The conceptual model is a central deliverable for the</w:t>
      </w:r>
      <w:r w:rsidRPr="007B04EA" w:rsidR="00EE6085">
        <w:t xml:space="preserve"> Measuring SUCCESS </w:t>
      </w:r>
      <w:r w:rsidRPr="007B04EA" w:rsidR="006F336E">
        <w:t>project; the purpose is to develop</w:t>
      </w:r>
      <w:r w:rsidRPr="007B04EA" w:rsidR="00EE6085">
        <w:t xml:space="preserve"> a comprehensive conceptual framework that describes the kinds of child and family well-being outcomes</w:t>
      </w:r>
      <w:r w:rsidRPr="007B04EA" w:rsidR="006F336E">
        <w:t xml:space="preserve">, other than economic well-being, that we can expect to be improved by a family’s participation in TANF or related programs. </w:t>
      </w:r>
      <w:r w:rsidRPr="007B04EA" w:rsidR="4C21A23D">
        <w:rPr>
          <w:rFonts w:cs="Calibri"/>
        </w:rPr>
        <w:t>We do not intend for this information to be used as the principal basis for public policy decisions.</w:t>
      </w:r>
    </w:p>
    <w:p w:rsidR="00BD7963" w:rsidRPr="007B04EA" w:rsidP="00BD7963" w14:paraId="0B78AB5D" w14:textId="77777777">
      <w:pPr>
        <w:pStyle w:val="ListParagraph"/>
      </w:pPr>
    </w:p>
    <w:p w:rsidR="00624DDC" w:rsidRPr="007B04EA" w:rsidP="00624DDC" w14:paraId="64C8BC8B" w14:textId="6B96A5AA">
      <w:pPr>
        <w:spacing w:after="0" w:line="240" w:lineRule="auto"/>
        <w:rPr>
          <w:b/>
        </w:rPr>
      </w:pPr>
    </w:p>
    <w:p w:rsidR="00624DDC" w:rsidRPr="007B04EA" w:rsidP="00624DDC" w14:paraId="0D5E5383" w14:textId="77777777">
      <w:pPr>
        <w:spacing w:after="0" w:line="240" w:lineRule="auto"/>
        <w:rPr>
          <w:b/>
        </w:rPr>
      </w:pPr>
    </w:p>
    <w:p w:rsidR="001A38FD" w:rsidRPr="007B04EA" w14:paraId="7EEF528A" w14:textId="156BF329">
      <w:r w:rsidRPr="007B04EA">
        <w:br w:type="page"/>
      </w:r>
    </w:p>
    <w:p w:rsidR="00D5346A" w:rsidRPr="007B04EA" w:rsidP="001A38FD" w14:paraId="695C22E4" w14:textId="77777777">
      <w:pPr>
        <w:spacing w:after="0" w:line="240" w:lineRule="auto"/>
      </w:pPr>
    </w:p>
    <w:p w:rsidR="004328A4" w:rsidRPr="007B04EA" w:rsidP="007D0F6E" w14:paraId="5CB85B8F" w14:textId="77777777">
      <w:pPr>
        <w:spacing w:after="120" w:line="240" w:lineRule="auto"/>
      </w:pPr>
      <w:r w:rsidRPr="007B04EA">
        <w:rPr>
          <w:b/>
        </w:rPr>
        <w:t>A1</w:t>
      </w:r>
      <w:r w:rsidRPr="007B04EA">
        <w:t>.</w:t>
      </w:r>
      <w:r w:rsidRPr="007B04EA">
        <w:tab/>
      </w:r>
      <w:r w:rsidRPr="007B04EA" w:rsidR="004E5778">
        <w:rPr>
          <w:b/>
        </w:rPr>
        <w:t>Necessity for Collection</w:t>
      </w:r>
      <w:r w:rsidRPr="007B04EA" w:rsidR="004E5778">
        <w:t xml:space="preserve"> </w:t>
      </w:r>
    </w:p>
    <w:p w:rsidR="00BF6480" w:rsidRPr="007B04EA" w:rsidP="00014201" w14:paraId="01658F26" w14:textId="7EB6D470">
      <w:pPr>
        <w:spacing w:after="0" w:line="240" w:lineRule="auto"/>
        <w:rPr>
          <w:rFonts w:cstheme="minorHAnsi"/>
        </w:rPr>
      </w:pPr>
      <w:r w:rsidRPr="007B04EA">
        <w:rPr>
          <w:rFonts w:cstheme="minorHAnsi"/>
        </w:rPr>
        <w:t>The</w:t>
      </w:r>
      <w:r w:rsidRPr="007B04EA" w:rsidR="00D60EC0">
        <w:rPr>
          <w:rFonts w:cstheme="minorHAnsi"/>
        </w:rPr>
        <w:t xml:space="preserve"> </w:t>
      </w:r>
      <w:r w:rsidRPr="007B04EA" w:rsidR="00D60EC0">
        <w:t>Measuring, Supporting, and Understanding Child and Caregiver well-being through Employment and Self-Sufficiency research (</w:t>
      </w:r>
      <w:r w:rsidRPr="007B04EA" w:rsidR="00014201">
        <w:rPr>
          <w:rFonts w:cstheme="minorHAnsi"/>
        </w:rPr>
        <w:t>Measuring SUCCESS</w:t>
      </w:r>
      <w:r w:rsidRPr="007B04EA" w:rsidR="00D60EC0">
        <w:rPr>
          <w:rFonts w:cstheme="minorHAnsi"/>
        </w:rPr>
        <w:t>)</w:t>
      </w:r>
      <w:r w:rsidRPr="007B04EA" w:rsidR="00014201">
        <w:rPr>
          <w:rFonts w:cstheme="minorHAnsi"/>
        </w:rPr>
        <w:t xml:space="preserve"> </w:t>
      </w:r>
      <w:r w:rsidRPr="007B04EA">
        <w:rPr>
          <w:rFonts w:cstheme="minorHAnsi"/>
        </w:rPr>
        <w:t xml:space="preserve">project </w:t>
      </w:r>
      <w:r w:rsidRPr="007B04EA" w:rsidR="007A080F">
        <w:rPr>
          <w:rFonts w:cstheme="minorHAnsi"/>
        </w:rPr>
        <w:t xml:space="preserve">is conducting </w:t>
      </w:r>
      <w:r w:rsidRPr="007B04EA" w:rsidR="003B05C5">
        <w:rPr>
          <w:rFonts w:cstheme="minorHAnsi"/>
        </w:rPr>
        <w:t xml:space="preserve">foundational </w:t>
      </w:r>
      <w:r w:rsidRPr="007B04EA" w:rsidR="007A080F">
        <w:rPr>
          <w:rFonts w:cstheme="minorHAnsi"/>
        </w:rPr>
        <w:t xml:space="preserve">activities </w:t>
      </w:r>
      <w:r w:rsidRPr="007B04EA" w:rsidR="003B05C5">
        <w:rPr>
          <w:rFonts w:cstheme="minorHAnsi"/>
        </w:rPr>
        <w:t>to</w:t>
      </w:r>
      <w:r w:rsidRPr="007B04EA" w:rsidR="00540AA3">
        <w:rPr>
          <w:rFonts w:cstheme="minorHAnsi"/>
        </w:rPr>
        <w:t xml:space="preserve"> integrat</w:t>
      </w:r>
      <w:r w:rsidRPr="007B04EA" w:rsidR="003B05C5">
        <w:rPr>
          <w:rFonts w:cstheme="minorHAnsi"/>
        </w:rPr>
        <w:t>e</w:t>
      </w:r>
      <w:r w:rsidRPr="007B04EA" w:rsidR="00540AA3">
        <w:rPr>
          <w:rFonts w:cstheme="minorHAnsi"/>
        </w:rPr>
        <w:t xml:space="preserve"> a child and family </w:t>
      </w:r>
      <w:r w:rsidRPr="007B04EA">
        <w:rPr>
          <w:rFonts w:cstheme="minorHAnsi"/>
        </w:rPr>
        <w:t xml:space="preserve">social </w:t>
      </w:r>
      <w:r w:rsidRPr="007B04EA" w:rsidR="00540AA3">
        <w:rPr>
          <w:rFonts w:cstheme="minorHAnsi"/>
        </w:rPr>
        <w:t>well-being</w:t>
      </w:r>
      <w:r>
        <w:rPr>
          <w:rStyle w:val="FootnoteReference"/>
          <w:rFonts w:cstheme="minorHAnsi"/>
        </w:rPr>
        <w:footnoteReference w:id="3"/>
      </w:r>
      <w:r w:rsidRPr="007B04EA" w:rsidR="00540AA3">
        <w:rPr>
          <w:rFonts w:cstheme="minorHAnsi"/>
        </w:rPr>
        <w:t xml:space="preserve"> lens into </w:t>
      </w:r>
      <w:r w:rsidRPr="007B04EA" w:rsidR="00014201">
        <w:rPr>
          <w:rFonts w:cstheme="minorHAnsi"/>
        </w:rPr>
        <w:t>the U.S. Department of Health and Human Services, Administration for Children and Families (ACF) Office of Planning, Research, and Evaluation</w:t>
      </w:r>
      <w:r w:rsidRPr="007B04EA" w:rsidR="00540AA3">
        <w:rPr>
          <w:rFonts w:cstheme="minorHAnsi"/>
        </w:rPr>
        <w:t xml:space="preserve">’s </w:t>
      </w:r>
      <w:r w:rsidRPr="007B04EA" w:rsidR="003C3D4E">
        <w:rPr>
          <w:rFonts w:cstheme="minorHAnsi"/>
        </w:rPr>
        <w:t>(OPRE)</w:t>
      </w:r>
      <w:r w:rsidRPr="007B04EA" w:rsidR="00540AA3">
        <w:rPr>
          <w:rFonts w:cstheme="minorHAnsi"/>
        </w:rPr>
        <w:t xml:space="preserve"> Welfare and Family Self-Sufficiency Research Portfolio. </w:t>
      </w:r>
      <w:bookmarkStart w:id="1" w:name="_Hlk129781862"/>
      <w:r w:rsidRPr="007B04EA" w:rsidR="00747EA2">
        <w:rPr>
          <w:rFonts w:cstheme="minorHAnsi"/>
        </w:rPr>
        <w:t>This portfolio primarily studies i</w:t>
      </w:r>
      <w:r w:rsidRPr="007B04EA" w:rsidR="00B54521">
        <w:rPr>
          <w:rFonts w:cstheme="minorHAnsi"/>
        </w:rPr>
        <w:t xml:space="preserve">nterventions </w:t>
      </w:r>
      <w:r w:rsidRPr="007B04EA" w:rsidR="00747EA2">
        <w:rPr>
          <w:rFonts w:cstheme="minorHAnsi"/>
        </w:rPr>
        <w:t>that</w:t>
      </w:r>
      <w:r w:rsidRPr="007B04EA" w:rsidR="005A14F1">
        <w:rPr>
          <w:rFonts w:cstheme="minorHAnsi"/>
        </w:rPr>
        <w:t xml:space="preserve"> aim to </w:t>
      </w:r>
      <w:r w:rsidRPr="007B04EA" w:rsidR="00747EA2">
        <w:rPr>
          <w:rFonts w:cstheme="minorHAnsi"/>
        </w:rPr>
        <w:t>promote</w:t>
      </w:r>
      <w:r w:rsidRPr="007B04EA" w:rsidR="001C52DE">
        <w:rPr>
          <w:rFonts w:cstheme="minorHAnsi"/>
        </w:rPr>
        <w:t xml:space="preserve"> </w:t>
      </w:r>
      <w:r w:rsidRPr="007B04EA" w:rsidR="007B20B1">
        <w:rPr>
          <w:rFonts w:cstheme="minorHAnsi"/>
        </w:rPr>
        <w:t>employment</w:t>
      </w:r>
      <w:r w:rsidRPr="007B04EA" w:rsidR="00747EA2">
        <w:rPr>
          <w:rFonts w:cstheme="minorHAnsi"/>
        </w:rPr>
        <w:t>, self-sufficiency, and economic well-being among families with low incomes</w:t>
      </w:r>
      <w:bookmarkEnd w:id="1"/>
      <w:r w:rsidRPr="007B04EA" w:rsidR="00FD584E">
        <w:rPr>
          <w:rFonts w:cstheme="minorHAnsi"/>
        </w:rPr>
        <w:t>.</w:t>
      </w:r>
      <w:r w:rsidRPr="007B04EA" w:rsidR="005A14F1">
        <w:rPr>
          <w:rFonts w:cstheme="minorHAnsi"/>
        </w:rPr>
        <w:t xml:space="preserve"> </w:t>
      </w:r>
      <w:r w:rsidRPr="007B04EA" w:rsidR="00382ACC">
        <w:rPr>
          <w:rFonts w:cstheme="minorHAnsi"/>
        </w:rPr>
        <w:t xml:space="preserve">However, </w:t>
      </w:r>
      <w:r w:rsidRPr="007B04EA" w:rsidR="00720868">
        <w:rPr>
          <w:rFonts w:cstheme="minorHAnsi"/>
        </w:rPr>
        <w:t xml:space="preserve">ACF’s mission </w:t>
      </w:r>
      <w:r w:rsidRPr="007B04EA" w:rsidR="00187C68">
        <w:rPr>
          <w:rFonts w:cstheme="minorHAnsi"/>
        </w:rPr>
        <w:t>extends beyond economi</w:t>
      </w:r>
      <w:r w:rsidRPr="007B04EA" w:rsidR="00973E8B">
        <w:rPr>
          <w:rFonts w:cstheme="minorHAnsi"/>
        </w:rPr>
        <w:t>c</w:t>
      </w:r>
      <w:r w:rsidRPr="007B04EA" w:rsidR="00313E0B">
        <w:rPr>
          <w:rFonts w:cstheme="minorHAnsi"/>
        </w:rPr>
        <w:t xml:space="preserve"> outcome</w:t>
      </w:r>
      <w:r w:rsidRPr="007B04EA" w:rsidR="003B1479">
        <w:rPr>
          <w:rFonts w:cstheme="minorHAnsi"/>
        </w:rPr>
        <w:t>s</w:t>
      </w:r>
      <w:r w:rsidRPr="007B04EA" w:rsidR="00973E8B">
        <w:rPr>
          <w:rFonts w:cstheme="minorHAnsi"/>
        </w:rPr>
        <w:t xml:space="preserve"> </w:t>
      </w:r>
      <w:r w:rsidRPr="007B04EA" w:rsidR="00720868">
        <w:rPr>
          <w:rFonts w:cstheme="minorHAnsi"/>
        </w:rPr>
        <w:t>t</w:t>
      </w:r>
      <w:r w:rsidRPr="007B04EA" w:rsidR="00BC3E43">
        <w:rPr>
          <w:rFonts w:cstheme="minorHAnsi"/>
        </w:rPr>
        <w:t xml:space="preserve">o </w:t>
      </w:r>
      <w:r w:rsidRPr="007B04EA" w:rsidR="00AB2F9C">
        <w:rPr>
          <w:rFonts w:cstheme="minorHAnsi"/>
        </w:rPr>
        <w:t>“</w:t>
      </w:r>
      <w:r w:rsidRPr="007B04EA" w:rsidR="00720868">
        <w:rPr>
          <w:rFonts w:cstheme="minorHAnsi"/>
        </w:rPr>
        <w:t>promote the economic and social well-being of families, children, youth, individuals and communities who are resilient, safe, healthy, and economically secure</w:t>
      </w:r>
      <w:r w:rsidRPr="007B04EA" w:rsidR="00CE2AEB">
        <w:rPr>
          <w:rFonts w:cstheme="minorHAnsi"/>
        </w:rPr>
        <w:t>.”</w:t>
      </w:r>
      <w:r w:rsidRPr="007B04EA" w:rsidR="004477E6">
        <w:rPr>
          <w:rFonts w:cstheme="minorHAnsi"/>
        </w:rPr>
        <w:t xml:space="preserve"> </w:t>
      </w:r>
      <w:r w:rsidRPr="007B04EA" w:rsidR="00354D3D">
        <w:rPr>
          <w:rFonts w:cstheme="minorHAnsi"/>
        </w:rPr>
        <w:t>T</w:t>
      </w:r>
      <w:r w:rsidRPr="007B04EA" w:rsidR="00940D73">
        <w:rPr>
          <w:rFonts w:cstheme="minorHAnsi"/>
        </w:rPr>
        <w:t xml:space="preserve">his data collection is needed to help ACF understand child and family well-being </w:t>
      </w:r>
      <w:r w:rsidRPr="007B04EA" w:rsidR="00676E5D">
        <w:rPr>
          <w:rFonts w:cstheme="minorHAnsi"/>
        </w:rPr>
        <w:t>from parents and caregivers with lived experience</w:t>
      </w:r>
      <w:r w:rsidRPr="007B04EA" w:rsidR="000C5D3F">
        <w:rPr>
          <w:rFonts w:cstheme="minorHAnsi"/>
        </w:rPr>
        <w:t>, which</w:t>
      </w:r>
      <w:r w:rsidRPr="007B04EA" w:rsidR="00676E5D">
        <w:rPr>
          <w:rFonts w:cstheme="minorHAnsi"/>
        </w:rPr>
        <w:t xml:space="preserve"> </w:t>
      </w:r>
      <w:r w:rsidRPr="007B04EA" w:rsidR="000F5304">
        <w:t xml:space="preserve">will supplement other information gathering activities (a literature and conceptual model scan and synthesis, input from government, academic, and other experts with lived experience) that all contribute to the </w:t>
      </w:r>
      <w:r w:rsidRPr="007B04EA" w:rsidR="00EF33F3">
        <w:t>Measuring SUCCES</w:t>
      </w:r>
      <w:r w:rsidRPr="007B04EA" w:rsidR="00354D3D">
        <w:t>S</w:t>
      </w:r>
      <w:r w:rsidRPr="007B04EA" w:rsidR="00EF33F3">
        <w:t xml:space="preserve"> project </w:t>
      </w:r>
      <w:r w:rsidRPr="007B04EA" w:rsidR="000F5304">
        <w:t>conceptual model</w:t>
      </w:r>
      <w:r w:rsidRPr="007B04EA" w:rsidR="00676E5D">
        <w:rPr>
          <w:rFonts w:cstheme="minorHAnsi"/>
        </w:rPr>
        <w:t xml:space="preserve">. </w:t>
      </w:r>
    </w:p>
    <w:p w:rsidR="00CA6D81" w:rsidRPr="007B04EA" w:rsidP="00014201" w14:paraId="30D7ACA1" w14:textId="2622EBF3">
      <w:pPr>
        <w:spacing w:after="0" w:line="240" w:lineRule="auto"/>
        <w:rPr>
          <w:rFonts w:cstheme="minorHAnsi"/>
        </w:rPr>
      </w:pPr>
    </w:p>
    <w:p w:rsidR="00CA6D81" w:rsidRPr="007B04EA" w:rsidP="00014201" w14:paraId="24C29C60" w14:textId="492AF2A0">
      <w:pPr>
        <w:spacing w:after="0" w:line="240" w:lineRule="auto"/>
        <w:rPr>
          <w:rFonts w:cstheme="minorHAnsi"/>
        </w:rPr>
      </w:pPr>
      <w:bookmarkStart w:id="2" w:name="_Hlk118873680"/>
      <w:r w:rsidRPr="007B04EA">
        <w:t>The proposed parent and caregiver focus groups are one of the activities to contribute to the Measuring SUCCESS project. Other activities include: (1) cataloging and assessing the state of existing child-, parent</w:t>
      </w:r>
      <w:r w:rsidRPr="007B04EA" w:rsidR="00121843">
        <w:t>-</w:t>
      </w:r>
      <w:r w:rsidRPr="007B04EA">
        <w:t>, and family-related measurement in OPRE’s Welfare and Family Self-Sufficiency Research Portfolio, (2) reviewing existing literature on whether and how self-sufficiency programs or employment characteristics influence child, parent, and family social well-being, (3) reviewing models of how self-sufficiency programs intend to influence child, parent, and family well-being, (4) developing a conceptual framework for understanding the social well-being of children, parents, and families in the context of welfare and family self-sufficiency research, and (5) developing a compendium of relevant measures of child, parent, and family social well-being in the context of family welfare and self-sufficiency research</w:t>
      </w:r>
      <w:bookmarkEnd w:id="2"/>
      <w:r w:rsidRPr="007B04EA">
        <w:t xml:space="preserve">. </w:t>
      </w:r>
    </w:p>
    <w:p w:rsidR="00BF6480" w:rsidRPr="007B04EA" w:rsidP="00014201" w14:paraId="71AFA155" w14:textId="77777777">
      <w:pPr>
        <w:spacing w:after="0" w:line="240" w:lineRule="auto"/>
        <w:rPr>
          <w:rFonts w:cstheme="minorHAnsi"/>
        </w:rPr>
      </w:pPr>
    </w:p>
    <w:p w:rsidR="00183BF4" w:rsidRPr="007B04EA" w:rsidP="00014201" w14:paraId="0E33C8AD" w14:textId="4700C5D9">
      <w:pPr>
        <w:spacing w:after="0" w:line="240" w:lineRule="auto"/>
        <w:rPr>
          <w:rFonts w:cstheme="minorHAnsi"/>
        </w:rPr>
      </w:pPr>
      <w:r w:rsidRPr="007B04EA">
        <w:rPr>
          <w:rFonts w:cstheme="minorHAnsi"/>
        </w:rPr>
        <w:t>There are no legal or administrative requirements that necessitate this collection. ACF is undertaking the collection at the discretion of the agency.</w:t>
      </w:r>
      <w:r w:rsidRPr="007B04EA" w:rsidR="00BF6480">
        <w:rPr>
          <w:rFonts w:cstheme="minorHAnsi"/>
        </w:rPr>
        <w:t xml:space="preserve"> ACF has contracted with Mathematica to conduct this </w:t>
      </w:r>
      <w:r w:rsidRPr="007B04EA" w:rsidR="00FA725F">
        <w:rPr>
          <w:rFonts w:cstheme="minorHAnsi"/>
        </w:rPr>
        <w:t>GenIC</w:t>
      </w:r>
      <w:r w:rsidRPr="007B04EA" w:rsidR="00BF6480">
        <w:rPr>
          <w:rFonts w:cstheme="minorHAnsi"/>
        </w:rPr>
        <w:t>.</w:t>
      </w:r>
    </w:p>
    <w:p w:rsidR="004328A4" w:rsidRPr="007B04EA" w:rsidP="00256D26" w14:paraId="55E13569" w14:textId="7F15848D">
      <w:pPr>
        <w:spacing w:after="0" w:line="240" w:lineRule="auto"/>
      </w:pPr>
    </w:p>
    <w:p w:rsidR="004328A4" w:rsidRPr="007B04EA" w:rsidP="007D0F6E" w14:paraId="77508B66" w14:textId="5FCD8AB6">
      <w:pPr>
        <w:spacing w:after="120" w:line="240" w:lineRule="auto"/>
        <w:rPr>
          <w:b/>
        </w:rPr>
      </w:pPr>
      <w:r w:rsidRPr="007B04EA">
        <w:rPr>
          <w:b/>
        </w:rPr>
        <w:t>A2</w:t>
      </w:r>
      <w:r w:rsidRPr="007B04EA">
        <w:t>.</w:t>
      </w:r>
      <w:r w:rsidRPr="007B04EA">
        <w:tab/>
      </w:r>
      <w:r w:rsidRPr="007B04EA" w:rsidR="00107D87">
        <w:rPr>
          <w:b/>
        </w:rPr>
        <w:t>Purpose</w:t>
      </w:r>
    </w:p>
    <w:p w:rsidR="004328A4" w:rsidRPr="007B04EA" w:rsidP="00896B4E" w14:paraId="6DDDCEC8" w14:textId="6FA71DDE">
      <w:pPr>
        <w:spacing w:after="120" w:line="240" w:lineRule="auto"/>
        <w:rPr>
          <w:i/>
        </w:rPr>
      </w:pPr>
      <w:r w:rsidRPr="007B04EA">
        <w:rPr>
          <w:i/>
        </w:rPr>
        <w:t xml:space="preserve">Purpose and Use </w:t>
      </w:r>
    </w:p>
    <w:p w:rsidR="0040690C" w:rsidRPr="007B04EA" w:rsidP="00BF6480" w14:paraId="06F6EF6A" w14:textId="2CF07D99">
      <w:pPr>
        <w:pStyle w:val="Paragraph"/>
        <w:widowControl w:val="0"/>
        <w:spacing w:after="0" w:line="240" w:lineRule="auto"/>
      </w:pPr>
      <w:r w:rsidRPr="007B04EA">
        <w:rPr>
          <w:rFonts w:ascii="Calibri" w:eastAsia="Times New Roman" w:hAnsi="Calibri" w:cs="Calibri"/>
        </w:rPr>
        <w:t>The information collected through the</w:t>
      </w:r>
      <w:r w:rsidRPr="007B04EA" w:rsidR="007679FC">
        <w:rPr>
          <w:rFonts w:ascii="Calibri" w:eastAsia="Times New Roman" w:hAnsi="Calibri" w:cs="Calibri"/>
        </w:rPr>
        <w:t xml:space="preserve"> focus groups </w:t>
      </w:r>
      <w:r w:rsidRPr="007B04EA" w:rsidR="000C5D3F">
        <w:t xml:space="preserve">with parents and caregivers with lived experience </w:t>
      </w:r>
      <w:r w:rsidRPr="007B04EA" w:rsidR="007679FC">
        <w:rPr>
          <w:rFonts w:ascii="Calibri" w:eastAsia="Times New Roman" w:hAnsi="Calibri" w:cs="Calibri"/>
        </w:rPr>
        <w:t>proposed</w:t>
      </w:r>
      <w:r w:rsidRPr="007B04EA">
        <w:rPr>
          <w:rFonts w:ascii="Calibri" w:eastAsia="Times New Roman" w:hAnsi="Calibri" w:cs="Calibri"/>
        </w:rPr>
        <w:t xml:space="preserve"> in this </w:t>
      </w:r>
      <w:r w:rsidRPr="007B04EA" w:rsidR="00B47507">
        <w:rPr>
          <w:rFonts w:ascii="Calibri" w:eastAsia="Times New Roman" w:hAnsi="Calibri" w:cs="Calibri"/>
        </w:rPr>
        <w:t>GenIC</w:t>
      </w:r>
      <w:r w:rsidRPr="007B04EA">
        <w:rPr>
          <w:rFonts w:ascii="Calibri" w:eastAsia="Times New Roman" w:hAnsi="Calibri" w:cs="Calibri"/>
        </w:rPr>
        <w:t xml:space="preserve"> will be used to </w:t>
      </w:r>
      <w:r w:rsidRPr="007B04EA" w:rsidR="00D1421D">
        <w:rPr>
          <w:rFonts w:ascii="Calibri" w:eastAsia="Times New Roman" w:hAnsi="Calibri" w:cs="Calibri"/>
        </w:rPr>
        <w:t>inform ACF</w:t>
      </w:r>
      <w:r w:rsidRPr="007B04EA">
        <w:rPr>
          <w:rFonts w:ascii="Calibri" w:eastAsia="Times New Roman" w:hAnsi="Calibri" w:cs="Calibri"/>
        </w:rPr>
        <w:t xml:space="preserve"> about </w:t>
      </w:r>
      <w:r w:rsidRPr="007B04EA" w:rsidR="00E6386F">
        <w:t>parents' and caregivers’</w:t>
      </w:r>
      <w:r w:rsidRPr="007B04EA" w:rsidR="00EF33F3">
        <w:t xml:space="preserve"> social well-being to supplement other </w:t>
      </w:r>
      <w:r w:rsidRPr="007B04EA" w:rsidR="000C5D3F">
        <w:t xml:space="preserve">project </w:t>
      </w:r>
      <w:r w:rsidRPr="007B04EA" w:rsidR="00EF33F3">
        <w:t>information gathering activities (</w:t>
      </w:r>
      <w:r w:rsidRPr="007B04EA">
        <w:rPr>
          <w:rFonts w:ascii="Calibri" w:eastAsia="Times New Roman" w:hAnsi="Calibri" w:cs="Calibri"/>
        </w:rPr>
        <w:t xml:space="preserve">. </w:t>
      </w:r>
      <w:r w:rsidRPr="007B04EA" w:rsidR="00E606E0">
        <w:rPr>
          <w:rFonts w:eastAsia="Times New Roman"/>
        </w:rPr>
        <w:t xml:space="preserve">Although these data are not intended to be representative of the larger population of participants, it is critical to understand the perspectives of the people who are the intended recipients of employment and training services. </w:t>
      </w:r>
      <w:r w:rsidRPr="007B04EA">
        <w:t xml:space="preserve">The data collection efforts will provide information on </w:t>
      </w:r>
      <w:r w:rsidRPr="007B04EA" w:rsidR="00901B0A">
        <w:t xml:space="preserve">additional </w:t>
      </w:r>
      <w:r w:rsidRPr="007B04EA">
        <w:t xml:space="preserve">potential social well-being </w:t>
      </w:r>
      <w:r w:rsidRPr="007B04EA" w:rsidR="1A80515A">
        <w:t>constructs</w:t>
      </w:r>
      <w:r w:rsidRPr="007B04EA">
        <w:t xml:space="preserve"> to include in a conceptual framework that </w:t>
      </w:r>
      <w:bookmarkStart w:id="3" w:name="_Hlk115273834"/>
      <w:r w:rsidRPr="007B04EA" w:rsidR="718B276F">
        <w:t xml:space="preserve">describes how child and family social well-being may be influenced by participation in </w:t>
      </w:r>
      <w:r w:rsidRPr="007B04EA" w:rsidR="007A7B38">
        <w:t>TANF</w:t>
      </w:r>
      <w:r w:rsidRPr="007B04EA" w:rsidR="006F03D2">
        <w:t xml:space="preserve"> </w:t>
      </w:r>
      <w:r w:rsidRPr="007B04EA" w:rsidR="718B276F">
        <w:t xml:space="preserve">and other </w:t>
      </w:r>
      <w:r w:rsidRPr="007B04EA" w:rsidR="00520074">
        <w:t xml:space="preserve">employment and training-related </w:t>
      </w:r>
      <w:r w:rsidRPr="007B04EA" w:rsidR="718B276F">
        <w:t>programs.</w:t>
      </w:r>
      <w:r w:rsidRPr="007B04EA" w:rsidR="00B47507">
        <w:t xml:space="preserve"> Through this </w:t>
      </w:r>
      <w:r w:rsidRPr="007B04EA" w:rsidR="00B47507">
        <w:t>GenIC</w:t>
      </w:r>
      <w:r w:rsidRPr="007B04EA" w:rsidR="00B47507">
        <w:t xml:space="preserve">, </w:t>
      </w:r>
      <w:bookmarkStart w:id="4" w:name="_Hlk122524673"/>
      <w:bookmarkEnd w:id="3"/>
      <w:r w:rsidRPr="007B04EA" w:rsidR="00B47507">
        <w:rPr>
          <w:rFonts w:eastAsia="Times New Roman" w:cstheme="minorHAnsi"/>
        </w:rPr>
        <w:t>t</w:t>
      </w:r>
      <w:r w:rsidRPr="007B04EA" w:rsidR="00774E56">
        <w:rPr>
          <w:rFonts w:eastAsia="Times New Roman" w:cstheme="minorHAnsi"/>
        </w:rPr>
        <w:t>he data will be used to contribute to</w:t>
      </w:r>
      <w:r w:rsidRPr="007B04EA" w:rsidR="00E606E0">
        <w:rPr>
          <w:rFonts w:eastAsia="Times New Roman" w:cstheme="minorHAnsi"/>
        </w:rPr>
        <w:t xml:space="preserve"> (but not alone address)</w:t>
      </w:r>
      <w:r w:rsidRPr="007B04EA" w:rsidR="00774E56">
        <w:rPr>
          <w:rFonts w:eastAsia="Times New Roman" w:cstheme="minorHAnsi"/>
        </w:rPr>
        <w:t xml:space="preserve"> the development of a conceptual framework </w:t>
      </w:r>
      <w:r w:rsidRPr="007B04EA" w:rsidR="00A96F9B">
        <w:rPr>
          <w:rFonts w:eastAsia="Times New Roman" w:cstheme="minorHAnsi"/>
        </w:rPr>
        <w:t xml:space="preserve">about family social well-being </w:t>
      </w:r>
      <w:bookmarkStart w:id="5" w:name="_Hlk129691245"/>
      <w:r w:rsidRPr="007B04EA" w:rsidR="00774E56">
        <w:rPr>
          <w:rFonts w:eastAsia="Times New Roman" w:cstheme="minorHAnsi"/>
        </w:rPr>
        <w:t xml:space="preserve">that will </w:t>
      </w:r>
      <w:r w:rsidRPr="007B04EA" w:rsidR="00A96F9B">
        <w:rPr>
          <w:rFonts w:eastAsia="Times New Roman" w:cstheme="minorHAnsi"/>
        </w:rPr>
        <w:t xml:space="preserve">use information </w:t>
      </w:r>
      <w:r w:rsidRPr="007B04EA" w:rsidR="00901B0A">
        <w:rPr>
          <w:rFonts w:eastAsia="Times New Roman" w:cstheme="minorHAnsi"/>
        </w:rPr>
        <w:t xml:space="preserve">from </w:t>
      </w:r>
      <w:r w:rsidRPr="007B04EA" w:rsidR="00A96F9B">
        <w:rPr>
          <w:rFonts w:eastAsia="Times New Roman" w:cstheme="minorHAnsi"/>
        </w:rPr>
        <w:t xml:space="preserve">multiple information gathering activities (a literature and </w:t>
      </w:r>
      <w:r w:rsidRPr="007B04EA" w:rsidR="00A96F9B">
        <w:rPr>
          <w:rFonts w:eastAsia="Times New Roman" w:cstheme="minorHAnsi"/>
        </w:rPr>
        <w:t>conceptual model scan and synthesis; i</w:t>
      </w:r>
      <w:r w:rsidRPr="007B04EA" w:rsidR="00A96F9B">
        <w:t>nput from government, academic, and other experts with lived experience), including focus groups with parents and caregivers with lived experience in employment and training programs</w:t>
      </w:r>
      <w:bookmarkEnd w:id="5"/>
      <w:r w:rsidRPr="007B04EA" w:rsidR="00A96F9B">
        <w:t xml:space="preserve">. </w:t>
      </w:r>
      <w:bookmarkEnd w:id="4"/>
      <w:r w:rsidRPr="007B04EA" w:rsidR="00774E56">
        <w:rPr>
          <w:rFonts w:eastAsia="Times New Roman" w:cstheme="minorHAnsi"/>
        </w:rPr>
        <w:t>In addition, th</w:t>
      </w:r>
      <w:r w:rsidRPr="007B04EA" w:rsidR="00774E56">
        <w:t xml:space="preserve">e research team will produce a brief for the parents and caregivers that participated in the focus groups to share back the themes they heard from them on social well-being and inequities the parents and caregivers encountered while participating in the programs. </w:t>
      </w:r>
    </w:p>
    <w:p w:rsidR="00774E56" w:rsidRPr="007B04EA" w:rsidP="00BF6480" w14:paraId="388C53E8" w14:textId="7A7BBB9A">
      <w:pPr>
        <w:pStyle w:val="Paragraph"/>
        <w:widowControl w:val="0"/>
        <w:spacing w:after="0" w:line="240" w:lineRule="auto"/>
      </w:pPr>
    </w:p>
    <w:p w:rsidR="007679FC" w:rsidRPr="007B04EA" w:rsidP="005417A1" w14:paraId="4FE97E8C" w14:textId="210F2496">
      <w:pPr>
        <w:spacing w:after="120"/>
        <w:rPr>
          <w:rFonts w:cstheme="minorHAnsi"/>
          <w:b/>
        </w:rPr>
      </w:pPr>
      <w:r w:rsidRPr="007B04EA">
        <w:rPr>
          <w:rFonts w:cstheme="minorHAnsi"/>
        </w:rPr>
        <w:t xml:space="preserve">This proposed </w:t>
      </w:r>
      <w:r w:rsidRPr="007B04EA" w:rsidR="00E6386F">
        <w:rPr>
          <w:rFonts w:cstheme="minorHAnsi"/>
        </w:rPr>
        <w:t>GenIC</w:t>
      </w:r>
      <w:r w:rsidRPr="007B04EA" w:rsidR="00E6386F">
        <w:rPr>
          <w:rFonts w:cstheme="minorHAnsi"/>
        </w:rPr>
        <w:t xml:space="preserve"> </w:t>
      </w:r>
      <w:r w:rsidRPr="007B04EA">
        <w:rPr>
          <w:rFonts w:cstheme="minorHAnsi"/>
        </w:rPr>
        <w:t>meets the following goals of ACF’s generic clearance for formative data collections for research and evaluation (0970-0356):</w:t>
      </w:r>
    </w:p>
    <w:p w:rsidR="007679FC" w:rsidRPr="007B04EA" w:rsidP="007679FC" w14:paraId="4BA89F7E" w14:textId="77777777">
      <w:pPr>
        <w:numPr>
          <w:ilvl w:val="0"/>
          <w:numId w:val="2"/>
        </w:numPr>
        <w:spacing w:after="0" w:line="240" w:lineRule="auto"/>
        <w:rPr>
          <w:rFonts w:cstheme="minorHAnsi"/>
        </w:rPr>
      </w:pPr>
      <w:r w:rsidRPr="007B04EA">
        <w:rPr>
          <w:rFonts w:cstheme="minorHAnsi"/>
        </w:rPr>
        <w:t>Inform the development of ACF research.</w:t>
      </w:r>
    </w:p>
    <w:p w:rsidR="007679FC" w:rsidRPr="007B04EA" w:rsidP="007679FC" w14:paraId="1EFB8E6D" w14:textId="77777777">
      <w:pPr>
        <w:numPr>
          <w:ilvl w:val="0"/>
          <w:numId w:val="2"/>
        </w:numPr>
        <w:spacing w:after="0" w:line="240" w:lineRule="auto"/>
        <w:rPr>
          <w:rFonts w:cstheme="minorHAnsi"/>
        </w:rPr>
      </w:pPr>
      <w:r w:rsidRPr="007B04EA">
        <w:rPr>
          <w:rFonts w:cstheme="minorHAnsi"/>
        </w:rPr>
        <w:t>Maintain a research agenda that is rigorous and relevant.</w:t>
      </w:r>
    </w:p>
    <w:p w:rsidR="007679FC" w:rsidRPr="007B04EA" w:rsidP="007679FC" w14:paraId="3393A36C" w14:textId="77777777">
      <w:pPr>
        <w:numPr>
          <w:ilvl w:val="0"/>
          <w:numId w:val="2"/>
        </w:numPr>
        <w:spacing w:after="0" w:line="240" w:lineRule="auto"/>
        <w:rPr>
          <w:rFonts w:cstheme="minorHAnsi"/>
        </w:rPr>
      </w:pPr>
      <w:r w:rsidRPr="007B04EA">
        <w:rPr>
          <w:rFonts w:cstheme="minorHAnsi"/>
        </w:rPr>
        <w:t xml:space="preserve">Ensure that research products are as current as possible. </w:t>
      </w:r>
    </w:p>
    <w:p w:rsidR="007679FC" w:rsidRPr="007B04EA" w:rsidP="4C195D4D" w14:paraId="5B4E7773" w14:textId="77777777">
      <w:pPr>
        <w:spacing w:after="0" w:line="240" w:lineRule="auto"/>
      </w:pPr>
    </w:p>
    <w:p w:rsidR="00A36134" w:rsidRPr="007B04EA" w:rsidP="4C195D4D" w14:paraId="12840CC4" w14:textId="49380DAC">
      <w:pPr>
        <w:spacing w:after="0" w:line="240" w:lineRule="auto"/>
      </w:pPr>
      <w:r w:rsidRPr="007B04EA">
        <w:t>The information is not intended to be used as the principal basis for a decision by a federal decision-</w:t>
      </w:r>
      <w:r w:rsidRPr="007B04EA">
        <w:t>maker, and</w:t>
      </w:r>
      <w:r w:rsidRPr="007B04EA">
        <w:t xml:space="preserve"> is not expected to meet the threshold of influential or highly influential scientific information. </w:t>
      </w:r>
      <w:r w:rsidRPr="007B04EA" w:rsidR="006F03D2">
        <w:t xml:space="preserve">The information is not intended to be generalized </w:t>
      </w:r>
      <w:r w:rsidRPr="007B04EA" w:rsidR="005C2F8A">
        <w:t>and only provides information from and about the parents and caregivers with lived experience who participate in the focus groups</w:t>
      </w:r>
      <w:r w:rsidRPr="007B04EA" w:rsidR="006F03D2">
        <w:t>.</w:t>
      </w:r>
    </w:p>
    <w:p w:rsidR="007D0F6E" w:rsidRPr="007B04EA" w:rsidP="00DF1291" w14:paraId="3D05813B" w14:textId="77777777">
      <w:pPr>
        <w:spacing w:after="0" w:line="240" w:lineRule="auto"/>
        <w:rPr>
          <w:i/>
        </w:rPr>
      </w:pPr>
    </w:p>
    <w:p w:rsidR="004328A4" w:rsidRPr="007B04EA" w:rsidP="00896B4E" w14:paraId="57EB8C37" w14:textId="6D9C2AB3">
      <w:pPr>
        <w:spacing w:after="120" w:line="240" w:lineRule="auto"/>
        <w:rPr>
          <w:i/>
        </w:rPr>
      </w:pPr>
      <w:r w:rsidRPr="007B04EA">
        <w:rPr>
          <w:i/>
        </w:rPr>
        <w:t>Research Questions</w:t>
      </w:r>
    </w:p>
    <w:p w:rsidR="00577678" w:rsidRPr="007B04EA" w:rsidP="007027F2" w14:paraId="6C4977A6" w14:textId="2146D456">
      <w:pPr>
        <w:pStyle w:val="Paragraph"/>
      </w:pPr>
      <w:r w:rsidRPr="007B04EA">
        <w:t xml:space="preserve">The </w:t>
      </w:r>
      <w:r w:rsidRPr="007B04EA" w:rsidR="00BF6480">
        <w:t xml:space="preserve">information collected through the </w:t>
      </w:r>
      <w:r w:rsidRPr="007B04EA" w:rsidR="007D2AE6">
        <w:t xml:space="preserve">parent and caregivers with lived experience </w:t>
      </w:r>
      <w:r w:rsidRPr="007B04EA" w:rsidR="00BF6480">
        <w:t xml:space="preserve">focus groups is intended to address </w:t>
      </w:r>
      <w:r w:rsidRPr="007B04EA">
        <w:t xml:space="preserve">the following research questions: </w:t>
      </w:r>
    </w:p>
    <w:p w:rsidR="002A1654" w:rsidRPr="007B04EA" w:rsidP="00BA03D0" w14:paraId="5E85A908" w14:textId="06715E92">
      <w:pPr>
        <w:pStyle w:val="ListParagraph"/>
        <w:numPr>
          <w:ilvl w:val="0"/>
          <w:numId w:val="4"/>
        </w:numPr>
        <w:rPr>
          <w:iCs/>
        </w:rPr>
      </w:pPr>
      <w:bookmarkStart w:id="6" w:name="_Hlk118299447"/>
      <w:r w:rsidRPr="007B04EA">
        <w:t xml:space="preserve">What do </w:t>
      </w:r>
      <w:r w:rsidRPr="007B04EA" w:rsidR="000C3AA9">
        <w:t>a group of parents and caregivers with lived experience in employment and training programs</w:t>
      </w:r>
      <w:r w:rsidRPr="007B04EA">
        <w:t xml:space="preserve"> consider as important for </w:t>
      </w:r>
      <w:r w:rsidRPr="007B04EA" w:rsidR="000C3AA9">
        <w:t xml:space="preserve">their general </w:t>
      </w:r>
      <w:r w:rsidRPr="007B04EA">
        <w:t>social well-being?</w:t>
      </w:r>
    </w:p>
    <w:bookmarkEnd w:id="6"/>
    <w:p w:rsidR="00110EA7" w:rsidRPr="007B04EA" w:rsidP="00BA03D0" w14:paraId="310EA907" w14:textId="4645CDC5">
      <w:pPr>
        <w:pStyle w:val="ListParagraph"/>
        <w:numPr>
          <w:ilvl w:val="0"/>
          <w:numId w:val="4"/>
        </w:numPr>
        <w:rPr>
          <w:iCs/>
        </w:rPr>
      </w:pPr>
      <w:r w:rsidRPr="007B04EA">
        <w:rPr>
          <w:iCs/>
        </w:rPr>
        <w:t>W</w:t>
      </w:r>
      <w:r w:rsidRPr="007B04EA">
        <w:t xml:space="preserve">hat </w:t>
      </w:r>
      <w:r w:rsidRPr="007B04EA" w:rsidR="00E91505">
        <w:t xml:space="preserve">do </w:t>
      </w:r>
      <w:r w:rsidRPr="007B04EA" w:rsidR="000C3AA9">
        <w:t xml:space="preserve">a group of parents and caregivers with lived experience in employment and training programs </w:t>
      </w:r>
      <w:r w:rsidRPr="007B04EA" w:rsidR="00E91505">
        <w:t>think shapes their social well-being?</w:t>
      </w:r>
    </w:p>
    <w:p w:rsidR="00386607" w:rsidRPr="007B04EA" w:rsidP="008A29AF" w14:paraId="4AC90313" w14:textId="69A98470">
      <w:pPr>
        <w:pStyle w:val="ListParagraph"/>
        <w:numPr>
          <w:ilvl w:val="0"/>
          <w:numId w:val="4"/>
        </w:numPr>
        <w:spacing w:after="0" w:line="240" w:lineRule="auto"/>
      </w:pPr>
      <w:bookmarkStart w:id="7" w:name="_Hlk117599650"/>
      <w:r w:rsidRPr="007B04EA">
        <w:t xml:space="preserve">From the perspective of </w:t>
      </w:r>
      <w:r w:rsidRPr="007B04EA" w:rsidR="000C3AA9">
        <w:t xml:space="preserve">a group of </w:t>
      </w:r>
      <w:r w:rsidRPr="007B04EA" w:rsidR="007D2AE6">
        <w:t xml:space="preserve">parents and </w:t>
      </w:r>
      <w:r w:rsidRPr="007B04EA" w:rsidR="000C3AA9">
        <w:t>caregivers with lived experience in employment and training programs</w:t>
      </w:r>
      <w:r w:rsidRPr="007B04EA">
        <w:t xml:space="preserve">, what are the </w:t>
      </w:r>
      <w:r w:rsidRPr="007B04EA" w:rsidR="009D2F07">
        <w:t xml:space="preserve">experiences in TANF programs? What </w:t>
      </w:r>
      <w:r w:rsidRPr="007B04EA">
        <w:t xml:space="preserve">structural inequities affect </w:t>
      </w:r>
      <w:r w:rsidRPr="007B04EA" w:rsidR="00901B0A">
        <w:t xml:space="preserve">these </w:t>
      </w:r>
      <w:r w:rsidRPr="007B04EA" w:rsidR="007D2AE6">
        <w:t xml:space="preserve">parents’ and </w:t>
      </w:r>
      <w:r w:rsidRPr="007B04EA" w:rsidR="00901B0A">
        <w:t>caregivers’ experiences</w:t>
      </w:r>
      <w:r w:rsidRPr="007B04EA">
        <w:t xml:space="preserve"> in the </w:t>
      </w:r>
      <w:r w:rsidRPr="007B04EA" w:rsidR="00901B0A">
        <w:t xml:space="preserve">types </w:t>
      </w:r>
      <w:r w:rsidRPr="007B04EA">
        <w:t>of programs that are studied within OPRE’s Welfare and Family Self-Sufficiency Research Portfolio?</w:t>
      </w:r>
    </w:p>
    <w:bookmarkEnd w:id="7"/>
    <w:p w:rsidR="007D0F6E" w:rsidRPr="007B04EA" w:rsidP="00110EA7" w14:paraId="074BB4AA" w14:textId="77777777">
      <w:pPr>
        <w:pStyle w:val="ListParagraph"/>
        <w:spacing w:after="0" w:line="240" w:lineRule="auto"/>
        <w:rPr>
          <w:iCs/>
        </w:rPr>
      </w:pPr>
    </w:p>
    <w:p w:rsidR="004328A4" w:rsidRPr="007B04EA" w:rsidP="00896B4E" w14:paraId="5C99A251" w14:textId="3F7B4D14">
      <w:pPr>
        <w:spacing w:after="120" w:line="240" w:lineRule="auto"/>
        <w:rPr>
          <w:i/>
        </w:rPr>
      </w:pPr>
      <w:r w:rsidRPr="007B04EA">
        <w:rPr>
          <w:i/>
        </w:rPr>
        <w:t>Study Design</w:t>
      </w:r>
    </w:p>
    <w:p w:rsidR="00110EA7" w:rsidRPr="007B04EA" w:rsidP="00BF6480" w14:paraId="7848D65F" w14:textId="1BCEC47A">
      <w:pPr>
        <w:spacing w:after="0" w:line="240" w:lineRule="auto"/>
      </w:pPr>
      <w:r w:rsidRPr="007B04EA">
        <w:t xml:space="preserve">The research team will conduct seven focus groups with parents </w:t>
      </w:r>
      <w:r w:rsidRPr="007B04EA" w:rsidR="005A74F1">
        <w:t xml:space="preserve">and caregivers </w:t>
      </w:r>
      <w:r w:rsidRPr="007B04EA" w:rsidR="005C2F8A">
        <w:t xml:space="preserve">with lived experience </w:t>
      </w:r>
      <w:r w:rsidRPr="007B04EA" w:rsidR="415B572A">
        <w:t xml:space="preserve">who are ages 18 and older </w:t>
      </w:r>
      <w:r w:rsidRPr="007B04EA" w:rsidR="00FD342E">
        <w:t xml:space="preserve">and </w:t>
      </w:r>
      <w:r w:rsidRPr="007B04EA">
        <w:t xml:space="preserve">who are participating or formerly participated </w:t>
      </w:r>
      <w:r w:rsidRPr="007B04EA" w:rsidR="00B47507">
        <w:t xml:space="preserve">in </w:t>
      </w:r>
      <w:r w:rsidRPr="007B04EA" w:rsidR="00E610A0">
        <w:t>TANF</w:t>
      </w:r>
      <w:r w:rsidRPr="007B04EA" w:rsidR="000C3AA9">
        <w:t xml:space="preserve"> or employment and training</w:t>
      </w:r>
      <w:r w:rsidRPr="007B04EA" w:rsidR="00E610A0">
        <w:t xml:space="preserve"> </w:t>
      </w:r>
      <w:r w:rsidRPr="007B04EA">
        <w:t xml:space="preserve">programs. </w:t>
      </w:r>
      <w:bookmarkStart w:id="8" w:name="_Hlk117603566"/>
      <w:r w:rsidRPr="007B04EA" w:rsidR="002343F6">
        <w:t xml:space="preserve">For the purposes of the focus groups, the research team is defining parents and caregivers as adults who bring up and are responsible for a child. The research team recognizes that families are complex and not all caregivers are biological parents. </w:t>
      </w:r>
      <w:bookmarkEnd w:id="8"/>
      <w:r w:rsidRPr="007B04EA" w:rsidR="78B6F43E">
        <w:t xml:space="preserve">For each of the focus groups, </w:t>
      </w:r>
      <w:r w:rsidRPr="007B04EA">
        <w:t xml:space="preserve">the parents </w:t>
      </w:r>
      <w:r w:rsidRPr="007B04EA" w:rsidR="005A74F1">
        <w:t xml:space="preserve">and caregivers </w:t>
      </w:r>
      <w:r w:rsidRPr="007B04EA">
        <w:t>will share characteristics similar to other members of the same group</w:t>
      </w:r>
      <w:r w:rsidRPr="007B04EA" w:rsidR="00BF6480">
        <w:t xml:space="preserve"> (</w:t>
      </w:r>
      <w:r w:rsidRPr="007B04EA" w:rsidR="008678D6">
        <w:t>e.g.,</w:t>
      </w:r>
      <w:r w:rsidRPr="007B04EA" w:rsidR="00BF6480">
        <w:t xml:space="preserve"> parents of children in middle school)</w:t>
      </w:r>
      <w:r w:rsidRPr="007B04EA">
        <w:t xml:space="preserve">. </w:t>
      </w:r>
      <w:r w:rsidRPr="007B04EA" w:rsidR="0A18A52D">
        <w:t xml:space="preserve">The research team plans for all data collection to occur virtually (i.e., via videoconferencing) </w:t>
      </w:r>
      <w:r w:rsidRPr="007B04EA" w:rsidR="415B572A">
        <w:t xml:space="preserve">for five focus groups </w:t>
      </w:r>
      <w:r w:rsidRPr="007B04EA" w:rsidR="0A18A52D">
        <w:t>and in</w:t>
      </w:r>
      <w:r w:rsidRPr="007B04EA" w:rsidR="00BF6480">
        <w:t>-</w:t>
      </w:r>
      <w:r w:rsidRPr="007B04EA" w:rsidR="0A18A52D">
        <w:t>person</w:t>
      </w:r>
      <w:r w:rsidRPr="007B04EA" w:rsidR="415B572A">
        <w:t xml:space="preserve"> for two focus groups</w:t>
      </w:r>
      <w:r w:rsidRPr="007B04EA" w:rsidR="0A18A52D">
        <w:t>.</w:t>
      </w:r>
      <w:r w:rsidRPr="007B04EA" w:rsidR="00A5786A">
        <w:t xml:space="preserve"> As part of the focus groups, we will collect demographic </w:t>
      </w:r>
      <w:r w:rsidRPr="007B04EA" w:rsidR="00C477CF">
        <w:t>information from participan</w:t>
      </w:r>
      <w:r w:rsidRPr="007B04EA" w:rsidR="00E610A0">
        <w:t>ts including</w:t>
      </w:r>
      <w:r w:rsidRPr="007B04EA" w:rsidR="00232172">
        <w:t xml:space="preserve"> gender</w:t>
      </w:r>
      <w:r w:rsidRPr="007B04EA" w:rsidR="00866C7F">
        <w:t xml:space="preserve"> </w:t>
      </w:r>
      <w:r w:rsidRPr="007B04EA" w:rsidR="00AD37DD">
        <w:t>identity</w:t>
      </w:r>
      <w:r w:rsidRPr="007B04EA" w:rsidR="00232172">
        <w:t>,</w:t>
      </w:r>
      <w:r w:rsidRPr="007B04EA" w:rsidR="00E610A0">
        <w:t xml:space="preserve"> </w:t>
      </w:r>
      <w:r w:rsidRPr="007B04EA" w:rsidR="00866C7F">
        <w:t xml:space="preserve">age, </w:t>
      </w:r>
      <w:r w:rsidRPr="007B04EA" w:rsidR="00E610A0">
        <w:t>race and ethnicity</w:t>
      </w:r>
      <w:r w:rsidRPr="007B04EA" w:rsidR="00232172">
        <w:t>, and the number</w:t>
      </w:r>
      <w:r w:rsidRPr="007B04EA" w:rsidR="00866C7F">
        <w:t xml:space="preserve"> and age </w:t>
      </w:r>
      <w:r w:rsidRPr="007B04EA" w:rsidR="00232172">
        <w:t>of children in a family</w:t>
      </w:r>
      <w:r w:rsidRPr="007B04EA" w:rsidR="00E610A0">
        <w:t xml:space="preserve">. This information will be used to </w:t>
      </w:r>
      <w:r w:rsidRPr="007B04EA" w:rsidR="00AD37DD">
        <w:t xml:space="preserve">document </w:t>
      </w:r>
      <w:r w:rsidRPr="007B04EA" w:rsidR="00E610A0">
        <w:t xml:space="preserve">the backgrounds of participants in a final descriptive </w:t>
      </w:r>
      <w:r w:rsidRPr="007B04EA" w:rsidR="00232172">
        <w:t>brief</w:t>
      </w:r>
      <w:r w:rsidRPr="007B04EA" w:rsidR="00E610A0">
        <w:t xml:space="preserve"> that describes </w:t>
      </w:r>
      <w:r w:rsidRPr="007B04EA" w:rsidR="00AD37DD">
        <w:t xml:space="preserve">what </w:t>
      </w:r>
      <w:r w:rsidRPr="007B04EA" w:rsidR="00E610A0">
        <w:t xml:space="preserve">families </w:t>
      </w:r>
      <w:r w:rsidRPr="007B04EA" w:rsidR="00AD37DD">
        <w:t xml:space="preserve">consider important to </w:t>
      </w:r>
      <w:r w:rsidRPr="007B04EA" w:rsidR="00E610A0">
        <w:t xml:space="preserve">their well-being. </w:t>
      </w:r>
    </w:p>
    <w:p w:rsidR="00BF6480" w:rsidRPr="007B04EA" w:rsidP="00774E56" w14:paraId="6D418D72" w14:textId="77777777">
      <w:pPr>
        <w:spacing w:after="0" w:line="240" w:lineRule="auto"/>
      </w:pPr>
    </w:p>
    <w:p w:rsidR="0059001D" w:rsidRPr="007B04EA" w:rsidP="4C195D4D" w14:paraId="7F4731C8" w14:textId="453EEDB8">
      <w:pPr>
        <w:spacing w:after="0" w:line="240" w:lineRule="auto"/>
      </w:pPr>
      <w:r w:rsidRPr="007B04EA">
        <w:t>This approach is intended to surface a diverse set of parent</w:t>
      </w:r>
      <w:r w:rsidRPr="007B04EA" w:rsidR="00FD342E">
        <w:t xml:space="preserve"> and caregiver</w:t>
      </w:r>
      <w:r w:rsidRPr="007B04EA">
        <w:t xml:space="preserve"> perspectives on social well-being. The research team will document</w:t>
      </w:r>
      <w:r w:rsidRPr="007B04EA" w:rsidR="0A18A52D">
        <w:t xml:space="preserve"> how parents</w:t>
      </w:r>
      <w:r w:rsidRPr="007B04EA" w:rsidR="005A74F1">
        <w:t xml:space="preserve"> and caregivers</w:t>
      </w:r>
      <w:r w:rsidRPr="007B04EA" w:rsidR="0A18A52D">
        <w:t xml:space="preserve"> define social well-being, </w:t>
      </w:r>
      <w:r w:rsidRPr="007B04EA" w:rsidR="00E610A0">
        <w:t xml:space="preserve">and </w:t>
      </w:r>
      <w:r w:rsidRPr="007B04EA" w:rsidR="0A18A52D">
        <w:t xml:space="preserve">any </w:t>
      </w:r>
      <w:r w:rsidRPr="007B04EA" w:rsidR="0A18A52D">
        <w:t>inequities they encounter as part of their participation in the programs.</w:t>
      </w:r>
      <w:r w:rsidRPr="007B04EA" w:rsidR="00CD1C0E">
        <w:t xml:space="preserve"> </w:t>
      </w:r>
      <w:r w:rsidRPr="007B04EA" w:rsidR="00FD342E">
        <w:t xml:space="preserve">While the study aims to reflect a diverse set of perspectives, only </w:t>
      </w:r>
      <w:r w:rsidRPr="007B04EA" w:rsidR="00CD1C0E">
        <w:t xml:space="preserve">a small number of focus groups </w:t>
      </w:r>
      <w:r w:rsidRPr="007B04EA" w:rsidR="00542098">
        <w:t>will be conducted</w:t>
      </w:r>
      <w:r w:rsidRPr="007B04EA" w:rsidR="00E32F35">
        <w:t xml:space="preserve"> and therefore cannot account for the full range of participant background characteristics</w:t>
      </w:r>
      <w:r w:rsidRPr="007B04EA" w:rsidR="00542098">
        <w:t xml:space="preserve">. </w:t>
      </w:r>
      <w:r w:rsidRPr="007B04EA" w:rsidR="008408AB">
        <w:t>The results are not designed to be representative of or generalizable to all parents and caregivers who participate in programs or interventions aimed to increase economic security</w:t>
      </w:r>
      <w:r w:rsidRPr="007B04EA" w:rsidR="00901B0A">
        <w:t>,</w:t>
      </w:r>
      <w:r w:rsidRPr="007B04EA" w:rsidR="000C3AA9">
        <w:t xml:space="preserve"> rather these </w:t>
      </w:r>
      <w:r w:rsidRPr="007B04EA" w:rsidR="00901B0A">
        <w:t>groups will capture</w:t>
      </w:r>
      <w:r w:rsidRPr="007B04EA" w:rsidR="000C3AA9">
        <w:t xml:space="preserve"> the experiences of </w:t>
      </w:r>
      <w:r w:rsidRPr="007B04EA" w:rsidR="00901B0A">
        <w:t>the specific</w:t>
      </w:r>
      <w:r w:rsidRPr="007B04EA" w:rsidR="000C3AA9">
        <w:t xml:space="preserve"> parents and caregivers who participated in the focus groups</w:t>
      </w:r>
      <w:r w:rsidRPr="007B04EA" w:rsidR="008408AB">
        <w:t>.</w:t>
      </w:r>
    </w:p>
    <w:p w:rsidR="008408AB" w:rsidRPr="007B04EA" w:rsidP="4C195D4D" w14:paraId="390A0776" w14:textId="0BF6603D">
      <w:pPr>
        <w:spacing w:after="0" w:line="240" w:lineRule="auto"/>
      </w:pPr>
    </w:p>
    <w:p w:rsidR="0059001D" w:rsidRPr="007B04EA" w:rsidP="0059001D" w14:paraId="694DC28F" w14:textId="2E0BEBB7">
      <w:pPr>
        <w:spacing w:after="0" w:line="240" w:lineRule="auto"/>
      </w:pPr>
      <w:r w:rsidRPr="007B04EA">
        <w:t xml:space="preserve">Limitations to the </w:t>
      </w:r>
      <w:r w:rsidRPr="007B04EA" w:rsidR="002244BB">
        <w:t xml:space="preserve">findings, such as generalizability, will be noted in </w:t>
      </w:r>
      <w:r w:rsidRPr="007B04EA" w:rsidR="00C24B2B">
        <w:t xml:space="preserve">the summary descriptive </w:t>
      </w:r>
      <w:r w:rsidRPr="007B04EA" w:rsidR="00F144F3">
        <w:t>brief</w:t>
      </w:r>
      <w:r w:rsidRPr="007B04EA" w:rsidR="002244BB">
        <w:t xml:space="preserve">, as appropriate. </w:t>
      </w:r>
    </w:p>
    <w:p w:rsidR="00774E56" w:rsidRPr="007B04EA" w:rsidP="0059001D" w14:paraId="377C6F4A" w14:textId="77777777">
      <w:pPr>
        <w:spacing w:after="0" w:line="240" w:lineRule="auto"/>
        <w:rPr>
          <w:iCs/>
        </w:rPr>
      </w:pPr>
    </w:p>
    <w:tbl>
      <w:tblPr>
        <w:tblStyle w:val="TableGrid"/>
        <w:tblW w:w="9175" w:type="dxa"/>
        <w:tblLook w:val="04A0"/>
      </w:tblPr>
      <w:tblGrid>
        <w:gridCol w:w="1676"/>
        <w:gridCol w:w="5429"/>
        <w:gridCol w:w="2070"/>
      </w:tblGrid>
      <w:tr w14:paraId="51FF2E50" w14:textId="77777777" w:rsidTr="004D66BF">
        <w:tblPrEx>
          <w:tblW w:w="9175" w:type="dxa"/>
          <w:tblLook w:val="04A0"/>
        </w:tblPrEx>
        <w:tc>
          <w:tcPr>
            <w:tcW w:w="1676" w:type="dxa"/>
            <w:shd w:val="clear" w:color="auto" w:fill="D9D9D9" w:themeFill="background1" w:themeFillShade="D9"/>
          </w:tcPr>
          <w:p w:rsidR="00774E56" w:rsidRPr="007B04EA" w:rsidP="00D80AC2" w14:paraId="750C64CA" w14:textId="3FBB21A3">
            <w:pPr>
              <w:rPr>
                <w:rFonts w:asciiTheme="minorHAnsi" w:hAnsiTheme="minorHAnsi" w:cstheme="minorHAnsi"/>
                <w:b/>
                <w:bCs/>
                <w:i/>
              </w:rPr>
            </w:pPr>
            <w:r w:rsidRPr="007B04EA">
              <w:rPr>
                <w:rFonts w:asciiTheme="minorHAnsi" w:hAnsiTheme="minorHAnsi" w:cstheme="minorHAnsi"/>
                <w:b/>
                <w:bCs/>
                <w:i/>
              </w:rPr>
              <w:t>Instrument</w:t>
            </w:r>
          </w:p>
        </w:tc>
        <w:tc>
          <w:tcPr>
            <w:tcW w:w="5429" w:type="dxa"/>
            <w:shd w:val="clear" w:color="auto" w:fill="D9D9D9" w:themeFill="background1" w:themeFillShade="D9"/>
          </w:tcPr>
          <w:p w:rsidR="00774E56" w:rsidRPr="007B04EA" w:rsidP="00D80AC2" w14:paraId="778389EC" w14:textId="77777777">
            <w:pPr>
              <w:rPr>
                <w:rFonts w:asciiTheme="minorHAnsi" w:hAnsiTheme="minorHAnsi" w:cstheme="minorHAnsi"/>
                <w:b/>
                <w:bCs/>
                <w:i/>
              </w:rPr>
            </w:pPr>
            <w:r w:rsidRPr="007B04EA">
              <w:rPr>
                <w:rFonts w:asciiTheme="minorHAnsi" w:hAnsiTheme="minorHAnsi" w:cstheme="minorHAnsi"/>
                <w:b/>
                <w:bCs/>
                <w:i/>
              </w:rPr>
              <w:t>Respondent, Content, Purpose of Collection</w:t>
            </w:r>
          </w:p>
        </w:tc>
        <w:tc>
          <w:tcPr>
            <w:tcW w:w="2070" w:type="dxa"/>
            <w:shd w:val="clear" w:color="auto" w:fill="D9D9D9" w:themeFill="background1" w:themeFillShade="D9"/>
          </w:tcPr>
          <w:p w:rsidR="00774E56" w:rsidRPr="007B04EA" w:rsidP="00D80AC2" w14:paraId="0C4F1C59" w14:textId="77777777">
            <w:pPr>
              <w:rPr>
                <w:rFonts w:asciiTheme="minorHAnsi" w:hAnsiTheme="minorHAnsi" w:cstheme="minorHAnsi"/>
                <w:b/>
                <w:bCs/>
                <w:i/>
              </w:rPr>
            </w:pPr>
            <w:r w:rsidRPr="007B04EA">
              <w:rPr>
                <w:rFonts w:asciiTheme="minorHAnsi" w:hAnsiTheme="minorHAnsi" w:cstheme="minorHAnsi"/>
                <w:b/>
                <w:bCs/>
                <w:i/>
              </w:rPr>
              <w:t>Mode and Duration</w:t>
            </w:r>
          </w:p>
        </w:tc>
      </w:tr>
      <w:tr w14:paraId="7460439D" w14:textId="77777777" w:rsidTr="004D66BF">
        <w:tblPrEx>
          <w:tblW w:w="9175" w:type="dxa"/>
          <w:tblLook w:val="04A0"/>
        </w:tblPrEx>
        <w:tc>
          <w:tcPr>
            <w:tcW w:w="1676" w:type="dxa"/>
          </w:tcPr>
          <w:p w:rsidR="00774E56" w:rsidRPr="007B04EA" w:rsidP="00D80AC2" w14:paraId="3EDF4256" w14:textId="44C25CA4">
            <w:pPr>
              <w:rPr>
                <w:rFonts w:asciiTheme="minorHAnsi" w:hAnsiTheme="minorHAnsi" w:cstheme="minorHAnsi"/>
              </w:rPr>
            </w:pPr>
            <w:r w:rsidRPr="007B04EA">
              <w:rPr>
                <w:rFonts w:asciiTheme="minorHAnsi" w:hAnsiTheme="minorHAnsi" w:cstheme="minorHAnsi"/>
              </w:rPr>
              <w:t>Instrument 1: Focus group discussion guide</w:t>
            </w:r>
          </w:p>
        </w:tc>
        <w:tc>
          <w:tcPr>
            <w:tcW w:w="5429" w:type="dxa"/>
          </w:tcPr>
          <w:p w:rsidR="00774E56" w:rsidRPr="007B04EA" w:rsidP="00D80AC2" w14:paraId="1600AC5F" w14:textId="7697E06C">
            <w:pPr>
              <w:rPr>
                <w:rFonts w:asciiTheme="minorHAnsi" w:hAnsiTheme="minorHAnsi" w:cstheme="minorHAnsi"/>
              </w:rPr>
            </w:pPr>
            <w:r w:rsidRPr="007B04EA">
              <w:rPr>
                <w:rFonts w:asciiTheme="minorHAnsi" w:hAnsiTheme="minorHAnsi" w:cstheme="minorHAnsi"/>
                <w:b/>
              </w:rPr>
              <w:t>Respondents</w:t>
            </w:r>
            <w:r w:rsidRPr="007B04EA">
              <w:rPr>
                <w:rFonts w:asciiTheme="minorHAnsi" w:hAnsiTheme="minorHAnsi" w:cstheme="minorHAnsi"/>
              </w:rPr>
              <w:t>: Up to eight parents or caregivers in each of seven focus groups.</w:t>
            </w:r>
          </w:p>
          <w:p w:rsidR="00774E56" w:rsidRPr="007B04EA" w:rsidP="00D80AC2" w14:paraId="32E164CC" w14:textId="77777777">
            <w:pPr>
              <w:rPr>
                <w:rFonts w:asciiTheme="minorHAnsi" w:hAnsiTheme="minorHAnsi" w:cstheme="minorHAnsi"/>
              </w:rPr>
            </w:pPr>
          </w:p>
          <w:p w:rsidR="00774E56" w:rsidRPr="007B04EA" w:rsidP="00D80AC2" w14:paraId="0BE4A700" w14:textId="7B08BE29">
            <w:pPr>
              <w:rPr>
                <w:rFonts w:asciiTheme="minorHAnsi" w:hAnsiTheme="minorHAnsi" w:cstheme="minorHAnsi"/>
              </w:rPr>
            </w:pPr>
            <w:r w:rsidRPr="007B04EA">
              <w:rPr>
                <w:rFonts w:asciiTheme="minorHAnsi" w:hAnsiTheme="minorHAnsi" w:cstheme="minorHAnsi"/>
                <w:b/>
              </w:rPr>
              <w:t>Content</w:t>
            </w:r>
            <w:r w:rsidRPr="007B04EA">
              <w:rPr>
                <w:rFonts w:asciiTheme="minorHAnsi" w:hAnsiTheme="minorHAnsi" w:cstheme="minorHAnsi"/>
              </w:rPr>
              <w:t xml:space="preserve">: </w:t>
            </w:r>
          </w:p>
          <w:p w:rsidR="00774E56" w:rsidRPr="007B04EA" w:rsidP="4C195D4D" w14:paraId="65FF911B" w14:textId="1DACEE5B">
            <w:pPr>
              <w:rPr>
                <w:rFonts w:asciiTheme="minorHAnsi" w:hAnsiTheme="minorHAnsi" w:cstheme="minorBidi"/>
              </w:rPr>
            </w:pPr>
            <w:r w:rsidRPr="007B04EA">
              <w:rPr>
                <w:rFonts w:asciiTheme="minorHAnsi" w:hAnsiTheme="minorHAnsi" w:cstheme="minorBidi"/>
              </w:rPr>
              <w:t>Focus group participant information including gender identity, age, ethnicity, race, number of children and age of children. Parents</w:t>
            </w:r>
            <w:r w:rsidRPr="007B04EA" w:rsidR="006E578C">
              <w:rPr>
                <w:rFonts w:asciiTheme="minorHAnsi" w:hAnsiTheme="minorHAnsi" w:cstheme="minorBidi"/>
              </w:rPr>
              <w:t>’</w:t>
            </w:r>
            <w:r w:rsidRPr="007B04EA">
              <w:rPr>
                <w:rFonts w:asciiTheme="minorHAnsi" w:hAnsiTheme="minorHAnsi" w:cstheme="minorBidi"/>
              </w:rPr>
              <w:t xml:space="preserve"> and </w:t>
            </w:r>
            <w:r w:rsidRPr="007B04EA" w:rsidR="006E578C">
              <w:rPr>
                <w:rFonts w:asciiTheme="minorHAnsi" w:hAnsiTheme="minorHAnsi" w:cstheme="minorBidi"/>
              </w:rPr>
              <w:t>caregivers’</w:t>
            </w:r>
            <w:r w:rsidRPr="007B04EA">
              <w:rPr>
                <w:rFonts w:asciiTheme="minorHAnsi" w:hAnsiTheme="minorHAnsi" w:cstheme="minorBidi"/>
              </w:rPr>
              <w:t xml:space="preserve"> definition of what it means to be doing well. Families’ experiences during and after participation in TANF or an employment or education and training program. Inequities parents and caregivers face as part of their participation in the program. Parents</w:t>
            </w:r>
            <w:r w:rsidRPr="007B04EA" w:rsidR="006E578C">
              <w:rPr>
                <w:rFonts w:asciiTheme="minorHAnsi" w:hAnsiTheme="minorHAnsi" w:cstheme="minorBidi"/>
              </w:rPr>
              <w:t>’</w:t>
            </w:r>
            <w:r w:rsidRPr="007B04EA">
              <w:rPr>
                <w:rFonts w:asciiTheme="minorHAnsi" w:hAnsiTheme="minorHAnsi" w:cstheme="minorBidi"/>
              </w:rPr>
              <w:t xml:space="preserve"> and </w:t>
            </w:r>
            <w:r w:rsidRPr="007B04EA" w:rsidR="006E578C">
              <w:rPr>
                <w:rFonts w:asciiTheme="minorHAnsi" w:hAnsiTheme="minorHAnsi" w:cstheme="minorBidi"/>
              </w:rPr>
              <w:t>caregivers’</w:t>
            </w:r>
            <w:r w:rsidRPr="007B04EA">
              <w:rPr>
                <w:rFonts w:asciiTheme="minorHAnsi" w:hAnsiTheme="minorHAnsi" w:cstheme="minorBidi"/>
              </w:rPr>
              <w:t xml:space="preserve"> participation in a program as it relates </w:t>
            </w:r>
            <w:r w:rsidRPr="007B04EA">
              <w:rPr>
                <w:rFonts w:asciiTheme="minorHAnsi" w:hAnsiTheme="minorHAnsi" w:cstheme="minorBidi"/>
              </w:rPr>
              <w:t>to:</w:t>
            </w:r>
            <w:r w:rsidRPr="007B04EA">
              <w:rPr>
                <w:rFonts w:asciiTheme="minorHAnsi" w:hAnsiTheme="minorHAnsi" w:cstheme="minorBidi"/>
              </w:rPr>
              <w:t xml:space="preserve"> interacting with their family in a healthier and more supportive way; feeling physically, mentally, and emotionally healthier; being connected and safe in their communities; and having a sense of belonging, inclusion, and respect. </w:t>
            </w:r>
          </w:p>
          <w:p w:rsidR="00774E56" w:rsidRPr="007B04EA" w:rsidP="00D80AC2" w14:paraId="1F2EBDCF" w14:textId="77777777">
            <w:pPr>
              <w:rPr>
                <w:rFonts w:asciiTheme="minorHAnsi" w:hAnsiTheme="minorHAnsi" w:cstheme="minorHAnsi"/>
              </w:rPr>
            </w:pPr>
          </w:p>
          <w:p w:rsidR="00774E56" w:rsidRPr="007B04EA" w:rsidP="00D80AC2" w14:paraId="11DAEC14" w14:textId="5FB4C604">
            <w:pPr>
              <w:rPr>
                <w:rFonts w:asciiTheme="minorHAnsi" w:hAnsiTheme="minorHAnsi" w:cstheme="minorHAnsi"/>
              </w:rPr>
            </w:pPr>
            <w:r w:rsidRPr="007B04EA">
              <w:rPr>
                <w:rFonts w:asciiTheme="minorHAnsi" w:hAnsiTheme="minorHAnsi" w:cstheme="minorHAnsi"/>
                <w:b/>
              </w:rPr>
              <w:t>Purpose</w:t>
            </w:r>
            <w:r w:rsidRPr="007B04EA">
              <w:rPr>
                <w:rFonts w:asciiTheme="minorHAnsi" w:hAnsiTheme="minorHAnsi" w:cstheme="minorHAnsi"/>
              </w:rPr>
              <w:t>: To learn about how clients participating in programs and interventions that aim to increase economic security define social well-being and inequities they may face.</w:t>
            </w:r>
          </w:p>
        </w:tc>
        <w:tc>
          <w:tcPr>
            <w:tcW w:w="2070" w:type="dxa"/>
          </w:tcPr>
          <w:p w:rsidR="00774E56" w:rsidRPr="007B04EA" w:rsidP="00D80AC2" w14:paraId="169F7FD4" w14:textId="425F995A">
            <w:pPr>
              <w:rPr>
                <w:rFonts w:asciiTheme="minorHAnsi" w:hAnsiTheme="minorHAnsi" w:cstheme="minorHAnsi"/>
              </w:rPr>
            </w:pPr>
            <w:r w:rsidRPr="007B04EA">
              <w:rPr>
                <w:rFonts w:asciiTheme="minorHAnsi" w:hAnsiTheme="minorHAnsi" w:cstheme="minorHAnsi"/>
                <w:b/>
              </w:rPr>
              <w:t>Mode</w:t>
            </w:r>
            <w:r w:rsidRPr="007B04EA">
              <w:rPr>
                <w:rFonts w:asciiTheme="minorHAnsi" w:hAnsiTheme="minorHAnsi" w:cstheme="minorHAnsi"/>
              </w:rPr>
              <w:t>: In-person and virtual focus groups</w:t>
            </w:r>
          </w:p>
          <w:p w:rsidR="00774E56" w:rsidRPr="007B04EA" w:rsidP="00D80AC2" w14:paraId="7FF7A335" w14:textId="77777777">
            <w:pPr>
              <w:rPr>
                <w:rFonts w:asciiTheme="minorHAnsi" w:hAnsiTheme="minorHAnsi" w:cstheme="minorHAnsi"/>
              </w:rPr>
            </w:pPr>
          </w:p>
          <w:p w:rsidR="00774E56" w:rsidRPr="007B04EA" w:rsidP="4C195D4D" w14:paraId="5A3D1520" w14:textId="242AA9D9">
            <w:pPr>
              <w:rPr>
                <w:rFonts w:asciiTheme="minorHAnsi" w:hAnsiTheme="minorHAnsi" w:cstheme="minorBidi"/>
              </w:rPr>
            </w:pPr>
            <w:r w:rsidRPr="007B04EA">
              <w:rPr>
                <w:rFonts w:asciiTheme="minorHAnsi" w:hAnsiTheme="minorHAnsi" w:cstheme="minorBidi"/>
                <w:b/>
                <w:bCs/>
              </w:rPr>
              <w:t>Duration</w:t>
            </w:r>
            <w:r w:rsidRPr="007B04EA">
              <w:rPr>
                <w:rFonts w:asciiTheme="minorHAnsi" w:hAnsiTheme="minorHAnsi" w:cstheme="minorBidi"/>
              </w:rPr>
              <w:t>: 90 minutes per group</w:t>
            </w:r>
          </w:p>
        </w:tc>
      </w:tr>
    </w:tbl>
    <w:p w:rsidR="004328A4" w:rsidRPr="007B04EA" w:rsidP="00DF1291" w14:paraId="6EF7AE4F" w14:textId="27A95D57">
      <w:pPr>
        <w:spacing w:after="0" w:line="240" w:lineRule="auto"/>
        <w:rPr>
          <w:i/>
        </w:rPr>
      </w:pPr>
    </w:p>
    <w:p w:rsidR="004328A4" w:rsidRPr="007B04EA" w:rsidP="00896B4E" w14:paraId="6B7E22CE" w14:textId="14554C6B">
      <w:pPr>
        <w:spacing w:after="120" w:line="240" w:lineRule="auto"/>
        <w:rPr>
          <w:i/>
        </w:rPr>
      </w:pPr>
      <w:r w:rsidRPr="007B04EA">
        <w:rPr>
          <w:i/>
        </w:rPr>
        <w:t>Other Data Sources and Uses of Information</w:t>
      </w:r>
    </w:p>
    <w:p w:rsidR="007D0F6E" w:rsidRPr="007B04EA" w:rsidP="007D0F6E" w14:paraId="6B426E89" w14:textId="26963231">
      <w:pPr>
        <w:spacing w:after="0" w:line="240" w:lineRule="auto"/>
      </w:pPr>
      <w:r w:rsidRPr="007B04EA">
        <w:t>There are no other data sources</w:t>
      </w:r>
      <w:r w:rsidRPr="007B04EA" w:rsidR="00795B1F">
        <w:t xml:space="preserve"> for this data collection</w:t>
      </w:r>
      <w:r w:rsidRPr="007B04EA">
        <w:t>.</w:t>
      </w:r>
      <w:r w:rsidRPr="007B04EA" w:rsidR="00FE6334">
        <w:t xml:space="preserve"> This data collection will inform the development of the conceptual framework, which is referenced above.</w:t>
      </w:r>
    </w:p>
    <w:p w:rsidR="00CB1F9B" w:rsidRPr="007B04EA" w:rsidP="007D0F6E" w14:paraId="3D73964B" w14:textId="296A5B26">
      <w:pPr>
        <w:spacing w:after="0" w:line="240" w:lineRule="auto"/>
      </w:pPr>
    </w:p>
    <w:p w:rsidR="004D66BF" w:rsidRPr="007B04EA" w:rsidP="007D0F6E" w14:paraId="70377ADF" w14:textId="77777777">
      <w:pPr>
        <w:spacing w:after="0" w:line="240" w:lineRule="auto"/>
      </w:pPr>
    </w:p>
    <w:p w:rsidR="007D0F6E" w:rsidRPr="007B04EA" w:rsidP="007D0F6E" w14:paraId="14276DBE" w14:textId="517D48DC">
      <w:pPr>
        <w:spacing w:after="120" w:line="240" w:lineRule="auto"/>
        <w:rPr>
          <w:b/>
        </w:rPr>
      </w:pPr>
      <w:r w:rsidRPr="007B04EA">
        <w:rPr>
          <w:b/>
        </w:rPr>
        <w:t>A3</w:t>
      </w:r>
      <w:r w:rsidRPr="007B04EA">
        <w:t>.</w:t>
      </w:r>
      <w:r w:rsidRPr="007B04EA">
        <w:tab/>
      </w:r>
      <w:r w:rsidRPr="007B04EA" w:rsidR="004E5778">
        <w:rPr>
          <w:b/>
        </w:rPr>
        <w:t>Use of Information Technology to Reduce Burden</w:t>
      </w:r>
    </w:p>
    <w:p w:rsidR="00852B88" w:rsidRPr="007B04EA" w:rsidP="00852B88" w14:paraId="19CA1A0E" w14:textId="58767FB2">
      <w:pPr>
        <w:spacing w:after="0" w:line="240" w:lineRule="auto"/>
        <w:rPr>
          <w:bCs/>
        </w:rPr>
      </w:pPr>
      <w:r w:rsidRPr="007B04EA">
        <w:rPr>
          <w:rFonts w:cstheme="minorHAnsi"/>
        </w:rPr>
        <w:t xml:space="preserve">The proposed parent </w:t>
      </w:r>
      <w:r w:rsidRPr="007B04EA" w:rsidR="00542098">
        <w:rPr>
          <w:rFonts w:cstheme="minorHAnsi"/>
        </w:rPr>
        <w:t xml:space="preserve">and caregiver </w:t>
      </w:r>
      <w:r w:rsidRPr="007B04EA">
        <w:rPr>
          <w:rFonts w:cstheme="minorHAnsi"/>
        </w:rPr>
        <w:t>focus groups will be conducted either in-person or virtually through</w:t>
      </w:r>
      <w:r w:rsidRPr="007B04EA" w:rsidR="00DE3037">
        <w:rPr>
          <w:rFonts w:cstheme="minorHAnsi"/>
        </w:rPr>
        <w:t xml:space="preserve"> Zoom</w:t>
      </w:r>
      <w:r w:rsidRPr="007B04EA">
        <w:rPr>
          <w:rFonts w:cstheme="minorHAnsi"/>
        </w:rPr>
        <w:t xml:space="preserve">. The use of technology in this case is intended to both reduce burden on respondents and address potential participant concerns related to COVID-19. </w:t>
      </w:r>
      <w:r w:rsidRPr="007B04EA">
        <w:rPr>
          <w:bCs/>
        </w:rPr>
        <w:t>The research team will audio</w:t>
      </w:r>
      <w:r w:rsidRPr="007B04EA" w:rsidR="00506B3A">
        <w:rPr>
          <w:bCs/>
        </w:rPr>
        <w:t>-</w:t>
      </w:r>
      <w:r w:rsidRPr="007B04EA">
        <w:rPr>
          <w:bCs/>
        </w:rPr>
        <w:t>record focus groups, with the permission of the respondents, in order to assist with written note-taking.</w:t>
      </w:r>
    </w:p>
    <w:p w:rsidR="00721395" w:rsidRPr="007B04EA" w:rsidP="00DF1291" w14:paraId="2D524AAA" w14:textId="4DD1CED5">
      <w:pPr>
        <w:pStyle w:val="ListParagraph"/>
        <w:spacing w:after="0" w:line="240" w:lineRule="auto"/>
        <w:ind w:left="360"/>
      </w:pPr>
    </w:p>
    <w:p w:rsidR="005B5FCC" w:rsidRPr="007B04EA" w:rsidP="00DF1291" w14:paraId="3BD5DB6D" w14:textId="77777777">
      <w:pPr>
        <w:pStyle w:val="ListParagraph"/>
        <w:spacing w:after="0" w:line="240" w:lineRule="auto"/>
        <w:ind w:left="360"/>
      </w:pPr>
    </w:p>
    <w:p w:rsidR="00891CD9" w:rsidRPr="007B04EA" w:rsidP="007D0F6E" w14:paraId="1F639D74" w14:textId="4176EB33">
      <w:pPr>
        <w:spacing w:after="120" w:line="240" w:lineRule="auto"/>
        <w:ind w:left="720" w:hanging="720"/>
        <w:rPr>
          <w:b/>
        </w:rPr>
      </w:pPr>
      <w:r w:rsidRPr="007B04EA">
        <w:rPr>
          <w:b/>
        </w:rPr>
        <w:t>A4</w:t>
      </w:r>
      <w:r w:rsidRPr="007B04EA">
        <w:t>.</w:t>
      </w:r>
      <w:r w:rsidRPr="007B04EA">
        <w:tab/>
      </w:r>
      <w:r w:rsidRPr="007B04EA" w:rsidR="004E5778">
        <w:rPr>
          <w:b/>
        </w:rPr>
        <w:t xml:space="preserve">Use of Existing Data: </w:t>
      </w:r>
      <w:r w:rsidRPr="007B04EA" w:rsidR="0068303E">
        <w:rPr>
          <w:b/>
        </w:rPr>
        <w:t>E</w:t>
      </w:r>
      <w:r w:rsidRPr="007B04EA" w:rsidR="00CC4651">
        <w:rPr>
          <w:b/>
        </w:rPr>
        <w:t>fforts to</w:t>
      </w:r>
      <w:r w:rsidRPr="007B04EA">
        <w:rPr>
          <w:b/>
        </w:rPr>
        <w:t xml:space="preserve"> reduce duplication</w:t>
      </w:r>
      <w:r w:rsidRPr="007B04EA" w:rsidR="009A3AD8">
        <w:rPr>
          <w:b/>
        </w:rPr>
        <w:t>,</w:t>
      </w:r>
      <w:r w:rsidRPr="007B04EA" w:rsidR="00EA0D4F">
        <w:rPr>
          <w:b/>
        </w:rPr>
        <w:t xml:space="preserve"> minimize burden</w:t>
      </w:r>
      <w:r w:rsidRPr="007B04EA" w:rsidR="009A3AD8">
        <w:rPr>
          <w:b/>
        </w:rPr>
        <w:t>,</w:t>
      </w:r>
      <w:r w:rsidRPr="007B04EA" w:rsidR="00A03E3F">
        <w:rPr>
          <w:b/>
        </w:rPr>
        <w:t xml:space="preserve"> and</w:t>
      </w:r>
      <w:r w:rsidRPr="007B04EA" w:rsidR="00EA0D4F">
        <w:rPr>
          <w:b/>
        </w:rPr>
        <w:t xml:space="preserve"> increase</w:t>
      </w:r>
      <w:r w:rsidRPr="007B04EA" w:rsidR="00D55767">
        <w:rPr>
          <w:b/>
        </w:rPr>
        <w:t xml:space="preserve"> utility and</w:t>
      </w:r>
      <w:r w:rsidRPr="007B04EA" w:rsidR="00EA0D4F">
        <w:rPr>
          <w:b/>
        </w:rPr>
        <w:t xml:space="preserve"> government </w:t>
      </w:r>
      <w:r w:rsidRPr="007B04EA" w:rsidR="00591283">
        <w:rPr>
          <w:b/>
        </w:rPr>
        <w:t>efficiency</w:t>
      </w:r>
    </w:p>
    <w:p w:rsidR="00B9441B" w:rsidRPr="007B04EA" w:rsidP="00FE3BC1" w14:paraId="5993A0F6" w14:textId="0E40CD96">
      <w:pPr>
        <w:pStyle w:val="Feature1ListHead"/>
        <w:rPr>
          <w:b w:val="0"/>
          <w:bCs/>
        </w:rPr>
      </w:pPr>
      <w:r w:rsidRPr="007B04EA">
        <w:rPr>
          <w:b w:val="0"/>
          <w:bCs/>
        </w:rPr>
        <w:t xml:space="preserve">Based on consultations with experts and federal </w:t>
      </w:r>
      <w:r w:rsidRPr="007B04EA" w:rsidR="003846A9">
        <w:rPr>
          <w:b w:val="0"/>
          <w:bCs/>
        </w:rPr>
        <w:t>staff</w:t>
      </w:r>
      <w:r w:rsidRPr="007B04EA">
        <w:rPr>
          <w:b w:val="0"/>
          <w:bCs/>
        </w:rPr>
        <w:t xml:space="preserve">, we are not aware of any existing data that would meet the goals of this </w:t>
      </w:r>
      <w:r w:rsidRPr="007B04EA" w:rsidR="00FA725F">
        <w:rPr>
          <w:b w:val="0"/>
          <w:bCs/>
        </w:rPr>
        <w:t>GenIC</w:t>
      </w:r>
      <w:r w:rsidRPr="007B04EA">
        <w:rPr>
          <w:b w:val="0"/>
          <w:bCs/>
        </w:rPr>
        <w:t>.</w:t>
      </w:r>
      <w:r w:rsidRPr="007B04EA">
        <w:t xml:space="preserve"> </w:t>
      </w:r>
      <w:r w:rsidRPr="007B04EA" w:rsidR="005E0123">
        <w:rPr>
          <w:b w:val="0"/>
          <w:bCs/>
        </w:rPr>
        <w:t xml:space="preserve">The focus groups we propose conducting will collect information that is </w:t>
      </w:r>
      <w:r w:rsidRPr="007B04EA" w:rsidR="005E0123">
        <w:rPr>
          <w:b w:val="0"/>
          <w:bCs/>
        </w:rPr>
        <w:t>not available from any other data source.</w:t>
      </w:r>
      <w:r w:rsidRPr="007B04EA" w:rsidR="0031482C">
        <w:rPr>
          <w:b w:val="0"/>
          <w:bCs/>
        </w:rPr>
        <w:t xml:space="preserve"> </w:t>
      </w:r>
      <w:r w:rsidRPr="007B04EA" w:rsidR="005A7AF6">
        <w:rPr>
          <w:b w:val="0"/>
          <w:bCs/>
        </w:rPr>
        <w:t>While other sources of information across the project will inform the conceptual framework, no other sources currently exist that will provide the information we will collect from the focus groups</w:t>
      </w:r>
      <w:r w:rsidRPr="007B04EA" w:rsidR="00B77ABC">
        <w:rPr>
          <w:b w:val="0"/>
          <w:bCs/>
        </w:rPr>
        <w:t xml:space="preserve"> (families’ perspectives on their well</w:t>
      </w:r>
      <w:r w:rsidRPr="007B04EA" w:rsidR="00632B51">
        <w:rPr>
          <w:b w:val="0"/>
          <w:bCs/>
        </w:rPr>
        <w:t>-</w:t>
      </w:r>
      <w:r w:rsidRPr="007B04EA" w:rsidR="00B77ABC">
        <w:rPr>
          <w:b w:val="0"/>
          <w:bCs/>
        </w:rPr>
        <w:t>being as it relates to participation in TANF and related programs)</w:t>
      </w:r>
      <w:r w:rsidRPr="007B04EA" w:rsidR="005A7AF6">
        <w:rPr>
          <w:b w:val="0"/>
          <w:bCs/>
        </w:rPr>
        <w:t>.</w:t>
      </w:r>
    </w:p>
    <w:p w:rsidR="003C3CFE" w:rsidRPr="007B04EA" w:rsidP="00060B30" w14:paraId="2F53BC99" w14:textId="77777777">
      <w:pPr>
        <w:spacing w:after="120" w:line="240" w:lineRule="auto"/>
        <w:rPr>
          <w:b/>
        </w:rPr>
      </w:pPr>
    </w:p>
    <w:p w:rsidR="00B9441B" w:rsidRPr="007B04EA" w:rsidP="00060B30" w14:paraId="0F92E2E6" w14:textId="5B78409D">
      <w:pPr>
        <w:spacing w:after="120" w:line="240" w:lineRule="auto"/>
      </w:pPr>
      <w:r w:rsidRPr="007B04EA">
        <w:rPr>
          <w:b/>
        </w:rPr>
        <w:t>A5</w:t>
      </w:r>
      <w:r w:rsidRPr="007B04EA">
        <w:t>.</w:t>
      </w:r>
      <w:r w:rsidRPr="007B04EA">
        <w:tab/>
      </w:r>
      <w:r w:rsidRPr="007B04EA" w:rsidR="004E5778">
        <w:rPr>
          <w:b/>
        </w:rPr>
        <w:t>Impact on Small Businesses</w:t>
      </w:r>
      <w:r w:rsidRPr="007B04EA" w:rsidR="004E5778">
        <w:t xml:space="preserve"> </w:t>
      </w:r>
    </w:p>
    <w:p w:rsidR="00060B30" w:rsidRPr="007B04EA" w:rsidP="00DF1291" w14:paraId="58C652C0" w14:textId="671BB3A1">
      <w:pPr>
        <w:spacing w:after="0" w:line="240" w:lineRule="auto"/>
      </w:pPr>
      <w:r w:rsidRPr="007B04EA">
        <w:t xml:space="preserve">No small businesses will be involved with this </w:t>
      </w:r>
      <w:r w:rsidRPr="007B04EA" w:rsidR="00FA725F">
        <w:t>GenIC</w:t>
      </w:r>
      <w:r w:rsidRPr="007B04EA">
        <w:t>.</w:t>
      </w:r>
    </w:p>
    <w:p w:rsidR="005B5FCC" w:rsidRPr="007B04EA" w:rsidP="00DF1291" w14:paraId="373D68B1" w14:textId="0528484C">
      <w:pPr>
        <w:spacing w:after="0" w:line="240" w:lineRule="auto"/>
      </w:pPr>
    </w:p>
    <w:p w:rsidR="00CC4651" w:rsidRPr="007B04EA" w:rsidP="00060B30" w14:paraId="0B3334AC" w14:textId="21F6590C">
      <w:pPr>
        <w:spacing w:after="120"/>
      </w:pPr>
      <w:r w:rsidRPr="007B04EA">
        <w:rPr>
          <w:b/>
        </w:rPr>
        <w:t>A6</w:t>
      </w:r>
      <w:r w:rsidRPr="007B04EA">
        <w:t>.</w:t>
      </w:r>
      <w:r w:rsidRPr="007B04EA">
        <w:tab/>
      </w:r>
      <w:r w:rsidRPr="007B04EA" w:rsidR="004E5778">
        <w:rPr>
          <w:b/>
        </w:rPr>
        <w:t>Consequences of Less Frequent Collection</w:t>
      </w:r>
      <w:r w:rsidRPr="007B04EA" w:rsidR="001253F4">
        <w:t xml:space="preserve"> </w:t>
      </w:r>
    </w:p>
    <w:p w:rsidR="00A56871" w:rsidRPr="007B04EA" w:rsidP="00A56871" w14:paraId="1652ADBB" w14:textId="39EC237F">
      <w:pPr>
        <w:spacing w:after="0"/>
      </w:pPr>
      <w:r w:rsidRPr="007B04EA">
        <w:t>This is a one-time data collection.</w:t>
      </w:r>
    </w:p>
    <w:p w:rsidR="00A56871" w:rsidRPr="007B04EA" w:rsidP="00A56871" w14:paraId="331AA258" w14:textId="77777777">
      <w:pPr>
        <w:spacing w:after="0"/>
      </w:pPr>
    </w:p>
    <w:p w:rsidR="008267B4" w:rsidRPr="007B04EA" w:rsidP="003C3CFE" w14:paraId="064ED048" w14:textId="300218A5">
      <w:pPr>
        <w:spacing w:after="120" w:line="240" w:lineRule="auto"/>
        <w:rPr>
          <w:b/>
        </w:rPr>
      </w:pPr>
      <w:r w:rsidRPr="007B04EA">
        <w:rPr>
          <w:b/>
        </w:rPr>
        <w:t>A7</w:t>
      </w:r>
      <w:r w:rsidRPr="007B04EA">
        <w:t>.</w:t>
      </w:r>
      <w:r w:rsidRPr="007B04EA">
        <w:tab/>
      </w:r>
      <w:r w:rsidRPr="007B04EA" w:rsidR="00B9441B">
        <w:rPr>
          <w:b/>
        </w:rPr>
        <w:t>Now subsumed under 2(b) above and 10 (below)</w:t>
      </w:r>
    </w:p>
    <w:p w:rsidR="008267B4" w:rsidRPr="007B04EA" w:rsidP="008267B4" w14:paraId="07720509" w14:textId="77777777">
      <w:pPr>
        <w:spacing w:after="0" w:line="240" w:lineRule="auto"/>
        <w:rPr>
          <w:b/>
        </w:rPr>
      </w:pPr>
    </w:p>
    <w:p w:rsidR="00B9441B" w:rsidRPr="007B04EA" w:rsidP="00060B30" w14:paraId="3B6F8604" w14:textId="28A5BD20">
      <w:pPr>
        <w:spacing w:after="120"/>
        <w:rPr>
          <w:b/>
        </w:rPr>
      </w:pPr>
      <w:r w:rsidRPr="007B04EA">
        <w:rPr>
          <w:b/>
        </w:rPr>
        <w:t>A8</w:t>
      </w:r>
      <w:r w:rsidRPr="007B04EA">
        <w:t>.</w:t>
      </w:r>
      <w:r w:rsidRPr="007B04EA">
        <w:tab/>
      </w:r>
      <w:r w:rsidRPr="007B04EA">
        <w:rPr>
          <w:b/>
        </w:rPr>
        <w:t>Consultation</w:t>
      </w:r>
    </w:p>
    <w:p w:rsidR="00060B30" w:rsidRPr="007B04EA" w:rsidP="00896B4E" w14:paraId="2F3836D2" w14:textId="77777777">
      <w:pPr>
        <w:spacing w:after="120"/>
        <w:rPr>
          <w:i/>
        </w:rPr>
      </w:pPr>
      <w:r w:rsidRPr="007B04EA">
        <w:rPr>
          <w:i/>
        </w:rPr>
        <w:t>Federal Register Notice and Comments</w:t>
      </w:r>
    </w:p>
    <w:p w:rsidR="00014EDC" w:rsidRPr="007B04EA" w:rsidP="00453A86" w14:paraId="59ED9214" w14:textId="24C8A2A9">
      <w:pPr>
        <w:spacing w:after="0"/>
      </w:pPr>
      <w:r w:rsidRPr="007B04EA">
        <w:t xml:space="preserve">In accordance with the Paperwork Reduction Act of 1995 (Pub. L. 104-13) and Office of Management and Budget (OMB) regulations at 5 CFR Part 1320 (60 FR 44978, August 29, 1995), ACF published </w:t>
      </w:r>
      <w:r w:rsidRPr="007B04EA" w:rsidR="00405075">
        <w:t xml:space="preserve">two </w:t>
      </w:r>
      <w:r w:rsidRPr="007B04EA">
        <w:t>notice</w:t>
      </w:r>
      <w:r w:rsidRPr="007B04EA" w:rsidR="00405075">
        <w:t>s</w:t>
      </w:r>
      <w:r w:rsidRPr="007B04EA">
        <w:t xml:space="preserve"> in the Federal Register announcing the agency’s intention to request an OMB review of the overarching generic clearance for formative information collection. This </w:t>
      </w:r>
      <w:r w:rsidRPr="007B04EA" w:rsidR="00405075">
        <w:t xml:space="preserve">first </w:t>
      </w:r>
      <w:r w:rsidRPr="007B04EA">
        <w:t xml:space="preserve">notice was published on </w:t>
      </w:r>
      <w:r w:rsidRPr="007B04EA" w:rsidR="00E271B3">
        <w:t>November 3, 2020, Volume 85</w:t>
      </w:r>
      <w:r w:rsidRPr="007B04EA">
        <w:t xml:space="preserve">, Number </w:t>
      </w:r>
      <w:r w:rsidRPr="007B04EA" w:rsidR="00E271B3">
        <w:t>2</w:t>
      </w:r>
      <w:r w:rsidRPr="007B04EA">
        <w:t>1</w:t>
      </w:r>
      <w:r w:rsidRPr="007B04EA" w:rsidR="00E271B3">
        <w:t>3</w:t>
      </w:r>
      <w:r w:rsidRPr="007B04EA">
        <w:t xml:space="preserve">, page </w:t>
      </w:r>
      <w:r w:rsidRPr="007B04EA" w:rsidR="00E271B3">
        <w:t>69627</w:t>
      </w:r>
      <w:r w:rsidRPr="007B04EA">
        <w:t xml:space="preserve">, and provided a sixty-day period for public comment. </w:t>
      </w:r>
      <w:r w:rsidRPr="007B04EA" w:rsidR="00405075">
        <w:t>The second notice published on January 11, 2021, Volume 86, Number 6, page 1978, and provided a thirty-day period for public comment. ACF did not receive any substantive comments</w:t>
      </w:r>
      <w:r w:rsidRPr="007B04EA">
        <w:t xml:space="preserve">. </w:t>
      </w:r>
    </w:p>
    <w:p w:rsidR="00453A86" w:rsidRPr="007B04EA" w:rsidP="00453A86" w14:paraId="4014F733" w14:textId="77777777">
      <w:pPr>
        <w:spacing w:after="0"/>
      </w:pPr>
    </w:p>
    <w:p w:rsidR="00060B30" w:rsidRPr="007B04EA" w:rsidP="00896B4E" w14:paraId="678F3F3E" w14:textId="27A73926">
      <w:pPr>
        <w:pStyle w:val="Heading4"/>
        <w:spacing w:before="0" w:after="120"/>
        <w:rPr>
          <w:rFonts w:asciiTheme="minorHAnsi" w:hAnsiTheme="minorHAnsi" w:cstheme="minorHAnsi"/>
          <w:b w:val="0"/>
          <w:i/>
          <w:sz w:val="22"/>
          <w:szCs w:val="22"/>
        </w:rPr>
      </w:pPr>
      <w:r w:rsidRPr="007B04EA">
        <w:rPr>
          <w:rFonts w:asciiTheme="minorHAnsi" w:hAnsiTheme="minorHAnsi" w:cstheme="minorHAnsi"/>
          <w:b w:val="0"/>
          <w:i/>
          <w:sz w:val="22"/>
          <w:szCs w:val="22"/>
        </w:rPr>
        <w:t>Consultation with Experts Outside of the Study</w:t>
      </w:r>
    </w:p>
    <w:p w:rsidR="00C76CAE" w:rsidRPr="007B04EA" w:rsidP="00C76CAE" w14:paraId="55481C61" w14:textId="2E764AE0">
      <w:r w:rsidRPr="007B04EA">
        <w:t xml:space="preserve">The study consulted with several outside experts on the </w:t>
      </w:r>
      <w:r w:rsidRPr="007B04EA" w:rsidR="00F809A7">
        <w:t>research question</w:t>
      </w:r>
      <w:r w:rsidRPr="007B04EA" w:rsidR="005803AA">
        <w:t>s</w:t>
      </w:r>
      <w:r w:rsidRPr="007B04EA" w:rsidR="00F809A7">
        <w:t xml:space="preserve"> and </w:t>
      </w:r>
      <w:r w:rsidRPr="007B04EA">
        <w:t>study design</w:t>
      </w:r>
      <w:r w:rsidRPr="007B04EA" w:rsidR="00F809A7">
        <w:t>. One</w:t>
      </w:r>
      <w:r w:rsidRPr="007B04EA" w:rsidR="00386607">
        <w:t xml:space="preserve"> </w:t>
      </w:r>
      <w:r w:rsidRPr="007B04EA" w:rsidR="00F809A7">
        <w:t>expert reviewed the</w:t>
      </w:r>
      <w:r w:rsidRPr="007B04EA">
        <w:t xml:space="preserve"> </w:t>
      </w:r>
      <w:r w:rsidRPr="007B04EA" w:rsidR="00EC3098">
        <w:t>focus group discussion guide</w:t>
      </w:r>
      <w:r w:rsidRPr="007B04EA">
        <w:t xml:space="preserve">. </w:t>
      </w:r>
      <w:r w:rsidRPr="007B04EA" w:rsidR="00F144F3">
        <w:t>There are two parents on our expert group and w</w:t>
      </w:r>
      <w:r w:rsidRPr="007B04EA" w:rsidR="005A7AF6">
        <w:t xml:space="preserve">e asked one parent, who </w:t>
      </w:r>
      <w:r w:rsidRPr="007B04EA" w:rsidR="00F144F3">
        <w:t>was a</w:t>
      </w:r>
      <w:r w:rsidRPr="007B04EA" w:rsidR="005A7AF6">
        <w:t xml:space="preserve"> former </w:t>
      </w:r>
      <w:r w:rsidRPr="007B04EA" w:rsidR="00632B51">
        <w:t xml:space="preserve">TANF </w:t>
      </w:r>
      <w:r w:rsidRPr="007B04EA" w:rsidR="005A7AF6">
        <w:t>program participant</w:t>
      </w:r>
      <w:r w:rsidRPr="007B04EA" w:rsidR="00F144F3">
        <w:t>,</w:t>
      </w:r>
      <w:r w:rsidRPr="007B04EA" w:rsidR="005A7AF6">
        <w:t xml:space="preserve"> to provide input and make suggestions. </w:t>
      </w:r>
      <w:r w:rsidRPr="007B04EA">
        <w:t>The experts are listed in Table A8.1.</w:t>
      </w:r>
    </w:p>
    <w:p w:rsidR="00C76CAE" w:rsidRPr="007B04EA" w:rsidP="004D66BF" w14:paraId="5A5A20F6" w14:textId="6BEFC116">
      <w:pPr>
        <w:spacing w:after="120"/>
      </w:pPr>
      <w:r w:rsidRPr="007B04EA">
        <w:t>Table A8.1. List of Experts Consulted</w:t>
      </w:r>
    </w:p>
    <w:tbl>
      <w:tblPr>
        <w:tblStyle w:val="TableGrid"/>
        <w:tblW w:w="0" w:type="auto"/>
        <w:tblLook w:val="04A0"/>
      </w:tblPr>
      <w:tblGrid>
        <w:gridCol w:w="2515"/>
        <w:gridCol w:w="4680"/>
      </w:tblGrid>
      <w:tr w14:paraId="11755D51" w14:textId="77777777" w:rsidTr="00D80AC2">
        <w:tblPrEx>
          <w:tblW w:w="0" w:type="auto"/>
          <w:tblLook w:val="04A0"/>
        </w:tblPrEx>
        <w:tc>
          <w:tcPr>
            <w:tcW w:w="2515" w:type="dxa"/>
            <w:shd w:val="clear" w:color="auto" w:fill="D9D9D9" w:themeFill="background1" w:themeFillShade="D9"/>
          </w:tcPr>
          <w:p w:rsidR="00C76CAE" w:rsidRPr="007B04EA" w:rsidP="00D80AC2" w14:paraId="1B888A26" w14:textId="77777777">
            <w:pPr>
              <w:rPr>
                <w:rFonts w:asciiTheme="minorHAnsi" w:hAnsiTheme="minorHAnsi" w:cstheme="minorHAnsi"/>
                <w:b/>
                <w:bCs/>
                <w:sz w:val="22"/>
                <w:szCs w:val="22"/>
              </w:rPr>
            </w:pPr>
            <w:r w:rsidRPr="007B04EA">
              <w:rPr>
                <w:rFonts w:asciiTheme="minorHAnsi" w:hAnsiTheme="minorHAnsi" w:cstheme="minorHAnsi"/>
                <w:b/>
                <w:bCs/>
                <w:sz w:val="22"/>
                <w:szCs w:val="22"/>
              </w:rPr>
              <w:t>Name</w:t>
            </w:r>
          </w:p>
        </w:tc>
        <w:tc>
          <w:tcPr>
            <w:tcW w:w="4680" w:type="dxa"/>
            <w:shd w:val="clear" w:color="auto" w:fill="D9D9D9" w:themeFill="background1" w:themeFillShade="D9"/>
          </w:tcPr>
          <w:p w:rsidR="00C76CAE" w:rsidRPr="007B04EA" w:rsidP="00D80AC2" w14:paraId="60289F55" w14:textId="77777777">
            <w:pPr>
              <w:rPr>
                <w:rFonts w:asciiTheme="minorHAnsi" w:hAnsiTheme="minorHAnsi" w:cstheme="minorHAnsi"/>
                <w:b/>
                <w:bCs/>
                <w:sz w:val="22"/>
                <w:szCs w:val="22"/>
              </w:rPr>
            </w:pPr>
            <w:r w:rsidRPr="007B04EA">
              <w:rPr>
                <w:rFonts w:asciiTheme="minorHAnsi" w:hAnsiTheme="minorHAnsi" w:cstheme="minorHAnsi"/>
                <w:b/>
                <w:bCs/>
                <w:sz w:val="22"/>
                <w:szCs w:val="22"/>
              </w:rPr>
              <w:t>Affiliation</w:t>
            </w:r>
          </w:p>
        </w:tc>
      </w:tr>
      <w:tr w14:paraId="0C86C5EE" w14:textId="77777777" w:rsidTr="00D80AC2">
        <w:tblPrEx>
          <w:tblW w:w="0" w:type="auto"/>
          <w:tblLook w:val="04A0"/>
        </w:tblPrEx>
        <w:tc>
          <w:tcPr>
            <w:tcW w:w="2515" w:type="dxa"/>
          </w:tcPr>
          <w:p w:rsidR="00C76CAE" w:rsidRPr="007B04EA" w:rsidP="00D80AC2" w14:paraId="5E89B34E" w14:textId="75446C8D">
            <w:pPr>
              <w:rPr>
                <w:rFonts w:asciiTheme="minorHAnsi" w:hAnsiTheme="minorHAnsi" w:cstheme="minorHAnsi"/>
                <w:sz w:val="22"/>
                <w:szCs w:val="22"/>
              </w:rPr>
            </w:pPr>
            <w:r w:rsidRPr="007B04EA">
              <w:rPr>
                <w:rFonts w:asciiTheme="minorHAnsi" w:hAnsiTheme="minorHAnsi" w:cstheme="minorHAnsi"/>
                <w:sz w:val="22"/>
                <w:szCs w:val="22"/>
              </w:rPr>
              <w:t>Danielle Bohannan</w:t>
            </w:r>
          </w:p>
        </w:tc>
        <w:tc>
          <w:tcPr>
            <w:tcW w:w="4680" w:type="dxa"/>
          </w:tcPr>
          <w:p w:rsidR="00C76CAE" w:rsidRPr="007B04EA" w:rsidP="00D80AC2" w14:paraId="63B0B118" w14:textId="612A2687">
            <w:pPr>
              <w:rPr>
                <w:rFonts w:asciiTheme="minorHAnsi" w:hAnsiTheme="minorHAnsi" w:cstheme="minorHAnsi"/>
                <w:sz w:val="22"/>
                <w:szCs w:val="22"/>
              </w:rPr>
            </w:pPr>
            <w:r w:rsidRPr="007B04EA">
              <w:rPr>
                <w:rFonts w:asciiTheme="minorHAnsi" w:hAnsiTheme="minorHAnsi" w:cstheme="minorHAnsi"/>
                <w:sz w:val="22"/>
                <w:szCs w:val="22"/>
              </w:rPr>
              <w:t>Colorado Family Voice Council</w:t>
            </w:r>
          </w:p>
        </w:tc>
      </w:tr>
      <w:tr w14:paraId="31E51E5B" w14:textId="77777777" w:rsidTr="00D80AC2">
        <w:tblPrEx>
          <w:tblW w:w="0" w:type="auto"/>
          <w:tblLook w:val="04A0"/>
        </w:tblPrEx>
        <w:tc>
          <w:tcPr>
            <w:tcW w:w="2515" w:type="dxa"/>
          </w:tcPr>
          <w:p w:rsidR="00C76CAE" w:rsidRPr="007B04EA" w:rsidP="00C76CAE" w14:paraId="6929808C" w14:textId="37F62FE4">
            <w:pPr>
              <w:rPr>
                <w:rFonts w:asciiTheme="minorHAnsi" w:hAnsiTheme="minorHAnsi" w:cstheme="minorHAnsi"/>
                <w:sz w:val="22"/>
                <w:szCs w:val="22"/>
              </w:rPr>
            </w:pPr>
            <w:r w:rsidRPr="007B04EA">
              <w:rPr>
                <w:rFonts w:asciiTheme="minorHAnsi" w:hAnsiTheme="minorHAnsi" w:cstheme="minorHAnsi"/>
                <w:sz w:val="22"/>
                <w:szCs w:val="22"/>
              </w:rPr>
              <w:t>Natasha Cabrera</w:t>
            </w:r>
          </w:p>
        </w:tc>
        <w:tc>
          <w:tcPr>
            <w:tcW w:w="4680" w:type="dxa"/>
          </w:tcPr>
          <w:p w:rsidR="00C76CAE" w:rsidRPr="007B04EA" w:rsidP="00C76CAE" w14:paraId="78355AB1" w14:textId="7A980F46">
            <w:pPr>
              <w:rPr>
                <w:rFonts w:asciiTheme="minorHAnsi" w:hAnsiTheme="minorHAnsi" w:cstheme="minorHAnsi"/>
                <w:sz w:val="22"/>
                <w:szCs w:val="22"/>
              </w:rPr>
            </w:pPr>
            <w:r w:rsidRPr="007B04EA">
              <w:rPr>
                <w:rFonts w:asciiTheme="minorHAnsi" w:hAnsiTheme="minorHAnsi" w:cstheme="minorHAnsi"/>
                <w:sz w:val="22"/>
                <w:szCs w:val="22"/>
              </w:rPr>
              <w:t>University of Maryland, College Park</w:t>
            </w:r>
          </w:p>
        </w:tc>
      </w:tr>
      <w:tr w14:paraId="09AA52A2" w14:textId="77777777" w:rsidTr="00D80AC2">
        <w:tblPrEx>
          <w:tblW w:w="0" w:type="auto"/>
          <w:tblLook w:val="04A0"/>
        </w:tblPrEx>
        <w:tc>
          <w:tcPr>
            <w:tcW w:w="2515" w:type="dxa"/>
          </w:tcPr>
          <w:p w:rsidR="00C76CAE" w:rsidRPr="007B04EA" w:rsidP="00C76CAE" w14:paraId="2963F7A1" w14:textId="339A82AB">
            <w:pPr>
              <w:rPr>
                <w:rFonts w:asciiTheme="minorHAnsi" w:hAnsiTheme="minorHAnsi" w:cstheme="minorHAnsi"/>
                <w:sz w:val="22"/>
                <w:szCs w:val="22"/>
              </w:rPr>
            </w:pPr>
            <w:r w:rsidRPr="007B04EA">
              <w:rPr>
                <w:rFonts w:asciiTheme="minorHAnsi" w:hAnsiTheme="minorHAnsi" w:cstheme="minorHAnsi"/>
                <w:sz w:val="22"/>
                <w:szCs w:val="22"/>
              </w:rPr>
              <w:t>Kath</w:t>
            </w:r>
            <w:r w:rsidRPr="007B04EA" w:rsidR="00E13663">
              <w:rPr>
                <w:rFonts w:asciiTheme="minorHAnsi" w:hAnsiTheme="minorHAnsi" w:cstheme="minorHAnsi"/>
                <w:sz w:val="22"/>
                <w:szCs w:val="22"/>
              </w:rPr>
              <w:t>r</w:t>
            </w:r>
            <w:r w:rsidRPr="007B04EA">
              <w:rPr>
                <w:rFonts w:asciiTheme="minorHAnsi" w:hAnsiTheme="minorHAnsi" w:cstheme="minorHAnsi"/>
                <w:sz w:val="22"/>
                <w:szCs w:val="22"/>
              </w:rPr>
              <w:t>y</w:t>
            </w:r>
            <w:r w:rsidRPr="007B04EA" w:rsidR="00E13663">
              <w:rPr>
                <w:rFonts w:asciiTheme="minorHAnsi" w:hAnsiTheme="minorHAnsi" w:cstheme="minorHAnsi"/>
                <w:sz w:val="22"/>
                <w:szCs w:val="22"/>
              </w:rPr>
              <w:t>n</w:t>
            </w:r>
            <w:r w:rsidRPr="007B04EA">
              <w:rPr>
                <w:rFonts w:asciiTheme="minorHAnsi" w:hAnsiTheme="minorHAnsi" w:cstheme="minorHAnsi"/>
                <w:sz w:val="22"/>
                <w:szCs w:val="22"/>
              </w:rPr>
              <w:t xml:space="preserve"> Edin</w:t>
            </w:r>
          </w:p>
        </w:tc>
        <w:tc>
          <w:tcPr>
            <w:tcW w:w="4680" w:type="dxa"/>
          </w:tcPr>
          <w:p w:rsidR="00C76CAE" w:rsidRPr="007B04EA" w:rsidP="00C76CAE" w14:paraId="7B1FAFDB" w14:textId="0426504F">
            <w:pPr>
              <w:rPr>
                <w:rFonts w:asciiTheme="minorHAnsi" w:hAnsiTheme="minorHAnsi" w:cstheme="minorHAnsi"/>
                <w:sz w:val="22"/>
                <w:szCs w:val="22"/>
              </w:rPr>
            </w:pPr>
            <w:r w:rsidRPr="007B04EA">
              <w:rPr>
                <w:rFonts w:asciiTheme="minorHAnsi" w:hAnsiTheme="minorHAnsi" w:cstheme="minorHAnsi"/>
                <w:sz w:val="22"/>
                <w:szCs w:val="22"/>
              </w:rPr>
              <w:t>Princeton University</w:t>
            </w:r>
          </w:p>
        </w:tc>
      </w:tr>
      <w:tr w14:paraId="2615243B" w14:textId="77777777" w:rsidTr="00D80AC2">
        <w:tblPrEx>
          <w:tblW w:w="0" w:type="auto"/>
          <w:tblLook w:val="04A0"/>
        </w:tblPrEx>
        <w:tc>
          <w:tcPr>
            <w:tcW w:w="2515" w:type="dxa"/>
          </w:tcPr>
          <w:p w:rsidR="00C76CAE" w:rsidRPr="007B04EA" w:rsidP="00C76CAE" w14:paraId="6630BDE2" w14:textId="22095484">
            <w:pPr>
              <w:rPr>
                <w:rFonts w:asciiTheme="minorHAnsi" w:hAnsiTheme="minorHAnsi" w:cstheme="minorHAnsi"/>
                <w:sz w:val="22"/>
                <w:szCs w:val="22"/>
              </w:rPr>
            </w:pPr>
            <w:r w:rsidRPr="007B04EA">
              <w:rPr>
                <w:rFonts w:asciiTheme="minorHAnsi" w:hAnsiTheme="minorHAnsi" w:cstheme="minorHAnsi"/>
                <w:sz w:val="22"/>
                <w:szCs w:val="22"/>
              </w:rPr>
              <w:t>Heather Hill</w:t>
            </w:r>
          </w:p>
        </w:tc>
        <w:tc>
          <w:tcPr>
            <w:tcW w:w="4680" w:type="dxa"/>
          </w:tcPr>
          <w:p w:rsidR="00C76CAE" w:rsidRPr="007B04EA" w:rsidP="00C76CAE" w14:paraId="76F1674E" w14:textId="217F0D89">
            <w:pPr>
              <w:rPr>
                <w:rFonts w:asciiTheme="minorHAnsi" w:hAnsiTheme="minorHAnsi" w:cstheme="minorHAnsi"/>
                <w:sz w:val="22"/>
                <w:szCs w:val="22"/>
              </w:rPr>
            </w:pPr>
            <w:r w:rsidRPr="007B04EA">
              <w:rPr>
                <w:rFonts w:asciiTheme="minorHAnsi" w:hAnsiTheme="minorHAnsi" w:cstheme="minorHAnsi"/>
                <w:sz w:val="22"/>
                <w:szCs w:val="22"/>
              </w:rPr>
              <w:t>University of Washington</w:t>
            </w:r>
          </w:p>
        </w:tc>
      </w:tr>
      <w:tr w14:paraId="29B356B5" w14:textId="77777777" w:rsidTr="00D80AC2">
        <w:tblPrEx>
          <w:tblW w:w="0" w:type="auto"/>
          <w:tblLook w:val="04A0"/>
        </w:tblPrEx>
        <w:tc>
          <w:tcPr>
            <w:tcW w:w="2515" w:type="dxa"/>
          </w:tcPr>
          <w:p w:rsidR="00C76CAE" w:rsidRPr="007B04EA" w:rsidP="00C76CAE" w14:paraId="141BBFE1" w14:textId="3983F73B">
            <w:pPr>
              <w:rPr>
                <w:rFonts w:asciiTheme="minorHAnsi" w:hAnsiTheme="minorHAnsi" w:cstheme="minorHAnsi"/>
                <w:sz w:val="22"/>
                <w:szCs w:val="22"/>
              </w:rPr>
            </w:pPr>
            <w:r w:rsidRPr="007B04EA">
              <w:rPr>
                <w:rFonts w:asciiTheme="minorHAnsi" w:hAnsiTheme="minorHAnsi" w:cstheme="minorHAnsi"/>
                <w:sz w:val="22"/>
                <w:szCs w:val="22"/>
              </w:rPr>
              <w:t>Tyreese Nicolas</w:t>
            </w:r>
          </w:p>
        </w:tc>
        <w:tc>
          <w:tcPr>
            <w:tcW w:w="4680" w:type="dxa"/>
          </w:tcPr>
          <w:p w:rsidR="00C76CAE" w:rsidRPr="007B04EA" w:rsidP="00C76CAE" w14:paraId="079CE96B" w14:textId="7397CAF8">
            <w:pPr>
              <w:rPr>
                <w:rFonts w:asciiTheme="minorHAnsi" w:hAnsiTheme="minorHAnsi" w:cstheme="minorHAnsi"/>
                <w:sz w:val="22"/>
                <w:szCs w:val="22"/>
              </w:rPr>
            </w:pPr>
            <w:r w:rsidRPr="007B04EA">
              <w:rPr>
                <w:rFonts w:asciiTheme="minorHAnsi" w:hAnsiTheme="minorHAnsi" w:cstheme="minorHAnsi"/>
                <w:sz w:val="22"/>
                <w:szCs w:val="22"/>
              </w:rPr>
              <w:t>Massachusetts Department of Transitional Assistance</w:t>
            </w:r>
          </w:p>
        </w:tc>
      </w:tr>
      <w:tr w14:paraId="1844CDC7" w14:textId="77777777" w:rsidTr="00C76CAE">
        <w:tblPrEx>
          <w:tblW w:w="0" w:type="auto"/>
          <w:tblLook w:val="04A0"/>
        </w:tblPrEx>
        <w:trPr>
          <w:trHeight w:val="278"/>
        </w:trPr>
        <w:tc>
          <w:tcPr>
            <w:tcW w:w="2515" w:type="dxa"/>
          </w:tcPr>
          <w:p w:rsidR="00C76CAE" w:rsidRPr="007B04EA" w:rsidP="00C76CAE" w14:paraId="302EDD6D" w14:textId="5CFE2298">
            <w:pPr>
              <w:rPr>
                <w:rFonts w:asciiTheme="minorHAnsi" w:hAnsiTheme="minorHAnsi" w:cstheme="minorHAnsi"/>
                <w:sz w:val="22"/>
                <w:szCs w:val="22"/>
              </w:rPr>
            </w:pPr>
            <w:r w:rsidRPr="007B04EA">
              <w:rPr>
                <w:rFonts w:asciiTheme="minorHAnsi" w:hAnsiTheme="minorHAnsi" w:cstheme="minorHAnsi"/>
                <w:sz w:val="22"/>
                <w:szCs w:val="22"/>
              </w:rPr>
              <w:t>Ellen Pinderhughes</w:t>
            </w:r>
          </w:p>
        </w:tc>
        <w:tc>
          <w:tcPr>
            <w:tcW w:w="4680" w:type="dxa"/>
          </w:tcPr>
          <w:p w:rsidR="00C76CAE" w:rsidRPr="007B04EA" w:rsidP="00C76CAE" w14:paraId="10F1688E" w14:textId="07FDD832">
            <w:pPr>
              <w:rPr>
                <w:rFonts w:asciiTheme="minorHAnsi" w:hAnsiTheme="minorHAnsi" w:cstheme="minorHAnsi"/>
                <w:sz w:val="22"/>
                <w:szCs w:val="22"/>
              </w:rPr>
            </w:pPr>
            <w:r w:rsidRPr="007B04EA">
              <w:rPr>
                <w:rFonts w:asciiTheme="minorHAnsi" w:hAnsiTheme="minorHAnsi" w:cstheme="minorHAnsi"/>
                <w:sz w:val="22"/>
                <w:szCs w:val="22"/>
              </w:rPr>
              <w:t>Tufts University</w:t>
            </w:r>
          </w:p>
        </w:tc>
      </w:tr>
      <w:tr w14:paraId="18531E0D" w14:textId="77777777" w:rsidTr="00D80AC2">
        <w:tblPrEx>
          <w:tblW w:w="0" w:type="auto"/>
          <w:tblLook w:val="04A0"/>
        </w:tblPrEx>
        <w:tc>
          <w:tcPr>
            <w:tcW w:w="2515" w:type="dxa"/>
          </w:tcPr>
          <w:p w:rsidR="00C76CAE" w:rsidRPr="007B04EA" w:rsidP="00C76CAE" w14:paraId="3064DE07" w14:textId="18434C7F">
            <w:pPr>
              <w:rPr>
                <w:rFonts w:asciiTheme="minorHAnsi" w:hAnsiTheme="minorHAnsi" w:cstheme="minorHAnsi"/>
                <w:sz w:val="22"/>
                <w:szCs w:val="22"/>
              </w:rPr>
            </w:pPr>
            <w:r w:rsidRPr="007B04EA">
              <w:rPr>
                <w:rFonts w:asciiTheme="minorHAnsi" w:hAnsiTheme="minorHAnsi" w:cstheme="minorHAnsi"/>
                <w:sz w:val="22"/>
                <w:szCs w:val="22"/>
              </w:rPr>
              <w:t>Babette Roberts</w:t>
            </w:r>
          </w:p>
        </w:tc>
        <w:tc>
          <w:tcPr>
            <w:tcW w:w="4680" w:type="dxa"/>
          </w:tcPr>
          <w:p w:rsidR="00C76CAE" w:rsidRPr="007B04EA" w:rsidP="00C76CAE" w14:paraId="28A68BEF" w14:textId="68768050">
            <w:pPr>
              <w:rPr>
                <w:rFonts w:asciiTheme="minorHAnsi" w:hAnsiTheme="minorHAnsi" w:cstheme="minorHAnsi"/>
                <w:sz w:val="22"/>
                <w:szCs w:val="22"/>
              </w:rPr>
            </w:pPr>
            <w:r w:rsidRPr="007B04EA">
              <w:rPr>
                <w:rFonts w:asciiTheme="minorHAnsi" w:hAnsiTheme="minorHAnsi" w:cstheme="minorHAnsi"/>
                <w:sz w:val="22"/>
                <w:szCs w:val="22"/>
              </w:rPr>
              <w:t>Washington State Department of Social and Health Services</w:t>
            </w:r>
          </w:p>
        </w:tc>
      </w:tr>
      <w:tr w14:paraId="75DCB724" w14:textId="77777777" w:rsidTr="00D80AC2">
        <w:tblPrEx>
          <w:tblW w:w="0" w:type="auto"/>
          <w:tblLook w:val="04A0"/>
        </w:tblPrEx>
        <w:tc>
          <w:tcPr>
            <w:tcW w:w="2515" w:type="dxa"/>
          </w:tcPr>
          <w:p w:rsidR="00C76CAE" w:rsidRPr="007B04EA" w:rsidP="00C76CAE" w14:paraId="49C74C3C" w14:textId="6C67401B">
            <w:pPr>
              <w:rPr>
                <w:rFonts w:asciiTheme="minorHAnsi" w:hAnsiTheme="minorHAnsi" w:cstheme="minorHAnsi"/>
                <w:sz w:val="22"/>
                <w:szCs w:val="22"/>
              </w:rPr>
            </w:pPr>
            <w:r w:rsidRPr="007B04EA">
              <w:rPr>
                <w:rFonts w:asciiTheme="minorHAnsi" w:hAnsiTheme="minorHAnsi" w:cstheme="minorHAnsi"/>
                <w:sz w:val="22"/>
                <w:szCs w:val="22"/>
              </w:rPr>
              <w:t>Marjorie Sims</w:t>
            </w:r>
          </w:p>
        </w:tc>
        <w:tc>
          <w:tcPr>
            <w:tcW w:w="4680" w:type="dxa"/>
          </w:tcPr>
          <w:p w:rsidR="00C76CAE" w:rsidRPr="007B04EA" w:rsidP="00C76CAE" w14:paraId="7DC47C2D" w14:textId="5A989DCB">
            <w:pPr>
              <w:pStyle w:val="TableTextLeft"/>
              <w:rPr>
                <w:rFonts w:asciiTheme="minorHAnsi" w:hAnsiTheme="minorHAnsi" w:cstheme="minorHAnsi"/>
                <w:color w:val="auto"/>
                <w:sz w:val="22"/>
                <w:szCs w:val="22"/>
              </w:rPr>
            </w:pPr>
            <w:r w:rsidRPr="007B04EA">
              <w:rPr>
                <w:rFonts w:asciiTheme="minorHAnsi" w:hAnsiTheme="minorHAnsi" w:cstheme="minorHAnsi"/>
                <w:color w:val="auto"/>
                <w:sz w:val="22"/>
                <w:szCs w:val="22"/>
              </w:rPr>
              <w:t>Ascend at the Aspen Institute</w:t>
            </w:r>
          </w:p>
        </w:tc>
      </w:tr>
      <w:tr w14:paraId="019280E3" w14:textId="77777777" w:rsidTr="00D80AC2">
        <w:tblPrEx>
          <w:tblW w:w="0" w:type="auto"/>
          <w:tblLook w:val="04A0"/>
        </w:tblPrEx>
        <w:tc>
          <w:tcPr>
            <w:tcW w:w="2515" w:type="dxa"/>
          </w:tcPr>
          <w:p w:rsidR="00C76CAE" w:rsidRPr="007B04EA" w:rsidP="00C76CAE" w14:paraId="46980EE0" w14:textId="68C44D5C">
            <w:pPr>
              <w:rPr>
                <w:rFonts w:asciiTheme="minorHAnsi" w:hAnsiTheme="minorHAnsi" w:cstheme="minorHAnsi"/>
                <w:sz w:val="22"/>
                <w:szCs w:val="22"/>
              </w:rPr>
            </w:pPr>
            <w:r w:rsidRPr="007B04EA">
              <w:rPr>
                <w:rFonts w:asciiTheme="minorHAnsi" w:hAnsiTheme="minorHAnsi" w:cstheme="minorHAnsi"/>
                <w:sz w:val="22"/>
                <w:szCs w:val="22"/>
              </w:rPr>
              <w:t>Tanisha Tate Woodson</w:t>
            </w:r>
          </w:p>
        </w:tc>
        <w:tc>
          <w:tcPr>
            <w:tcW w:w="4680" w:type="dxa"/>
          </w:tcPr>
          <w:p w:rsidR="00C76CAE" w:rsidRPr="007B04EA" w:rsidP="00C76CAE" w14:paraId="527F8808" w14:textId="390F7AE5">
            <w:pPr>
              <w:pStyle w:val="TableTextLeft"/>
              <w:rPr>
                <w:rFonts w:asciiTheme="minorHAnsi" w:hAnsiTheme="minorHAnsi" w:cstheme="minorHAnsi"/>
                <w:color w:val="auto"/>
                <w:sz w:val="22"/>
                <w:szCs w:val="22"/>
              </w:rPr>
            </w:pPr>
            <w:r w:rsidRPr="007B04EA">
              <w:rPr>
                <w:rFonts w:asciiTheme="minorHAnsi" w:hAnsiTheme="minorHAnsi" w:cstheme="minorHAnsi"/>
                <w:color w:val="auto"/>
                <w:sz w:val="22"/>
                <w:szCs w:val="22"/>
              </w:rPr>
              <w:t>Education Northwest</w:t>
            </w:r>
          </w:p>
        </w:tc>
      </w:tr>
      <w:tr w14:paraId="7E08C4D2" w14:textId="77777777" w:rsidTr="00D80AC2">
        <w:tblPrEx>
          <w:tblW w:w="0" w:type="auto"/>
          <w:tblLook w:val="04A0"/>
        </w:tblPrEx>
        <w:tc>
          <w:tcPr>
            <w:tcW w:w="2515" w:type="dxa"/>
          </w:tcPr>
          <w:p w:rsidR="00C76CAE" w:rsidRPr="007B04EA" w:rsidP="00C76CAE" w14:paraId="31B79E77" w14:textId="7DA5317A">
            <w:pPr>
              <w:rPr>
                <w:rFonts w:asciiTheme="minorHAnsi" w:hAnsiTheme="minorHAnsi" w:cstheme="minorHAnsi"/>
                <w:sz w:val="22"/>
                <w:szCs w:val="22"/>
              </w:rPr>
            </w:pPr>
            <w:r w:rsidRPr="007B04EA">
              <w:rPr>
                <w:rFonts w:asciiTheme="minorHAnsi" w:hAnsiTheme="minorHAnsi" w:cstheme="minorHAnsi"/>
                <w:sz w:val="22"/>
                <w:szCs w:val="22"/>
              </w:rPr>
              <w:t>Ealasha Vaughner</w:t>
            </w:r>
          </w:p>
        </w:tc>
        <w:tc>
          <w:tcPr>
            <w:tcW w:w="4680" w:type="dxa"/>
          </w:tcPr>
          <w:p w:rsidR="00C76CAE" w:rsidRPr="007B04EA" w:rsidP="00C76CAE" w14:paraId="6C47154B" w14:textId="1BE6DB11">
            <w:pPr>
              <w:pStyle w:val="TableTextLeft"/>
              <w:rPr>
                <w:rFonts w:asciiTheme="minorHAnsi" w:hAnsiTheme="minorHAnsi" w:cstheme="minorHAnsi"/>
                <w:color w:val="auto"/>
                <w:sz w:val="22"/>
                <w:szCs w:val="22"/>
              </w:rPr>
            </w:pPr>
            <w:r w:rsidRPr="007B04EA">
              <w:rPr>
                <w:rFonts w:asciiTheme="minorHAnsi" w:hAnsiTheme="minorHAnsi" w:cstheme="minorHAnsi"/>
                <w:color w:val="auto"/>
                <w:sz w:val="22"/>
                <w:szCs w:val="22"/>
              </w:rPr>
              <w:t>Clayton Early Learning Policy Council and Colorado Family Voice Council</w:t>
            </w:r>
          </w:p>
        </w:tc>
      </w:tr>
    </w:tbl>
    <w:p w:rsidR="003C3CFE" w:rsidRPr="007B04EA" w:rsidP="002560D7" w14:paraId="446D4BCF" w14:textId="77777777">
      <w:pPr>
        <w:spacing w:after="120" w:line="240" w:lineRule="auto"/>
        <w:rPr>
          <w:b/>
        </w:rPr>
      </w:pPr>
    </w:p>
    <w:p w:rsidR="009A39E1" w:rsidRPr="007B04EA" w:rsidP="002560D7" w14:paraId="4ADF0CCE" w14:textId="03B7FCE3">
      <w:pPr>
        <w:spacing w:after="120" w:line="240" w:lineRule="auto"/>
      </w:pPr>
      <w:r w:rsidRPr="007B04EA">
        <w:rPr>
          <w:b/>
        </w:rPr>
        <w:t>A9</w:t>
      </w:r>
      <w:r w:rsidRPr="007B04EA">
        <w:t>.</w:t>
      </w:r>
      <w:r w:rsidRPr="007B04EA">
        <w:tab/>
      </w:r>
      <w:r w:rsidRPr="007B04EA">
        <w:rPr>
          <w:b/>
        </w:rPr>
        <w:t>Tokens of App</w:t>
      </w:r>
      <w:r w:rsidRPr="007B04EA" w:rsidR="005B5FCC">
        <w:rPr>
          <w:b/>
        </w:rPr>
        <w:t>reciation</w:t>
      </w:r>
    </w:p>
    <w:p w:rsidR="00916EF7" w:rsidRPr="007B04EA" w:rsidP="00916EF7" w14:paraId="28DDF780" w14:textId="5FD27CA4">
      <w:r w:rsidRPr="007B04EA">
        <w:t xml:space="preserve">The focus groups are intended to gather input about </w:t>
      </w:r>
      <w:r w:rsidRPr="007B04EA" w:rsidR="00E32F35">
        <w:t xml:space="preserve">parents’ and </w:t>
      </w:r>
      <w:r w:rsidRPr="007B04EA">
        <w:t>caregivers’ lived experiences. Without their valuable input, the research team would be unable to answer the study’s research questions and provide important information to ACF to inform future work. A token of appreciation signals to potential respondents their lived experience is valued and community members are respected (Chicago Beyond</w:t>
      </w:r>
      <w:r w:rsidRPr="007B04EA" w:rsidR="003846A9">
        <w:t xml:space="preserve"> 2019</w:t>
      </w:r>
      <w:r w:rsidRPr="007B04EA">
        <w:t xml:space="preserve">). </w:t>
      </w:r>
    </w:p>
    <w:p w:rsidR="002D0589" w:rsidRPr="007B04EA" w:rsidP="002D0589" w14:paraId="44FCAE08" w14:textId="45077673">
      <w:pPr>
        <w:spacing w:after="0"/>
      </w:pPr>
      <w:r w:rsidRPr="007B04EA">
        <w:t xml:space="preserve">Focus group data are not intended to be representative in a statistical sense, in that they will not be used to make statements about how all people who participate in programs or interventions </w:t>
      </w:r>
      <w:r w:rsidRPr="007B04EA" w:rsidR="00E32F35">
        <w:t xml:space="preserve">that </w:t>
      </w:r>
      <w:r w:rsidRPr="007B04EA">
        <w:t xml:space="preserve">aim to increase economic security define social well-being. However, it is important to secure participants with a range of background characteristics to capture a variety of possible experiences. All participants will be individuals who are participating or formerly participated in </w:t>
      </w:r>
      <w:r w:rsidRPr="007B04EA" w:rsidR="00FB205C">
        <w:t xml:space="preserve">state or county level TANF </w:t>
      </w:r>
      <w:r w:rsidRPr="007B04EA">
        <w:t xml:space="preserve">programs aimed at increasing economic security. </w:t>
      </w:r>
      <w:r w:rsidRPr="007B04EA" w:rsidR="00B2755E">
        <w:t>Tokens of appreciation will be provided to offset</w:t>
      </w:r>
      <w:r w:rsidRPr="007B04EA">
        <w:t xml:space="preserve"> the direct costs incurred by respondents for attending the focus groups, such as arranging child care or transportation for those in-person</w:t>
      </w:r>
      <w:r w:rsidRPr="007B04EA" w:rsidR="00B558D7">
        <w:t>. This will help ensure</w:t>
      </w:r>
      <w:r w:rsidRPr="007B04EA">
        <w:t xml:space="preserve"> </w:t>
      </w:r>
      <w:r w:rsidRPr="007B04EA" w:rsidR="00622510">
        <w:t xml:space="preserve">a broader range of participant backgrounds and experiences as participants will not have to </w:t>
      </w:r>
      <w:r w:rsidRPr="007B04EA">
        <w:t xml:space="preserve">overcome financial barriers to participate in the study. Participants </w:t>
      </w:r>
      <w:r w:rsidRPr="007B04EA" w:rsidR="00033FA5">
        <w:t xml:space="preserve">in the 90-minute virtual focus groups </w:t>
      </w:r>
      <w:r w:rsidRPr="007B04EA">
        <w:t>will receive a $50 gift card to account for incidental expenses such as child care that may otherwise prevent their participatio</w:t>
      </w:r>
      <w:r w:rsidRPr="007B04EA" w:rsidR="00364AFA">
        <w:t>n</w:t>
      </w:r>
      <w:r w:rsidRPr="007B04EA">
        <w:t xml:space="preserve">. Participants who attend </w:t>
      </w:r>
      <w:r w:rsidRPr="007B04EA" w:rsidR="00033FA5">
        <w:t xml:space="preserve">the 90-minute focus group </w:t>
      </w:r>
      <w:r w:rsidRPr="007B04EA">
        <w:t>in person will receive a $65 gift card to account for incidental expenses such as transportation or child care that may otherwise prevent their participation.</w:t>
      </w:r>
    </w:p>
    <w:p w:rsidR="00FB7BF4" w:rsidRPr="007B04EA" w:rsidP="002D0589" w14:paraId="2D8D9F2E" w14:textId="2D206634">
      <w:pPr>
        <w:spacing w:after="0"/>
      </w:pPr>
    </w:p>
    <w:p w:rsidR="004D66BF" w:rsidRPr="007B04EA" w:rsidP="002560D7" w14:paraId="1E3A11E2" w14:textId="2BC3704D">
      <w:pPr>
        <w:spacing w:after="0"/>
      </w:pPr>
      <w:r w:rsidRPr="007B04EA">
        <w:t>The amount proposed is</w:t>
      </w:r>
      <w:r w:rsidRPr="007B04EA" w:rsidR="00056990">
        <w:t xml:space="preserve"> also</w:t>
      </w:r>
      <w:r w:rsidRPr="007B04EA">
        <w:t xml:space="preserve"> based on research on tokens of appreciation and the </w:t>
      </w:r>
      <w:r w:rsidRPr="007B04EA" w:rsidR="00021791">
        <w:t>research</w:t>
      </w:r>
      <w:r w:rsidRPr="007B04EA">
        <w:t xml:space="preserve"> team’s experiences with other federal studies. Research has shown that a token of appreciation can be an effective way to increase study participation among populations including </w:t>
      </w:r>
      <w:r w:rsidRPr="007B04EA">
        <w:rPr>
          <w:color w:val="000000"/>
        </w:rPr>
        <w:t xml:space="preserve">individuals from </w:t>
      </w:r>
      <w:r w:rsidRPr="007B04EA" w:rsidR="00421C78">
        <w:rPr>
          <w:color w:val="000000"/>
        </w:rPr>
        <w:t xml:space="preserve">that </w:t>
      </w:r>
      <w:r w:rsidRPr="007B04EA" w:rsidR="0025498E">
        <w:rPr>
          <w:color w:val="000000"/>
        </w:rPr>
        <w:t>have</w:t>
      </w:r>
      <w:r w:rsidRPr="007B04EA" w:rsidR="00421C78">
        <w:rPr>
          <w:color w:val="000000"/>
        </w:rPr>
        <w:t xml:space="preserve"> low income</w:t>
      </w:r>
      <w:r w:rsidRPr="007B04EA" w:rsidR="0025498E">
        <w:rPr>
          <w:color w:val="000000"/>
        </w:rPr>
        <w:t>s</w:t>
      </w:r>
      <w:r w:rsidRPr="007B04EA">
        <w:rPr>
          <w:color w:val="000000"/>
        </w:rPr>
        <w:t xml:space="preserve"> or households</w:t>
      </w:r>
      <w:r w:rsidRPr="007B04EA" w:rsidR="00421C78">
        <w:rPr>
          <w:color w:val="000000"/>
        </w:rPr>
        <w:t xml:space="preserve"> that have relatively lower levels of education</w:t>
      </w:r>
      <w:r w:rsidRPr="007B04EA">
        <w:rPr>
          <w:color w:val="000000"/>
        </w:rPr>
        <w:t>, which are demographics of interest in the Measuring SUCCESS project</w:t>
      </w:r>
      <w:r w:rsidRPr="007B04EA" w:rsidR="009D2F07">
        <w:rPr>
          <w:color w:val="000000"/>
        </w:rPr>
        <w:t>. Specifically, Bierer</w:t>
      </w:r>
      <w:r w:rsidRPr="007B04EA" w:rsidR="0025498E">
        <w:rPr>
          <w:color w:val="000000"/>
        </w:rPr>
        <w:t xml:space="preserve"> et al</w:t>
      </w:r>
      <w:r w:rsidRPr="007B04EA" w:rsidR="00912BF6">
        <w:rPr>
          <w:color w:val="000000"/>
        </w:rPr>
        <w:t>.</w:t>
      </w:r>
      <w:r w:rsidRPr="007B04EA" w:rsidR="0025498E">
        <w:rPr>
          <w:color w:val="000000"/>
        </w:rPr>
        <w:t xml:space="preserve"> </w:t>
      </w:r>
      <w:r w:rsidRPr="007B04EA" w:rsidR="00B77ABC">
        <w:rPr>
          <w:color w:val="000000"/>
        </w:rPr>
        <w:t>(</w:t>
      </w:r>
      <w:r w:rsidRPr="007B04EA" w:rsidR="009D2F07">
        <w:rPr>
          <w:color w:val="000000"/>
        </w:rPr>
        <w:t>2021</w:t>
      </w:r>
      <w:r w:rsidRPr="007B04EA" w:rsidR="00B77ABC">
        <w:rPr>
          <w:color w:val="000000"/>
        </w:rPr>
        <w:t>)</w:t>
      </w:r>
      <w:r w:rsidRPr="007B04EA" w:rsidR="0025498E">
        <w:rPr>
          <w:color w:val="000000"/>
        </w:rPr>
        <w:t xml:space="preserve"> and Cheff and Roche </w:t>
      </w:r>
      <w:r w:rsidRPr="007B04EA" w:rsidR="00B77ABC">
        <w:rPr>
          <w:color w:val="000000"/>
        </w:rPr>
        <w:t>(</w:t>
      </w:r>
      <w:r w:rsidRPr="007B04EA" w:rsidR="0025498E">
        <w:rPr>
          <w:color w:val="000000"/>
        </w:rPr>
        <w:t>2018</w:t>
      </w:r>
      <w:r w:rsidRPr="007B04EA" w:rsidR="00B77ABC">
        <w:rPr>
          <w:color w:val="000000"/>
        </w:rPr>
        <w:t>)</w:t>
      </w:r>
      <w:r w:rsidRPr="007B04EA" w:rsidR="009D2F07">
        <w:rPr>
          <w:color w:val="000000"/>
        </w:rPr>
        <w:t xml:space="preserve"> report that underpaying research participants can jeopardize efforts to be inclusive in </w:t>
      </w:r>
      <w:r w:rsidRPr="007B04EA" w:rsidR="0025498E">
        <w:rPr>
          <w:color w:val="000000"/>
        </w:rPr>
        <w:t>studies</w:t>
      </w:r>
      <w:r w:rsidRPr="007B04EA" w:rsidR="009D2F07">
        <w:rPr>
          <w:color w:val="000000"/>
        </w:rPr>
        <w:t xml:space="preserve">, as income status can be a barrier to participation </w:t>
      </w:r>
      <w:r w:rsidRPr="007B04EA" w:rsidR="00690DF0">
        <w:rPr>
          <w:color w:val="000000"/>
        </w:rPr>
        <w:t>(</w:t>
      </w:r>
      <w:r w:rsidRPr="007B04EA" w:rsidR="009D2F07">
        <w:rPr>
          <w:color w:val="000000"/>
        </w:rPr>
        <w:t>Bierer</w:t>
      </w:r>
      <w:r w:rsidRPr="007B04EA" w:rsidR="00912BF6">
        <w:rPr>
          <w:color w:val="000000"/>
        </w:rPr>
        <w:t xml:space="preserve"> et al.</w:t>
      </w:r>
      <w:r w:rsidRPr="007B04EA" w:rsidR="009D2F07">
        <w:rPr>
          <w:color w:val="000000"/>
        </w:rPr>
        <w:t xml:space="preserve"> 2021</w:t>
      </w:r>
      <w:r w:rsidRPr="007B04EA" w:rsidR="00EC2A12">
        <w:rPr>
          <w:color w:val="000000"/>
        </w:rPr>
        <w:t>, Cheff and Roche, 2018</w:t>
      </w:r>
      <w:r w:rsidRPr="007B04EA" w:rsidR="00690DF0">
        <w:rPr>
          <w:color w:val="000000"/>
        </w:rPr>
        <w:t>)</w:t>
      </w:r>
      <w:r w:rsidRPr="007B04EA">
        <w:rPr>
          <w:color w:val="000000"/>
        </w:rPr>
        <w:t xml:space="preserve">. </w:t>
      </w:r>
      <w:r w:rsidRPr="007B04EA" w:rsidR="00E31F61">
        <w:rPr>
          <w:color w:val="000000"/>
        </w:rPr>
        <w:t>Offering a</w:t>
      </w:r>
      <w:r w:rsidRPr="007B04EA">
        <w:rPr>
          <w:color w:val="000000"/>
        </w:rPr>
        <w:t xml:space="preserve"> token of appreciation of $50 </w:t>
      </w:r>
      <w:r w:rsidRPr="007B04EA" w:rsidR="00E31F61">
        <w:rPr>
          <w:color w:val="000000"/>
        </w:rPr>
        <w:t xml:space="preserve">in qualitative research such as the proposed focus groups </w:t>
      </w:r>
      <w:r w:rsidRPr="007B04EA">
        <w:rPr>
          <w:color w:val="000000"/>
        </w:rPr>
        <w:t>is also supported by research</w:t>
      </w:r>
      <w:r w:rsidRPr="007B04EA" w:rsidR="00690DF0">
        <w:rPr>
          <w:color w:val="000000"/>
        </w:rPr>
        <w:t xml:space="preserve">. </w:t>
      </w:r>
      <w:r w:rsidRPr="007B04EA">
        <w:rPr>
          <w:color w:val="000000"/>
        </w:rPr>
        <w:t xml:space="preserve">A </w:t>
      </w:r>
      <w:r w:rsidRPr="007B04EA" w:rsidR="0006086E">
        <w:rPr>
          <w:color w:val="000000"/>
        </w:rPr>
        <w:t xml:space="preserve">nationally representative </w:t>
      </w:r>
      <w:r w:rsidRPr="007B04EA">
        <w:rPr>
          <w:color w:val="000000"/>
        </w:rPr>
        <w:t xml:space="preserve">study </w:t>
      </w:r>
      <w:r w:rsidRPr="007B04EA" w:rsidR="00B77ABC">
        <w:rPr>
          <w:color w:val="000000"/>
        </w:rPr>
        <w:t xml:space="preserve">of U.S. adults </w:t>
      </w:r>
      <w:r w:rsidRPr="007B04EA">
        <w:rPr>
          <w:color w:val="000000"/>
        </w:rPr>
        <w:t xml:space="preserve">comparing how different </w:t>
      </w:r>
      <w:r w:rsidRPr="007B04EA" w:rsidR="00D71BA5">
        <w:rPr>
          <w:color w:val="000000"/>
        </w:rPr>
        <w:t xml:space="preserve">token </w:t>
      </w:r>
      <w:r w:rsidRPr="007B04EA">
        <w:rPr>
          <w:color w:val="000000"/>
        </w:rPr>
        <w:t>amounts affect willingness to participate in qualitative research found that participants offered a $50 token of appreciation were more likely to participate in research than those who were offered smaller tokens of appreciation</w:t>
      </w:r>
      <w:r w:rsidRPr="007B04EA" w:rsidR="00690DF0">
        <w:rPr>
          <w:color w:val="000000"/>
        </w:rPr>
        <w:t xml:space="preserve"> (Kelly et al. 2017)</w:t>
      </w:r>
      <w:r w:rsidRPr="007B04EA">
        <w:rPr>
          <w:color w:val="000000"/>
        </w:rPr>
        <w:t xml:space="preserve">. </w:t>
      </w:r>
      <w:r w:rsidRPr="007B04EA" w:rsidR="00FE3BC1">
        <w:t>Based on the research, the population we are trying to reach, and experience of the research team, we believe $50 is an appropriate amount for the time and cost associated with participation in virtual focus groups but is not so high as to appear coercive for potential participants. We also feel that the additional $15 for in-person participation is necessary to offset the costs of transportation.</w:t>
      </w:r>
    </w:p>
    <w:p w:rsidR="004D66BF" w:rsidRPr="007B04EA" w:rsidP="002560D7" w14:paraId="32107364" w14:textId="77777777">
      <w:pPr>
        <w:spacing w:after="0"/>
      </w:pPr>
    </w:p>
    <w:p w:rsidR="007C7B4B" w:rsidRPr="007B04EA" w:rsidP="00CB57CE" w14:paraId="50697237" w14:textId="634DE931">
      <w:pPr>
        <w:spacing w:after="120" w:line="240" w:lineRule="auto"/>
      </w:pPr>
      <w:r w:rsidRPr="007B04EA">
        <w:rPr>
          <w:b/>
        </w:rPr>
        <w:t>A10</w:t>
      </w:r>
      <w:r w:rsidRPr="007B04EA">
        <w:t>.</w:t>
      </w:r>
      <w:r w:rsidRPr="007B04EA">
        <w:tab/>
      </w:r>
      <w:r w:rsidRPr="007B04EA" w:rsidR="002A41C6">
        <w:rPr>
          <w:b/>
        </w:rPr>
        <w:t xml:space="preserve">Privacy: </w:t>
      </w:r>
      <w:r w:rsidRPr="007B04EA" w:rsidR="00FB5BF6">
        <w:rPr>
          <w:b/>
        </w:rPr>
        <w:t>Procedures to p</w:t>
      </w:r>
      <w:r w:rsidRPr="007B04EA" w:rsidR="004B75AC">
        <w:rPr>
          <w:b/>
        </w:rPr>
        <w:t xml:space="preserve">rotect </w:t>
      </w:r>
      <w:r w:rsidRPr="007B04EA" w:rsidR="00FB5BF6">
        <w:rPr>
          <w:b/>
        </w:rPr>
        <w:t>p</w:t>
      </w:r>
      <w:r w:rsidRPr="007B04EA" w:rsidR="00083227">
        <w:rPr>
          <w:b/>
        </w:rPr>
        <w:t>rivacy</w:t>
      </w:r>
      <w:r w:rsidRPr="007B04EA" w:rsidR="004B75AC">
        <w:rPr>
          <w:b/>
        </w:rPr>
        <w:t xml:space="preserve"> of </w:t>
      </w:r>
      <w:r w:rsidRPr="007B04EA" w:rsidR="00FB5BF6">
        <w:rPr>
          <w:b/>
        </w:rPr>
        <w:t>i</w:t>
      </w:r>
      <w:r w:rsidRPr="007B04EA" w:rsidR="004B75AC">
        <w:rPr>
          <w:b/>
        </w:rPr>
        <w:t>nformation</w:t>
      </w:r>
      <w:r w:rsidRPr="007B04EA" w:rsidR="00FB5BF6">
        <w:rPr>
          <w:b/>
        </w:rPr>
        <w:t>, while maximizing data sharing</w:t>
      </w:r>
    </w:p>
    <w:p w:rsidR="00CB57CE" w:rsidRPr="007B04EA" w:rsidP="00896B4E" w14:paraId="6433E3BC" w14:textId="584A6F56">
      <w:pPr>
        <w:spacing w:after="120" w:line="240" w:lineRule="auto"/>
        <w:rPr>
          <w:i/>
        </w:rPr>
      </w:pPr>
      <w:r w:rsidRPr="007B04EA">
        <w:rPr>
          <w:i/>
        </w:rPr>
        <w:t>Personally Identifiable Information</w:t>
      </w:r>
    </w:p>
    <w:p w:rsidR="00D43B39" w:rsidRPr="007B04EA" w:rsidP="00F42D69" w14:paraId="2463FA38" w14:textId="7999F2BE">
      <w:pPr>
        <w:spacing w:after="120" w:line="240" w:lineRule="auto"/>
        <w:rPr>
          <w:rFonts w:eastAsia="Times New Roman" w:cstheme="minorHAnsi"/>
          <w:bdr w:val="none" w:sz="0" w:space="0" w:color="auto" w:frame="1"/>
        </w:rPr>
      </w:pPr>
      <w:r w:rsidRPr="007B04EA">
        <w:rPr>
          <w:rFonts w:eastAsia="Times New Roman" w:cstheme="minorHAnsi"/>
          <w:bdr w:val="none" w:sz="0" w:space="0" w:color="auto" w:frame="1"/>
        </w:rPr>
        <w:t xml:space="preserve">The research team will collect the respondent's name, </w:t>
      </w:r>
      <w:r w:rsidRPr="007B04EA" w:rsidR="00C91CBA">
        <w:rPr>
          <w:rFonts w:eastAsia="Times New Roman" w:cstheme="minorHAnsi"/>
          <w:bdr w:val="none" w:sz="0" w:space="0" w:color="auto" w:frame="1"/>
        </w:rPr>
        <w:t xml:space="preserve">email address, phone number, </w:t>
      </w:r>
      <w:r w:rsidRPr="007B04EA" w:rsidR="006A3A35">
        <w:rPr>
          <w:rFonts w:eastAsia="Times New Roman" w:cstheme="minorHAnsi"/>
          <w:bdr w:val="none" w:sz="0" w:space="0" w:color="auto" w:frame="1"/>
        </w:rPr>
        <w:t>gender identity, age</w:t>
      </w:r>
      <w:r w:rsidRPr="007B04EA">
        <w:rPr>
          <w:rFonts w:eastAsia="Times New Roman" w:cstheme="minorHAnsi"/>
          <w:bdr w:val="none" w:sz="0" w:space="0" w:color="auto" w:frame="1"/>
        </w:rPr>
        <w:t>,</w:t>
      </w:r>
      <w:r w:rsidRPr="007B04EA" w:rsidR="000420C9">
        <w:rPr>
          <w:rFonts w:eastAsia="Times New Roman" w:cstheme="minorHAnsi"/>
          <w:bdr w:val="none" w:sz="0" w:space="0" w:color="auto" w:frame="1"/>
        </w:rPr>
        <w:t xml:space="preserve"> </w:t>
      </w:r>
      <w:r w:rsidRPr="007B04EA" w:rsidR="006A3A35">
        <w:rPr>
          <w:rFonts w:eastAsia="Times New Roman" w:cstheme="minorHAnsi"/>
          <w:bdr w:val="none" w:sz="0" w:space="0" w:color="auto" w:frame="1"/>
        </w:rPr>
        <w:t xml:space="preserve">race and ethnicity, </w:t>
      </w:r>
      <w:r w:rsidRPr="007B04EA" w:rsidR="000420C9">
        <w:rPr>
          <w:rFonts w:eastAsia="Times New Roman" w:cstheme="minorHAnsi"/>
          <w:bdr w:val="none" w:sz="0" w:space="0" w:color="auto" w:frame="1"/>
        </w:rPr>
        <w:t xml:space="preserve">and number </w:t>
      </w:r>
      <w:r w:rsidRPr="007B04EA">
        <w:rPr>
          <w:rFonts w:eastAsia="Times New Roman" w:cstheme="minorHAnsi"/>
          <w:bdr w:val="none" w:sz="0" w:space="0" w:color="auto" w:frame="1"/>
        </w:rPr>
        <w:t xml:space="preserve">and </w:t>
      </w:r>
      <w:r w:rsidRPr="007B04EA" w:rsidR="000420C9">
        <w:rPr>
          <w:rFonts w:eastAsia="Times New Roman" w:cstheme="minorHAnsi"/>
          <w:bdr w:val="none" w:sz="0" w:space="0" w:color="auto" w:frame="1"/>
        </w:rPr>
        <w:t>age of children</w:t>
      </w:r>
      <w:r w:rsidRPr="007B04EA">
        <w:rPr>
          <w:rFonts w:eastAsia="Times New Roman" w:cstheme="minorHAnsi"/>
          <w:bdr w:val="none" w:sz="0" w:space="0" w:color="auto" w:frame="1"/>
        </w:rPr>
        <w:t xml:space="preserve">. The purpose of collecting this PII is to: </w:t>
      </w:r>
    </w:p>
    <w:p w:rsidR="00C91CBA" w:rsidRPr="007B04EA" w:rsidP="00BA03D0" w14:paraId="5A844434" w14:textId="315A2839">
      <w:pPr>
        <w:pStyle w:val="ListParagraph"/>
        <w:numPr>
          <w:ilvl w:val="0"/>
          <w:numId w:val="3"/>
        </w:numPr>
        <w:spacing w:after="0" w:line="240" w:lineRule="auto"/>
        <w:rPr>
          <w:rFonts w:eastAsia="Times New Roman" w:cstheme="minorHAnsi"/>
          <w:bdr w:val="none" w:sz="0" w:space="0" w:color="auto" w:frame="1"/>
        </w:rPr>
      </w:pPr>
      <w:r w:rsidRPr="007B04EA">
        <w:rPr>
          <w:rFonts w:eastAsia="Times New Roman" w:cstheme="minorHAnsi"/>
          <w:bdr w:val="none" w:sz="0" w:space="0" w:color="auto" w:frame="1"/>
        </w:rPr>
        <w:t>Contact potential focus group participants</w:t>
      </w:r>
      <w:r w:rsidRPr="007B04EA" w:rsidR="00B77ABC">
        <w:rPr>
          <w:rFonts w:eastAsia="Times New Roman" w:cstheme="minorHAnsi"/>
          <w:bdr w:val="none" w:sz="0" w:space="0" w:color="auto" w:frame="1"/>
        </w:rPr>
        <w:t xml:space="preserve"> via phone or email</w:t>
      </w:r>
      <w:r>
        <w:rPr>
          <w:rStyle w:val="FootnoteReference"/>
          <w:rFonts w:eastAsia="Times New Roman" w:cstheme="minorHAnsi"/>
          <w:bdr w:val="none" w:sz="0" w:space="0" w:color="auto" w:frame="1"/>
        </w:rPr>
        <w:footnoteReference w:id="4"/>
      </w:r>
      <w:r w:rsidRPr="007B04EA" w:rsidR="00E2227B">
        <w:rPr>
          <w:rFonts w:eastAsia="Times New Roman" w:cstheme="minorHAnsi"/>
          <w:bdr w:val="none" w:sz="0" w:space="0" w:color="auto" w:frame="1"/>
        </w:rPr>
        <w:t xml:space="preserve"> to recruit and provide text message reminders to boost participation.</w:t>
      </w:r>
    </w:p>
    <w:p w:rsidR="00D43B39" w:rsidRPr="007B04EA" w:rsidP="00BA03D0" w14:paraId="2A8301CC" w14:textId="3EF7F2D0">
      <w:pPr>
        <w:pStyle w:val="ListParagraph"/>
        <w:numPr>
          <w:ilvl w:val="0"/>
          <w:numId w:val="3"/>
        </w:numPr>
        <w:spacing w:after="0" w:line="240" w:lineRule="auto"/>
        <w:rPr>
          <w:rFonts w:eastAsia="Times New Roman" w:cstheme="minorHAnsi"/>
          <w:bdr w:val="none" w:sz="0" w:space="0" w:color="auto" w:frame="1"/>
        </w:rPr>
      </w:pPr>
      <w:r w:rsidRPr="007B04EA">
        <w:rPr>
          <w:rFonts w:eastAsia="Times New Roman" w:cstheme="minorHAnsi"/>
          <w:bdr w:val="none" w:sz="0" w:space="0" w:color="auto" w:frame="1"/>
        </w:rPr>
        <w:t>Provide information on the demographics of the focus group participants</w:t>
      </w:r>
      <w:r w:rsidRPr="007B04EA" w:rsidR="002735A0">
        <w:rPr>
          <w:rFonts w:eastAsia="Times New Roman" w:cstheme="minorHAnsi"/>
          <w:bdr w:val="none" w:sz="0" w:space="0" w:color="auto" w:frame="1"/>
        </w:rPr>
        <w:t xml:space="preserve"> so that the </w:t>
      </w:r>
      <w:r w:rsidRPr="007B04EA" w:rsidR="0049393B">
        <w:rPr>
          <w:rFonts w:eastAsia="Times New Roman" w:cstheme="minorHAnsi"/>
          <w:bdr w:val="none" w:sz="0" w:space="0" w:color="auto" w:frame="1"/>
        </w:rPr>
        <w:t xml:space="preserve">summary </w:t>
      </w:r>
      <w:r w:rsidRPr="007B04EA" w:rsidR="002735A0">
        <w:rPr>
          <w:rFonts w:eastAsia="Times New Roman" w:cstheme="minorHAnsi"/>
          <w:bdr w:val="none" w:sz="0" w:space="0" w:color="auto" w:frame="1"/>
        </w:rPr>
        <w:t xml:space="preserve">descriptive brief can describe the types of families that were involved in the focus groups. </w:t>
      </w:r>
    </w:p>
    <w:p w:rsidR="00D43B39" w:rsidRPr="007B04EA" w:rsidP="008267B4" w14:paraId="28FD9C5A" w14:textId="77777777">
      <w:pPr>
        <w:spacing w:after="0" w:line="240" w:lineRule="auto"/>
        <w:rPr>
          <w:rFonts w:cstheme="minorHAnsi"/>
        </w:rPr>
      </w:pPr>
    </w:p>
    <w:p w:rsidR="008267B4" w:rsidRPr="007B04EA" w:rsidP="008267B4" w14:paraId="6E09F31B" w14:textId="35120B96">
      <w:pPr>
        <w:spacing w:after="0" w:line="240" w:lineRule="auto"/>
        <w:rPr>
          <w:i/>
        </w:rPr>
      </w:pPr>
      <w:r w:rsidRPr="007B04EA">
        <w:rPr>
          <w:rFonts w:cstheme="minorHAnsi"/>
        </w:rPr>
        <w:t>All notes</w:t>
      </w:r>
      <w:r w:rsidRPr="007B04EA">
        <w:rPr>
          <w:szCs w:val="24"/>
        </w:rPr>
        <w:t xml:space="preserve"> taken during the focus groups will be de-identified (see below for additional information).</w:t>
      </w:r>
      <w:r w:rsidRPr="007B04EA">
        <w:rPr>
          <w:rFonts w:cstheme="minorHAnsi"/>
        </w:rPr>
        <w:t xml:space="preserve"> Information will not be maintained in a paper or electronic system from which data are actually or directly retrieved by an individuals’ personal identifier.</w:t>
      </w:r>
    </w:p>
    <w:p w:rsidR="00933BF4" w:rsidRPr="007B04EA" w:rsidP="002560D7" w14:paraId="30022E5D" w14:textId="77777777">
      <w:pPr>
        <w:spacing w:after="0" w:line="240" w:lineRule="auto"/>
        <w:rPr>
          <w:i/>
        </w:rPr>
      </w:pPr>
    </w:p>
    <w:p w:rsidR="002560D7" w:rsidRPr="007B04EA" w:rsidP="00896B4E" w14:paraId="28D37A40" w14:textId="7557B9D2">
      <w:pPr>
        <w:spacing w:after="120" w:line="240" w:lineRule="auto"/>
        <w:rPr>
          <w:i/>
        </w:rPr>
      </w:pPr>
      <w:r w:rsidRPr="007B04EA">
        <w:rPr>
          <w:i/>
        </w:rPr>
        <w:t>Assurances of Privacy</w:t>
      </w:r>
    </w:p>
    <w:p w:rsidR="002560D7" w:rsidRPr="007B04EA" w:rsidP="005417A1" w14:paraId="4180ABFE" w14:textId="0CF05311">
      <w:pPr>
        <w:spacing w:after="0" w:line="240" w:lineRule="auto"/>
      </w:pPr>
      <w:r w:rsidRPr="007B04EA">
        <w:t xml:space="preserve">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w:t>
      </w:r>
      <w:r w:rsidRPr="007B04EA" w:rsidR="0007582A">
        <w:t>c</w:t>
      </w:r>
      <w:r w:rsidRPr="007B04EA">
        <w:t>ontractor will comply with all Federal and Departmental regulations for private information.</w:t>
      </w:r>
    </w:p>
    <w:p w:rsidR="002560D7" w:rsidRPr="007B04EA" w:rsidP="002560D7" w14:paraId="6E979ED9" w14:textId="06763008">
      <w:pPr>
        <w:spacing w:after="0" w:line="240" w:lineRule="auto"/>
      </w:pPr>
    </w:p>
    <w:p w:rsidR="002560D7" w:rsidRPr="007B04EA" w:rsidP="002560D7" w14:paraId="2490F478" w14:textId="3CF9D7B9">
      <w:pPr>
        <w:spacing w:after="120" w:line="240" w:lineRule="auto"/>
        <w:rPr>
          <w:i/>
        </w:rPr>
      </w:pPr>
      <w:r w:rsidRPr="007B04EA">
        <w:rPr>
          <w:i/>
        </w:rPr>
        <w:t>Data Security and Monitoring</w:t>
      </w:r>
    </w:p>
    <w:p w:rsidR="00140A26" w:rsidRPr="007B04EA" w:rsidP="00896B4E" w14:paraId="03CA0E05" w14:textId="74A0A39B">
      <w:pPr>
        <w:spacing w:after="0" w:line="240" w:lineRule="auto"/>
        <w:rPr>
          <w:rFonts w:eastAsia="Times New Roman" w:cstheme="minorHAnsi"/>
        </w:rPr>
      </w:pPr>
      <w:r w:rsidRPr="007B04EA">
        <w:rPr>
          <w:rFonts w:eastAsia="Times New Roman" w:cstheme="minorHAnsi"/>
        </w:rPr>
        <w:t xml:space="preserve">As specified in the </w:t>
      </w:r>
      <w:r w:rsidRPr="007B04EA" w:rsidR="00D42A1A">
        <w:rPr>
          <w:rFonts w:eastAsia="Times New Roman" w:cstheme="minorHAnsi"/>
        </w:rPr>
        <w:t>contractor’s</w:t>
      </w:r>
      <w:r w:rsidRPr="007B04EA">
        <w:rPr>
          <w:rFonts w:eastAsia="Times New Roman" w:cstheme="minorHAnsi"/>
        </w:rPr>
        <w:t xml:space="preserve"> contract, the </w:t>
      </w:r>
      <w:r w:rsidRPr="007B04EA" w:rsidR="0007582A">
        <w:rPr>
          <w:rFonts w:eastAsia="Times New Roman" w:cstheme="minorHAnsi"/>
        </w:rPr>
        <w:t>c</w:t>
      </w:r>
      <w:r w:rsidRPr="007B04EA">
        <w:rPr>
          <w:rFonts w:eastAsia="Times New Roman" w:cstheme="minorHAnsi"/>
        </w:rPr>
        <w:t xml:space="preserve">ontractor shall protect respondent privacy to the extent permitted by law and will comply with all Federal and Departmental regulations for private information. </w:t>
      </w:r>
      <w:r w:rsidRPr="007B04EA" w:rsidR="005A1F6A">
        <w:rPr>
          <w:rFonts w:eastAsia="Times New Roman" w:cstheme="minorHAnsi"/>
        </w:rPr>
        <w:t xml:space="preserve">The contractor </w:t>
      </w:r>
      <w:r w:rsidRPr="007B04EA">
        <w:rPr>
          <w:rFonts w:eastAsia="Times New Roman" w:cstheme="minorHAnsi"/>
        </w:rPr>
        <w:t xml:space="preserve">has developed a Data Safety and Monitoring Plan that assesses all protections of respondents’ </w:t>
      </w:r>
      <w:r w:rsidRPr="007B04EA" w:rsidR="00896B4E">
        <w:t>Personally Identifiable Information (</w:t>
      </w:r>
      <w:r w:rsidRPr="007B04EA">
        <w:rPr>
          <w:rFonts w:eastAsia="Times New Roman" w:cstheme="minorHAnsi"/>
        </w:rPr>
        <w:t>PII</w:t>
      </w:r>
      <w:r w:rsidRPr="007B04EA" w:rsidR="00896B4E">
        <w:rPr>
          <w:rFonts w:eastAsia="Times New Roman" w:cstheme="minorHAnsi"/>
        </w:rPr>
        <w:t>)</w:t>
      </w:r>
      <w:r w:rsidRPr="007B04EA">
        <w:rPr>
          <w:rFonts w:eastAsia="Times New Roman" w:cstheme="minorHAnsi"/>
        </w:rPr>
        <w:t xml:space="preserve">. </w:t>
      </w:r>
      <w:r w:rsidRPr="007B04EA" w:rsidR="0007582A">
        <w:rPr>
          <w:rFonts w:eastAsia="Times New Roman" w:cstheme="minorHAnsi"/>
        </w:rPr>
        <w:t xml:space="preserve">The contractor </w:t>
      </w:r>
      <w:r w:rsidRPr="007B04EA">
        <w:rPr>
          <w:rFonts w:eastAsia="Times New Roman" w:cstheme="minorHAnsi"/>
        </w:rPr>
        <w:t>will ensure that all of its employees, subcontractors (at all tiers), and employees of each subcontractor who perform work under this contract/subcontract are trained on data privacy issues and comply with the above requirements. All study staff with access to PII will receive study-specific training on (1) limitations on disclosure; (2) safeguarding the physical work environment; (3) storing, transmitting, and destroying data securely</w:t>
      </w:r>
      <w:r w:rsidRPr="007B04EA" w:rsidR="004A0BDC">
        <w:rPr>
          <w:rFonts w:eastAsia="Times New Roman" w:cstheme="minorHAnsi"/>
        </w:rPr>
        <w:t xml:space="preserve">; and </w:t>
      </w:r>
      <w:r w:rsidRPr="007B04EA" w:rsidR="004A0BDC">
        <w:t>(4) reporting on potential data breaches or incidents that adhere to HHS requirements. The research team conducts additional trainings for staff that are responsible for data that are relevant to their specific data collection roles. For example, focus group facilitators are also trained on ensuring that participants will be able to answer questions in a safe and secure manner</w:t>
      </w:r>
      <w:r w:rsidRPr="007B04EA">
        <w:rPr>
          <w:rFonts w:eastAsia="Times New Roman" w:cstheme="minorHAnsi"/>
        </w:rPr>
        <w:t xml:space="preserve">. These procedures will be documented in training manuals. Refresher training will occur annually. </w:t>
      </w:r>
    </w:p>
    <w:p w:rsidR="002735A0" w:rsidRPr="007B04EA" w:rsidP="00896B4E" w14:paraId="51B15FAD" w14:textId="1CB05F1E">
      <w:pPr>
        <w:spacing w:after="0" w:line="240" w:lineRule="auto"/>
        <w:rPr>
          <w:rFonts w:eastAsia="Times New Roman" w:cstheme="minorHAnsi"/>
        </w:rPr>
      </w:pPr>
    </w:p>
    <w:p w:rsidR="002735A0" w:rsidRPr="007B04EA" w:rsidP="002735A0" w14:paraId="1F9FA4CB" w14:textId="74B0851B">
      <w:pPr>
        <w:pStyle w:val="Paragraph"/>
        <w:spacing w:after="0"/>
        <w:rPr>
          <w:szCs w:val="24"/>
        </w:rPr>
      </w:pPr>
      <w:r w:rsidRPr="007B04EA">
        <w:rPr>
          <w:szCs w:val="24"/>
        </w:rPr>
        <w:t>Notes taken during the focus groups will be kept on the contractor’s internal shared drive with access restricted to the research team.</w:t>
      </w:r>
      <w:r>
        <w:rPr>
          <w:rStyle w:val="FootnoteReference"/>
          <w:szCs w:val="24"/>
        </w:rPr>
        <w:footnoteReference w:id="5"/>
      </w:r>
      <w:r w:rsidRPr="007B04EA">
        <w:rPr>
          <w:szCs w:val="24"/>
        </w:rPr>
        <w:t xml:space="preserve"> The contractor’s research team will de-identify notes by substituting numerical codes for interviewee names as soon as feasible. Interviews may be recorded on digital audio recorders. The contractor’s staff will upload the recordings to a transcription vendor via their secure </w:t>
      </w:r>
      <w:r w:rsidRPr="007B04EA">
        <w:rPr>
          <w:szCs w:val="24"/>
        </w:rPr>
        <w:t>upload process via Box and retrieve the completed transcriptions and download them to a restricted drive on the contractor’s secure server. Once the contractor’s staff confirm that a transcription has been retrieved, the recording will be deleted from the digital audio recorder using a cleaner program (for example, Eraser). Staff conducting these interviews will be trained on doing so in a safe and secure manner, recording and uploading the interviews, and retrieving them securely.</w:t>
      </w:r>
    </w:p>
    <w:p w:rsidR="00896B4E" w:rsidRPr="007B04EA" w:rsidP="005417A1" w14:paraId="5888F7CD" w14:textId="77777777">
      <w:pPr>
        <w:spacing w:after="0" w:line="240" w:lineRule="auto"/>
        <w:rPr>
          <w:rFonts w:eastAsia="Times New Roman" w:cstheme="minorHAnsi"/>
        </w:rPr>
      </w:pPr>
    </w:p>
    <w:p w:rsidR="00140A26" w:rsidRPr="007B04EA" w:rsidP="00896B4E" w14:paraId="79889102" w14:textId="3C3545B3">
      <w:pPr>
        <w:spacing w:after="0" w:line="240" w:lineRule="auto"/>
        <w:rPr>
          <w:rFonts w:eastAsia="Times New Roman" w:cstheme="minorHAnsi"/>
        </w:rPr>
      </w:pPr>
      <w:r w:rsidRPr="007B04EA">
        <w:rPr>
          <w:rFonts w:eastAsia="Times New Roman" w:cstheme="minorHAnsi"/>
        </w:rPr>
        <w:t xml:space="preserve">As specified in the contract, the </w:t>
      </w:r>
      <w:r w:rsidRPr="007B04EA" w:rsidR="0007582A">
        <w:rPr>
          <w:rFonts w:eastAsia="Times New Roman" w:cstheme="minorHAnsi"/>
        </w:rPr>
        <w:t>c</w:t>
      </w:r>
      <w:r w:rsidRPr="007B04EA">
        <w:rPr>
          <w:rFonts w:eastAsia="Times New Roman" w:cstheme="minorHAnsi"/>
        </w:rPr>
        <w:t xml:space="preserve">ontractor shall use Federal Information Processing Standard compliant encryption (Security Requirements for Cryptographic Module, as amended) to protect all instances of sensitive information during storage and transmission. </w:t>
      </w:r>
      <w:r w:rsidRPr="007B04EA" w:rsidR="0007582A">
        <w:rPr>
          <w:rFonts w:eastAsia="Times New Roman" w:cstheme="minorHAnsi"/>
        </w:rPr>
        <w:t xml:space="preserve">The contractor </w:t>
      </w:r>
      <w:r w:rsidRPr="007B04EA">
        <w:rPr>
          <w:rFonts w:eastAsia="Times New Roman" w:cstheme="minorHAnsi"/>
        </w:rPr>
        <w:t xml:space="preserve">will securely generate and manage encryption keys to prevent unauthorized decryption of information, in accordance with the Federal Information Processing Standard. </w:t>
      </w:r>
      <w:r w:rsidRPr="007B04EA" w:rsidR="0007582A">
        <w:rPr>
          <w:rFonts w:eastAsia="Times New Roman" w:cstheme="minorHAnsi"/>
        </w:rPr>
        <w:t xml:space="preserve">The contractor </w:t>
      </w:r>
      <w:r w:rsidRPr="007B04EA">
        <w:rPr>
          <w:rFonts w:eastAsia="Times New Roman" w:cstheme="minorHAnsi"/>
        </w:rPr>
        <w:t xml:space="preserve">will ensure that they incorporate this standard into their property management/control system and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departmental regulations. </w:t>
      </w:r>
    </w:p>
    <w:p w:rsidR="00896B4E" w:rsidRPr="007B04EA" w:rsidP="005417A1" w14:paraId="62BFC49C" w14:textId="77777777">
      <w:pPr>
        <w:spacing w:after="0" w:line="240" w:lineRule="auto"/>
        <w:rPr>
          <w:rFonts w:eastAsia="Times New Roman" w:cstheme="minorHAnsi"/>
        </w:rPr>
      </w:pPr>
    </w:p>
    <w:p w:rsidR="004A0BDC" w:rsidRPr="007B04EA" w:rsidP="005417A1" w14:paraId="0D479ADE" w14:textId="125B8259">
      <w:pPr>
        <w:spacing w:after="0" w:line="240" w:lineRule="auto"/>
        <w:rPr>
          <w:rFonts w:eastAsia="Times New Roman" w:cstheme="minorHAnsi"/>
        </w:rPr>
      </w:pPr>
      <w:r w:rsidRPr="007B04EA">
        <w:t>The contractor wi</w:t>
      </w:r>
      <w:r w:rsidRPr="007B04EA" w:rsidR="003666DA">
        <w:t xml:space="preserve">ll </w:t>
      </w:r>
      <w:r w:rsidRPr="007B04EA">
        <w:t xml:space="preserve">dispose of the primary data and files containing PII or other confidential data created during the course of the study. </w:t>
      </w:r>
      <w:r w:rsidRPr="007B04EA" w:rsidR="003666DA">
        <w:t>The contractor</w:t>
      </w:r>
      <w:r w:rsidRPr="007B04EA">
        <w:t xml:space="preserve"> will retain the data at least through the end of the project's contract. </w:t>
      </w:r>
      <w:r w:rsidRPr="007B04EA" w:rsidR="003666DA">
        <w:t>The contractor</w:t>
      </w:r>
      <w:r w:rsidRPr="007B04EA">
        <w:t xml:space="preserve"> shall destroy data at the end of the contract in accordance with specifications provided by ACF</w:t>
      </w:r>
      <w:r w:rsidRPr="007B04EA" w:rsidR="003666DA">
        <w:t>.</w:t>
      </w:r>
    </w:p>
    <w:p w:rsidR="002560D7" w:rsidRPr="007B04EA" w:rsidP="002560D7" w14:paraId="5EC512F1" w14:textId="4D5DDAB3">
      <w:pPr>
        <w:spacing w:after="0" w:line="240" w:lineRule="auto"/>
      </w:pPr>
    </w:p>
    <w:p w:rsidR="002560D7" w:rsidRPr="007B04EA" w:rsidP="002560D7" w14:paraId="249BE1A4" w14:textId="77777777">
      <w:pPr>
        <w:spacing w:after="0" w:line="240" w:lineRule="auto"/>
      </w:pPr>
    </w:p>
    <w:p w:rsidR="00717BDC" w:rsidRPr="007B04EA" w:rsidP="00D32E6D" w14:paraId="38C28436" w14:textId="393180AB">
      <w:pPr>
        <w:spacing w:after="120" w:line="240" w:lineRule="auto"/>
      </w:pPr>
      <w:r w:rsidRPr="007B04EA">
        <w:rPr>
          <w:b/>
        </w:rPr>
        <w:t>A11</w:t>
      </w:r>
      <w:r w:rsidRPr="007B04EA">
        <w:t>.</w:t>
      </w:r>
      <w:r w:rsidRPr="007B04EA">
        <w:tab/>
      </w:r>
      <w:r w:rsidRPr="007B04EA" w:rsidR="002A41C6">
        <w:rPr>
          <w:b/>
        </w:rPr>
        <w:t>Sensitive Information</w:t>
      </w:r>
      <w:r w:rsidRPr="007B04EA" w:rsidR="002560D7">
        <w:rPr>
          <w:rStyle w:val="FootnoteReference"/>
        </w:rPr>
        <w:t xml:space="preserve"> </w:t>
      </w:r>
      <w:r>
        <w:rPr>
          <w:rStyle w:val="FootnoteReference"/>
        </w:rPr>
        <w:footnoteReference w:id="6"/>
      </w:r>
    </w:p>
    <w:p w:rsidR="0067278A" w:rsidRPr="007B04EA" w:rsidP="00D42A1A" w14:paraId="6EE05DCA" w14:textId="48EB89C7">
      <w:pPr>
        <w:spacing w:after="0" w:line="240" w:lineRule="auto"/>
        <w:rPr>
          <w:szCs w:val="24"/>
        </w:rPr>
      </w:pPr>
      <w:r w:rsidRPr="007B04EA">
        <w:rPr>
          <w:rFonts w:cstheme="minorHAnsi"/>
        </w:rPr>
        <w:t>Th</w:t>
      </w:r>
      <w:r w:rsidRPr="007B04EA" w:rsidR="005D6BEF">
        <w:rPr>
          <w:rFonts w:cstheme="minorHAnsi"/>
        </w:rPr>
        <w:t>ough it won’t be explicitly prompted, th</w:t>
      </w:r>
      <w:r w:rsidRPr="007B04EA">
        <w:rPr>
          <w:rFonts w:cstheme="minorHAnsi"/>
        </w:rPr>
        <w:t xml:space="preserve">e research team may collect sensitive information related to </w:t>
      </w:r>
      <w:r w:rsidRPr="007B04EA" w:rsidR="002735A0">
        <w:rPr>
          <w:rFonts w:cstheme="minorHAnsi"/>
        </w:rPr>
        <w:t>gender identi</w:t>
      </w:r>
      <w:r w:rsidRPr="007B04EA" w:rsidR="00AD37DD">
        <w:rPr>
          <w:rFonts w:cstheme="minorHAnsi"/>
        </w:rPr>
        <w:t>t</w:t>
      </w:r>
      <w:r w:rsidRPr="007B04EA" w:rsidR="002735A0">
        <w:rPr>
          <w:rFonts w:cstheme="minorHAnsi"/>
        </w:rPr>
        <w:t xml:space="preserve">y, </w:t>
      </w:r>
      <w:r w:rsidRPr="007B04EA">
        <w:rPr>
          <w:rFonts w:cstheme="minorHAnsi"/>
        </w:rPr>
        <w:t>receipt of economic assistance</w:t>
      </w:r>
      <w:r w:rsidRPr="007B04EA" w:rsidR="00866C7F">
        <w:rPr>
          <w:rFonts w:cstheme="minorHAnsi"/>
        </w:rPr>
        <w:t>,</w:t>
      </w:r>
      <w:r w:rsidRPr="007B04EA">
        <w:rPr>
          <w:rFonts w:cstheme="minorHAnsi"/>
        </w:rPr>
        <w:t xml:space="preserve"> or immigration/citizenship status</w:t>
      </w:r>
      <w:r w:rsidRPr="007B04EA" w:rsidR="005D6BEF">
        <w:rPr>
          <w:rFonts w:cstheme="minorHAnsi"/>
        </w:rPr>
        <w:t xml:space="preserve"> if respondents volunteer such information as part of the focus group discussions</w:t>
      </w:r>
      <w:r w:rsidRPr="007B04EA">
        <w:rPr>
          <w:rFonts w:cstheme="minorHAnsi"/>
        </w:rPr>
        <w:t xml:space="preserve">. </w:t>
      </w:r>
      <w:r w:rsidRPr="007B04EA" w:rsidR="002735A0">
        <w:rPr>
          <w:rFonts w:cstheme="minorHAnsi"/>
        </w:rPr>
        <w:t xml:space="preserve">We are asking this demographic information to be able to describe the types of families that provided input within the brief that we will develop. </w:t>
      </w:r>
      <w:r w:rsidRPr="007B04EA" w:rsidR="00730347">
        <w:rPr>
          <w:rFonts w:cstheme="minorHAnsi"/>
        </w:rPr>
        <w:t xml:space="preserve">Although </w:t>
      </w:r>
      <w:r w:rsidRPr="007B04EA">
        <w:rPr>
          <w:rFonts w:cstheme="minorHAnsi"/>
        </w:rPr>
        <w:t xml:space="preserve">uncovering this type of information is not the focus of </w:t>
      </w:r>
      <w:r w:rsidRPr="007B04EA" w:rsidR="00595088">
        <w:rPr>
          <w:rFonts w:cstheme="minorHAnsi"/>
        </w:rPr>
        <w:t>the</w:t>
      </w:r>
      <w:r w:rsidRPr="007B04EA">
        <w:rPr>
          <w:rFonts w:cstheme="minorHAnsi"/>
        </w:rPr>
        <w:t xml:space="preserve"> study, it may be relevant to the types of services that focus group respondents receive from the </w:t>
      </w:r>
      <w:r w:rsidRPr="007B04EA" w:rsidR="00595088">
        <w:rPr>
          <w:rFonts w:cstheme="minorHAnsi"/>
        </w:rPr>
        <w:t>programs or interventions aimed at increasing their economic security</w:t>
      </w:r>
      <w:r w:rsidRPr="007B04EA">
        <w:rPr>
          <w:rFonts w:cstheme="minorHAnsi"/>
        </w:rPr>
        <w:t xml:space="preserve">. It is also possible that respondents may speak critically of partners, services, or programs during conversations. Questions about their experiences are necessary to learn about when informing a broader understanding of how </w:t>
      </w:r>
      <w:r w:rsidRPr="007B04EA" w:rsidR="00595088">
        <w:rPr>
          <w:rFonts w:cstheme="minorHAnsi"/>
        </w:rPr>
        <w:t>they define social well-being</w:t>
      </w:r>
      <w:r w:rsidRPr="007B04EA">
        <w:rPr>
          <w:rFonts w:cstheme="minorHAnsi"/>
        </w:rPr>
        <w:t xml:space="preserve">. </w:t>
      </w:r>
      <w:r w:rsidRPr="007B04EA" w:rsidR="00730347">
        <w:rPr>
          <w:rFonts w:cstheme="minorHAnsi"/>
        </w:rPr>
        <w:t xml:space="preserve">Given the </w:t>
      </w:r>
      <w:r w:rsidRPr="007B04EA" w:rsidR="009625BE">
        <w:rPr>
          <w:rFonts w:cstheme="minorHAnsi"/>
        </w:rPr>
        <w:t>open-ended</w:t>
      </w:r>
      <w:r w:rsidRPr="007B04EA" w:rsidR="00730347">
        <w:rPr>
          <w:rFonts w:cstheme="minorHAnsi"/>
        </w:rPr>
        <w:t xml:space="preserve"> nature of focus group questions, </w:t>
      </w:r>
      <w:r w:rsidRPr="007B04EA" w:rsidR="009625BE">
        <w:rPr>
          <w:rFonts w:cstheme="minorHAnsi"/>
        </w:rPr>
        <w:t xml:space="preserve">respondents may volunteer other sensitive information, although no other sensitive information is explicitly prompted. </w:t>
      </w:r>
      <w:r w:rsidRPr="007B04EA">
        <w:rPr>
          <w:rFonts w:cstheme="minorHAnsi"/>
        </w:rPr>
        <w:t>Data will be handled and monitored securely and notes de-identified, as described above.</w:t>
      </w:r>
    </w:p>
    <w:p w:rsidR="0067278A" w:rsidRPr="007B04EA" w:rsidP="00D42A1A" w14:paraId="751EC997" w14:textId="77777777">
      <w:pPr>
        <w:spacing w:after="0" w:line="240" w:lineRule="auto"/>
        <w:rPr>
          <w:szCs w:val="24"/>
        </w:rPr>
      </w:pPr>
    </w:p>
    <w:p w:rsidR="00D42A1A" w:rsidRPr="007B04EA" w:rsidP="00D42A1A" w14:paraId="21F21EDE" w14:textId="2D2FBA89">
      <w:pPr>
        <w:spacing w:after="0" w:line="240" w:lineRule="auto"/>
        <w:rPr>
          <w:rFonts w:cstheme="minorHAnsi"/>
        </w:rPr>
      </w:pPr>
      <w:r w:rsidRPr="007B04EA">
        <w:rPr>
          <w:rFonts w:cstheme="minorHAnsi"/>
        </w:rPr>
        <w:t>Th</w:t>
      </w:r>
      <w:r w:rsidRPr="007B04EA" w:rsidR="0067278A">
        <w:rPr>
          <w:rFonts w:cstheme="minorHAnsi"/>
        </w:rPr>
        <w:t xml:space="preserve">is study </w:t>
      </w:r>
      <w:r w:rsidRPr="007B04EA" w:rsidR="004C34D7">
        <w:rPr>
          <w:rFonts w:cstheme="minorHAnsi"/>
        </w:rPr>
        <w:t>will be</w:t>
      </w:r>
      <w:r w:rsidRPr="007B04EA" w:rsidR="0067278A">
        <w:rPr>
          <w:rFonts w:cstheme="minorHAnsi"/>
        </w:rPr>
        <w:t xml:space="preserve"> submitted to the contractor’s Institutional Review Board</w:t>
      </w:r>
      <w:r w:rsidRPr="007B04EA">
        <w:rPr>
          <w:rFonts w:cstheme="minorHAnsi"/>
        </w:rPr>
        <w:t xml:space="preserve"> </w:t>
      </w:r>
      <w:r w:rsidRPr="007B04EA" w:rsidR="0067278A">
        <w:rPr>
          <w:rFonts w:cstheme="minorHAnsi"/>
        </w:rPr>
        <w:t>(</w:t>
      </w:r>
      <w:r w:rsidRPr="007B04EA">
        <w:rPr>
          <w:rFonts w:cstheme="minorHAnsi"/>
        </w:rPr>
        <w:t>IRB</w:t>
      </w:r>
      <w:r w:rsidRPr="007B04EA" w:rsidR="0067278A">
        <w:rPr>
          <w:rFonts w:cstheme="minorHAnsi"/>
        </w:rPr>
        <w:t>)</w:t>
      </w:r>
      <w:r w:rsidRPr="007B04EA" w:rsidR="004C34D7">
        <w:rPr>
          <w:rFonts w:cstheme="minorHAnsi"/>
        </w:rPr>
        <w:t>, HLM IRB</w:t>
      </w:r>
      <w:r w:rsidRPr="007B04EA" w:rsidR="0067278A">
        <w:rPr>
          <w:rFonts w:cstheme="minorHAnsi"/>
        </w:rPr>
        <w:t>.</w:t>
      </w:r>
      <w:r w:rsidRPr="007B04EA">
        <w:rPr>
          <w:rFonts w:cstheme="minorHAnsi"/>
        </w:rPr>
        <w:t xml:space="preserve"> </w:t>
      </w:r>
      <w:r w:rsidRPr="007B04EA" w:rsidR="0067278A">
        <w:rPr>
          <w:rFonts w:cstheme="minorHAnsi"/>
        </w:rPr>
        <w:t>R</w:t>
      </w:r>
      <w:r w:rsidRPr="007B04EA">
        <w:rPr>
          <w:rFonts w:cstheme="minorHAnsi"/>
        </w:rPr>
        <w:t xml:space="preserve">eview will be finalized by the time data collection begins. </w:t>
      </w:r>
    </w:p>
    <w:p w:rsidR="00D32E6D" w:rsidRPr="007B04EA" w:rsidP="00D32E6D" w14:paraId="65524C3D" w14:textId="529DE00D">
      <w:pPr>
        <w:spacing w:after="0" w:line="240" w:lineRule="auto"/>
        <w:rPr>
          <w:rFonts w:cstheme="minorHAnsi"/>
        </w:rPr>
      </w:pPr>
    </w:p>
    <w:p w:rsidR="00D32E6D" w:rsidRPr="007B04EA" w:rsidP="00D32E6D" w14:paraId="0DA926DF" w14:textId="77777777">
      <w:pPr>
        <w:spacing w:after="0" w:line="240" w:lineRule="auto"/>
        <w:rPr>
          <w:rFonts w:cstheme="minorHAnsi"/>
        </w:rPr>
      </w:pPr>
    </w:p>
    <w:p w:rsidR="00230CAA" w:rsidRPr="007B04EA" w:rsidP="001F0446" w14:paraId="1316A99D" w14:textId="4C48D95C">
      <w:pPr>
        <w:spacing w:after="120" w:line="240" w:lineRule="auto"/>
        <w:rPr>
          <w:b/>
        </w:rPr>
      </w:pPr>
      <w:r w:rsidRPr="007B04EA">
        <w:rPr>
          <w:b/>
        </w:rPr>
        <w:t>A12</w:t>
      </w:r>
      <w:r w:rsidRPr="007B04EA">
        <w:t>.</w:t>
      </w:r>
      <w:r w:rsidRPr="007B04EA">
        <w:tab/>
      </w:r>
      <w:r w:rsidRPr="007B04EA" w:rsidR="005D4A40">
        <w:rPr>
          <w:b/>
        </w:rPr>
        <w:t>Burden</w:t>
      </w:r>
    </w:p>
    <w:p w:rsidR="00230CAA" w:rsidRPr="007B04EA" w:rsidP="001F0446" w14:paraId="5972B4E8" w14:textId="19743EC4">
      <w:pPr>
        <w:spacing w:after="120" w:line="240" w:lineRule="auto"/>
        <w:rPr>
          <w:i/>
        </w:rPr>
      </w:pPr>
      <w:r w:rsidRPr="007B04EA">
        <w:rPr>
          <w:i/>
        </w:rPr>
        <w:t>Explanation of Burden Estimates</w:t>
      </w:r>
    </w:p>
    <w:p w:rsidR="004D66BF" w:rsidRPr="007B04EA" w:rsidP="004D66BF" w14:paraId="4FE15EED" w14:textId="2CC713E9">
      <w:pPr>
        <w:pStyle w:val="CommentText"/>
        <w:spacing w:after="0"/>
        <w:rPr>
          <w:iCs/>
          <w:sz w:val="24"/>
          <w:szCs w:val="24"/>
        </w:rPr>
      </w:pPr>
      <w:r w:rsidRPr="007B04EA">
        <w:rPr>
          <w:iCs/>
          <w:sz w:val="24"/>
          <w:szCs w:val="24"/>
        </w:rPr>
        <w:t>The research team plans to conduct seven focus groups with up to eight parents</w:t>
      </w:r>
      <w:r w:rsidRPr="007B04EA" w:rsidR="005A74F1">
        <w:rPr>
          <w:iCs/>
          <w:sz w:val="24"/>
          <w:szCs w:val="24"/>
        </w:rPr>
        <w:t xml:space="preserve"> or caregivers</w:t>
      </w:r>
      <w:r w:rsidRPr="007B04EA" w:rsidR="00661A60">
        <w:rPr>
          <w:iCs/>
          <w:sz w:val="24"/>
          <w:szCs w:val="24"/>
        </w:rPr>
        <w:t>.</w:t>
      </w:r>
      <w:r w:rsidRPr="007B04EA" w:rsidR="00D921BC">
        <w:rPr>
          <w:iCs/>
          <w:sz w:val="24"/>
          <w:szCs w:val="24"/>
        </w:rPr>
        <w:t xml:space="preserve"> </w:t>
      </w:r>
      <w:r w:rsidRPr="007B04EA" w:rsidR="00073137">
        <w:rPr>
          <w:iCs/>
          <w:sz w:val="24"/>
          <w:szCs w:val="24"/>
        </w:rPr>
        <w:t xml:space="preserve">The focus groups will take place over 90 minutes. We have estimated burden related to the </w:t>
      </w:r>
      <w:r w:rsidRPr="007B04EA" w:rsidR="00FA725F">
        <w:rPr>
          <w:iCs/>
          <w:sz w:val="24"/>
          <w:szCs w:val="24"/>
        </w:rPr>
        <w:t>GenIC</w:t>
      </w:r>
      <w:r w:rsidRPr="007B04EA" w:rsidR="00073137">
        <w:rPr>
          <w:iCs/>
          <w:sz w:val="24"/>
          <w:szCs w:val="24"/>
        </w:rPr>
        <w:t xml:space="preserve"> to be 2 hours, to account for the time to prepare to learn about the focus groups and to correspond with the research team about the time and location of the groups. </w:t>
      </w:r>
    </w:p>
    <w:p w:rsidR="004D66BF" w:rsidRPr="007B04EA" w:rsidP="004D66BF" w14:paraId="6528CAA9" w14:textId="77777777">
      <w:pPr>
        <w:pStyle w:val="CommentText"/>
        <w:spacing w:after="0"/>
        <w:rPr>
          <w:i/>
        </w:rPr>
      </w:pPr>
    </w:p>
    <w:p w:rsidR="004D66BF" w:rsidRPr="007B04EA" w:rsidP="004D66BF" w14:paraId="6528C886" w14:textId="212A0C5B">
      <w:pPr>
        <w:pStyle w:val="CommentText"/>
        <w:spacing w:after="60"/>
        <w:rPr>
          <w:iCs/>
          <w:sz w:val="28"/>
          <w:szCs w:val="28"/>
        </w:rPr>
      </w:pPr>
      <w:r w:rsidRPr="007B04EA">
        <w:rPr>
          <w:i/>
          <w:sz w:val="22"/>
          <w:szCs w:val="22"/>
        </w:rPr>
        <w:t>Estimated Annualized Cost to Respondents</w:t>
      </w:r>
    </w:p>
    <w:p w:rsidR="001F0446" w:rsidRPr="007B04EA" w:rsidP="004D66BF" w14:paraId="445F4F0F" w14:textId="14037EEB">
      <w:pPr>
        <w:pStyle w:val="CommentText"/>
        <w:spacing w:after="0"/>
        <w:rPr>
          <w:i/>
          <w:sz w:val="24"/>
          <w:szCs w:val="24"/>
        </w:rPr>
      </w:pPr>
      <w:r w:rsidRPr="007B04EA">
        <w:rPr>
          <w:iCs/>
          <w:sz w:val="24"/>
          <w:szCs w:val="24"/>
        </w:rPr>
        <w:t>We estimate respondents hourly wage as the Federal minimum wage of $7.25</w:t>
      </w:r>
      <w:r w:rsidRPr="007B04EA" w:rsidR="00622C74">
        <w:rPr>
          <w:iCs/>
          <w:sz w:val="24"/>
          <w:szCs w:val="24"/>
        </w:rPr>
        <w:t xml:space="preserve"> (U.S. Department of Labor)</w:t>
      </w:r>
      <w:r w:rsidRPr="007B04EA">
        <w:rPr>
          <w:iCs/>
          <w:sz w:val="24"/>
          <w:szCs w:val="24"/>
        </w:rPr>
        <w:t xml:space="preserve">. </w:t>
      </w:r>
    </w:p>
    <w:p w:rsidR="001F0446" w:rsidRPr="007B04EA" w:rsidP="001F0446" w14:paraId="2DFBEA9F" w14:textId="26D04DF9">
      <w:pPr>
        <w:spacing w:after="120" w:line="240" w:lineRule="auto"/>
        <w:rPr>
          <w:i/>
        </w:rPr>
      </w:pPr>
    </w:p>
    <w:tbl>
      <w:tblPr>
        <w:tblStyle w:val="TableGrid"/>
        <w:tblW w:w="9157" w:type="dxa"/>
        <w:tblInd w:w="108" w:type="dxa"/>
        <w:tblLayout w:type="fixed"/>
        <w:tblLook w:val="01E0"/>
      </w:tblPr>
      <w:tblGrid>
        <w:gridCol w:w="2047"/>
        <w:gridCol w:w="1350"/>
        <w:gridCol w:w="1620"/>
        <w:gridCol w:w="1170"/>
        <w:gridCol w:w="810"/>
        <w:gridCol w:w="900"/>
        <w:gridCol w:w="1260"/>
      </w:tblGrid>
      <w:tr w14:paraId="10E15412" w14:textId="77777777" w:rsidTr="004D66BF">
        <w:tblPrEx>
          <w:tblW w:w="9157" w:type="dxa"/>
          <w:tblInd w:w="108" w:type="dxa"/>
          <w:tblLayout w:type="fixed"/>
          <w:tblLook w:val="01E0"/>
        </w:tblPrEx>
        <w:tc>
          <w:tcPr>
            <w:tcW w:w="2047" w:type="dxa"/>
            <w:shd w:val="clear" w:color="auto" w:fill="BFBFBF" w:themeFill="background1" w:themeFillShade="BF"/>
            <w:hideMark/>
          </w:tcPr>
          <w:p w:rsidR="00512237" w:rsidRPr="007B04EA" w:rsidP="00373D2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B04EA">
              <w:rPr>
                <w:rFonts w:asciiTheme="minorHAnsi" w:hAnsiTheme="minorHAnsi" w:cstheme="minorHAnsi"/>
                <w:bCs/>
              </w:rPr>
              <w:t xml:space="preserve">Instrument </w:t>
            </w:r>
          </w:p>
        </w:tc>
        <w:tc>
          <w:tcPr>
            <w:tcW w:w="1350" w:type="dxa"/>
            <w:shd w:val="clear" w:color="auto" w:fill="BFBFBF" w:themeFill="background1" w:themeFillShade="BF"/>
            <w:hideMark/>
          </w:tcPr>
          <w:p w:rsidR="00512237" w:rsidRPr="007B04EA"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B04EA">
              <w:rPr>
                <w:rFonts w:asciiTheme="minorHAnsi" w:hAnsiTheme="minorHAnsi" w:cstheme="minorHAnsi"/>
                <w:bCs/>
              </w:rPr>
              <w:t>No. of Respondents (total over request period)</w:t>
            </w:r>
          </w:p>
        </w:tc>
        <w:tc>
          <w:tcPr>
            <w:tcW w:w="1620" w:type="dxa"/>
            <w:shd w:val="clear" w:color="auto" w:fill="BFBFBF" w:themeFill="background1" w:themeFillShade="BF"/>
            <w:hideMark/>
          </w:tcPr>
          <w:p w:rsidR="00512237" w:rsidRPr="007B04EA"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B04EA">
              <w:rPr>
                <w:rFonts w:asciiTheme="minorHAnsi" w:hAnsiTheme="minorHAnsi" w:cstheme="minorHAnsi"/>
                <w:bCs/>
              </w:rPr>
              <w:t>No. of Responses per Respondent (total over request period)</w:t>
            </w:r>
          </w:p>
        </w:tc>
        <w:tc>
          <w:tcPr>
            <w:tcW w:w="1170" w:type="dxa"/>
            <w:shd w:val="clear" w:color="auto" w:fill="BFBFBF" w:themeFill="background1" w:themeFillShade="BF"/>
            <w:hideMark/>
          </w:tcPr>
          <w:p w:rsidR="00512237" w:rsidRPr="007B04EA"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B04EA">
              <w:rPr>
                <w:rFonts w:asciiTheme="minorHAnsi" w:hAnsiTheme="minorHAnsi" w:cstheme="minorHAnsi"/>
                <w:bCs/>
              </w:rPr>
              <w:t>Avg. Burden per Response (in hours)</w:t>
            </w:r>
          </w:p>
        </w:tc>
        <w:tc>
          <w:tcPr>
            <w:tcW w:w="810" w:type="dxa"/>
            <w:shd w:val="clear" w:color="auto" w:fill="BFBFBF" w:themeFill="background1" w:themeFillShade="BF"/>
            <w:hideMark/>
          </w:tcPr>
          <w:p w:rsidR="00512237" w:rsidRPr="007B04EA" w:rsidP="00373D2F" w14:paraId="59B5D063" w14:textId="6D8813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B04EA">
              <w:rPr>
                <w:rFonts w:asciiTheme="minorHAnsi" w:hAnsiTheme="minorHAnsi" w:cstheme="minorHAnsi"/>
                <w:bCs/>
              </w:rPr>
              <w:t>Total/Annual Burden (in hours)</w:t>
            </w:r>
          </w:p>
        </w:tc>
        <w:tc>
          <w:tcPr>
            <w:tcW w:w="900" w:type="dxa"/>
            <w:shd w:val="clear" w:color="auto" w:fill="BFBFBF" w:themeFill="background1" w:themeFillShade="BF"/>
            <w:hideMark/>
          </w:tcPr>
          <w:p w:rsidR="00512237" w:rsidRPr="007B04EA" w:rsidP="00373D2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B04EA">
              <w:rPr>
                <w:rFonts w:asciiTheme="minorHAnsi" w:hAnsiTheme="minorHAnsi" w:cstheme="minorHAnsi"/>
                <w:bCs/>
              </w:rPr>
              <w:t>Average Hourly Wage Rate</w:t>
            </w:r>
          </w:p>
        </w:tc>
        <w:tc>
          <w:tcPr>
            <w:tcW w:w="1260" w:type="dxa"/>
            <w:shd w:val="clear" w:color="auto" w:fill="BFBFBF" w:themeFill="background1" w:themeFillShade="BF"/>
            <w:hideMark/>
          </w:tcPr>
          <w:p w:rsidR="00512237" w:rsidRPr="007B04EA" w:rsidP="00373D2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B04EA">
              <w:rPr>
                <w:rFonts w:asciiTheme="minorHAnsi" w:hAnsiTheme="minorHAnsi" w:cstheme="minorHAnsi"/>
                <w:bCs/>
              </w:rPr>
              <w:t>Total Annual Respondent Cost</w:t>
            </w:r>
          </w:p>
        </w:tc>
      </w:tr>
      <w:tr w14:paraId="6B5B6719" w14:textId="77777777" w:rsidTr="004D66BF">
        <w:tblPrEx>
          <w:tblW w:w="9157" w:type="dxa"/>
          <w:tblInd w:w="108" w:type="dxa"/>
          <w:tblLayout w:type="fixed"/>
          <w:tblLook w:val="01E0"/>
        </w:tblPrEx>
        <w:tc>
          <w:tcPr>
            <w:tcW w:w="2047" w:type="dxa"/>
          </w:tcPr>
          <w:p w:rsidR="00512237" w:rsidRPr="007B04EA" w:rsidP="00373D2F" w14:paraId="2F62EEA9" w14:textId="7F7481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B04EA">
              <w:rPr>
                <w:rFonts w:asciiTheme="minorHAnsi" w:hAnsiTheme="minorHAnsi" w:cstheme="minorHAnsi"/>
                <w:bCs/>
              </w:rPr>
              <w:t>Focus group</w:t>
            </w:r>
            <w:r w:rsidRPr="007B04EA">
              <w:rPr>
                <w:rFonts w:asciiTheme="minorHAnsi" w:hAnsiTheme="minorHAnsi" w:cstheme="minorHAnsi"/>
              </w:rPr>
              <w:t xml:space="preserve"> discussion guide</w:t>
            </w:r>
          </w:p>
        </w:tc>
        <w:tc>
          <w:tcPr>
            <w:tcW w:w="1350" w:type="dxa"/>
            <w:vAlign w:val="center"/>
          </w:tcPr>
          <w:p w:rsidR="00512237" w:rsidRPr="007B04EA" w:rsidP="00373D2F" w14:paraId="734CE33C" w14:textId="664BBF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B04EA">
              <w:rPr>
                <w:rFonts w:asciiTheme="minorHAnsi" w:hAnsiTheme="minorHAnsi" w:cstheme="minorHAnsi"/>
                <w:bCs/>
              </w:rPr>
              <w:t>56</w:t>
            </w:r>
          </w:p>
        </w:tc>
        <w:tc>
          <w:tcPr>
            <w:tcW w:w="1620" w:type="dxa"/>
            <w:vAlign w:val="center"/>
          </w:tcPr>
          <w:p w:rsidR="00512237" w:rsidRPr="007B04EA" w:rsidP="00373D2F" w14:paraId="67B65A40" w14:textId="02F8AB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B04EA">
              <w:rPr>
                <w:rFonts w:asciiTheme="minorHAnsi" w:hAnsiTheme="minorHAnsi" w:cstheme="minorHAnsi"/>
                <w:bCs/>
              </w:rPr>
              <w:t>1</w:t>
            </w:r>
          </w:p>
        </w:tc>
        <w:tc>
          <w:tcPr>
            <w:tcW w:w="1170" w:type="dxa"/>
            <w:vAlign w:val="center"/>
          </w:tcPr>
          <w:p w:rsidR="00512237" w:rsidRPr="007B04EA" w:rsidP="00373D2F" w14:paraId="59B12C61" w14:textId="160CDA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B04EA">
              <w:rPr>
                <w:rFonts w:asciiTheme="minorHAnsi" w:hAnsiTheme="minorHAnsi" w:cstheme="minorHAnsi"/>
                <w:bCs/>
              </w:rPr>
              <w:t>2</w:t>
            </w:r>
          </w:p>
        </w:tc>
        <w:tc>
          <w:tcPr>
            <w:tcW w:w="810" w:type="dxa"/>
            <w:vAlign w:val="center"/>
          </w:tcPr>
          <w:p w:rsidR="00512237" w:rsidRPr="007B04EA" w:rsidP="00373D2F" w14:paraId="7D006AFD" w14:textId="0618A5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B04EA">
              <w:rPr>
                <w:rFonts w:asciiTheme="minorHAnsi" w:hAnsiTheme="minorHAnsi" w:cstheme="minorHAnsi"/>
                <w:bCs/>
              </w:rPr>
              <w:t>112</w:t>
            </w:r>
          </w:p>
        </w:tc>
        <w:tc>
          <w:tcPr>
            <w:tcW w:w="900" w:type="dxa"/>
            <w:vAlign w:val="center"/>
            <w:hideMark/>
          </w:tcPr>
          <w:p w:rsidR="00512237" w:rsidRPr="007B04EA" w:rsidP="00373D2F" w14:paraId="14155F61" w14:textId="3E1F92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B04EA">
              <w:rPr>
                <w:rFonts w:asciiTheme="minorHAnsi" w:hAnsiTheme="minorHAnsi" w:cstheme="minorHAnsi"/>
                <w:bCs/>
              </w:rPr>
              <w:t>$7.25</w:t>
            </w:r>
          </w:p>
        </w:tc>
        <w:tc>
          <w:tcPr>
            <w:tcW w:w="1260" w:type="dxa"/>
            <w:vAlign w:val="center"/>
            <w:hideMark/>
          </w:tcPr>
          <w:p w:rsidR="00512237" w:rsidRPr="007B04EA" w:rsidP="00373D2F" w14:paraId="12F8BC45" w14:textId="7A9458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B04EA">
              <w:rPr>
                <w:rFonts w:asciiTheme="minorHAnsi" w:hAnsiTheme="minorHAnsi" w:cstheme="minorHAnsi"/>
                <w:bCs/>
              </w:rPr>
              <w:t>$</w:t>
            </w:r>
            <w:r w:rsidRPr="007B04EA" w:rsidR="00661A60">
              <w:rPr>
                <w:rFonts w:asciiTheme="minorHAnsi" w:hAnsiTheme="minorHAnsi" w:cstheme="minorHAnsi"/>
                <w:bCs/>
              </w:rPr>
              <w:t>812</w:t>
            </w:r>
          </w:p>
        </w:tc>
      </w:tr>
    </w:tbl>
    <w:p w:rsidR="001F0446" w:rsidRPr="007B04EA" w:rsidP="00373D2F" w14:paraId="46E3F421" w14:textId="4D41B6A9">
      <w:pPr>
        <w:spacing w:after="0" w:line="240" w:lineRule="auto"/>
      </w:pPr>
    </w:p>
    <w:p w:rsidR="001F0446" w:rsidRPr="007B04EA" w:rsidP="00373D2F" w14:paraId="6D094BD5" w14:textId="77777777">
      <w:pPr>
        <w:spacing w:after="0" w:line="240" w:lineRule="auto"/>
      </w:pPr>
    </w:p>
    <w:p w:rsidR="00373D2F" w:rsidRPr="007B04EA" w:rsidP="00577243" w14:paraId="3D55F30E" w14:textId="079CEC34">
      <w:pPr>
        <w:spacing w:after="120" w:line="240" w:lineRule="auto"/>
        <w:rPr>
          <w:rFonts w:cstheme="minorHAnsi"/>
        </w:rPr>
      </w:pPr>
      <w:r w:rsidRPr="007B04EA">
        <w:rPr>
          <w:rFonts w:cstheme="minorHAnsi"/>
          <w:b/>
        </w:rPr>
        <w:t>A13</w:t>
      </w:r>
      <w:r w:rsidRPr="007B04EA">
        <w:rPr>
          <w:rFonts w:cstheme="minorHAnsi"/>
        </w:rPr>
        <w:t>.</w:t>
      </w:r>
      <w:r w:rsidRPr="007B04EA">
        <w:rPr>
          <w:rFonts w:cstheme="minorHAnsi"/>
        </w:rPr>
        <w:tab/>
      </w:r>
      <w:r w:rsidRPr="007B04EA" w:rsidR="00083227">
        <w:rPr>
          <w:rFonts w:cstheme="minorHAnsi"/>
          <w:b/>
        </w:rPr>
        <w:t>Costs</w:t>
      </w:r>
    </w:p>
    <w:p w:rsidR="00373D2F" w:rsidRPr="007B04EA" w:rsidP="00577243" w14:paraId="0FF19BD8" w14:textId="20F46F73">
      <w:pPr>
        <w:autoSpaceDE w:val="0"/>
        <w:autoSpaceDN w:val="0"/>
        <w:adjustRightInd w:val="0"/>
        <w:spacing w:after="0" w:line="240" w:lineRule="auto"/>
        <w:rPr>
          <w:rFonts w:cstheme="minorHAnsi"/>
        </w:rPr>
      </w:pPr>
      <w:r w:rsidRPr="007B04EA">
        <w:rPr>
          <w:rFonts w:cstheme="minorHAnsi"/>
        </w:rPr>
        <w:t xml:space="preserve">There are no additional costs to respondents. </w:t>
      </w:r>
    </w:p>
    <w:p w:rsidR="00577243" w:rsidRPr="007B04EA" w:rsidP="00577243" w14:paraId="262B006D" w14:textId="77CB1835">
      <w:pPr>
        <w:autoSpaceDE w:val="0"/>
        <w:autoSpaceDN w:val="0"/>
        <w:adjustRightInd w:val="0"/>
        <w:spacing w:after="0" w:line="240" w:lineRule="auto"/>
        <w:rPr>
          <w:rFonts w:cstheme="minorHAnsi"/>
        </w:rPr>
      </w:pPr>
    </w:p>
    <w:p w:rsidR="00577243" w:rsidRPr="007B04EA" w:rsidP="00577243" w14:paraId="456CA4E3" w14:textId="77777777">
      <w:pPr>
        <w:autoSpaceDE w:val="0"/>
        <w:autoSpaceDN w:val="0"/>
        <w:adjustRightInd w:val="0"/>
        <w:spacing w:after="0" w:line="240" w:lineRule="auto"/>
        <w:rPr>
          <w:rFonts w:cstheme="minorHAnsi"/>
        </w:rPr>
      </w:pPr>
    </w:p>
    <w:p w:rsidR="00373D2F" w:rsidRPr="007B04EA" w:rsidP="00577243" w14:paraId="6D7CE77A" w14:textId="01F078C4">
      <w:pPr>
        <w:spacing w:after="120" w:line="240" w:lineRule="auto"/>
        <w:rPr>
          <w:rFonts w:cstheme="minorHAnsi"/>
        </w:rPr>
      </w:pPr>
      <w:r w:rsidRPr="007B04EA">
        <w:rPr>
          <w:rFonts w:cstheme="minorHAnsi"/>
          <w:b/>
        </w:rPr>
        <w:t>A14</w:t>
      </w:r>
      <w:r w:rsidRPr="007B04EA">
        <w:rPr>
          <w:rFonts w:cstheme="minorHAnsi"/>
        </w:rPr>
        <w:t>.</w:t>
      </w:r>
      <w:r w:rsidRPr="007B04EA">
        <w:rPr>
          <w:rFonts w:cstheme="minorHAnsi"/>
        </w:rPr>
        <w:tab/>
      </w:r>
      <w:r w:rsidRPr="007B04EA" w:rsidR="00577243">
        <w:rPr>
          <w:rFonts w:cstheme="minorHAnsi"/>
          <w:b/>
        </w:rPr>
        <w:t>Estimated Annualized Costs to the Federal Government</w:t>
      </w:r>
      <w:r w:rsidRPr="007B04EA" w:rsidR="00577243">
        <w:rPr>
          <w:rFonts w:cstheme="minorHAnsi"/>
        </w:rPr>
        <w:t xml:space="preserve"> </w:t>
      </w:r>
    </w:p>
    <w:p w:rsidR="00B13DC4" w:rsidRPr="007B04EA" w:rsidP="00B13DC4" w14:paraId="7ED67F4E" w14:textId="388FA2A3">
      <w:r w:rsidRPr="007B04EA">
        <w:rPr>
          <w:rFonts w:cstheme="minorHAnsi"/>
        </w:rPr>
        <w:t>The total/annual cost for the data collection activities under this request will be</w:t>
      </w:r>
      <w:r w:rsidRPr="007B04EA" w:rsidR="00690DF0">
        <w:rPr>
          <w:rFonts w:cstheme="minorHAnsi"/>
        </w:rPr>
        <w:t xml:space="preserve"> $</w:t>
      </w:r>
      <w:r w:rsidRPr="007B04EA" w:rsidR="00111471">
        <w:rPr>
          <w:rFonts w:cstheme="minorHAnsi"/>
        </w:rPr>
        <w:t>131</w:t>
      </w:r>
      <w:r w:rsidRPr="007B04EA" w:rsidR="00690DF0">
        <w:rPr>
          <w:rFonts w:cstheme="minorHAnsi"/>
        </w:rPr>
        <w:t>,</w:t>
      </w:r>
      <w:r w:rsidRPr="007B04EA" w:rsidR="00111471">
        <w:rPr>
          <w:rFonts w:cstheme="minorHAnsi"/>
        </w:rPr>
        <w:t>713</w:t>
      </w:r>
      <w:r w:rsidRPr="007B04EA" w:rsidR="00690DF0">
        <w:rPr>
          <w:rFonts w:cstheme="minorHAnsi"/>
        </w:rPr>
        <w:t>.</w:t>
      </w:r>
      <w:r w:rsidRPr="007B04EA" w:rsidR="00F942D9">
        <w:rPr>
          <w:rFonts w:cstheme="minorHAnsi"/>
        </w:rPr>
        <w:t xml:space="preserve"> </w:t>
      </w:r>
      <w:r w:rsidRPr="007B04EA" w:rsidR="005803AA">
        <w:rPr>
          <w:rFonts w:cstheme="minorHAnsi"/>
        </w:rPr>
        <w:t>This include</w:t>
      </w:r>
      <w:r w:rsidRPr="007B04EA" w:rsidR="00F942D9">
        <w:rPr>
          <w:rFonts w:cstheme="minorHAnsi"/>
        </w:rPr>
        <w:t>s</w:t>
      </w:r>
      <w:r w:rsidRPr="007B04EA" w:rsidR="005803AA">
        <w:rPr>
          <w:rFonts w:cstheme="minorHAnsi"/>
        </w:rPr>
        <w:t xml:space="preserve"> both direct and indirect costs. </w:t>
      </w:r>
    </w:p>
    <w:tbl>
      <w:tblPr>
        <w:tblW w:w="0" w:type="auto"/>
        <w:tblCellMar>
          <w:left w:w="0" w:type="dxa"/>
          <w:right w:w="0" w:type="dxa"/>
        </w:tblCellMar>
        <w:tblLook w:val="04A0"/>
      </w:tblPr>
      <w:tblGrid>
        <w:gridCol w:w="4878"/>
        <w:gridCol w:w="2250"/>
      </w:tblGrid>
      <w:tr w14:paraId="799745E2" w14:textId="77777777" w:rsidTr="00D80AC2">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7B04EA" w:rsidP="00D80AC2" w14:paraId="4E01E280" w14:textId="77777777">
            <w:pPr>
              <w:rPr>
                <w:b/>
                <w:bCs/>
                <w:sz w:val="20"/>
              </w:rPr>
            </w:pPr>
            <w:r w:rsidRPr="007B04EA">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B13DC4" w:rsidRPr="007B04EA" w:rsidP="00D80AC2" w14:paraId="395B2B42" w14:textId="77777777">
            <w:pPr>
              <w:jc w:val="center"/>
              <w:rPr>
                <w:b/>
                <w:bCs/>
                <w:sz w:val="20"/>
              </w:rPr>
            </w:pPr>
            <w:r w:rsidRPr="007B04EA">
              <w:rPr>
                <w:b/>
                <w:bCs/>
                <w:sz w:val="20"/>
              </w:rPr>
              <w:t>Estimated Costs</w:t>
            </w:r>
          </w:p>
        </w:tc>
      </w:tr>
      <w:tr w14:paraId="2CCC3965" w14:textId="77777777" w:rsidTr="00CB4358">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7B04EA" w:rsidP="00CB4358" w14:paraId="799DBD69" w14:textId="77777777">
            <w:pPr>
              <w:spacing w:after="0"/>
              <w:rPr>
                <w:rFonts w:ascii="Calibri" w:eastAsia="Calibri" w:hAnsi="Calibri" w:cs="Calibri"/>
                <w:sz w:val="20"/>
              </w:rPr>
            </w:pPr>
            <w:r w:rsidRPr="007B04EA">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358" w:rsidRPr="007B04EA" w:rsidP="00CB4358" w14:paraId="33786520" w14:textId="07F9E06E">
            <w:pPr>
              <w:spacing w:after="0"/>
              <w:jc w:val="center"/>
              <w:rPr>
                <w:sz w:val="20"/>
              </w:rPr>
            </w:pPr>
            <w:r w:rsidRPr="007B04EA">
              <w:rPr>
                <w:sz w:val="20"/>
              </w:rPr>
              <w:t>$</w:t>
            </w:r>
            <w:r w:rsidRPr="007B04EA" w:rsidR="00505C40">
              <w:rPr>
                <w:sz w:val="20"/>
              </w:rPr>
              <w:t>75,841</w:t>
            </w:r>
          </w:p>
        </w:tc>
      </w:tr>
      <w:tr w14:paraId="32235541" w14:textId="77777777" w:rsidTr="0062353B">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CB4358" w:rsidRPr="007B04EA" w:rsidP="00CB4358" w14:paraId="31C29715" w14:textId="5CE7FB5D">
            <w:pPr>
              <w:spacing w:after="0"/>
              <w:rPr>
                <w:rFonts w:ascii="Calibri" w:eastAsia="Calibri" w:hAnsi="Calibri" w:cs="Calibri"/>
                <w:sz w:val="20"/>
              </w:rPr>
            </w:pPr>
            <w:r w:rsidRPr="007B04EA">
              <w:rPr>
                <w:sz w:val="20"/>
              </w:rPr>
              <w:t>Analysis</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tcPr>
          <w:p w:rsidR="00CB4358" w:rsidRPr="007B04EA" w:rsidP="00CB4358" w14:paraId="112ACDBC" w14:textId="71EE4CAD">
            <w:pPr>
              <w:spacing w:after="0"/>
              <w:jc w:val="center"/>
              <w:rPr>
                <w:sz w:val="20"/>
              </w:rPr>
            </w:pPr>
            <w:r w:rsidRPr="007B04EA">
              <w:rPr>
                <w:sz w:val="20"/>
              </w:rPr>
              <w:t>$30,000</w:t>
            </w:r>
          </w:p>
        </w:tc>
      </w:tr>
      <w:tr w14:paraId="4667EDF0" w14:textId="77777777" w:rsidTr="0062353B">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11471" w:rsidRPr="007B04EA" w:rsidP="00C91CBA" w14:paraId="108A5BAF" w14:textId="30D2C7A1">
            <w:pPr>
              <w:spacing w:after="0"/>
              <w:rPr>
                <w:rFonts w:ascii="Calibri" w:eastAsia="Calibri" w:hAnsi="Calibri" w:cs="Calibri"/>
                <w:b/>
                <w:bCs/>
                <w:sz w:val="20"/>
              </w:rPr>
            </w:pPr>
            <w:r w:rsidRPr="007B04EA">
              <w:rPr>
                <w:sz w:val="20"/>
              </w:rPr>
              <w:t xml:space="preserve">Summary Descriptive </w:t>
            </w:r>
            <w:r w:rsidRPr="007B04EA" w:rsidR="00905037">
              <w:rPr>
                <w:sz w:val="20"/>
              </w:rPr>
              <w:t>Brief</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11471" w:rsidRPr="007B04EA" w:rsidP="00111471" w14:paraId="26EBFD7A" w14:textId="4ACE9554">
            <w:pPr>
              <w:spacing w:after="0"/>
              <w:jc w:val="center"/>
              <w:rPr>
                <w:b/>
                <w:bCs/>
                <w:sz w:val="20"/>
              </w:rPr>
            </w:pPr>
            <w:r w:rsidRPr="007B04EA">
              <w:rPr>
                <w:sz w:val="20"/>
              </w:rPr>
              <w:t>$</w:t>
            </w:r>
            <w:r w:rsidRPr="007B04EA" w:rsidR="00905037">
              <w:rPr>
                <w:sz w:val="20"/>
              </w:rPr>
              <w:t>25</w:t>
            </w:r>
            <w:r w:rsidRPr="007B04EA">
              <w:rPr>
                <w:sz w:val="20"/>
              </w:rPr>
              <w:t>,872</w:t>
            </w:r>
          </w:p>
        </w:tc>
      </w:tr>
      <w:tr w14:paraId="7C83E726" w14:textId="77777777" w:rsidTr="00CB4358">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11471" w:rsidRPr="007B04EA" w:rsidP="00111471" w14:paraId="395163FE" w14:textId="59CD1C8B">
            <w:pPr>
              <w:spacing w:after="0"/>
              <w:jc w:val="right"/>
              <w:rPr>
                <w:b/>
                <w:color w:val="000000"/>
                <w:sz w:val="20"/>
              </w:rPr>
            </w:pPr>
            <w:r w:rsidRPr="007B04EA">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11471" w:rsidRPr="007B04EA" w:rsidP="00111471" w14:paraId="0275CE9C" w14:textId="2CCCF444">
            <w:pPr>
              <w:spacing w:after="0"/>
              <w:jc w:val="center"/>
              <w:rPr>
                <w:sz w:val="20"/>
              </w:rPr>
            </w:pPr>
            <w:r w:rsidRPr="007B04EA">
              <w:rPr>
                <w:sz w:val="20"/>
              </w:rPr>
              <w:t>$131,713</w:t>
            </w:r>
          </w:p>
        </w:tc>
      </w:tr>
    </w:tbl>
    <w:p w:rsidR="00B13DC4" w:rsidRPr="007B04EA" w:rsidP="00FC5E0C" w14:paraId="1C1FE802" w14:textId="534569F5">
      <w:pPr>
        <w:spacing w:after="0"/>
        <w:rPr>
          <w:rFonts w:ascii="Calibri" w:eastAsia="Calibri" w:hAnsi="Calibri" w:cs="Calibri"/>
        </w:rPr>
      </w:pPr>
    </w:p>
    <w:p w:rsidR="00FC5E0C" w:rsidRPr="007B04EA" w:rsidP="00256D26" w14:paraId="28FEB4CC" w14:textId="77777777">
      <w:pPr>
        <w:spacing w:after="0"/>
        <w:rPr>
          <w:rFonts w:ascii="Calibri" w:eastAsia="Calibri" w:hAnsi="Calibri" w:cs="Calibri"/>
        </w:rPr>
      </w:pPr>
    </w:p>
    <w:p w:rsidR="0068383E" w:rsidRPr="007B04EA" w:rsidP="00CB4358" w14:paraId="3C111F63" w14:textId="03C1A042">
      <w:pPr>
        <w:spacing w:after="120" w:line="240" w:lineRule="auto"/>
        <w:rPr>
          <w:rFonts w:cstheme="minorHAnsi"/>
        </w:rPr>
      </w:pPr>
      <w:r w:rsidRPr="007B04EA">
        <w:rPr>
          <w:rFonts w:cstheme="minorHAnsi"/>
          <w:b/>
        </w:rPr>
        <w:t>A15</w:t>
      </w:r>
      <w:r w:rsidRPr="007B04EA">
        <w:rPr>
          <w:rFonts w:cstheme="minorHAnsi"/>
        </w:rPr>
        <w:t>.</w:t>
      </w:r>
      <w:r w:rsidRPr="007B04EA">
        <w:rPr>
          <w:rFonts w:cstheme="minorHAnsi"/>
        </w:rPr>
        <w:tab/>
      </w:r>
      <w:r w:rsidRPr="007B04EA" w:rsidR="007C7B4B">
        <w:rPr>
          <w:rFonts w:cstheme="minorHAnsi"/>
          <w:b/>
        </w:rPr>
        <w:t>Reasons for changes in burden</w:t>
      </w:r>
      <w:r w:rsidRPr="007B04EA" w:rsidR="007C7B4B">
        <w:rPr>
          <w:rFonts w:cstheme="minorHAnsi"/>
        </w:rPr>
        <w:t xml:space="preserve"> </w:t>
      </w:r>
    </w:p>
    <w:p w:rsidR="004D66BF" w:rsidRPr="007B04EA" w:rsidP="00256D26" w14:paraId="1021D0FB" w14:textId="6C53A51D">
      <w:pPr>
        <w:spacing w:after="0"/>
      </w:pPr>
      <w:r w:rsidRPr="007B04EA">
        <w:t xml:space="preserve">This is for an individual </w:t>
      </w:r>
      <w:r w:rsidRPr="007B04EA" w:rsidR="00E6386F">
        <w:rPr>
          <w:rFonts w:cstheme="minorHAnsi"/>
        </w:rPr>
        <w:t>GenIC</w:t>
      </w:r>
      <w:r w:rsidRPr="007B04EA">
        <w:t>under</w:t>
      </w:r>
      <w:r w:rsidRPr="007B04EA">
        <w:t xml:space="preserve"> the umbrella formative generic clearance for ACF research (0970-0356)</w:t>
      </w:r>
      <w:r w:rsidRPr="007B04EA" w:rsidR="00453A86">
        <w:t>.</w:t>
      </w:r>
    </w:p>
    <w:p w:rsidR="004D66BF" w:rsidRPr="007B04EA" w:rsidP="00256D26" w14:paraId="47329081" w14:textId="77777777">
      <w:pPr>
        <w:spacing w:after="0"/>
      </w:pPr>
    </w:p>
    <w:p w:rsidR="000D4E9A" w:rsidRPr="007B04EA" w:rsidP="00CB4358" w14:paraId="2FB760D1" w14:textId="01B67BE6">
      <w:pPr>
        <w:spacing w:after="120" w:line="240" w:lineRule="auto"/>
        <w:rPr>
          <w:rFonts w:cstheme="minorHAnsi"/>
          <w:b/>
        </w:rPr>
      </w:pPr>
      <w:r w:rsidRPr="007B04EA">
        <w:rPr>
          <w:rFonts w:cstheme="minorHAnsi"/>
          <w:b/>
        </w:rPr>
        <w:t>A16</w:t>
      </w:r>
      <w:r w:rsidRPr="007B04EA">
        <w:rPr>
          <w:rFonts w:cstheme="minorHAnsi"/>
        </w:rPr>
        <w:t>.</w:t>
      </w:r>
      <w:r w:rsidRPr="007B04EA">
        <w:rPr>
          <w:rFonts w:cstheme="minorHAnsi"/>
        </w:rPr>
        <w:tab/>
      </w:r>
      <w:r w:rsidRPr="007B04EA" w:rsidR="00083227">
        <w:rPr>
          <w:rFonts w:cstheme="minorHAnsi"/>
          <w:b/>
        </w:rPr>
        <w:t>Timeline</w:t>
      </w:r>
    </w:p>
    <w:tbl>
      <w:tblPr>
        <w:tblStyle w:val="TableGrid"/>
        <w:tblW w:w="0" w:type="auto"/>
        <w:tblLook w:val="04A0"/>
      </w:tblPr>
      <w:tblGrid>
        <w:gridCol w:w="4675"/>
        <w:gridCol w:w="4675"/>
      </w:tblGrid>
      <w:tr w14:paraId="1A19ADED" w14:textId="77777777" w:rsidTr="00D80AC2">
        <w:tblPrEx>
          <w:tblW w:w="0" w:type="auto"/>
          <w:tblLook w:val="04A0"/>
        </w:tblPrEx>
        <w:tc>
          <w:tcPr>
            <w:tcW w:w="4675" w:type="dxa"/>
            <w:shd w:val="clear" w:color="auto" w:fill="D9D9D9" w:themeFill="background1" w:themeFillShade="D9"/>
          </w:tcPr>
          <w:p w:rsidR="00F6338D" w:rsidRPr="007B04EA" w:rsidP="00D80AC2" w14:paraId="31AFC4A7" w14:textId="77777777">
            <w:pPr>
              <w:rPr>
                <w:rFonts w:asciiTheme="minorHAnsi" w:hAnsiTheme="minorHAnsi" w:cstheme="minorHAnsi"/>
                <w:b/>
                <w:bCs/>
              </w:rPr>
            </w:pPr>
            <w:r w:rsidRPr="007B04EA">
              <w:rPr>
                <w:rFonts w:asciiTheme="minorHAnsi" w:hAnsiTheme="minorHAnsi" w:cstheme="minorHAnsi"/>
                <w:b/>
                <w:bCs/>
              </w:rPr>
              <w:t>Activity</w:t>
            </w:r>
          </w:p>
        </w:tc>
        <w:tc>
          <w:tcPr>
            <w:tcW w:w="4675" w:type="dxa"/>
            <w:shd w:val="clear" w:color="auto" w:fill="D9D9D9" w:themeFill="background1" w:themeFillShade="D9"/>
          </w:tcPr>
          <w:p w:rsidR="00F6338D" w:rsidRPr="007B04EA" w:rsidP="00D80AC2" w14:paraId="3F18163B" w14:textId="77777777">
            <w:pPr>
              <w:rPr>
                <w:rFonts w:asciiTheme="minorHAnsi" w:hAnsiTheme="minorHAnsi" w:cstheme="minorHAnsi"/>
                <w:b/>
                <w:bCs/>
              </w:rPr>
            </w:pPr>
            <w:r w:rsidRPr="007B04EA">
              <w:rPr>
                <w:rFonts w:asciiTheme="minorHAnsi" w:hAnsiTheme="minorHAnsi" w:cstheme="minorHAnsi"/>
                <w:b/>
                <w:bCs/>
              </w:rPr>
              <w:t>Date</w:t>
            </w:r>
          </w:p>
        </w:tc>
      </w:tr>
      <w:tr w14:paraId="6CF0B451" w14:textId="77777777" w:rsidTr="00D80AC2">
        <w:tblPrEx>
          <w:tblW w:w="0" w:type="auto"/>
          <w:tblLook w:val="04A0"/>
        </w:tblPrEx>
        <w:tc>
          <w:tcPr>
            <w:tcW w:w="4675" w:type="dxa"/>
          </w:tcPr>
          <w:p w:rsidR="00F6338D" w:rsidRPr="007B04EA" w:rsidP="00D80AC2" w14:paraId="6632246D" w14:textId="4ED10F1E">
            <w:pPr>
              <w:rPr>
                <w:rFonts w:asciiTheme="minorHAnsi" w:hAnsiTheme="minorHAnsi" w:cstheme="minorHAnsi"/>
              </w:rPr>
            </w:pPr>
            <w:r w:rsidRPr="007B04EA">
              <w:rPr>
                <w:rFonts w:asciiTheme="minorHAnsi" w:hAnsiTheme="minorHAnsi" w:cstheme="minorHAnsi"/>
              </w:rPr>
              <w:t>Focus groups</w:t>
            </w:r>
          </w:p>
        </w:tc>
        <w:tc>
          <w:tcPr>
            <w:tcW w:w="4675" w:type="dxa"/>
          </w:tcPr>
          <w:p w:rsidR="00F6338D" w:rsidRPr="007B04EA" w:rsidP="00D80AC2" w14:paraId="2CAC66CE" w14:textId="487C73A3">
            <w:pPr>
              <w:rPr>
                <w:rFonts w:asciiTheme="minorHAnsi" w:hAnsiTheme="minorHAnsi" w:cstheme="minorHAnsi"/>
              </w:rPr>
            </w:pPr>
            <w:r w:rsidRPr="007B04EA">
              <w:rPr>
                <w:rFonts w:asciiTheme="minorHAnsi" w:hAnsiTheme="minorHAnsi" w:cstheme="minorHAnsi"/>
              </w:rPr>
              <w:t>Scheduled one month after OMB approval, and all focus groups will be completed within three months</w:t>
            </w:r>
          </w:p>
        </w:tc>
      </w:tr>
      <w:tr w14:paraId="46A9632C" w14:textId="77777777" w:rsidTr="00D80AC2">
        <w:tblPrEx>
          <w:tblW w:w="0" w:type="auto"/>
          <w:tblLook w:val="04A0"/>
        </w:tblPrEx>
        <w:tc>
          <w:tcPr>
            <w:tcW w:w="4675" w:type="dxa"/>
          </w:tcPr>
          <w:p w:rsidR="00F6338D" w:rsidRPr="007B04EA" w:rsidP="00D80AC2" w14:paraId="69426C34" w14:textId="77777777">
            <w:pPr>
              <w:rPr>
                <w:rFonts w:asciiTheme="minorHAnsi" w:hAnsiTheme="minorHAnsi" w:cstheme="minorHAnsi"/>
              </w:rPr>
            </w:pPr>
            <w:r w:rsidRPr="007B04EA">
              <w:rPr>
                <w:rFonts w:asciiTheme="minorHAnsi" w:hAnsiTheme="minorHAnsi" w:cstheme="minorHAnsi"/>
              </w:rPr>
              <w:t>Data Analysis Completed</w:t>
            </w:r>
          </w:p>
        </w:tc>
        <w:tc>
          <w:tcPr>
            <w:tcW w:w="4675" w:type="dxa"/>
          </w:tcPr>
          <w:p w:rsidR="00F6338D" w:rsidRPr="007B04EA" w:rsidP="00D80AC2" w14:paraId="343DEC92" w14:textId="1FAF86BE">
            <w:pPr>
              <w:rPr>
                <w:rFonts w:asciiTheme="minorHAnsi" w:hAnsiTheme="minorHAnsi" w:cstheme="minorHAnsi"/>
              </w:rPr>
            </w:pPr>
            <w:r w:rsidRPr="007B04EA">
              <w:rPr>
                <w:rFonts w:asciiTheme="minorHAnsi" w:hAnsiTheme="minorHAnsi" w:cstheme="minorHAnsi"/>
              </w:rPr>
              <w:t>One month after focus groups are complete</w:t>
            </w:r>
          </w:p>
        </w:tc>
      </w:tr>
      <w:tr w14:paraId="4068F0D1" w14:textId="77777777" w:rsidTr="00D80AC2">
        <w:tblPrEx>
          <w:tblW w:w="0" w:type="auto"/>
          <w:tblLook w:val="04A0"/>
        </w:tblPrEx>
        <w:tc>
          <w:tcPr>
            <w:tcW w:w="4675" w:type="dxa"/>
          </w:tcPr>
          <w:p w:rsidR="00F6338D" w:rsidRPr="007B04EA" w:rsidP="00D80AC2" w14:paraId="6B4E696C" w14:textId="02861435">
            <w:pPr>
              <w:rPr>
                <w:rFonts w:asciiTheme="minorHAnsi" w:hAnsiTheme="minorHAnsi" w:cstheme="minorHAnsi"/>
              </w:rPr>
            </w:pPr>
            <w:r w:rsidRPr="007B04EA">
              <w:rPr>
                <w:rFonts w:asciiTheme="minorHAnsi" w:hAnsiTheme="minorHAnsi" w:cstheme="minorHAnsi"/>
              </w:rPr>
              <w:t>Brief</w:t>
            </w:r>
          </w:p>
        </w:tc>
        <w:tc>
          <w:tcPr>
            <w:tcW w:w="4675" w:type="dxa"/>
          </w:tcPr>
          <w:p w:rsidR="00F6338D" w:rsidRPr="007B04EA" w:rsidP="00D80AC2" w14:paraId="3A2F374A" w14:textId="28241B61">
            <w:pPr>
              <w:rPr>
                <w:rFonts w:asciiTheme="minorHAnsi" w:hAnsiTheme="minorHAnsi" w:cstheme="minorHAnsi"/>
              </w:rPr>
            </w:pPr>
            <w:r w:rsidRPr="007B04EA">
              <w:rPr>
                <w:rFonts w:asciiTheme="minorHAnsi" w:hAnsiTheme="minorHAnsi" w:cstheme="minorHAnsi"/>
              </w:rPr>
              <w:t>Nine months after focus groups</w:t>
            </w:r>
          </w:p>
        </w:tc>
      </w:tr>
    </w:tbl>
    <w:p w:rsidR="00F6338D" w:rsidRPr="007B04EA" w:rsidP="00CB4358" w14:paraId="41108449" w14:textId="77777777">
      <w:pPr>
        <w:spacing w:after="120" w:line="240" w:lineRule="auto"/>
        <w:rPr>
          <w:rFonts w:cstheme="minorHAnsi"/>
        </w:rPr>
      </w:pPr>
    </w:p>
    <w:p w:rsidR="00C73360" w:rsidRPr="007B04EA" w:rsidP="00CB1F9B" w14:paraId="2F1B2639" w14:textId="0320905F">
      <w:pPr>
        <w:spacing w:after="120" w:line="240" w:lineRule="auto"/>
        <w:rPr>
          <w:rFonts w:cstheme="minorHAnsi"/>
        </w:rPr>
      </w:pPr>
      <w:r w:rsidRPr="007B04EA">
        <w:rPr>
          <w:rFonts w:cstheme="minorHAnsi"/>
          <w:b/>
        </w:rPr>
        <w:t>A17</w:t>
      </w:r>
      <w:r w:rsidRPr="007B04EA">
        <w:rPr>
          <w:rFonts w:cstheme="minorHAnsi"/>
        </w:rPr>
        <w:t>.</w:t>
      </w:r>
      <w:r w:rsidRPr="007B04EA">
        <w:rPr>
          <w:rFonts w:cstheme="minorHAnsi"/>
        </w:rPr>
        <w:tab/>
      </w:r>
      <w:r w:rsidRPr="007B04EA">
        <w:rPr>
          <w:rFonts w:cstheme="minorHAnsi"/>
          <w:b/>
        </w:rPr>
        <w:t>Exceptions</w:t>
      </w:r>
    </w:p>
    <w:p w:rsidR="00083227" w:rsidRPr="007B04EA" w:rsidP="00B13297" w14:paraId="1E574BF6" w14:textId="5FF230B6">
      <w:r w:rsidRPr="007B04EA">
        <w:t xml:space="preserve">No exceptions are necessary for this </w:t>
      </w:r>
      <w:r w:rsidRPr="007B04EA" w:rsidR="00E6386F">
        <w:rPr>
          <w:rFonts w:cstheme="minorHAnsi"/>
        </w:rPr>
        <w:t>GenIC</w:t>
      </w:r>
      <w:r w:rsidRPr="007B04EA">
        <w:t>.</w:t>
      </w:r>
      <w:r w:rsidRPr="007B04EA">
        <w:tab/>
      </w:r>
    </w:p>
    <w:p w:rsidR="00306028" w:rsidRPr="007B04EA" w:rsidP="00306028" w14:paraId="503603E8" w14:textId="4F668D36">
      <w:pPr>
        <w:spacing w:after="0" w:line="240" w:lineRule="auto"/>
        <w:rPr>
          <w:b/>
        </w:rPr>
      </w:pPr>
      <w:bookmarkStart w:id="9" w:name="_Hlk115270846"/>
      <w:r w:rsidRPr="007B04EA">
        <w:rPr>
          <w:b/>
        </w:rPr>
        <w:t>Attachments</w:t>
      </w:r>
    </w:p>
    <w:p w:rsidR="003E54CD" w:rsidRPr="007B04EA" w:rsidP="00306028" w14:paraId="2C443ED7" w14:textId="733946BD">
      <w:pPr>
        <w:spacing w:after="0" w:line="240" w:lineRule="auto"/>
        <w:rPr>
          <w:rFonts w:cstheme="minorHAnsi"/>
        </w:rPr>
      </w:pPr>
      <w:r w:rsidRPr="007B04EA">
        <w:rPr>
          <w:bCs/>
        </w:rPr>
        <w:t xml:space="preserve">Instrument 1: </w:t>
      </w:r>
      <w:bookmarkStart w:id="10" w:name="_Hlk115347781"/>
      <w:r w:rsidRPr="007B04EA">
        <w:rPr>
          <w:rFonts w:cstheme="minorHAnsi"/>
        </w:rPr>
        <w:t>Focus group discussion guide</w:t>
      </w:r>
      <w:bookmarkEnd w:id="10"/>
    </w:p>
    <w:p w:rsidR="003E54CD" w:rsidRPr="007B04EA" w:rsidP="00306028" w14:paraId="775BB03A" w14:textId="244425DC">
      <w:pPr>
        <w:spacing w:after="0" w:line="240" w:lineRule="auto"/>
        <w:rPr>
          <w:rFonts w:cstheme="minorHAnsi"/>
        </w:rPr>
      </w:pPr>
      <w:r w:rsidRPr="007B04EA">
        <w:rPr>
          <w:rFonts w:cstheme="minorHAnsi"/>
        </w:rPr>
        <w:t xml:space="preserve">Appendix A: Focus group consent </w:t>
      </w:r>
      <w:r w:rsidRPr="007B04EA" w:rsidR="001352AF">
        <w:rPr>
          <w:rFonts w:cstheme="minorHAnsi"/>
        </w:rPr>
        <w:t>form</w:t>
      </w:r>
    </w:p>
    <w:p w:rsidR="003E54CD" w:rsidRPr="007B04EA" w:rsidP="00306028" w14:paraId="548135C9" w14:textId="5316711D">
      <w:pPr>
        <w:spacing w:after="0" w:line="240" w:lineRule="auto"/>
        <w:rPr>
          <w:rFonts w:cstheme="minorHAnsi"/>
        </w:rPr>
      </w:pPr>
      <w:r w:rsidRPr="007B04EA">
        <w:rPr>
          <w:rFonts w:cstheme="minorHAnsi"/>
        </w:rPr>
        <w:t xml:space="preserve">Appendix B: </w:t>
      </w:r>
      <w:bookmarkStart w:id="11" w:name="_Hlk115350284"/>
      <w:r w:rsidRPr="007B04EA">
        <w:rPr>
          <w:rFonts w:cstheme="minorHAnsi"/>
        </w:rPr>
        <w:t>Outreach email to focus group participants</w:t>
      </w:r>
      <w:bookmarkEnd w:id="11"/>
    </w:p>
    <w:p w:rsidR="00661A60" w:rsidRPr="007B04EA" w:rsidP="00306028" w14:paraId="1EFE57A7" w14:textId="680FA476">
      <w:pPr>
        <w:spacing w:after="0" w:line="240" w:lineRule="auto"/>
        <w:rPr>
          <w:rFonts w:cstheme="minorHAnsi"/>
        </w:rPr>
      </w:pPr>
      <w:r w:rsidRPr="007B04EA">
        <w:rPr>
          <w:rFonts w:cstheme="minorHAnsi"/>
        </w:rPr>
        <w:t>Appendix C: Outreach email 2 to focus group participants</w:t>
      </w:r>
    </w:p>
    <w:p w:rsidR="00780111" w:rsidRPr="007B04EA" w:rsidP="00780111" w14:paraId="4C8D1050" w14:textId="77777777">
      <w:pPr>
        <w:spacing w:after="0" w:line="240" w:lineRule="auto"/>
        <w:rPr>
          <w:rFonts w:cstheme="minorHAnsi"/>
        </w:rPr>
      </w:pPr>
      <w:r w:rsidRPr="007B04EA">
        <w:rPr>
          <w:rFonts w:cstheme="minorHAnsi"/>
        </w:rPr>
        <w:t>Appendix D: Outreach email confirmation to focus group participants</w:t>
      </w:r>
    </w:p>
    <w:p w:rsidR="00780111" w:rsidRPr="007B04EA" w:rsidP="00780111" w14:paraId="5AB7A075" w14:textId="77777777">
      <w:pPr>
        <w:spacing w:after="0" w:line="240" w:lineRule="auto"/>
        <w:rPr>
          <w:rFonts w:cstheme="minorHAnsi"/>
        </w:rPr>
      </w:pPr>
      <w:r w:rsidRPr="007B04EA">
        <w:rPr>
          <w:rFonts w:cstheme="minorHAnsi"/>
        </w:rPr>
        <w:t>Appendix E: Reminder email to focus group participants</w:t>
      </w:r>
    </w:p>
    <w:p w:rsidR="00780111" w:rsidRPr="007B04EA" w:rsidP="00780111" w14:paraId="519388B6" w14:textId="5D08190F">
      <w:pPr>
        <w:spacing w:after="0" w:line="240" w:lineRule="auto"/>
        <w:rPr>
          <w:rFonts w:cstheme="minorHAnsi"/>
        </w:rPr>
      </w:pPr>
      <w:r w:rsidRPr="007B04EA">
        <w:rPr>
          <w:rFonts w:cstheme="minorHAnsi"/>
        </w:rPr>
        <w:t>Appendix F: Focus group FAQs</w:t>
      </w:r>
    </w:p>
    <w:p w:rsidR="00EA56E4" w:rsidRPr="007B04EA" w:rsidP="00780111" w14:paraId="1AB64538" w14:textId="7EB52C85">
      <w:pPr>
        <w:spacing w:after="0" w:line="240" w:lineRule="auto"/>
        <w:rPr>
          <w:rFonts w:cstheme="minorHAnsi"/>
        </w:rPr>
      </w:pPr>
      <w:bookmarkStart w:id="12" w:name="_Hlk121766062"/>
      <w:r w:rsidRPr="007B04EA">
        <w:rPr>
          <w:rFonts w:cstheme="minorHAnsi"/>
        </w:rPr>
        <w:t>Appendix G: Outreach email to potential participants who contact</w:t>
      </w:r>
      <w:r w:rsidRPr="007B04EA" w:rsidR="00073137">
        <w:rPr>
          <w:rFonts w:cstheme="minorHAnsi"/>
        </w:rPr>
        <w:t xml:space="preserve"> the</w:t>
      </w:r>
      <w:r w:rsidRPr="007B04EA">
        <w:rPr>
          <w:rFonts w:cstheme="minorHAnsi"/>
        </w:rPr>
        <w:t xml:space="preserve"> study</w:t>
      </w:r>
    </w:p>
    <w:bookmarkEnd w:id="9"/>
    <w:bookmarkEnd w:id="12"/>
    <w:p w:rsidR="00244F86" w:rsidRPr="007B04EA" w:rsidP="00306028" w14:paraId="63396757" w14:textId="77777777">
      <w:pPr>
        <w:spacing w:after="0" w:line="240" w:lineRule="auto"/>
        <w:rPr>
          <w:rFonts w:cstheme="minorHAnsi"/>
        </w:rPr>
      </w:pPr>
    </w:p>
    <w:p w:rsidR="003E54CD" w:rsidRPr="007B04EA" w:rsidP="005417A1" w14:paraId="24F3AA2A" w14:textId="01E5AB1F">
      <w:pPr>
        <w:spacing w:after="120" w:line="240" w:lineRule="auto"/>
        <w:rPr>
          <w:rFonts w:cstheme="minorHAnsi"/>
          <w:b/>
          <w:bCs/>
        </w:rPr>
      </w:pPr>
      <w:r w:rsidRPr="007B04EA">
        <w:rPr>
          <w:rFonts w:cstheme="minorHAnsi"/>
          <w:b/>
          <w:bCs/>
        </w:rPr>
        <w:t>References</w:t>
      </w:r>
    </w:p>
    <w:p w:rsidR="005417A1" w:rsidRPr="007B04EA" w:rsidP="005417A1" w14:paraId="4CCF60A6" w14:textId="77777777">
      <w:pPr>
        <w:spacing w:after="0" w:line="240" w:lineRule="auto"/>
        <w:ind w:left="360" w:hanging="360"/>
      </w:pPr>
      <w:r w:rsidRPr="007B04EA">
        <w:t xml:space="preserve">Bierer Barbara E, Sarah A White, Luke Gelinas, and David H Strauss. (2021). Fair payment and just benefits to enhance diversity in clinical research. Journal of Clinical and Translational Science 5:1,e159. </w:t>
      </w:r>
    </w:p>
    <w:p w:rsidR="009D330D" w:rsidRPr="007B04EA" w:rsidP="00E02B7B" w14:paraId="2991F0E6" w14:textId="77777777">
      <w:pPr>
        <w:spacing w:after="0" w:line="240" w:lineRule="auto"/>
        <w:ind w:left="360" w:hanging="360"/>
      </w:pPr>
    </w:p>
    <w:p w:rsidR="005417A1" w:rsidRPr="007B04EA" w:rsidP="00E02B7B" w14:paraId="546EE7F5" w14:textId="4C746D4D">
      <w:pPr>
        <w:spacing w:after="0" w:line="240" w:lineRule="auto"/>
        <w:ind w:left="360" w:hanging="360"/>
      </w:pPr>
      <w:r w:rsidRPr="007B04EA">
        <w:t>Cheff, Rebecca and Brenda Roche.</w:t>
      </w:r>
      <w:r w:rsidRPr="007B04EA" w:rsidR="009D330D">
        <w:t xml:space="preserve"> (2018).</w:t>
      </w:r>
      <w:r w:rsidRPr="007B04EA">
        <w:t xml:space="preserve"> Considerations for Compensating Research Participants Fairly and Equitably: A Think Piece. </w:t>
      </w:r>
      <w:r w:rsidRPr="007B04EA" w:rsidR="009D330D">
        <w:t xml:space="preserve">Toronto: </w:t>
      </w:r>
      <w:r w:rsidRPr="007B04EA">
        <w:t>Wellesley Institute</w:t>
      </w:r>
      <w:r w:rsidRPr="007B04EA" w:rsidR="009D330D">
        <w:t xml:space="preserve">. </w:t>
      </w:r>
    </w:p>
    <w:p w:rsidR="009D330D" w:rsidRPr="007B04EA" w:rsidP="00E02B7B" w14:paraId="59A681A0" w14:textId="77777777">
      <w:pPr>
        <w:spacing w:after="0" w:line="240" w:lineRule="auto"/>
        <w:ind w:left="360" w:hanging="360"/>
      </w:pPr>
    </w:p>
    <w:p w:rsidR="00E02B7B" w:rsidRPr="007B04EA" w:rsidP="00E02B7B" w14:paraId="78D066F4" w14:textId="3827604F">
      <w:pPr>
        <w:spacing w:after="0" w:line="240" w:lineRule="auto"/>
        <w:ind w:left="360" w:hanging="360"/>
      </w:pPr>
      <w:r w:rsidRPr="007B04EA">
        <w:t xml:space="preserve">Chicago Beyond. “Why Am I Always Being Researched?” (2019). Equity Series, Volume One. Chicago: Chicago Beyond. </w:t>
      </w:r>
    </w:p>
    <w:p w:rsidR="00014201" w:rsidRPr="007B04EA" w:rsidP="003E54CD" w14:paraId="45DBCA06" w14:textId="77777777">
      <w:pPr>
        <w:spacing w:after="0" w:line="240" w:lineRule="auto"/>
      </w:pPr>
    </w:p>
    <w:p w:rsidR="003E54CD" w:rsidRPr="007B04EA" w:rsidP="00E02B7B" w14:paraId="38C2DC77" w14:textId="6EEA98FB">
      <w:pPr>
        <w:spacing w:after="0" w:line="240" w:lineRule="auto"/>
        <w:ind w:left="360" w:hanging="360"/>
      </w:pPr>
      <w:r w:rsidRPr="007B04EA">
        <w:t>Kelly, Bridget, Marjorie Margolis, Lauren McCormack, Patricia A. LeBaron, and Dhuly Chowdhury. (2017). What Affects People’s Willingness to Participate in Qualitative Research? An Experimental Comparison of Five Incentives. Field Methods, 29:4, 333-350.</w:t>
      </w:r>
    </w:p>
    <w:p w:rsidR="0007582A" w:rsidRPr="007B04EA" w:rsidP="00E02B7B" w14:paraId="38FBC773" w14:textId="77777777">
      <w:pPr>
        <w:spacing w:after="0" w:line="240" w:lineRule="auto"/>
        <w:ind w:left="360" w:hanging="360"/>
      </w:pPr>
    </w:p>
    <w:p w:rsidR="00306028" w:rsidRPr="006B53F1" w:rsidP="00070D1A" w14:paraId="08BDA7B5" w14:textId="080DF5F3">
      <w:pPr>
        <w:spacing w:after="0" w:line="240" w:lineRule="auto"/>
        <w:ind w:left="360" w:hanging="360"/>
      </w:pPr>
      <w:r w:rsidRPr="007B04EA">
        <w:t>U.S. Department of Labor</w:t>
      </w:r>
      <w:r w:rsidRPr="007B04EA" w:rsidR="0023109A">
        <w:t>.</w:t>
      </w:r>
      <w:r w:rsidRPr="007B04EA">
        <w:t xml:space="preserve"> Federal Minimum Wage Rate under the Federal Fair Labor Standards Act. </w:t>
      </w:r>
      <w:hyperlink r:id="rId6" w:history="1">
        <w:r w:rsidRPr="007B04EA" w:rsidR="00622C74">
          <w:rPr>
            <w:rStyle w:val="Hyperlink"/>
          </w:rPr>
          <w:t>https://www.dol.gov/general/topic/wages/minimumwage</w:t>
        </w:r>
      </w:hyperlink>
      <w:r w:rsidRPr="007B04EA" w:rsidR="0023109A">
        <w:t>.</w:t>
      </w:r>
    </w:p>
    <w:sectPr w:rsidSect="00C91C71">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2118A" w:rsidP="0004063C" w14:paraId="04C8CC93" w14:textId="77777777">
      <w:pPr>
        <w:spacing w:after="0" w:line="240" w:lineRule="auto"/>
      </w:pPr>
      <w:r>
        <w:separator/>
      </w:r>
    </w:p>
  </w:footnote>
  <w:footnote w:type="continuationSeparator" w:id="1">
    <w:p w:rsidR="0012118A" w:rsidP="0004063C" w14:paraId="51B51288" w14:textId="77777777">
      <w:pPr>
        <w:spacing w:after="0" w:line="240" w:lineRule="auto"/>
      </w:pPr>
      <w:r>
        <w:continuationSeparator/>
      </w:r>
    </w:p>
  </w:footnote>
  <w:footnote w:type="continuationNotice" w:id="2">
    <w:p w:rsidR="0012118A" w14:paraId="29AD448F" w14:textId="77777777">
      <w:pPr>
        <w:spacing w:after="0" w:line="240" w:lineRule="auto"/>
      </w:pPr>
    </w:p>
  </w:footnote>
  <w:footnote w:id="3">
    <w:p w:rsidR="003C3CFE" w:rsidP="003C3CFE" w14:paraId="5751C8B2" w14:textId="184B4C0F">
      <w:pPr>
        <w:pStyle w:val="FootnoteText"/>
      </w:pPr>
      <w:r>
        <w:rPr>
          <w:rStyle w:val="FootnoteReference"/>
        </w:rPr>
        <w:footnoteRef/>
      </w:r>
      <w:r>
        <w:t xml:space="preserve"> The project’s working definition of family social well-being considers whether all members of the family: (1) are physically and mentally healthy; (2) are safe and supported in the community; (3) are developing cognitively and socially; (4) have a sense of belonging, inclusion, and respect based on their identity as an individual and role in the family; and (5) are interacting within their family in a healthy and supportive way. </w:t>
      </w:r>
    </w:p>
  </w:footnote>
  <w:footnote w:id="4">
    <w:p w:rsidR="00421C78" w14:paraId="3B78BC63" w14:textId="0A780ADC">
      <w:pPr>
        <w:pStyle w:val="FootnoteText"/>
      </w:pPr>
      <w:r>
        <w:rPr>
          <w:rStyle w:val="FootnoteReference"/>
        </w:rPr>
        <w:footnoteRef/>
      </w:r>
      <w:r>
        <w:t xml:space="preserve"> We will be reaching out to </w:t>
      </w:r>
      <w:r w:rsidR="00EA56E4">
        <w:t>up to 9</w:t>
      </w:r>
      <w:r>
        <w:t xml:space="preserve"> state or county level TANF administrators to identify participants. This is not subject to PRA</w:t>
      </w:r>
      <w:r w:rsidR="00B77ABC">
        <w:t>.</w:t>
      </w:r>
    </w:p>
  </w:footnote>
  <w:footnote w:id="5">
    <w:p w:rsidR="00AD37DD" w14:paraId="32EF63E8" w14:textId="68128C6C">
      <w:pPr>
        <w:pStyle w:val="FootnoteText"/>
      </w:pPr>
      <w:r>
        <w:rPr>
          <w:rStyle w:val="FootnoteReference"/>
        </w:rPr>
        <w:footnoteRef/>
      </w:r>
      <w:r>
        <w:t xml:space="preserve"> </w:t>
      </w:r>
      <w:r w:rsidRPr="00AD37DD">
        <w:t>Data on Mathematica’s internal shared drive are protected using FIPS 140-2 compliant encryption</w:t>
      </w:r>
      <w:r>
        <w:t xml:space="preserve"> and the network is protected by a Cisco firewall. Access to the drive must be approved by project team leadership.</w:t>
      </w:r>
    </w:p>
  </w:footnote>
  <w:footnote w:id="6">
    <w:p w:rsidR="002560D7" w:rsidRPr="00D82755" w:rsidP="002560D7" w14:paraId="4F110D3D" w14:textId="6F961FD4">
      <w:pPr>
        <w:pStyle w:val="FootnoteText"/>
      </w:pPr>
      <w:r w:rsidRPr="00D82755">
        <w:rPr>
          <w:rStyle w:val="FootnoteReference"/>
        </w:rPr>
        <w:footnoteRef/>
      </w:r>
      <w:r w:rsidRPr="00D82755">
        <w:t xml:space="preserve"> </w:t>
      </w:r>
      <w:r w:rsidRPr="00D30B6F">
        <w:rPr>
          <w:rFonts w:cstheme="minorHAnsi"/>
        </w:rPr>
        <w:t xml:space="preserve">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w:t>
      </w:r>
      <w:r w:rsidR="00D90E0A">
        <w:rPr>
          <w:rFonts w:cstheme="minorHAnsi"/>
        </w:rPr>
        <w:t>U</w:t>
      </w:r>
      <w:r w:rsidRPr="00D30B6F">
        <w:rPr>
          <w:rFonts w:cstheme="minorHAnsi"/>
        </w:rPr>
        <w:t>nemployment</w:t>
      </w:r>
      <w:r w:rsidR="00D90E0A">
        <w:rPr>
          <w:rFonts w:cstheme="minorHAnsi"/>
        </w:rPr>
        <w:t xml:space="preserve"> Insurance</w:t>
      </w:r>
      <w:r w:rsidRPr="00D30B6F">
        <w:rPr>
          <w:rFonts w:cstheme="minorHAnsi"/>
        </w:rPr>
        <w:t xml:space="preserve">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6F0A4ACC"/>
    <w:lvl w:ilvl="0">
      <w:start w:val="1"/>
      <w:numFmt w:val="decimal"/>
      <w:pStyle w:val="ListNumber"/>
      <w:lvlText w:val="%1."/>
      <w:lvlJc w:val="left"/>
      <w:pPr>
        <w:tabs>
          <w:tab w:val="num" w:pos="360"/>
        </w:tabs>
        <w:ind w:left="360" w:hanging="360"/>
      </w:pPr>
    </w:lvl>
  </w:abstractNum>
  <w:abstractNum w:abstractNumId="1">
    <w:nsid w:val="07F331A6"/>
    <w:multiLevelType w:val="hybridMultilevel"/>
    <w:tmpl w:val="3EC0CDCC"/>
    <w:lvl w:ilvl="0">
      <w:start w:val="0"/>
      <w:numFmt w:val="bullet"/>
      <w:lvlText w:val="•"/>
      <w:lvlJc w:val="left"/>
      <w:pPr>
        <w:ind w:left="1125" w:hanging="765"/>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693546"/>
    <w:multiLevelType w:val="hybridMultilevel"/>
    <w:tmpl w:val="DDFE0D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AA41BF"/>
    <w:multiLevelType w:val="hybridMultilevel"/>
    <w:tmpl w:val="22BE2C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0543CD0"/>
    <w:multiLevelType w:val="hybridMultilevel"/>
    <w:tmpl w:val="601C72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10304554">
    <w:abstractNumId w:val="4"/>
  </w:num>
  <w:num w:numId="2" w16cid:durableId="2133009627">
    <w:abstractNumId w:val="6"/>
  </w:num>
  <w:num w:numId="3" w16cid:durableId="978539571">
    <w:abstractNumId w:val="1"/>
  </w:num>
  <w:num w:numId="4" w16cid:durableId="969475700">
    <w:abstractNumId w:val="2"/>
  </w:num>
  <w:num w:numId="5" w16cid:durableId="166753887">
    <w:abstractNumId w:val="0"/>
  </w:num>
  <w:num w:numId="6" w16cid:durableId="602038035">
    <w:abstractNumId w:val="5"/>
  </w:num>
  <w:num w:numId="7" w16cid:durableId="41205097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89"/>
    <w:rsid w:val="00010ABE"/>
    <w:rsid w:val="000119FA"/>
    <w:rsid w:val="0001255D"/>
    <w:rsid w:val="00014201"/>
    <w:rsid w:val="00014A62"/>
    <w:rsid w:val="00014EDC"/>
    <w:rsid w:val="00017C5D"/>
    <w:rsid w:val="00021791"/>
    <w:rsid w:val="00026192"/>
    <w:rsid w:val="00027E79"/>
    <w:rsid w:val="00033FA5"/>
    <w:rsid w:val="0004063C"/>
    <w:rsid w:val="000420C9"/>
    <w:rsid w:val="0004247F"/>
    <w:rsid w:val="00044F55"/>
    <w:rsid w:val="00056990"/>
    <w:rsid w:val="0006086E"/>
    <w:rsid w:val="00060B30"/>
    <w:rsid w:val="00060C59"/>
    <w:rsid w:val="000616D1"/>
    <w:rsid w:val="00062AFB"/>
    <w:rsid w:val="000655DD"/>
    <w:rsid w:val="00065C98"/>
    <w:rsid w:val="00070D1A"/>
    <w:rsid w:val="00071F79"/>
    <w:rsid w:val="0007251B"/>
    <w:rsid w:val="00073137"/>
    <w:rsid w:val="000733A5"/>
    <w:rsid w:val="000743A2"/>
    <w:rsid w:val="0007582A"/>
    <w:rsid w:val="00082C5B"/>
    <w:rsid w:val="00083227"/>
    <w:rsid w:val="00086CBE"/>
    <w:rsid w:val="00090812"/>
    <w:rsid w:val="000921F0"/>
    <w:rsid w:val="0009303F"/>
    <w:rsid w:val="00095AC2"/>
    <w:rsid w:val="000A012A"/>
    <w:rsid w:val="000B140B"/>
    <w:rsid w:val="000B2633"/>
    <w:rsid w:val="000C2651"/>
    <w:rsid w:val="000C3AA9"/>
    <w:rsid w:val="000C5D3F"/>
    <w:rsid w:val="000D0A6E"/>
    <w:rsid w:val="000D4E9A"/>
    <w:rsid w:val="000D6386"/>
    <w:rsid w:val="000D7D44"/>
    <w:rsid w:val="000F1E4A"/>
    <w:rsid w:val="000F2EBC"/>
    <w:rsid w:val="000F5304"/>
    <w:rsid w:val="00100D34"/>
    <w:rsid w:val="001027E0"/>
    <w:rsid w:val="00103EFD"/>
    <w:rsid w:val="00105ADB"/>
    <w:rsid w:val="00107D87"/>
    <w:rsid w:val="00110EA7"/>
    <w:rsid w:val="00111471"/>
    <w:rsid w:val="00115818"/>
    <w:rsid w:val="0012118A"/>
    <w:rsid w:val="00121843"/>
    <w:rsid w:val="00123E96"/>
    <w:rsid w:val="001253F4"/>
    <w:rsid w:val="00126E8C"/>
    <w:rsid w:val="00130714"/>
    <w:rsid w:val="001352AF"/>
    <w:rsid w:val="0014088E"/>
    <w:rsid w:val="00140A26"/>
    <w:rsid w:val="00151588"/>
    <w:rsid w:val="00155C4E"/>
    <w:rsid w:val="00157482"/>
    <w:rsid w:val="001707D8"/>
    <w:rsid w:val="0017119F"/>
    <w:rsid w:val="00171988"/>
    <w:rsid w:val="00174496"/>
    <w:rsid w:val="00183BF4"/>
    <w:rsid w:val="0018714B"/>
    <w:rsid w:val="00187C68"/>
    <w:rsid w:val="001939EE"/>
    <w:rsid w:val="001A01FE"/>
    <w:rsid w:val="001A38FD"/>
    <w:rsid w:val="001A580E"/>
    <w:rsid w:val="001B0A76"/>
    <w:rsid w:val="001B1533"/>
    <w:rsid w:val="001B6E1A"/>
    <w:rsid w:val="001C440A"/>
    <w:rsid w:val="001C52DE"/>
    <w:rsid w:val="001D7761"/>
    <w:rsid w:val="001E0DE1"/>
    <w:rsid w:val="001E1086"/>
    <w:rsid w:val="001F0446"/>
    <w:rsid w:val="001F1F54"/>
    <w:rsid w:val="001F57F5"/>
    <w:rsid w:val="001F7107"/>
    <w:rsid w:val="0020401C"/>
    <w:rsid w:val="0020629A"/>
    <w:rsid w:val="00206E11"/>
    <w:rsid w:val="00206FE3"/>
    <w:rsid w:val="00207554"/>
    <w:rsid w:val="00211261"/>
    <w:rsid w:val="00212CEB"/>
    <w:rsid w:val="00215F5C"/>
    <w:rsid w:val="00222503"/>
    <w:rsid w:val="002244BB"/>
    <w:rsid w:val="00224E8F"/>
    <w:rsid w:val="00225304"/>
    <w:rsid w:val="00230CAA"/>
    <w:rsid w:val="0023109A"/>
    <w:rsid w:val="00232172"/>
    <w:rsid w:val="002343F6"/>
    <w:rsid w:val="00244425"/>
    <w:rsid w:val="00244F86"/>
    <w:rsid w:val="002508A9"/>
    <w:rsid w:val="002517BB"/>
    <w:rsid w:val="0025498E"/>
    <w:rsid w:val="00255B42"/>
    <w:rsid w:val="002560D7"/>
    <w:rsid w:val="00256D26"/>
    <w:rsid w:val="00256E24"/>
    <w:rsid w:val="002620B3"/>
    <w:rsid w:val="0026531C"/>
    <w:rsid w:val="00265491"/>
    <w:rsid w:val="0027059E"/>
    <w:rsid w:val="00271090"/>
    <w:rsid w:val="0027112B"/>
    <w:rsid w:val="00272F5A"/>
    <w:rsid w:val="002735A0"/>
    <w:rsid w:val="00276CE2"/>
    <w:rsid w:val="00287AF1"/>
    <w:rsid w:val="002A1654"/>
    <w:rsid w:val="002A1F02"/>
    <w:rsid w:val="002A41C6"/>
    <w:rsid w:val="002B10E9"/>
    <w:rsid w:val="002B2CCC"/>
    <w:rsid w:val="002B5DBE"/>
    <w:rsid w:val="002B785B"/>
    <w:rsid w:val="002C216F"/>
    <w:rsid w:val="002C4F75"/>
    <w:rsid w:val="002C61FC"/>
    <w:rsid w:val="002D0589"/>
    <w:rsid w:val="002D1A94"/>
    <w:rsid w:val="002E6CCF"/>
    <w:rsid w:val="002F33D0"/>
    <w:rsid w:val="00300722"/>
    <w:rsid w:val="0030316D"/>
    <w:rsid w:val="00304807"/>
    <w:rsid w:val="00306028"/>
    <w:rsid w:val="00312ECF"/>
    <w:rsid w:val="00313E0B"/>
    <w:rsid w:val="0031482C"/>
    <w:rsid w:val="00331181"/>
    <w:rsid w:val="00334534"/>
    <w:rsid w:val="00337580"/>
    <w:rsid w:val="00341E30"/>
    <w:rsid w:val="00345314"/>
    <w:rsid w:val="00351CA3"/>
    <w:rsid w:val="00354D3D"/>
    <w:rsid w:val="0035578F"/>
    <w:rsid w:val="003562B1"/>
    <w:rsid w:val="00364AFA"/>
    <w:rsid w:val="003664F6"/>
    <w:rsid w:val="003666DA"/>
    <w:rsid w:val="00366E00"/>
    <w:rsid w:val="00372431"/>
    <w:rsid w:val="00373D2F"/>
    <w:rsid w:val="00376428"/>
    <w:rsid w:val="00382ACC"/>
    <w:rsid w:val="00383249"/>
    <w:rsid w:val="003846A9"/>
    <w:rsid w:val="00384E67"/>
    <w:rsid w:val="00386607"/>
    <w:rsid w:val="003A1BE6"/>
    <w:rsid w:val="003A1C3E"/>
    <w:rsid w:val="003A3649"/>
    <w:rsid w:val="003A52CE"/>
    <w:rsid w:val="003A7774"/>
    <w:rsid w:val="003B05C5"/>
    <w:rsid w:val="003B0D17"/>
    <w:rsid w:val="003B1479"/>
    <w:rsid w:val="003B46AD"/>
    <w:rsid w:val="003B741E"/>
    <w:rsid w:val="003B76DC"/>
    <w:rsid w:val="003C3CFE"/>
    <w:rsid w:val="003C3D4E"/>
    <w:rsid w:val="003C4A1E"/>
    <w:rsid w:val="003C69D9"/>
    <w:rsid w:val="003C7358"/>
    <w:rsid w:val="003D49A4"/>
    <w:rsid w:val="003D5338"/>
    <w:rsid w:val="003E54CD"/>
    <w:rsid w:val="003E61F6"/>
    <w:rsid w:val="003F02EF"/>
    <w:rsid w:val="003F4CDE"/>
    <w:rsid w:val="003F7CF9"/>
    <w:rsid w:val="00401D0C"/>
    <w:rsid w:val="00402F0F"/>
    <w:rsid w:val="00403A49"/>
    <w:rsid w:val="00405075"/>
    <w:rsid w:val="00406175"/>
    <w:rsid w:val="0040690C"/>
    <w:rsid w:val="00407537"/>
    <w:rsid w:val="00410A7A"/>
    <w:rsid w:val="004161D1"/>
    <w:rsid w:val="004165BD"/>
    <w:rsid w:val="004168D1"/>
    <w:rsid w:val="00421C78"/>
    <w:rsid w:val="0042220D"/>
    <w:rsid w:val="00423F6D"/>
    <w:rsid w:val="004328A4"/>
    <w:rsid w:val="0043377A"/>
    <w:rsid w:val="00433928"/>
    <w:rsid w:val="0043429E"/>
    <w:rsid w:val="00436F5E"/>
    <w:rsid w:val="004379B6"/>
    <w:rsid w:val="0044428E"/>
    <w:rsid w:val="0044549B"/>
    <w:rsid w:val="00446465"/>
    <w:rsid w:val="004477E6"/>
    <w:rsid w:val="00450AEB"/>
    <w:rsid w:val="00452FE7"/>
    <w:rsid w:val="00453A86"/>
    <w:rsid w:val="004559C4"/>
    <w:rsid w:val="00460D54"/>
    <w:rsid w:val="00461D3E"/>
    <w:rsid w:val="00463A46"/>
    <w:rsid w:val="0047053E"/>
    <w:rsid w:val="004706CC"/>
    <w:rsid w:val="004709E4"/>
    <w:rsid w:val="004776F4"/>
    <w:rsid w:val="0048152E"/>
    <w:rsid w:val="00481880"/>
    <w:rsid w:val="00482A70"/>
    <w:rsid w:val="0048575B"/>
    <w:rsid w:val="0049013C"/>
    <w:rsid w:val="0049393B"/>
    <w:rsid w:val="00494C52"/>
    <w:rsid w:val="004A0BDC"/>
    <w:rsid w:val="004B4839"/>
    <w:rsid w:val="004B4917"/>
    <w:rsid w:val="004B5397"/>
    <w:rsid w:val="004B75AC"/>
    <w:rsid w:val="004C045B"/>
    <w:rsid w:val="004C243E"/>
    <w:rsid w:val="004C34D7"/>
    <w:rsid w:val="004C3644"/>
    <w:rsid w:val="004D12DD"/>
    <w:rsid w:val="004D66BF"/>
    <w:rsid w:val="004E4307"/>
    <w:rsid w:val="004E5778"/>
    <w:rsid w:val="004E6A23"/>
    <w:rsid w:val="004E6CDA"/>
    <w:rsid w:val="004E7ED8"/>
    <w:rsid w:val="0050376D"/>
    <w:rsid w:val="00503F92"/>
    <w:rsid w:val="00503FCB"/>
    <w:rsid w:val="00505C40"/>
    <w:rsid w:val="00506B3A"/>
    <w:rsid w:val="00512237"/>
    <w:rsid w:val="00512C25"/>
    <w:rsid w:val="0051353D"/>
    <w:rsid w:val="00520074"/>
    <w:rsid w:val="00520CDF"/>
    <w:rsid w:val="005276C2"/>
    <w:rsid w:val="005302CB"/>
    <w:rsid w:val="00534D72"/>
    <w:rsid w:val="005368FE"/>
    <w:rsid w:val="00537179"/>
    <w:rsid w:val="00540AA3"/>
    <w:rsid w:val="00540AAB"/>
    <w:rsid w:val="005417A1"/>
    <w:rsid w:val="00542098"/>
    <w:rsid w:val="0054255A"/>
    <w:rsid w:val="00550222"/>
    <w:rsid w:val="0055434C"/>
    <w:rsid w:val="00566DE2"/>
    <w:rsid w:val="00567773"/>
    <w:rsid w:val="00572CB0"/>
    <w:rsid w:val="00573D27"/>
    <w:rsid w:val="00577243"/>
    <w:rsid w:val="00577678"/>
    <w:rsid w:val="005803AA"/>
    <w:rsid w:val="00584800"/>
    <w:rsid w:val="0059001D"/>
    <w:rsid w:val="00591283"/>
    <w:rsid w:val="00595088"/>
    <w:rsid w:val="00595C91"/>
    <w:rsid w:val="00597814"/>
    <w:rsid w:val="00597B1A"/>
    <w:rsid w:val="005A14F1"/>
    <w:rsid w:val="005A1F6A"/>
    <w:rsid w:val="005A58AE"/>
    <w:rsid w:val="005A61CE"/>
    <w:rsid w:val="005A74F1"/>
    <w:rsid w:val="005A7AF6"/>
    <w:rsid w:val="005A7E5A"/>
    <w:rsid w:val="005B1285"/>
    <w:rsid w:val="005B1410"/>
    <w:rsid w:val="005B4787"/>
    <w:rsid w:val="005B5A7E"/>
    <w:rsid w:val="005B5FCC"/>
    <w:rsid w:val="005C1C84"/>
    <w:rsid w:val="005C2F8A"/>
    <w:rsid w:val="005C680F"/>
    <w:rsid w:val="005C6E4B"/>
    <w:rsid w:val="005D4A40"/>
    <w:rsid w:val="005D6BEF"/>
    <w:rsid w:val="005E0123"/>
    <w:rsid w:val="005E0E75"/>
    <w:rsid w:val="005E1D60"/>
    <w:rsid w:val="005E3F36"/>
    <w:rsid w:val="005E493B"/>
    <w:rsid w:val="005F2951"/>
    <w:rsid w:val="005F49EB"/>
    <w:rsid w:val="00606695"/>
    <w:rsid w:val="00622510"/>
    <w:rsid w:val="00622C74"/>
    <w:rsid w:val="0062353B"/>
    <w:rsid w:val="00623BCB"/>
    <w:rsid w:val="00624DDC"/>
    <w:rsid w:val="006253B6"/>
    <w:rsid w:val="006257ED"/>
    <w:rsid w:val="0062686E"/>
    <w:rsid w:val="00630B30"/>
    <w:rsid w:val="00632B51"/>
    <w:rsid w:val="006414FB"/>
    <w:rsid w:val="00642C3C"/>
    <w:rsid w:val="00651FF6"/>
    <w:rsid w:val="00655051"/>
    <w:rsid w:val="00661A60"/>
    <w:rsid w:val="006646EF"/>
    <w:rsid w:val="0067278A"/>
    <w:rsid w:val="00675499"/>
    <w:rsid w:val="00676E5D"/>
    <w:rsid w:val="0068166F"/>
    <w:rsid w:val="0068303E"/>
    <w:rsid w:val="0068383E"/>
    <w:rsid w:val="0069083E"/>
    <w:rsid w:val="00690DF0"/>
    <w:rsid w:val="00692577"/>
    <w:rsid w:val="006A1181"/>
    <w:rsid w:val="006A2B00"/>
    <w:rsid w:val="006A3A35"/>
    <w:rsid w:val="006A4D02"/>
    <w:rsid w:val="006A5529"/>
    <w:rsid w:val="006B0461"/>
    <w:rsid w:val="006B1BF9"/>
    <w:rsid w:val="006B31DA"/>
    <w:rsid w:val="006B53F1"/>
    <w:rsid w:val="006B6037"/>
    <w:rsid w:val="006C054E"/>
    <w:rsid w:val="006C0E56"/>
    <w:rsid w:val="006E4F82"/>
    <w:rsid w:val="006E578C"/>
    <w:rsid w:val="006F03D2"/>
    <w:rsid w:val="006F336E"/>
    <w:rsid w:val="007027F2"/>
    <w:rsid w:val="007073F9"/>
    <w:rsid w:val="00710659"/>
    <w:rsid w:val="00710D3D"/>
    <w:rsid w:val="00717BDC"/>
    <w:rsid w:val="00720868"/>
    <w:rsid w:val="00721395"/>
    <w:rsid w:val="00723A28"/>
    <w:rsid w:val="00730347"/>
    <w:rsid w:val="00733196"/>
    <w:rsid w:val="0073365A"/>
    <w:rsid w:val="0073637C"/>
    <w:rsid w:val="00736B62"/>
    <w:rsid w:val="00747EA2"/>
    <w:rsid w:val="00763BA2"/>
    <w:rsid w:val="00764C85"/>
    <w:rsid w:val="00765CA9"/>
    <w:rsid w:val="00766783"/>
    <w:rsid w:val="007679FC"/>
    <w:rsid w:val="007703B9"/>
    <w:rsid w:val="00774E56"/>
    <w:rsid w:val="0077528F"/>
    <w:rsid w:val="00775CF4"/>
    <w:rsid w:val="00780111"/>
    <w:rsid w:val="00781268"/>
    <w:rsid w:val="00782D0D"/>
    <w:rsid w:val="00785195"/>
    <w:rsid w:val="00793B76"/>
    <w:rsid w:val="00793E3E"/>
    <w:rsid w:val="00795B1F"/>
    <w:rsid w:val="007A080F"/>
    <w:rsid w:val="007A1E90"/>
    <w:rsid w:val="007A29C5"/>
    <w:rsid w:val="007A3385"/>
    <w:rsid w:val="007A7B38"/>
    <w:rsid w:val="007B04EA"/>
    <w:rsid w:val="007B20B1"/>
    <w:rsid w:val="007B2C93"/>
    <w:rsid w:val="007C7B4B"/>
    <w:rsid w:val="007D0F6E"/>
    <w:rsid w:val="007D184D"/>
    <w:rsid w:val="007D2AE6"/>
    <w:rsid w:val="007F0E46"/>
    <w:rsid w:val="00823428"/>
    <w:rsid w:val="00823FA2"/>
    <w:rsid w:val="008267B4"/>
    <w:rsid w:val="008268F3"/>
    <w:rsid w:val="008316F4"/>
    <w:rsid w:val="00834C54"/>
    <w:rsid w:val="008369BA"/>
    <w:rsid w:val="008408AB"/>
    <w:rsid w:val="00840D32"/>
    <w:rsid w:val="00843933"/>
    <w:rsid w:val="008502D9"/>
    <w:rsid w:val="00850F4C"/>
    <w:rsid w:val="00852B88"/>
    <w:rsid w:val="00863AC5"/>
    <w:rsid w:val="008641A0"/>
    <w:rsid w:val="00864C1F"/>
    <w:rsid w:val="00866C7F"/>
    <w:rsid w:val="008678D6"/>
    <w:rsid w:val="00870FA1"/>
    <w:rsid w:val="00872AAB"/>
    <w:rsid w:val="00875220"/>
    <w:rsid w:val="00891CD9"/>
    <w:rsid w:val="00896B4E"/>
    <w:rsid w:val="008A29AF"/>
    <w:rsid w:val="008A36D4"/>
    <w:rsid w:val="008C3F65"/>
    <w:rsid w:val="008C44AC"/>
    <w:rsid w:val="008C6837"/>
    <w:rsid w:val="008C79F5"/>
    <w:rsid w:val="008C7CA9"/>
    <w:rsid w:val="008D3D68"/>
    <w:rsid w:val="008D3E51"/>
    <w:rsid w:val="008D4ADD"/>
    <w:rsid w:val="008D5240"/>
    <w:rsid w:val="008E0239"/>
    <w:rsid w:val="008E4718"/>
    <w:rsid w:val="008E59D1"/>
    <w:rsid w:val="008F2446"/>
    <w:rsid w:val="008F43BA"/>
    <w:rsid w:val="008F6B10"/>
    <w:rsid w:val="00901040"/>
    <w:rsid w:val="00901B0A"/>
    <w:rsid w:val="00905037"/>
    <w:rsid w:val="00906F6A"/>
    <w:rsid w:val="009114FD"/>
    <w:rsid w:val="00912BF6"/>
    <w:rsid w:val="009139B3"/>
    <w:rsid w:val="00916EF7"/>
    <w:rsid w:val="00917137"/>
    <w:rsid w:val="00923F25"/>
    <w:rsid w:val="00933BF4"/>
    <w:rsid w:val="00940D73"/>
    <w:rsid w:val="0094430F"/>
    <w:rsid w:val="0094650A"/>
    <w:rsid w:val="009549B8"/>
    <w:rsid w:val="00957322"/>
    <w:rsid w:val="00957F5F"/>
    <w:rsid w:val="009625BE"/>
    <w:rsid w:val="00963503"/>
    <w:rsid w:val="00965DBD"/>
    <w:rsid w:val="00967BEE"/>
    <w:rsid w:val="00970393"/>
    <w:rsid w:val="00971944"/>
    <w:rsid w:val="00973E8B"/>
    <w:rsid w:val="009815C6"/>
    <w:rsid w:val="00993462"/>
    <w:rsid w:val="00994169"/>
    <w:rsid w:val="00996201"/>
    <w:rsid w:val="009A0187"/>
    <w:rsid w:val="009A1352"/>
    <w:rsid w:val="009A30FC"/>
    <w:rsid w:val="009A39E1"/>
    <w:rsid w:val="009A3AD8"/>
    <w:rsid w:val="009A6EE8"/>
    <w:rsid w:val="009A7CC7"/>
    <w:rsid w:val="009B0F58"/>
    <w:rsid w:val="009C3380"/>
    <w:rsid w:val="009D2F07"/>
    <w:rsid w:val="009D330D"/>
    <w:rsid w:val="009D7CB8"/>
    <w:rsid w:val="009E0DC7"/>
    <w:rsid w:val="009E7E38"/>
    <w:rsid w:val="009F1E76"/>
    <w:rsid w:val="009F265B"/>
    <w:rsid w:val="009F482C"/>
    <w:rsid w:val="009F68DB"/>
    <w:rsid w:val="009F70DF"/>
    <w:rsid w:val="00A03E3F"/>
    <w:rsid w:val="00A07ECE"/>
    <w:rsid w:val="00A1108E"/>
    <w:rsid w:val="00A27CD0"/>
    <w:rsid w:val="00A36104"/>
    <w:rsid w:val="00A36134"/>
    <w:rsid w:val="00A362B6"/>
    <w:rsid w:val="00A36CA6"/>
    <w:rsid w:val="00A40E85"/>
    <w:rsid w:val="00A5207F"/>
    <w:rsid w:val="00A526F3"/>
    <w:rsid w:val="00A5657E"/>
    <w:rsid w:val="00A56871"/>
    <w:rsid w:val="00A56B94"/>
    <w:rsid w:val="00A5786A"/>
    <w:rsid w:val="00A67DFF"/>
    <w:rsid w:val="00A71475"/>
    <w:rsid w:val="00A714DC"/>
    <w:rsid w:val="00A7179C"/>
    <w:rsid w:val="00A71A7B"/>
    <w:rsid w:val="00A71D77"/>
    <w:rsid w:val="00A72D0A"/>
    <w:rsid w:val="00A74C60"/>
    <w:rsid w:val="00A761CB"/>
    <w:rsid w:val="00A76B36"/>
    <w:rsid w:val="00A85701"/>
    <w:rsid w:val="00A85CA0"/>
    <w:rsid w:val="00A93F3E"/>
    <w:rsid w:val="00A96F9B"/>
    <w:rsid w:val="00A975EA"/>
    <w:rsid w:val="00AA5578"/>
    <w:rsid w:val="00AB1934"/>
    <w:rsid w:val="00AB1CDA"/>
    <w:rsid w:val="00AB25B5"/>
    <w:rsid w:val="00AB2F9C"/>
    <w:rsid w:val="00AB7CBE"/>
    <w:rsid w:val="00AC3367"/>
    <w:rsid w:val="00AD0344"/>
    <w:rsid w:val="00AD3261"/>
    <w:rsid w:val="00AD37DD"/>
    <w:rsid w:val="00AD4355"/>
    <w:rsid w:val="00AE0A37"/>
    <w:rsid w:val="00AE3F5F"/>
    <w:rsid w:val="00AF6E0C"/>
    <w:rsid w:val="00B026D1"/>
    <w:rsid w:val="00B04785"/>
    <w:rsid w:val="00B07000"/>
    <w:rsid w:val="00B1070A"/>
    <w:rsid w:val="00B10DBD"/>
    <w:rsid w:val="00B13297"/>
    <w:rsid w:val="00B13DC4"/>
    <w:rsid w:val="00B17B7C"/>
    <w:rsid w:val="00B2022F"/>
    <w:rsid w:val="00B23277"/>
    <w:rsid w:val="00B245AD"/>
    <w:rsid w:val="00B25622"/>
    <w:rsid w:val="00B2755E"/>
    <w:rsid w:val="00B31B78"/>
    <w:rsid w:val="00B3319B"/>
    <w:rsid w:val="00B3652D"/>
    <w:rsid w:val="00B4182B"/>
    <w:rsid w:val="00B42A85"/>
    <w:rsid w:val="00B47507"/>
    <w:rsid w:val="00B54521"/>
    <w:rsid w:val="00B558D7"/>
    <w:rsid w:val="00B55E54"/>
    <w:rsid w:val="00B56589"/>
    <w:rsid w:val="00B62502"/>
    <w:rsid w:val="00B635E5"/>
    <w:rsid w:val="00B63D67"/>
    <w:rsid w:val="00B64D05"/>
    <w:rsid w:val="00B667FB"/>
    <w:rsid w:val="00B70460"/>
    <w:rsid w:val="00B740B9"/>
    <w:rsid w:val="00B75E48"/>
    <w:rsid w:val="00B77ABC"/>
    <w:rsid w:val="00B83847"/>
    <w:rsid w:val="00B936DD"/>
    <w:rsid w:val="00B9419F"/>
    <w:rsid w:val="00B9441B"/>
    <w:rsid w:val="00B97007"/>
    <w:rsid w:val="00BA03D0"/>
    <w:rsid w:val="00BA2DEF"/>
    <w:rsid w:val="00BB4BF8"/>
    <w:rsid w:val="00BB5C01"/>
    <w:rsid w:val="00BB7ACC"/>
    <w:rsid w:val="00BC3401"/>
    <w:rsid w:val="00BC38A1"/>
    <w:rsid w:val="00BC3E43"/>
    <w:rsid w:val="00BD6B0B"/>
    <w:rsid w:val="00BD702B"/>
    <w:rsid w:val="00BD7963"/>
    <w:rsid w:val="00BD7B78"/>
    <w:rsid w:val="00BD7B85"/>
    <w:rsid w:val="00BE371B"/>
    <w:rsid w:val="00BE57BA"/>
    <w:rsid w:val="00BE6ADA"/>
    <w:rsid w:val="00BE773B"/>
    <w:rsid w:val="00BF0BE1"/>
    <w:rsid w:val="00BF6480"/>
    <w:rsid w:val="00C05352"/>
    <w:rsid w:val="00C07327"/>
    <w:rsid w:val="00C16C52"/>
    <w:rsid w:val="00C20B94"/>
    <w:rsid w:val="00C22390"/>
    <w:rsid w:val="00C23878"/>
    <w:rsid w:val="00C24B2B"/>
    <w:rsid w:val="00C2589D"/>
    <w:rsid w:val="00C32404"/>
    <w:rsid w:val="00C477CF"/>
    <w:rsid w:val="00C47A8F"/>
    <w:rsid w:val="00C50FCE"/>
    <w:rsid w:val="00C51C0C"/>
    <w:rsid w:val="00C524C1"/>
    <w:rsid w:val="00C53AEC"/>
    <w:rsid w:val="00C56B35"/>
    <w:rsid w:val="00C624AA"/>
    <w:rsid w:val="00C6565E"/>
    <w:rsid w:val="00C669E0"/>
    <w:rsid w:val="00C7152E"/>
    <w:rsid w:val="00C71FA9"/>
    <w:rsid w:val="00C73360"/>
    <w:rsid w:val="00C76CAE"/>
    <w:rsid w:val="00C82406"/>
    <w:rsid w:val="00C86CB2"/>
    <w:rsid w:val="00C90FF7"/>
    <w:rsid w:val="00C91C71"/>
    <w:rsid w:val="00C91CBA"/>
    <w:rsid w:val="00C95126"/>
    <w:rsid w:val="00CA04BE"/>
    <w:rsid w:val="00CA4C5F"/>
    <w:rsid w:val="00CA6D81"/>
    <w:rsid w:val="00CA72A5"/>
    <w:rsid w:val="00CB1F9B"/>
    <w:rsid w:val="00CB2ED6"/>
    <w:rsid w:val="00CB4358"/>
    <w:rsid w:val="00CB50CD"/>
    <w:rsid w:val="00CB57CE"/>
    <w:rsid w:val="00CB742D"/>
    <w:rsid w:val="00CC07BF"/>
    <w:rsid w:val="00CC3A0A"/>
    <w:rsid w:val="00CC4651"/>
    <w:rsid w:val="00CD0752"/>
    <w:rsid w:val="00CD1415"/>
    <w:rsid w:val="00CD1C0E"/>
    <w:rsid w:val="00CD3AD5"/>
    <w:rsid w:val="00CE018E"/>
    <w:rsid w:val="00CE053E"/>
    <w:rsid w:val="00CE2AEB"/>
    <w:rsid w:val="00CE7A4A"/>
    <w:rsid w:val="00CF315D"/>
    <w:rsid w:val="00D046BB"/>
    <w:rsid w:val="00D05FA3"/>
    <w:rsid w:val="00D07E85"/>
    <w:rsid w:val="00D1021D"/>
    <w:rsid w:val="00D118F9"/>
    <w:rsid w:val="00D1343F"/>
    <w:rsid w:val="00D13AA8"/>
    <w:rsid w:val="00D1421D"/>
    <w:rsid w:val="00D17466"/>
    <w:rsid w:val="00D17B8C"/>
    <w:rsid w:val="00D239B5"/>
    <w:rsid w:val="00D24DED"/>
    <w:rsid w:val="00D30B6F"/>
    <w:rsid w:val="00D32B72"/>
    <w:rsid w:val="00D32E6D"/>
    <w:rsid w:val="00D33C44"/>
    <w:rsid w:val="00D36409"/>
    <w:rsid w:val="00D4033C"/>
    <w:rsid w:val="00D42A1A"/>
    <w:rsid w:val="00D43B39"/>
    <w:rsid w:val="00D44EA5"/>
    <w:rsid w:val="00D45504"/>
    <w:rsid w:val="00D46A02"/>
    <w:rsid w:val="00D5346A"/>
    <w:rsid w:val="00D55767"/>
    <w:rsid w:val="00D60EC0"/>
    <w:rsid w:val="00D6264D"/>
    <w:rsid w:val="00D70223"/>
    <w:rsid w:val="00D70A12"/>
    <w:rsid w:val="00D71BA0"/>
    <w:rsid w:val="00D71BA5"/>
    <w:rsid w:val="00D749DF"/>
    <w:rsid w:val="00D801FF"/>
    <w:rsid w:val="00D807D5"/>
    <w:rsid w:val="00D80AC2"/>
    <w:rsid w:val="00D82755"/>
    <w:rsid w:val="00D82E67"/>
    <w:rsid w:val="00D831AC"/>
    <w:rsid w:val="00D87B09"/>
    <w:rsid w:val="00D90E0A"/>
    <w:rsid w:val="00D921BC"/>
    <w:rsid w:val="00D97926"/>
    <w:rsid w:val="00DA3557"/>
    <w:rsid w:val="00DA4701"/>
    <w:rsid w:val="00DB7037"/>
    <w:rsid w:val="00DB7C2E"/>
    <w:rsid w:val="00DC65F2"/>
    <w:rsid w:val="00DC7876"/>
    <w:rsid w:val="00DC7DD5"/>
    <w:rsid w:val="00DE0F9E"/>
    <w:rsid w:val="00DE3037"/>
    <w:rsid w:val="00DE3ED7"/>
    <w:rsid w:val="00DE5BA5"/>
    <w:rsid w:val="00DF1291"/>
    <w:rsid w:val="00DF1D41"/>
    <w:rsid w:val="00DF704E"/>
    <w:rsid w:val="00E02B7B"/>
    <w:rsid w:val="00E03C5F"/>
    <w:rsid w:val="00E13663"/>
    <w:rsid w:val="00E1392C"/>
    <w:rsid w:val="00E13E2E"/>
    <w:rsid w:val="00E179F5"/>
    <w:rsid w:val="00E218C4"/>
    <w:rsid w:val="00E2227B"/>
    <w:rsid w:val="00E22AC6"/>
    <w:rsid w:val="00E24830"/>
    <w:rsid w:val="00E271B3"/>
    <w:rsid w:val="00E318A6"/>
    <w:rsid w:val="00E31F61"/>
    <w:rsid w:val="00E32F35"/>
    <w:rsid w:val="00E41C62"/>
    <w:rsid w:val="00E41EE9"/>
    <w:rsid w:val="00E44AB6"/>
    <w:rsid w:val="00E454A2"/>
    <w:rsid w:val="00E461D4"/>
    <w:rsid w:val="00E521AB"/>
    <w:rsid w:val="00E544CA"/>
    <w:rsid w:val="00E606E0"/>
    <w:rsid w:val="00E610A0"/>
    <w:rsid w:val="00E62285"/>
    <w:rsid w:val="00E62819"/>
    <w:rsid w:val="00E63550"/>
    <w:rsid w:val="00E6386F"/>
    <w:rsid w:val="00E64EA2"/>
    <w:rsid w:val="00E71E25"/>
    <w:rsid w:val="00E75A69"/>
    <w:rsid w:val="00E8038D"/>
    <w:rsid w:val="00E80527"/>
    <w:rsid w:val="00E847CC"/>
    <w:rsid w:val="00E9045F"/>
    <w:rsid w:val="00E91505"/>
    <w:rsid w:val="00EA0D4F"/>
    <w:rsid w:val="00EA17B9"/>
    <w:rsid w:val="00EA405B"/>
    <w:rsid w:val="00EA56E4"/>
    <w:rsid w:val="00EA66C7"/>
    <w:rsid w:val="00EB202D"/>
    <w:rsid w:val="00EB4C26"/>
    <w:rsid w:val="00EB6134"/>
    <w:rsid w:val="00EB6E45"/>
    <w:rsid w:val="00EC1A6C"/>
    <w:rsid w:val="00EC282C"/>
    <w:rsid w:val="00EC2A12"/>
    <w:rsid w:val="00EC3098"/>
    <w:rsid w:val="00EC46E1"/>
    <w:rsid w:val="00ED559B"/>
    <w:rsid w:val="00ED7509"/>
    <w:rsid w:val="00ED791D"/>
    <w:rsid w:val="00EE38AF"/>
    <w:rsid w:val="00EE51F1"/>
    <w:rsid w:val="00EE6085"/>
    <w:rsid w:val="00EE61F7"/>
    <w:rsid w:val="00EE69CF"/>
    <w:rsid w:val="00EF0FD2"/>
    <w:rsid w:val="00EF254B"/>
    <w:rsid w:val="00EF33F3"/>
    <w:rsid w:val="00EF4FF2"/>
    <w:rsid w:val="00EF7E35"/>
    <w:rsid w:val="00F02BBF"/>
    <w:rsid w:val="00F0467A"/>
    <w:rsid w:val="00F0498B"/>
    <w:rsid w:val="00F071DE"/>
    <w:rsid w:val="00F118D2"/>
    <w:rsid w:val="00F144F3"/>
    <w:rsid w:val="00F16DB3"/>
    <w:rsid w:val="00F26B73"/>
    <w:rsid w:val="00F27A0E"/>
    <w:rsid w:val="00F33EF4"/>
    <w:rsid w:val="00F34F53"/>
    <w:rsid w:val="00F35688"/>
    <w:rsid w:val="00F4057A"/>
    <w:rsid w:val="00F42246"/>
    <w:rsid w:val="00F42D69"/>
    <w:rsid w:val="00F4654A"/>
    <w:rsid w:val="00F47720"/>
    <w:rsid w:val="00F4788E"/>
    <w:rsid w:val="00F55368"/>
    <w:rsid w:val="00F61C6F"/>
    <w:rsid w:val="00F62507"/>
    <w:rsid w:val="00F6338D"/>
    <w:rsid w:val="00F74630"/>
    <w:rsid w:val="00F75061"/>
    <w:rsid w:val="00F809A7"/>
    <w:rsid w:val="00F80DFF"/>
    <w:rsid w:val="00F8183F"/>
    <w:rsid w:val="00F87CA1"/>
    <w:rsid w:val="00F90900"/>
    <w:rsid w:val="00F9122A"/>
    <w:rsid w:val="00F93C56"/>
    <w:rsid w:val="00F942D9"/>
    <w:rsid w:val="00FA5B1A"/>
    <w:rsid w:val="00FA6ABF"/>
    <w:rsid w:val="00FA6D2C"/>
    <w:rsid w:val="00FA725F"/>
    <w:rsid w:val="00FB0C27"/>
    <w:rsid w:val="00FB1BAA"/>
    <w:rsid w:val="00FB205C"/>
    <w:rsid w:val="00FB2543"/>
    <w:rsid w:val="00FB5BF6"/>
    <w:rsid w:val="00FB7BF4"/>
    <w:rsid w:val="00FC123D"/>
    <w:rsid w:val="00FC5E0C"/>
    <w:rsid w:val="00FC779A"/>
    <w:rsid w:val="00FD184C"/>
    <w:rsid w:val="00FD342E"/>
    <w:rsid w:val="00FD584E"/>
    <w:rsid w:val="00FD78DB"/>
    <w:rsid w:val="00FE104C"/>
    <w:rsid w:val="00FE3BC1"/>
    <w:rsid w:val="00FE5ACE"/>
    <w:rsid w:val="00FE6334"/>
    <w:rsid w:val="00FF1708"/>
    <w:rsid w:val="00FF2210"/>
    <w:rsid w:val="00FF409F"/>
    <w:rsid w:val="00FF5C51"/>
    <w:rsid w:val="00FF6E7E"/>
    <w:rsid w:val="00FF72C3"/>
    <w:rsid w:val="05E64B62"/>
    <w:rsid w:val="09059E15"/>
    <w:rsid w:val="0A18A52D"/>
    <w:rsid w:val="0CAF0172"/>
    <w:rsid w:val="0D0FA4B7"/>
    <w:rsid w:val="0D16BEB5"/>
    <w:rsid w:val="1A80515A"/>
    <w:rsid w:val="26A5DDF8"/>
    <w:rsid w:val="27F69D0C"/>
    <w:rsid w:val="2EFD689C"/>
    <w:rsid w:val="35F8EFE3"/>
    <w:rsid w:val="3657C818"/>
    <w:rsid w:val="3B73E218"/>
    <w:rsid w:val="3F49738D"/>
    <w:rsid w:val="415B572A"/>
    <w:rsid w:val="4601CD4D"/>
    <w:rsid w:val="48CCF4E4"/>
    <w:rsid w:val="4A2991DB"/>
    <w:rsid w:val="4A46DC77"/>
    <w:rsid w:val="4C195D4D"/>
    <w:rsid w:val="4C21A23D"/>
    <w:rsid w:val="4C672B0A"/>
    <w:rsid w:val="528B391F"/>
    <w:rsid w:val="548209DE"/>
    <w:rsid w:val="5603C3D7"/>
    <w:rsid w:val="56E96656"/>
    <w:rsid w:val="5A2FAAC1"/>
    <w:rsid w:val="5FA72B32"/>
    <w:rsid w:val="62A94A6F"/>
    <w:rsid w:val="665606D0"/>
    <w:rsid w:val="67385C1B"/>
    <w:rsid w:val="6B8505C9"/>
    <w:rsid w:val="6EA4E0B4"/>
    <w:rsid w:val="718B276F"/>
    <w:rsid w:val="78B6F43E"/>
    <w:rsid w:val="7CE78789"/>
    <w:rsid w:val="7EB8CDD1"/>
    <w:rsid w:val="7F6781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Footnote Text ALT-F,F1,Footnote Text Char Char,Footnote Text Char Char Char Char,Footnote Text ERA,Footnote Text ERA1,Footnote Text ERA11,Footnote Text ERA12,Footnote Text ERA2,Footnote Text ERA21,Footnote Text ERA3,fn"/>
    <w:basedOn w:val="Normal"/>
    <w:link w:val="FootnoteTextChar"/>
    <w:semiHidden/>
    <w:unhideWhenUsed/>
    <w:qFormat/>
    <w:rsid w:val="00B55E54"/>
    <w:pPr>
      <w:spacing w:after="0" w:line="240" w:lineRule="auto"/>
    </w:pPr>
    <w:rPr>
      <w:sz w:val="20"/>
      <w:szCs w:val="20"/>
    </w:rPr>
  </w:style>
  <w:style w:type="character" w:customStyle="1" w:styleId="FootnoteTextChar">
    <w:name w:val="Footnote Text Char"/>
    <w:aliases w:val="*Footnote Text ALT-F Char,*Footnote Text Char,F1 Char,Footnote Text Char Char Char,Footnote Text Char Char Char Char Char,Footnote Text ERA Char,Footnote Text ERA1 Char,Footnote Text ERA11 Char,Footnote Text ERA12 Char,fn Char"/>
    <w:basedOn w:val="DefaultParagraphFont"/>
    <w:link w:val="FootnoteText"/>
    <w:semiHidden/>
    <w:rsid w:val="00B55E54"/>
    <w:rPr>
      <w:sz w:val="20"/>
      <w:szCs w:val="20"/>
    </w:rPr>
  </w:style>
  <w:style w:type="character" w:styleId="FootnoteReference">
    <w:name w:val="footnote reference"/>
    <w:aliases w:val="*Footnote Reference,*Footnote Reference ALT-R"/>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
    <w:name w:val="Paragraph"/>
    <w:basedOn w:val="Normal"/>
    <w:qFormat/>
    <w:rsid w:val="00183BF4"/>
    <w:pPr>
      <w:spacing w:after="160" w:line="264" w:lineRule="auto"/>
    </w:pPr>
  </w:style>
  <w:style w:type="paragraph" w:customStyle="1" w:styleId="Feature1ListHead">
    <w:name w:val="Feature1 List Head"/>
    <w:basedOn w:val="Normal"/>
    <w:next w:val="Normal"/>
    <w:semiHidden/>
    <w:rsid w:val="006414FB"/>
    <w:pPr>
      <w:spacing w:after="0" w:line="264" w:lineRule="auto"/>
    </w:pPr>
    <w:rPr>
      <w:b/>
    </w:rPr>
  </w:style>
  <w:style w:type="paragraph" w:customStyle="1" w:styleId="NormalSS">
    <w:name w:val="NormalSS"/>
    <w:basedOn w:val="Normal"/>
    <w:link w:val="NormalSSChar"/>
    <w:qFormat/>
    <w:rsid w:val="00933BF4"/>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933BF4"/>
    <w:rPr>
      <w:rFonts w:ascii="Garamond" w:eastAsia="Times New Roman" w:hAnsi="Garamond" w:cs="Times New Roman"/>
      <w:sz w:val="24"/>
      <w:szCs w:val="24"/>
    </w:rPr>
  </w:style>
  <w:style w:type="paragraph" w:customStyle="1" w:styleId="TableTextLeft">
    <w:name w:val="Table Text Left"/>
    <w:semiHidden/>
    <w:rsid w:val="00C76CAE"/>
    <w:pPr>
      <w:spacing w:before="40" w:after="20" w:line="264" w:lineRule="auto"/>
    </w:pPr>
    <w:rPr>
      <w:rFonts w:asciiTheme="majorHAnsi" w:hAnsiTheme="majorHAnsi"/>
      <w:color w:val="000000" w:themeColor="text1"/>
      <w:sz w:val="18"/>
    </w:rPr>
  </w:style>
  <w:style w:type="paragraph" w:customStyle="1" w:styleId="Reference">
    <w:name w:val="Reference"/>
    <w:basedOn w:val="ListContinue"/>
    <w:qFormat/>
    <w:rsid w:val="00E02B7B"/>
    <w:pPr>
      <w:keepLines/>
      <w:spacing w:after="80" w:line="240" w:lineRule="auto"/>
      <w:ind w:hanging="360"/>
      <w:contextualSpacing w:val="0"/>
    </w:pPr>
    <w:rPr>
      <w:rFonts w:ascii="Times New Roman" w:hAnsi="Times New Roman"/>
    </w:rPr>
  </w:style>
  <w:style w:type="paragraph" w:styleId="ListContinue">
    <w:name w:val="List Continue"/>
    <w:basedOn w:val="Normal"/>
    <w:uiPriority w:val="99"/>
    <w:semiHidden/>
    <w:unhideWhenUsed/>
    <w:rsid w:val="00E02B7B"/>
    <w:pPr>
      <w:spacing w:after="120"/>
      <w:ind w:left="360"/>
      <w:contextualSpacing/>
    </w:pPr>
  </w:style>
  <w:style w:type="paragraph" w:customStyle="1" w:styleId="commentcontentpara">
    <w:name w:val="commentcontentpara"/>
    <w:basedOn w:val="Normal"/>
    <w:rsid w:val="007F0E4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F02BBF"/>
    <w:rPr>
      <w:color w:val="605E5C"/>
      <w:shd w:val="clear" w:color="auto" w:fill="E1DFDD"/>
    </w:rPr>
  </w:style>
  <w:style w:type="character" w:styleId="Mention">
    <w:name w:val="Mention"/>
    <w:basedOn w:val="DefaultParagraphFont"/>
    <w:uiPriority w:val="99"/>
    <w:unhideWhenUsed/>
    <w:rsid w:val="00F02BBF"/>
    <w:rPr>
      <w:color w:val="2B579A"/>
      <w:shd w:val="clear" w:color="auto" w:fill="E1DFDD"/>
    </w:rPr>
  </w:style>
  <w:style w:type="paragraph" w:styleId="ListNumber">
    <w:name w:val="List Number"/>
    <w:basedOn w:val="Normal"/>
    <w:uiPriority w:val="99"/>
    <w:semiHidden/>
    <w:unhideWhenUsed/>
    <w:rsid w:val="00126E8C"/>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dol.gov/general/topic/wages/minimumwage"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4027</Words>
  <Characters>22954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2023-03-15T18:28:00Z</dcterms:created>
  <dcterms:modified xsi:type="dcterms:W3CDTF">2023-03-15T18:29:00Z</dcterms:modified>
</cp:coreProperties>
</file>