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B34" w:rsidRPr="00705128" w:rsidP="00D82654" w14:paraId="409F7B98" w14:textId="77777777">
      <w:pPr>
        <w:tabs>
          <w:tab w:val="left" w:pos="360"/>
          <w:tab w:val="left" w:pos="720"/>
        </w:tabs>
        <w:jc w:val="center"/>
        <w:rPr>
          <w:rFonts w:ascii="Arial" w:hAnsi="Arial" w:cs="Arial"/>
          <w:b/>
          <w:bCs/>
          <w:caps/>
          <w:sz w:val="26"/>
          <w:szCs w:val="26"/>
        </w:rPr>
      </w:pPr>
      <w:r w:rsidRPr="00705128">
        <w:rPr>
          <w:rFonts w:ascii="Arial" w:hAnsi="Arial" w:cs="Arial"/>
          <w:caps/>
          <w:sz w:val="26"/>
          <w:szCs w:val="26"/>
          <w:lang w:val="en-CA"/>
        </w:rPr>
        <w:fldChar w:fldCharType="begin"/>
      </w:r>
      <w:r w:rsidRPr="00705128">
        <w:rPr>
          <w:rFonts w:ascii="Arial" w:hAnsi="Arial" w:cs="Arial"/>
          <w:caps/>
          <w:sz w:val="26"/>
          <w:szCs w:val="26"/>
          <w:lang w:val="en-CA"/>
        </w:rPr>
        <w:instrText xml:space="preserve"> SEQ CHAPTER \h \r 1</w:instrText>
      </w:r>
      <w:r w:rsidRPr="00705128">
        <w:rPr>
          <w:rFonts w:ascii="Arial" w:hAnsi="Arial" w:cs="Arial"/>
          <w:caps/>
          <w:sz w:val="26"/>
          <w:szCs w:val="26"/>
          <w:lang w:val="en-CA"/>
        </w:rPr>
        <w:fldChar w:fldCharType="separate"/>
      </w:r>
      <w:r w:rsidRPr="00705128">
        <w:rPr>
          <w:rFonts w:ascii="Arial" w:hAnsi="Arial" w:cs="Arial"/>
          <w:caps/>
          <w:sz w:val="26"/>
          <w:szCs w:val="26"/>
          <w:lang w:val="en-CA"/>
        </w:rPr>
        <w:fldChar w:fldCharType="end"/>
      </w:r>
      <w:r w:rsidRPr="00705128">
        <w:rPr>
          <w:rFonts w:ascii="Arial" w:hAnsi="Arial" w:cs="Arial"/>
          <w:b/>
          <w:bCs/>
          <w:caps/>
          <w:sz w:val="26"/>
          <w:szCs w:val="26"/>
        </w:rPr>
        <w:t xml:space="preserve">Supporting Statement B for </w:t>
      </w:r>
    </w:p>
    <w:p w:rsidR="00DC5B34" w:rsidRPr="00705128" w:rsidP="00D82654" w14:paraId="41555527" w14:textId="77777777">
      <w:pPr>
        <w:tabs>
          <w:tab w:val="left" w:pos="360"/>
          <w:tab w:val="left" w:pos="720"/>
        </w:tabs>
        <w:jc w:val="center"/>
        <w:rPr>
          <w:rFonts w:ascii="Arial" w:hAnsi="Arial" w:cs="Arial"/>
          <w:b/>
          <w:bCs/>
          <w:caps/>
          <w:sz w:val="26"/>
          <w:szCs w:val="26"/>
        </w:rPr>
      </w:pPr>
      <w:r w:rsidRPr="00705128">
        <w:rPr>
          <w:rFonts w:ascii="Arial" w:hAnsi="Arial" w:cs="Arial"/>
          <w:b/>
          <w:bCs/>
          <w:caps/>
          <w:sz w:val="26"/>
          <w:szCs w:val="26"/>
        </w:rPr>
        <w:t>Paperwork Reduction Act Submission</w:t>
      </w:r>
    </w:p>
    <w:p w:rsidR="005F1FB5" w:rsidRPr="00705128" w:rsidP="00D82654" w14:paraId="01B09855" w14:textId="77777777">
      <w:pPr>
        <w:tabs>
          <w:tab w:val="left" w:pos="360"/>
          <w:tab w:val="left" w:pos="720"/>
        </w:tabs>
        <w:jc w:val="center"/>
        <w:rPr>
          <w:rFonts w:ascii="Arial" w:hAnsi="Arial" w:cs="Arial"/>
          <w:b/>
          <w:bCs/>
          <w:sz w:val="26"/>
          <w:szCs w:val="26"/>
        </w:rPr>
      </w:pPr>
    </w:p>
    <w:p w:rsidR="000567E1" w:rsidRPr="00705128" w:rsidP="00D82654" w14:paraId="6ED09C37" w14:textId="77777777">
      <w:pPr>
        <w:tabs>
          <w:tab w:val="left" w:pos="360"/>
          <w:tab w:val="left" w:pos="720"/>
        </w:tabs>
        <w:jc w:val="center"/>
        <w:rPr>
          <w:rFonts w:ascii="Arial" w:hAnsi="Arial" w:cs="Arial"/>
          <w:b/>
          <w:bCs/>
          <w:sz w:val="26"/>
          <w:szCs w:val="26"/>
        </w:rPr>
      </w:pPr>
      <w:r w:rsidRPr="00705128">
        <w:rPr>
          <w:rFonts w:ascii="Arial" w:hAnsi="Arial" w:cs="Arial"/>
          <w:b/>
          <w:bCs/>
          <w:sz w:val="26"/>
          <w:szCs w:val="26"/>
        </w:rPr>
        <w:t>American Woodcock Singing Ground Survey</w:t>
      </w:r>
    </w:p>
    <w:p w:rsidR="00DC5B34" w:rsidRPr="00705128" w:rsidP="00D82654" w14:paraId="5405D1AF" w14:textId="77777777">
      <w:pPr>
        <w:tabs>
          <w:tab w:val="left" w:pos="360"/>
          <w:tab w:val="left" w:pos="720"/>
        </w:tabs>
        <w:jc w:val="center"/>
        <w:rPr>
          <w:rFonts w:ascii="Arial" w:hAnsi="Arial" w:cs="Arial"/>
          <w:sz w:val="26"/>
          <w:szCs w:val="26"/>
        </w:rPr>
      </w:pPr>
      <w:r w:rsidRPr="00705128">
        <w:rPr>
          <w:rFonts w:ascii="Arial" w:hAnsi="Arial" w:cs="Arial"/>
          <w:b/>
          <w:bCs/>
          <w:sz w:val="26"/>
          <w:szCs w:val="26"/>
        </w:rPr>
        <w:t>OMB Control Number 1018-</w:t>
      </w:r>
      <w:r w:rsidRPr="00705128" w:rsidR="000567E1">
        <w:rPr>
          <w:rFonts w:ascii="Arial" w:hAnsi="Arial" w:cs="Arial"/>
          <w:b/>
          <w:bCs/>
          <w:sz w:val="26"/>
          <w:szCs w:val="26"/>
        </w:rPr>
        <w:t>0019</w:t>
      </w:r>
    </w:p>
    <w:p w:rsidR="00DC5B34" w:rsidP="00652543" w14:paraId="7E4A001C" w14:textId="77777777">
      <w:pPr>
        <w:tabs>
          <w:tab w:val="left" w:pos="-1080"/>
          <w:tab w:val="left" w:pos="-720"/>
          <w:tab w:val="left" w:pos="360"/>
          <w:tab w:val="left" w:pos="720"/>
        </w:tabs>
        <w:rPr>
          <w:rFonts w:ascii="Arial" w:hAnsi="Arial" w:cs="Arial"/>
          <w:sz w:val="22"/>
          <w:szCs w:val="22"/>
        </w:rPr>
      </w:pPr>
    </w:p>
    <w:p w:rsidR="00D82654" w:rsidRPr="003E4BC9" w:rsidP="00652543" w14:paraId="77F334B2" w14:textId="77777777">
      <w:pPr>
        <w:tabs>
          <w:tab w:val="left" w:pos="-1080"/>
          <w:tab w:val="left" w:pos="-720"/>
          <w:tab w:val="left" w:pos="360"/>
          <w:tab w:val="left" w:pos="720"/>
        </w:tabs>
        <w:rPr>
          <w:rFonts w:ascii="Arial" w:hAnsi="Arial" w:cs="Arial"/>
          <w:sz w:val="22"/>
          <w:szCs w:val="22"/>
        </w:rPr>
      </w:pPr>
    </w:p>
    <w:p w:rsidR="00C62E2C" w:rsidP="00C62E2C" w14:paraId="087A8BB2" w14:textId="77777777">
      <w:pPr>
        <w:pStyle w:val="Heading1"/>
      </w:pPr>
      <w:r>
        <w:t>1.</w:t>
      </w:r>
      <w: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B04EE" w:rsidRPr="003E4BC9" w:rsidP="00652543" w14:paraId="60248CAD" w14:textId="77777777">
      <w:pPr>
        <w:tabs>
          <w:tab w:val="left" w:pos="-1080"/>
          <w:tab w:val="left" w:pos="-720"/>
          <w:tab w:val="left" w:pos="360"/>
          <w:tab w:val="left" w:pos="720"/>
        </w:tabs>
        <w:rPr>
          <w:rFonts w:ascii="Arial" w:hAnsi="Arial" w:cs="Arial"/>
          <w:sz w:val="22"/>
          <w:szCs w:val="22"/>
        </w:rPr>
      </w:pPr>
    </w:p>
    <w:p w:rsidR="000567E1" w:rsidRPr="003E4BC9" w:rsidP="00C0203F" w14:paraId="7535A169" w14:textId="0400E7F8">
      <w:pPr>
        <w:tabs>
          <w:tab w:val="left" w:pos="360"/>
          <w:tab w:val="left" w:pos="720"/>
        </w:tabs>
        <w:rPr>
          <w:rFonts w:ascii="Arial" w:hAnsi="Arial" w:cs="Arial"/>
          <w:sz w:val="22"/>
          <w:szCs w:val="22"/>
        </w:rPr>
      </w:pPr>
      <w:r w:rsidRPr="003E4BC9">
        <w:rPr>
          <w:rFonts w:ascii="Arial" w:hAnsi="Arial"/>
          <w:sz w:val="22"/>
          <w:szCs w:val="22"/>
        </w:rPr>
        <w:t xml:space="preserve">The respondent universe is the number of 10' blocks in the </w:t>
      </w:r>
      <w:r w:rsidRPr="003E4BC9" w:rsidR="00592597">
        <w:rPr>
          <w:rFonts w:ascii="Arial" w:hAnsi="Arial"/>
          <w:sz w:val="22"/>
          <w:szCs w:val="22"/>
        </w:rPr>
        <w:t>northe</w:t>
      </w:r>
      <w:r w:rsidRPr="003E4BC9">
        <w:rPr>
          <w:rFonts w:ascii="Arial" w:hAnsi="Arial"/>
          <w:sz w:val="22"/>
          <w:szCs w:val="22"/>
        </w:rPr>
        <w:t>astern United States and South</w:t>
      </w:r>
      <w:r w:rsidRPr="003E4BC9">
        <w:rPr>
          <w:rFonts w:ascii="Arial" w:hAnsi="Arial"/>
          <w:sz w:val="22"/>
          <w:szCs w:val="22"/>
        </w:rPr>
        <w:noBreakHyphen/>
        <w:t>Eastern Canada.  From 1965</w:t>
      </w:r>
      <w:r w:rsidRPr="003E4BC9">
        <w:rPr>
          <w:rFonts w:ascii="Arial" w:hAnsi="Arial"/>
          <w:sz w:val="22"/>
          <w:szCs w:val="22"/>
        </w:rPr>
        <w:noBreakHyphen/>
        <w:t xml:space="preserve">1970, these blocks were enumerated and a random sample </w:t>
      </w:r>
      <w:r w:rsidRPr="003E4BC9" w:rsidR="00592597">
        <w:rPr>
          <w:rFonts w:ascii="Arial" w:hAnsi="Arial"/>
          <w:sz w:val="22"/>
          <w:szCs w:val="22"/>
        </w:rPr>
        <w:t>of 1,500 were selected from the woodcock range in the northeastern United States and southeastern Canada.  A roadside survey route was placed in each selected 10’ block and each</w:t>
      </w:r>
      <w:r w:rsidRPr="003E4BC9">
        <w:rPr>
          <w:rFonts w:ascii="Arial" w:hAnsi="Arial"/>
          <w:sz w:val="22"/>
          <w:szCs w:val="22"/>
        </w:rPr>
        <w:t xml:space="preserve"> route represents roughly 750 mi</w:t>
      </w:r>
      <w:r w:rsidRPr="003E4BC9">
        <w:rPr>
          <w:rFonts w:ascii="Arial" w:hAnsi="Arial"/>
          <w:sz w:val="22"/>
          <w:szCs w:val="22"/>
          <w:vertAlign w:val="superscript"/>
        </w:rPr>
        <w:t>2</w:t>
      </w:r>
      <w:r w:rsidRPr="003E4BC9">
        <w:rPr>
          <w:rFonts w:ascii="Arial" w:hAnsi="Arial"/>
          <w:sz w:val="22"/>
          <w:szCs w:val="22"/>
        </w:rPr>
        <w:t xml:space="preserve"> of land area.  </w:t>
      </w:r>
      <w:r w:rsidR="008677E2">
        <w:rPr>
          <w:rFonts w:ascii="Arial" w:hAnsi="Arial"/>
          <w:sz w:val="22"/>
          <w:szCs w:val="22"/>
        </w:rPr>
        <w:t xml:space="preserve">An additional 67 routes have been added over time using the same protocol. </w:t>
      </w:r>
      <w:r w:rsidRPr="003E4BC9">
        <w:rPr>
          <w:rFonts w:ascii="Arial" w:hAnsi="Arial"/>
          <w:sz w:val="22"/>
          <w:szCs w:val="22"/>
        </w:rPr>
        <w:t xml:space="preserve">The expected response rate is approximately 80 percent because </w:t>
      </w:r>
      <w:r w:rsidRPr="003E4BC9" w:rsidR="00592597">
        <w:rPr>
          <w:rFonts w:ascii="Arial" w:hAnsi="Arial"/>
          <w:sz w:val="22"/>
          <w:szCs w:val="22"/>
        </w:rPr>
        <w:t xml:space="preserve">different </w:t>
      </w:r>
      <w:r w:rsidRPr="003E4BC9">
        <w:rPr>
          <w:rFonts w:ascii="Arial" w:hAnsi="Arial"/>
          <w:sz w:val="22"/>
          <w:szCs w:val="22"/>
        </w:rPr>
        <w:t>circumstances</w:t>
      </w:r>
      <w:r w:rsidRPr="003E4BC9" w:rsidR="00592597">
        <w:rPr>
          <w:rFonts w:ascii="Arial" w:hAnsi="Arial"/>
          <w:sz w:val="22"/>
          <w:szCs w:val="22"/>
        </w:rPr>
        <w:t xml:space="preserve"> (e.g., wea</w:t>
      </w:r>
      <w:r w:rsidRPr="003E4BC9" w:rsidR="00753346">
        <w:rPr>
          <w:rFonts w:ascii="Arial" w:hAnsi="Arial"/>
          <w:sz w:val="22"/>
          <w:szCs w:val="22"/>
        </w:rPr>
        <w:t>ther and staffing shortages at S</w:t>
      </w:r>
      <w:r w:rsidRPr="003E4BC9" w:rsidR="00592597">
        <w:rPr>
          <w:rFonts w:ascii="Arial" w:hAnsi="Arial"/>
          <w:sz w:val="22"/>
          <w:szCs w:val="22"/>
        </w:rPr>
        <w:t xml:space="preserve">tate </w:t>
      </w:r>
      <w:r w:rsidR="00C0203F">
        <w:rPr>
          <w:rFonts w:ascii="Arial" w:hAnsi="Arial"/>
          <w:sz w:val="22"/>
          <w:szCs w:val="22"/>
        </w:rPr>
        <w:t xml:space="preserve">and Provincial </w:t>
      </w:r>
      <w:r w:rsidRPr="003E4BC9" w:rsidR="00592597">
        <w:rPr>
          <w:rFonts w:ascii="Arial" w:hAnsi="Arial"/>
          <w:sz w:val="22"/>
          <w:szCs w:val="22"/>
        </w:rPr>
        <w:t>agencies)</w:t>
      </w:r>
      <w:r w:rsidRPr="003E4BC9">
        <w:rPr>
          <w:rFonts w:ascii="Arial" w:hAnsi="Arial"/>
          <w:sz w:val="22"/>
          <w:szCs w:val="22"/>
        </w:rPr>
        <w:t xml:space="preserve"> prevent all requested routes from being run each year.  Actual response rates</w:t>
      </w:r>
      <w:r w:rsidR="00854DE7">
        <w:rPr>
          <w:rFonts w:ascii="Arial" w:hAnsi="Arial"/>
          <w:sz w:val="22"/>
          <w:szCs w:val="22"/>
        </w:rPr>
        <w:t xml:space="preserve"> (total # submitted records/total # routes selected to be run) </w:t>
      </w:r>
      <w:r w:rsidRPr="003E4BC9">
        <w:rPr>
          <w:rFonts w:ascii="Arial" w:hAnsi="Arial"/>
          <w:sz w:val="22"/>
          <w:szCs w:val="22"/>
        </w:rPr>
        <w:t>the past couple years</w:t>
      </w:r>
      <w:r w:rsidR="00F30ED6">
        <w:rPr>
          <w:rFonts w:ascii="Arial" w:hAnsi="Arial"/>
          <w:sz w:val="22"/>
          <w:szCs w:val="22"/>
        </w:rPr>
        <w:t xml:space="preserve"> (20</w:t>
      </w:r>
      <w:r w:rsidR="00AE61AE">
        <w:rPr>
          <w:rFonts w:ascii="Arial" w:hAnsi="Arial"/>
          <w:sz w:val="22"/>
          <w:szCs w:val="22"/>
        </w:rPr>
        <w:t>21</w:t>
      </w:r>
      <w:r w:rsidR="00F30ED6">
        <w:rPr>
          <w:rFonts w:ascii="Arial" w:hAnsi="Arial"/>
          <w:sz w:val="22"/>
          <w:szCs w:val="22"/>
        </w:rPr>
        <w:t>-20</w:t>
      </w:r>
      <w:r w:rsidR="00AE61AE">
        <w:rPr>
          <w:rFonts w:ascii="Arial" w:hAnsi="Arial"/>
          <w:sz w:val="22"/>
          <w:szCs w:val="22"/>
        </w:rPr>
        <w:t>23</w:t>
      </w:r>
      <w:r w:rsidR="00F30ED6">
        <w:rPr>
          <w:rFonts w:ascii="Arial" w:hAnsi="Arial"/>
          <w:sz w:val="22"/>
          <w:szCs w:val="22"/>
        </w:rPr>
        <w:t>)</w:t>
      </w:r>
      <w:r w:rsidRPr="003E4BC9">
        <w:rPr>
          <w:rFonts w:ascii="Arial" w:hAnsi="Arial"/>
          <w:sz w:val="22"/>
          <w:szCs w:val="22"/>
        </w:rPr>
        <w:t xml:space="preserve"> </w:t>
      </w:r>
      <w:r w:rsidRPr="003E4BC9" w:rsidR="00592597">
        <w:rPr>
          <w:rFonts w:ascii="Arial" w:hAnsi="Arial"/>
          <w:sz w:val="22"/>
          <w:szCs w:val="22"/>
        </w:rPr>
        <w:t xml:space="preserve">have </w:t>
      </w:r>
      <w:r w:rsidRPr="003E4BC9" w:rsidR="006A4547">
        <w:rPr>
          <w:rFonts w:ascii="Arial" w:hAnsi="Arial"/>
          <w:sz w:val="22"/>
          <w:szCs w:val="22"/>
        </w:rPr>
        <w:t xml:space="preserve">been </w:t>
      </w:r>
      <w:r w:rsidR="00AE61AE">
        <w:rPr>
          <w:rFonts w:ascii="Arial" w:hAnsi="Arial"/>
          <w:sz w:val="22"/>
          <w:szCs w:val="22"/>
        </w:rPr>
        <w:t>86</w:t>
      </w:r>
      <w:r w:rsidRPr="003E4BC9">
        <w:rPr>
          <w:rFonts w:ascii="Arial" w:hAnsi="Arial"/>
          <w:sz w:val="22"/>
          <w:szCs w:val="22"/>
        </w:rPr>
        <w:t xml:space="preserve"> percent.  To improve efficiency</w:t>
      </w:r>
      <w:r w:rsidRPr="003E4BC9" w:rsidR="00592597">
        <w:rPr>
          <w:rFonts w:ascii="Arial" w:hAnsi="Arial"/>
          <w:sz w:val="22"/>
          <w:szCs w:val="22"/>
        </w:rPr>
        <w:t xml:space="preserve"> of the survey</w:t>
      </w:r>
      <w:r w:rsidRPr="003E4BC9">
        <w:rPr>
          <w:rFonts w:ascii="Arial" w:hAnsi="Arial"/>
          <w:sz w:val="22"/>
          <w:szCs w:val="22"/>
        </w:rPr>
        <w:t>, "constant</w:t>
      </w:r>
      <w:r w:rsidRPr="003E4BC9">
        <w:rPr>
          <w:rFonts w:ascii="Arial" w:hAnsi="Arial"/>
          <w:sz w:val="22"/>
          <w:szCs w:val="22"/>
        </w:rPr>
        <w:noBreakHyphen/>
        <w:t>zero" routes</w:t>
      </w:r>
      <w:r w:rsidRPr="003E4BC9" w:rsidR="00592597">
        <w:rPr>
          <w:rFonts w:ascii="Arial" w:hAnsi="Arial"/>
          <w:sz w:val="22"/>
          <w:szCs w:val="22"/>
        </w:rPr>
        <w:t>, routes where wood</w:t>
      </w:r>
      <w:r w:rsidRPr="003E4BC9" w:rsidR="00753346">
        <w:rPr>
          <w:rFonts w:ascii="Arial" w:hAnsi="Arial"/>
          <w:sz w:val="22"/>
          <w:szCs w:val="22"/>
        </w:rPr>
        <w:t>cock have not been heard for 2</w:t>
      </w:r>
      <w:r w:rsidRPr="003E4BC9" w:rsidR="00592597">
        <w:rPr>
          <w:rFonts w:ascii="Arial" w:hAnsi="Arial"/>
          <w:sz w:val="22"/>
          <w:szCs w:val="22"/>
        </w:rPr>
        <w:t xml:space="preserve"> consecutive years, </w:t>
      </w:r>
      <w:r w:rsidRPr="003E4BC9">
        <w:rPr>
          <w:rFonts w:ascii="Arial" w:hAnsi="Arial"/>
          <w:sz w:val="22"/>
          <w:szCs w:val="22"/>
        </w:rPr>
        <w:t>are run once every 5 years instead of every year.</w:t>
      </w:r>
      <w:r w:rsidRPr="003E4BC9" w:rsidR="00B07090">
        <w:rPr>
          <w:rFonts w:ascii="Arial" w:hAnsi="Arial"/>
          <w:sz w:val="22"/>
          <w:szCs w:val="22"/>
        </w:rPr>
        <w:t xml:space="preserve">  Each year, for the past 3 years</w:t>
      </w:r>
      <w:r w:rsidR="00C0203F">
        <w:rPr>
          <w:rFonts w:ascii="Arial" w:hAnsi="Arial"/>
          <w:sz w:val="22"/>
          <w:szCs w:val="22"/>
        </w:rPr>
        <w:t xml:space="preserve"> (20</w:t>
      </w:r>
      <w:r w:rsidR="00585952">
        <w:rPr>
          <w:rFonts w:ascii="Arial" w:hAnsi="Arial"/>
          <w:sz w:val="22"/>
          <w:szCs w:val="22"/>
        </w:rPr>
        <w:t>21</w:t>
      </w:r>
      <w:r w:rsidR="00C0203F">
        <w:rPr>
          <w:rFonts w:ascii="Arial" w:hAnsi="Arial"/>
          <w:sz w:val="22"/>
          <w:szCs w:val="22"/>
        </w:rPr>
        <w:t>-20</w:t>
      </w:r>
      <w:r w:rsidR="00585952">
        <w:rPr>
          <w:rFonts w:ascii="Arial" w:hAnsi="Arial"/>
          <w:sz w:val="22"/>
          <w:szCs w:val="22"/>
        </w:rPr>
        <w:t>23</w:t>
      </w:r>
      <w:r w:rsidR="00C0203F">
        <w:rPr>
          <w:rFonts w:ascii="Arial" w:hAnsi="Arial"/>
          <w:sz w:val="22"/>
          <w:szCs w:val="22"/>
        </w:rPr>
        <w:t>)</w:t>
      </w:r>
      <w:r w:rsidRPr="003E4BC9" w:rsidR="00B07090">
        <w:rPr>
          <w:rFonts w:ascii="Arial" w:hAnsi="Arial"/>
          <w:sz w:val="22"/>
          <w:szCs w:val="22"/>
        </w:rPr>
        <w:t xml:space="preserve">, </w:t>
      </w:r>
      <w:r w:rsidRPr="00AE61AE" w:rsidR="00B07090">
        <w:rPr>
          <w:rFonts w:ascii="Arial" w:hAnsi="Arial"/>
          <w:sz w:val="22"/>
          <w:szCs w:val="22"/>
        </w:rPr>
        <w:t>3</w:t>
      </w:r>
      <w:r w:rsidRPr="00AE61AE" w:rsidR="00AE61AE">
        <w:rPr>
          <w:rFonts w:ascii="Arial" w:hAnsi="Arial"/>
          <w:sz w:val="22"/>
          <w:szCs w:val="22"/>
        </w:rPr>
        <w:t>1</w:t>
      </w:r>
      <w:r w:rsidRPr="00AE61AE" w:rsidR="00B07090">
        <w:rPr>
          <w:rFonts w:ascii="Arial" w:hAnsi="Arial"/>
          <w:sz w:val="22"/>
          <w:szCs w:val="22"/>
        </w:rPr>
        <w:t>%</w:t>
      </w:r>
      <w:r w:rsidRPr="003E4BC9" w:rsidR="00B07090">
        <w:rPr>
          <w:rFonts w:ascii="Arial" w:hAnsi="Arial"/>
          <w:sz w:val="22"/>
          <w:szCs w:val="22"/>
        </w:rPr>
        <w:t xml:space="preserve"> of the routes have been in a constant-zero status.</w:t>
      </w:r>
      <w:r w:rsidR="00C0203F">
        <w:rPr>
          <w:rFonts w:ascii="Arial" w:hAnsi="Arial"/>
          <w:sz w:val="22"/>
          <w:szCs w:val="22"/>
        </w:rPr>
        <w:t xml:space="preserve">  </w:t>
      </w:r>
    </w:p>
    <w:p w:rsidR="008B04EE" w:rsidRPr="003E4BC9" w:rsidP="00652543" w14:paraId="257E2DCF" w14:textId="77777777">
      <w:pPr>
        <w:tabs>
          <w:tab w:val="left" w:pos="-1080"/>
          <w:tab w:val="left" w:pos="-720"/>
          <w:tab w:val="left" w:pos="360"/>
          <w:tab w:val="left" w:pos="720"/>
        </w:tabs>
        <w:rPr>
          <w:rFonts w:ascii="Arial" w:hAnsi="Arial" w:cs="Arial"/>
          <w:sz w:val="22"/>
          <w:szCs w:val="22"/>
        </w:rPr>
      </w:pPr>
    </w:p>
    <w:p w:rsidR="00C62E2C" w:rsidP="00C62E2C" w14:paraId="09DF1ADD" w14:textId="77777777">
      <w:pPr>
        <w:pStyle w:val="Heading1"/>
      </w:pPr>
      <w:r>
        <w:t>2.</w:t>
      </w:r>
      <w:r>
        <w:tab/>
        <w:t>Describe the procedures for the collection of information including:</w:t>
      </w:r>
    </w:p>
    <w:p w:rsidR="00652543" w:rsidRPr="00652543" w:rsidP="003C1EC8" w14:paraId="26547577" w14:textId="77777777">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ab/>
        <w:t>*</w:t>
      </w:r>
      <w:r w:rsidRPr="00652543">
        <w:rPr>
          <w:rFonts w:ascii="Arial" w:hAnsi="Arial" w:cs="Arial"/>
          <w:b/>
          <w:sz w:val="22"/>
          <w:szCs w:val="22"/>
        </w:rPr>
        <w:tab/>
        <w:t>Statistical methodology for stratification and sample selection,</w:t>
      </w:r>
    </w:p>
    <w:p w:rsidR="00652543" w:rsidRPr="00652543" w:rsidP="003C1EC8" w14:paraId="112B0D02" w14:textId="77777777">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ab/>
        <w:t>*</w:t>
      </w:r>
      <w:r w:rsidRPr="00652543">
        <w:rPr>
          <w:rFonts w:ascii="Arial" w:hAnsi="Arial" w:cs="Arial"/>
          <w:b/>
          <w:sz w:val="22"/>
          <w:szCs w:val="22"/>
        </w:rPr>
        <w:tab/>
        <w:t>Estimation procedure,</w:t>
      </w:r>
    </w:p>
    <w:p w:rsidR="00652543" w:rsidRPr="00652543" w:rsidP="003C1EC8" w14:paraId="3B9EB0BC" w14:textId="77777777">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ab/>
        <w:t>*</w:t>
      </w:r>
      <w:r w:rsidRPr="00652543">
        <w:rPr>
          <w:rFonts w:ascii="Arial" w:hAnsi="Arial" w:cs="Arial"/>
          <w:b/>
          <w:sz w:val="22"/>
          <w:szCs w:val="22"/>
        </w:rPr>
        <w:tab/>
        <w:t>Degree of accuracy needed for the purpose described in the justification,</w:t>
      </w:r>
    </w:p>
    <w:p w:rsidR="00652543" w:rsidRPr="00652543" w:rsidP="003C1EC8" w14:paraId="51EF002D" w14:textId="77777777">
      <w:pPr>
        <w:widowControl w:val="0"/>
        <w:tabs>
          <w:tab w:val="left" w:pos="360"/>
          <w:tab w:val="left" w:pos="720"/>
        </w:tabs>
        <w:autoSpaceDE w:val="0"/>
        <w:autoSpaceDN w:val="0"/>
        <w:adjustRightInd w:val="0"/>
        <w:rPr>
          <w:rFonts w:ascii="Arial" w:hAnsi="Arial" w:cs="Arial"/>
          <w:b/>
          <w:sz w:val="22"/>
          <w:szCs w:val="22"/>
        </w:rPr>
      </w:pPr>
      <w:r w:rsidRPr="00652543">
        <w:rPr>
          <w:rFonts w:ascii="Arial" w:hAnsi="Arial" w:cs="Arial"/>
          <w:b/>
          <w:sz w:val="22"/>
          <w:szCs w:val="22"/>
        </w:rPr>
        <w:tab/>
        <w:t>*</w:t>
      </w:r>
      <w:r w:rsidRPr="00652543">
        <w:rPr>
          <w:rFonts w:ascii="Arial" w:hAnsi="Arial" w:cs="Arial"/>
          <w:b/>
          <w:sz w:val="22"/>
          <w:szCs w:val="22"/>
        </w:rPr>
        <w:tab/>
        <w:t>Unusual problems requiring specialized sampling procedures, and</w:t>
      </w:r>
    </w:p>
    <w:p w:rsidR="00652543" w:rsidRPr="00652543" w:rsidP="003C1EC8" w14:paraId="58E69D0E" w14:textId="77777777">
      <w:pPr>
        <w:widowControl w:val="0"/>
        <w:tabs>
          <w:tab w:val="left" w:pos="360"/>
          <w:tab w:val="left" w:pos="720"/>
        </w:tabs>
        <w:autoSpaceDE w:val="0"/>
        <w:autoSpaceDN w:val="0"/>
        <w:adjustRightInd w:val="0"/>
        <w:ind w:left="720" w:hanging="720"/>
        <w:rPr>
          <w:rFonts w:ascii="Arial" w:hAnsi="Arial" w:cs="Arial"/>
          <w:sz w:val="22"/>
          <w:szCs w:val="22"/>
        </w:rPr>
      </w:pPr>
      <w:r w:rsidRPr="00652543">
        <w:rPr>
          <w:rFonts w:ascii="Arial" w:hAnsi="Arial" w:cs="Arial"/>
          <w:b/>
          <w:sz w:val="22"/>
          <w:szCs w:val="22"/>
        </w:rPr>
        <w:tab/>
        <w:t>*</w:t>
      </w:r>
      <w:r w:rsidRPr="00652543">
        <w:rPr>
          <w:rFonts w:ascii="Arial" w:hAnsi="Arial" w:cs="Arial"/>
          <w:b/>
          <w:sz w:val="22"/>
          <w:szCs w:val="22"/>
        </w:rPr>
        <w:tab/>
        <w:t>Any use of periodic (less frequent than annual) data collection cycles to reduce burden.</w:t>
      </w:r>
    </w:p>
    <w:p w:rsidR="00652543" w:rsidP="00652543" w14:paraId="222412B5" w14:textId="77777777">
      <w:pPr>
        <w:tabs>
          <w:tab w:val="left" w:pos="360"/>
          <w:tab w:val="left" w:pos="720"/>
        </w:tabs>
        <w:rPr>
          <w:rFonts w:ascii="Arial" w:hAnsi="Arial"/>
          <w:sz w:val="22"/>
          <w:szCs w:val="22"/>
        </w:rPr>
      </w:pPr>
    </w:p>
    <w:p w:rsidR="00AF5603" w:rsidRPr="003E4BC9" w:rsidP="00652543" w14:paraId="5CEE5D74" w14:textId="77777777">
      <w:pPr>
        <w:tabs>
          <w:tab w:val="left" w:pos="360"/>
          <w:tab w:val="left" w:pos="720"/>
        </w:tabs>
        <w:rPr>
          <w:rFonts w:ascii="Arial" w:hAnsi="Arial"/>
          <w:sz w:val="22"/>
          <w:szCs w:val="22"/>
        </w:rPr>
      </w:pPr>
      <w:r w:rsidRPr="003E4BC9">
        <w:rPr>
          <w:rFonts w:ascii="Arial" w:hAnsi="Arial"/>
          <w:sz w:val="22"/>
          <w:szCs w:val="22"/>
        </w:rPr>
        <w:t xml:space="preserve">For descriptions of </w:t>
      </w:r>
      <w:r w:rsidRPr="003E4BC9" w:rsidR="000F79BD">
        <w:rPr>
          <w:rFonts w:ascii="Arial" w:hAnsi="Arial"/>
          <w:sz w:val="22"/>
          <w:szCs w:val="22"/>
        </w:rPr>
        <w:t xml:space="preserve">survey design and </w:t>
      </w:r>
      <w:r w:rsidRPr="003E4BC9">
        <w:rPr>
          <w:rFonts w:ascii="Arial" w:hAnsi="Arial"/>
          <w:sz w:val="22"/>
          <w:szCs w:val="22"/>
        </w:rPr>
        <w:t>statistical methods</w:t>
      </w:r>
      <w:r w:rsidRPr="003E4BC9" w:rsidR="000F79BD">
        <w:rPr>
          <w:rFonts w:ascii="Arial" w:hAnsi="Arial"/>
          <w:sz w:val="22"/>
          <w:szCs w:val="22"/>
        </w:rPr>
        <w:t xml:space="preserve"> for analyzing data</w:t>
      </w:r>
      <w:r w:rsidRPr="003E4BC9">
        <w:rPr>
          <w:rFonts w:ascii="Arial" w:hAnsi="Arial"/>
          <w:sz w:val="22"/>
          <w:szCs w:val="22"/>
        </w:rPr>
        <w:t>, see:</w:t>
      </w:r>
    </w:p>
    <w:p w:rsidR="00AF5603" w:rsidRPr="003E4BC9" w:rsidP="00652543" w14:paraId="3F8411B8" w14:textId="77777777">
      <w:pPr>
        <w:tabs>
          <w:tab w:val="left" w:pos="360"/>
          <w:tab w:val="left" w:pos="720"/>
        </w:tabs>
        <w:rPr>
          <w:rFonts w:ascii="Arial" w:hAnsi="Arial"/>
          <w:sz w:val="22"/>
          <w:szCs w:val="22"/>
        </w:rPr>
      </w:pPr>
    </w:p>
    <w:p w:rsidR="00AF5603" w:rsidRPr="003E4BC9" w:rsidP="004C0A07" w14:paraId="48A88CDF" w14:textId="43D57DF3">
      <w:pPr>
        <w:numPr>
          <w:ilvl w:val="0"/>
          <w:numId w:val="3"/>
        </w:numPr>
        <w:tabs>
          <w:tab w:val="left" w:pos="360"/>
          <w:tab w:val="left" w:pos="720"/>
        </w:tabs>
        <w:rPr>
          <w:rFonts w:ascii="Arial" w:hAnsi="Arial"/>
          <w:sz w:val="22"/>
          <w:szCs w:val="22"/>
        </w:rPr>
      </w:pPr>
      <w:r>
        <w:rPr>
          <w:rFonts w:ascii="Arial" w:hAnsi="Arial"/>
          <w:sz w:val="22"/>
          <w:szCs w:val="22"/>
        </w:rPr>
        <w:t>Seamans, M</w:t>
      </w:r>
      <w:r w:rsidRPr="003E4BC9" w:rsidR="006A4547">
        <w:rPr>
          <w:rFonts w:ascii="Arial" w:hAnsi="Arial"/>
          <w:sz w:val="22"/>
          <w:szCs w:val="22"/>
        </w:rPr>
        <w:t>.</w:t>
      </w:r>
      <w:r>
        <w:rPr>
          <w:rFonts w:ascii="Arial" w:hAnsi="Arial"/>
          <w:sz w:val="22"/>
          <w:szCs w:val="22"/>
        </w:rPr>
        <w:t xml:space="preserve"> E., and R.D. Rau. 20</w:t>
      </w:r>
      <w:r w:rsidR="00585952">
        <w:rPr>
          <w:rFonts w:ascii="Arial" w:hAnsi="Arial"/>
          <w:sz w:val="22"/>
          <w:szCs w:val="22"/>
        </w:rPr>
        <w:t>23</w:t>
      </w:r>
      <w:r w:rsidRPr="003E4BC9" w:rsidR="006A4547">
        <w:rPr>
          <w:rFonts w:ascii="Arial" w:hAnsi="Arial"/>
          <w:sz w:val="22"/>
          <w:szCs w:val="22"/>
        </w:rPr>
        <w:t>. American woodcock population status, 20</w:t>
      </w:r>
      <w:r w:rsidR="00585952">
        <w:rPr>
          <w:rFonts w:ascii="Arial" w:hAnsi="Arial"/>
          <w:sz w:val="22"/>
          <w:szCs w:val="22"/>
        </w:rPr>
        <w:t>23</w:t>
      </w:r>
      <w:r w:rsidRPr="003E4BC9" w:rsidR="006A4547">
        <w:rPr>
          <w:rFonts w:ascii="Arial" w:hAnsi="Arial"/>
          <w:sz w:val="22"/>
          <w:szCs w:val="22"/>
        </w:rPr>
        <w:t>. U.S. Fish and Wildlife Service, Laurel, Maryland. A</w:t>
      </w:r>
      <w:r w:rsidRPr="003E4BC9" w:rsidR="000F79BD">
        <w:rPr>
          <w:rFonts w:ascii="Arial" w:hAnsi="Arial"/>
          <w:sz w:val="22"/>
          <w:szCs w:val="22"/>
        </w:rPr>
        <w:t xml:space="preserve">vailable online at: </w:t>
      </w:r>
      <w:hyperlink r:id="rId4" w:history="1">
        <w:r w:rsidRPr="006B5704" w:rsidR="002C6C60">
          <w:rPr>
            <w:rStyle w:val="Hyperlink"/>
            <w:rFonts w:ascii="Arial" w:hAnsi="Arial"/>
            <w:sz w:val="22"/>
            <w:szCs w:val="22"/>
          </w:rPr>
          <w:t>http://www.fws.gov/birds/surveys-and-data/reports-and-publications.php</w:t>
        </w:r>
      </w:hyperlink>
      <w:r w:rsidR="002C6C60">
        <w:rPr>
          <w:rFonts w:ascii="Arial" w:hAnsi="Arial"/>
          <w:sz w:val="22"/>
          <w:szCs w:val="22"/>
        </w:rPr>
        <w:t xml:space="preserve"> </w:t>
      </w:r>
    </w:p>
    <w:p w:rsidR="00AF5603" w:rsidRPr="00585952" w:rsidP="00585952" w14:paraId="0531165D" w14:textId="0EAA4AB1">
      <w:pPr>
        <w:numPr>
          <w:ilvl w:val="0"/>
          <w:numId w:val="3"/>
        </w:numPr>
        <w:tabs>
          <w:tab w:val="left" w:pos="360"/>
          <w:tab w:val="left" w:pos="720"/>
          <w:tab w:val="clear" w:pos="780"/>
        </w:tabs>
        <w:rPr>
          <w:rFonts w:ascii="Arial" w:hAnsi="Arial"/>
          <w:sz w:val="22"/>
          <w:szCs w:val="22"/>
        </w:rPr>
      </w:pPr>
      <w:r w:rsidRPr="00585952">
        <w:rPr>
          <w:rFonts w:ascii="Arial" w:hAnsi="Arial"/>
          <w:sz w:val="22"/>
          <w:szCs w:val="22"/>
        </w:rPr>
        <w:t>Sauer, J. R., W. A. Link, M. E. Seamans, and R. D. Rau. 2021. American woodcock singing-ground survey: comparison of four models for trend in population size. Journal of Fish and Wildlife Management 12: 83</w:t>
      </w:r>
      <w:r>
        <w:rPr>
          <w:rFonts w:ascii="Arial" w:hAnsi="Arial"/>
          <w:sz w:val="22"/>
          <w:szCs w:val="22"/>
        </w:rPr>
        <w:t>-9</w:t>
      </w:r>
      <w:r w:rsidRPr="00585952">
        <w:rPr>
          <w:rFonts w:ascii="Arial" w:hAnsi="Arial"/>
          <w:sz w:val="22"/>
          <w:szCs w:val="22"/>
        </w:rPr>
        <w:t>7.</w:t>
      </w:r>
      <w:r>
        <w:rPr>
          <w:rFonts w:ascii="Arial" w:hAnsi="Arial"/>
          <w:sz w:val="22"/>
          <w:szCs w:val="22"/>
        </w:rPr>
        <w:t xml:space="preserve"> Available online at:  </w:t>
      </w:r>
      <w:hyperlink r:id="rId5" w:history="1">
        <w:r w:rsidRPr="00F03A69">
          <w:rPr>
            <w:rStyle w:val="Hyperlink"/>
            <w:rFonts w:ascii="Arial" w:hAnsi="Arial"/>
            <w:sz w:val="22"/>
            <w:szCs w:val="22"/>
          </w:rPr>
          <w:t>https://meridian.allenpress.com/jfwm/article/12/1/83/463015/American-Woodcock-Singing-Ground-Survey-Comparison</w:t>
        </w:r>
      </w:hyperlink>
    </w:p>
    <w:p w:rsidR="00585952" w:rsidRPr="003E4BC9" w:rsidP="00585952" w14:paraId="2620307A" w14:textId="77777777">
      <w:pPr>
        <w:tabs>
          <w:tab w:val="left" w:pos="360"/>
          <w:tab w:val="left" w:pos="720"/>
        </w:tabs>
        <w:ind w:left="420"/>
        <w:rPr>
          <w:rFonts w:ascii="Arial" w:hAnsi="Arial"/>
          <w:sz w:val="22"/>
          <w:szCs w:val="22"/>
        </w:rPr>
      </w:pPr>
    </w:p>
    <w:p w:rsidR="00C62E2C" w:rsidP="00C62E2C" w14:paraId="598443EE" w14:textId="77777777">
      <w:pPr>
        <w:pStyle w:val="Heading1"/>
      </w:pPr>
      <w:r>
        <w:t>3.</w:t>
      </w:r>
      <w:r>
        <w:tab/>
        <w:t xml:space="preserve">Describe methods to maximize response rates and to deal with issues of non-response.  The accuracy and reliability of information collected must be shown to be </w:t>
      </w:r>
      <w:r>
        <w:t>adequate for intended uses.  For collections based on sampling, a special justification must be provided for any collection that will not yield "reliable" data that can be generalized to the universe studied.</w:t>
      </w:r>
    </w:p>
    <w:p w:rsidR="00EF526A" w:rsidRPr="003E4BC9" w:rsidP="00652543" w14:paraId="4FBF5378" w14:textId="77777777">
      <w:pPr>
        <w:tabs>
          <w:tab w:val="left" w:pos="360"/>
          <w:tab w:val="left" w:pos="720"/>
        </w:tabs>
        <w:rPr>
          <w:rFonts w:ascii="Arial" w:hAnsi="Arial"/>
          <w:sz w:val="22"/>
          <w:szCs w:val="22"/>
        </w:rPr>
      </w:pPr>
    </w:p>
    <w:p w:rsidR="00EF526A" w:rsidRPr="003E4BC9" w:rsidP="00652543" w14:paraId="79F20F03" w14:textId="43BC1E03">
      <w:pPr>
        <w:tabs>
          <w:tab w:val="left" w:pos="360"/>
          <w:tab w:val="left" w:pos="720"/>
        </w:tabs>
        <w:rPr>
          <w:rFonts w:ascii="Arial" w:hAnsi="Arial"/>
          <w:sz w:val="22"/>
          <w:szCs w:val="22"/>
        </w:rPr>
      </w:pPr>
      <w:r w:rsidRPr="003E4BC9">
        <w:rPr>
          <w:rFonts w:ascii="Arial" w:hAnsi="Arial"/>
          <w:sz w:val="22"/>
          <w:szCs w:val="22"/>
        </w:rPr>
        <w:t xml:space="preserve">We use phone and email contacts and a system of State and Provincial coordinators to maximize timely response.  In addition, we develop formal and nonformal participation assessment reports, </w:t>
      </w:r>
      <w:r w:rsidRPr="003E4BC9" w:rsidR="007565F8">
        <w:rPr>
          <w:rFonts w:ascii="Arial" w:hAnsi="Arial"/>
          <w:sz w:val="22"/>
          <w:szCs w:val="22"/>
        </w:rPr>
        <w:t>follow up</w:t>
      </w:r>
      <w:r w:rsidRPr="003E4BC9">
        <w:rPr>
          <w:rFonts w:ascii="Arial" w:hAnsi="Arial"/>
          <w:sz w:val="22"/>
          <w:szCs w:val="22"/>
        </w:rPr>
        <w:t xml:space="preserve"> with coordinators as well as individual observers, and include concise directions and checklists for observers that accompany FWS Form 3-156.  Our intention is to establish a snapshot of cur</w:t>
      </w:r>
      <w:r w:rsidRPr="003E4BC9" w:rsidR="00B3428A">
        <w:rPr>
          <w:rFonts w:ascii="Arial" w:hAnsi="Arial"/>
          <w:sz w:val="22"/>
          <w:szCs w:val="22"/>
        </w:rPr>
        <w:t xml:space="preserve">rent participation </w:t>
      </w:r>
      <w:r w:rsidRPr="003E4BC9" w:rsidR="007565F8">
        <w:rPr>
          <w:rFonts w:ascii="Arial" w:hAnsi="Arial"/>
          <w:sz w:val="22"/>
          <w:szCs w:val="22"/>
        </w:rPr>
        <w:t>levels, which</w:t>
      </w:r>
      <w:r w:rsidRPr="003E4BC9">
        <w:rPr>
          <w:rFonts w:ascii="Arial" w:hAnsi="Arial"/>
          <w:sz w:val="22"/>
          <w:szCs w:val="22"/>
        </w:rPr>
        <w:t xml:space="preserve"> will enable the Singing Ground Survey (SGS) coordination team to identify the strengths and weaknesses of survey coordination, identify challenges and obstacles to survey participation, and efficiently allocate resources to strengthen survey participation. The foundation of the survey is the strength of our relationships with </w:t>
      </w:r>
      <w:r w:rsidR="008677E2">
        <w:rPr>
          <w:rFonts w:ascii="Arial" w:hAnsi="Arial"/>
          <w:sz w:val="22"/>
          <w:szCs w:val="22"/>
        </w:rPr>
        <w:t>observers</w:t>
      </w:r>
      <w:r w:rsidRPr="003E4BC9">
        <w:rPr>
          <w:rFonts w:ascii="Arial" w:hAnsi="Arial"/>
          <w:sz w:val="22"/>
          <w:szCs w:val="22"/>
        </w:rPr>
        <w:t>.</w:t>
      </w:r>
    </w:p>
    <w:p w:rsidR="00EF526A" w:rsidRPr="003E4BC9" w:rsidP="00652543" w14:paraId="5636DFEC" w14:textId="77777777">
      <w:pPr>
        <w:tabs>
          <w:tab w:val="left" w:pos="360"/>
          <w:tab w:val="left" w:pos="720"/>
        </w:tabs>
        <w:rPr>
          <w:rFonts w:ascii="Arial" w:hAnsi="Arial"/>
          <w:sz w:val="22"/>
          <w:szCs w:val="22"/>
        </w:rPr>
      </w:pPr>
    </w:p>
    <w:p w:rsidR="00C62E2C" w:rsidRPr="001107F6" w:rsidP="00C62E2C" w14:paraId="0A52DB5F" w14:textId="77777777">
      <w:pPr>
        <w:pStyle w:val="Heading1"/>
      </w:pPr>
      <w:r w:rsidRPr="001107F6">
        <w:t>4.</w:t>
      </w:r>
      <w:r w:rsidRPr="001107F6">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94DDB" w:rsidRPr="008677E2" w:rsidP="00652543" w14:paraId="3A8E53CC" w14:textId="77777777">
      <w:pPr>
        <w:tabs>
          <w:tab w:val="left" w:pos="-1080"/>
          <w:tab w:val="left" w:pos="-720"/>
          <w:tab w:val="left" w:pos="360"/>
          <w:tab w:val="left" w:pos="720"/>
        </w:tabs>
        <w:rPr>
          <w:rFonts w:ascii="Arial" w:hAnsi="Arial" w:cs="Arial"/>
          <w:sz w:val="22"/>
          <w:szCs w:val="22"/>
          <w:highlight w:val="yellow"/>
        </w:rPr>
      </w:pPr>
    </w:p>
    <w:p w:rsidR="00464DC3" w:rsidP="00652543" w14:paraId="63DF9CF8" w14:textId="55F4EB9F">
      <w:pPr>
        <w:widowControl w:val="0"/>
        <w:tabs>
          <w:tab w:val="left" w:pos="360"/>
          <w:tab w:val="left" w:pos="720"/>
        </w:tabs>
        <w:autoSpaceDE w:val="0"/>
        <w:autoSpaceDN w:val="0"/>
        <w:adjustRightInd w:val="0"/>
        <w:rPr>
          <w:rFonts w:ascii="Arial" w:hAnsi="Arial" w:cs="Arial"/>
          <w:sz w:val="22"/>
          <w:szCs w:val="22"/>
        </w:rPr>
      </w:pPr>
      <w:r w:rsidRPr="001107F6">
        <w:rPr>
          <w:rFonts w:ascii="Arial" w:hAnsi="Arial" w:cs="Arial"/>
          <w:sz w:val="22"/>
          <w:szCs w:val="22"/>
        </w:rPr>
        <w:t>We have improved and refined the Singing Ground Survey methodology and analytical techniques over the last 55 years.  In 2022 we adopted the new modeling approach for the Singing Ground Survey proposed by Sauer et al. (2021)</w:t>
      </w:r>
      <w:r>
        <w:rPr>
          <w:rFonts w:ascii="Arial" w:hAnsi="Arial" w:cs="Arial"/>
          <w:sz w:val="22"/>
          <w:szCs w:val="22"/>
        </w:rPr>
        <w:t xml:space="preserve"> that is referenced in #2 above</w:t>
      </w:r>
      <w:r w:rsidRPr="001107F6">
        <w:rPr>
          <w:rFonts w:ascii="Arial" w:hAnsi="Arial" w:cs="Arial"/>
          <w:sz w:val="22"/>
          <w:szCs w:val="22"/>
        </w:rPr>
        <w:t>.  The new approach remains a loglinear hierarchical model but describes temporal population change in terms of conditionally independent differences between years, whereas the old approach described change based on a linear trend with random time effects.  We are constantly evaluating methods used to analyze survey data.  While some improvements in precision, accuracy, and general results are expected, it is unlikely that the improvements will be substantial enough to allow a reduction in survey coverage since the current sample size maximizes precision in the data.  We frequently assess the assumptions behind the survey.  In 2017 and 2018 we tested how discontinuing some survey areas and adding others has affected estimates since the beginning of the survey was examined. If changing disturbance levels (e.g., traffic and noise) along survey routes, especially in the Eastern U.S., has affected counts of woodcock was also examined. Researchers outside the federal government have also used Singing Ground Survey data to help develop and assess habitat conservation goals.</w:t>
      </w:r>
    </w:p>
    <w:p w:rsidR="001107F6" w:rsidP="00652543" w14:paraId="10181818" w14:textId="77777777">
      <w:pPr>
        <w:widowControl w:val="0"/>
        <w:tabs>
          <w:tab w:val="left" w:pos="360"/>
          <w:tab w:val="left" w:pos="720"/>
        </w:tabs>
        <w:autoSpaceDE w:val="0"/>
        <w:autoSpaceDN w:val="0"/>
        <w:adjustRightInd w:val="0"/>
        <w:rPr>
          <w:rFonts w:ascii="Arial" w:hAnsi="Arial"/>
          <w:sz w:val="22"/>
          <w:szCs w:val="22"/>
        </w:rPr>
      </w:pPr>
    </w:p>
    <w:p w:rsidR="00C62E2C" w:rsidP="00C62E2C" w14:paraId="3297B742" w14:textId="77777777">
      <w:pPr>
        <w:pStyle w:val="Heading1"/>
      </w:pPr>
      <w:r>
        <w:t>5.</w:t>
      </w:r>
      <w:r>
        <w:tab/>
        <w:t>Provide the names and telephone numbers of individuals consulted on statistical aspects of the design and the name of the agency unit, contractor(s), grantee(s), or other person(s) who will actually collect and/or analyze the information for the agency.</w:t>
      </w:r>
    </w:p>
    <w:p w:rsidR="008B04EE" w:rsidRPr="003E4BC9" w:rsidP="00652543" w14:paraId="4E2C39B8" w14:textId="77777777">
      <w:pPr>
        <w:tabs>
          <w:tab w:val="left" w:pos="360"/>
          <w:tab w:val="left" w:pos="720"/>
        </w:tabs>
        <w:rPr>
          <w:rFonts w:ascii="Arial" w:hAnsi="Arial" w:cs="Arial"/>
          <w:b/>
          <w:bCs/>
          <w:color w:val="0000FF"/>
          <w:sz w:val="22"/>
          <w:szCs w:val="22"/>
        </w:rPr>
      </w:pPr>
    </w:p>
    <w:p w:rsidR="00EF526A" w:rsidRPr="003E4BC9" w:rsidP="00652543" w14:paraId="11AF189F" w14:textId="77777777">
      <w:pPr>
        <w:tabs>
          <w:tab w:val="left" w:pos="360"/>
          <w:tab w:val="left" w:pos="720"/>
        </w:tabs>
        <w:rPr>
          <w:rFonts w:ascii="Arial" w:hAnsi="Arial"/>
          <w:sz w:val="22"/>
          <w:szCs w:val="22"/>
        </w:rPr>
      </w:pPr>
      <w:r w:rsidRPr="003E4BC9">
        <w:rPr>
          <w:rFonts w:ascii="Arial" w:hAnsi="Arial"/>
          <w:sz w:val="22"/>
          <w:szCs w:val="22"/>
        </w:rPr>
        <w:t>Statistical consultants:</w:t>
      </w:r>
    </w:p>
    <w:p w:rsidR="00EF526A" w:rsidRPr="003E4BC9" w:rsidP="00652543" w14:paraId="055037E6" w14:textId="77777777">
      <w:pPr>
        <w:tabs>
          <w:tab w:val="left" w:pos="360"/>
          <w:tab w:val="left" w:pos="720"/>
        </w:tabs>
        <w:rPr>
          <w:rFonts w:ascii="Arial" w:hAnsi="Arial"/>
          <w:sz w:val="22"/>
          <w:szCs w:val="22"/>
        </w:rPr>
      </w:pPr>
    </w:p>
    <w:p w:rsidR="001F4B37" w:rsidRPr="003E4BC9" w:rsidP="001F4B37" w14:paraId="5B001CEF" w14:textId="77777777">
      <w:pPr>
        <w:tabs>
          <w:tab w:val="left" w:pos="360"/>
          <w:tab w:val="left" w:pos="720"/>
        </w:tabs>
        <w:ind w:left="360"/>
        <w:rPr>
          <w:rFonts w:ascii="Arial" w:hAnsi="Arial"/>
          <w:sz w:val="22"/>
          <w:szCs w:val="22"/>
        </w:rPr>
      </w:pPr>
      <w:r>
        <w:rPr>
          <w:rFonts w:ascii="Arial" w:hAnsi="Arial"/>
          <w:sz w:val="22"/>
          <w:szCs w:val="22"/>
        </w:rPr>
        <w:t>Mark Seamans</w:t>
      </w:r>
      <w:r w:rsidRPr="003E4BC9" w:rsidR="00EF526A">
        <w:rPr>
          <w:rFonts w:ascii="Arial" w:hAnsi="Arial"/>
          <w:sz w:val="22"/>
          <w:szCs w:val="22"/>
        </w:rPr>
        <w:tab/>
      </w:r>
      <w:r w:rsidRPr="003E4BC9" w:rsidR="00EF526A">
        <w:rPr>
          <w:rFonts w:ascii="Arial" w:hAnsi="Arial"/>
          <w:sz w:val="22"/>
          <w:szCs w:val="22"/>
        </w:rPr>
        <w:tab/>
      </w:r>
      <w:r w:rsidRPr="003E4BC9">
        <w:rPr>
          <w:rFonts w:ascii="Arial" w:hAnsi="Arial"/>
          <w:sz w:val="22"/>
          <w:szCs w:val="22"/>
        </w:rPr>
        <w:t>(</w:t>
      </w:r>
      <w:r>
        <w:rPr>
          <w:rFonts w:ascii="Arial" w:hAnsi="Arial"/>
          <w:sz w:val="22"/>
          <w:szCs w:val="22"/>
        </w:rPr>
        <w:t>303</w:t>
      </w:r>
      <w:r w:rsidRPr="003E4BC9">
        <w:rPr>
          <w:rFonts w:ascii="Arial" w:hAnsi="Arial"/>
          <w:sz w:val="22"/>
          <w:szCs w:val="22"/>
        </w:rPr>
        <w:t xml:space="preserve">) </w:t>
      </w:r>
      <w:r>
        <w:rPr>
          <w:rFonts w:ascii="Arial" w:hAnsi="Arial"/>
          <w:sz w:val="22"/>
          <w:szCs w:val="22"/>
        </w:rPr>
        <w:t>275-2388</w:t>
      </w:r>
    </w:p>
    <w:p w:rsidR="00EF526A" w:rsidRPr="003E4BC9" w:rsidP="00652543" w14:paraId="6914B37B" w14:textId="77777777">
      <w:pPr>
        <w:tabs>
          <w:tab w:val="left" w:pos="360"/>
          <w:tab w:val="left" w:pos="720"/>
        </w:tabs>
        <w:rPr>
          <w:rFonts w:ascii="Arial" w:hAnsi="Arial"/>
          <w:sz w:val="22"/>
          <w:szCs w:val="22"/>
        </w:rPr>
      </w:pPr>
    </w:p>
    <w:p w:rsidR="00EF526A" w:rsidRPr="003E4BC9" w:rsidP="00652543" w14:paraId="5A366BFE" w14:textId="77777777">
      <w:pPr>
        <w:tabs>
          <w:tab w:val="left" w:pos="360"/>
          <w:tab w:val="left" w:pos="720"/>
        </w:tabs>
        <w:rPr>
          <w:rFonts w:ascii="Arial" w:hAnsi="Arial"/>
          <w:sz w:val="22"/>
          <w:szCs w:val="22"/>
        </w:rPr>
      </w:pPr>
      <w:r w:rsidRPr="003E4BC9">
        <w:rPr>
          <w:rFonts w:ascii="Arial" w:hAnsi="Arial"/>
          <w:sz w:val="22"/>
          <w:szCs w:val="22"/>
        </w:rPr>
        <w:t>Persons collecting and analyzing data:</w:t>
      </w:r>
    </w:p>
    <w:p w:rsidR="00EF526A" w:rsidRPr="003E4BC9" w:rsidP="00652543" w14:paraId="74D9E834" w14:textId="77777777">
      <w:pPr>
        <w:tabs>
          <w:tab w:val="left" w:pos="360"/>
          <w:tab w:val="left" w:pos="720"/>
        </w:tabs>
        <w:rPr>
          <w:rFonts w:ascii="Arial" w:hAnsi="Arial"/>
          <w:sz w:val="22"/>
          <w:szCs w:val="22"/>
        </w:rPr>
      </w:pPr>
    </w:p>
    <w:p w:rsidR="00EF526A" w:rsidRPr="003E4BC9" w:rsidP="00652543" w14:paraId="66AE1989" w14:textId="77777777">
      <w:pPr>
        <w:tabs>
          <w:tab w:val="left" w:pos="360"/>
          <w:tab w:val="left" w:pos="720"/>
        </w:tabs>
        <w:ind w:left="360"/>
        <w:rPr>
          <w:rFonts w:ascii="Arial" w:hAnsi="Arial"/>
          <w:sz w:val="22"/>
          <w:szCs w:val="22"/>
        </w:rPr>
      </w:pPr>
      <w:r>
        <w:rPr>
          <w:rFonts w:ascii="Arial" w:hAnsi="Arial"/>
          <w:sz w:val="22"/>
          <w:szCs w:val="22"/>
        </w:rPr>
        <w:t>Mark Seamans</w:t>
      </w:r>
      <w:r w:rsidRPr="003E4BC9">
        <w:rPr>
          <w:rFonts w:ascii="Arial" w:hAnsi="Arial"/>
          <w:sz w:val="22"/>
          <w:szCs w:val="22"/>
        </w:rPr>
        <w:tab/>
      </w:r>
      <w:r w:rsidRPr="003E4BC9">
        <w:rPr>
          <w:rFonts w:ascii="Arial" w:hAnsi="Arial"/>
          <w:sz w:val="22"/>
          <w:szCs w:val="22"/>
        </w:rPr>
        <w:tab/>
        <w:t>(</w:t>
      </w:r>
      <w:r>
        <w:rPr>
          <w:rFonts w:ascii="Arial" w:hAnsi="Arial"/>
          <w:sz w:val="22"/>
          <w:szCs w:val="22"/>
        </w:rPr>
        <w:t>303</w:t>
      </w:r>
      <w:r w:rsidRPr="003E4BC9">
        <w:rPr>
          <w:rFonts w:ascii="Arial" w:hAnsi="Arial"/>
          <w:sz w:val="22"/>
          <w:szCs w:val="22"/>
        </w:rPr>
        <w:t xml:space="preserve">) </w:t>
      </w:r>
      <w:r>
        <w:rPr>
          <w:rFonts w:ascii="Arial" w:hAnsi="Arial"/>
          <w:sz w:val="22"/>
          <w:szCs w:val="22"/>
        </w:rPr>
        <w:t>275-2388</w:t>
      </w:r>
    </w:p>
    <w:sectPr w:rsidSect="00705128">
      <w:footerReference w:type="even" r:id="rId6"/>
      <w:footerReference w:type="default" r:id="rId7"/>
      <w:footerReference w:type="first" r:id="rId8"/>
      <w:pgSz w:w="12240" w:h="15840" w:code="1"/>
      <w:pgMar w:top="1440" w:right="1440" w:bottom="1152" w:left="1440" w:header="144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C68" w:rsidP="008B04EE" w14:paraId="112F081D" w14:textId="1EAB31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705128">
      <w:rPr>
        <w:rStyle w:val="PageNumber"/>
      </w:rPr>
      <w:fldChar w:fldCharType="separate"/>
    </w:r>
    <w:r w:rsidR="00705128">
      <w:rPr>
        <w:rStyle w:val="PageNumber"/>
        <w:noProof/>
      </w:rPr>
      <w:t>1</w:t>
    </w:r>
    <w:r>
      <w:rPr>
        <w:rStyle w:val="PageNumber"/>
      </w:rPr>
      <w:fldChar w:fldCharType="end"/>
    </w:r>
  </w:p>
  <w:p w:rsidR="00C01C68" w:rsidP="008B04EE" w14:paraId="5457008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5584610"/>
      <w:docPartObj>
        <w:docPartGallery w:val="Page Numbers (Bottom of Page)"/>
        <w:docPartUnique/>
      </w:docPartObj>
    </w:sdtPr>
    <w:sdtEndPr>
      <w:rPr>
        <w:rFonts w:ascii="Arial" w:hAnsi="Arial" w:cs="Arial"/>
        <w:noProof/>
        <w:sz w:val="22"/>
        <w:szCs w:val="22"/>
      </w:rPr>
    </w:sdtEndPr>
    <w:sdtContent>
      <w:p w:rsidR="00C01C68" w:rsidRPr="00705128" w:rsidP="00705128" w14:paraId="53C3A985" w14:textId="31AA9B72">
        <w:pPr>
          <w:pStyle w:val="Footer"/>
          <w:jc w:val="center"/>
          <w:rPr>
            <w:rFonts w:ascii="Arial" w:hAnsi="Arial" w:cs="Arial"/>
            <w:sz w:val="22"/>
            <w:szCs w:val="22"/>
          </w:rPr>
        </w:pPr>
        <w:r w:rsidRPr="00705128">
          <w:rPr>
            <w:rFonts w:ascii="Arial" w:hAnsi="Arial" w:cs="Arial"/>
            <w:sz w:val="22"/>
            <w:szCs w:val="22"/>
          </w:rPr>
          <w:t xml:space="preserve">- </w:t>
        </w:r>
        <w:r w:rsidRPr="00705128">
          <w:rPr>
            <w:rFonts w:ascii="Arial" w:hAnsi="Arial" w:cs="Arial"/>
            <w:sz w:val="22"/>
            <w:szCs w:val="22"/>
          </w:rPr>
          <w:fldChar w:fldCharType="begin"/>
        </w:r>
        <w:r w:rsidRPr="00705128">
          <w:rPr>
            <w:rFonts w:ascii="Arial" w:hAnsi="Arial" w:cs="Arial"/>
            <w:sz w:val="22"/>
            <w:szCs w:val="22"/>
          </w:rPr>
          <w:instrText xml:space="preserve"> PAGE   \* MERGEFORMAT </w:instrText>
        </w:r>
        <w:r w:rsidRPr="00705128">
          <w:rPr>
            <w:rFonts w:ascii="Arial" w:hAnsi="Arial" w:cs="Arial"/>
            <w:sz w:val="22"/>
            <w:szCs w:val="22"/>
          </w:rPr>
          <w:fldChar w:fldCharType="separate"/>
        </w:r>
        <w:r w:rsidRPr="00705128">
          <w:rPr>
            <w:rFonts w:ascii="Arial" w:hAnsi="Arial" w:cs="Arial"/>
            <w:noProof/>
            <w:sz w:val="22"/>
            <w:szCs w:val="22"/>
          </w:rPr>
          <w:t>2</w:t>
        </w:r>
        <w:r w:rsidRPr="00705128">
          <w:rPr>
            <w:rFonts w:ascii="Arial" w:hAnsi="Arial" w:cs="Arial"/>
            <w:noProof/>
            <w:sz w:val="22"/>
            <w:szCs w:val="22"/>
          </w:rPr>
          <w:fldChar w:fldCharType="end"/>
        </w:r>
        <w:r w:rsidRPr="00705128">
          <w:rPr>
            <w:rFonts w:ascii="Arial" w:hAnsi="Arial" w:cs="Arial"/>
            <w:sz w:val="22"/>
            <w:szCs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3648771"/>
      <w:docPartObj>
        <w:docPartGallery w:val="Page Numbers (Bottom of Page)"/>
        <w:docPartUnique/>
      </w:docPartObj>
    </w:sdtPr>
    <w:sdtEndPr>
      <w:rPr>
        <w:rFonts w:ascii="Arial" w:hAnsi="Arial" w:cs="Arial"/>
        <w:noProof/>
        <w:sz w:val="22"/>
        <w:szCs w:val="22"/>
      </w:rPr>
    </w:sdtEndPr>
    <w:sdtContent>
      <w:p w:rsidR="00705128" w:rsidRPr="00705128" w:rsidP="00705128" w14:paraId="733E0EFD" w14:textId="508C5B9A">
        <w:pPr>
          <w:pStyle w:val="Footer"/>
          <w:jc w:val="center"/>
          <w:rPr>
            <w:rFonts w:ascii="Arial" w:hAnsi="Arial" w:cs="Arial"/>
            <w:sz w:val="22"/>
            <w:szCs w:val="22"/>
          </w:rPr>
        </w:pPr>
        <w:r w:rsidRPr="00705128">
          <w:rPr>
            <w:rFonts w:ascii="Arial" w:hAnsi="Arial" w:cs="Arial"/>
            <w:sz w:val="22"/>
            <w:szCs w:val="22"/>
          </w:rPr>
          <w:t xml:space="preserve">- </w:t>
        </w:r>
        <w:r w:rsidRPr="00705128">
          <w:rPr>
            <w:rFonts w:ascii="Arial" w:hAnsi="Arial" w:cs="Arial"/>
            <w:sz w:val="22"/>
            <w:szCs w:val="22"/>
          </w:rPr>
          <w:fldChar w:fldCharType="begin"/>
        </w:r>
        <w:r w:rsidRPr="00705128">
          <w:rPr>
            <w:rFonts w:ascii="Arial" w:hAnsi="Arial" w:cs="Arial"/>
            <w:sz w:val="22"/>
            <w:szCs w:val="22"/>
          </w:rPr>
          <w:instrText xml:space="preserve"> PAGE   \* MERGEFORMAT </w:instrText>
        </w:r>
        <w:r w:rsidRPr="00705128">
          <w:rPr>
            <w:rFonts w:ascii="Arial" w:hAnsi="Arial" w:cs="Arial"/>
            <w:sz w:val="22"/>
            <w:szCs w:val="22"/>
          </w:rPr>
          <w:fldChar w:fldCharType="separate"/>
        </w:r>
        <w:r w:rsidRPr="00705128">
          <w:rPr>
            <w:rFonts w:ascii="Arial" w:hAnsi="Arial" w:cs="Arial"/>
            <w:noProof/>
            <w:sz w:val="22"/>
            <w:szCs w:val="22"/>
          </w:rPr>
          <w:t>2</w:t>
        </w:r>
        <w:r w:rsidRPr="00705128">
          <w:rPr>
            <w:rFonts w:ascii="Arial" w:hAnsi="Arial" w:cs="Arial"/>
            <w:noProof/>
            <w:sz w:val="22"/>
            <w:szCs w:val="22"/>
          </w:rPr>
          <w:fldChar w:fldCharType="end"/>
        </w:r>
        <w:r w:rsidRPr="00705128">
          <w:rPr>
            <w:rFonts w:ascii="Arial" w:hAnsi="Arial" w:cs="Arial"/>
            <w:noProof/>
            <w:sz w:val="22"/>
            <w:szCs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8451B"/>
    <w:multiLevelType w:val="hybridMultilevel"/>
    <w:tmpl w:val="3F2CF60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F94409"/>
    <w:multiLevelType w:val="hybridMultilevel"/>
    <w:tmpl w:val="F498FF12"/>
    <w:lvl w:ilvl="0">
      <w:start w:val="1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922993"/>
    <w:multiLevelType w:val="hybridMultilevel"/>
    <w:tmpl w:val="45AAFC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1478F5"/>
    <w:multiLevelType w:val="hybridMultilevel"/>
    <w:tmpl w:val="68EC976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16cid:durableId="833376571">
    <w:abstractNumId w:val="3"/>
  </w:num>
  <w:num w:numId="2" w16cid:durableId="453717269">
    <w:abstractNumId w:val="2"/>
  </w:num>
  <w:num w:numId="3" w16cid:durableId="922908709">
    <w:abstractNumId w:val="4"/>
  </w:num>
  <w:num w:numId="4" w16cid:durableId="1635598667">
    <w:abstractNumId w:val="1"/>
  </w:num>
  <w:num w:numId="5" w16cid:durableId="99610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B04EE"/>
    <w:rsid w:val="00011EEC"/>
    <w:rsid w:val="000470B0"/>
    <w:rsid w:val="000567E1"/>
    <w:rsid w:val="000D22D3"/>
    <w:rsid w:val="000F79BD"/>
    <w:rsid w:val="001107F6"/>
    <w:rsid w:val="00194DDB"/>
    <w:rsid w:val="001E17CE"/>
    <w:rsid w:val="001F4B37"/>
    <w:rsid w:val="002028C2"/>
    <w:rsid w:val="002C6C60"/>
    <w:rsid w:val="003C1EC8"/>
    <w:rsid w:val="003D4215"/>
    <w:rsid w:val="003E4BC9"/>
    <w:rsid w:val="00464DC3"/>
    <w:rsid w:val="00466FB3"/>
    <w:rsid w:val="00490030"/>
    <w:rsid w:val="004C0A07"/>
    <w:rsid w:val="005077AC"/>
    <w:rsid w:val="00585952"/>
    <w:rsid w:val="00592597"/>
    <w:rsid w:val="005E17FD"/>
    <w:rsid w:val="005F19EE"/>
    <w:rsid w:val="005F1FB5"/>
    <w:rsid w:val="006019DF"/>
    <w:rsid w:val="00652543"/>
    <w:rsid w:val="00692878"/>
    <w:rsid w:val="006A4547"/>
    <w:rsid w:val="006B1C53"/>
    <w:rsid w:val="006B5704"/>
    <w:rsid w:val="00705128"/>
    <w:rsid w:val="00741DEA"/>
    <w:rsid w:val="00753346"/>
    <w:rsid w:val="007565F8"/>
    <w:rsid w:val="0082235C"/>
    <w:rsid w:val="00854A6C"/>
    <w:rsid w:val="00854DE7"/>
    <w:rsid w:val="008677E2"/>
    <w:rsid w:val="008B04EE"/>
    <w:rsid w:val="008E544C"/>
    <w:rsid w:val="0096206A"/>
    <w:rsid w:val="00A31005"/>
    <w:rsid w:val="00A55B1F"/>
    <w:rsid w:val="00A71D6D"/>
    <w:rsid w:val="00AB3220"/>
    <w:rsid w:val="00AE61AE"/>
    <w:rsid w:val="00AF5603"/>
    <w:rsid w:val="00B06F14"/>
    <w:rsid w:val="00B07090"/>
    <w:rsid w:val="00B3428A"/>
    <w:rsid w:val="00B53E74"/>
    <w:rsid w:val="00C01C68"/>
    <w:rsid w:val="00C0203F"/>
    <w:rsid w:val="00C11328"/>
    <w:rsid w:val="00C62E2C"/>
    <w:rsid w:val="00C77909"/>
    <w:rsid w:val="00D82654"/>
    <w:rsid w:val="00D86583"/>
    <w:rsid w:val="00DC5B34"/>
    <w:rsid w:val="00EB693E"/>
    <w:rsid w:val="00EF526A"/>
    <w:rsid w:val="00F03A69"/>
    <w:rsid w:val="00F30ED6"/>
    <w:rsid w:val="00F53F55"/>
    <w:rsid w:val="00FA78E5"/>
    <w:rsid w:val="00FE6F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18ECD0"/>
  <w15:docId w15:val="{6C304063-7263-464D-9CBE-886BC886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62E2C"/>
    <w:pPr>
      <w:widowControl w:val="0"/>
      <w:tabs>
        <w:tab w:val="left" w:pos="360"/>
        <w:tab w:val="left" w:pos="720"/>
      </w:tabs>
      <w:autoSpaceDE w:val="0"/>
      <w:autoSpaceDN w:val="0"/>
      <w:adjustRightInd w:val="0"/>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character" w:styleId="CommentReference">
    <w:name w:val="annotation reference"/>
    <w:basedOn w:val="DefaultParagraphFont"/>
    <w:rsid w:val="00592597"/>
    <w:rPr>
      <w:sz w:val="16"/>
      <w:szCs w:val="16"/>
    </w:rPr>
  </w:style>
  <w:style w:type="paragraph" w:styleId="CommentText">
    <w:name w:val="annotation text"/>
    <w:basedOn w:val="Normal"/>
    <w:link w:val="CommentTextChar"/>
    <w:rsid w:val="00592597"/>
    <w:rPr>
      <w:sz w:val="20"/>
      <w:szCs w:val="20"/>
    </w:rPr>
  </w:style>
  <w:style w:type="character" w:customStyle="1" w:styleId="CommentTextChar">
    <w:name w:val="Comment Text Char"/>
    <w:basedOn w:val="DefaultParagraphFont"/>
    <w:link w:val="CommentText"/>
    <w:rsid w:val="00592597"/>
  </w:style>
  <w:style w:type="paragraph" w:styleId="CommentSubject">
    <w:name w:val="annotation subject"/>
    <w:basedOn w:val="CommentText"/>
    <w:next w:val="CommentText"/>
    <w:link w:val="CommentSubjectChar"/>
    <w:rsid w:val="00592597"/>
    <w:rPr>
      <w:b/>
      <w:bCs/>
    </w:rPr>
  </w:style>
  <w:style w:type="character" w:customStyle="1" w:styleId="CommentSubjectChar">
    <w:name w:val="Comment Subject Char"/>
    <w:basedOn w:val="CommentTextChar"/>
    <w:link w:val="CommentSubject"/>
    <w:rsid w:val="00592597"/>
    <w:rPr>
      <w:b/>
      <w:bCs/>
    </w:rPr>
  </w:style>
  <w:style w:type="paragraph" w:styleId="BalloonText">
    <w:name w:val="Balloon Text"/>
    <w:basedOn w:val="Normal"/>
    <w:link w:val="BalloonTextChar"/>
    <w:rsid w:val="00592597"/>
    <w:rPr>
      <w:rFonts w:ascii="Tahoma" w:hAnsi="Tahoma" w:cs="Tahoma"/>
      <w:sz w:val="16"/>
      <w:szCs w:val="16"/>
    </w:rPr>
  </w:style>
  <w:style w:type="character" w:customStyle="1" w:styleId="BalloonTextChar">
    <w:name w:val="Balloon Text Char"/>
    <w:basedOn w:val="DefaultParagraphFont"/>
    <w:link w:val="BalloonText"/>
    <w:rsid w:val="00592597"/>
    <w:rPr>
      <w:rFonts w:ascii="Tahoma" w:hAnsi="Tahoma" w:cs="Tahoma"/>
      <w:sz w:val="16"/>
      <w:szCs w:val="16"/>
    </w:rPr>
  </w:style>
  <w:style w:type="character" w:styleId="Hyperlink">
    <w:name w:val="Hyperlink"/>
    <w:basedOn w:val="DefaultParagraphFont"/>
    <w:unhideWhenUsed/>
    <w:rsid w:val="002C6C60"/>
    <w:rPr>
      <w:color w:val="0000FF" w:themeColor="hyperlink"/>
      <w:u w:val="single"/>
    </w:rPr>
  </w:style>
  <w:style w:type="character" w:styleId="FollowedHyperlink">
    <w:name w:val="FollowedHyperlink"/>
    <w:basedOn w:val="DefaultParagraphFont"/>
    <w:semiHidden/>
    <w:unhideWhenUsed/>
    <w:rsid w:val="002C6C60"/>
    <w:rPr>
      <w:color w:val="800080" w:themeColor="followedHyperlink"/>
      <w:u w:val="single"/>
    </w:rPr>
  </w:style>
  <w:style w:type="paragraph" w:styleId="Revision">
    <w:name w:val="Revision"/>
    <w:hidden/>
    <w:uiPriority w:val="99"/>
    <w:semiHidden/>
    <w:rsid w:val="00AB3220"/>
    <w:rPr>
      <w:sz w:val="24"/>
      <w:szCs w:val="24"/>
    </w:rPr>
  </w:style>
  <w:style w:type="character" w:customStyle="1" w:styleId="Heading1Char">
    <w:name w:val="Heading 1 Char"/>
    <w:basedOn w:val="DefaultParagraphFont"/>
    <w:link w:val="Heading1"/>
    <w:uiPriority w:val="9"/>
    <w:rsid w:val="00C62E2C"/>
    <w:rPr>
      <w:rFonts w:ascii="Arial" w:hAnsi="Arial" w:cs="Arial"/>
      <w:b/>
      <w:sz w:val="22"/>
      <w:szCs w:val="22"/>
    </w:rPr>
  </w:style>
  <w:style w:type="character" w:styleId="UnresolvedMention">
    <w:name w:val="Unresolved Mention"/>
    <w:basedOn w:val="DefaultParagraphFont"/>
    <w:uiPriority w:val="99"/>
    <w:semiHidden/>
    <w:unhideWhenUsed/>
    <w:rsid w:val="00585952"/>
    <w:rPr>
      <w:color w:val="605E5C"/>
      <w:shd w:val="clear" w:color="auto" w:fill="E1DFDD"/>
    </w:rPr>
  </w:style>
  <w:style w:type="paragraph" w:styleId="Header">
    <w:name w:val="header"/>
    <w:basedOn w:val="Normal"/>
    <w:link w:val="HeaderChar"/>
    <w:unhideWhenUsed/>
    <w:rsid w:val="00705128"/>
    <w:pPr>
      <w:tabs>
        <w:tab w:val="center" w:pos="4680"/>
        <w:tab w:val="right" w:pos="9360"/>
      </w:tabs>
    </w:pPr>
  </w:style>
  <w:style w:type="character" w:customStyle="1" w:styleId="HeaderChar">
    <w:name w:val="Header Char"/>
    <w:basedOn w:val="DefaultParagraphFont"/>
    <w:link w:val="Header"/>
    <w:rsid w:val="00705128"/>
    <w:rPr>
      <w:sz w:val="24"/>
      <w:szCs w:val="24"/>
    </w:rPr>
  </w:style>
  <w:style w:type="character" w:customStyle="1" w:styleId="FooterChar">
    <w:name w:val="Footer Char"/>
    <w:basedOn w:val="DefaultParagraphFont"/>
    <w:link w:val="Footer"/>
    <w:uiPriority w:val="99"/>
    <w:rsid w:val="0070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ws.gov/birds/surveys-and-data/reports-and-publications.php" TargetMode="External" /><Relationship Id="rId5" Type="http://schemas.openxmlformats.org/officeDocument/2006/relationships/hyperlink" Target="https://meridian.allenpress.com/jfwm/article/12/1/83/463015/American-Woodcock-Singing-Ground-Survey-Comparison"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mlbaucum</cp:lastModifiedBy>
  <cp:revision>6</cp:revision>
  <dcterms:created xsi:type="dcterms:W3CDTF">2023-10-20T17:53:00Z</dcterms:created>
  <dcterms:modified xsi:type="dcterms:W3CDTF">2023-10-30T17:54:00Z</dcterms:modified>
</cp:coreProperties>
</file>