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68A3" w:rsidP="006358D0" w14:paraId="6D95224A" w14:textId="77777777">
      <w:pPr>
        <w:pStyle w:val="Heading1"/>
      </w:pPr>
      <w:r w:rsidRPr="006358D0">
        <w:t>Department of Justice</w:t>
      </w:r>
    </w:p>
    <w:p w:rsidR="006D71EE" w:rsidRPr="006358D0" w:rsidP="006358D0" w14:paraId="0427DBE3" w14:textId="77777777">
      <w:pPr>
        <w:pStyle w:val="Heading1"/>
        <w:rPr>
          <w:rStyle w:val="Emphasis"/>
          <w:i w:val="0"/>
        </w:rPr>
      </w:pPr>
      <w:r w:rsidRPr="006358D0">
        <w:rPr>
          <w:rStyle w:val="Emphasis"/>
          <w:i w:val="0"/>
        </w:rPr>
        <w:t>Bureau of Alcohol, Tobacco, Firearms and Explosives</w:t>
      </w:r>
    </w:p>
    <w:p w:rsidR="006D71EE" w:rsidP="006358D0" w14:paraId="082B4692" w14:textId="77777777">
      <w:pPr>
        <w:pStyle w:val="Heading1"/>
        <w:rPr>
          <w:rStyle w:val="Emphasis"/>
          <w:i w:val="0"/>
        </w:rPr>
      </w:pPr>
      <w:r w:rsidRPr="006358D0">
        <w:rPr>
          <w:rStyle w:val="Emphasis"/>
          <w:i w:val="0"/>
        </w:rPr>
        <w:t>Information Collection Request</w:t>
      </w:r>
    </w:p>
    <w:p w:rsidR="006D71EE" w:rsidRPr="006358D0" w:rsidP="006358D0" w14:paraId="0297554C" w14:textId="77777777">
      <w:pPr>
        <w:pStyle w:val="Heading2"/>
      </w:pPr>
      <w:r w:rsidRPr="006358D0">
        <w:t xml:space="preserve">OMB </w:t>
      </w:r>
      <w:r w:rsidRPr="006358D0">
        <w:t>1140-</w:t>
      </w:r>
      <w:r w:rsidRPr="006358D0" w:rsidR="006C7708">
        <w:t>0</w:t>
      </w:r>
      <w:r w:rsidRPr="006358D0" w:rsidR="00615B0D">
        <w:t>058</w:t>
      </w:r>
    </w:p>
    <w:p w:rsidR="0043552F" w:rsidP="006358D0" w14:paraId="4E5D7E7C" w14:textId="77777777">
      <w:pPr>
        <w:pStyle w:val="Heading2"/>
      </w:pPr>
    </w:p>
    <w:p w:rsidR="00AD24B2" w:rsidP="006358D0" w14:paraId="02AFFB9C" w14:textId="69F2A185">
      <w:pPr>
        <w:pStyle w:val="Heading2"/>
      </w:pPr>
      <w:r w:rsidRPr="006358D0">
        <w:t xml:space="preserve">Investigator </w:t>
      </w:r>
      <w:r w:rsidR="0043552F">
        <w:t xml:space="preserve">Quality Survey </w:t>
      </w:r>
      <w:r w:rsidRPr="006358D0" w:rsidR="00004CB4">
        <w:t>- ATF Form 8620.</w:t>
      </w:r>
      <w:r w:rsidRPr="006358D0">
        <w:t>7</w:t>
      </w:r>
    </w:p>
    <w:p w:rsidR="0043552F" w:rsidRPr="0043552F" w:rsidP="0043552F" w14:paraId="43E35760" w14:textId="77777777">
      <w:pPr>
        <w:rPr>
          <w:b/>
          <w:bCs/>
        </w:rPr>
      </w:pPr>
    </w:p>
    <w:p w:rsidR="0043552F" w:rsidRPr="0043552F" w:rsidP="0043552F" w14:paraId="2011B335" w14:textId="687B6B17">
      <w:pPr>
        <w:pStyle w:val="Heading2"/>
        <w:rPr>
          <w:b/>
          <w:bCs/>
        </w:rPr>
      </w:pPr>
      <w:r w:rsidRPr="0043552F">
        <w:rPr>
          <w:rStyle w:val="Emphasis"/>
          <w:b/>
          <w:bCs/>
          <w:i w:val="0"/>
        </w:rPr>
        <w:t>S</w:t>
      </w:r>
      <w:r>
        <w:rPr>
          <w:rStyle w:val="Emphasis"/>
          <w:b/>
          <w:bCs/>
          <w:i w:val="0"/>
        </w:rPr>
        <w:t>UPPORTING STATEMENT</w:t>
      </w:r>
    </w:p>
    <w:p w:rsidR="006D71EE" w:rsidRPr="0043552F" w:rsidP="00C742C9" w14:paraId="34544F97" w14:textId="77777777">
      <w:pPr>
        <w:rPr>
          <w:rStyle w:val="Emphasis"/>
          <w:i w:val="0"/>
          <w:iCs w:val="0"/>
        </w:rPr>
      </w:pPr>
    </w:p>
    <w:p w:rsidR="006D71EE" w:rsidRPr="001C2767" w:rsidP="001C2767" w14:paraId="7E0547D9" w14:textId="29842721">
      <w:pPr>
        <w:pStyle w:val="Heading3"/>
      </w:pPr>
      <w:r w:rsidRPr="001C2767">
        <w:t>JUST</w:t>
      </w:r>
      <w:r w:rsidRPr="001C2767" w:rsidR="00CD7DDA">
        <w:t>I</w:t>
      </w:r>
      <w:r w:rsidRPr="001C2767">
        <w:t>FICATION</w:t>
      </w:r>
      <w:r w:rsidR="000B7284">
        <w:t xml:space="preserve"> A</w:t>
      </w:r>
    </w:p>
    <w:p w:rsidR="006D71EE" w:rsidRPr="007678FD" w:rsidP="00C742C9" w14:paraId="2BA248D8" w14:textId="77777777"/>
    <w:p w:rsidR="006D71EE" w:rsidRPr="001C2767" w:rsidP="00DD5597" w14:paraId="0BD1476F" w14:textId="77777777">
      <w:pPr>
        <w:pStyle w:val="Heading4"/>
        <w:ind w:left="360" w:hanging="360"/>
      </w:pPr>
      <w:r w:rsidRPr="001C2767">
        <w:rPr>
          <w:u w:val="none"/>
        </w:rPr>
        <w:t>1.</w:t>
      </w:r>
      <w:r w:rsidRPr="001C2767">
        <w:rPr>
          <w:u w:val="none"/>
        </w:rPr>
        <w:tab/>
      </w:r>
      <w:r w:rsidRPr="001C2767">
        <w:t>Necessity of Information Collection</w:t>
      </w:r>
    </w:p>
    <w:p w:rsidR="00A55CAC" w:rsidRPr="007678FD" w:rsidP="00C742C9" w14:paraId="76AE334E" w14:textId="77777777"/>
    <w:p w:rsidR="00D06D76" w:rsidP="00967650" w14:paraId="13F32A34" w14:textId="54B93F1E">
      <w:pPr>
        <w:ind w:left="720"/>
      </w:pPr>
      <w:r w:rsidRPr="00C742C9">
        <w:t xml:space="preserve">Pursuant to </w:t>
      </w:r>
      <w:r w:rsidRPr="00C742C9" w:rsidR="00BB649B">
        <w:t>the</w:t>
      </w:r>
      <w:r w:rsidRPr="00C742C9">
        <w:t xml:space="preserve"> Memorandum of Understanding </w:t>
      </w:r>
      <w:r w:rsidRPr="00C742C9" w:rsidR="001A41BD">
        <w:t xml:space="preserve">(MOU) </w:t>
      </w:r>
      <w:r w:rsidRPr="00C742C9">
        <w:t xml:space="preserve">between the Bureau of Alcohol, Tobacco, Firearms and Explosives (ATF) </w:t>
      </w:r>
      <w:r w:rsidRPr="00C742C9" w:rsidR="00F911C5">
        <w:t>and the Office of Personnel Management (OPM),</w:t>
      </w:r>
      <w:r w:rsidRPr="00C742C9" w:rsidR="00A4202F">
        <w:t xml:space="preserve"> dated March 3, 2000,</w:t>
      </w:r>
      <w:r w:rsidRPr="00C742C9" w:rsidR="00F911C5">
        <w:t xml:space="preserve"> </w:t>
      </w:r>
      <w:r w:rsidRPr="00C742C9">
        <w:t xml:space="preserve">ATF is authorized to </w:t>
      </w:r>
      <w:r w:rsidRPr="00C742C9" w:rsidR="001A41BD">
        <w:t xml:space="preserve">use </w:t>
      </w:r>
      <w:r w:rsidR="009A1EDF">
        <w:t xml:space="preserve">its </w:t>
      </w:r>
      <w:r w:rsidR="00361808">
        <w:t>f</w:t>
      </w:r>
      <w:r w:rsidR="009A1EDF">
        <w:t xml:space="preserve">ederal or </w:t>
      </w:r>
      <w:r w:rsidRPr="00C742C9" w:rsidR="001A41BD">
        <w:t>contract</w:t>
      </w:r>
      <w:r w:rsidR="00DD4447">
        <w:t xml:space="preserve"> </w:t>
      </w:r>
      <w:r w:rsidRPr="00C742C9" w:rsidR="001A41BD">
        <w:t xml:space="preserve">investigators to </w:t>
      </w:r>
      <w:r w:rsidRPr="00C742C9">
        <w:t xml:space="preserve">conduct </w:t>
      </w:r>
      <w:r w:rsidRPr="00C742C9" w:rsidR="00481938">
        <w:t xml:space="preserve">personnel security and suitability </w:t>
      </w:r>
      <w:r w:rsidRPr="00C742C9">
        <w:t>background investigations</w:t>
      </w:r>
      <w:r w:rsidRPr="00C742C9" w:rsidR="00A4202F">
        <w:t xml:space="preserve"> </w:t>
      </w:r>
      <w:r w:rsidR="00D64555">
        <w:t xml:space="preserve">(BIs) </w:t>
      </w:r>
      <w:r w:rsidRPr="00C742C9" w:rsidR="00A4202F">
        <w:t>and periodic reinvestigations</w:t>
      </w:r>
      <w:r w:rsidRPr="00C742C9" w:rsidR="00481938">
        <w:t xml:space="preserve">. </w:t>
      </w:r>
      <w:r w:rsidR="00410B18">
        <w:t xml:space="preserve"> </w:t>
      </w:r>
      <w:r w:rsidR="00DD4447">
        <w:t>I</w:t>
      </w:r>
      <w:r w:rsidRPr="00C742C9" w:rsidR="00481938">
        <w:t>nvestigations are conducted</w:t>
      </w:r>
      <w:r w:rsidRPr="00C742C9" w:rsidR="00A4202F">
        <w:t xml:space="preserve"> on applicants </w:t>
      </w:r>
      <w:r w:rsidR="00DD4447">
        <w:t>and</w:t>
      </w:r>
      <w:r w:rsidRPr="00C742C9" w:rsidR="00A4202F">
        <w:t xml:space="preserve"> employees in</w:t>
      </w:r>
      <w:r w:rsidR="00DD4447">
        <w:t xml:space="preserve"> </w:t>
      </w:r>
      <w:r w:rsidRPr="00C742C9" w:rsidR="00A4202F">
        <w:t>competitive service posit</w:t>
      </w:r>
      <w:r w:rsidRPr="00C742C9" w:rsidR="00086AB6">
        <w:t>i</w:t>
      </w:r>
      <w:r w:rsidRPr="00C742C9" w:rsidR="00A4202F">
        <w:t>ons</w:t>
      </w:r>
      <w:r w:rsidR="00767B92">
        <w:t xml:space="preserve">, as well as </w:t>
      </w:r>
      <w:r w:rsidRPr="00C742C9" w:rsidR="00A4202F">
        <w:t>candidates</w:t>
      </w:r>
      <w:r w:rsidR="00DD4447">
        <w:t xml:space="preserve">, </w:t>
      </w:r>
      <w:r w:rsidRPr="00C742C9" w:rsidR="00A4202F">
        <w:t xml:space="preserve">contractors, </w:t>
      </w:r>
      <w:r w:rsidR="00361808">
        <w:t>t</w:t>
      </w:r>
      <w:r w:rsidRPr="00C742C9" w:rsidR="00DD4447">
        <w:t xml:space="preserve">ask </w:t>
      </w:r>
      <w:r w:rsidR="00361808">
        <w:t>f</w:t>
      </w:r>
      <w:r w:rsidRPr="00C742C9" w:rsidR="00DD4447">
        <w:t xml:space="preserve">orce </w:t>
      </w:r>
      <w:r w:rsidR="00361808">
        <w:t>o</w:t>
      </w:r>
      <w:r w:rsidRPr="00C742C9" w:rsidR="00DD4447">
        <w:t>fficers</w:t>
      </w:r>
      <w:r w:rsidR="00DD4447">
        <w:t xml:space="preserve"> (TFOs)</w:t>
      </w:r>
      <w:r w:rsidRPr="00C742C9" w:rsidR="00A4202F">
        <w:t xml:space="preserve">, </w:t>
      </w:r>
      <w:r w:rsidR="00410B18">
        <w:t>and</w:t>
      </w:r>
      <w:r w:rsidRPr="00C742C9" w:rsidR="00A4202F">
        <w:t xml:space="preserve"> volunteers</w:t>
      </w:r>
      <w:r w:rsidR="00F03F06">
        <w:t>/interns</w:t>
      </w:r>
      <w:r w:rsidRPr="00C742C9" w:rsidR="00A4202F">
        <w:t xml:space="preserve"> in ATF</w:t>
      </w:r>
      <w:r w:rsidR="00AA1174">
        <w:t xml:space="preserve"> </w:t>
      </w:r>
      <w:r w:rsidRPr="00C742C9" w:rsidR="00A4202F">
        <w:t>service provider positions</w:t>
      </w:r>
      <w:r w:rsidR="00767B92">
        <w:t xml:space="preserve">. </w:t>
      </w:r>
      <w:r w:rsidR="00410B18">
        <w:t xml:space="preserve"> </w:t>
      </w:r>
      <w:r w:rsidR="00767B92">
        <w:t xml:space="preserve">All personnel </w:t>
      </w:r>
      <w:r w:rsidR="00F03F06">
        <w:t xml:space="preserve">security </w:t>
      </w:r>
      <w:r w:rsidR="00767B92">
        <w:t>investigations are conducted</w:t>
      </w:r>
      <w:r w:rsidRPr="00C742C9" w:rsidR="00A4202F">
        <w:t xml:space="preserve"> in accordance with </w:t>
      </w:r>
      <w:r w:rsidRPr="00C742C9" w:rsidR="00940920">
        <w:t>the</w:t>
      </w:r>
      <w:r w:rsidRPr="00C742C9" w:rsidR="00A4202F">
        <w:t xml:space="preserve"> Intelligence Reform and Terrorism Prevention Act of 2004, 5 C.F.R. Part 736</w:t>
      </w:r>
      <w:r w:rsidRPr="00C742C9" w:rsidR="00940920">
        <w:t>,</w:t>
      </w:r>
      <w:r w:rsidRPr="00C742C9" w:rsidR="00A4202F">
        <w:t xml:space="preserve"> and Ex</w:t>
      </w:r>
      <w:r w:rsidRPr="00C742C9" w:rsidR="00481938">
        <w:t>e</w:t>
      </w:r>
      <w:r w:rsidRPr="00C742C9" w:rsidR="00A4202F">
        <w:t>cutive Orders 13467 and 13764.</w:t>
      </w:r>
    </w:p>
    <w:p w:rsidR="00D06D76" w:rsidP="00967650" w14:paraId="72A6D1E6" w14:textId="77777777">
      <w:pPr>
        <w:ind w:left="720"/>
      </w:pPr>
    </w:p>
    <w:p w:rsidR="00A4202F" w:rsidRPr="00C742C9" w:rsidP="00967650" w14:paraId="04CF4990" w14:textId="61B74E65">
      <w:pPr>
        <w:ind w:left="720"/>
      </w:pPr>
      <w:r>
        <w:t xml:space="preserve">Per </w:t>
      </w:r>
      <w:r w:rsidRPr="00C742C9">
        <w:t>Executive Order 12968</w:t>
      </w:r>
      <w:r>
        <w:t>, e</w:t>
      </w:r>
      <w:r w:rsidRPr="00C742C9">
        <w:t xml:space="preserve">ach investigator must have a favorably adjudicated </w:t>
      </w:r>
      <w:r w:rsidRPr="00C742C9" w:rsidR="00940920">
        <w:t xml:space="preserve">national security, critical sensitive </w:t>
      </w:r>
      <w:r w:rsidR="00897236">
        <w:t>clearance</w:t>
      </w:r>
      <w:r w:rsidRPr="00C742C9" w:rsidR="00897236">
        <w:t xml:space="preserve"> </w:t>
      </w:r>
      <w:r w:rsidRPr="00C742C9">
        <w:t xml:space="preserve">that meets the OPM requirements, </w:t>
      </w:r>
      <w:r w:rsidR="00897236">
        <w:t>prior to</w:t>
      </w:r>
      <w:r w:rsidRPr="00C742C9">
        <w:t xml:space="preserve"> performing investigative assignments.</w:t>
      </w:r>
      <w:r w:rsidRPr="00C742C9" w:rsidR="003733C8">
        <w:t xml:space="preserve"> </w:t>
      </w:r>
      <w:r w:rsidR="00410B18">
        <w:t xml:space="preserve"> </w:t>
      </w:r>
      <w:r w:rsidRPr="00C742C9" w:rsidR="003733C8">
        <w:t>Contract investigators are required to</w:t>
      </w:r>
      <w:r>
        <w:t xml:space="preserve"> complete</w:t>
      </w:r>
      <w:r w:rsidRPr="00C742C9" w:rsidR="003733C8">
        <w:t xml:space="preserve"> the same level of background screening and rescreening as </w:t>
      </w:r>
      <w:r w:rsidR="00F12EE4">
        <w:t>f</w:t>
      </w:r>
      <w:r w:rsidR="009A1EDF">
        <w:t>ederal</w:t>
      </w:r>
      <w:r w:rsidRPr="00C742C9" w:rsidR="003733C8">
        <w:t xml:space="preserve"> </w:t>
      </w:r>
      <w:r w:rsidR="00DD4447">
        <w:t>investigators</w:t>
      </w:r>
      <w:r w:rsidRPr="00C742C9" w:rsidR="003733C8">
        <w:t>.</w:t>
      </w:r>
    </w:p>
    <w:p w:rsidR="00A4202F" w:rsidP="00967650" w14:paraId="1F45C719" w14:textId="77777777">
      <w:pPr>
        <w:pStyle w:val="StyleFirstline0"/>
        <w:ind w:left="720"/>
      </w:pPr>
    </w:p>
    <w:p w:rsidR="00D06D76" w:rsidRPr="005D270B" w:rsidP="00967650" w14:paraId="52F3BCE2" w14:textId="50475321">
      <w:pPr>
        <w:ind w:left="720"/>
      </w:pPr>
      <w:r>
        <w:t>I</w:t>
      </w:r>
      <w:r w:rsidRPr="00C742C9">
        <w:t xml:space="preserve">n accordance with the MOU, ATF must </w:t>
      </w:r>
      <w:r w:rsidR="00767B92">
        <w:t xml:space="preserve">also </w:t>
      </w:r>
      <w:r w:rsidRPr="00C742C9" w:rsidR="00086AB6">
        <w:t>maintain</w:t>
      </w:r>
      <w:r w:rsidRPr="00C742C9">
        <w:t xml:space="preserve"> an "Investigator Integrity Follow</w:t>
      </w:r>
      <w:r w:rsidRPr="00C742C9">
        <w:noBreakHyphen/>
        <w:t>up Program</w:t>
      </w:r>
      <w:r w:rsidR="00897236">
        <w:t>,</w:t>
      </w:r>
      <w:r w:rsidRPr="00C742C9">
        <w:t xml:space="preserve">" to ensure that contract investigators are conducting </w:t>
      </w:r>
      <w:r w:rsidR="00897236">
        <w:t xml:space="preserve">their duties </w:t>
      </w:r>
      <w:r w:rsidRPr="00C742C9">
        <w:t xml:space="preserve">in accordance with the </w:t>
      </w:r>
      <w:r w:rsidRPr="00C742C9" w:rsidR="00714FF4">
        <w:t xml:space="preserve">2012 Federal Investigative Standards. </w:t>
      </w:r>
      <w:r w:rsidR="00410B18">
        <w:t xml:space="preserve"> </w:t>
      </w:r>
      <w:r w:rsidR="00D0407E">
        <w:t xml:space="preserve">The </w:t>
      </w:r>
      <w:r w:rsidRPr="00371F47" w:rsidR="00D0407E">
        <w:t xml:space="preserve">Investigator </w:t>
      </w:r>
      <w:r w:rsidR="00F12EE4">
        <w:t>Quality Survey</w:t>
      </w:r>
      <w:r w:rsidRPr="00371F47" w:rsidR="00D0407E">
        <w:t xml:space="preserve"> - ATF Form 8620.7</w:t>
      </w:r>
      <w:r w:rsidR="00D0407E">
        <w:t xml:space="preserve"> </w:t>
      </w:r>
      <w:r w:rsidR="00190C57">
        <w:t xml:space="preserve">- </w:t>
      </w:r>
      <w:r w:rsidR="00D0407E">
        <w:t xml:space="preserve">was </w:t>
      </w:r>
      <w:r w:rsidRPr="005D270B" w:rsidR="00D0407E">
        <w:t>created as part of this follow-</w:t>
      </w:r>
      <w:r w:rsidR="00190C57">
        <w:t xml:space="preserve">up </w:t>
      </w:r>
      <w:r w:rsidRPr="005D270B" w:rsidR="00D0407E">
        <w:t>program</w:t>
      </w:r>
      <w:r w:rsidR="00F12EE4">
        <w:t xml:space="preserve"> </w:t>
      </w:r>
      <w:r w:rsidRPr="005D270B" w:rsidR="00D0407E">
        <w:t xml:space="preserve">and is currently used to </w:t>
      </w:r>
      <w:r w:rsidRPr="005D270B">
        <w:t>ensure that</w:t>
      </w:r>
      <w:r w:rsidRPr="005D270B" w:rsidR="00D0407E">
        <w:t xml:space="preserve"> ATF </w:t>
      </w:r>
      <w:r w:rsidRPr="005D270B">
        <w:t xml:space="preserve">contract investigators conduct themselves </w:t>
      </w:r>
      <w:r w:rsidRPr="005D270B" w:rsidR="00D0407E">
        <w:t xml:space="preserve">professionally </w:t>
      </w:r>
      <w:r w:rsidRPr="005D270B" w:rsidR="00897236">
        <w:t>while performing their investigative duties</w:t>
      </w:r>
      <w:r w:rsidRPr="005D270B">
        <w:t xml:space="preserve">. </w:t>
      </w:r>
    </w:p>
    <w:p w:rsidR="00EE4E44" w:rsidRPr="005D270B" w:rsidP="00967650" w14:paraId="6BA209C8" w14:textId="77777777">
      <w:pPr>
        <w:ind w:left="720"/>
      </w:pPr>
    </w:p>
    <w:p w:rsidR="00EE4E44" w:rsidRPr="005D270B" w:rsidP="00967650" w14:paraId="425E3C23" w14:textId="29493848">
      <w:pPr>
        <w:ind w:left="720"/>
      </w:pPr>
      <w:r w:rsidRPr="005D270B">
        <w:t>ATF requests approval to make the following change</w:t>
      </w:r>
      <w:r w:rsidR="002F44A1">
        <w:t>s</w:t>
      </w:r>
      <w:r w:rsidRPr="005D270B">
        <w:t xml:space="preserve"> to OMB 1140-0058</w:t>
      </w:r>
    </w:p>
    <w:p w:rsidR="00EE4E44" w:rsidRPr="005D270B" w:rsidP="00967650" w14:paraId="3435D592" w14:textId="0B826C08">
      <w:pPr>
        <w:ind w:left="720"/>
      </w:pPr>
      <w:r w:rsidRPr="005D270B">
        <w:t xml:space="preserve">Investigator </w:t>
      </w:r>
      <w:r w:rsidR="00F12EE4">
        <w:t>Quality Survey</w:t>
      </w:r>
      <w:r w:rsidRPr="005D270B">
        <w:t xml:space="preserve"> - ATF Form 8620.7:</w:t>
      </w:r>
    </w:p>
    <w:p w:rsidR="00EE4E44" w:rsidRPr="005D270B" w:rsidP="00967650" w14:paraId="104F0720" w14:textId="77777777">
      <w:pPr>
        <w:ind w:left="720"/>
      </w:pPr>
    </w:p>
    <w:p w:rsidR="0007000B" w:rsidP="00DD5597" w14:paraId="42D11C3C" w14:textId="02EB8136">
      <w:pPr>
        <w:pStyle w:val="ListParagraph"/>
        <w:numPr>
          <w:ilvl w:val="0"/>
          <w:numId w:val="3"/>
        </w:numPr>
        <w:ind w:left="1440"/>
      </w:pPr>
      <w:r>
        <w:t xml:space="preserve">Question 15 - Remove </w:t>
      </w:r>
      <w:r w:rsidR="00206A08">
        <w:t>question</w:t>
      </w:r>
      <w:r>
        <w:t xml:space="preserve"> related to </w:t>
      </w:r>
      <w:r w:rsidR="00944A46">
        <w:t>respondent</w:t>
      </w:r>
      <w:r w:rsidR="00C402A1">
        <w:t>s</w:t>
      </w:r>
      <w:r w:rsidR="00944A46">
        <w:t xml:space="preserve">’ </w:t>
      </w:r>
      <w:r>
        <w:t xml:space="preserve">objection </w:t>
      </w:r>
      <w:r w:rsidR="00944A46">
        <w:t>to</w:t>
      </w:r>
      <w:r>
        <w:t xml:space="preserve"> </w:t>
      </w:r>
      <w:r w:rsidR="00C402A1">
        <w:t xml:space="preserve">disclosing their name and interview results to </w:t>
      </w:r>
      <w:r w:rsidR="00500AF5">
        <w:t xml:space="preserve">the </w:t>
      </w:r>
      <w:r>
        <w:t>individual</w:t>
      </w:r>
      <w:r w:rsidR="00516C75">
        <w:t>s</w:t>
      </w:r>
      <w:r>
        <w:t xml:space="preserve"> being investigated</w:t>
      </w:r>
      <w:r w:rsidR="00E3498D">
        <w:t xml:space="preserve"> as it is not included in the ATF investigators’ </w:t>
      </w:r>
      <w:r w:rsidR="0018758D">
        <w:t xml:space="preserve">current line of questioning.  </w:t>
      </w:r>
    </w:p>
    <w:p w:rsidR="00897236" w:rsidP="00DD5597" w14:paraId="4D498CC2" w14:textId="63738D6C">
      <w:pPr>
        <w:pStyle w:val="ListParagraph"/>
        <w:numPr>
          <w:ilvl w:val="0"/>
          <w:numId w:val="3"/>
        </w:numPr>
        <w:ind w:left="1440"/>
      </w:pPr>
      <w:r>
        <w:t xml:space="preserve">Correct typographical error in paragraph below the Interview Ratings section </w:t>
      </w:r>
      <w:r w:rsidR="000677B9">
        <w:t>– Change “Additonal” to “Additional”</w:t>
      </w:r>
      <w:r w:rsidR="004F5872">
        <w:t>.</w:t>
      </w:r>
      <w:r>
        <w:t xml:space="preserve"> </w:t>
      </w:r>
    </w:p>
    <w:p w:rsidR="00500AF5" w:rsidRPr="005D270B" w:rsidP="00967650" w14:paraId="414E1C49" w14:textId="77777777">
      <w:pPr>
        <w:ind w:hanging="720"/>
      </w:pPr>
    </w:p>
    <w:p w:rsidR="006D71EE" w:rsidRPr="005D270B" w:rsidP="00DD5597" w14:paraId="19A9BE94" w14:textId="77777777">
      <w:pPr>
        <w:pStyle w:val="Heading4"/>
        <w:ind w:left="360" w:hanging="360"/>
      </w:pPr>
      <w:r w:rsidRPr="005D270B">
        <w:rPr>
          <w:u w:val="none"/>
        </w:rPr>
        <w:t>2.</w:t>
      </w:r>
      <w:r w:rsidRPr="005D270B">
        <w:rPr>
          <w:u w:val="none"/>
        </w:rPr>
        <w:tab/>
      </w:r>
      <w:r w:rsidRPr="005D270B">
        <w:t>Needs and Uses</w:t>
      </w:r>
    </w:p>
    <w:p w:rsidR="006D71EE" w:rsidRPr="005D270B" w:rsidP="00967650" w14:paraId="2000EDEA" w14:textId="77777777">
      <w:pPr>
        <w:ind w:hanging="1440"/>
      </w:pPr>
      <w:r w:rsidRPr="005D270B">
        <w:tab/>
      </w:r>
    </w:p>
    <w:p w:rsidR="008374D2" w:rsidP="00967650" w14:paraId="5EB3DBAF" w14:textId="00EF2EC8">
      <w:pPr>
        <w:ind w:left="720"/>
      </w:pPr>
      <w:r w:rsidRPr="005D270B">
        <w:t xml:space="preserve">ATF </w:t>
      </w:r>
      <w:r w:rsidRPr="005D270B" w:rsidR="007C67C6">
        <w:t>P</w:t>
      </w:r>
      <w:r w:rsidRPr="005D270B">
        <w:t xml:space="preserve">ersonnel </w:t>
      </w:r>
      <w:r w:rsidRPr="005D270B" w:rsidR="007C67C6">
        <w:t>S</w:t>
      </w:r>
      <w:r w:rsidRPr="005D270B">
        <w:t xml:space="preserve">ecurity </w:t>
      </w:r>
      <w:r w:rsidRPr="005D270B" w:rsidR="00371F47">
        <w:t xml:space="preserve">Program </w:t>
      </w:r>
      <w:r w:rsidR="004E2983">
        <w:t>m</w:t>
      </w:r>
      <w:r w:rsidRPr="005D270B" w:rsidR="00371F47">
        <w:t>anagers</w:t>
      </w:r>
      <w:r w:rsidRPr="005D270B">
        <w:t xml:space="preserve"> or their designees</w:t>
      </w:r>
      <w:r w:rsidRPr="005D270B" w:rsidR="00371F47">
        <w:t xml:space="preserve"> </w:t>
      </w:r>
      <w:r w:rsidRPr="005D270B">
        <w:t>will</w:t>
      </w:r>
      <w:r w:rsidRPr="005D270B" w:rsidR="00371F47">
        <w:t xml:space="preserve"> randomly </w:t>
      </w:r>
      <w:r w:rsidRPr="005D270B">
        <w:t xml:space="preserve">solicit </w:t>
      </w:r>
      <w:r w:rsidRPr="005D270B" w:rsidR="00371F47">
        <w:t>feedback</w:t>
      </w:r>
      <w:r w:rsidRPr="005D270B" w:rsidR="00932738">
        <w:t xml:space="preserve"> </w:t>
      </w:r>
      <w:r w:rsidRPr="005D270B">
        <w:t xml:space="preserve">from persons who have been interviewed by </w:t>
      </w:r>
      <w:r w:rsidRPr="005D270B" w:rsidR="00371F47">
        <w:t xml:space="preserve">ATF </w:t>
      </w:r>
      <w:r w:rsidRPr="005D270B">
        <w:t>contract investigators</w:t>
      </w:r>
      <w:r w:rsidRPr="005D270B" w:rsidR="00371F47">
        <w:t xml:space="preserve">, using the Investigator </w:t>
      </w:r>
      <w:r w:rsidR="004E2983">
        <w:t>Quality Survey</w:t>
      </w:r>
      <w:r w:rsidR="0007000B">
        <w:t xml:space="preserve"> </w:t>
      </w:r>
      <w:r w:rsidRPr="005D270B" w:rsidR="00371F47">
        <w:t>- ATF Form 8620.7.</w:t>
      </w:r>
      <w:r w:rsidR="00410B18">
        <w:t xml:space="preserve">  </w:t>
      </w:r>
      <w:r w:rsidRPr="005D270B" w:rsidR="00371F47">
        <w:t xml:space="preserve"> </w:t>
      </w:r>
      <w:r w:rsidR="00793AD4">
        <w:t>R</w:t>
      </w:r>
      <w:r w:rsidRPr="005D270B" w:rsidR="00D93B54">
        <w:t>espondent</w:t>
      </w:r>
      <w:r w:rsidR="00793AD4">
        <w:t>s</w:t>
      </w:r>
      <w:r w:rsidR="00932738">
        <w:t xml:space="preserve"> will </w:t>
      </w:r>
      <w:r w:rsidR="00371F47">
        <w:t xml:space="preserve">receive </w:t>
      </w:r>
      <w:r w:rsidR="00932738">
        <w:t>the survey and instructions for completi</w:t>
      </w:r>
      <w:r w:rsidR="00371F47">
        <w:t xml:space="preserve">on by </w:t>
      </w:r>
      <w:r w:rsidR="00793AD4">
        <w:t>email and</w:t>
      </w:r>
      <w:r w:rsidRPr="00063C84" w:rsidR="00371F47">
        <w:t xml:space="preserve"> will be </w:t>
      </w:r>
      <w:r w:rsidR="00793AD4">
        <w:t>asked</w:t>
      </w:r>
      <w:r w:rsidRPr="00063C84" w:rsidR="00371F47">
        <w:t xml:space="preserve"> to </w:t>
      </w:r>
      <w:r w:rsidRPr="00063C84" w:rsidR="00932738">
        <w:t>v</w:t>
      </w:r>
      <w:r w:rsidRPr="00063C84" w:rsidR="00940920">
        <w:t>erify</w:t>
      </w:r>
      <w:r w:rsidR="00940920">
        <w:t xml:space="preserve"> that contract investigators are conducting interviews in a professional manner</w:t>
      </w:r>
      <w:r w:rsidR="00410B18">
        <w:t xml:space="preserve"> and</w:t>
      </w:r>
      <w:r w:rsidR="00940920">
        <w:t xml:space="preserve"> </w:t>
      </w:r>
      <w:r w:rsidR="00371F47">
        <w:t xml:space="preserve">in accordance with </w:t>
      </w:r>
      <w:r w:rsidR="00940920">
        <w:t xml:space="preserve">prescribed policies. </w:t>
      </w:r>
      <w:r w:rsidR="00410B18">
        <w:t xml:space="preserve"> </w:t>
      </w:r>
      <w:r w:rsidR="00793AD4">
        <w:t>P</w:t>
      </w:r>
      <w:r w:rsidR="00940920">
        <w:t xml:space="preserve">olicy requirements </w:t>
      </w:r>
      <w:r>
        <w:t>re</w:t>
      </w:r>
      <w:r w:rsidR="00793AD4">
        <w:t>late</w:t>
      </w:r>
      <w:r>
        <w:t xml:space="preserve"> </w:t>
      </w:r>
      <w:r w:rsidR="00793AD4">
        <w:t xml:space="preserve">to </w:t>
      </w:r>
      <w:r w:rsidR="00940920">
        <w:t xml:space="preserve">scheduling </w:t>
      </w:r>
      <w:r w:rsidR="00815A61">
        <w:t xml:space="preserve">respondent </w:t>
      </w:r>
      <w:r w:rsidR="00940920">
        <w:t>appointment</w:t>
      </w:r>
      <w:r>
        <w:t>s</w:t>
      </w:r>
      <w:r w:rsidR="00940920">
        <w:t xml:space="preserve"> in advance</w:t>
      </w:r>
      <w:r>
        <w:t xml:space="preserve"> and informing</w:t>
      </w:r>
      <w:r w:rsidR="00940920">
        <w:t xml:space="preserve"> </w:t>
      </w:r>
      <w:r w:rsidR="004C194F">
        <w:t xml:space="preserve">respondents </w:t>
      </w:r>
      <w:r>
        <w:t>about the</w:t>
      </w:r>
      <w:r w:rsidR="00FB1648">
        <w:t xml:space="preserve"> </w:t>
      </w:r>
      <w:r w:rsidR="004C194F">
        <w:t>Privacy Act rights of the individual under investigation</w:t>
      </w:r>
      <w:r>
        <w:t xml:space="preserve">. </w:t>
      </w:r>
      <w:r w:rsidR="00410B18">
        <w:t xml:space="preserve"> </w:t>
      </w:r>
      <w:r>
        <w:t xml:space="preserve">Investigators must also present a professional appearance, </w:t>
      </w:r>
      <w:r w:rsidR="00940920">
        <w:t>properly i</w:t>
      </w:r>
      <w:r w:rsidR="00FB1648">
        <w:t>d</w:t>
      </w:r>
      <w:r w:rsidR="00940920">
        <w:t>ent</w:t>
      </w:r>
      <w:r w:rsidR="00FB1648">
        <w:t>i</w:t>
      </w:r>
      <w:r w:rsidR="00940920">
        <w:t xml:space="preserve">fy </w:t>
      </w:r>
      <w:r w:rsidR="00815A61">
        <w:t>themselves</w:t>
      </w:r>
      <w:r w:rsidR="00940920">
        <w:t xml:space="preserve">, </w:t>
      </w:r>
      <w:r>
        <w:t xml:space="preserve">professionally </w:t>
      </w:r>
      <w:r w:rsidR="00940920">
        <w:t>conduct interview</w:t>
      </w:r>
      <w:r w:rsidR="00767B92">
        <w:t>s</w:t>
      </w:r>
      <w:r w:rsidR="00940920">
        <w:t>,</w:t>
      </w:r>
      <w:r>
        <w:t xml:space="preserve"> and</w:t>
      </w:r>
      <w:r w:rsidR="00940920">
        <w:t xml:space="preserve"> provid</w:t>
      </w:r>
      <w:r>
        <w:t>e</w:t>
      </w:r>
      <w:r w:rsidR="00940920">
        <w:t xml:space="preserve"> post-interview contact information</w:t>
      </w:r>
      <w:r>
        <w:t>.</w:t>
      </w:r>
    </w:p>
    <w:p w:rsidR="00FB1648" w:rsidP="00C742C9" w14:paraId="34FFB2D3" w14:textId="77777777">
      <w:r>
        <w:t xml:space="preserve"> </w:t>
      </w:r>
    </w:p>
    <w:p w:rsidR="006D71EE" w:rsidP="00DD5597" w14:paraId="507C11DB" w14:textId="77777777">
      <w:pPr>
        <w:pStyle w:val="Heading4"/>
        <w:ind w:left="360" w:hanging="360"/>
      </w:pPr>
      <w:r w:rsidRPr="001C2767">
        <w:rPr>
          <w:u w:val="none"/>
        </w:rPr>
        <w:t>3.</w:t>
      </w:r>
      <w:r w:rsidRPr="001C2767">
        <w:rPr>
          <w:u w:val="none"/>
        </w:rPr>
        <w:tab/>
      </w:r>
      <w:r w:rsidRPr="0013755B">
        <w:t>Use of Information Technology</w:t>
      </w:r>
    </w:p>
    <w:p w:rsidR="00C742C9" w:rsidRPr="00C742C9" w:rsidP="00967650" w14:paraId="42C5EA28" w14:textId="77777777">
      <w:pPr>
        <w:ind w:left="720" w:hanging="720"/>
      </w:pPr>
    </w:p>
    <w:p w:rsidR="00FB1648" w:rsidP="00967650" w14:paraId="3DB4D414" w14:textId="265DB285">
      <w:pPr>
        <w:ind w:left="720"/>
      </w:pPr>
      <w:r>
        <w:t xml:space="preserve">The </w:t>
      </w:r>
      <w:r w:rsidRPr="00371F47">
        <w:t xml:space="preserve">Investigator </w:t>
      </w:r>
      <w:r w:rsidR="00661AB3">
        <w:t>Quality Survey</w:t>
      </w:r>
      <w:r>
        <w:t xml:space="preserve"> -</w:t>
      </w:r>
      <w:r w:rsidRPr="00BA4800">
        <w:t xml:space="preserve"> </w:t>
      </w:r>
      <w:r w:rsidRPr="00BA4800" w:rsidR="00AC3827">
        <w:t xml:space="preserve">ATF </w:t>
      </w:r>
      <w:r>
        <w:t>F</w:t>
      </w:r>
      <w:r w:rsidR="00AA3597">
        <w:t>orm</w:t>
      </w:r>
      <w:r>
        <w:t xml:space="preserve"> 8620.7 is</w:t>
      </w:r>
      <w:r>
        <w:t xml:space="preserve"> available for electronic completion</w:t>
      </w:r>
      <w:r>
        <w:t xml:space="preserve">. </w:t>
      </w:r>
      <w:r w:rsidR="00E55109">
        <w:t xml:space="preserve"> </w:t>
      </w:r>
      <w:r w:rsidR="00767B92">
        <w:t>Personnel Security Division (</w:t>
      </w:r>
      <w:r>
        <w:t>PSD</w:t>
      </w:r>
      <w:r w:rsidR="00767B92">
        <w:t>)</w:t>
      </w:r>
      <w:r>
        <w:t xml:space="preserve"> </w:t>
      </w:r>
      <w:r w:rsidR="00E55109">
        <w:t>staff</w:t>
      </w:r>
      <w:r>
        <w:t xml:space="preserve"> will</w:t>
      </w:r>
      <w:r>
        <w:t xml:space="preserve"> email the form to the respondent</w:t>
      </w:r>
      <w:r w:rsidR="00A15F17">
        <w:t xml:space="preserve"> and request feedback regarding </w:t>
      </w:r>
      <w:r>
        <w:t xml:space="preserve">a </w:t>
      </w:r>
      <w:r w:rsidR="00A15F17">
        <w:t xml:space="preserve">recent interview with </w:t>
      </w:r>
      <w:r>
        <w:t xml:space="preserve">an ATF </w:t>
      </w:r>
      <w:r w:rsidR="00605F61">
        <w:t xml:space="preserve">contract </w:t>
      </w:r>
      <w:r w:rsidR="00A15F17">
        <w:t>investigator</w:t>
      </w:r>
      <w:r>
        <w:t xml:space="preserve">. </w:t>
      </w:r>
      <w:r w:rsidR="00E55109">
        <w:t xml:space="preserve"> </w:t>
      </w:r>
      <w:r>
        <w:t>Once respondent</w:t>
      </w:r>
      <w:r w:rsidR="00E55109">
        <w:t>s</w:t>
      </w:r>
      <w:r>
        <w:t xml:space="preserve"> </w:t>
      </w:r>
      <w:r w:rsidR="00605F61">
        <w:t xml:space="preserve">electronically </w:t>
      </w:r>
      <w:r>
        <w:t xml:space="preserve">complete the survey, </w:t>
      </w:r>
      <w:r w:rsidR="00E55109">
        <w:t>they</w:t>
      </w:r>
      <w:r>
        <w:t xml:space="preserve"> will submit the form via email to </w:t>
      </w:r>
      <w:r>
        <w:t xml:space="preserve">the </w:t>
      </w:r>
      <w:r w:rsidR="00767B92">
        <w:t>designated</w:t>
      </w:r>
      <w:r>
        <w:t xml:space="preserve"> ATF email </w:t>
      </w:r>
      <w:r w:rsidR="00767B92">
        <w:t>inbox</w:t>
      </w:r>
      <w:r>
        <w:t xml:space="preserve">. </w:t>
      </w:r>
    </w:p>
    <w:p w:rsidR="00FB1648" w:rsidP="00967650" w14:paraId="5D38CB0C" w14:textId="77777777">
      <w:pPr>
        <w:ind w:left="720" w:hanging="720"/>
      </w:pPr>
    </w:p>
    <w:p w:rsidR="006D71EE" w:rsidRPr="007678FD" w:rsidP="00DD5597" w14:paraId="66D265A5" w14:textId="77777777">
      <w:pPr>
        <w:pStyle w:val="Heading4"/>
        <w:ind w:left="360" w:hanging="360"/>
      </w:pPr>
      <w:r w:rsidRPr="001C2767">
        <w:rPr>
          <w:u w:val="none"/>
        </w:rPr>
        <w:t>4.</w:t>
      </w:r>
      <w:r w:rsidRPr="001C2767">
        <w:rPr>
          <w:u w:val="none"/>
        </w:rPr>
        <w:tab/>
      </w:r>
      <w:r w:rsidRPr="00BA4800">
        <w:t>Efforts to Identify Duplication</w:t>
      </w:r>
    </w:p>
    <w:p w:rsidR="00F82889" w:rsidRPr="007678FD" w:rsidP="00967650" w14:paraId="3092666D" w14:textId="77777777">
      <w:pPr>
        <w:ind w:left="720" w:hanging="720"/>
      </w:pPr>
    </w:p>
    <w:p w:rsidR="006D71EE" w:rsidP="00967650" w14:paraId="7B702442" w14:textId="77777777">
      <w:pPr>
        <w:ind w:left="720"/>
      </w:pPr>
      <w:r>
        <w:t>ATF uses a uniform subject classification system to identify duplication and to ensure that any similar information already available cannot be used or modified for use for the purpose of this information collection.</w:t>
      </w:r>
    </w:p>
    <w:p w:rsidR="003A17B0" w:rsidRPr="003A17B0" w:rsidP="00967650" w14:paraId="182BEED1" w14:textId="77777777">
      <w:pPr>
        <w:ind w:left="720" w:hanging="720"/>
      </w:pPr>
    </w:p>
    <w:p w:rsidR="006D71EE" w:rsidRPr="007678FD" w:rsidP="00DD5597" w14:paraId="68757EB2" w14:textId="77777777">
      <w:pPr>
        <w:pStyle w:val="Heading4"/>
        <w:ind w:left="360" w:hanging="360"/>
      </w:pPr>
      <w:r w:rsidRPr="001C2767">
        <w:rPr>
          <w:u w:val="none"/>
        </w:rPr>
        <w:t xml:space="preserve"> </w:t>
      </w:r>
      <w:r w:rsidRPr="001C2767">
        <w:rPr>
          <w:u w:val="none"/>
        </w:rPr>
        <w:t>5.</w:t>
      </w:r>
      <w:r w:rsidRPr="001C2767">
        <w:rPr>
          <w:u w:val="none"/>
        </w:rPr>
        <w:tab/>
      </w:r>
      <w:r w:rsidRPr="007678FD">
        <w:t>Minimizing Burden on Small Businesses</w:t>
      </w:r>
    </w:p>
    <w:p w:rsidR="006D71EE" w:rsidRPr="007678FD" w:rsidP="00967650" w14:paraId="7E8A6A65" w14:textId="77777777">
      <w:pPr>
        <w:ind w:left="720" w:hanging="720"/>
      </w:pPr>
    </w:p>
    <w:p w:rsidR="00D06D76" w:rsidP="00967650" w14:paraId="1F20AEF0" w14:textId="6B9DF19C">
      <w:pPr>
        <w:ind w:left="720"/>
      </w:pPr>
      <w:r w:rsidRPr="007678FD">
        <w:t xml:space="preserve">This information collection has no effect on small businesses. </w:t>
      </w:r>
      <w:r w:rsidR="00E55109">
        <w:t xml:space="preserve"> </w:t>
      </w:r>
      <w:r w:rsidRPr="007678FD">
        <w:t xml:space="preserve">The information sought is </w:t>
      </w:r>
      <w:r w:rsidR="0012236B">
        <w:t xml:space="preserve">in response to </w:t>
      </w:r>
      <w:r w:rsidR="00767B92">
        <w:t xml:space="preserve">a voluntary </w:t>
      </w:r>
      <w:r w:rsidR="00FF0952">
        <w:t xml:space="preserve">interview in which </w:t>
      </w:r>
      <w:r w:rsidR="00783211">
        <w:t xml:space="preserve">an individual </w:t>
      </w:r>
      <w:r w:rsidR="00FF0952">
        <w:t>participated</w:t>
      </w:r>
      <w:r w:rsidR="00767B92">
        <w:t xml:space="preserve"> during </w:t>
      </w:r>
      <w:r w:rsidR="0007000B">
        <w:t xml:space="preserve">a </w:t>
      </w:r>
      <w:r w:rsidR="00F12EE4">
        <w:t>f</w:t>
      </w:r>
      <w:r w:rsidR="00FF0952">
        <w:t xml:space="preserve">ederal </w:t>
      </w:r>
      <w:r w:rsidR="00D64555">
        <w:t>BI</w:t>
      </w:r>
      <w:r w:rsidR="00FF0952">
        <w:t xml:space="preserve">. </w:t>
      </w:r>
      <w:r w:rsidR="00E55109">
        <w:t xml:space="preserve"> </w:t>
      </w:r>
      <w:r w:rsidR="00FE0097">
        <w:t>The</w:t>
      </w:r>
      <w:r w:rsidRPr="007678FD">
        <w:t xml:space="preserve"> purpose of </w:t>
      </w:r>
      <w:r w:rsidR="00FE0097">
        <w:t xml:space="preserve">creating a record is to document </w:t>
      </w:r>
      <w:r w:rsidR="00FF0952">
        <w:t>contractors’ performance while conducting their investigative duties.</w:t>
      </w:r>
    </w:p>
    <w:p w:rsidR="00296055" w:rsidRPr="007678FD" w:rsidP="00C742C9" w14:paraId="43E3E59C" w14:textId="77777777">
      <w:r w:rsidRPr="007678FD">
        <w:t xml:space="preserve"> </w:t>
      </w:r>
    </w:p>
    <w:p w:rsidR="006D71EE" w:rsidRPr="00D06D76" w:rsidP="00DD5597" w14:paraId="18EC62E6" w14:textId="77777777">
      <w:pPr>
        <w:pStyle w:val="Heading4"/>
        <w:ind w:left="360" w:hanging="360"/>
        <w:rPr>
          <w:u w:val="none"/>
        </w:rPr>
      </w:pPr>
      <w:r w:rsidRPr="001C2767">
        <w:rPr>
          <w:u w:val="none"/>
        </w:rPr>
        <w:t>6.</w:t>
      </w:r>
      <w:r w:rsidRPr="001C2767">
        <w:rPr>
          <w:u w:val="none"/>
        </w:rPr>
        <w:tab/>
      </w:r>
      <w:r w:rsidRPr="007678FD">
        <w:t>Consequences of Not Conducting or Less Frequent Collection</w:t>
      </w:r>
    </w:p>
    <w:p w:rsidR="00296055" w:rsidRPr="007678FD" w:rsidP="00967650" w14:paraId="3F9AC122" w14:textId="77777777">
      <w:pPr>
        <w:ind w:left="720" w:hanging="720"/>
      </w:pPr>
    </w:p>
    <w:p w:rsidR="00C07473" w:rsidP="00967650" w14:paraId="2EF01C4E" w14:textId="4352E1A0">
      <w:pPr>
        <w:ind w:left="720"/>
      </w:pPr>
      <w:r>
        <w:t xml:space="preserve">ATF utilizes contract investigators to conduct security/suitability investigations </w:t>
      </w:r>
      <w:r w:rsidR="0007000B">
        <w:t xml:space="preserve">about </w:t>
      </w:r>
      <w:r>
        <w:t xml:space="preserve">prospective or current </w:t>
      </w:r>
      <w:r w:rsidR="0007000B">
        <w:t xml:space="preserve">ATF </w:t>
      </w:r>
      <w:r>
        <w:t xml:space="preserve">employees, as well as those contractors and consultants doing business with ATF. </w:t>
      </w:r>
      <w:r w:rsidR="00E55109">
        <w:t xml:space="preserve"> </w:t>
      </w:r>
      <w:r>
        <w:t xml:space="preserve">The use of contract investigators </w:t>
      </w:r>
      <w:r w:rsidR="008374D2">
        <w:t>to conduct</w:t>
      </w:r>
      <w:r w:rsidRPr="008374D2" w:rsidR="008374D2">
        <w:t xml:space="preserve"> </w:t>
      </w:r>
      <w:r w:rsidR="008374D2">
        <w:t xml:space="preserve">personnel security/suitability interviews allows </w:t>
      </w:r>
      <w:r>
        <w:t xml:space="preserve">ATF to </w:t>
      </w:r>
      <w:r w:rsidR="008374D2">
        <w:t>dedicate</w:t>
      </w:r>
      <w:r w:rsidR="009A1EDF">
        <w:t xml:space="preserve"> its</w:t>
      </w:r>
      <w:r w:rsidR="008374D2">
        <w:t xml:space="preserve"> </w:t>
      </w:r>
      <w:r w:rsidR="00F12EE4">
        <w:t>f</w:t>
      </w:r>
      <w:r w:rsidR="00767B92">
        <w:t>ederal</w:t>
      </w:r>
      <w:r w:rsidR="008508B5">
        <w:t xml:space="preserve"> employment</w:t>
      </w:r>
      <w:r w:rsidR="00767B92">
        <w:t xml:space="preserve"> investigators </w:t>
      </w:r>
      <w:r>
        <w:t xml:space="preserve">to combat crime. </w:t>
      </w:r>
      <w:r w:rsidR="00E55109">
        <w:t xml:space="preserve"> </w:t>
      </w:r>
      <w:r w:rsidR="008374D2">
        <w:t xml:space="preserve">Without this </w:t>
      </w:r>
      <w:r>
        <w:t>information collection</w:t>
      </w:r>
      <w:r>
        <w:t xml:space="preserve">, ATF would be unable to obtain public feedback about </w:t>
      </w:r>
      <w:r>
        <w:t>personnel security/suitability investigations</w:t>
      </w:r>
      <w:r>
        <w:t>.</w:t>
      </w:r>
    </w:p>
    <w:p w:rsidR="003C75A6" w:rsidP="00967650" w14:paraId="4C7AA5D7" w14:textId="77777777">
      <w:pPr>
        <w:ind w:left="720" w:hanging="720"/>
      </w:pPr>
    </w:p>
    <w:p w:rsidR="006D71EE" w:rsidRPr="00513019" w:rsidP="00DD5597" w14:paraId="18390A37" w14:textId="77777777">
      <w:pPr>
        <w:pStyle w:val="Heading4"/>
        <w:ind w:left="360" w:hanging="360"/>
      </w:pPr>
      <w:r w:rsidRPr="001C2767">
        <w:rPr>
          <w:u w:val="none"/>
        </w:rPr>
        <w:t>7.</w:t>
      </w:r>
      <w:r w:rsidRPr="001C2767">
        <w:rPr>
          <w:u w:val="none"/>
        </w:rPr>
        <w:tab/>
      </w:r>
      <w:r w:rsidRPr="00513019">
        <w:t>Special Circumstances</w:t>
      </w:r>
    </w:p>
    <w:p w:rsidR="006D71EE" w:rsidRPr="00513019" w:rsidP="00967650" w14:paraId="5F49A30A" w14:textId="77777777">
      <w:pPr>
        <w:ind w:left="720" w:hanging="720"/>
      </w:pPr>
    </w:p>
    <w:p w:rsidR="004111B7" w:rsidP="00967650" w14:paraId="2700A647" w14:textId="5BEE7010">
      <w:pPr>
        <w:ind w:left="720"/>
      </w:pPr>
      <w:r w:rsidRPr="00513019">
        <w:t xml:space="preserve">This information collection requirement is consistent with the intent of </w:t>
      </w:r>
      <w:r>
        <w:t xml:space="preserve">the MOU requiring that ATF implement an </w:t>
      </w:r>
      <w:r w:rsidR="0064727E">
        <w:t>"Investigator Integrity Follow</w:t>
      </w:r>
      <w:r w:rsidR="0064727E">
        <w:noBreakHyphen/>
        <w:t>up Program</w:t>
      </w:r>
      <w:r w:rsidR="00C07473">
        <w:t>,</w:t>
      </w:r>
      <w:r w:rsidR="0064727E">
        <w:t xml:space="preserve">" to ensure that contract investigators are conducting investigations in accordance with the 2012 Federal Investigative Standards. </w:t>
      </w:r>
      <w:r w:rsidR="00E55109">
        <w:t xml:space="preserve"> </w:t>
      </w:r>
      <w:r w:rsidR="00C07473">
        <w:t xml:space="preserve">Respondents may </w:t>
      </w:r>
      <w:r>
        <w:t>voluntar</w:t>
      </w:r>
      <w:r w:rsidR="00C07473">
        <w:t>il</w:t>
      </w:r>
      <w:r>
        <w:t>y</w:t>
      </w:r>
      <w:r w:rsidR="00C07473">
        <w:t xml:space="preserve"> participate in this survey</w:t>
      </w:r>
      <w:r w:rsidR="00E61D70">
        <w:t xml:space="preserve">. </w:t>
      </w:r>
      <w:r w:rsidR="00E55109">
        <w:t xml:space="preserve"> </w:t>
      </w:r>
      <w:r w:rsidR="00E61D70">
        <w:t>T</w:t>
      </w:r>
      <w:r>
        <w:t>here are no</w:t>
      </w:r>
      <w:r w:rsidR="00C07473">
        <w:t xml:space="preserve"> special</w:t>
      </w:r>
      <w:r>
        <w:t xml:space="preserve"> circumstances caus</w:t>
      </w:r>
      <w:r w:rsidR="00C07473">
        <w:t>ing</w:t>
      </w:r>
      <w:r>
        <w:t xml:space="preserve"> </w:t>
      </w:r>
      <w:r w:rsidR="00C07473">
        <w:t xml:space="preserve">this </w:t>
      </w:r>
      <w:r>
        <w:t>information collection to be conducted in</w:t>
      </w:r>
      <w:r w:rsidR="00C07473">
        <w:t xml:space="preserve"> </w:t>
      </w:r>
      <w:r w:rsidR="009A1EDF">
        <w:t xml:space="preserve">a </w:t>
      </w:r>
      <w:r w:rsidR="00C07473">
        <w:t>different</w:t>
      </w:r>
      <w:r>
        <w:t xml:space="preserve"> manner</w:t>
      </w:r>
      <w:r w:rsidR="00C07473">
        <w:t xml:space="preserve">, </w:t>
      </w:r>
      <w:r w:rsidR="00767B92">
        <w:t>including but not limited to</w:t>
      </w:r>
      <w:r>
        <w:t>:</w:t>
      </w:r>
    </w:p>
    <w:p w:rsidR="004111B7" w:rsidP="00967650" w14:paraId="5EF7BDFE" w14:textId="77777777">
      <w:pPr>
        <w:ind w:left="720" w:hanging="720"/>
      </w:pPr>
    </w:p>
    <w:p w:rsidR="004111B7" w:rsidP="00DD5597" w14:paraId="6140AF0F" w14:textId="77777777">
      <w:pPr>
        <w:pStyle w:val="ListParagraph"/>
        <w:numPr>
          <w:ilvl w:val="0"/>
          <w:numId w:val="1"/>
        </w:numPr>
        <w:ind w:left="1440"/>
      </w:pPr>
      <w:r>
        <w:t>Requiring respondents to report information to ATF more often than quarterly;</w:t>
      </w:r>
    </w:p>
    <w:p w:rsidR="004111B7" w:rsidP="00DD5597" w14:paraId="0988C0F9" w14:textId="77777777">
      <w:pPr>
        <w:pStyle w:val="ListParagraph"/>
        <w:numPr>
          <w:ilvl w:val="0"/>
          <w:numId w:val="1"/>
        </w:numPr>
        <w:ind w:left="1440"/>
      </w:pPr>
      <w:r>
        <w:t>Requiring respondents to prepare a written response in fewer than 30 days after receipt of the questionnaire;</w:t>
      </w:r>
    </w:p>
    <w:p w:rsidR="004111B7" w:rsidP="00DD5597" w14:paraId="5E5FC0DC" w14:textId="77777777">
      <w:pPr>
        <w:pStyle w:val="ListParagraph"/>
        <w:numPr>
          <w:ilvl w:val="0"/>
          <w:numId w:val="1"/>
        </w:numPr>
        <w:ind w:left="1440"/>
      </w:pPr>
      <w:r>
        <w:t>Requiring respondents to submit more than an original of any document;</w:t>
      </w:r>
    </w:p>
    <w:p w:rsidR="004111B7" w:rsidP="00DD5597" w14:paraId="1A769ECD" w14:textId="77777777">
      <w:pPr>
        <w:pStyle w:val="ListParagraph"/>
        <w:numPr>
          <w:ilvl w:val="0"/>
          <w:numId w:val="1"/>
        </w:numPr>
        <w:ind w:left="1440"/>
      </w:pPr>
      <w:r>
        <w:t>Requiring respondents to retain any records;</w:t>
      </w:r>
    </w:p>
    <w:p w:rsidR="004111B7" w:rsidP="00DD5597" w14:paraId="53B6E102" w14:textId="77777777">
      <w:pPr>
        <w:pStyle w:val="ListParagraph"/>
        <w:numPr>
          <w:ilvl w:val="0"/>
          <w:numId w:val="1"/>
        </w:numPr>
        <w:ind w:left="1440"/>
      </w:pPr>
      <w:r>
        <w:t>Requiring the use of any statistical data;</w:t>
      </w:r>
    </w:p>
    <w:p w:rsidR="004111B7" w:rsidP="00DD5597" w14:paraId="29E2EEF5" w14:textId="77777777">
      <w:pPr>
        <w:pStyle w:val="ListParagraph"/>
        <w:numPr>
          <w:ilvl w:val="0"/>
          <w:numId w:val="1"/>
        </w:numPr>
        <w:ind w:left="1440"/>
      </w:pPr>
      <w:r>
        <w:t>Requiring any pledge of confidentiality; or</w:t>
      </w:r>
    </w:p>
    <w:p w:rsidR="004111B7" w:rsidP="00DD5597" w14:paraId="01F5EFB2" w14:textId="77777777">
      <w:pPr>
        <w:pStyle w:val="ListParagraph"/>
        <w:numPr>
          <w:ilvl w:val="0"/>
          <w:numId w:val="1"/>
        </w:numPr>
        <w:ind w:left="1440"/>
      </w:pPr>
      <w:r>
        <w:t>Requiring respondents to submit any proprietary or trade secrets.</w:t>
      </w:r>
    </w:p>
    <w:p w:rsidR="00164423" w:rsidRPr="007678FD" w:rsidP="00E45F99" w14:paraId="52F9261A" w14:textId="77777777">
      <w:pPr>
        <w:ind w:hanging="720"/>
      </w:pPr>
    </w:p>
    <w:p w:rsidR="006D71EE" w:rsidRPr="00C214B1" w:rsidP="00DD5597" w14:paraId="3B379441" w14:textId="77777777">
      <w:pPr>
        <w:pStyle w:val="Heading4"/>
        <w:ind w:left="360" w:hanging="360"/>
      </w:pPr>
      <w:r w:rsidRPr="001C2767">
        <w:rPr>
          <w:u w:val="none"/>
        </w:rPr>
        <w:t>8.</w:t>
      </w:r>
      <w:r w:rsidRPr="001C2767">
        <w:rPr>
          <w:u w:val="none"/>
        </w:rPr>
        <w:tab/>
      </w:r>
      <w:r w:rsidRPr="00C214B1">
        <w:t>Public Comments and Consultations</w:t>
      </w:r>
    </w:p>
    <w:p w:rsidR="00700B81" w:rsidRPr="00C214B1" w:rsidP="00E45F99" w14:paraId="5E3F662A" w14:textId="77777777">
      <w:pPr>
        <w:ind w:left="720" w:hanging="720"/>
      </w:pPr>
    </w:p>
    <w:p w:rsidR="006D71EE" w:rsidP="00E45F99" w14:paraId="413F5052" w14:textId="61B881D5">
      <w:pPr>
        <w:ind w:left="720"/>
      </w:pPr>
      <w:r>
        <w:t>OPM representatives were consulted during the creation of this information collection.</w:t>
      </w:r>
      <w:r w:rsidR="00D42C4E">
        <w:t xml:space="preserve"> </w:t>
      </w:r>
      <w:r w:rsidR="00C07473">
        <w:t xml:space="preserve"> Both</w:t>
      </w:r>
      <w:r>
        <w:t xml:space="preserve"> </w:t>
      </w:r>
      <w:r w:rsidR="00C07473">
        <w:t>a</w:t>
      </w:r>
      <w:r w:rsidRPr="00C214B1" w:rsidR="005B6432">
        <w:t xml:space="preserve"> 60-day and</w:t>
      </w:r>
      <w:r w:rsidRPr="00C214B1" w:rsidR="00702138">
        <w:t xml:space="preserve"> </w:t>
      </w:r>
      <w:r w:rsidRPr="00C214B1" w:rsidR="005B6432">
        <w:t xml:space="preserve">30-day notice </w:t>
      </w:r>
      <w:r w:rsidRPr="00C214B1" w:rsidR="00721481">
        <w:t xml:space="preserve">will be </w:t>
      </w:r>
      <w:r w:rsidRPr="00C214B1" w:rsidR="00E32750">
        <w:t>published in the Federal Register</w:t>
      </w:r>
      <w:r w:rsidRPr="00C214B1" w:rsidR="00721481">
        <w:t xml:space="preserve"> to solicit </w:t>
      </w:r>
      <w:r w:rsidR="00767B92">
        <w:t xml:space="preserve">public </w:t>
      </w:r>
      <w:r w:rsidRPr="00C214B1" w:rsidR="00721481">
        <w:t>comments</w:t>
      </w:r>
      <w:r w:rsidRPr="00C214B1" w:rsidR="00E32750">
        <w:t>.</w:t>
      </w:r>
      <w:r w:rsidRPr="007678FD" w:rsidR="00D06D76">
        <w:t xml:space="preserve"> </w:t>
      </w:r>
    </w:p>
    <w:p w:rsidR="00D06D76" w:rsidRPr="007678FD" w:rsidP="00C742C9" w14:paraId="34F92551" w14:textId="77777777"/>
    <w:p w:rsidR="006D71EE" w:rsidRPr="007678FD" w:rsidP="00DD5597" w14:paraId="551971DC" w14:textId="77777777">
      <w:pPr>
        <w:pStyle w:val="Heading4"/>
        <w:ind w:left="360" w:hanging="360"/>
      </w:pPr>
      <w:r w:rsidRPr="001C2767">
        <w:rPr>
          <w:u w:val="none"/>
        </w:rPr>
        <w:t>9.</w:t>
      </w:r>
      <w:r w:rsidRPr="001C2767">
        <w:rPr>
          <w:u w:val="none"/>
        </w:rPr>
        <w:tab/>
      </w:r>
      <w:r w:rsidRPr="007678FD">
        <w:t>Provision of Payments or Gifts to Respondents</w:t>
      </w:r>
    </w:p>
    <w:p w:rsidR="00700B81" w:rsidRPr="007678FD" w:rsidP="00E45F99" w14:paraId="4C31F22B" w14:textId="77777777">
      <w:pPr>
        <w:ind w:left="720" w:hanging="720"/>
      </w:pPr>
    </w:p>
    <w:p w:rsidR="00700B81" w:rsidP="00E45F99" w14:paraId="33242F04" w14:textId="77777777">
      <w:pPr>
        <w:ind w:left="720"/>
      </w:pPr>
      <w:r w:rsidRPr="007678FD">
        <w:t xml:space="preserve">No </w:t>
      </w:r>
      <w:r w:rsidR="00E97372">
        <w:t xml:space="preserve">decision of </w:t>
      </w:r>
      <w:r w:rsidRPr="007678FD">
        <w:t xml:space="preserve">payment or gift is associated with this </w:t>
      </w:r>
      <w:r w:rsidR="00932738">
        <w:t xml:space="preserve">information </w:t>
      </w:r>
      <w:r w:rsidRPr="007678FD">
        <w:t>collection.</w:t>
      </w:r>
    </w:p>
    <w:p w:rsidR="004A2D83" w:rsidRPr="007678FD" w:rsidP="00E45F99" w14:paraId="0E2C8CAA" w14:textId="77777777">
      <w:pPr>
        <w:ind w:left="720" w:hanging="720"/>
      </w:pPr>
    </w:p>
    <w:p w:rsidR="006D71EE" w:rsidRPr="007678FD" w:rsidP="00DD5597" w14:paraId="5E1D11EC" w14:textId="77777777">
      <w:pPr>
        <w:pStyle w:val="Heading4"/>
        <w:ind w:left="360" w:hanging="360"/>
      </w:pPr>
      <w:r w:rsidRPr="001C2767">
        <w:rPr>
          <w:u w:val="none"/>
        </w:rPr>
        <w:t>1</w:t>
      </w:r>
      <w:r w:rsidRPr="001C2767" w:rsidR="007F4EE7">
        <w:rPr>
          <w:u w:val="none"/>
        </w:rPr>
        <w:t>0.</w:t>
      </w:r>
      <w:r w:rsidRPr="001C2767" w:rsidR="007F4EE7">
        <w:rPr>
          <w:u w:val="none"/>
        </w:rPr>
        <w:tab/>
      </w:r>
      <w:r w:rsidRPr="007678FD" w:rsidR="007F4EE7">
        <w:t>Assurance of Confidentiality</w:t>
      </w:r>
    </w:p>
    <w:p w:rsidR="00700B81" w:rsidRPr="007678FD" w:rsidP="00E45F99" w14:paraId="1C458578" w14:textId="77777777">
      <w:pPr>
        <w:ind w:left="720" w:hanging="720"/>
      </w:pPr>
    </w:p>
    <w:p w:rsidR="00D06D76" w:rsidP="00E45F99" w14:paraId="321E144D" w14:textId="7E59AD9B">
      <w:pPr>
        <w:ind w:left="720"/>
      </w:pPr>
      <w:r>
        <w:t xml:space="preserve">Confidentiality is not assured. </w:t>
      </w:r>
      <w:r w:rsidR="00D42C4E">
        <w:t xml:space="preserve"> </w:t>
      </w:r>
      <w:r w:rsidRPr="007678FD" w:rsidR="00134EF3">
        <w:t xml:space="preserve">Information collected by </w:t>
      </w:r>
      <w:r w:rsidR="00C3667E">
        <w:t xml:space="preserve">the </w:t>
      </w:r>
      <w:r w:rsidRPr="007678FD" w:rsidR="0039125C">
        <w:t>PS</w:t>
      </w:r>
      <w:r w:rsidR="00C3667E">
        <w:t>D</w:t>
      </w:r>
      <w:r w:rsidRPr="007678FD" w:rsidR="00134EF3">
        <w:t xml:space="preserve"> is protected by the Privacy Act of 1974 and </w:t>
      </w:r>
      <w:r w:rsidR="00767B92">
        <w:t>will</w:t>
      </w:r>
      <w:r w:rsidRPr="007678FD" w:rsidR="00767B92">
        <w:t xml:space="preserve"> </w:t>
      </w:r>
      <w:r w:rsidRPr="007678FD" w:rsidR="00134EF3">
        <w:t>not be released to outside parties</w:t>
      </w:r>
      <w:r w:rsidR="009F7A76">
        <w:t>, unless authorized as set forth</w:t>
      </w:r>
      <w:r w:rsidR="00600547">
        <w:t xml:space="preserve"> in the </w:t>
      </w:r>
      <w:r w:rsidRPr="007678FD" w:rsidR="00134EF3">
        <w:t>Privacy Act of 1974.</w:t>
      </w:r>
      <w:r w:rsidRPr="007678FD" w:rsidR="00807D16">
        <w:t xml:space="preserve"> </w:t>
      </w:r>
    </w:p>
    <w:p w:rsidR="00D06D76" w:rsidP="00E45F99" w14:paraId="46FDA14B" w14:textId="77777777">
      <w:pPr>
        <w:ind w:left="720" w:hanging="720"/>
      </w:pPr>
    </w:p>
    <w:p w:rsidR="007F4EE7" w:rsidRPr="007678FD" w:rsidP="00DD5597" w14:paraId="0B21937D" w14:textId="77777777">
      <w:pPr>
        <w:pStyle w:val="Heading4"/>
        <w:ind w:left="360" w:hanging="360"/>
      </w:pPr>
      <w:r w:rsidRPr="001C2767">
        <w:rPr>
          <w:u w:val="none"/>
        </w:rPr>
        <w:t>11.</w:t>
      </w:r>
      <w:r w:rsidRPr="001C2767">
        <w:rPr>
          <w:u w:val="none"/>
        </w:rPr>
        <w:tab/>
      </w:r>
      <w:r w:rsidRPr="007678FD">
        <w:t>Justification for Sensitive Questions</w:t>
      </w:r>
    </w:p>
    <w:p w:rsidR="002D152E" w:rsidRPr="007678FD" w:rsidP="00E45F99" w14:paraId="2223E2B3" w14:textId="77777777">
      <w:pPr>
        <w:ind w:left="720" w:hanging="720"/>
      </w:pPr>
    </w:p>
    <w:p w:rsidR="002F3FD9" w:rsidP="00E45F99" w14:paraId="55BCC105" w14:textId="5165FC5B">
      <w:pPr>
        <w:ind w:left="720"/>
      </w:pPr>
      <w:r>
        <w:t>The survey does not include q</w:t>
      </w:r>
      <w:r>
        <w:t xml:space="preserve">uestions of a sensitive nature. </w:t>
      </w:r>
      <w:r w:rsidR="00D42C4E">
        <w:t xml:space="preserve"> </w:t>
      </w:r>
      <w:r w:rsidR="00933512">
        <w:t xml:space="preserve">However, questions </w:t>
      </w:r>
      <w:r w:rsidR="00313918">
        <w:t>concerning</w:t>
      </w:r>
      <w:r>
        <w:t xml:space="preserve"> the behavior and degree of professionalism </w:t>
      </w:r>
      <w:r w:rsidR="00313918">
        <w:t xml:space="preserve">of </w:t>
      </w:r>
      <w:r>
        <w:t>the</w:t>
      </w:r>
      <w:r>
        <w:t xml:space="preserve"> contract investigator</w:t>
      </w:r>
      <w:r w:rsidR="00313918">
        <w:t xml:space="preserve"> are asked</w:t>
      </w:r>
      <w:r>
        <w:t xml:space="preserve">. </w:t>
      </w:r>
    </w:p>
    <w:p w:rsidR="002D152E" w:rsidP="00E45F99" w14:paraId="4545CE68" w14:textId="77777777">
      <w:pPr>
        <w:ind w:left="720" w:hanging="720"/>
      </w:pPr>
    </w:p>
    <w:p w:rsidR="007F4EE7" w:rsidRPr="00956C61" w:rsidP="00DD5597" w14:paraId="220C53B5" w14:textId="77777777">
      <w:pPr>
        <w:pStyle w:val="Heading4"/>
        <w:ind w:left="360" w:hanging="360"/>
      </w:pPr>
      <w:r w:rsidRPr="001C2767">
        <w:rPr>
          <w:u w:val="none"/>
        </w:rPr>
        <w:t>12.</w:t>
      </w:r>
      <w:r w:rsidRPr="001C2767">
        <w:rPr>
          <w:u w:val="none"/>
        </w:rPr>
        <w:tab/>
      </w:r>
      <w:r w:rsidRPr="00956C61">
        <w:t>Estimate of Respondent’s Burden</w:t>
      </w:r>
    </w:p>
    <w:p w:rsidR="007F4EE7" w:rsidRPr="00956C61" w:rsidP="00E45F99" w14:paraId="4DF41E1F" w14:textId="77777777">
      <w:pPr>
        <w:ind w:left="720" w:hanging="720"/>
      </w:pPr>
    </w:p>
    <w:p w:rsidR="003B6D98" w:rsidP="00E45F99" w14:paraId="29345D29" w14:textId="46D2FA49">
      <w:pPr>
        <w:ind w:left="720"/>
      </w:pPr>
      <w:r w:rsidRPr="00956C61">
        <w:t xml:space="preserve">It is anticipated that </w:t>
      </w:r>
      <w:r w:rsidR="0087496F">
        <w:t>2,500</w:t>
      </w:r>
      <w:r w:rsidRPr="00956C61">
        <w:t xml:space="preserve"> respondents will complete this form </w:t>
      </w:r>
      <w:r w:rsidR="00C07473">
        <w:t>annually</w:t>
      </w:r>
      <w:r w:rsidRPr="00956C61">
        <w:t>.</w:t>
      </w:r>
      <w:r w:rsidR="0087496F">
        <w:t xml:space="preserve"> </w:t>
      </w:r>
      <w:r w:rsidR="00D42C4E">
        <w:t xml:space="preserve"> </w:t>
      </w:r>
      <w:r w:rsidRPr="00956C61">
        <w:t xml:space="preserve">Each respondent will </w:t>
      </w:r>
      <w:r w:rsidR="00313918">
        <w:t>respond one time</w:t>
      </w:r>
      <w:r w:rsidR="003712C0">
        <w:t>.</w:t>
      </w:r>
      <w:r w:rsidRPr="00956C61">
        <w:t xml:space="preserve"> </w:t>
      </w:r>
      <w:r w:rsidR="00D42C4E">
        <w:t xml:space="preserve"> </w:t>
      </w:r>
      <w:r w:rsidRPr="00956C61">
        <w:t xml:space="preserve">It is estimated that it takes </w:t>
      </w:r>
      <w:r w:rsidR="0098305E">
        <w:t>5</w:t>
      </w:r>
      <w:r w:rsidRPr="00956C61">
        <w:t xml:space="preserve"> minutes to complete the form. </w:t>
      </w:r>
      <w:r w:rsidR="00D42C4E">
        <w:t xml:space="preserve"> </w:t>
      </w:r>
      <w:r w:rsidRPr="00956C61">
        <w:t xml:space="preserve">The total </w:t>
      </w:r>
      <w:r w:rsidR="006C7708">
        <w:t xml:space="preserve">number of annual </w:t>
      </w:r>
      <w:r w:rsidRPr="00956C61">
        <w:t xml:space="preserve">burden </w:t>
      </w:r>
      <w:r w:rsidR="006C7708">
        <w:t xml:space="preserve">hours </w:t>
      </w:r>
      <w:r w:rsidRPr="00956C61">
        <w:t xml:space="preserve">associated with this collection is </w:t>
      </w:r>
      <w:r w:rsidR="0098305E">
        <w:t>208</w:t>
      </w:r>
      <w:r w:rsidRPr="00956C61">
        <w:t xml:space="preserve"> hours.</w:t>
      </w:r>
      <w:r w:rsidR="00D06D76">
        <w:t xml:space="preserve"> </w:t>
      </w:r>
    </w:p>
    <w:p w:rsidR="00D06D76" w:rsidP="00E45F99" w14:paraId="58E6B5D3" w14:textId="77777777">
      <w:pPr>
        <w:ind w:left="720" w:hanging="720"/>
      </w:pPr>
    </w:p>
    <w:p w:rsidR="007F4EE7" w:rsidRPr="007678FD" w:rsidP="00DD5597" w14:paraId="25DA47E1" w14:textId="77777777">
      <w:pPr>
        <w:pStyle w:val="Heading4"/>
        <w:ind w:left="360" w:hanging="360"/>
      </w:pPr>
      <w:r w:rsidRPr="001C2767">
        <w:rPr>
          <w:u w:val="none"/>
        </w:rPr>
        <w:t>13.</w:t>
      </w:r>
      <w:r w:rsidRPr="001C2767">
        <w:rPr>
          <w:u w:val="none"/>
        </w:rPr>
        <w:tab/>
      </w:r>
      <w:r w:rsidRPr="007678FD">
        <w:t>Estimate of Cost Burden</w:t>
      </w:r>
    </w:p>
    <w:p w:rsidR="003B6D98" w:rsidRPr="007678FD" w:rsidP="00E45F99" w14:paraId="42044F9D" w14:textId="77777777">
      <w:pPr>
        <w:ind w:left="720" w:hanging="720"/>
      </w:pPr>
    </w:p>
    <w:p w:rsidR="003B6D98" w:rsidRPr="007678FD" w:rsidP="00E45F99" w14:paraId="3A6F21D0" w14:textId="77777777">
      <w:pPr>
        <w:ind w:left="720"/>
      </w:pPr>
      <w:r>
        <w:t>There is no new cost associated with this information collection since all requests will be electronically submitted.</w:t>
      </w:r>
    </w:p>
    <w:p w:rsidR="007F4EE7" w:rsidRPr="007678FD" w:rsidP="00C742C9" w14:paraId="5470F1FE" w14:textId="77777777"/>
    <w:p w:rsidR="007F4EE7" w:rsidRPr="007678FD" w:rsidP="00DD5597" w14:paraId="0C00776A" w14:textId="77777777">
      <w:pPr>
        <w:pStyle w:val="Heading4"/>
        <w:ind w:left="360" w:hanging="360"/>
      </w:pPr>
      <w:r w:rsidRPr="001C2767">
        <w:rPr>
          <w:u w:val="none"/>
        </w:rPr>
        <w:t>14.</w:t>
      </w:r>
      <w:r w:rsidRPr="001C2767">
        <w:rPr>
          <w:u w:val="none"/>
        </w:rPr>
        <w:tab/>
      </w:r>
      <w:r w:rsidRPr="007678FD">
        <w:t>Cost to Federal Government</w:t>
      </w:r>
    </w:p>
    <w:p w:rsidR="003B6D98" w:rsidRPr="007678FD" w:rsidP="00E45F99" w14:paraId="08F1E4B2" w14:textId="77777777">
      <w:pPr>
        <w:ind w:left="720" w:hanging="720"/>
      </w:pPr>
    </w:p>
    <w:p w:rsidR="00D06D76" w:rsidP="00E45F99" w14:paraId="42DF2335" w14:textId="77777777">
      <w:pPr>
        <w:ind w:left="720"/>
      </w:pPr>
      <w:r>
        <w:t>There is no cost to the Federal Government</w:t>
      </w:r>
      <w:r w:rsidRPr="007678FD" w:rsidR="003B6D98">
        <w:t xml:space="preserve">.  </w:t>
      </w:r>
    </w:p>
    <w:p w:rsidR="00025EDF" w:rsidP="00F45711" w14:paraId="06671C89" w14:textId="77777777"/>
    <w:p w:rsidR="007F4EE7" w:rsidRPr="00D06D76" w:rsidP="00DD5597" w14:paraId="055677FB" w14:textId="77777777">
      <w:pPr>
        <w:pStyle w:val="Heading4"/>
        <w:spacing w:before="0"/>
        <w:ind w:left="360" w:hanging="360"/>
        <w:rPr>
          <w:u w:val="none"/>
        </w:rPr>
      </w:pPr>
      <w:r w:rsidRPr="001C2767">
        <w:rPr>
          <w:u w:val="none"/>
        </w:rPr>
        <w:t>15.</w:t>
      </w:r>
      <w:r w:rsidRPr="001C2767">
        <w:rPr>
          <w:u w:val="none"/>
        </w:rPr>
        <w:tab/>
      </w:r>
      <w:r w:rsidRPr="007678FD">
        <w:t>Reason for Change in Burden</w:t>
      </w:r>
    </w:p>
    <w:p w:rsidR="003B6D98" w:rsidRPr="007678FD" w:rsidP="00E45F99" w14:paraId="614595D9" w14:textId="77777777">
      <w:pPr>
        <w:ind w:left="720" w:hanging="720"/>
      </w:pPr>
    </w:p>
    <w:p w:rsidR="007F4EE7" w:rsidP="00E45F99" w14:paraId="4592927A" w14:textId="77777777">
      <w:pPr>
        <w:ind w:left="720"/>
      </w:pPr>
      <w:r>
        <w:t>There are no program changes or adjustments associated with this collection.</w:t>
      </w:r>
      <w:r w:rsidRPr="007678FD" w:rsidR="00D06D76">
        <w:t xml:space="preserve"> </w:t>
      </w:r>
    </w:p>
    <w:p w:rsidR="00D06D76" w:rsidRPr="007678FD" w:rsidP="00C742C9" w14:paraId="230A3AB3" w14:textId="77777777"/>
    <w:p w:rsidR="007F4EE7" w:rsidRPr="000E04F2" w:rsidP="00DD5597" w14:paraId="5A7A997A" w14:textId="77777777">
      <w:pPr>
        <w:pStyle w:val="Heading4"/>
        <w:ind w:left="360" w:hanging="360"/>
      </w:pPr>
      <w:r w:rsidRPr="001C2767">
        <w:rPr>
          <w:u w:val="none"/>
        </w:rPr>
        <w:t>16.</w:t>
      </w:r>
      <w:r w:rsidRPr="001C2767">
        <w:rPr>
          <w:u w:val="none"/>
        </w:rPr>
        <w:tab/>
      </w:r>
      <w:r w:rsidRPr="000E04F2">
        <w:t>Anticipated Publication Plan and Schedule</w:t>
      </w:r>
    </w:p>
    <w:p w:rsidR="003B6D98" w:rsidRPr="000E04F2" w:rsidP="00E45F99" w14:paraId="2C5EBCDB" w14:textId="77777777">
      <w:pPr>
        <w:ind w:left="720" w:hanging="720"/>
      </w:pPr>
    </w:p>
    <w:p w:rsidR="003B6D98" w:rsidRPr="007678FD" w:rsidP="00E45F99" w14:paraId="497FE7BD" w14:textId="77777777">
      <w:pPr>
        <w:ind w:left="720"/>
      </w:pPr>
      <w:r w:rsidRPr="000E04F2">
        <w:t>ATF will not publish this information collection.</w:t>
      </w:r>
    </w:p>
    <w:p w:rsidR="007F4EE7" w:rsidRPr="007678FD" w:rsidP="00E45F99" w14:paraId="4AEA10C1" w14:textId="77777777">
      <w:pPr>
        <w:ind w:left="720" w:hanging="720"/>
      </w:pPr>
    </w:p>
    <w:p w:rsidR="007F4EE7" w:rsidRPr="007678FD" w:rsidP="00DD5597" w14:paraId="1091A6D0" w14:textId="77777777">
      <w:pPr>
        <w:pStyle w:val="Heading4"/>
        <w:ind w:left="360" w:hanging="360"/>
      </w:pPr>
      <w:r w:rsidRPr="001C2767">
        <w:rPr>
          <w:u w:val="none"/>
        </w:rPr>
        <w:t>17.</w:t>
      </w:r>
      <w:r w:rsidRPr="001C2767">
        <w:rPr>
          <w:u w:val="none"/>
        </w:rPr>
        <w:tab/>
      </w:r>
      <w:r w:rsidRPr="007678FD">
        <w:t>Display of Expiration Date</w:t>
      </w:r>
    </w:p>
    <w:p w:rsidR="007F4EE7" w:rsidRPr="007678FD" w:rsidP="00E45F99" w14:paraId="3EB94637" w14:textId="77777777">
      <w:pPr>
        <w:ind w:left="720" w:hanging="720"/>
      </w:pPr>
    </w:p>
    <w:p w:rsidR="003B6D98" w:rsidRPr="007678FD" w:rsidP="00E45F99" w14:paraId="64C77ED9" w14:textId="77777777">
      <w:pPr>
        <w:ind w:left="720"/>
      </w:pPr>
      <w:r w:rsidRPr="007678FD">
        <w:t>ATF is not requesting approval to omit the expiration date for this information collection.</w:t>
      </w:r>
    </w:p>
    <w:p w:rsidR="00D266E5" w:rsidRPr="007678FD" w:rsidP="00C742C9" w14:paraId="545A46FD" w14:textId="77777777"/>
    <w:p w:rsidR="007F4EE7" w:rsidRPr="007678FD" w:rsidP="00DD5597" w14:paraId="266230ED" w14:textId="77777777">
      <w:pPr>
        <w:pStyle w:val="Heading4"/>
        <w:ind w:left="360" w:hanging="360"/>
      </w:pPr>
      <w:r w:rsidRPr="001C2767">
        <w:rPr>
          <w:u w:val="none"/>
        </w:rPr>
        <w:t>18.</w:t>
      </w:r>
      <w:r w:rsidRPr="001C2767">
        <w:rPr>
          <w:u w:val="none"/>
        </w:rPr>
        <w:tab/>
      </w:r>
      <w:r w:rsidRPr="007678FD">
        <w:t>Exception to the Certification Statement</w:t>
      </w:r>
    </w:p>
    <w:p w:rsidR="003B6D98" w:rsidRPr="007678FD" w:rsidP="00E45F99" w14:paraId="1FFBC5D9" w14:textId="77777777">
      <w:pPr>
        <w:ind w:left="720" w:hanging="720"/>
      </w:pPr>
    </w:p>
    <w:p w:rsidR="003B6D98" w:rsidRPr="007678FD" w:rsidP="00E45F99" w14:paraId="18E1CFD4" w14:textId="77777777">
      <w:pPr>
        <w:ind w:left="720"/>
      </w:pPr>
      <w:r w:rsidRPr="007678FD">
        <w:t>There are no exceptions to the Certification Statement.</w:t>
      </w:r>
    </w:p>
    <w:p w:rsidR="00694463" w:rsidRPr="007678FD" w:rsidP="00E45F99" w14:paraId="29EEC21F" w14:textId="77777777">
      <w:pPr>
        <w:ind w:left="720" w:hanging="720"/>
      </w:pPr>
    </w:p>
    <w:p w:rsidR="00694463" w:rsidRPr="003B6D98" w:rsidP="000406DC" w14:paraId="33AC1427" w14:textId="1294C063">
      <w:pPr>
        <w:ind w:left="1530" w:hanging="810"/>
      </w:pPr>
    </w:p>
    <w:sectPr w:rsidSect="00025EDF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987B49"/>
    <w:multiLevelType w:val="hybridMultilevel"/>
    <w:tmpl w:val="C23AC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47FB7"/>
    <w:multiLevelType w:val="hybridMultilevel"/>
    <w:tmpl w:val="CB5AF722"/>
    <w:lvl w:ilvl="0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>
    <w:nsid w:val="3C6E1812"/>
    <w:multiLevelType w:val="hybridMultilevel"/>
    <w:tmpl w:val="11F64E24"/>
    <w:lvl w:ilvl="0">
      <w:start w:val="0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854645"/>
    <w:multiLevelType w:val="hybridMultilevel"/>
    <w:tmpl w:val="51466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41424"/>
    <w:multiLevelType w:val="hybridMultilevel"/>
    <w:tmpl w:val="CCE62E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66B71"/>
    <w:multiLevelType w:val="hybridMultilevel"/>
    <w:tmpl w:val="4EC42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00F33"/>
    <w:multiLevelType w:val="hybridMultilevel"/>
    <w:tmpl w:val="FB3CECB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19528884">
    <w:abstractNumId w:val="5"/>
  </w:num>
  <w:num w:numId="2" w16cid:durableId="1851990849">
    <w:abstractNumId w:val="2"/>
  </w:num>
  <w:num w:numId="3" w16cid:durableId="842552374">
    <w:abstractNumId w:val="6"/>
  </w:num>
  <w:num w:numId="4" w16cid:durableId="2097823536">
    <w:abstractNumId w:val="4"/>
  </w:num>
  <w:num w:numId="5" w16cid:durableId="1126657132">
    <w:abstractNumId w:val="0"/>
  </w:num>
  <w:num w:numId="6" w16cid:durableId="854196926">
    <w:abstractNumId w:val="3"/>
  </w:num>
  <w:num w:numId="7" w16cid:durableId="123392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EE"/>
    <w:rsid w:val="00004268"/>
    <w:rsid w:val="00004CB4"/>
    <w:rsid w:val="00007C00"/>
    <w:rsid w:val="000102B3"/>
    <w:rsid w:val="00014B29"/>
    <w:rsid w:val="00025EDF"/>
    <w:rsid w:val="000305B7"/>
    <w:rsid w:val="00030854"/>
    <w:rsid w:val="000406DC"/>
    <w:rsid w:val="000425AB"/>
    <w:rsid w:val="00042B6C"/>
    <w:rsid w:val="000452FC"/>
    <w:rsid w:val="00051E38"/>
    <w:rsid w:val="00054EF7"/>
    <w:rsid w:val="00054F26"/>
    <w:rsid w:val="000571FB"/>
    <w:rsid w:val="000617A6"/>
    <w:rsid w:val="00063C84"/>
    <w:rsid w:val="0006555F"/>
    <w:rsid w:val="000677B9"/>
    <w:rsid w:val="0007000B"/>
    <w:rsid w:val="000746CE"/>
    <w:rsid w:val="00076653"/>
    <w:rsid w:val="000811FD"/>
    <w:rsid w:val="00086A33"/>
    <w:rsid w:val="00086AB6"/>
    <w:rsid w:val="000872DC"/>
    <w:rsid w:val="00092496"/>
    <w:rsid w:val="0009669E"/>
    <w:rsid w:val="000A0DFB"/>
    <w:rsid w:val="000B7284"/>
    <w:rsid w:val="000C44BB"/>
    <w:rsid w:val="000E04F2"/>
    <w:rsid w:val="000E08EF"/>
    <w:rsid w:val="000E6CDE"/>
    <w:rsid w:val="000E77C7"/>
    <w:rsid w:val="00114D9B"/>
    <w:rsid w:val="00117219"/>
    <w:rsid w:val="001221FF"/>
    <w:rsid w:val="0012236B"/>
    <w:rsid w:val="00125720"/>
    <w:rsid w:val="001300D3"/>
    <w:rsid w:val="001311D0"/>
    <w:rsid w:val="00133E99"/>
    <w:rsid w:val="00134EF3"/>
    <w:rsid w:val="0013755B"/>
    <w:rsid w:val="00143220"/>
    <w:rsid w:val="001527FB"/>
    <w:rsid w:val="00154DCB"/>
    <w:rsid w:val="00156137"/>
    <w:rsid w:val="0016152F"/>
    <w:rsid w:val="00162DC0"/>
    <w:rsid w:val="00164423"/>
    <w:rsid w:val="00165A4F"/>
    <w:rsid w:val="00167F1B"/>
    <w:rsid w:val="00171C41"/>
    <w:rsid w:val="00172703"/>
    <w:rsid w:val="0017502F"/>
    <w:rsid w:val="00175301"/>
    <w:rsid w:val="00175405"/>
    <w:rsid w:val="00177690"/>
    <w:rsid w:val="0018758D"/>
    <w:rsid w:val="00190C57"/>
    <w:rsid w:val="00194613"/>
    <w:rsid w:val="001A04C6"/>
    <w:rsid w:val="001A1073"/>
    <w:rsid w:val="001A41BD"/>
    <w:rsid w:val="001B70DA"/>
    <w:rsid w:val="001C2767"/>
    <w:rsid w:val="001C3F24"/>
    <w:rsid w:val="001C45BE"/>
    <w:rsid w:val="001C5F4C"/>
    <w:rsid w:val="001C753F"/>
    <w:rsid w:val="001D3A97"/>
    <w:rsid w:val="001F206F"/>
    <w:rsid w:val="00201A3B"/>
    <w:rsid w:val="00201BA7"/>
    <w:rsid w:val="00204FEA"/>
    <w:rsid w:val="00205FAD"/>
    <w:rsid w:val="00206A08"/>
    <w:rsid w:val="002079AF"/>
    <w:rsid w:val="00214417"/>
    <w:rsid w:val="002157E9"/>
    <w:rsid w:val="00217ADC"/>
    <w:rsid w:val="00217FFE"/>
    <w:rsid w:val="00220768"/>
    <w:rsid w:val="00226EC0"/>
    <w:rsid w:val="00235843"/>
    <w:rsid w:val="002441CB"/>
    <w:rsid w:val="0025114D"/>
    <w:rsid w:val="00252D18"/>
    <w:rsid w:val="0027184C"/>
    <w:rsid w:val="002744B3"/>
    <w:rsid w:val="00281E37"/>
    <w:rsid w:val="00283833"/>
    <w:rsid w:val="00284EC2"/>
    <w:rsid w:val="002860FF"/>
    <w:rsid w:val="00286961"/>
    <w:rsid w:val="00287EEE"/>
    <w:rsid w:val="00294F48"/>
    <w:rsid w:val="002950CD"/>
    <w:rsid w:val="00295702"/>
    <w:rsid w:val="00296055"/>
    <w:rsid w:val="0029773E"/>
    <w:rsid w:val="002A0F80"/>
    <w:rsid w:val="002D0602"/>
    <w:rsid w:val="002D152E"/>
    <w:rsid w:val="002D582A"/>
    <w:rsid w:val="002D5CBA"/>
    <w:rsid w:val="002D70E4"/>
    <w:rsid w:val="002E285E"/>
    <w:rsid w:val="002E3861"/>
    <w:rsid w:val="002E693A"/>
    <w:rsid w:val="002F1F87"/>
    <w:rsid w:val="002F3FD9"/>
    <w:rsid w:val="002F44A1"/>
    <w:rsid w:val="002F45C2"/>
    <w:rsid w:val="003021F5"/>
    <w:rsid w:val="00306C32"/>
    <w:rsid w:val="0031129E"/>
    <w:rsid w:val="00313918"/>
    <w:rsid w:val="00314D18"/>
    <w:rsid w:val="00317097"/>
    <w:rsid w:val="00324FFE"/>
    <w:rsid w:val="003314AD"/>
    <w:rsid w:val="00332E23"/>
    <w:rsid w:val="00340C90"/>
    <w:rsid w:val="0035362E"/>
    <w:rsid w:val="00361808"/>
    <w:rsid w:val="00361F90"/>
    <w:rsid w:val="003620EB"/>
    <w:rsid w:val="00362815"/>
    <w:rsid w:val="003656BA"/>
    <w:rsid w:val="00366EB8"/>
    <w:rsid w:val="003711BF"/>
    <w:rsid w:val="003712C0"/>
    <w:rsid w:val="00371F47"/>
    <w:rsid w:val="00373145"/>
    <w:rsid w:val="003733C8"/>
    <w:rsid w:val="00374E6D"/>
    <w:rsid w:val="0038446D"/>
    <w:rsid w:val="0039100E"/>
    <w:rsid w:val="0039125C"/>
    <w:rsid w:val="00395F96"/>
    <w:rsid w:val="003A17B0"/>
    <w:rsid w:val="003B2F50"/>
    <w:rsid w:val="003B4788"/>
    <w:rsid w:val="003B5359"/>
    <w:rsid w:val="003B6D98"/>
    <w:rsid w:val="003C32D7"/>
    <w:rsid w:val="003C6B01"/>
    <w:rsid w:val="003C74F4"/>
    <w:rsid w:val="003C75A6"/>
    <w:rsid w:val="003D2891"/>
    <w:rsid w:val="003D2B41"/>
    <w:rsid w:val="003D5D50"/>
    <w:rsid w:val="003D6A65"/>
    <w:rsid w:val="003D6D7F"/>
    <w:rsid w:val="003E1BF8"/>
    <w:rsid w:val="003E3112"/>
    <w:rsid w:val="003F178A"/>
    <w:rsid w:val="003F32C3"/>
    <w:rsid w:val="003F792F"/>
    <w:rsid w:val="00403C27"/>
    <w:rsid w:val="00410B18"/>
    <w:rsid w:val="004111B7"/>
    <w:rsid w:val="004164F4"/>
    <w:rsid w:val="00416913"/>
    <w:rsid w:val="0042759C"/>
    <w:rsid w:val="00434647"/>
    <w:rsid w:val="0043552F"/>
    <w:rsid w:val="00440E95"/>
    <w:rsid w:val="00445425"/>
    <w:rsid w:val="00467969"/>
    <w:rsid w:val="00481938"/>
    <w:rsid w:val="00483B4D"/>
    <w:rsid w:val="004860FC"/>
    <w:rsid w:val="00486672"/>
    <w:rsid w:val="00490991"/>
    <w:rsid w:val="00494599"/>
    <w:rsid w:val="00497014"/>
    <w:rsid w:val="004A281C"/>
    <w:rsid w:val="004A2D83"/>
    <w:rsid w:val="004A68B2"/>
    <w:rsid w:val="004B2D70"/>
    <w:rsid w:val="004C194F"/>
    <w:rsid w:val="004C540E"/>
    <w:rsid w:val="004C5EA7"/>
    <w:rsid w:val="004D28BA"/>
    <w:rsid w:val="004D6986"/>
    <w:rsid w:val="004E2983"/>
    <w:rsid w:val="004F3754"/>
    <w:rsid w:val="004F4BA3"/>
    <w:rsid w:val="004F5872"/>
    <w:rsid w:val="00500AF5"/>
    <w:rsid w:val="0050672B"/>
    <w:rsid w:val="00507164"/>
    <w:rsid w:val="00513019"/>
    <w:rsid w:val="00516C75"/>
    <w:rsid w:val="005306A0"/>
    <w:rsid w:val="0053319F"/>
    <w:rsid w:val="005351EA"/>
    <w:rsid w:val="00545591"/>
    <w:rsid w:val="005469A8"/>
    <w:rsid w:val="00546D5B"/>
    <w:rsid w:val="005479F2"/>
    <w:rsid w:val="00550C02"/>
    <w:rsid w:val="005513BA"/>
    <w:rsid w:val="00555D2A"/>
    <w:rsid w:val="00561B47"/>
    <w:rsid w:val="0056226B"/>
    <w:rsid w:val="00571117"/>
    <w:rsid w:val="0057370F"/>
    <w:rsid w:val="00574D57"/>
    <w:rsid w:val="005774CC"/>
    <w:rsid w:val="005915AD"/>
    <w:rsid w:val="005A00D0"/>
    <w:rsid w:val="005A10A6"/>
    <w:rsid w:val="005A217E"/>
    <w:rsid w:val="005A4CC8"/>
    <w:rsid w:val="005B244F"/>
    <w:rsid w:val="005B6432"/>
    <w:rsid w:val="005C6E70"/>
    <w:rsid w:val="005C7555"/>
    <w:rsid w:val="005D270B"/>
    <w:rsid w:val="005E0767"/>
    <w:rsid w:val="005E6AF0"/>
    <w:rsid w:val="005F29C6"/>
    <w:rsid w:val="005F3558"/>
    <w:rsid w:val="00600547"/>
    <w:rsid w:val="0060353B"/>
    <w:rsid w:val="006047EB"/>
    <w:rsid w:val="00605F61"/>
    <w:rsid w:val="00611543"/>
    <w:rsid w:val="00615B0D"/>
    <w:rsid w:val="00620A48"/>
    <w:rsid w:val="00620B09"/>
    <w:rsid w:val="0063330E"/>
    <w:rsid w:val="006358D0"/>
    <w:rsid w:val="00641791"/>
    <w:rsid w:val="006455AD"/>
    <w:rsid w:val="00646650"/>
    <w:rsid w:val="0064727E"/>
    <w:rsid w:val="006530FB"/>
    <w:rsid w:val="00660B89"/>
    <w:rsid w:val="00661AB3"/>
    <w:rsid w:val="0066281E"/>
    <w:rsid w:val="00663186"/>
    <w:rsid w:val="0067193A"/>
    <w:rsid w:val="00680694"/>
    <w:rsid w:val="00682FFB"/>
    <w:rsid w:val="00686EFA"/>
    <w:rsid w:val="00691DF4"/>
    <w:rsid w:val="00694463"/>
    <w:rsid w:val="006A048D"/>
    <w:rsid w:val="006A07EE"/>
    <w:rsid w:val="006A40F4"/>
    <w:rsid w:val="006B14F0"/>
    <w:rsid w:val="006C7708"/>
    <w:rsid w:val="006D351F"/>
    <w:rsid w:val="006D71EE"/>
    <w:rsid w:val="006E0783"/>
    <w:rsid w:val="006E14CA"/>
    <w:rsid w:val="006E2019"/>
    <w:rsid w:val="006E5EEC"/>
    <w:rsid w:val="006F0AC0"/>
    <w:rsid w:val="006F3BEF"/>
    <w:rsid w:val="006F5479"/>
    <w:rsid w:val="006F591A"/>
    <w:rsid w:val="006F7DBF"/>
    <w:rsid w:val="00700B81"/>
    <w:rsid w:val="00702138"/>
    <w:rsid w:val="007118E7"/>
    <w:rsid w:val="00714FF4"/>
    <w:rsid w:val="00721481"/>
    <w:rsid w:val="00721F90"/>
    <w:rsid w:val="00723F75"/>
    <w:rsid w:val="00733641"/>
    <w:rsid w:val="00744705"/>
    <w:rsid w:val="007465D3"/>
    <w:rsid w:val="00746B1D"/>
    <w:rsid w:val="00747982"/>
    <w:rsid w:val="007678FD"/>
    <w:rsid w:val="00767B92"/>
    <w:rsid w:val="00774224"/>
    <w:rsid w:val="00775638"/>
    <w:rsid w:val="00777778"/>
    <w:rsid w:val="00783211"/>
    <w:rsid w:val="00784914"/>
    <w:rsid w:val="007916A4"/>
    <w:rsid w:val="007930EC"/>
    <w:rsid w:val="00793AD4"/>
    <w:rsid w:val="00795668"/>
    <w:rsid w:val="007A586A"/>
    <w:rsid w:val="007A5D7F"/>
    <w:rsid w:val="007A753A"/>
    <w:rsid w:val="007B3D92"/>
    <w:rsid w:val="007B595B"/>
    <w:rsid w:val="007C0C75"/>
    <w:rsid w:val="007C0CA8"/>
    <w:rsid w:val="007C1C47"/>
    <w:rsid w:val="007C44D3"/>
    <w:rsid w:val="007C5DD3"/>
    <w:rsid w:val="007C6134"/>
    <w:rsid w:val="007C67C6"/>
    <w:rsid w:val="007D3980"/>
    <w:rsid w:val="007E3A7D"/>
    <w:rsid w:val="007E43DA"/>
    <w:rsid w:val="007F129A"/>
    <w:rsid w:val="007F18B0"/>
    <w:rsid w:val="007F4EE7"/>
    <w:rsid w:val="00801C17"/>
    <w:rsid w:val="008037C2"/>
    <w:rsid w:val="00804ECD"/>
    <w:rsid w:val="00807D16"/>
    <w:rsid w:val="008105B6"/>
    <w:rsid w:val="00810E9F"/>
    <w:rsid w:val="00815A61"/>
    <w:rsid w:val="00816ADF"/>
    <w:rsid w:val="008263DD"/>
    <w:rsid w:val="00830D8F"/>
    <w:rsid w:val="0083671D"/>
    <w:rsid w:val="008374D2"/>
    <w:rsid w:val="00845B7B"/>
    <w:rsid w:val="008468A3"/>
    <w:rsid w:val="008508B5"/>
    <w:rsid w:val="008527F3"/>
    <w:rsid w:val="00854D06"/>
    <w:rsid w:val="00854FDA"/>
    <w:rsid w:val="00856F4E"/>
    <w:rsid w:val="00862CC7"/>
    <w:rsid w:val="008646D1"/>
    <w:rsid w:val="00866530"/>
    <w:rsid w:val="00866BD8"/>
    <w:rsid w:val="00872102"/>
    <w:rsid w:val="0087496F"/>
    <w:rsid w:val="008750F3"/>
    <w:rsid w:val="00875642"/>
    <w:rsid w:val="008776FC"/>
    <w:rsid w:val="0088050C"/>
    <w:rsid w:val="00894796"/>
    <w:rsid w:val="00894B87"/>
    <w:rsid w:val="00896FFD"/>
    <w:rsid w:val="00897236"/>
    <w:rsid w:val="008B2FF5"/>
    <w:rsid w:val="008C0947"/>
    <w:rsid w:val="008C5A24"/>
    <w:rsid w:val="008D198D"/>
    <w:rsid w:val="008D58C4"/>
    <w:rsid w:val="008D7DAA"/>
    <w:rsid w:val="008E22E0"/>
    <w:rsid w:val="008F08A9"/>
    <w:rsid w:val="008F67A9"/>
    <w:rsid w:val="008F7793"/>
    <w:rsid w:val="00904A8C"/>
    <w:rsid w:val="00911A52"/>
    <w:rsid w:val="00920445"/>
    <w:rsid w:val="00927202"/>
    <w:rsid w:val="00932738"/>
    <w:rsid w:val="00932FEE"/>
    <w:rsid w:val="00933512"/>
    <w:rsid w:val="00933E2B"/>
    <w:rsid w:val="00940920"/>
    <w:rsid w:val="00944A46"/>
    <w:rsid w:val="00954854"/>
    <w:rsid w:val="00956C61"/>
    <w:rsid w:val="0096449E"/>
    <w:rsid w:val="009666CF"/>
    <w:rsid w:val="00967650"/>
    <w:rsid w:val="00980A3C"/>
    <w:rsid w:val="00980BF3"/>
    <w:rsid w:val="009812D9"/>
    <w:rsid w:val="0098305E"/>
    <w:rsid w:val="009A1EDF"/>
    <w:rsid w:val="009A3B2F"/>
    <w:rsid w:val="009A45CA"/>
    <w:rsid w:val="009A5793"/>
    <w:rsid w:val="009B4874"/>
    <w:rsid w:val="009B542E"/>
    <w:rsid w:val="009B6F31"/>
    <w:rsid w:val="009C0E65"/>
    <w:rsid w:val="009C6A01"/>
    <w:rsid w:val="009D7C4B"/>
    <w:rsid w:val="009E0609"/>
    <w:rsid w:val="009E34DE"/>
    <w:rsid w:val="009F0C49"/>
    <w:rsid w:val="009F2A7B"/>
    <w:rsid w:val="009F3D7E"/>
    <w:rsid w:val="009F4523"/>
    <w:rsid w:val="009F5137"/>
    <w:rsid w:val="009F57DC"/>
    <w:rsid w:val="009F7A76"/>
    <w:rsid w:val="00A017F8"/>
    <w:rsid w:val="00A15F17"/>
    <w:rsid w:val="00A17334"/>
    <w:rsid w:val="00A2016F"/>
    <w:rsid w:val="00A22934"/>
    <w:rsid w:val="00A24AC2"/>
    <w:rsid w:val="00A34459"/>
    <w:rsid w:val="00A37EE4"/>
    <w:rsid w:val="00A4202F"/>
    <w:rsid w:val="00A42C45"/>
    <w:rsid w:val="00A47E36"/>
    <w:rsid w:val="00A5333E"/>
    <w:rsid w:val="00A5393A"/>
    <w:rsid w:val="00A54C20"/>
    <w:rsid w:val="00A55CAC"/>
    <w:rsid w:val="00A64F48"/>
    <w:rsid w:val="00A650BA"/>
    <w:rsid w:val="00A7267C"/>
    <w:rsid w:val="00A72D7C"/>
    <w:rsid w:val="00A73155"/>
    <w:rsid w:val="00A772F5"/>
    <w:rsid w:val="00A843AC"/>
    <w:rsid w:val="00A86EF2"/>
    <w:rsid w:val="00AA1174"/>
    <w:rsid w:val="00AA3597"/>
    <w:rsid w:val="00AA664F"/>
    <w:rsid w:val="00AA6990"/>
    <w:rsid w:val="00AB5DC1"/>
    <w:rsid w:val="00AC0E29"/>
    <w:rsid w:val="00AC3827"/>
    <w:rsid w:val="00AC564A"/>
    <w:rsid w:val="00AD24B2"/>
    <w:rsid w:val="00AD70C2"/>
    <w:rsid w:val="00AE0991"/>
    <w:rsid w:val="00AE62B7"/>
    <w:rsid w:val="00AF4181"/>
    <w:rsid w:val="00AF4A57"/>
    <w:rsid w:val="00B03D54"/>
    <w:rsid w:val="00B127C4"/>
    <w:rsid w:val="00B14EAF"/>
    <w:rsid w:val="00B172BB"/>
    <w:rsid w:val="00B2185D"/>
    <w:rsid w:val="00B27C4E"/>
    <w:rsid w:val="00B33EB2"/>
    <w:rsid w:val="00B3633F"/>
    <w:rsid w:val="00B53128"/>
    <w:rsid w:val="00B62433"/>
    <w:rsid w:val="00B6311A"/>
    <w:rsid w:val="00B66680"/>
    <w:rsid w:val="00B67D34"/>
    <w:rsid w:val="00B70069"/>
    <w:rsid w:val="00B73408"/>
    <w:rsid w:val="00B80032"/>
    <w:rsid w:val="00B95BBF"/>
    <w:rsid w:val="00BA0D04"/>
    <w:rsid w:val="00BA4800"/>
    <w:rsid w:val="00BA4F41"/>
    <w:rsid w:val="00BB28E7"/>
    <w:rsid w:val="00BB355B"/>
    <w:rsid w:val="00BB649B"/>
    <w:rsid w:val="00BB723F"/>
    <w:rsid w:val="00BC6FD6"/>
    <w:rsid w:val="00BC70BD"/>
    <w:rsid w:val="00BD0331"/>
    <w:rsid w:val="00BD0F4E"/>
    <w:rsid w:val="00BE087B"/>
    <w:rsid w:val="00BE0D34"/>
    <w:rsid w:val="00BF079A"/>
    <w:rsid w:val="00BF41E7"/>
    <w:rsid w:val="00BF6354"/>
    <w:rsid w:val="00BF657F"/>
    <w:rsid w:val="00BF6975"/>
    <w:rsid w:val="00BF69D5"/>
    <w:rsid w:val="00C004EA"/>
    <w:rsid w:val="00C07473"/>
    <w:rsid w:val="00C17007"/>
    <w:rsid w:val="00C17B73"/>
    <w:rsid w:val="00C214B1"/>
    <w:rsid w:val="00C23436"/>
    <w:rsid w:val="00C27285"/>
    <w:rsid w:val="00C3667E"/>
    <w:rsid w:val="00C36C74"/>
    <w:rsid w:val="00C37D71"/>
    <w:rsid w:val="00C402A1"/>
    <w:rsid w:val="00C5012A"/>
    <w:rsid w:val="00C66A57"/>
    <w:rsid w:val="00C742C9"/>
    <w:rsid w:val="00C76672"/>
    <w:rsid w:val="00C84C3A"/>
    <w:rsid w:val="00C86446"/>
    <w:rsid w:val="00C935C4"/>
    <w:rsid w:val="00C94B6D"/>
    <w:rsid w:val="00C95C59"/>
    <w:rsid w:val="00CA2ED4"/>
    <w:rsid w:val="00CA64E4"/>
    <w:rsid w:val="00CA7634"/>
    <w:rsid w:val="00CA7FF3"/>
    <w:rsid w:val="00CC1395"/>
    <w:rsid w:val="00CC4515"/>
    <w:rsid w:val="00CC54FC"/>
    <w:rsid w:val="00CD10CB"/>
    <w:rsid w:val="00CD2BC2"/>
    <w:rsid w:val="00CD66EB"/>
    <w:rsid w:val="00CD7DDA"/>
    <w:rsid w:val="00CD7E95"/>
    <w:rsid w:val="00CE57FA"/>
    <w:rsid w:val="00CF33D6"/>
    <w:rsid w:val="00CF3A01"/>
    <w:rsid w:val="00D025A5"/>
    <w:rsid w:val="00D02D83"/>
    <w:rsid w:val="00D0407E"/>
    <w:rsid w:val="00D04839"/>
    <w:rsid w:val="00D04ADE"/>
    <w:rsid w:val="00D06D76"/>
    <w:rsid w:val="00D10EF7"/>
    <w:rsid w:val="00D147DE"/>
    <w:rsid w:val="00D16D70"/>
    <w:rsid w:val="00D24070"/>
    <w:rsid w:val="00D24989"/>
    <w:rsid w:val="00D266E5"/>
    <w:rsid w:val="00D31564"/>
    <w:rsid w:val="00D42C4E"/>
    <w:rsid w:val="00D5103A"/>
    <w:rsid w:val="00D545BA"/>
    <w:rsid w:val="00D642F2"/>
    <w:rsid w:val="00D64555"/>
    <w:rsid w:val="00D67C34"/>
    <w:rsid w:val="00D72F9D"/>
    <w:rsid w:val="00D86378"/>
    <w:rsid w:val="00D91DEA"/>
    <w:rsid w:val="00D93B54"/>
    <w:rsid w:val="00D94A5C"/>
    <w:rsid w:val="00D9508C"/>
    <w:rsid w:val="00D964CA"/>
    <w:rsid w:val="00DA0B64"/>
    <w:rsid w:val="00DA2E91"/>
    <w:rsid w:val="00DA3CCA"/>
    <w:rsid w:val="00DA7280"/>
    <w:rsid w:val="00DB5FA5"/>
    <w:rsid w:val="00DC38BA"/>
    <w:rsid w:val="00DC5CEC"/>
    <w:rsid w:val="00DD072E"/>
    <w:rsid w:val="00DD30B5"/>
    <w:rsid w:val="00DD4447"/>
    <w:rsid w:val="00DD5597"/>
    <w:rsid w:val="00DE5683"/>
    <w:rsid w:val="00DE6655"/>
    <w:rsid w:val="00DF118B"/>
    <w:rsid w:val="00DF786D"/>
    <w:rsid w:val="00E00731"/>
    <w:rsid w:val="00E20F7C"/>
    <w:rsid w:val="00E2113F"/>
    <w:rsid w:val="00E26BEF"/>
    <w:rsid w:val="00E27C38"/>
    <w:rsid w:val="00E32750"/>
    <w:rsid w:val="00E3498D"/>
    <w:rsid w:val="00E36BD7"/>
    <w:rsid w:val="00E36D74"/>
    <w:rsid w:val="00E4064C"/>
    <w:rsid w:val="00E409B4"/>
    <w:rsid w:val="00E45F99"/>
    <w:rsid w:val="00E50525"/>
    <w:rsid w:val="00E55109"/>
    <w:rsid w:val="00E60C65"/>
    <w:rsid w:val="00E61D70"/>
    <w:rsid w:val="00E65C7E"/>
    <w:rsid w:val="00E66199"/>
    <w:rsid w:val="00E66CC2"/>
    <w:rsid w:val="00E67500"/>
    <w:rsid w:val="00E75162"/>
    <w:rsid w:val="00E800ED"/>
    <w:rsid w:val="00E80B1F"/>
    <w:rsid w:val="00E945F8"/>
    <w:rsid w:val="00E95F21"/>
    <w:rsid w:val="00E97009"/>
    <w:rsid w:val="00E97372"/>
    <w:rsid w:val="00EA14A1"/>
    <w:rsid w:val="00EA531E"/>
    <w:rsid w:val="00EA5E37"/>
    <w:rsid w:val="00EB3B6E"/>
    <w:rsid w:val="00EB57A7"/>
    <w:rsid w:val="00EB7E31"/>
    <w:rsid w:val="00EC7FDE"/>
    <w:rsid w:val="00ED0FE4"/>
    <w:rsid w:val="00ED4585"/>
    <w:rsid w:val="00ED5733"/>
    <w:rsid w:val="00EE4E44"/>
    <w:rsid w:val="00EE5F8D"/>
    <w:rsid w:val="00EF1E9B"/>
    <w:rsid w:val="00F0127E"/>
    <w:rsid w:val="00F02446"/>
    <w:rsid w:val="00F03F06"/>
    <w:rsid w:val="00F074EE"/>
    <w:rsid w:val="00F12EE4"/>
    <w:rsid w:val="00F2276C"/>
    <w:rsid w:val="00F23D38"/>
    <w:rsid w:val="00F252FA"/>
    <w:rsid w:val="00F27953"/>
    <w:rsid w:val="00F31430"/>
    <w:rsid w:val="00F42D34"/>
    <w:rsid w:val="00F44806"/>
    <w:rsid w:val="00F45711"/>
    <w:rsid w:val="00F46C24"/>
    <w:rsid w:val="00F47463"/>
    <w:rsid w:val="00F47DB4"/>
    <w:rsid w:val="00F514DA"/>
    <w:rsid w:val="00F55D32"/>
    <w:rsid w:val="00F57C62"/>
    <w:rsid w:val="00F65346"/>
    <w:rsid w:val="00F6600C"/>
    <w:rsid w:val="00F66A8F"/>
    <w:rsid w:val="00F7063D"/>
    <w:rsid w:val="00F776A2"/>
    <w:rsid w:val="00F81147"/>
    <w:rsid w:val="00F82889"/>
    <w:rsid w:val="00F90343"/>
    <w:rsid w:val="00F911C5"/>
    <w:rsid w:val="00FA2D2C"/>
    <w:rsid w:val="00FB1648"/>
    <w:rsid w:val="00FB381D"/>
    <w:rsid w:val="00FC29A2"/>
    <w:rsid w:val="00FC3378"/>
    <w:rsid w:val="00FC5F5D"/>
    <w:rsid w:val="00FC7E54"/>
    <w:rsid w:val="00FD2466"/>
    <w:rsid w:val="00FD5E6D"/>
    <w:rsid w:val="00FD6986"/>
    <w:rsid w:val="00FE0097"/>
    <w:rsid w:val="00FE6FEC"/>
    <w:rsid w:val="00FF0952"/>
    <w:rsid w:val="00FF0AE3"/>
    <w:rsid w:val="00FF26D7"/>
    <w:rsid w:val="00FF2C1F"/>
    <w:rsid w:val="00FF51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F5A9FA"/>
  <w15:docId w15:val="{A9AAA735-A541-4352-9993-6989797E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42C9"/>
    <w:pPr>
      <w:ind w:left="14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358D0"/>
    <w:pPr>
      <w:jc w:val="center"/>
      <w:outlineLvl w:val="0"/>
    </w:pPr>
  </w:style>
  <w:style w:type="paragraph" w:styleId="Heading2">
    <w:name w:val="heading 2"/>
    <w:basedOn w:val="Heading1"/>
    <w:next w:val="Normal"/>
    <w:link w:val="Heading2Char"/>
    <w:autoRedefine/>
    <w:unhideWhenUsed/>
    <w:qFormat/>
    <w:rsid w:val="006358D0"/>
    <w:pPr>
      <w:outlineLvl w:val="1"/>
    </w:p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1C2767"/>
    <w:pPr>
      <w:keepNext/>
      <w:keepLines/>
      <w:spacing w:before="40"/>
      <w:ind w:left="720" w:hanging="7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1C2767"/>
    <w:pPr>
      <w:keepNext/>
      <w:keepLines/>
      <w:spacing w:before="40"/>
      <w:ind w:hanging="720"/>
      <w:outlineLvl w:val="3"/>
    </w:pPr>
    <w:rPr>
      <w:rFonts w:eastAsiaTheme="majorEastAsia" w:cstheme="majorBidi"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6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653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14D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D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4D9B"/>
  </w:style>
  <w:style w:type="paragraph" w:styleId="CommentSubject">
    <w:name w:val="annotation subject"/>
    <w:basedOn w:val="CommentText"/>
    <w:next w:val="CommentText"/>
    <w:link w:val="CommentSubjectChar"/>
    <w:rsid w:val="00114D9B"/>
    <w:rPr>
      <w:b/>
      <w:bCs/>
    </w:rPr>
  </w:style>
  <w:style w:type="character" w:customStyle="1" w:styleId="CommentSubjectChar">
    <w:name w:val="Comment Subject Char"/>
    <w:link w:val="CommentSubject"/>
    <w:rsid w:val="00114D9B"/>
    <w:rPr>
      <w:b/>
      <w:bCs/>
    </w:rPr>
  </w:style>
  <w:style w:type="paragraph" w:styleId="BodyTextIndent2">
    <w:name w:val="Body Text Indent 2"/>
    <w:basedOn w:val="Normal"/>
    <w:link w:val="BodyTextIndent2Char"/>
    <w:rsid w:val="004111B7"/>
    <w:pPr>
      <w:tabs>
        <w:tab w:val="left" w:pos="0"/>
      </w:tabs>
      <w:ind w:firstLine="1"/>
    </w:pPr>
  </w:style>
  <w:style w:type="character" w:customStyle="1" w:styleId="BodyTextIndent2Char">
    <w:name w:val="Body Text Indent 2 Char"/>
    <w:basedOn w:val="DefaultParagraphFont"/>
    <w:link w:val="BodyTextIndent2"/>
    <w:rsid w:val="004111B7"/>
    <w:rPr>
      <w:sz w:val="24"/>
    </w:rPr>
  </w:style>
  <w:style w:type="paragraph" w:styleId="BodyTextIndent">
    <w:name w:val="Body Text Indent"/>
    <w:basedOn w:val="Normal"/>
    <w:link w:val="BodyTextIndentChar"/>
    <w:unhideWhenUsed/>
    <w:rsid w:val="004111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111B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358D0"/>
    <w:rPr>
      <w:sz w:val="24"/>
    </w:rPr>
  </w:style>
  <w:style w:type="character" w:customStyle="1" w:styleId="Heading2Char">
    <w:name w:val="Heading 2 Char"/>
    <w:basedOn w:val="DefaultParagraphFont"/>
    <w:link w:val="Heading2"/>
    <w:rsid w:val="006358D0"/>
    <w:rPr>
      <w:sz w:val="24"/>
    </w:rPr>
  </w:style>
  <w:style w:type="character" w:customStyle="1" w:styleId="Heading3Char">
    <w:name w:val="Heading 3 Char"/>
    <w:basedOn w:val="DefaultParagraphFont"/>
    <w:link w:val="Heading3"/>
    <w:rsid w:val="001C2767"/>
    <w:rPr>
      <w:rFonts w:eastAsiaTheme="majorEastAsia" w:cstheme="majorBidi"/>
      <w:b/>
      <w:sz w:val="24"/>
    </w:rPr>
  </w:style>
  <w:style w:type="character" w:customStyle="1" w:styleId="Heading4Char">
    <w:name w:val="Heading 4 Char"/>
    <w:basedOn w:val="DefaultParagraphFont"/>
    <w:link w:val="Heading4"/>
    <w:rsid w:val="001C2767"/>
    <w:rPr>
      <w:rFonts w:eastAsiaTheme="majorEastAsia" w:cstheme="majorBidi"/>
      <w:iCs/>
      <w:sz w:val="24"/>
      <w:u w:val="single"/>
    </w:rPr>
  </w:style>
  <w:style w:type="paragraph" w:customStyle="1" w:styleId="StyleFirstline0">
    <w:name w:val="Style First line:  0&quot;"/>
    <w:basedOn w:val="Normal"/>
    <w:next w:val="Normal"/>
    <w:rsid w:val="00C742C9"/>
  </w:style>
  <w:style w:type="paragraph" w:styleId="ListParagraph">
    <w:name w:val="List Paragraph"/>
    <w:basedOn w:val="Normal"/>
    <w:uiPriority w:val="34"/>
    <w:qFormat/>
    <w:rsid w:val="00C742C9"/>
    <w:pPr>
      <w:contextualSpacing/>
    </w:pPr>
  </w:style>
  <w:style w:type="character" w:styleId="Emphasis">
    <w:name w:val="Emphasis"/>
    <w:basedOn w:val="DefaultParagraphFont"/>
    <w:qFormat/>
    <w:rsid w:val="006358D0"/>
    <w:rPr>
      <w:i/>
      <w:iCs/>
    </w:rPr>
  </w:style>
  <w:style w:type="paragraph" w:styleId="NoSpacing">
    <w:name w:val="No Spacing"/>
    <w:uiPriority w:val="1"/>
    <w:qFormat/>
    <w:rsid w:val="000406D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402D1-F1CC-4031-A02A-528785E8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creator>ATF</dc:creator>
  <cp:lastModifiedBy>Cates, Gwen R. (ATF) (CTR)</cp:lastModifiedBy>
  <cp:revision>40</cp:revision>
  <cp:lastPrinted>2012-12-26T13:38:00Z</cp:lastPrinted>
  <dcterms:created xsi:type="dcterms:W3CDTF">2020-06-30T10:35:00Z</dcterms:created>
  <dcterms:modified xsi:type="dcterms:W3CDTF">2023-11-01T14:53:00Z</dcterms:modified>
</cp:coreProperties>
</file>