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12EE" w:rsidP="00954446" w14:paraId="1D034FD1" w14:textId="2F082E85">
      <w:pPr>
        <w:jc w:val="center"/>
        <w:rPr>
          <w:b/>
          <w:bCs/>
          <w:sz w:val="24"/>
        </w:rPr>
      </w:pPr>
      <w:r w:rsidRPr="00565389">
        <w:rPr>
          <w:b/>
          <w:bCs/>
          <w:sz w:val="24"/>
        </w:rPr>
        <w:t>SUPPORTING STATEMENT FOR</w:t>
      </w:r>
    </w:p>
    <w:p w:rsidR="009C3237" w:rsidRPr="00565389" w:rsidP="00B112EE" w14:paraId="7AD22147" w14:textId="4B6E6DEF">
      <w:pPr>
        <w:ind w:firstLine="720"/>
        <w:jc w:val="center"/>
        <w:rPr>
          <w:b/>
          <w:bCs/>
          <w:sz w:val="24"/>
        </w:rPr>
      </w:pPr>
      <w:r w:rsidRPr="00565389">
        <w:rPr>
          <w:b/>
          <w:bCs/>
          <w:sz w:val="24"/>
        </w:rPr>
        <w:t>THE</w:t>
      </w:r>
      <w:r w:rsidR="00B112EE">
        <w:rPr>
          <w:b/>
          <w:bCs/>
          <w:sz w:val="24"/>
        </w:rPr>
        <w:t xml:space="preserve"> </w:t>
      </w:r>
      <w:r w:rsidRPr="00565389">
        <w:rPr>
          <w:b/>
          <w:bCs/>
          <w:sz w:val="24"/>
        </w:rPr>
        <w:t>COLLECTIONS OF INFORMATION IN</w:t>
      </w:r>
    </w:p>
    <w:p w:rsidR="009C3237" w:rsidRPr="00565389" w:rsidP="00B112EE" w14:paraId="6A53A7E3" w14:textId="77777777">
      <w:pPr>
        <w:jc w:val="center"/>
        <w:rPr>
          <w:b/>
          <w:bCs/>
          <w:sz w:val="24"/>
        </w:rPr>
      </w:pPr>
      <w:r w:rsidRPr="00565389">
        <w:rPr>
          <w:b/>
          <w:bCs/>
          <w:sz w:val="24"/>
        </w:rPr>
        <w:t>THE ETHYLENE OXIDE (EtO) STANDARD (29 CFR 1910.1047)</w:t>
      </w:r>
      <w:r>
        <w:rPr>
          <w:rStyle w:val="FootnoteReference"/>
          <w:b/>
          <w:bCs/>
          <w:sz w:val="24"/>
          <w:vertAlign w:val="superscript"/>
        </w:rPr>
        <w:footnoteReference w:id="3"/>
      </w:r>
      <w:r w:rsidRPr="00565389">
        <w:rPr>
          <w:b/>
          <w:bCs/>
          <w:sz w:val="24"/>
          <w:vertAlign w:val="superscript"/>
        </w:rPr>
        <w:t>,</w:t>
      </w:r>
      <w:r>
        <w:rPr>
          <w:rStyle w:val="FootnoteReference"/>
          <w:b/>
          <w:bCs/>
          <w:sz w:val="24"/>
          <w:vertAlign w:val="superscript"/>
        </w:rPr>
        <w:footnoteReference w:id="4"/>
      </w:r>
    </w:p>
    <w:p w:rsidR="009C3237" w:rsidRPr="00565389" w:rsidP="00B112EE" w14:paraId="265C9C7D" w14:textId="38683D39">
      <w:pPr>
        <w:jc w:val="center"/>
        <w:rPr>
          <w:b/>
          <w:bCs/>
          <w:sz w:val="24"/>
        </w:rPr>
      </w:pPr>
      <w:r w:rsidRPr="00565389">
        <w:rPr>
          <w:b/>
          <w:bCs/>
          <w:sz w:val="24"/>
        </w:rPr>
        <w:t>(OFFICE OF MANAGEMENT AND BUDGET (OMB)</w:t>
      </w:r>
    </w:p>
    <w:p w:rsidR="009C3237" w:rsidRPr="00565389" w:rsidP="00B112EE" w14:paraId="49EC25E6" w14:textId="019B8899">
      <w:pPr>
        <w:jc w:val="center"/>
        <w:rPr>
          <w:sz w:val="24"/>
        </w:rPr>
      </w:pPr>
      <w:r>
        <w:rPr>
          <w:b/>
          <w:bCs/>
          <w:sz w:val="24"/>
        </w:rPr>
        <w:t>CONTROL NO. 1218-0108 (</w:t>
      </w:r>
      <w:r w:rsidR="004904E0">
        <w:rPr>
          <w:b/>
          <w:bCs/>
          <w:sz w:val="24"/>
        </w:rPr>
        <w:t>December</w:t>
      </w:r>
      <w:r w:rsidR="00805DC5">
        <w:rPr>
          <w:b/>
          <w:bCs/>
          <w:sz w:val="24"/>
        </w:rPr>
        <w:t xml:space="preserve"> </w:t>
      </w:r>
      <w:r w:rsidRPr="00565389">
        <w:rPr>
          <w:b/>
          <w:bCs/>
          <w:sz w:val="24"/>
        </w:rPr>
        <w:t>202</w:t>
      </w:r>
      <w:r w:rsidR="00D83B9A">
        <w:rPr>
          <w:b/>
          <w:bCs/>
          <w:sz w:val="24"/>
        </w:rPr>
        <w:t>3</w:t>
      </w:r>
      <w:r w:rsidRPr="00565389">
        <w:rPr>
          <w:b/>
          <w:bCs/>
          <w:sz w:val="24"/>
        </w:rPr>
        <w:t>)</w:t>
      </w:r>
    </w:p>
    <w:p w:rsidR="009C3237" w:rsidRPr="00565389" w:rsidP="009C3237" w14:paraId="0376D521" w14:textId="77777777">
      <w:pPr>
        <w:jc w:val="center"/>
        <w:rPr>
          <w:sz w:val="24"/>
        </w:rPr>
      </w:pPr>
    </w:p>
    <w:p w:rsidR="00DE5B43" w:rsidP="00AE2B3F" w14:paraId="7EFD5CB8" w14:textId="43326D5C">
      <w:pPr>
        <w:widowControl/>
        <w:rPr>
          <w:bCs/>
          <w:sz w:val="24"/>
          <w:u w:val="single"/>
        </w:rPr>
      </w:pPr>
      <w:r w:rsidRPr="00DE5B43">
        <w:rPr>
          <w:bCs/>
          <w:sz w:val="24"/>
          <w:u w:val="single"/>
        </w:rPr>
        <w:t xml:space="preserve">This is a request to </w:t>
      </w:r>
      <w:r>
        <w:rPr>
          <w:bCs/>
          <w:sz w:val="24"/>
          <w:u w:val="single"/>
        </w:rPr>
        <w:t xml:space="preserve">extend </w:t>
      </w:r>
      <w:r w:rsidRPr="00DE5B43">
        <w:rPr>
          <w:bCs/>
          <w:sz w:val="24"/>
          <w:u w:val="single"/>
        </w:rPr>
        <w:t>a currently approved data collection.</w:t>
      </w:r>
    </w:p>
    <w:p w:rsidR="00A10DB2" w:rsidRPr="00AE2B3F" w:rsidP="00AE2B3F" w14:paraId="262B9DBD" w14:textId="77777777">
      <w:pPr>
        <w:widowControl/>
        <w:rPr>
          <w:bCs/>
          <w:sz w:val="24"/>
          <w:u w:val="single"/>
        </w:rPr>
      </w:pPr>
    </w:p>
    <w:p w:rsidR="009C3237" w:rsidRPr="00565389" w:rsidP="0060062C" w14:paraId="6EB627D6" w14:textId="64B6BD63">
      <w:pPr>
        <w:tabs>
          <w:tab w:val="left" w:pos="7170"/>
        </w:tabs>
        <w:rPr>
          <w:b/>
          <w:bCs/>
          <w:sz w:val="24"/>
        </w:rPr>
      </w:pPr>
      <w:r>
        <w:rPr>
          <w:b/>
          <w:bCs/>
          <w:sz w:val="24"/>
        </w:rPr>
        <w:tab/>
      </w:r>
    </w:p>
    <w:p w:rsidR="009C3237" w:rsidRPr="00565389" w:rsidP="009C3237" w14:paraId="5D234244" w14:textId="77777777">
      <w:pPr>
        <w:rPr>
          <w:sz w:val="24"/>
        </w:rPr>
      </w:pPr>
      <w:r w:rsidRPr="00565389">
        <w:rPr>
          <w:b/>
          <w:bCs/>
          <w:sz w:val="24"/>
        </w:rPr>
        <w:t>A. JUSTIFICATION</w:t>
      </w:r>
    </w:p>
    <w:p w:rsidR="009C3237" w:rsidP="009C3237" w14:paraId="2CB203F2" w14:textId="77777777">
      <w:pPr>
        <w:rPr>
          <w:sz w:val="24"/>
        </w:rPr>
      </w:pPr>
    </w:p>
    <w:p w:rsidR="009C3237" w:rsidRPr="00565389" w:rsidP="009C3237" w14:paraId="444E1B34" w14:textId="77777777">
      <w:pPr>
        <w:rPr>
          <w:sz w:val="24"/>
        </w:rPr>
      </w:pPr>
      <w:r w:rsidRPr="00565389">
        <w:rPr>
          <w:b/>
          <w:bCs/>
          <w:sz w:val="24"/>
        </w:rPr>
        <w:t>1.</w:t>
      </w:r>
      <w:r w:rsidRPr="00565389">
        <w:rPr>
          <w:sz w:val="24"/>
        </w:rPr>
        <w:t xml:space="preserve"> </w:t>
      </w:r>
      <w:r w:rsidRPr="00565389">
        <w:rPr>
          <w:b/>
          <w:bCs/>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C3237" w:rsidRPr="00565389" w:rsidP="009C3237" w14:paraId="03766DE4" w14:textId="77777777">
      <w:pPr>
        <w:rPr>
          <w:sz w:val="24"/>
        </w:rPr>
      </w:pPr>
    </w:p>
    <w:p w:rsidR="009C3237" w:rsidRPr="00565389" w:rsidP="009C3237" w14:paraId="716268B1" w14:textId="77777777">
      <w:pPr>
        <w:rPr>
          <w:sz w:val="24"/>
        </w:rPr>
      </w:pPr>
      <w:r w:rsidRPr="00565389">
        <w:rPr>
          <w:sz w:val="24"/>
        </w:rPr>
        <w:t>The Occupational Safety and Health Act’s (OSH Act) main objective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w:t>
      </w:r>
    </w:p>
    <w:p w:rsidR="009C3237" w:rsidRPr="00565389" w:rsidP="009C3237" w14:paraId="67573639" w14:textId="77777777">
      <w:pPr>
        <w:rPr>
          <w:sz w:val="24"/>
        </w:rPr>
      </w:pPr>
    </w:p>
    <w:p w:rsidR="009C3237" w:rsidRPr="00565389" w:rsidP="009C3237" w14:paraId="17C82684" w14:textId="77777777">
      <w:pPr>
        <w:rPr>
          <w:sz w:val="24"/>
        </w:rPr>
      </w:pPr>
      <w:r w:rsidRPr="00565389">
        <w:rPr>
          <w:sz w:val="24"/>
        </w:rPr>
        <w:t>For toxic substances, the OSH Act contains specific statutory language.  Accordingly, and as appropriate, health standards must include provisions for monitoring and measuring worker exposure, medical examinations and other tests, control and technological procedures, suitable protective equipment, labels and other appropriate forms of warning, and precautions for safe use or exposure (29 U.S.C. 655 and 657).  In addition, the OSH Act mandates "regulations requiring employers to maintain accurate records of worker exposure to potentially toxic materials or other harmful physical agents which are required to be monitored and measured," and further requires that employers notify workers exposed to concentrations over specific limits of these exposures, and of the corrective action(s) they are taking (29 U.S.C. 657).</w:t>
      </w:r>
    </w:p>
    <w:p w:rsidR="009C3237" w:rsidRPr="00565389" w:rsidP="009C3237" w14:paraId="747A4874" w14:textId="77777777">
      <w:pPr>
        <w:rPr>
          <w:sz w:val="24"/>
        </w:rPr>
      </w:pPr>
    </w:p>
    <w:p w:rsidR="009C3237" w:rsidRPr="00565389" w:rsidP="009C3237" w14:paraId="123A7451" w14:textId="076ADFD1">
      <w:pPr>
        <w:rPr>
          <w:sz w:val="24"/>
        </w:rPr>
      </w:pPr>
      <w:r w:rsidRPr="00565389">
        <w:rPr>
          <w:sz w:val="24"/>
        </w:rPr>
        <w:t xml:space="preserve">Under the authority granted by the OSH Act, the Occupational Safety and Health Administration (OSHA) published a health standard governing worker exposure to ethylene oxide (EtO) at 29 CFR 1910.1047 (the "Standard").  The basis for the Standard was a determination by OSHA, based on animal and human data, that exposure to EtO presents a carcinogenic, mutagenic, genotoxic, reproductive, neurologic, and sensitization hazard to workers (49 FR 25737).  OSHA established a permissible exposure limit (PEL) for occupational exposure to EtO of 1 part per </w:t>
      </w:r>
      <w:r w:rsidRPr="00565389">
        <w:rPr>
          <w:sz w:val="24"/>
        </w:rPr>
        <w:t xml:space="preserve">million (ppm), assessed using an 8-hour time-weighted average (referred to hereafter as "TWA").  The Agency also developed an excursion limit (EL) of 5 ppm, determined during a 15-minute exposure period.  Exposures below an action level (AL) of 0.5 ppm, measured as a TWA, exempts employers from some of the regulatory burdens of the Standard, such as worker exposure monitoring and medical surveillance. </w:t>
      </w:r>
    </w:p>
    <w:p w:rsidR="009C3237" w:rsidRPr="00565389" w:rsidP="009C3237" w14:paraId="678D09BC" w14:textId="77777777">
      <w:pPr>
        <w:ind w:left="720" w:hanging="675"/>
        <w:rPr>
          <w:b/>
          <w:sz w:val="24"/>
        </w:rPr>
      </w:pPr>
    </w:p>
    <w:p w:rsidR="00DE5B43" w:rsidRPr="00DE5B43" w:rsidP="00AE2B3F" w14:paraId="49C26342" w14:textId="327499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565389">
        <w:rPr>
          <w:b/>
          <w:bCs/>
          <w:sz w:val="24"/>
        </w:rPr>
        <w:t xml:space="preserve">2.  </w:t>
      </w:r>
      <w:bookmarkStart w:id="0" w:name="_Hlk137536664"/>
      <w:r w:rsidRPr="00DE5B43">
        <w:rPr>
          <w:b/>
          <w:bCs/>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bookmarkEnd w:id="0"/>
    <w:p w:rsidR="00DE5B43" w:rsidRPr="00565389" w:rsidP="009C3237" w14:paraId="098EEC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3237" w:rsidRPr="00565389" w:rsidP="009C3237" w14:paraId="3890FD99" w14:textId="77777777">
      <w:pPr>
        <w:rPr>
          <w:sz w:val="24"/>
        </w:rPr>
      </w:pPr>
    </w:p>
    <w:p w:rsidR="009C3237" w:rsidRPr="00565389" w:rsidP="009C3237" w14:paraId="2D5DA243" w14:textId="77777777">
      <w:pPr>
        <w:widowControl/>
        <w:autoSpaceDE/>
        <w:autoSpaceDN/>
        <w:adjustRightInd/>
        <w:rPr>
          <w:sz w:val="24"/>
        </w:rPr>
      </w:pPr>
      <w:r w:rsidRPr="00565389">
        <w:rPr>
          <w:sz w:val="24"/>
        </w:rPr>
        <w:t>The following are the collections of information as stated in the Standard, followed by discussions indicating how, by whom, and for what purpose the information is used.</w:t>
      </w:r>
    </w:p>
    <w:p w:rsidR="009C3237" w:rsidRPr="00565389" w:rsidP="009C3237" w14:paraId="7C26A958" w14:textId="77777777">
      <w:pPr>
        <w:rPr>
          <w:b/>
          <w:bCs/>
          <w:sz w:val="24"/>
        </w:rPr>
      </w:pPr>
    </w:p>
    <w:p w:rsidR="009C3237" w:rsidRPr="00565389" w:rsidP="009C3237" w14:paraId="723BA055" w14:textId="77777777">
      <w:pPr>
        <w:rPr>
          <w:b/>
          <w:i/>
          <w:sz w:val="24"/>
        </w:rPr>
      </w:pPr>
      <w:r w:rsidRPr="00565389">
        <w:rPr>
          <w:b/>
          <w:i/>
          <w:sz w:val="24"/>
        </w:rPr>
        <w:t>A.  Initial monitoring (§1910.1047(d)(1) and (d)(2))</w:t>
      </w:r>
    </w:p>
    <w:p w:rsidR="009C3237" w:rsidRPr="00565389" w:rsidP="009C3237" w14:paraId="7482D762" w14:textId="77777777">
      <w:pPr>
        <w:rPr>
          <w:rStyle w:val="blueten1"/>
          <w:rFonts w:ascii="Times New Roman" w:hAnsi="Times New Roman"/>
          <w:b/>
          <w:bCs/>
          <w:color w:val="757575"/>
          <w:sz w:val="24"/>
          <w:szCs w:val="24"/>
        </w:rPr>
      </w:pPr>
      <w:bookmarkStart w:id="1" w:name="1910.1047(d)(2)(i)"/>
      <w:bookmarkEnd w:id="1"/>
    </w:p>
    <w:p w:rsidR="009C3237" w:rsidRPr="00565389" w:rsidP="009C3237" w14:paraId="5A8DCA34" w14:textId="77777777">
      <w:pPr>
        <w:rPr>
          <w:rStyle w:val="blueten1"/>
          <w:rFonts w:ascii="Times New Roman" w:hAnsi="Times New Roman"/>
          <w:bCs/>
          <w:i/>
          <w:sz w:val="24"/>
          <w:szCs w:val="24"/>
        </w:rPr>
      </w:pPr>
      <w:r w:rsidRPr="00565389">
        <w:rPr>
          <w:i/>
          <w:sz w:val="24"/>
        </w:rPr>
        <w:t>§</w:t>
      </w:r>
      <w:r w:rsidRPr="00565389">
        <w:rPr>
          <w:rStyle w:val="blueten1"/>
          <w:rFonts w:ascii="Times New Roman" w:hAnsi="Times New Roman"/>
          <w:bCs/>
          <w:i/>
          <w:sz w:val="24"/>
          <w:szCs w:val="24"/>
        </w:rPr>
        <w:t>1910.1047(d)(1)(iii)</w:t>
      </w:r>
    </w:p>
    <w:p w:rsidR="009C3237" w:rsidRPr="00565389" w:rsidP="009C3237" w14:paraId="0C93139F" w14:textId="77777777">
      <w:pPr>
        <w:rPr>
          <w:i/>
          <w:sz w:val="24"/>
        </w:rPr>
      </w:pPr>
    </w:p>
    <w:p w:rsidR="009C3237" w:rsidRPr="00565389" w:rsidP="009C3237" w14:paraId="01646F5E" w14:textId="77777777">
      <w:pPr>
        <w:rPr>
          <w:sz w:val="24"/>
        </w:rPr>
      </w:pPr>
      <w:r w:rsidRPr="00565389">
        <w:rPr>
          <w:sz w:val="24"/>
        </w:rPr>
        <w:t>Where the employer can document that exposure levels are equivalent for similar operations in different work shifts, the employer need only determine representative employee exposure for that operation during one shift.</w:t>
      </w:r>
    </w:p>
    <w:p w:rsidR="009C3237" w:rsidRPr="00565389" w:rsidP="009C3237" w14:paraId="051109E5" w14:textId="77777777">
      <w:pPr>
        <w:rPr>
          <w:sz w:val="24"/>
        </w:rPr>
      </w:pPr>
    </w:p>
    <w:p w:rsidR="009C3237" w:rsidRPr="00565389" w:rsidP="009C3237" w14:paraId="79B55820"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1910.1047(d)(2)(i)</w:t>
      </w:r>
      <w:r w:rsidRPr="00565389">
        <w:rPr>
          <w:rStyle w:val="blueten1"/>
          <w:rFonts w:ascii="Times New Roman" w:hAnsi="Times New Roman"/>
          <w:i/>
          <w:sz w:val="24"/>
          <w:szCs w:val="24"/>
        </w:rPr>
        <w:t xml:space="preserve"> </w:t>
      </w:r>
    </w:p>
    <w:p w:rsidR="009C3237" w:rsidRPr="00565389" w:rsidP="009C3237" w14:paraId="3D02C955" w14:textId="77777777">
      <w:pPr>
        <w:rPr>
          <w:rStyle w:val="blueten1"/>
          <w:rFonts w:ascii="Times New Roman" w:hAnsi="Times New Roman"/>
          <w:sz w:val="24"/>
          <w:szCs w:val="24"/>
        </w:rPr>
      </w:pPr>
    </w:p>
    <w:p w:rsidR="009C3237" w:rsidRPr="00565389" w:rsidP="009C3237" w14:paraId="2EF2864A" w14:textId="77777777">
      <w:pPr>
        <w:rPr>
          <w:sz w:val="24"/>
        </w:rPr>
      </w:pPr>
      <w:r w:rsidRPr="00565389">
        <w:rPr>
          <w:sz w:val="24"/>
        </w:rPr>
        <w:t>Each employer who has a workplace or work operation covered by this standard, except as provided for in paragraph (a)(2) or (d)(2)(ii) of this section, shall perform initial monitoring to determine accurately the airborne concentrations of EtO to which employees may be exposed.</w:t>
      </w:r>
    </w:p>
    <w:p w:rsidR="009C3237" w:rsidRPr="00565389" w:rsidP="009C3237" w14:paraId="29169881" w14:textId="77777777">
      <w:pPr>
        <w:rPr>
          <w:rStyle w:val="blueten1"/>
          <w:rFonts w:ascii="Times New Roman" w:hAnsi="Times New Roman"/>
          <w:bCs/>
          <w:i/>
          <w:sz w:val="24"/>
          <w:szCs w:val="24"/>
        </w:rPr>
      </w:pPr>
    </w:p>
    <w:p w:rsidR="009C3237" w:rsidRPr="00565389" w:rsidP="009C3237" w14:paraId="62E55B9C" w14:textId="77777777">
      <w:pPr>
        <w:rPr>
          <w:sz w:val="24"/>
        </w:rPr>
      </w:pPr>
      <w:bookmarkStart w:id="2" w:name="1910.1047(d)(2)(ii)"/>
      <w:bookmarkEnd w:id="2"/>
      <w:r w:rsidRPr="00565389">
        <w:rPr>
          <w:b/>
          <w:sz w:val="24"/>
          <w:u w:val="single"/>
        </w:rPr>
        <w:t>Purpose</w:t>
      </w:r>
      <w:r w:rsidRPr="00565389">
        <w:rPr>
          <w:sz w:val="24"/>
        </w:rPr>
        <w:t>:</w:t>
      </w:r>
      <w:r w:rsidRPr="00565389">
        <w:rPr>
          <w:b/>
          <w:sz w:val="24"/>
        </w:rPr>
        <w:t xml:space="preserve">  </w:t>
      </w:r>
      <w:r w:rsidRPr="00565389">
        <w:rPr>
          <w:sz w:val="24"/>
        </w:rPr>
        <w:t>The employer has the duty to identify areas and operations that may require additional reduction in airborne EtO to meet the TWA and EL.  Initial exposure-monitoring results also assist employers in determining the need for engineering controls, implementing or modifying work practices, and selecting appropriate respiratory protection to prevent workers from overexposure to EtO.</w:t>
      </w:r>
    </w:p>
    <w:p w:rsidR="009C3237" w:rsidRPr="00565389" w:rsidP="009C3237" w14:paraId="13F86C35" w14:textId="77777777">
      <w:pPr>
        <w:rPr>
          <w:sz w:val="24"/>
        </w:rPr>
      </w:pPr>
    </w:p>
    <w:p w:rsidR="009C3237" w:rsidRPr="00565389" w:rsidP="009C3237" w14:paraId="3C5BDC62" w14:textId="77777777">
      <w:pPr>
        <w:rPr>
          <w:b/>
          <w:i/>
          <w:sz w:val="24"/>
        </w:rPr>
      </w:pPr>
      <w:r w:rsidRPr="00565389">
        <w:rPr>
          <w:b/>
          <w:i/>
          <w:sz w:val="24"/>
        </w:rPr>
        <w:t>B.  Monitoring frequency (periodic monitoring) (§1910.1047(d)(3))</w:t>
      </w:r>
    </w:p>
    <w:p w:rsidR="009C3237" w:rsidRPr="00565389" w:rsidP="009C3237" w14:paraId="2B227F1C" w14:textId="77777777">
      <w:pPr>
        <w:rPr>
          <w:sz w:val="24"/>
        </w:rPr>
      </w:pPr>
    </w:p>
    <w:p w:rsidR="009C3237" w:rsidRPr="00565389" w:rsidP="009C3237" w14:paraId="6573110A" w14:textId="77777777">
      <w:pPr>
        <w:rPr>
          <w:rStyle w:val="blueten1"/>
          <w:rFonts w:ascii="Times New Roman" w:hAnsi="Times New Roman"/>
          <w:i/>
          <w:sz w:val="24"/>
          <w:szCs w:val="24"/>
        </w:rPr>
      </w:pPr>
      <w:bookmarkStart w:id="3" w:name="1910.1047(d)(3)(i)"/>
      <w:bookmarkEnd w:id="3"/>
      <w:r w:rsidRPr="00565389">
        <w:rPr>
          <w:i/>
          <w:sz w:val="24"/>
        </w:rPr>
        <w:t>§</w:t>
      </w:r>
      <w:r w:rsidRPr="00565389">
        <w:rPr>
          <w:rStyle w:val="blueten1"/>
          <w:rFonts w:ascii="Times New Roman" w:hAnsi="Times New Roman"/>
          <w:bCs/>
          <w:i/>
          <w:sz w:val="24"/>
          <w:szCs w:val="24"/>
        </w:rPr>
        <w:t>1910.1047(d)(3)(i)</w:t>
      </w:r>
      <w:r w:rsidRPr="00565389">
        <w:rPr>
          <w:rStyle w:val="blueten1"/>
          <w:rFonts w:ascii="Times New Roman" w:hAnsi="Times New Roman"/>
          <w:i/>
          <w:sz w:val="24"/>
          <w:szCs w:val="24"/>
        </w:rPr>
        <w:t xml:space="preserve"> </w:t>
      </w:r>
    </w:p>
    <w:p w:rsidR="009C3237" w:rsidRPr="00565389" w:rsidP="009C3237" w14:paraId="0A618B7F" w14:textId="77777777">
      <w:pPr>
        <w:rPr>
          <w:rStyle w:val="blueten1"/>
          <w:rFonts w:ascii="Times New Roman" w:hAnsi="Times New Roman"/>
          <w:sz w:val="24"/>
          <w:szCs w:val="24"/>
        </w:rPr>
      </w:pPr>
    </w:p>
    <w:p w:rsidR="009C3237" w:rsidRPr="00565389" w:rsidP="009C3237" w14:paraId="5B3138F6" w14:textId="77777777">
      <w:pPr>
        <w:rPr>
          <w:sz w:val="24"/>
        </w:rPr>
      </w:pPr>
      <w:r w:rsidRPr="00565389">
        <w:rPr>
          <w:sz w:val="24"/>
        </w:rPr>
        <w:t>If the monitoring required by paragraph (d)(2) of this section reveals employee exposure at or above the action level but at or below the 8-hour TWA, the employer shall repeat such monitoring for each such employee at least every 6 months.</w:t>
      </w:r>
    </w:p>
    <w:p w:rsidR="009C3237" w:rsidRPr="00565389" w:rsidP="009C3237" w14:paraId="0A632D8E" w14:textId="77777777">
      <w:pPr>
        <w:rPr>
          <w:b/>
          <w:i/>
          <w:sz w:val="24"/>
        </w:rPr>
      </w:pPr>
      <w:bookmarkStart w:id="4" w:name="1910.1047(d)(3)(ii)"/>
      <w:bookmarkEnd w:id="4"/>
    </w:p>
    <w:p w:rsidR="009C3237" w:rsidRPr="00565389" w:rsidP="009C3237" w14:paraId="19D7618D"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1910.1047(d)(3)(ii)</w:t>
      </w:r>
      <w:r w:rsidRPr="00565389">
        <w:rPr>
          <w:rStyle w:val="blueten1"/>
          <w:rFonts w:ascii="Times New Roman" w:hAnsi="Times New Roman"/>
          <w:i/>
          <w:sz w:val="24"/>
          <w:szCs w:val="24"/>
        </w:rPr>
        <w:t xml:space="preserve"> </w:t>
      </w:r>
    </w:p>
    <w:p w:rsidR="009C3237" w:rsidRPr="00565389" w:rsidP="009C3237" w14:paraId="76C62434" w14:textId="77777777">
      <w:pPr>
        <w:rPr>
          <w:rStyle w:val="blueten1"/>
          <w:rFonts w:ascii="Times New Roman" w:hAnsi="Times New Roman"/>
          <w:sz w:val="24"/>
          <w:szCs w:val="24"/>
        </w:rPr>
      </w:pPr>
    </w:p>
    <w:p w:rsidR="009C3237" w:rsidP="009C3237" w14:paraId="2A67D1C2" w14:textId="77777777">
      <w:pPr>
        <w:rPr>
          <w:sz w:val="24"/>
        </w:rPr>
      </w:pPr>
      <w:r w:rsidRPr="00565389">
        <w:rPr>
          <w:sz w:val="24"/>
        </w:rPr>
        <w:t>If the monitoring required by paragraph (d)(2)(i) of this section reveals employee exposure above the 8-hour TWA, the employer shall repeat such monitoring for each such employee at least every 3 months.</w:t>
      </w:r>
    </w:p>
    <w:p w:rsidR="009C3237" w:rsidRPr="00565389" w:rsidP="009C3237" w14:paraId="6BE6C47C" w14:textId="77777777">
      <w:pPr>
        <w:rPr>
          <w:sz w:val="24"/>
        </w:rPr>
      </w:pPr>
    </w:p>
    <w:p w:rsidR="009C3237" w:rsidRPr="00565389" w:rsidP="009C3237" w14:paraId="0F0CAE0E" w14:textId="77777777">
      <w:pPr>
        <w:rPr>
          <w:rStyle w:val="blueten1"/>
          <w:rFonts w:ascii="Times New Roman" w:hAnsi="Times New Roman"/>
          <w:i/>
          <w:sz w:val="24"/>
          <w:szCs w:val="24"/>
        </w:rPr>
      </w:pPr>
      <w:bookmarkStart w:id="5" w:name="1910.1047(d)(3)(iii)"/>
      <w:bookmarkEnd w:id="5"/>
      <w:r w:rsidRPr="00565389">
        <w:rPr>
          <w:i/>
          <w:sz w:val="24"/>
        </w:rPr>
        <w:t>§</w:t>
      </w:r>
      <w:r w:rsidRPr="00565389">
        <w:rPr>
          <w:rStyle w:val="blueten1"/>
          <w:rFonts w:ascii="Times New Roman" w:hAnsi="Times New Roman"/>
          <w:bCs/>
          <w:i/>
          <w:sz w:val="24"/>
          <w:szCs w:val="24"/>
        </w:rPr>
        <w:t>1910.1047(d)(3)(iii)</w:t>
      </w:r>
      <w:r w:rsidRPr="00565389">
        <w:rPr>
          <w:rStyle w:val="blueten1"/>
          <w:rFonts w:ascii="Times New Roman" w:hAnsi="Times New Roman"/>
          <w:i/>
          <w:sz w:val="24"/>
          <w:szCs w:val="24"/>
        </w:rPr>
        <w:t xml:space="preserve"> </w:t>
      </w:r>
    </w:p>
    <w:p w:rsidR="009C3237" w:rsidRPr="00565389" w:rsidP="009C3237" w14:paraId="747DFCDD" w14:textId="77777777">
      <w:pPr>
        <w:rPr>
          <w:rStyle w:val="blueten1"/>
          <w:rFonts w:ascii="Times New Roman" w:hAnsi="Times New Roman"/>
          <w:sz w:val="24"/>
          <w:szCs w:val="24"/>
        </w:rPr>
      </w:pPr>
    </w:p>
    <w:p w:rsidR="009C3237" w:rsidRPr="00565389" w:rsidP="009C3237" w14:paraId="205AA9D1" w14:textId="77777777">
      <w:pPr>
        <w:rPr>
          <w:sz w:val="24"/>
        </w:rPr>
      </w:pPr>
      <w:r w:rsidRPr="00565389">
        <w:rPr>
          <w:sz w:val="24"/>
        </w:rPr>
        <w:t>The employer may alter the monitoring schedule from quarterly to semiannually for any employee for whom two consecutive measurements taken at least 7 days apart indicate that the employee's exposure has decreased to or below the 8-hour TWA.</w:t>
      </w:r>
    </w:p>
    <w:p w:rsidR="009C3237" w:rsidRPr="00565389" w:rsidP="009C3237" w14:paraId="51317065" w14:textId="77777777">
      <w:pPr>
        <w:rPr>
          <w:i/>
          <w:sz w:val="24"/>
        </w:rPr>
      </w:pPr>
      <w:bookmarkStart w:id="6" w:name="1910.1047(d)(3)(iv)"/>
      <w:bookmarkEnd w:id="6"/>
    </w:p>
    <w:p w:rsidR="009C3237" w:rsidRPr="00565389" w:rsidP="009C3237" w14:paraId="70B1B8BE"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1910.1047(d)(3)(iv)</w:t>
      </w:r>
      <w:r w:rsidRPr="00565389">
        <w:rPr>
          <w:rStyle w:val="blueten1"/>
          <w:rFonts w:ascii="Times New Roman" w:hAnsi="Times New Roman"/>
          <w:i/>
          <w:sz w:val="24"/>
          <w:szCs w:val="24"/>
        </w:rPr>
        <w:t xml:space="preserve"> </w:t>
      </w:r>
    </w:p>
    <w:p w:rsidR="009C3237" w:rsidRPr="00565389" w:rsidP="009C3237" w14:paraId="6D0939FF" w14:textId="77777777">
      <w:pPr>
        <w:rPr>
          <w:rStyle w:val="blueten1"/>
          <w:rFonts w:ascii="Times New Roman" w:hAnsi="Times New Roman"/>
          <w:sz w:val="24"/>
          <w:szCs w:val="24"/>
        </w:rPr>
      </w:pPr>
    </w:p>
    <w:p w:rsidR="009C3237" w:rsidRPr="00565389" w:rsidP="009C3237" w14:paraId="1602D7E9" w14:textId="77777777">
      <w:pPr>
        <w:rPr>
          <w:sz w:val="24"/>
        </w:rPr>
      </w:pPr>
      <w:r w:rsidRPr="00565389">
        <w:rPr>
          <w:sz w:val="24"/>
        </w:rPr>
        <w:t>If the monitoring required by paragraph (d)(2)(i) of this section reveals employee exposure above the 15 minute excursion limit, the employer shall repeat such monitoring for each such employee at least every 3 months, and more often as necessary to evaluate exposure the employee's short-term exposures.</w:t>
      </w:r>
    </w:p>
    <w:p w:rsidR="009C3237" w:rsidRPr="00565389" w:rsidP="009C3237" w14:paraId="0621CB42" w14:textId="77777777">
      <w:pPr>
        <w:rPr>
          <w:sz w:val="24"/>
        </w:rPr>
      </w:pPr>
    </w:p>
    <w:p w:rsidR="009C3237" w:rsidRPr="00565389" w:rsidP="009C3237" w14:paraId="597F4CA3" w14:textId="77777777">
      <w:pPr>
        <w:rPr>
          <w:sz w:val="24"/>
        </w:rPr>
      </w:pPr>
      <w:r w:rsidRPr="00565389">
        <w:rPr>
          <w:b/>
          <w:sz w:val="24"/>
          <w:u w:val="single"/>
        </w:rPr>
        <w:t>Purpose</w:t>
      </w:r>
      <w:r w:rsidRPr="00565389">
        <w:rPr>
          <w:sz w:val="24"/>
        </w:rPr>
        <w:t>:</w:t>
      </w:r>
      <w:r w:rsidRPr="00565389">
        <w:rPr>
          <w:b/>
          <w:sz w:val="24"/>
        </w:rPr>
        <w:t xml:space="preserve">  </w:t>
      </w:r>
      <w:r w:rsidRPr="00565389">
        <w:rPr>
          <w:sz w:val="24"/>
        </w:rPr>
        <w:t xml:space="preserve">Periodic monitoring allows employers to determine the impact of implemented controls, modifications in process, materials, or environmental conditions on worker exposures to EtO.  Periodic exposure monitoring also enables workers to evaluate the effectiveness of control methods.  </w:t>
      </w:r>
    </w:p>
    <w:p w:rsidR="009C3237" w:rsidRPr="00565389" w:rsidP="009C3237" w14:paraId="03ABE2C2" w14:textId="77777777">
      <w:pPr>
        <w:rPr>
          <w:sz w:val="24"/>
          <w:u w:val="single"/>
        </w:rPr>
      </w:pPr>
    </w:p>
    <w:p w:rsidR="009C3237" w:rsidRPr="00565389" w:rsidP="009C3237" w14:paraId="7426E246" w14:textId="77777777">
      <w:pPr>
        <w:rPr>
          <w:b/>
          <w:i/>
          <w:sz w:val="24"/>
        </w:rPr>
      </w:pPr>
      <w:r w:rsidRPr="00565389">
        <w:rPr>
          <w:b/>
          <w:i/>
          <w:sz w:val="24"/>
        </w:rPr>
        <w:t>C.  Additional monitoring (§1910.1047(d)(5))</w:t>
      </w:r>
    </w:p>
    <w:p w:rsidR="009C3237" w:rsidRPr="00565389" w:rsidP="009C3237" w14:paraId="12C3814E" w14:textId="77777777">
      <w:pPr>
        <w:rPr>
          <w:b/>
          <w:i/>
          <w:sz w:val="24"/>
        </w:rPr>
      </w:pPr>
    </w:p>
    <w:p w:rsidR="009C3237" w:rsidRPr="00565389" w:rsidP="009C3237" w14:paraId="71445A22" w14:textId="77777777">
      <w:pPr>
        <w:rPr>
          <w:sz w:val="24"/>
        </w:rPr>
      </w:pPr>
      <w:r w:rsidRPr="00565389">
        <w:rPr>
          <w:sz w:val="24"/>
        </w:rPr>
        <w:t>Notwithstanding the provisions of paragraph (d)(4) of this section, the employer shall institute the exposure monitoring required under paragraphs (d)(2)(i) and (d)(3) of this section whenever there has been a change in the production, process, control equipment, personnel or work practices that may result in new or additional exposures to EtO or when the employer has any reason to suspect that a change may result in new or additional exposures.</w:t>
      </w:r>
    </w:p>
    <w:p w:rsidR="009C3237" w:rsidRPr="00565389" w:rsidP="009C3237" w14:paraId="6642D185" w14:textId="77777777">
      <w:pPr>
        <w:rPr>
          <w:i/>
          <w:sz w:val="24"/>
        </w:rPr>
      </w:pPr>
    </w:p>
    <w:p w:rsidR="009C3237" w:rsidRPr="00565389" w:rsidP="009C3237" w14:paraId="2C6CCF3B" w14:textId="0215B498">
      <w:pPr>
        <w:rPr>
          <w:sz w:val="24"/>
        </w:rPr>
      </w:pPr>
      <w:r w:rsidRPr="00565389">
        <w:rPr>
          <w:b/>
          <w:sz w:val="24"/>
          <w:u w:val="single"/>
        </w:rPr>
        <w:t>Purpose</w:t>
      </w:r>
      <w:r w:rsidRPr="00565389">
        <w:rPr>
          <w:sz w:val="24"/>
        </w:rPr>
        <w:t>:</w:t>
      </w:r>
      <w:r w:rsidRPr="00565389">
        <w:rPr>
          <w:b/>
          <w:sz w:val="24"/>
        </w:rPr>
        <w:t xml:space="preserve">  </w:t>
      </w:r>
      <w:r w:rsidRPr="00565389">
        <w:rPr>
          <w:sz w:val="24"/>
        </w:rPr>
        <w:t xml:space="preserve">Changes in production, process, control equipment, and new personnel may lead to an increase in worker exposure levels.  Additional monitoring is necessary so that the employer may take action to protect workers, such as providing appropriate respiratory equipment or instituting engineering controls.  Additional monitoring ensures that the work area is </w:t>
      </w:r>
      <w:r w:rsidRPr="00565389" w:rsidR="00902053">
        <w:rPr>
          <w:sz w:val="24"/>
        </w:rPr>
        <w:t>safe or</w:t>
      </w:r>
      <w:r w:rsidRPr="00565389">
        <w:rPr>
          <w:sz w:val="24"/>
        </w:rPr>
        <w:t xml:space="preserve"> alerts the employer to the need to increase worker protection.</w:t>
      </w:r>
    </w:p>
    <w:p w:rsidR="009C3237" w:rsidRPr="00565389" w:rsidP="009C3237" w14:paraId="6556E432" w14:textId="77777777">
      <w:pPr>
        <w:rPr>
          <w:b/>
          <w:sz w:val="24"/>
          <w:u w:val="single"/>
        </w:rPr>
      </w:pPr>
    </w:p>
    <w:p w:rsidR="009C3237" w:rsidRPr="00565389" w:rsidP="009C3237" w14:paraId="517D433B" w14:textId="77777777">
      <w:pPr>
        <w:rPr>
          <w:b/>
          <w:i/>
          <w:sz w:val="24"/>
        </w:rPr>
      </w:pPr>
      <w:r w:rsidRPr="00565389">
        <w:rPr>
          <w:b/>
          <w:i/>
          <w:sz w:val="24"/>
        </w:rPr>
        <w:t>D.  Employee notification of monitoring results (§1910.1047(d)(7))</w:t>
      </w:r>
    </w:p>
    <w:p w:rsidR="009C3237" w:rsidRPr="00565389" w:rsidP="009C3237" w14:paraId="4D890BF2" w14:textId="77777777">
      <w:pPr>
        <w:rPr>
          <w:b/>
          <w:i/>
          <w:sz w:val="24"/>
        </w:rPr>
      </w:pPr>
    </w:p>
    <w:p w:rsidR="009C3237" w:rsidRPr="00565389" w:rsidP="009C3237" w14:paraId="1D9C10C4"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1910.1047(d)(7)(i)</w:t>
      </w:r>
      <w:r w:rsidRPr="00565389">
        <w:rPr>
          <w:rStyle w:val="blueten1"/>
          <w:rFonts w:ascii="Times New Roman" w:hAnsi="Times New Roman"/>
          <w:i/>
          <w:sz w:val="24"/>
          <w:szCs w:val="24"/>
        </w:rPr>
        <w:t xml:space="preserve"> </w:t>
      </w:r>
    </w:p>
    <w:p w:rsidR="009C3237" w:rsidRPr="00565389" w:rsidP="009C3237" w14:paraId="073BFE7B" w14:textId="77777777">
      <w:pPr>
        <w:rPr>
          <w:rStyle w:val="blueten1"/>
          <w:rFonts w:ascii="Times New Roman" w:hAnsi="Times New Roman"/>
          <w:sz w:val="24"/>
          <w:szCs w:val="24"/>
        </w:rPr>
      </w:pPr>
    </w:p>
    <w:p w:rsidR="009C3237" w:rsidRPr="00565389" w:rsidP="009C3237" w14:paraId="239E6EE8" w14:textId="77777777">
      <w:pPr>
        <w:rPr>
          <w:sz w:val="24"/>
        </w:rPr>
      </w:pPr>
      <w:r w:rsidRPr="00565389">
        <w:rPr>
          <w:sz w:val="24"/>
        </w:rPr>
        <w:t>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rsidR="009C3237" w:rsidRPr="00565389" w:rsidP="009C3237" w14:paraId="101172EE" w14:textId="77777777">
      <w:pPr>
        <w:rPr>
          <w:rStyle w:val="blueten1"/>
          <w:rFonts w:ascii="Times New Roman" w:hAnsi="Times New Roman"/>
          <w:b/>
          <w:bCs/>
          <w:sz w:val="24"/>
          <w:szCs w:val="24"/>
        </w:rPr>
      </w:pPr>
      <w:bookmarkStart w:id="7" w:name="1910.1047(d)(7)(ii)"/>
      <w:bookmarkEnd w:id="7"/>
    </w:p>
    <w:p w:rsidR="009C3237" w:rsidRPr="00565389" w:rsidP="009C3237" w14:paraId="0872D43B"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1910.1047(d)(7)(ii)</w:t>
      </w:r>
      <w:r w:rsidRPr="00565389">
        <w:rPr>
          <w:rStyle w:val="blueten1"/>
          <w:rFonts w:ascii="Times New Roman" w:hAnsi="Times New Roman"/>
          <w:i/>
          <w:sz w:val="24"/>
          <w:szCs w:val="24"/>
        </w:rPr>
        <w:t xml:space="preserve"> </w:t>
      </w:r>
    </w:p>
    <w:p w:rsidR="009C3237" w:rsidRPr="00565389" w:rsidP="009C3237" w14:paraId="38447EA7" w14:textId="77777777">
      <w:pPr>
        <w:rPr>
          <w:sz w:val="24"/>
        </w:rPr>
      </w:pPr>
    </w:p>
    <w:p w:rsidR="009C3237" w:rsidRPr="00565389" w:rsidP="009C3237" w14:paraId="36BB8E62" w14:textId="77777777">
      <w:pPr>
        <w:rPr>
          <w:sz w:val="24"/>
        </w:rPr>
      </w:pPr>
      <w:r w:rsidRPr="00565389">
        <w:rPr>
          <w:sz w:val="24"/>
        </w:rPr>
        <w:t>The written notification required by paragraph (d)(7)(i) of this section shall contain the corrective action being taken by the employer to reduce employee exposure to or below the TWA and/or excursion limit, wherever monitoring results indicated that the TWA and/or excursion limit has been exceeded.</w:t>
      </w:r>
    </w:p>
    <w:p w:rsidR="009C3237" w:rsidRPr="00565389" w:rsidP="009C3237" w14:paraId="5452048A" w14:textId="77777777">
      <w:pPr>
        <w:rPr>
          <w:sz w:val="24"/>
        </w:rPr>
      </w:pPr>
    </w:p>
    <w:p w:rsidR="009C3237" w:rsidRPr="00565389" w:rsidP="009C3237" w14:paraId="69851226" w14:textId="77777777">
      <w:pPr>
        <w:rPr>
          <w:sz w:val="24"/>
        </w:rPr>
      </w:pPr>
      <w:r w:rsidRPr="00565389">
        <w:rPr>
          <w:b/>
          <w:sz w:val="24"/>
          <w:u w:val="single"/>
        </w:rPr>
        <w:t>Purpose</w:t>
      </w:r>
      <w:r w:rsidRPr="00565389">
        <w:rPr>
          <w:sz w:val="24"/>
        </w:rPr>
        <w:t>:</w:t>
      </w:r>
      <w:r w:rsidRPr="00565389">
        <w:rPr>
          <w:b/>
          <w:sz w:val="24"/>
        </w:rPr>
        <w:t xml:space="preserve">  </w:t>
      </w:r>
      <w:r w:rsidRPr="00565389">
        <w:rPr>
          <w:sz w:val="24"/>
        </w:rPr>
        <w:t>This notification requirement assures that each worker receives accurate exposure data and, in addition, provides them with information regarding the specific actions the employer is taking to lower their exposures and to furnish them with a safe and healthful workplace in accordance with section 8(c)(3) of the Act.</w:t>
      </w:r>
    </w:p>
    <w:p w:rsidR="009C3237" w:rsidRPr="00565389" w:rsidP="009C3237" w14:paraId="31162ADA" w14:textId="77777777">
      <w:pPr>
        <w:rPr>
          <w:sz w:val="24"/>
        </w:rPr>
      </w:pPr>
    </w:p>
    <w:p w:rsidR="009C3237" w:rsidRPr="00565389" w:rsidP="009C3237" w14:paraId="3A76A804" w14:textId="77777777">
      <w:pPr>
        <w:rPr>
          <w:b/>
          <w:bCs/>
          <w:i/>
          <w:sz w:val="24"/>
        </w:rPr>
      </w:pPr>
      <w:bookmarkStart w:id="8" w:name="1910.1047(f)(1)"/>
      <w:bookmarkEnd w:id="8"/>
      <w:r w:rsidRPr="00565389">
        <w:rPr>
          <w:b/>
          <w:bCs/>
          <w:i/>
          <w:sz w:val="24"/>
        </w:rPr>
        <w:t>E.  Compliance program (§1910.1047(f)(2))</w:t>
      </w:r>
    </w:p>
    <w:p w:rsidR="009C3237" w:rsidRPr="00565389" w:rsidP="009C3237" w14:paraId="75186B7B" w14:textId="77777777">
      <w:pPr>
        <w:rPr>
          <w:b/>
          <w:bCs/>
          <w:i/>
          <w:sz w:val="24"/>
        </w:rPr>
      </w:pPr>
    </w:p>
    <w:p w:rsidR="009C3237" w:rsidRPr="00565389" w:rsidP="009C3237" w14:paraId="44E03935" w14:textId="77777777">
      <w:pPr>
        <w:rPr>
          <w:rStyle w:val="blueten1"/>
          <w:rFonts w:ascii="Times New Roman" w:hAnsi="Times New Roman"/>
          <w:i/>
          <w:sz w:val="24"/>
          <w:szCs w:val="24"/>
        </w:rPr>
      </w:pPr>
      <w:r w:rsidRPr="00565389">
        <w:rPr>
          <w:bCs/>
          <w:i/>
          <w:sz w:val="24"/>
        </w:rPr>
        <w:t>§</w:t>
      </w:r>
      <w:r w:rsidRPr="00565389">
        <w:rPr>
          <w:rStyle w:val="blueten1"/>
          <w:rFonts w:ascii="Times New Roman" w:hAnsi="Times New Roman"/>
          <w:bCs/>
          <w:i/>
          <w:sz w:val="24"/>
          <w:szCs w:val="24"/>
        </w:rPr>
        <w:t>1910.1047(f)(2)(i)</w:t>
      </w:r>
      <w:r w:rsidRPr="00565389">
        <w:rPr>
          <w:rStyle w:val="blueten1"/>
          <w:rFonts w:ascii="Times New Roman" w:hAnsi="Times New Roman"/>
          <w:i/>
          <w:sz w:val="24"/>
          <w:szCs w:val="24"/>
        </w:rPr>
        <w:t xml:space="preserve"> </w:t>
      </w:r>
    </w:p>
    <w:p w:rsidR="009C3237" w:rsidRPr="00565389" w:rsidP="009C3237" w14:paraId="68FF72E7" w14:textId="77777777">
      <w:pPr>
        <w:rPr>
          <w:rStyle w:val="blueten1"/>
          <w:rFonts w:ascii="Times New Roman" w:hAnsi="Times New Roman"/>
          <w:i/>
          <w:sz w:val="24"/>
          <w:szCs w:val="24"/>
        </w:rPr>
      </w:pPr>
    </w:p>
    <w:p w:rsidR="009C3237" w:rsidRPr="00565389" w:rsidP="009C3237" w14:paraId="2AE80127" w14:textId="77777777">
      <w:pPr>
        <w:rPr>
          <w:sz w:val="24"/>
        </w:rPr>
      </w:pPr>
      <w:r w:rsidRPr="00565389">
        <w:rPr>
          <w:sz w:val="24"/>
        </w:rPr>
        <w:t>Where the TWA or excursion limit is exceeded, the employer shall establish and implement a written program to reduce exposure to or below the TWA and to or below the excursion limit by means of engineering and work practice controls, as required by paragraph (f)(1) of this section, and by the use of respiratory protection where required or permitted under this section.</w:t>
      </w:r>
    </w:p>
    <w:p w:rsidR="009C3237" w:rsidRPr="00565389" w:rsidP="009C3237" w14:paraId="21810AF7" w14:textId="77777777">
      <w:pPr>
        <w:rPr>
          <w:bCs/>
          <w:i/>
          <w:sz w:val="24"/>
        </w:rPr>
      </w:pPr>
      <w:bookmarkStart w:id="9" w:name="1910.1047(f)(2)(ii)"/>
      <w:bookmarkEnd w:id="9"/>
    </w:p>
    <w:p w:rsidR="009C3237" w:rsidRPr="00565389" w:rsidP="009C3237" w14:paraId="6E8E5861" w14:textId="77777777">
      <w:pPr>
        <w:rPr>
          <w:rStyle w:val="blueten1"/>
          <w:rFonts w:ascii="Times New Roman" w:hAnsi="Times New Roman"/>
          <w:i/>
          <w:sz w:val="24"/>
          <w:szCs w:val="24"/>
        </w:rPr>
      </w:pPr>
      <w:r w:rsidRPr="00565389">
        <w:rPr>
          <w:bCs/>
          <w:i/>
          <w:sz w:val="24"/>
        </w:rPr>
        <w:t>§</w:t>
      </w:r>
      <w:r w:rsidRPr="00565389">
        <w:rPr>
          <w:rStyle w:val="blueten1"/>
          <w:rFonts w:ascii="Times New Roman" w:hAnsi="Times New Roman"/>
          <w:bCs/>
          <w:i/>
          <w:sz w:val="24"/>
          <w:szCs w:val="24"/>
        </w:rPr>
        <w:t>1910.1047(f)(2)(ii)</w:t>
      </w:r>
      <w:r w:rsidRPr="00565389">
        <w:rPr>
          <w:rStyle w:val="blueten1"/>
          <w:rFonts w:ascii="Times New Roman" w:hAnsi="Times New Roman"/>
          <w:i/>
          <w:sz w:val="24"/>
          <w:szCs w:val="24"/>
        </w:rPr>
        <w:t xml:space="preserve"> </w:t>
      </w:r>
    </w:p>
    <w:p w:rsidR="009C3237" w:rsidRPr="00565389" w:rsidP="009C3237" w14:paraId="65E17959" w14:textId="77777777">
      <w:pPr>
        <w:rPr>
          <w:sz w:val="24"/>
        </w:rPr>
      </w:pPr>
      <w:r w:rsidRPr="00565389">
        <w:rPr>
          <w:sz w:val="24"/>
        </w:rPr>
        <w:t xml:space="preserve"> </w:t>
      </w:r>
    </w:p>
    <w:p w:rsidR="009C3237" w:rsidRPr="00565389" w:rsidP="009C3237" w14:paraId="15F92BC5" w14:textId="77777777">
      <w:pPr>
        <w:rPr>
          <w:sz w:val="24"/>
        </w:rPr>
      </w:pPr>
      <w:r w:rsidRPr="00565389">
        <w:rPr>
          <w:sz w:val="24"/>
        </w:rPr>
        <w:t>The compliance program shall include a schedule for periodic leak detection surveys and a written plan for emergency situations, as specified in paragraph (h)(1)(i) of this section.</w:t>
      </w:r>
    </w:p>
    <w:p w:rsidR="009C3237" w:rsidRPr="00565389" w:rsidP="009C3237" w14:paraId="1310CF47" w14:textId="77777777">
      <w:pPr>
        <w:rPr>
          <w:bCs/>
          <w:i/>
          <w:sz w:val="24"/>
        </w:rPr>
      </w:pPr>
      <w:bookmarkStart w:id="10" w:name="1910.1047(f)(2)(iii)"/>
      <w:bookmarkEnd w:id="10"/>
    </w:p>
    <w:p w:rsidR="009C3237" w:rsidRPr="00565389" w:rsidP="009C3237" w14:paraId="06EC9ECE" w14:textId="77777777">
      <w:pPr>
        <w:rPr>
          <w:rStyle w:val="blueten1"/>
          <w:rFonts w:ascii="Times New Roman" w:hAnsi="Times New Roman"/>
          <w:i/>
          <w:sz w:val="24"/>
          <w:szCs w:val="24"/>
        </w:rPr>
      </w:pPr>
      <w:r w:rsidRPr="00565389">
        <w:rPr>
          <w:bCs/>
          <w:i/>
          <w:sz w:val="24"/>
        </w:rPr>
        <w:t>§</w:t>
      </w:r>
      <w:r w:rsidRPr="00565389">
        <w:rPr>
          <w:rStyle w:val="blueten1"/>
          <w:rFonts w:ascii="Times New Roman" w:hAnsi="Times New Roman"/>
          <w:bCs/>
          <w:i/>
          <w:sz w:val="24"/>
          <w:szCs w:val="24"/>
        </w:rPr>
        <w:t>1910.1047(f)(2)(iii)</w:t>
      </w:r>
      <w:r w:rsidRPr="00565389">
        <w:rPr>
          <w:rStyle w:val="blueten1"/>
          <w:rFonts w:ascii="Times New Roman" w:hAnsi="Times New Roman"/>
          <w:i/>
          <w:sz w:val="24"/>
          <w:szCs w:val="24"/>
        </w:rPr>
        <w:t xml:space="preserve"> </w:t>
      </w:r>
    </w:p>
    <w:p w:rsidR="009C3237" w:rsidRPr="00565389" w:rsidP="009C3237" w14:paraId="3E94E74E" w14:textId="77777777">
      <w:pPr>
        <w:rPr>
          <w:sz w:val="24"/>
        </w:rPr>
      </w:pPr>
    </w:p>
    <w:p w:rsidR="009C3237" w:rsidRPr="00565389" w:rsidP="009C3237" w14:paraId="717A6417" w14:textId="2E3519F0">
      <w:pPr>
        <w:rPr>
          <w:sz w:val="24"/>
        </w:rPr>
      </w:pPr>
      <w:r w:rsidRPr="00565389">
        <w:rPr>
          <w:sz w:val="24"/>
        </w:rPr>
        <w:t xml:space="preserve">Written plans for a program required in paragraph (f)(2) shall be developed and furnished upon request for examination and copying to the Assistant Secretary, the Director, affected employees and designated employee representatives.  Such plans shall be reviewed at least every 12 </w:t>
      </w:r>
      <w:r w:rsidRPr="00565389" w:rsidR="00902053">
        <w:rPr>
          <w:sz w:val="24"/>
        </w:rPr>
        <w:t>months and</w:t>
      </w:r>
      <w:r w:rsidRPr="00565389">
        <w:rPr>
          <w:sz w:val="24"/>
        </w:rPr>
        <w:t xml:space="preserve"> shall be updated as necessary to reflect significant changes in the status of the employer's compliance program.</w:t>
      </w:r>
    </w:p>
    <w:p w:rsidR="009C3237" w:rsidRPr="00565389" w:rsidP="009C3237" w14:paraId="7F5EAE81" w14:textId="77777777">
      <w:pPr>
        <w:rPr>
          <w:sz w:val="24"/>
        </w:rPr>
      </w:pPr>
    </w:p>
    <w:p w:rsidR="009C3237" w:rsidRPr="00565389" w:rsidP="009C3237" w14:paraId="6E597748" w14:textId="77777777">
      <w:pPr>
        <w:rPr>
          <w:sz w:val="24"/>
        </w:rPr>
      </w:pPr>
      <w:r w:rsidRPr="00565389">
        <w:rPr>
          <w:b/>
          <w:sz w:val="24"/>
          <w:u w:val="single"/>
        </w:rPr>
        <w:t>Purpose</w:t>
      </w:r>
      <w:r w:rsidRPr="00565389">
        <w:rPr>
          <w:sz w:val="24"/>
        </w:rPr>
        <w:t>:</w:t>
      </w:r>
      <w:r w:rsidRPr="00565389">
        <w:rPr>
          <w:b/>
          <w:sz w:val="24"/>
        </w:rPr>
        <w:t xml:space="preserve">  </w:t>
      </w:r>
      <w:r w:rsidRPr="00565389">
        <w:rPr>
          <w:sz w:val="24"/>
        </w:rPr>
        <w:t xml:space="preserve">This requirement commits the employer to evaluating worker exposure and establishing an organized and comprehensive program for reducing worker exposures to or below the PELs.  Revising and updating the written program serves to remind employers to implement and maintain the exposure-control methods required by the Standard.  </w:t>
      </w:r>
    </w:p>
    <w:p w:rsidR="009C3237" w:rsidRPr="00565389" w:rsidP="009C3237" w14:paraId="7941FF10" w14:textId="77777777">
      <w:pPr>
        <w:rPr>
          <w:sz w:val="24"/>
        </w:rPr>
      </w:pPr>
    </w:p>
    <w:p w:rsidR="009C3237" w:rsidRPr="00565389" w:rsidP="009C3237" w14:paraId="73E2F707" w14:textId="77777777">
      <w:pPr>
        <w:rPr>
          <w:sz w:val="24"/>
        </w:rPr>
      </w:pPr>
      <w:r w:rsidRPr="00565389">
        <w:rPr>
          <w:sz w:val="24"/>
        </w:rPr>
        <w:t>OSHA has determined that the requirement for employers to make information available upon request to the Assistant Secretary is not a collection of information; OSHA typically requests access to records during an inspection, and information collected by the Agency during the investigation is not subject to the PRA under 5 CFR 1320.4(a)(2). While NIOSH may use records collected from employers for research purposes, the Agency does not anticipate NIOSH to request employers to make available records during the approval period.  Therefore, the burden for the employer to make this information available to NIOSH is zero. OSHA is not taking burden for this activity under Item 12 of this Supporting Statement.</w:t>
      </w:r>
    </w:p>
    <w:p w:rsidR="009C3237" w:rsidRPr="00565389" w:rsidP="009C3237" w14:paraId="652BCF3C" w14:textId="77777777">
      <w:pPr>
        <w:rPr>
          <w:sz w:val="24"/>
        </w:rPr>
      </w:pPr>
    </w:p>
    <w:p w:rsidR="009C3237" w:rsidRPr="00565389" w:rsidP="009C3237" w14:paraId="5CBA2F33" w14:textId="77777777">
      <w:pPr>
        <w:rPr>
          <w:i/>
          <w:sz w:val="24"/>
        </w:rPr>
      </w:pPr>
      <w:r w:rsidRPr="00565389">
        <w:rPr>
          <w:b/>
          <w:bCs/>
          <w:i/>
          <w:sz w:val="24"/>
        </w:rPr>
        <w:t xml:space="preserve">Respiratory </w:t>
      </w:r>
      <w:r w:rsidRPr="00565389">
        <w:rPr>
          <w:b/>
          <w:bCs/>
          <w:i/>
          <w:color w:val="000000"/>
          <w:sz w:val="24"/>
        </w:rPr>
        <w:t>protection (§</w:t>
      </w:r>
      <w:hyperlink r:id="rId9" w:history="1">
        <w:r w:rsidRPr="00565389">
          <w:rPr>
            <w:rStyle w:val="Hyperlink"/>
            <w:b/>
            <w:bCs/>
            <w:i/>
            <w:color w:val="000000"/>
            <w:sz w:val="24"/>
          </w:rPr>
          <w:t>1910.1047(g)</w:t>
        </w:r>
      </w:hyperlink>
      <w:r w:rsidRPr="00565389">
        <w:rPr>
          <w:rStyle w:val="blueten1"/>
          <w:rFonts w:ascii="Times New Roman" w:hAnsi="Times New Roman"/>
          <w:b/>
          <w:bCs/>
          <w:i/>
          <w:color w:val="000000"/>
          <w:sz w:val="24"/>
          <w:szCs w:val="24"/>
        </w:rPr>
        <w:t>)</w:t>
      </w:r>
      <w:r w:rsidRPr="00565389">
        <w:rPr>
          <w:rStyle w:val="blueten1"/>
          <w:rFonts w:ascii="Times New Roman" w:hAnsi="Times New Roman"/>
          <w:i/>
          <w:color w:val="000000"/>
          <w:sz w:val="24"/>
          <w:szCs w:val="24"/>
        </w:rPr>
        <w:t xml:space="preserve"> </w:t>
      </w:r>
    </w:p>
    <w:p w:rsidR="009C3237" w:rsidRPr="00565389" w:rsidP="009C3237" w14:paraId="6DB1A1C6" w14:textId="77777777">
      <w:pPr>
        <w:rPr>
          <w:b/>
          <w:bCs/>
          <w:sz w:val="24"/>
        </w:rPr>
      </w:pPr>
    </w:p>
    <w:p w:rsidR="009C3237" w:rsidRPr="00565389" w:rsidP="009C3237" w14:paraId="5298187F" w14:textId="77777777">
      <w:pPr>
        <w:rPr>
          <w:sz w:val="24"/>
        </w:rPr>
      </w:pPr>
      <w:bookmarkStart w:id="11" w:name="1910.1047(g)(1)"/>
      <w:bookmarkEnd w:id="11"/>
      <w:r w:rsidRPr="00565389">
        <w:rPr>
          <w:sz w:val="24"/>
        </w:rPr>
        <w:t>For employees who use respirators required by this section, the employer must provide each employee with an appropriate respirator that complies with requirements of this paragraph. Respirators must be used during the following times:</w:t>
      </w:r>
    </w:p>
    <w:p w:rsidR="009C3237" w:rsidRPr="00565389" w:rsidP="009C3237" w14:paraId="2FF0ABCF" w14:textId="77777777">
      <w:pPr>
        <w:rPr>
          <w:sz w:val="24"/>
        </w:rPr>
      </w:pPr>
    </w:p>
    <w:p w:rsidR="009C3237" w:rsidRPr="00565389" w:rsidP="009C3237" w14:paraId="3EFBFEB7" w14:textId="77777777">
      <w:pPr>
        <w:ind w:firstLine="720"/>
        <w:rPr>
          <w:sz w:val="24"/>
        </w:rPr>
      </w:pPr>
      <w:bookmarkStart w:id="12" w:name="1910.1047(g)(1)(i)"/>
      <w:bookmarkEnd w:id="12"/>
      <w:r w:rsidRPr="00565389">
        <w:rPr>
          <w:bCs/>
          <w:i/>
          <w:sz w:val="24"/>
        </w:rPr>
        <w:t>§</w:t>
      </w:r>
      <w:r w:rsidRPr="00565389">
        <w:rPr>
          <w:rStyle w:val="blueten1"/>
          <w:rFonts w:ascii="Times New Roman" w:hAnsi="Times New Roman"/>
          <w:bCs/>
          <w:i/>
          <w:sz w:val="24"/>
          <w:szCs w:val="24"/>
        </w:rPr>
        <w:t>1910.1047(g)(1)(i)</w:t>
      </w:r>
      <w:r w:rsidRPr="00565389">
        <w:rPr>
          <w:rStyle w:val="blueten1"/>
          <w:rFonts w:ascii="Times New Roman" w:hAnsi="Times New Roman"/>
          <w:i/>
          <w:sz w:val="24"/>
          <w:szCs w:val="24"/>
        </w:rPr>
        <w:t xml:space="preserve"> - </w:t>
      </w:r>
      <w:r w:rsidRPr="00565389">
        <w:rPr>
          <w:sz w:val="24"/>
        </w:rPr>
        <w:t xml:space="preserve">Periods necessary to install or implement feasible engineering and </w:t>
      </w:r>
    </w:p>
    <w:p w:rsidR="009C3237" w:rsidP="009C3237" w14:paraId="64677624" w14:textId="77777777">
      <w:pPr>
        <w:ind w:firstLine="720"/>
        <w:rPr>
          <w:sz w:val="24"/>
        </w:rPr>
      </w:pPr>
      <w:r w:rsidRPr="00565389">
        <w:rPr>
          <w:sz w:val="24"/>
        </w:rPr>
        <w:t>work-practice controls.</w:t>
      </w:r>
    </w:p>
    <w:p w:rsidR="009C3237" w:rsidRPr="00565389" w:rsidP="009C3237" w14:paraId="702C1DBD" w14:textId="77777777">
      <w:pPr>
        <w:ind w:firstLine="720"/>
        <w:rPr>
          <w:sz w:val="24"/>
        </w:rPr>
      </w:pPr>
    </w:p>
    <w:p w:rsidR="009C3237" w:rsidRPr="00565389" w:rsidP="009C3237" w14:paraId="677DD39E" w14:textId="77777777">
      <w:pPr>
        <w:ind w:left="720"/>
        <w:rPr>
          <w:sz w:val="24"/>
        </w:rPr>
      </w:pPr>
      <w:bookmarkStart w:id="13" w:name="1910.1047(g)(1)(ii)"/>
      <w:bookmarkEnd w:id="13"/>
      <w:r w:rsidRPr="00565389">
        <w:rPr>
          <w:bCs/>
          <w:i/>
          <w:sz w:val="24"/>
        </w:rPr>
        <w:t>§</w:t>
      </w:r>
      <w:r w:rsidRPr="00565389">
        <w:rPr>
          <w:rStyle w:val="blueten1"/>
          <w:rFonts w:ascii="Times New Roman" w:hAnsi="Times New Roman"/>
          <w:bCs/>
          <w:i/>
          <w:sz w:val="24"/>
          <w:szCs w:val="24"/>
        </w:rPr>
        <w:t>1910.1047(g)(1)(ii)</w:t>
      </w:r>
      <w:r w:rsidRPr="00565389">
        <w:rPr>
          <w:rStyle w:val="blueten1"/>
          <w:rFonts w:ascii="Times New Roman" w:hAnsi="Times New Roman"/>
          <w:i/>
          <w:sz w:val="24"/>
          <w:szCs w:val="24"/>
        </w:rPr>
        <w:t xml:space="preserve"> - </w:t>
      </w:r>
      <w:r w:rsidRPr="00565389">
        <w:rPr>
          <w:sz w:val="24"/>
        </w:rPr>
        <w:t>Work operations, such as maintenance and repair activities and vessel cleaning, for which engineering and work-practice controls are not feasible.</w:t>
      </w:r>
    </w:p>
    <w:p w:rsidR="009C3237" w:rsidRPr="00565389" w:rsidP="009C3237" w14:paraId="612C4D42" w14:textId="77777777">
      <w:pPr>
        <w:rPr>
          <w:rStyle w:val="blueten1"/>
          <w:rFonts w:ascii="Times New Roman" w:hAnsi="Times New Roman"/>
          <w:b/>
          <w:bCs/>
          <w:sz w:val="24"/>
          <w:szCs w:val="24"/>
        </w:rPr>
      </w:pPr>
      <w:bookmarkStart w:id="14" w:name="1910.1047(g)(1)(iii)"/>
      <w:bookmarkEnd w:id="14"/>
    </w:p>
    <w:p w:rsidR="009C3237" w:rsidRPr="00565389" w:rsidP="009C3237" w14:paraId="7B9CB64A" w14:textId="77777777">
      <w:pPr>
        <w:ind w:left="720"/>
        <w:rPr>
          <w:sz w:val="24"/>
        </w:rPr>
      </w:pPr>
      <w:r w:rsidRPr="00565389">
        <w:rPr>
          <w:bCs/>
          <w:i/>
          <w:sz w:val="24"/>
        </w:rPr>
        <w:t>§</w:t>
      </w:r>
      <w:r w:rsidRPr="00565389">
        <w:rPr>
          <w:rStyle w:val="blueten1"/>
          <w:rFonts w:ascii="Times New Roman" w:hAnsi="Times New Roman"/>
          <w:bCs/>
          <w:i/>
          <w:sz w:val="24"/>
          <w:szCs w:val="24"/>
        </w:rPr>
        <w:t>1910.1047(g)(1)(iii)</w:t>
      </w:r>
      <w:r w:rsidRPr="00565389">
        <w:rPr>
          <w:rStyle w:val="blueten1"/>
          <w:rFonts w:ascii="Times New Roman" w:hAnsi="Times New Roman"/>
          <w:i/>
          <w:sz w:val="24"/>
          <w:szCs w:val="24"/>
        </w:rPr>
        <w:t xml:space="preserve"> - </w:t>
      </w:r>
      <w:r w:rsidRPr="00565389">
        <w:rPr>
          <w:sz w:val="24"/>
        </w:rPr>
        <w:t>Work operations for which feasible engineering and work-practice controls are not yet sufficient to reduce employee exposure to or below the TWA.</w:t>
      </w:r>
    </w:p>
    <w:p w:rsidR="009C3237" w:rsidRPr="00565389" w:rsidP="009C3237" w14:paraId="460A2281" w14:textId="77777777">
      <w:pPr>
        <w:rPr>
          <w:rStyle w:val="blueten1"/>
          <w:rFonts w:ascii="Times New Roman" w:hAnsi="Times New Roman"/>
          <w:b/>
          <w:bCs/>
          <w:sz w:val="24"/>
          <w:szCs w:val="24"/>
        </w:rPr>
      </w:pPr>
      <w:bookmarkStart w:id="15" w:name="1910.1047(g)(1)(iv)"/>
      <w:bookmarkEnd w:id="15"/>
    </w:p>
    <w:p w:rsidR="009C3237" w:rsidRPr="00565389" w:rsidP="009C3237" w14:paraId="0DDA7ED1" w14:textId="77777777">
      <w:pPr>
        <w:ind w:firstLine="720"/>
        <w:rPr>
          <w:sz w:val="24"/>
        </w:rPr>
      </w:pPr>
      <w:r w:rsidRPr="00565389">
        <w:rPr>
          <w:bCs/>
          <w:i/>
          <w:sz w:val="24"/>
        </w:rPr>
        <w:t>§</w:t>
      </w:r>
      <w:r w:rsidRPr="00565389">
        <w:rPr>
          <w:rStyle w:val="blueten1"/>
          <w:rFonts w:ascii="Times New Roman" w:hAnsi="Times New Roman"/>
          <w:bCs/>
          <w:i/>
          <w:sz w:val="24"/>
          <w:szCs w:val="24"/>
        </w:rPr>
        <w:t>1910.1047(g)(1)(iv)</w:t>
      </w:r>
      <w:r w:rsidRPr="00565389">
        <w:rPr>
          <w:rStyle w:val="blueten1"/>
          <w:rFonts w:ascii="Times New Roman" w:hAnsi="Times New Roman"/>
          <w:i/>
          <w:sz w:val="24"/>
          <w:szCs w:val="24"/>
        </w:rPr>
        <w:t xml:space="preserve"> - </w:t>
      </w:r>
      <w:r w:rsidRPr="00565389">
        <w:rPr>
          <w:sz w:val="24"/>
        </w:rPr>
        <w:t>Emergencies.</w:t>
      </w:r>
    </w:p>
    <w:p w:rsidR="009C3237" w:rsidRPr="00565389" w:rsidP="009C3237" w14:paraId="123FC423" w14:textId="77777777">
      <w:pPr>
        <w:ind w:firstLine="720"/>
        <w:rPr>
          <w:sz w:val="24"/>
        </w:rPr>
      </w:pPr>
    </w:p>
    <w:p w:rsidR="009C3237" w:rsidRPr="00565389" w:rsidP="009C3237" w14:paraId="33542CA3" w14:textId="77777777">
      <w:pPr>
        <w:rPr>
          <w:rStyle w:val="blueten1"/>
          <w:rFonts w:ascii="Times New Roman" w:hAnsi="Times New Roman"/>
          <w:sz w:val="24"/>
          <w:szCs w:val="24"/>
        </w:rPr>
      </w:pPr>
      <w:r w:rsidRPr="00565389">
        <w:rPr>
          <w:b/>
          <w:bCs/>
          <w:i/>
          <w:iCs/>
          <w:sz w:val="24"/>
        </w:rPr>
        <w:t>Respirator program (</w:t>
      </w:r>
      <w:r w:rsidRPr="00565389">
        <w:rPr>
          <w:b/>
          <w:bCs/>
          <w:i/>
          <w:sz w:val="24"/>
        </w:rPr>
        <w:t>§</w:t>
      </w:r>
      <w:r w:rsidRPr="00565389">
        <w:rPr>
          <w:rStyle w:val="blueten1"/>
          <w:rFonts w:ascii="Times New Roman" w:hAnsi="Times New Roman"/>
          <w:b/>
          <w:bCs/>
          <w:i/>
          <w:sz w:val="24"/>
          <w:szCs w:val="24"/>
        </w:rPr>
        <w:t>1910.1047(g)(2)</w:t>
      </w:r>
      <w:r w:rsidRPr="00565389">
        <w:rPr>
          <w:rStyle w:val="blueten1"/>
          <w:rFonts w:ascii="Times New Roman" w:hAnsi="Times New Roman"/>
          <w:b/>
          <w:i/>
          <w:sz w:val="24"/>
          <w:szCs w:val="24"/>
        </w:rPr>
        <w:t>)</w:t>
      </w:r>
    </w:p>
    <w:p w:rsidR="009C3237" w:rsidRPr="00565389" w:rsidP="009C3237" w14:paraId="3F412C5A" w14:textId="77777777">
      <w:pPr>
        <w:rPr>
          <w:rStyle w:val="blueten1"/>
          <w:rFonts w:ascii="Times New Roman" w:hAnsi="Times New Roman"/>
          <w:i/>
          <w:sz w:val="24"/>
          <w:szCs w:val="24"/>
        </w:rPr>
      </w:pPr>
    </w:p>
    <w:p w:rsidR="009C3237" w:rsidRPr="00565389" w:rsidP="009C3237" w14:paraId="424F48F2" w14:textId="77777777">
      <w:pPr>
        <w:rPr>
          <w:sz w:val="24"/>
        </w:rPr>
      </w:pPr>
      <w:r w:rsidRPr="00565389">
        <w:rPr>
          <w:sz w:val="24"/>
        </w:rPr>
        <w:t xml:space="preserve">The employer must implement a respiratory protection program in accordance with 1910.134 (b) through (d) (except (d)(1)(iii)), and (f) through (m), which covers each employee required by this section to use a respirator. </w:t>
      </w:r>
      <w:bookmarkStart w:id="16" w:name="1910.1047(g)(3)"/>
      <w:bookmarkEnd w:id="16"/>
    </w:p>
    <w:p w:rsidR="009C3237" w:rsidRPr="00565389" w:rsidP="009C3237" w14:paraId="76AE33FE" w14:textId="77777777">
      <w:pPr>
        <w:ind w:firstLine="720"/>
        <w:rPr>
          <w:sz w:val="24"/>
        </w:rPr>
      </w:pPr>
    </w:p>
    <w:p w:rsidR="009C3237" w:rsidRPr="00565389" w:rsidP="009C3237" w14:paraId="140D8D70" w14:textId="77777777">
      <w:pPr>
        <w:rPr>
          <w:sz w:val="24"/>
        </w:rPr>
      </w:pPr>
      <w:r w:rsidRPr="00565389">
        <w:rPr>
          <w:b/>
          <w:sz w:val="24"/>
          <w:u w:val="single"/>
        </w:rPr>
        <w:t>Purpose</w:t>
      </w:r>
      <w:r w:rsidRPr="00565389">
        <w:rPr>
          <w:sz w:val="24"/>
        </w:rPr>
        <w:t xml:space="preserve">: </w:t>
      </w:r>
      <w:r w:rsidRPr="00565389">
        <w:rPr>
          <w:b/>
          <w:sz w:val="24"/>
        </w:rPr>
        <w:t xml:space="preserve"> </w:t>
      </w:r>
      <w:r w:rsidRPr="00565389">
        <w:rPr>
          <w:sz w:val="24"/>
        </w:rPr>
        <w:t>The Respiratory Protection Standard assists employers in protecting the health of workers exposed to airborne contaminants and biological agents.  The respiratory protection collections of information are contained the Respiratory Protection Information Collection Request (ICR), OMB Control Number 1218-0099.  The Respiratory Protection ICR provides the justification, purpose, and burden hours and cost estimates for these provisions.</w:t>
      </w:r>
    </w:p>
    <w:p w:rsidR="009C3237" w:rsidRPr="00565389" w:rsidP="009C3237" w14:paraId="66F7C665" w14:textId="77777777">
      <w:pPr>
        <w:rPr>
          <w:b/>
          <w:bCs/>
          <w:sz w:val="24"/>
        </w:rPr>
      </w:pPr>
    </w:p>
    <w:p w:rsidR="009C3237" w:rsidRPr="00565389" w:rsidP="009C3237" w14:paraId="4A83002F" w14:textId="77777777">
      <w:pPr>
        <w:rPr>
          <w:rStyle w:val="blueten1"/>
          <w:rFonts w:ascii="Times New Roman" w:hAnsi="Times New Roman"/>
          <w:b/>
          <w:i/>
          <w:iCs/>
          <w:sz w:val="24"/>
          <w:szCs w:val="24"/>
        </w:rPr>
      </w:pPr>
      <w:r w:rsidRPr="00565389">
        <w:rPr>
          <w:b/>
          <w:bCs/>
          <w:i/>
          <w:iCs/>
          <w:sz w:val="24"/>
        </w:rPr>
        <w:t xml:space="preserve">G.  Emergency situations - </w:t>
      </w:r>
      <w:bookmarkStart w:id="17" w:name="1910.1047(h)(1)"/>
      <w:bookmarkEnd w:id="17"/>
      <w:r w:rsidRPr="00565389">
        <w:rPr>
          <w:b/>
          <w:i/>
          <w:iCs/>
          <w:sz w:val="24"/>
        </w:rPr>
        <w:t>Written plan</w:t>
      </w:r>
      <w:r w:rsidRPr="00565389">
        <w:rPr>
          <w:b/>
          <w:bCs/>
          <w:i/>
          <w:iCs/>
          <w:sz w:val="24"/>
        </w:rPr>
        <w:t xml:space="preserve"> (§</w:t>
      </w:r>
      <w:hyperlink r:id="rId10" w:history="1">
        <w:r w:rsidRPr="00565389">
          <w:rPr>
            <w:rStyle w:val="Hyperlink"/>
            <w:b/>
            <w:bCs/>
            <w:i/>
            <w:iCs/>
            <w:sz w:val="24"/>
          </w:rPr>
          <w:t>1910.1047(h)(1)</w:t>
        </w:r>
      </w:hyperlink>
      <w:r w:rsidRPr="00565389">
        <w:rPr>
          <w:rStyle w:val="blueten1"/>
          <w:rFonts w:ascii="Times New Roman" w:hAnsi="Times New Roman"/>
          <w:b/>
          <w:i/>
          <w:iCs/>
          <w:sz w:val="24"/>
          <w:szCs w:val="24"/>
        </w:rPr>
        <w:t>)</w:t>
      </w:r>
    </w:p>
    <w:p w:rsidR="009C3237" w:rsidRPr="00565389" w:rsidP="009C3237" w14:paraId="1EAAEFB5" w14:textId="77777777">
      <w:pPr>
        <w:rPr>
          <w:sz w:val="24"/>
        </w:rPr>
      </w:pPr>
    </w:p>
    <w:p w:rsidR="009C3237" w:rsidRPr="00565389" w:rsidP="009C3237" w14:paraId="1EBAA40F" w14:textId="77777777">
      <w:pPr>
        <w:rPr>
          <w:rStyle w:val="blueten1"/>
          <w:rFonts w:ascii="Times New Roman" w:hAnsi="Times New Roman"/>
          <w:i/>
          <w:sz w:val="24"/>
          <w:szCs w:val="24"/>
        </w:rPr>
      </w:pPr>
      <w:bookmarkStart w:id="18" w:name="1910.1047(h)(1)(i)"/>
      <w:bookmarkEnd w:id="18"/>
      <w:r w:rsidRPr="00565389">
        <w:rPr>
          <w:bCs/>
          <w:i/>
          <w:sz w:val="24"/>
        </w:rPr>
        <w:t>§</w:t>
      </w:r>
      <w:r w:rsidRPr="00565389">
        <w:rPr>
          <w:rStyle w:val="blueten1"/>
          <w:rFonts w:ascii="Times New Roman" w:hAnsi="Times New Roman"/>
          <w:bCs/>
          <w:i/>
          <w:sz w:val="24"/>
          <w:szCs w:val="24"/>
        </w:rPr>
        <w:t>1910.1047(h)(1)(i)</w:t>
      </w:r>
      <w:r w:rsidRPr="00565389">
        <w:rPr>
          <w:rStyle w:val="blueten1"/>
          <w:rFonts w:ascii="Times New Roman" w:hAnsi="Times New Roman"/>
          <w:i/>
          <w:sz w:val="24"/>
          <w:szCs w:val="24"/>
        </w:rPr>
        <w:t xml:space="preserve"> </w:t>
      </w:r>
    </w:p>
    <w:p w:rsidR="009C3237" w:rsidRPr="00565389" w:rsidP="009C3237" w14:paraId="79349ADA" w14:textId="77777777">
      <w:pPr>
        <w:rPr>
          <w:rStyle w:val="blueten1"/>
          <w:rFonts w:ascii="Times New Roman" w:hAnsi="Times New Roman"/>
          <w:sz w:val="24"/>
          <w:szCs w:val="24"/>
        </w:rPr>
      </w:pPr>
    </w:p>
    <w:p w:rsidR="009C3237" w:rsidRPr="00565389" w:rsidP="009C3237" w14:paraId="7225A15E" w14:textId="77777777">
      <w:pPr>
        <w:rPr>
          <w:sz w:val="24"/>
        </w:rPr>
      </w:pPr>
      <w:r w:rsidRPr="00565389">
        <w:rPr>
          <w:sz w:val="24"/>
        </w:rPr>
        <w:t>A written plan for emergency situations shall be developed for each workplace where there is a possibility of an emergency.  Appropriate portions of the plan shall be implemented in the event of an emergency.</w:t>
      </w:r>
    </w:p>
    <w:p w:rsidR="009C3237" w:rsidRPr="00565389" w:rsidP="009C3237" w14:paraId="28AC7CE0" w14:textId="77777777">
      <w:pPr>
        <w:rPr>
          <w:sz w:val="24"/>
        </w:rPr>
      </w:pPr>
    </w:p>
    <w:p w:rsidR="009C3237" w:rsidRPr="00565389" w:rsidP="009C3237" w14:paraId="7C3F5C3D" w14:textId="77777777">
      <w:pPr>
        <w:rPr>
          <w:rStyle w:val="blueten1"/>
          <w:rFonts w:ascii="Times New Roman" w:hAnsi="Times New Roman"/>
          <w:i/>
          <w:sz w:val="24"/>
          <w:szCs w:val="24"/>
        </w:rPr>
      </w:pPr>
      <w:bookmarkStart w:id="19" w:name="1910.1047(h)(1)(ii)"/>
      <w:bookmarkEnd w:id="19"/>
      <w:r w:rsidRPr="00565389">
        <w:rPr>
          <w:bCs/>
          <w:i/>
          <w:sz w:val="24"/>
        </w:rPr>
        <w:t>§</w:t>
      </w:r>
      <w:r w:rsidRPr="00565389">
        <w:rPr>
          <w:rStyle w:val="blueten1"/>
          <w:rFonts w:ascii="Times New Roman" w:hAnsi="Times New Roman"/>
          <w:bCs/>
          <w:i/>
          <w:sz w:val="24"/>
          <w:szCs w:val="24"/>
        </w:rPr>
        <w:t>1910.1047(h)(1)(ii)</w:t>
      </w:r>
      <w:r w:rsidRPr="00565389">
        <w:rPr>
          <w:rStyle w:val="blueten1"/>
          <w:rFonts w:ascii="Times New Roman" w:hAnsi="Times New Roman"/>
          <w:i/>
          <w:sz w:val="24"/>
          <w:szCs w:val="24"/>
        </w:rPr>
        <w:t xml:space="preserve"> </w:t>
      </w:r>
    </w:p>
    <w:p w:rsidR="009C3237" w:rsidRPr="00565389" w:rsidP="009C3237" w14:paraId="25C27936" w14:textId="77777777">
      <w:pPr>
        <w:rPr>
          <w:rStyle w:val="blueten1"/>
          <w:rFonts w:ascii="Times New Roman" w:hAnsi="Times New Roman"/>
          <w:sz w:val="24"/>
          <w:szCs w:val="24"/>
        </w:rPr>
      </w:pPr>
    </w:p>
    <w:p w:rsidR="009C3237" w:rsidRPr="00565389" w:rsidP="009C3237" w14:paraId="30B0D992" w14:textId="77777777">
      <w:pPr>
        <w:rPr>
          <w:sz w:val="24"/>
        </w:rPr>
      </w:pPr>
      <w:r w:rsidRPr="00565389">
        <w:rPr>
          <w:sz w:val="24"/>
        </w:rPr>
        <w:t>The plan shall specifically provide that employees engaged in correcting emergency conditions shall be equipped with respiratory protection as required by paragraph (g) of this section until the emergency is abated.</w:t>
      </w:r>
    </w:p>
    <w:p w:rsidR="009C3237" w:rsidRPr="00565389" w:rsidP="009C3237" w14:paraId="0B977E6C" w14:textId="77777777">
      <w:pPr>
        <w:rPr>
          <w:b/>
          <w:bCs/>
          <w:sz w:val="24"/>
        </w:rPr>
      </w:pPr>
      <w:bookmarkStart w:id="20" w:name="1910.1047(h)(1)(iii)"/>
      <w:bookmarkEnd w:id="20"/>
    </w:p>
    <w:p w:rsidR="009C3237" w:rsidRPr="00565389" w:rsidP="009C3237" w14:paraId="4DD9BA8B" w14:textId="77777777">
      <w:pPr>
        <w:rPr>
          <w:rStyle w:val="blueten1"/>
          <w:rFonts w:ascii="Times New Roman" w:hAnsi="Times New Roman"/>
          <w:i/>
          <w:sz w:val="24"/>
          <w:szCs w:val="24"/>
          <w:u w:val="single"/>
        </w:rPr>
      </w:pPr>
      <w:r w:rsidRPr="00565389">
        <w:rPr>
          <w:bCs/>
          <w:i/>
          <w:sz w:val="24"/>
        </w:rPr>
        <w:t>§</w:t>
      </w:r>
      <w:hyperlink r:id="rId11" w:history="1">
        <w:r w:rsidRPr="00565389">
          <w:rPr>
            <w:rStyle w:val="Hyperlink"/>
            <w:bCs/>
            <w:i/>
            <w:sz w:val="24"/>
          </w:rPr>
          <w:t>1910.1047(h)(1)(iii)</w:t>
        </w:r>
      </w:hyperlink>
      <w:r w:rsidRPr="00565389">
        <w:rPr>
          <w:rStyle w:val="blueten1"/>
          <w:rFonts w:ascii="Times New Roman" w:hAnsi="Times New Roman"/>
          <w:i/>
          <w:sz w:val="24"/>
          <w:szCs w:val="24"/>
          <w:u w:val="single"/>
        </w:rPr>
        <w:t xml:space="preserve"> </w:t>
      </w:r>
    </w:p>
    <w:p w:rsidR="009C3237" w:rsidRPr="00565389" w:rsidP="009C3237" w14:paraId="34D64103" w14:textId="77777777">
      <w:pPr>
        <w:rPr>
          <w:rStyle w:val="blueten1"/>
          <w:rFonts w:ascii="Times New Roman" w:hAnsi="Times New Roman"/>
          <w:sz w:val="24"/>
          <w:szCs w:val="24"/>
          <w:u w:val="single"/>
        </w:rPr>
      </w:pPr>
    </w:p>
    <w:p w:rsidR="009C3237" w:rsidRPr="00565389" w:rsidP="009C3237" w14:paraId="1A88D3C1" w14:textId="77777777">
      <w:pPr>
        <w:rPr>
          <w:sz w:val="24"/>
        </w:rPr>
      </w:pPr>
      <w:r w:rsidRPr="00565389">
        <w:rPr>
          <w:sz w:val="24"/>
        </w:rPr>
        <w:t>The plan shall include the elements prescribed in 29 CFR 1910.38 and 29 CFR 1910.39, "Emergency action plans" and "Fire prevention plans," respectively.</w:t>
      </w:r>
    </w:p>
    <w:p w:rsidR="009C3237" w:rsidRPr="00565389" w:rsidP="009C3237" w14:paraId="0E30476B" w14:textId="77777777">
      <w:pPr>
        <w:rPr>
          <w:b/>
          <w:sz w:val="24"/>
          <w:u w:val="single"/>
        </w:rPr>
      </w:pPr>
    </w:p>
    <w:p w:rsidR="009C3237" w:rsidRPr="00565389" w:rsidP="009C3237" w14:paraId="6D307F1A" w14:textId="77777777">
      <w:pPr>
        <w:rPr>
          <w:sz w:val="24"/>
        </w:rPr>
      </w:pPr>
      <w:r w:rsidRPr="00565389">
        <w:rPr>
          <w:b/>
          <w:sz w:val="24"/>
          <w:u w:val="single"/>
        </w:rPr>
        <w:t>Purpose</w:t>
      </w:r>
      <w:r w:rsidRPr="00565389">
        <w:rPr>
          <w:sz w:val="24"/>
        </w:rPr>
        <w:t>:</w:t>
      </w:r>
      <w:r w:rsidRPr="00565389">
        <w:rPr>
          <w:b/>
          <w:sz w:val="24"/>
        </w:rPr>
        <w:t xml:space="preserve">  </w:t>
      </w:r>
      <w:r w:rsidRPr="00565389">
        <w:rPr>
          <w:sz w:val="24"/>
        </w:rPr>
        <w:t>Emergency and fire prevention plans provide workers with information to maximize their personal protection and minimize EtO exposures during an emergency.</w:t>
      </w:r>
    </w:p>
    <w:p w:rsidR="009C3237" w:rsidRPr="00565389" w:rsidP="009C3237" w14:paraId="7889013A" w14:textId="77777777">
      <w:pPr>
        <w:rPr>
          <w:b/>
          <w:bCs/>
          <w:i/>
          <w:iCs/>
          <w:sz w:val="24"/>
        </w:rPr>
      </w:pPr>
    </w:p>
    <w:p w:rsidR="009C3237" w:rsidRPr="00565389" w:rsidP="009C3237" w14:paraId="3B0106C8" w14:textId="77777777">
      <w:pPr>
        <w:rPr>
          <w:i/>
          <w:iCs/>
          <w:sz w:val="24"/>
        </w:rPr>
      </w:pPr>
      <w:r w:rsidRPr="00565389">
        <w:rPr>
          <w:b/>
          <w:bCs/>
          <w:i/>
          <w:iCs/>
          <w:sz w:val="24"/>
        </w:rPr>
        <w:t xml:space="preserve">H.  Medical surveillance </w:t>
      </w:r>
      <w:r w:rsidRPr="00565389">
        <w:rPr>
          <w:b/>
          <w:i/>
          <w:iCs/>
          <w:sz w:val="24"/>
        </w:rPr>
        <w:t>(§1910.1047(i)(1))</w:t>
      </w:r>
      <w:r w:rsidRPr="00565389">
        <w:rPr>
          <w:i/>
          <w:iCs/>
          <w:sz w:val="24"/>
        </w:rPr>
        <w:t xml:space="preserve"> </w:t>
      </w:r>
    </w:p>
    <w:p w:rsidR="009C3237" w:rsidRPr="00565389" w:rsidP="009C3237" w14:paraId="316DF21C" w14:textId="77777777">
      <w:pPr>
        <w:rPr>
          <w:sz w:val="24"/>
        </w:rPr>
      </w:pPr>
    </w:p>
    <w:p w:rsidR="009C3237" w:rsidRPr="00565389" w:rsidP="009C3237" w14:paraId="61EDF2A3" w14:textId="77777777">
      <w:pPr>
        <w:rPr>
          <w:rStyle w:val="blueten1"/>
          <w:rFonts w:ascii="Times New Roman" w:hAnsi="Times New Roman"/>
          <w:b/>
          <w:i/>
          <w:sz w:val="24"/>
          <w:szCs w:val="24"/>
        </w:rPr>
      </w:pPr>
      <w:r w:rsidRPr="00565389">
        <w:rPr>
          <w:b/>
          <w:i/>
          <w:sz w:val="24"/>
        </w:rPr>
        <w:t>Employees covered (§</w:t>
      </w:r>
      <w:r w:rsidRPr="00565389">
        <w:rPr>
          <w:rStyle w:val="blueten1"/>
          <w:rFonts w:ascii="Times New Roman" w:hAnsi="Times New Roman"/>
          <w:b/>
          <w:bCs/>
          <w:i/>
          <w:sz w:val="24"/>
          <w:szCs w:val="24"/>
        </w:rPr>
        <w:t>1910.1047(i)(1)(i))</w:t>
      </w:r>
      <w:r w:rsidRPr="00565389">
        <w:rPr>
          <w:rStyle w:val="blueten1"/>
          <w:rFonts w:ascii="Times New Roman" w:hAnsi="Times New Roman"/>
          <w:b/>
          <w:i/>
          <w:sz w:val="24"/>
          <w:szCs w:val="24"/>
        </w:rPr>
        <w:t xml:space="preserve"> </w:t>
      </w:r>
    </w:p>
    <w:p w:rsidR="009C3237" w:rsidRPr="00565389" w:rsidP="009C3237" w14:paraId="00824896" w14:textId="77777777">
      <w:pPr>
        <w:rPr>
          <w:rStyle w:val="blueten1"/>
          <w:rFonts w:ascii="Times New Roman" w:hAnsi="Times New Roman"/>
          <w:b/>
          <w:bCs/>
          <w:color w:val="757575"/>
          <w:sz w:val="24"/>
          <w:szCs w:val="24"/>
        </w:rPr>
      </w:pPr>
      <w:bookmarkStart w:id="21" w:name="1910.1047(i)(1)(i)(A)"/>
      <w:bookmarkEnd w:id="21"/>
    </w:p>
    <w:p w:rsidR="009C3237" w:rsidRPr="00565389" w:rsidP="009C3237" w14:paraId="21274F27" w14:textId="77777777">
      <w:pPr>
        <w:ind w:left="720"/>
        <w:rPr>
          <w:sz w:val="24"/>
        </w:rPr>
      </w:pPr>
      <w:r w:rsidRPr="00565389">
        <w:rPr>
          <w:sz w:val="24"/>
        </w:rPr>
        <w:t>§</w:t>
      </w:r>
      <w:r w:rsidRPr="00565389">
        <w:rPr>
          <w:rStyle w:val="blueten1"/>
          <w:rFonts w:ascii="Times New Roman" w:hAnsi="Times New Roman"/>
          <w:bCs/>
          <w:sz w:val="24"/>
          <w:szCs w:val="24"/>
        </w:rPr>
        <w:t>1910.1047(i)(1)(i)(A)</w:t>
      </w:r>
      <w:r w:rsidRPr="00565389">
        <w:rPr>
          <w:rStyle w:val="blueten1"/>
          <w:rFonts w:ascii="Times New Roman" w:hAnsi="Times New Roman"/>
          <w:sz w:val="24"/>
          <w:szCs w:val="24"/>
        </w:rPr>
        <w:t xml:space="preserve"> - </w:t>
      </w:r>
      <w:r w:rsidRPr="00565389">
        <w:rPr>
          <w:sz w:val="24"/>
        </w:rPr>
        <w:t>The employer shall institute a medical surveillance program for all employees who are or may be exposed to EtO at or above the action level, without regard to the use of respirators, for at least 30 days a year.</w:t>
      </w:r>
    </w:p>
    <w:p w:rsidR="009C3237" w:rsidRPr="00565389" w:rsidP="009C3237" w14:paraId="7C144888" w14:textId="77777777">
      <w:pPr>
        <w:rPr>
          <w:b/>
          <w:i/>
          <w:sz w:val="24"/>
        </w:rPr>
      </w:pPr>
      <w:bookmarkStart w:id="22" w:name="1910.1047(i)(1)(i)(B)"/>
      <w:bookmarkEnd w:id="22"/>
    </w:p>
    <w:p w:rsidR="009C3237" w:rsidRPr="00565389" w:rsidP="009C3237" w14:paraId="312F8C0C" w14:textId="77777777">
      <w:pPr>
        <w:ind w:left="720"/>
        <w:rPr>
          <w:sz w:val="24"/>
        </w:rPr>
      </w:pPr>
      <w:r w:rsidRPr="00565389">
        <w:rPr>
          <w:sz w:val="24"/>
        </w:rPr>
        <w:t>§</w:t>
      </w:r>
      <w:r w:rsidRPr="00565389">
        <w:rPr>
          <w:rStyle w:val="blueten1"/>
          <w:rFonts w:ascii="Times New Roman" w:hAnsi="Times New Roman"/>
          <w:bCs/>
          <w:sz w:val="24"/>
          <w:szCs w:val="24"/>
        </w:rPr>
        <w:t>1910.1047(i)(1)(i)(B) -</w:t>
      </w:r>
      <w:r w:rsidRPr="00565389">
        <w:rPr>
          <w:rStyle w:val="blueten1"/>
          <w:rFonts w:ascii="Times New Roman" w:hAnsi="Times New Roman"/>
          <w:b/>
          <w:bCs/>
          <w:sz w:val="24"/>
          <w:szCs w:val="24"/>
        </w:rPr>
        <w:t xml:space="preserve"> </w:t>
      </w:r>
      <w:r w:rsidRPr="00565389">
        <w:rPr>
          <w:sz w:val="24"/>
        </w:rPr>
        <w:t>The employer shall make available medical examinations and consultations to all employees who have been exposed to EtO in an emergency situation.</w:t>
      </w:r>
    </w:p>
    <w:p w:rsidR="009C3237" w:rsidRPr="00565389" w:rsidP="009C3237" w14:paraId="081C632F" w14:textId="77777777">
      <w:pPr>
        <w:rPr>
          <w:sz w:val="24"/>
        </w:rPr>
      </w:pPr>
    </w:p>
    <w:p w:rsidR="009C3237" w:rsidRPr="00565389" w:rsidP="009C3237" w14:paraId="4415A5BD" w14:textId="77777777">
      <w:pPr>
        <w:rPr>
          <w:rStyle w:val="blueten1"/>
          <w:rFonts w:ascii="Times New Roman" w:hAnsi="Times New Roman"/>
          <w:b/>
          <w:i/>
          <w:sz w:val="24"/>
          <w:szCs w:val="24"/>
        </w:rPr>
      </w:pPr>
      <w:r w:rsidRPr="00565389">
        <w:rPr>
          <w:b/>
          <w:i/>
          <w:sz w:val="24"/>
        </w:rPr>
        <w:t>Medical examinations and consultations (§</w:t>
      </w:r>
      <w:r w:rsidRPr="00565389">
        <w:rPr>
          <w:rStyle w:val="blueten1"/>
          <w:rFonts w:ascii="Times New Roman" w:hAnsi="Times New Roman"/>
          <w:b/>
          <w:bCs/>
          <w:i/>
          <w:sz w:val="24"/>
          <w:szCs w:val="24"/>
        </w:rPr>
        <w:t>1910.1047(i)(2</w:t>
      </w:r>
      <w:r w:rsidRPr="00565389">
        <w:rPr>
          <w:rStyle w:val="blueten1"/>
          <w:rFonts w:ascii="Times New Roman" w:hAnsi="Times New Roman"/>
          <w:b/>
          <w:i/>
          <w:sz w:val="24"/>
          <w:szCs w:val="24"/>
        </w:rPr>
        <w:t>))</w:t>
      </w:r>
    </w:p>
    <w:p w:rsidR="009C3237" w:rsidRPr="00565389" w:rsidP="009C3237" w14:paraId="0D842F30" w14:textId="77777777">
      <w:pPr>
        <w:rPr>
          <w:rStyle w:val="blueten1"/>
          <w:rFonts w:ascii="Times New Roman" w:hAnsi="Times New Roman"/>
          <w:b/>
          <w:bCs/>
          <w:sz w:val="24"/>
          <w:szCs w:val="24"/>
        </w:rPr>
      </w:pPr>
      <w:bookmarkStart w:id="23" w:name="1910.1047(i)(2)(i)"/>
      <w:bookmarkEnd w:id="23"/>
    </w:p>
    <w:p w:rsidR="009C3237" w:rsidRPr="00565389" w:rsidP="009C3237" w14:paraId="2312EAA7" w14:textId="77777777">
      <w:pPr>
        <w:rPr>
          <w:rStyle w:val="blueten1"/>
          <w:rFonts w:ascii="Times New Roman" w:hAnsi="Times New Roman"/>
          <w:b/>
          <w:bCs/>
          <w:i/>
          <w:sz w:val="24"/>
          <w:szCs w:val="24"/>
        </w:rPr>
      </w:pPr>
      <w:r w:rsidRPr="00565389">
        <w:rPr>
          <w:b/>
          <w:i/>
          <w:sz w:val="24"/>
        </w:rPr>
        <w:t>Frequency (§</w:t>
      </w:r>
      <w:r w:rsidRPr="00565389">
        <w:rPr>
          <w:rStyle w:val="blueten1"/>
          <w:rFonts w:ascii="Times New Roman" w:hAnsi="Times New Roman"/>
          <w:b/>
          <w:bCs/>
          <w:i/>
          <w:sz w:val="24"/>
          <w:szCs w:val="24"/>
        </w:rPr>
        <w:t>1910.1047(i)(2)(i))</w:t>
      </w:r>
    </w:p>
    <w:p w:rsidR="009C3237" w:rsidRPr="00565389" w:rsidP="009C3237" w14:paraId="27C0D492" w14:textId="77777777">
      <w:pPr>
        <w:rPr>
          <w:rStyle w:val="blueten1"/>
          <w:rFonts w:ascii="Times New Roman" w:hAnsi="Times New Roman"/>
          <w:b/>
          <w:i/>
          <w:sz w:val="24"/>
          <w:szCs w:val="24"/>
        </w:rPr>
      </w:pPr>
      <w:r w:rsidRPr="00565389">
        <w:rPr>
          <w:rStyle w:val="blueten1"/>
          <w:rFonts w:ascii="Times New Roman" w:hAnsi="Times New Roman"/>
          <w:b/>
          <w:i/>
          <w:sz w:val="24"/>
          <w:szCs w:val="24"/>
        </w:rPr>
        <w:t xml:space="preserve"> </w:t>
      </w:r>
    </w:p>
    <w:p w:rsidR="009C3237" w:rsidRPr="00565389" w:rsidP="009C3237" w14:paraId="2BA7BEF4" w14:textId="77777777">
      <w:pPr>
        <w:rPr>
          <w:sz w:val="24"/>
        </w:rPr>
      </w:pPr>
      <w:r w:rsidRPr="00565389">
        <w:rPr>
          <w:sz w:val="24"/>
        </w:rPr>
        <w:t>The employer shall make available medical examinations and consultations to each employee covered under paragraph (i)(1)(i) of this section on the following schedules:</w:t>
      </w:r>
    </w:p>
    <w:p w:rsidR="009C3237" w:rsidRPr="00565389" w:rsidP="009C3237" w14:paraId="5D556F48" w14:textId="77777777">
      <w:pPr>
        <w:rPr>
          <w:sz w:val="24"/>
        </w:rPr>
      </w:pPr>
    </w:p>
    <w:p w:rsidR="009C3237" w:rsidRPr="00565389" w:rsidP="009C3237" w14:paraId="319AF26D" w14:textId="77777777">
      <w:pPr>
        <w:ind w:left="720"/>
        <w:rPr>
          <w:sz w:val="24"/>
        </w:rPr>
      </w:pPr>
      <w:bookmarkStart w:id="24" w:name="1910.1047(i)(2)(i)(A)"/>
      <w:bookmarkEnd w:id="24"/>
      <w:r w:rsidRPr="00565389">
        <w:rPr>
          <w:sz w:val="24"/>
        </w:rPr>
        <w:t>§</w:t>
      </w:r>
      <w:r w:rsidRPr="00565389">
        <w:rPr>
          <w:rStyle w:val="blueten1"/>
          <w:rFonts w:ascii="Times New Roman" w:hAnsi="Times New Roman"/>
          <w:bCs/>
          <w:sz w:val="24"/>
          <w:szCs w:val="24"/>
        </w:rPr>
        <w:t>1910.1047(i)(2)(i)(A)</w:t>
      </w:r>
      <w:r w:rsidRPr="00565389">
        <w:rPr>
          <w:rStyle w:val="blueten1"/>
          <w:rFonts w:ascii="Times New Roman" w:hAnsi="Times New Roman"/>
          <w:sz w:val="24"/>
          <w:szCs w:val="24"/>
        </w:rPr>
        <w:t xml:space="preserve"> - </w:t>
      </w:r>
      <w:r w:rsidRPr="00565389">
        <w:rPr>
          <w:sz w:val="24"/>
        </w:rPr>
        <w:t>Prior to assignment of the employee to an area where exposure may be at or above the action level for at least 30 days a year.</w:t>
      </w:r>
    </w:p>
    <w:p w:rsidR="009C3237" w:rsidRPr="00565389" w:rsidP="009C3237" w14:paraId="20530E33" w14:textId="77777777">
      <w:pPr>
        <w:rPr>
          <w:b/>
          <w:i/>
          <w:sz w:val="24"/>
        </w:rPr>
      </w:pPr>
      <w:bookmarkStart w:id="25" w:name="1910.1047(i)(2)(i)(B)"/>
      <w:bookmarkEnd w:id="25"/>
    </w:p>
    <w:p w:rsidR="009C3237" w:rsidRPr="00565389" w:rsidP="009C3237" w14:paraId="2D5482C2" w14:textId="77777777">
      <w:pPr>
        <w:ind w:left="720"/>
        <w:rPr>
          <w:sz w:val="24"/>
        </w:rPr>
      </w:pPr>
      <w:r w:rsidRPr="00565389">
        <w:rPr>
          <w:sz w:val="24"/>
        </w:rPr>
        <w:t>§</w:t>
      </w:r>
      <w:r w:rsidRPr="00565389">
        <w:rPr>
          <w:rStyle w:val="blueten1"/>
          <w:rFonts w:ascii="Times New Roman" w:hAnsi="Times New Roman"/>
          <w:bCs/>
          <w:sz w:val="24"/>
          <w:szCs w:val="24"/>
        </w:rPr>
        <w:t>1910.1047(i)(2)(i)(B)</w:t>
      </w:r>
      <w:r w:rsidRPr="00565389">
        <w:rPr>
          <w:rStyle w:val="blueten1"/>
          <w:rFonts w:ascii="Times New Roman" w:hAnsi="Times New Roman"/>
          <w:sz w:val="24"/>
          <w:szCs w:val="24"/>
        </w:rPr>
        <w:t xml:space="preserve"> - </w:t>
      </w:r>
      <w:r w:rsidRPr="00565389">
        <w:rPr>
          <w:sz w:val="24"/>
        </w:rPr>
        <w:t>At least annually each employee exposed at or above the action level for at least 30 days in the past year.</w:t>
      </w:r>
    </w:p>
    <w:p w:rsidR="009C3237" w:rsidRPr="00565389" w:rsidP="009C3237" w14:paraId="1E292A37" w14:textId="77777777">
      <w:pPr>
        <w:rPr>
          <w:b/>
          <w:i/>
          <w:sz w:val="24"/>
        </w:rPr>
      </w:pPr>
      <w:bookmarkStart w:id="26" w:name="1910.1047(i)(2)(i)(C)"/>
      <w:bookmarkEnd w:id="26"/>
    </w:p>
    <w:p w:rsidR="009C3237" w:rsidRPr="00565389" w:rsidP="009C3237" w14:paraId="2C453C60" w14:textId="77777777">
      <w:pPr>
        <w:ind w:left="720"/>
        <w:rPr>
          <w:sz w:val="24"/>
        </w:rPr>
      </w:pPr>
      <w:r w:rsidRPr="00565389">
        <w:rPr>
          <w:sz w:val="24"/>
        </w:rPr>
        <w:t>§</w:t>
      </w:r>
      <w:r w:rsidRPr="00565389">
        <w:rPr>
          <w:rStyle w:val="blueten1"/>
          <w:rFonts w:ascii="Times New Roman" w:hAnsi="Times New Roman"/>
          <w:bCs/>
          <w:sz w:val="24"/>
          <w:szCs w:val="24"/>
        </w:rPr>
        <w:t>1910.1047(i)(2)(i)(C)</w:t>
      </w:r>
      <w:r w:rsidRPr="00565389">
        <w:rPr>
          <w:rStyle w:val="blueten1"/>
          <w:rFonts w:ascii="Times New Roman" w:hAnsi="Times New Roman"/>
          <w:sz w:val="24"/>
          <w:szCs w:val="24"/>
        </w:rPr>
        <w:t xml:space="preserve"> - </w:t>
      </w:r>
      <w:r w:rsidRPr="00565389">
        <w:rPr>
          <w:sz w:val="24"/>
        </w:rPr>
        <w:t xml:space="preserve">At termination of employment or reassignment to an area where </w:t>
      </w:r>
      <w:r w:rsidRPr="00565389">
        <w:rPr>
          <w:sz w:val="24"/>
        </w:rPr>
        <w:t>exposure to EtO is not at or above the action level for at least 30 days a year.</w:t>
      </w:r>
    </w:p>
    <w:p w:rsidR="009C3237" w:rsidRPr="00565389" w:rsidP="009C3237" w14:paraId="7729F1C8" w14:textId="77777777">
      <w:pPr>
        <w:ind w:firstLine="720"/>
        <w:rPr>
          <w:i/>
          <w:sz w:val="24"/>
        </w:rPr>
      </w:pPr>
      <w:bookmarkStart w:id="27" w:name="1910.1047(i)(2)(i)(D)"/>
      <w:bookmarkEnd w:id="27"/>
    </w:p>
    <w:p w:rsidR="009C3237" w:rsidRPr="00565389" w:rsidP="009C3237" w14:paraId="1F2D8DBA" w14:textId="77777777">
      <w:pPr>
        <w:ind w:left="720"/>
        <w:rPr>
          <w:sz w:val="24"/>
        </w:rPr>
      </w:pPr>
      <w:r w:rsidRPr="00565389">
        <w:rPr>
          <w:sz w:val="24"/>
        </w:rPr>
        <w:t>§</w:t>
      </w:r>
      <w:r w:rsidRPr="00565389">
        <w:rPr>
          <w:rStyle w:val="blueten1"/>
          <w:rFonts w:ascii="Times New Roman" w:hAnsi="Times New Roman"/>
          <w:bCs/>
          <w:sz w:val="24"/>
          <w:szCs w:val="24"/>
        </w:rPr>
        <w:t>1910.1047(i)(2)(i)(D)</w:t>
      </w:r>
      <w:r w:rsidRPr="00565389">
        <w:rPr>
          <w:rStyle w:val="blueten1"/>
          <w:rFonts w:ascii="Times New Roman" w:hAnsi="Times New Roman"/>
          <w:sz w:val="24"/>
          <w:szCs w:val="24"/>
        </w:rPr>
        <w:t xml:space="preserve"> - A</w:t>
      </w:r>
      <w:r w:rsidRPr="00565389">
        <w:rPr>
          <w:sz w:val="24"/>
        </w:rPr>
        <w:t>s medically appropriate for any employee exposed during an emergency.</w:t>
      </w:r>
    </w:p>
    <w:p w:rsidR="009C3237" w:rsidRPr="00565389" w:rsidP="009C3237" w14:paraId="31A2ED04" w14:textId="77777777">
      <w:pPr>
        <w:ind w:firstLine="720"/>
        <w:rPr>
          <w:i/>
          <w:sz w:val="24"/>
        </w:rPr>
      </w:pPr>
      <w:bookmarkStart w:id="28" w:name="1910.1047(i)(2)(i)(E)"/>
      <w:bookmarkEnd w:id="28"/>
    </w:p>
    <w:p w:rsidR="009C3237" w:rsidRPr="00565389" w:rsidP="009C3237" w14:paraId="526B8121" w14:textId="77777777">
      <w:pPr>
        <w:ind w:left="720"/>
        <w:rPr>
          <w:sz w:val="24"/>
        </w:rPr>
      </w:pPr>
      <w:r w:rsidRPr="00565389">
        <w:rPr>
          <w:sz w:val="24"/>
        </w:rPr>
        <w:t>§</w:t>
      </w:r>
      <w:r w:rsidRPr="00565389">
        <w:rPr>
          <w:rStyle w:val="blueten1"/>
          <w:rFonts w:ascii="Times New Roman" w:hAnsi="Times New Roman"/>
          <w:bCs/>
          <w:sz w:val="24"/>
          <w:szCs w:val="24"/>
        </w:rPr>
        <w:t>1910.1047(i)(2)(i)(E)</w:t>
      </w:r>
      <w:r w:rsidRPr="00565389">
        <w:rPr>
          <w:rStyle w:val="blueten1"/>
          <w:rFonts w:ascii="Times New Roman" w:hAnsi="Times New Roman"/>
          <w:sz w:val="24"/>
          <w:szCs w:val="24"/>
        </w:rPr>
        <w:t xml:space="preserve"> - </w:t>
      </w:r>
      <w:r w:rsidRPr="00565389">
        <w:rPr>
          <w:sz w:val="24"/>
        </w:rPr>
        <w:t xml:space="preserve">As soon as possible, upon notification by an employee either (1) that the employee has developed signs or symptoms indicating possible overexposure to </w:t>
      </w:r>
    </w:p>
    <w:p w:rsidR="009C3237" w:rsidRPr="00565389" w:rsidP="009C3237" w14:paraId="01459E31" w14:textId="77777777">
      <w:pPr>
        <w:ind w:left="720"/>
        <w:rPr>
          <w:sz w:val="24"/>
        </w:rPr>
      </w:pPr>
      <w:r w:rsidRPr="00565389">
        <w:rPr>
          <w:sz w:val="24"/>
        </w:rPr>
        <w:t>EtO, or (2) that the employee desires medical advice concerning the effects of current or past exposure to EtO on the employee's ability to produce a healthy child.</w:t>
      </w:r>
    </w:p>
    <w:p w:rsidR="009C3237" w:rsidRPr="00565389" w:rsidP="009C3237" w14:paraId="66D2710D" w14:textId="77777777">
      <w:pPr>
        <w:ind w:firstLine="720"/>
        <w:rPr>
          <w:i/>
          <w:sz w:val="24"/>
        </w:rPr>
      </w:pPr>
      <w:bookmarkStart w:id="29" w:name="1910.1047(i)(2)(i)(F)"/>
      <w:bookmarkEnd w:id="29"/>
    </w:p>
    <w:p w:rsidR="009C3237" w:rsidRPr="00565389" w:rsidP="009C3237" w14:paraId="3247E2DB" w14:textId="77777777">
      <w:pPr>
        <w:ind w:left="720"/>
        <w:rPr>
          <w:sz w:val="24"/>
        </w:rPr>
      </w:pPr>
      <w:r w:rsidRPr="00565389">
        <w:rPr>
          <w:sz w:val="24"/>
        </w:rPr>
        <w:t>§</w:t>
      </w:r>
      <w:r w:rsidRPr="00565389">
        <w:rPr>
          <w:rStyle w:val="blueten1"/>
          <w:rFonts w:ascii="Times New Roman" w:hAnsi="Times New Roman"/>
          <w:bCs/>
          <w:sz w:val="24"/>
          <w:szCs w:val="24"/>
        </w:rPr>
        <w:t>1910.1047(i)(2)(i)(F)</w:t>
      </w:r>
      <w:r w:rsidRPr="00565389">
        <w:rPr>
          <w:rStyle w:val="blueten1"/>
          <w:rFonts w:ascii="Times New Roman" w:hAnsi="Times New Roman"/>
          <w:sz w:val="24"/>
          <w:szCs w:val="24"/>
        </w:rPr>
        <w:t xml:space="preserve"> - </w:t>
      </w:r>
      <w:r w:rsidRPr="00565389">
        <w:rPr>
          <w:sz w:val="24"/>
        </w:rPr>
        <w:t>If the examining physician determines that any of the examinations should be provided more frequently than specified, the employer shall</w:t>
      </w:r>
    </w:p>
    <w:p w:rsidR="009C3237" w:rsidRPr="00565389" w:rsidP="009C3237" w14:paraId="0AD6B66A" w14:textId="77777777">
      <w:pPr>
        <w:ind w:left="720"/>
        <w:rPr>
          <w:sz w:val="24"/>
        </w:rPr>
      </w:pPr>
      <w:r w:rsidRPr="00565389">
        <w:rPr>
          <w:sz w:val="24"/>
        </w:rPr>
        <w:t>provide such examinations to affected employees at the frequencies recommended by the physician.</w:t>
      </w:r>
    </w:p>
    <w:p w:rsidR="009C3237" w:rsidRPr="00565389" w:rsidP="009C3237" w14:paraId="6A20C597" w14:textId="77777777">
      <w:pPr>
        <w:ind w:left="720"/>
        <w:rPr>
          <w:sz w:val="24"/>
        </w:rPr>
      </w:pPr>
    </w:p>
    <w:p w:rsidR="009C3237" w:rsidRPr="00565389" w:rsidP="009C3237" w14:paraId="06491DD5" w14:textId="77777777">
      <w:pPr>
        <w:rPr>
          <w:rStyle w:val="blueten1"/>
          <w:rFonts w:ascii="Times New Roman" w:hAnsi="Times New Roman"/>
          <w:b/>
          <w:i/>
          <w:sz w:val="24"/>
          <w:szCs w:val="24"/>
        </w:rPr>
      </w:pPr>
      <w:r w:rsidRPr="00565389">
        <w:rPr>
          <w:b/>
          <w:i/>
          <w:sz w:val="24"/>
        </w:rPr>
        <w:t>Content (§</w:t>
      </w:r>
      <w:r w:rsidRPr="00565389">
        <w:rPr>
          <w:rStyle w:val="blueten1"/>
          <w:rFonts w:ascii="Times New Roman" w:hAnsi="Times New Roman"/>
          <w:b/>
          <w:bCs/>
          <w:i/>
          <w:sz w:val="24"/>
          <w:szCs w:val="24"/>
        </w:rPr>
        <w:t>1910.1047(i)(2)(ii))</w:t>
      </w:r>
      <w:r w:rsidRPr="00565389">
        <w:rPr>
          <w:rStyle w:val="blueten1"/>
          <w:rFonts w:ascii="Times New Roman" w:hAnsi="Times New Roman"/>
          <w:b/>
          <w:i/>
          <w:sz w:val="24"/>
          <w:szCs w:val="24"/>
        </w:rPr>
        <w:t xml:space="preserve"> </w:t>
      </w:r>
    </w:p>
    <w:p w:rsidR="009C3237" w:rsidRPr="00565389" w:rsidP="009C3237" w14:paraId="3E0A1E0A" w14:textId="77777777">
      <w:pPr>
        <w:rPr>
          <w:rStyle w:val="blueten1"/>
          <w:rFonts w:ascii="Times New Roman" w:hAnsi="Times New Roman"/>
          <w:b/>
          <w:bCs/>
          <w:sz w:val="24"/>
          <w:szCs w:val="24"/>
        </w:rPr>
      </w:pPr>
      <w:bookmarkStart w:id="30" w:name="1910.1047(i)(2)(ii)(A)"/>
      <w:bookmarkEnd w:id="30"/>
    </w:p>
    <w:p w:rsidR="009C3237" w:rsidRPr="00565389" w:rsidP="009C3237" w14:paraId="252F3F2D" w14:textId="77777777">
      <w:pPr>
        <w:ind w:left="720"/>
        <w:rPr>
          <w:sz w:val="24"/>
        </w:rPr>
      </w:pPr>
      <w:r w:rsidRPr="00565389">
        <w:rPr>
          <w:sz w:val="24"/>
        </w:rPr>
        <w:t>§</w:t>
      </w:r>
      <w:r w:rsidRPr="00565389">
        <w:rPr>
          <w:rStyle w:val="blueten1"/>
          <w:rFonts w:ascii="Times New Roman" w:hAnsi="Times New Roman"/>
          <w:bCs/>
          <w:sz w:val="24"/>
          <w:szCs w:val="24"/>
        </w:rPr>
        <w:t>1910.1047(i)(2)(ii)(A)</w:t>
      </w:r>
      <w:r w:rsidRPr="00565389">
        <w:rPr>
          <w:rStyle w:val="blueten1"/>
          <w:rFonts w:ascii="Times New Roman" w:hAnsi="Times New Roman"/>
          <w:sz w:val="24"/>
          <w:szCs w:val="24"/>
        </w:rPr>
        <w:t xml:space="preserve"> - </w:t>
      </w:r>
      <w:r w:rsidRPr="00565389">
        <w:rPr>
          <w:sz w:val="24"/>
        </w:rPr>
        <w:t>Medical examinations made available pursuant to paragraphs (i)(2)(i)(A) through (D) of this section shall include:</w:t>
      </w:r>
    </w:p>
    <w:p w:rsidR="009C3237" w:rsidRPr="00565389" w:rsidP="009C3237" w14:paraId="20975726" w14:textId="77777777">
      <w:pPr>
        <w:ind w:left="720"/>
        <w:rPr>
          <w:sz w:val="24"/>
        </w:rPr>
      </w:pPr>
    </w:p>
    <w:p w:rsidR="009C3237" w:rsidRPr="00565389" w:rsidP="009C3237" w14:paraId="68F71050" w14:textId="77777777">
      <w:pPr>
        <w:ind w:left="720"/>
        <w:rPr>
          <w:sz w:val="24"/>
        </w:rPr>
      </w:pPr>
      <w:bookmarkStart w:id="31" w:name="1910.1047(i)(2)(ii)(A)(1)"/>
      <w:bookmarkEnd w:id="31"/>
      <w:r w:rsidRPr="00565389">
        <w:rPr>
          <w:sz w:val="24"/>
        </w:rPr>
        <w:t>§</w:t>
      </w:r>
      <w:r w:rsidRPr="00565389">
        <w:rPr>
          <w:rStyle w:val="blueten1"/>
          <w:rFonts w:ascii="Times New Roman" w:hAnsi="Times New Roman"/>
          <w:bCs/>
          <w:sz w:val="24"/>
          <w:szCs w:val="24"/>
        </w:rPr>
        <w:t>1910.1047(i)(2)(ii)(A)(1)</w:t>
      </w:r>
      <w:r w:rsidRPr="00565389">
        <w:rPr>
          <w:rStyle w:val="blueten1"/>
          <w:rFonts w:ascii="Times New Roman" w:hAnsi="Times New Roman"/>
          <w:sz w:val="24"/>
          <w:szCs w:val="24"/>
        </w:rPr>
        <w:t xml:space="preserve"> - </w:t>
      </w:r>
      <w:r w:rsidRPr="00565389">
        <w:rPr>
          <w:sz w:val="24"/>
        </w:rPr>
        <w:t>A medical and work history with special emphasis directed to symptoms related to the pulmonary, hematologic, neurologic, and reproductive systems and to the eyes and skin.</w:t>
      </w:r>
    </w:p>
    <w:p w:rsidR="009C3237" w:rsidRPr="00565389" w:rsidP="009C3237" w14:paraId="6939C026" w14:textId="77777777">
      <w:pPr>
        <w:ind w:left="1440"/>
        <w:rPr>
          <w:sz w:val="24"/>
        </w:rPr>
      </w:pPr>
    </w:p>
    <w:p w:rsidR="009C3237" w:rsidRPr="00565389" w:rsidP="009C3237" w14:paraId="678D7201" w14:textId="77777777">
      <w:pPr>
        <w:ind w:left="720"/>
        <w:rPr>
          <w:sz w:val="24"/>
        </w:rPr>
      </w:pPr>
      <w:bookmarkStart w:id="32" w:name="1910.1047(i)(2)(ii)(A)(2)"/>
      <w:bookmarkEnd w:id="32"/>
      <w:r w:rsidRPr="00565389">
        <w:rPr>
          <w:sz w:val="24"/>
        </w:rPr>
        <w:t>§</w:t>
      </w:r>
      <w:r w:rsidRPr="00565389">
        <w:rPr>
          <w:rStyle w:val="blueten1"/>
          <w:rFonts w:ascii="Times New Roman" w:hAnsi="Times New Roman"/>
          <w:bCs/>
          <w:sz w:val="24"/>
          <w:szCs w:val="24"/>
        </w:rPr>
        <w:t>1910.1047(i)(2)(ii)(A)(2)</w:t>
      </w:r>
      <w:r w:rsidRPr="00565389">
        <w:rPr>
          <w:rStyle w:val="blueten1"/>
          <w:rFonts w:ascii="Times New Roman" w:hAnsi="Times New Roman"/>
          <w:sz w:val="24"/>
          <w:szCs w:val="24"/>
        </w:rPr>
        <w:t xml:space="preserve"> - </w:t>
      </w:r>
      <w:r w:rsidRPr="00565389">
        <w:rPr>
          <w:sz w:val="24"/>
        </w:rPr>
        <w:t>A physical examination with particular emphasis given to the pulmonary, hematologic, neurologic, and reproductive systems and to the eyes and skin.</w:t>
      </w:r>
    </w:p>
    <w:p w:rsidR="009C3237" w:rsidRPr="00565389" w:rsidP="009C3237" w14:paraId="385B8866" w14:textId="77777777">
      <w:pPr>
        <w:ind w:left="1440"/>
        <w:rPr>
          <w:sz w:val="24"/>
        </w:rPr>
      </w:pPr>
    </w:p>
    <w:p w:rsidR="009C3237" w:rsidRPr="00565389" w:rsidP="009C3237" w14:paraId="2A8C8A72" w14:textId="77777777">
      <w:pPr>
        <w:ind w:left="720"/>
        <w:rPr>
          <w:sz w:val="24"/>
        </w:rPr>
      </w:pPr>
      <w:bookmarkStart w:id="33" w:name="1910.1047(i)(2)(ii)(A)(3)"/>
      <w:bookmarkEnd w:id="33"/>
      <w:r w:rsidRPr="00565389">
        <w:rPr>
          <w:sz w:val="24"/>
        </w:rPr>
        <w:t>§</w:t>
      </w:r>
      <w:r w:rsidRPr="00565389">
        <w:rPr>
          <w:rStyle w:val="blueten1"/>
          <w:rFonts w:ascii="Times New Roman" w:hAnsi="Times New Roman"/>
          <w:bCs/>
          <w:sz w:val="24"/>
          <w:szCs w:val="24"/>
        </w:rPr>
        <w:t>1910.1047(i)(2)(ii)(A)(3)</w:t>
      </w:r>
      <w:r w:rsidRPr="00565389">
        <w:rPr>
          <w:rStyle w:val="blueten1"/>
          <w:rFonts w:ascii="Times New Roman" w:hAnsi="Times New Roman"/>
          <w:sz w:val="24"/>
          <w:szCs w:val="24"/>
        </w:rPr>
        <w:t xml:space="preserve"> - </w:t>
      </w:r>
      <w:r w:rsidRPr="00565389">
        <w:rPr>
          <w:sz w:val="24"/>
        </w:rPr>
        <w:t>A complete blood count to include at least a white cell count (including differential cell count), red cell count, hematocrit, and hemoglobin.</w:t>
      </w:r>
    </w:p>
    <w:p w:rsidR="009C3237" w:rsidRPr="00565389" w:rsidP="009C3237" w14:paraId="6CA805A3" w14:textId="77777777">
      <w:pPr>
        <w:ind w:left="720" w:firstLine="720"/>
        <w:rPr>
          <w:b/>
          <w:i/>
          <w:sz w:val="24"/>
        </w:rPr>
      </w:pPr>
      <w:bookmarkStart w:id="34" w:name="1910.1047(i)(2)(ii)(A)(4)"/>
      <w:bookmarkEnd w:id="34"/>
    </w:p>
    <w:p w:rsidR="009C3237" w:rsidRPr="00565389" w:rsidP="009C3237" w14:paraId="04ED3056" w14:textId="77777777">
      <w:pPr>
        <w:ind w:left="720"/>
        <w:rPr>
          <w:sz w:val="24"/>
        </w:rPr>
      </w:pPr>
      <w:r w:rsidRPr="00565389">
        <w:rPr>
          <w:sz w:val="24"/>
        </w:rPr>
        <w:t>§</w:t>
      </w:r>
      <w:r w:rsidRPr="00565389">
        <w:rPr>
          <w:rStyle w:val="blueten1"/>
          <w:rFonts w:ascii="Times New Roman" w:hAnsi="Times New Roman"/>
          <w:bCs/>
          <w:sz w:val="24"/>
          <w:szCs w:val="24"/>
        </w:rPr>
        <w:t>1910.1047(i)(2)(ii)(A)(4)</w:t>
      </w:r>
      <w:r w:rsidRPr="00565389">
        <w:rPr>
          <w:rStyle w:val="blueten1"/>
          <w:rFonts w:ascii="Times New Roman" w:hAnsi="Times New Roman"/>
          <w:sz w:val="24"/>
          <w:szCs w:val="24"/>
        </w:rPr>
        <w:t xml:space="preserve"> - </w:t>
      </w:r>
      <w:r w:rsidRPr="00565389">
        <w:rPr>
          <w:sz w:val="24"/>
        </w:rPr>
        <w:t>Any laboratory or other test which the examining physician deems necessary by sound medical practice.</w:t>
      </w:r>
    </w:p>
    <w:p w:rsidR="009C3237" w:rsidRPr="00565389" w:rsidP="009C3237" w14:paraId="1A63F8EF" w14:textId="77777777">
      <w:pPr>
        <w:rPr>
          <w:b/>
          <w:i/>
          <w:sz w:val="24"/>
        </w:rPr>
      </w:pPr>
      <w:bookmarkStart w:id="35" w:name="1910.1047(i)(2)(ii)(B)"/>
      <w:bookmarkEnd w:id="35"/>
    </w:p>
    <w:p w:rsidR="009C3237" w:rsidRPr="00565389" w:rsidP="009C3237" w14:paraId="0851AA51" w14:textId="5A3DCB83">
      <w:pPr>
        <w:ind w:left="720"/>
        <w:rPr>
          <w:sz w:val="24"/>
        </w:rPr>
      </w:pPr>
      <w:r w:rsidRPr="00565389">
        <w:rPr>
          <w:sz w:val="24"/>
        </w:rPr>
        <w:t>§</w:t>
      </w:r>
      <w:r w:rsidRPr="00565389">
        <w:rPr>
          <w:rStyle w:val="blueten1"/>
          <w:rFonts w:ascii="Times New Roman" w:hAnsi="Times New Roman"/>
          <w:bCs/>
          <w:sz w:val="24"/>
          <w:szCs w:val="24"/>
        </w:rPr>
        <w:t>1910.1047(i)(2)(ii)(B)</w:t>
      </w:r>
      <w:r w:rsidRPr="00565389">
        <w:rPr>
          <w:rStyle w:val="blueten1"/>
          <w:rFonts w:ascii="Times New Roman" w:hAnsi="Times New Roman"/>
          <w:sz w:val="24"/>
          <w:szCs w:val="24"/>
        </w:rPr>
        <w:t xml:space="preserve"> - </w:t>
      </w:r>
      <w:r w:rsidRPr="00565389">
        <w:rPr>
          <w:sz w:val="24"/>
        </w:rPr>
        <w:t xml:space="preserve">The content of medical examinations or consultation made available pursuant to paragraph (i)(2)(i)(E) of this section shall be determined by the examining </w:t>
      </w:r>
      <w:r w:rsidRPr="00565389" w:rsidR="00902053">
        <w:rPr>
          <w:sz w:val="24"/>
        </w:rPr>
        <w:t>physician and</w:t>
      </w:r>
      <w:r w:rsidRPr="00565389">
        <w:rPr>
          <w:sz w:val="24"/>
        </w:rPr>
        <w:t xml:space="preserve"> shall include pregnancy testing or laboratory evaluation of fertility, if requested by the employee and deemed appropriate by the physician.</w:t>
      </w:r>
    </w:p>
    <w:p w:rsidR="009C3237" w:rsidRPr="00565389" w:rsidP="009C3237" w14:paraId="3FFF8F76" w14:textId="77777777">
      <w:pPr>
        <w:rPr>
          <w:sz w:val="24"/>
        </w:rPr>
      </w:pPr>
    </w:p>
    <w:p w:rsidR="009C3237" w:rsidRPr="00565389" w:rsidP="009C3237" w14:paraId="4A2F77E2" w14:textId="77777777">
      <w:pPr>
        <w:rPr>
          <w:sz w:val="24"/>
        </w:rPr>
      </w:pPr>
      <w:r w:rsidRPr="00565389">
        <w:rPr>
          <w:b/>
          <w:sz w:val="24"/>
          <w:u w:val="single"/>
        </w:rPr>
        <w:t>Purpose</w:t>
      </w:r>
      <w:r w:rsidRPr="00565389">
        <w:rPr>
          <w:sz w:val="24"/>
        </w:rPr>
        <w:t>:</w:t>
      </w:r>
      <w:r w:rsidRPr="00565389">
        <w:rPr>
          <w:b/>
          <w:sz w:val="24"/>
        </w:rPr>
        <w:t xml:space="preserve">  </w:t>
      </w:r>
      <w:r w:rsidRPr="00565389">
        <w:rPr>
          <w:sz w:val="24"/>
        </w:rPr>
        <w:t xml:space="preserve">Documentation of the medical-examination results as required by the Standard provides a continuous record of worker health.  Physicians use these records to determine the extent to which workers, since their last examination, experience health effects related to their EtO exposure.  Further, the physician often needs information about a worker’s previous medical </w:t>
      </w:r>
      <w:r w:rsidRPr="00565389">
        <w:rPr>
          <w:sz w:val="24"/>
        </w:rPr>
        <w:t xml:space="preserve">conditions to make an accurate diagnosis of the new condition, ascertain its apparent cause, and identify a course of treatment.  Medical records also permit workers to determine whether they need treatment, or to evaluate the effectiveness of their employer’s exposure-reduction program.  </w:t>
      </w:r>
    </w:p>
    <w:p w:rsidR="009C3237" w:rsidRPr="00565389" w:rsidP="009C3237" w14:paraId="1A170706" w14:textId="77777777">
      <w:pPr>
        <w:rPr>
          <w:b/>
          <w:sz w:val="24"/>
          <w:u w:val="single"/>
        </w:rPr>
      </w:pPr>
    </w:p>
    <w:p w:rsidR="009C3237" w:rsidRPr="00565389" w:rsidP="009C3237" w14:paraId="00753691" w14:textId="77777777">
      <w:pPr>
        <w:rPr>
          <w:rStyle w:val="blueten1"/>
          <w:rFonts w:ascii="Times New Roman" w:hAnsi="Times New Roman"/>
          <w:b/>
          <w:i/>
          <w:sz w:val="24"/>
          <w:szCs w:val="24"/>
        </w:rPr>
      </w:pPr>
      <w:r w:rsidRPr="00565389">
        <w:rPr>
          <w:b/>
          <w:i/>
          <w:sz w:val="24"/>
        </w:rPr>
        <w:t>I.  Information provided to the physician (§</w:t>
      </w:r>
      <w:r w:rsidRPr="00565389">
        <w:rPr>
          <w:rStyle w:val="blueten1"/>
          <w:rFonts w:ascii="Times New Roman" w:hAnsi="Times New Roman"/>
          <w:b/>
          <w:bCs/>
          <w:i/>
          <w:sz w:val="24"/>
          <w:szCs w:val="24"/>
        </w:rPr>
        <w:t>1910.1047(i)(3)</w:t>
      </w:r>
      <w:r w:rsidRPr="00565389">
        <w:rPr>
          <w:rStyle w:val="blueten1"/>
          <w:rFonts w:ascii="Times New Roman" w:hAnsi="Times New Roman"/>
          <w:b/>
          <w:i/>
          <w:sz w:val="24"/>
          <w:szCs w:val="24"/>
        </w:rPr>
        <w:t>)</w:t>
      </w:r>
    </w:p>
    <w:p w:rsidR="009C3237" w:rsidRPr="00565389" w:rsidP="009C3237" w14:paraId="2BBB13CC" w14:textId="77777777">
      <w:pPr>
        <w:rPr>
          <w:sz w:val="24"/>
        </w:rPr>
      </w:pPr>
    </w:p>
    <w:p w:rsidR="009C3237" w:rsidRPr="00565389" w:rsidP="009C3237" w14:paraId="42F338A6" w14:textId="77777777">
      <w:pPr>
        <w:rPr>
          <w:sz w:val="24"/>
        </w:rPr>
      </w:pPr>
      <w:r w:rsidRPr="00565389">
        <w:rPr>
          <w:sz w:val="24"/>
        </w:rPr>
        <w:t>The employer shall provide the following information to the examining physician:</w:t>
      </w:r>
    </w:p>
    <w:p w:rsidR="009C3237" w:rsidRPr="00565389" w:rsidP="009C3237" w14:paraId="07D11ED9" w14:textId="77777777">
      <w:pPr>
        <w:rPr>
          <w:rStyle w:val="blueten1"/>
          <w:rFonts w:ascii="Times New Roman" w:hAnsi="Times New Roman"/>
          <w:b/>
          <w:bCs/>
          <w:sz w:val="24"/>
          <w:szCs w:val="24"/>
        </w:rPr>
      </w:pPr>
      <w:bookmarkStart w:id="36" w:name="1910.1047(i)(3)(i)"/>
      <w:bookmarkEnd w:id="36"/>
    </w:p>
    <w:p w:rsidR="009C3237" w:rsidRPr="00565389" w:rsidP="009C3237" w14:paraId="7C99213A" w14:textId="77777777">
      <w:pPr>
        <w:ind w:firstLine="720"/>
        <w:rPr>
          <w:sz w:val="24"/>
        </w:rPr>
      </w:pPr>
      <w:r w:rsidRPr="00565389">
        <w:rPr>
          <w:i/>
          <w:sz w:val="24"/>
        </w:rPr>
        <w:t>§</w:t>
      </w:r>
      <w:r w:rsidRPr="00565389">
        <w:rPr>
          <w:rStyle w:val="blueten1"/>
          <w:rFonts w:ascii="Times New Roman" w:hAnsi="Times New Roman"/>
          <w:bCs/>
          <w:i/>
          <w:sz w:val="24"/>
          <w:szCs w:val="24"/>
        </w:rPr>
        <w:t>1910.1047(i)(3)(i)</w:t>
      </w:r>
      <w:r w:rsidRPr="00565389">
        <w:rPr>
          <w:rStyle w:val="blueten1"/>
          <w:rFonts w:ascii="Times New Roman" w:hAnsi="Times New Roman"/>
          <w:sz w:val="24"/>
          <w:szCs w:val="24"/>
        </w:rPr>
        <w:t xml:space="preserve"> - </w:t>
      </w:r>
      <w:r w:rsidRPr="00565389">
        <w:rPr>
          <w:sz w:val="24"/>
        </w:rPr>
        <w:t>A copy of this standard and Appendices A, B, and C.</w:t>
      </w:r>
    </w:p>
    <w:p w:rsidR="009C3237" w:rsidRPr="00565389" w:rsidP="009C3237" w14:paraId="199CA954" w14:textId="77777777">
      <w:pPr>
        <w:rPr>
          <w:b/>
          <w:sz w:val="24"/>
        </w:rPr>
      </w:pPr>
      <w:bookmarkStart w:id="37" w:name="1910.1047(i)(3)(ii)"/>
      <w:bookmarkEnd w:id="37"/>
    </w:p>
    <w:p w:rsidR="009C3237" w:rsidRPr="00565389" w:rsidP="009C3237" w14:paraId="2A18CDB7" w14:textId="77777777">
      <w:pPr>
        <w:ind w:left="720"/>
        <w:rPr>
          <w:sz w:val="24"/>
        </w:rPr>
      </w:pPr>
      <w:r w:rsidRPr="00565389">
        <w:rPr>
          <w:i/>
          <w:sz w:val="24"/>
        </w:rPr>
        <w:t>§</w:t>
      </w:r>
      <w:r w:rsidRPr="00565389">
        <w:rPr>
          <w:rStyle w:val="blueten1"/>
          <w:rFonts w:ascii="Times New Roman" w:hAnsi="Times New Roman"/>
          <w:bCs/>
          <w:i/>
          <w:sz w:val="24"/>
          <w:szCs w:val="24"/>
        </w:rPr>
        <w:t>1910.1047(i)(3)(ii)</w:t>
      </w:r>
      <w:r w:rsidRPr="00565389">
        <w:rPr>
          <w:rStyle w:val="blueten1"/>
          <w:rFonts w:ascii="Times New Roman" w:hAnsi="Times New Roman"/>
          <w:sz w:val="24"/>
          <w:szCs w:val="24"/>
        </w:rPr>
        <w:t xml:space="preserve"> - </w:t>
      </w:r>
      <w:r w:rsidRPr="00565389">
        <w:rPr>
          <w:sz w:val="24"/>
        </w:rPr>
        <w:t>A description of the affected employee's duties as they relate to the employee's exposure.</w:t>
      </w:r>
    </w:p>
    <w:p w:rsidR="009C3237" w:rsidRPr="00565389" w:rsidP="009C3237" w14:paraId="1498A2ED" w14:textId="77777777">
      <w:pPr>
        <w:ind w:left="720"/>
        <w:rPr>
          <w:i/>
          <w:sz w:val="24"/>
        </w:rPr>
      </w:pPr>
      <w:bookmarkStart w:id="38" w:name="1910.1047(i)(3)(iii)"/>
      <w:bookmarkEnd w:id="38"/>
    </w:p>
    <w:p w:rsidR="009C3237" w:rsidRPr="00565389" w:rsidP="009C3237" w14:paraId="3EAF0F7A" w14:textId="77777777">
      <w:pPr>
        <w:ind w:left="720"/>
        <w:rPr>
          <w:sz w:val="24"/>
        </w:rPr>
      </w:pPr>
      <w:r w:rsidRPr="00565389">
        <w:rPr>
          <w:i/>
          <w:sz w:val="24"/>
        </w:rPr>
        <w:t>§</w:t>
      </w:r>
      <w:r w:rsidRPr="00565389">
        <w:rPr>
          <w:rStyle w:val="blueten1"/>
          <w:rFonts w:ascii="Times New Roman" w:hAnsi="Times New Roman"/>
          <w:bCs/>
          <w:i/>
          <w:sz w:val="24"/>
          <w:szCs w:val="24"/>
        </w:rPr>
        <w:t xml:space="preserve">1910.1047(i)(3)(iii) - </w:t>
      </w:r>
      <w:r w:rsidRPr="00565389">
        <w:rPr>
          <w:sz w:val="24"/>
        </w:rPr>
        <w:t>The employee's representative exposure level or anticipated exposure level.</w:t>
      </w:r>
    </w:p>
    <w:p w:rsidR="009C3237" w:rsidRPr="00565389" w:rsidP="009C3237" w14:paraId="5CF189B2" w14:textId="77777777">
      <w:pPr>
        <w:ind w:left="720"/>
        <w:rPr>
          <w:sz w:val="24"/>
        </w:rPr>
      </w:pPr>
    </w:p>
    <w:p w:rsidR="009C3237" w:rsidRPr="00565389" w:rsidP="009C3237" w14:paraId="393C4B5B" w14:textId="77777777">
      <w:pPr>
        <w:ind w:left="720"/>
        <w:rPr>
          <w:sz w:val="24"/>
        </w:rPr>
      </w:pPr>
      <w:bookmarkStart w:id="39" w:name="1910.1047(i)(3)(iv)"/>
      <w:bookmarkEnd w:id="39"/>
      <w:r w:rsidRPr="00565389">
        <w:rPr>
          <w:i/>
          <w:sz w:val="24"/>
        </w:rPr>
        <w:t>§</w:t>
      </w:r>
      <w:r w:rsidRPr="00565389">
        <w:rPr>
          <w:rStyle w:val="blueten1"/>
          <w:rFonts w:ascii="Times New Roman" w:hAnsi="Times New Roman"/>
          <w:bCs/>
          <w:i/>
          <w:sz w:val="24"/>
          <w:szCs w:val="24"/>
        </w:rPr>
        <w:t>1910.1047(i)(3)(iv)</w:t>
      </w:r>
      <w:r w:rsidRPr="00565389">
        <w:rPr>
          <w:rStyle w:val="blueten1"/>
          <w:rFonts w:ascii="Times New Roman" w:hAnsi="Times New Roman"/>
          <w:sz w:val="24"/>
          <w:szCs w:val="24"/>
        </w:rPr>
        <w:t xml:space="preserve"> - </w:t>
      </w:r>
      <w:r w:rsidRPr="00565389">
        <w:rPr>
          <w:sz w:val="24"/>
        </w:rPr>
        <w:t>A description of any personal protective and respiratory equipment used or to be used.</w:t>
      </w:r>
      <w:bookmarkStart w:id="40" w:name="1910.1047(i)(3)(v)"/>
      <w:bookmarkEnd w:id="40"/>
    </w:p>
    <w:p w:rsidR="009C3237" w:rsidRPr="00565389" w:rsidP="009C3237" w14:paraId="5923A5CB" w14:textId="77777777">
      <w:pPr>
        <w:ind w:left="720"/>
        <w:rPr>
          <w:i/>
          <w:sz w:val="24"/>
        </w:rPr>
      </w:pPr>
    </w:p>
    <w:p w:rsidR="009C3237" w:rsidRPr="00565389" w:rsidP="009C3237" w14:paraId="479C3E61" w14:textId="77777777">
      <w:pPr>
        <w:ind w:left="720"/>
        <w:rPr>
          <w:sz w:val="24"/>
        </w:rPr>
      </w:pPr>
      <w:r w:rsidRPr="00565389">
        <w:rPr>
          <w:i/>
          <w:sz w:val="24"/>
        </w:rPr>
        <w:t>§</w:t>
      </w:r>
      <w:r w:rsidRPr="00565389">
        <w:rPr>
          <w:rStyle w:val="blueten1"/>
          <w:rFonts w:ascii="Times New Roman" w:hAnsi="Times New Roman"/>
          <w:bCs/>
          <w:i/>
          <w:sz w:val="24"/>
          <w:szCs w:val="24"/>
        </w:rPr>
        <w:t>1910.1047(i)(3)(v)</w:t>
      </w:r>
      <w:r w:rsidRPr="00565389">
        <w:rPr>
          <w:rStyle w:val="blueten1"/>
          <w:rFonts w:ascii="Times New Roman" w:hAnsi="Times New Roman"/>
          <w:i/>
          <w:sz w:val="24"/>
          <w:szCs w:val="24"/>
        </w:rPr>
        <w:t xml:space="preserve"> - </w:t>
      </w:r>
      <w:r w:rsidRPr="00565389">
        <w:rPr>
          <w:sz w:val="24"/>
        </w:rPr>
        <w:t>Information from previous medical examinations of the affected employee that is not otherwise available to the examining physician.</w:t>
      </w:r>
    </w:p>
    <w:p w:rsidR="009C3237" w:rsidRPr="00565389" w:rsidP="009C3237" w14:paraId="5011DCB7" w14:textId="77777777">
      <w:pPr>
        <w:ind w:left="720"/>
        <w:rPr>
          <w:b/>
          <w:sz w:val="24"/>
          <w:u w:val="single"/>
        </w:rPr>
      </w:pPr>
    </w:p>
    <w:p w:rsidR="009C3237" w:rsidRPr="00565389" w:rsidP="009C3237" w14:paraId="584D2B46" w14:textId="77777777">
      <w:pPr>
        <w:rPr>
          <w:sz w:val="24"/>
        </w:rPr>
      </w:pPr>
      <w:r w:rsidRPr="00565389">
        <w:rPr>
          <w:b/>
          <w:sz w:val="24"/>
          <w:u w:val="single"/>
        </w:rPr>
        <w:t>Purpose</w:t>
      </w:r>
      <w:r w:rsidRPr="00565389">
        <w:rPr>
          <w:sz w:val="24"/>
        </w:rPr>
        <w:t>:</w:t>
      </w:r>
      <w:r w:rsidRPr="00565389">
        <w:rPr>
          <w:b/>
          <w:sz w:val="24"/>
        </w:rPr>
        <w:t xml:space="preserve">  </w:t>
      </w:r>
      <w:r w:rsidRPr="00565389">
        <w:rPr>
          <w:sz w:val="24"/>
        </w:rPr>
        <w:t>Making this information available to physicians assists them in evaluating the worker's health and fitness for specific job assignments involving EtO exposure.  As noted earlier, if signs of organic damage appear, the physician often needs information about a worker’s previous medical conditions to make an accurate diagnosis of the new condition, its apparent cause, and the course of treatment required.  Medical records also ensure that workers can determine whether they require treatment, or to evaluate the effectiveness of the employer’s exposure-reduction program.</w:t>
      </w:r>
    </w:p>
    <w:p w:rsidR="009C3237" w:rsidRPr="00565389" w:rsidP="009C3237" w14:paraId="2382119F" w14:textId="77777777">
      <w:pPr>
        <w:rPr>
          <w:b/>
          <w:sz w:val="24"/>
          <w:u w:val="single"/>
        </w:rPr>
      </w:pPr>
    </w:p>
    <w:p w:rsidR="009C3237" w:rsidRPr="00565389" w:rsidP="009C3237" w14:paraId="4FEAB789" w14:textId="77777777">
      <w:pPr>
        <w:rPr>
          <w:rStyle w:val="blueten1"/>
          <w:rFonts w:ascii="Times New Roman" w:hAnsi="Times New Roman"/>
          <w:b/>
          <w:i/>
          <w:sz w:val="24"/>
          <w:szCs w:val="24"/>
        </w:rPr>
      </w:pPr>
      <w:bookmarkStart w:id="41" w:name="1910.1047(i)(4)"/>
      <w:bookmarkEnd w:id="41"/>
      <w:r w:rsidRPr="00565389">
        <w:rPr>
          <w:b/>
          <w:i/>
          <w:sz w:val="24"/>
        </w:rPr>
        <w:t>J.  Physician's written opinion (§</w:t>
      </w:r>
      <w:r w:rsidRPr="00565389">
        <w:rPr>
          <w:rStyle w:val="blueten1"/>
          <w:rFonts w:ascii="Times New Roman" w:hAnsi="Times New Roman"/>
          <w:b/>
          <w:bCs/>
          <w:i/>
          <w:sz w:val="24"/>
          <w:szCs w:val="24"/>
        </w:rPr>
        <w:t>1910.1047(i)(4))</w:t>
      </w:r>
      <w:r w:rsidRPr="00565389">
        <w:rPr>
          <w:rStyle w:val="blueten1"/>
          <w:rFonts w:ascii="Times New Roman" w:hAnsi="Times New Roman"/>
          <w:b/>
          <w:i/>
          <w:sz w:val="24"/>
          <w:szCs w:val="24"/>
        </w:rPr>
        <w:t xml:space="preserve"> </w:t>
      </w:r>
    </w:p>
    <w:p w:rsidR="009C3237" w:rsidRPr="00565389" w:rsidP="009C3237" w14:paraId="7A8FD423" w14:textId="77777777">
      <w:pPr>
        <w:rPr>
          <w:b/>
          <w:sz w:val="24"/>
        </w:rPr>
      </w:pPr>
      <w:bookmarkStart w:id="42" w:name="1910.1047(i)(4)(i)"/>
      <w:bookmarkEnd w:id="42"/>
    </w:p>
    <w:p w:rsidR="009C3237" w:rsidRPr="00565389" w:rsidP="009C3237" w14:paraId="7ACA4CF4"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1910.1047(i)(4)(i)</w:t>
      </w:r>
      <w:r w:rsidRPr="00565389">
        <w:rPr>
          <w:rStyle w:val="blueten1"/>
          <w:rFonts w:ascii="Times New Roman" w:hAnsi="Times New Roman"/>
          <w:i/>
          <w:sz w:val="24"/>
          <w:szCs w:val="24"/>
        </w:rPr>
        <w:t xml:space="preserve"> </w:t>
      </w:r>
    </w:p>
    <w:p w:rsidR="009C3237" w:rsidRPr="00565389" w:rsidP="009C3237" w14:paraId="3DF731CA" w14:textId="77777777">
      <w:pPr>
        <w:rPr>
          <w:rStyle w:val="blueten1"/>
          <w:rFonts w:ascii="Times New Roman" w:hAnsi="Times New Roman"/>
          <w:i/>
          <w:sz w:val="24"/>
          <w:szCs w:val="24"/>
        </w:rPr>
      </w:pPr>
    </w:p>
    <w:p w:rsidR="009C3237" w:rsidRPr="00565389" w:rsidP="009C3237" w14:paraId="4F3DE3AE" w14:textId="77777777">
      <w:pPr>
        <w:rPr>
          <w:sz w:val="24"/>
        </w:rPr>
      </w:pPr>
      <w:r w:rsidRPr="00565389">
        <w:rPr>
          <w:sz w:val="24"/>
        </w:rPr>
        <w:t>The employer shall obtain a written opinion from the examining physician. This written opinion shall contain the results of the medical examination and shall include:</w:t>
      </w:r>
    </w:p>
    <w:p w:rsidR="009C3237" w:rsidRPr="00565389" w:rsidP="009C3237" w14:paraId="14546720" w14:textId="77777777">
      <w:pPr>
        <w:rPr>
          <w:b/>
          <w:sz w:val="24"/>
        </w:rPr>
      </w:pPr>
      <w:bookmarkStart w:id="43" w:name="1910.1047(i)(4)(i)(A)"/>
      <w:bookmarkEnd w:id="43"/>
    </w:p>
    <w:p w:rsidR="009C3237" w:rsidRPr="00565389" w:rsidP="009C3237" w14:paraId="0504F319" w14:textId="77777777">
      <w:pPr>
        <w:ind w:left="720"/>
        <w:rPr>
          <w:sz w:val="24"/>
        </w:rPr>
      </w:pPr>
      <w:r w:rsidRPr="00565389">
        <w:rPr>
          <w:sz w:val="24"/>
        </w:rPr>
        <w:t>§</w:t>
      </w:r>
      <w:r w:rsidRPr="00565389">
        <w:rPr>
          <w:rStyle w:val="blueten1"/>
          <w:rFonts w:ascii="Times New Roman" w:hAnsi="Times New Roman"/>
          <w:bCs/>
          <w:sz w:val="24"/>
          <w:szCs w:val="24"/>
        </w:rPr>
        <w:t>1910.1047(i)(4)(i)(A)</w:t>
      </w:r>
      <w:r w:rsidRPr="00565389">
        <w:rPr>
          <w:rStyle w:val="blueten1"/>
          <w:rFonts w:ascii="Times New Roman" w:hAnsi="Times New Roman"/>
          <w:sz w:val="24"/>
          <w:szCs w:val="24"/>
        </w:rPr>
        <w:t xml:space="preserve"> - </w:t>
      </w:r>
      <w:r w:rsidRPr="00565389">
        <w:rPr>
          <w:sz w:val="24"/>
        </w:rPr>
        <w:t>The physician's opinion as to whether the employee has any detected medical conditions that would place the employee at an increased risk of material health impairment from exposure to EtO;</w:t>
      </w:r>
    </w:p>
    <w:p w:rsidR="009C3237" w:rsidRPr="00565389" w:rsidP="009C3237" w14:paraId="29EEA99A" w14:textId="77777777">
      <w:pPr>
        <w:rPr>
          <w:sz w:val="24"/>
        </w:rPr>
      </w:pPr>
      <w:bookmarkStart w:id="44" w:name="1910.1047(i)(4)(i)(B)"/>
      <w:bookmarkEnd w:id="44"/>
    </w:p>
    <w:p w:rsidR="009C3237" w:rsidRPr="00565389" w:rsidP="009C3237" w14:paraId="43ED302B" w14:textId="77777777">
      <w:pPr>
        <w:ind w:left="720"/>
        <w:rPr>
          <w:sz w:val="24"/>
        </w:rPr>
      </w:pPr>
      <w:r w:rsidRPr="00565389">
        <w:rPr>
          <w:sz w:val="24"/>
        </w:rPr>
        <w:t>§</w:t>
      </w:r>
      <w:r w:rsidRPr="00565389">
        <w:rPr>
          <w:rStyle w:val="blueten1"/>
          <w:rFonts w:ascii="Times New Roman" w:hAnsi="Times New Roman"/>
          <w:bCs/>
          <w:sz w:val="24"/>
          <w:szCs w:val="24"/>
        </w:rPr>
        <w:t>1910.1047(i)(4)(i)(B)</w:t>
      </w:r>
      <w:r w:rsidRPr="00565389">
        <w:rPr>
          <w:rStyle w:val="blueten1"/>
          <w:rFonts w:ascii="Times New Roman" w:hAnsi="Times New Roman"/>
          <w:sz w:val="24"/>
          <w:szCs w:val="24"/>
        </w:rPr>
        <w:t xml:space="preserve"> - </w:t>
      </w:r>
      <w:r w:rsidRPr="00565389">
        <w:rPr>
          <w:sz w:val="24"/>
        </w:rPr>
        <w:t>Any recommended limitations on the employee or upon the use of personal protective equipment such as clothing or respirators; and</w:t>
      </w:r>
    </w:p>
    <w:p w:rsidR="009C3237" w:rsidRPr="00565389" w:rsidP="009C3237" w14:paraId="7D5DB670" w14:textId="77777777">
      <w:pPr>
        <w:ind w:left="720"/>
        <w:rPr>
          <w:sz w:val="24"/>
        </w:rPr>
      </w:pPr>
      <w:bookmarkStart w:id="45" w:name="1910.1047(i)(4)(i)(C)"/>
      <w:bookmarkEnd w:id="45"/>
    </w:p>
    <w:p w:rsidR="009C3237" w:rsidRPr="00565389" w:rsidP="009C3237" w14:paraId="0F2CD835" w14:textId="77777777">
      <w:pPr>
        <w:ind w:left="720"/>
        <w:rPr>
          <w:sz w:val="24"/>
        </w:rPr>
      </w:pPr>
      <w:r w:rsidRPr="00565389">
        <w:rPr>
          <w:sz w:val="24"/>
        </w:rPr>
        <w:t>§</w:t>
      </w:r>
      <w:r w:rsidRPr="00565389">
        <w:rPr>
          <w:rStyle w:val="blueten1"/>
          <w:rFonts w:ascii="Times New Roman" w:hAnsi="Times New Roman"/>
          <w:bCs/>
          <w:sz w:val="24"/>
          <w:szCs w:val="24"/>
        </w:rPr>
        <w:t>1910.1047(i)(4)(i)(C)</w:t>
      </w:r>
      <w:r w:rsidRPr="00565389">
        <w:rPr>
          <w:rStyle w:val="blueten1"/>
          <w:rFonts w:ascii="Times New Roman" w:hAnsi="Times New Roman"/>
          <w:sz w:val="24"/>
          <w:szCs w:val="24"/>
        </w:rPr>
        <w:t xml:space="preserve"> - </w:t>
      </w:r>
      <w:r w:rsidRPr="00565389">
        <w:rPr>
          <w:sz w:val="24"/>
        </w:rPr>
        <w:t>A statement that the employee has been informed by the physician of the results of the medical examination and of any medical conditions resulting from EtO exposure that require further explanation or treatment.</w:t>
      </w:r>
    </w:p>
    <w:p w:rsidR="009C3237" w:rsidRPr="00565389" w:rsidP="009C3237" w14:paraId="466F23EC" w14:textId="77777777">
      <w:pPr>
        <w:rPr>
          <w:sz w:val="24"/>
        </w:rPr>
      </w:pPr>
      <w:bookmarkStart w:id="46" w:name="1910.1047(i)(4)(ii)"/>
      <w:bookmarkEnd w:id="46"/>
    </w:p>
    <w:p w:rsidR="009C3237" w:rsidRPr="00565389" w:rsidP="009C3237" w14:paraId="30C1F731"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1910.1047(i)(4)(ii)</w:t>
      </w:r>
      <w:r w:rsidRPr="00565389">
        <w:rPr>
          <w:rStyle w:val="blueten1"/>
          <w:rFonts w:ascii="Times New Roman" w:hAnsi="Times New Roman"/>
          <w:i/>
          <w:sz w:val="24"/>
          <w:szCs w:val="24"/>
        </w:rPr>
        <w:t xml:space="preserve"> </w:t>
      </w:r>
    </w:p>
    <w:p w:rsidR="009C3237" w:rsidRPr="00565389" w:rsidP="009C3237" w14:paraId="1C34E034" w14:textId="77777777">
      <w:pPr>
        <w:rPr>
          <w:rStyle w:val="blueten1"/>
          <w:rFonts w:ascii="Times New Roman" w:hAnsi="Times New Roman"/>
          <w:sz w:val="24"/>
          <w:szCs w:val="24"/>
        </w:rPr>
      </w:pPr>
    </w:p>
    <w:p w:rsidR="009C3237" w:rsidRPr="00565389" w:rsidP="009C3237" w14:paraId="3389F6B8" w14:textId="77777777">
      <w:pPr>
        <w:rPr>
          <w:sz w:val="24"/>
        </w:rPr>
      </w:pPr>
      <w:r w:rsidRPr="00565389">
        <w:rPr>
          <w:sz w:val="24"/>
        </w:rPr>
        <w:t>The employer shall instruct the physician not to reveal in the written opinion given to the employer specific findings or diagnoses unrelated to occupational exposure to EtO.</w:t>
      </w:r>
    </w:p>
    <w:p w:rsidR="009C3237" w:rsidRPr="00565389" w:rsidP="009C3237" w14:paraId="4ECAC3CA" w14:textId="77777777">
      <w:pPr>
        <w:rPr>
          <w:i/>
          <w:sz w:val="24"/>
        </w:rPr>
      </w:pPr>
      <w:bookmarkStart w:id="47" w:name="1910.1047(i)(4)(iii)"/>
      <w:bookmarkEnd w:id="47"/>
    </w:p>
    <w:p w:rsidR="009C3237" w:rsidRPr="00565389" w:rsidP="009C3237" w14:paraId="53C5F925" w14:textId="77777777">
      <w:pPr>
        <w:rPr>
          <w:rStyle w:val="blueten1"/>
          <w:rFonts w:ascii="Times New Roman" w:hAnsi="Times New Roman"/>
          <w:bCs/>
          <w:i/>
          <w:sz w:val="24"/>
          <w:szCs w:val="24"/>
        </w:rPr>
      </w:pPr>
      <w:r w:rsidRPr="00565389">
        <w:rPr>
          <w:i/>
          <w:sz w:val="24"/>
        </w:rPr>
        <w:t>§</w:t>
      </w:r>
      <w:r w:rsidRPr="00565389">
        <w:rPr>
          <w:rStyle w:val="blueten1"/>
          <w:rFonts w:ascii="Times New Roman" w:hAnsi="Times New Roman"/>
          <w:bCs/>
          <w:i/>
          <w:sz w:val="24"/>
          <w:szCs w:val="24"/>
        </w:rPr>
        <w:t>1910.1047(i)(4)(iii)</w:t>
      </w:r>
    </w:p>
    <w:p w:rsidR="009C3237" w:rsidRPr="00565389" w:rsidP="009C3237" w14:paraId="6CF3D555" w14:textId="77777777">
      <w:pPr>
        <w:rPr>
          <w:rStyle w:val="blueten1"/>
          <w:rFonts w:ascii="Times New Roman" w:hAnsi="Times New Roman"/>
          <w:bCs/>
          <w:sz w:val="24"/>
          <w:szCs w:val="24"/>
        </w:rPr>
      </w:pPr>
    </w:p>
    <w:p w:rsidR="009C3237" w:rsidRPr="00565389" w:rsidP="009C3237" w14:paraId="614C165D" w14:textId="77777777">
      <w:pPr>
        <w:rPr>
          <w:sz w:val="24"/>
        </w:rPr>
      </w:pPr>
      <w:r w:rsidRPr="00565389">
        <w:rPr>
          <w:sz w:val="24"/>
        </w:rPr>
        <w:t>The employer shall provide a copy of the physician's written opinion to the affected employee within 15 days from its receipt.</w:t>
      </w:r>
    </w:p>
    <w:p w:rsidR="009C3237" w:rsidRPr="00565389" w:rsidP="009C3237" w14:paraId="3F02CA9F" w14:textId="77777777">
      <w:pPr>
        <w:rPr>
          <w:sz w:val="24"/>
        </w:rPr>
      </w:pPr>
    </w:p>
    <w:p w:rsidR="009C3237" w:rsidRPr="00565389" w:rsidP="009C3237" w14:paraId="6924119F" w14:textId="77777777">
      <w:pPr>
        <w:rPr>
          <w:sz w:val="24"/>
        </w:rPr>
      </w:pPr>
      <w:r w:rsidRPr="00565389">
        <w:rPr>
          <w:b/>
          <w:sz w:val="24"/>
          <w:u w:val="single"/>
        </w:rPr>
        <w:t>Purpose</w:t>
      </w:r>
      <w:r w:rsidRPr="00565389">
        <w:rPr>
          <w:sz w:val="24"/>
        </w:rPr>
        <w:t>:</w:t>
      </w:r>
      <w:r w:rsidRPr="00565389">
        <w:rPr>
          <w:b/>
          <w:sz w:val="24"/>
        </w:rPr>
        <w:t xml:space="preserve">  </w:t>
      </w:r>
      <w:r w:rsidRPr="00565389">
        <w:rPr>
          <w:sz w:val="24"/>
        </w:rPr>
        <w:t>The purpose of requiring the employer to obtain a physician’s written opinion is to provide the employer with medical information to aid in determining the initial placement of workers, and to assess the worker's ability to use protective clothing and equipment.  The physician's written opinion will also provide information to the employer about whether the worker has a condition indicating overexposure to EtO.  The requirement that the physician's opinion be in writing will ensure that the information is properly memorialized for later reference.  Providing workers with a copy of the physician's written opinion will inform them of the medical-examination results so that they can assist in determining the need for, and evaluate the effectiveness of, treatment or other interventions.</w:t>
      </w:r>
    </w:p>
    <w:p w:rsidR="009C3237" w:rsidRPr="00565389" w:rsidP="009C3237" w14:paraId="27C4F521" w14:textId="77777777">
      <w:pPr>
        <w:rPr>
          <w:sz w:val="24"/>
        </w:rPr>
      </w:pPr>
    </w:p>
    <w:p w:rsidR="009C3237" w:rsidRPr="00565389" w:rsidP="009C3237" w14:paraId="49FCA9D6" w14:textId="0BA13253">
      <w:pPr>
        <w:rPr>
          <w:b/>
          <w:i/>
          <w:sz w:val="24"/>
        </w:rPr>
      </w:pPr>
      <w:r w:rsidRPr="00565389">
        <w:rPr>
          <w:b/>
          <w:bCs/>
          <w:sz w:val="24"/>
        </w:rPr>
        <w:t xml:space="preserve">K.  </w:t>
      </w:r>
      <w:r w:rsidRPr="00565389">
        <w:rPr>
          <w:b/>
          <w:i/>
          <w:sz w:val="24"/>
        </w:rPr>
        <w:t>Signs and labels (§1910.1047(j)(2</w:t>
      </w:r>
      <w:r w:rsidR="009037BB">
        <w:rPr>
          <w:b/>
          <w:i/>
          <w:sz w:val="24"/>
        </w:rPr>
        <w:t>)</w:t>
      </w:r>
      <w:r w:rsidRPr="00565389">
        <w:rPr>
          <w:b/>
          <w:i/>
          <w:sz w:val="24"/>
        </w:rPr>
        <w:t>(i))</w:t>
      </w:r>
    </w:p>
    <w:p w:rsidR="009C3237" w:rsidRPr="00565389" w:rsidP="009C3237" w14:paraId="7D0C4F14" w14:textId="77777777">
      <w:pPr>
        <w:rPr>
          <w:i/>
          <w:sz w:val="24"/>
        </w:rPr>
      </w:pPr>
    </w:p>
    <w:p w:rsidR="009C3237" w:rsidRPr="00565389" w:rsidP="009C3237" w14:paraId="5C42B863"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1910.1047(j)(2)(i)</w:t>
      </w:r>
      <w:r w:rsidRPr="00565389">
        <w:rPr>
          <w:rStyle w:val="blueten1"/>
          <w:rFonts w:ascii="Times New Roman" w:hAnsi="Times New Roman"/>
          <w:i/>
          <w:sz w:val="24"/>
          <w:szCs w:val="24"/>
        </w:rPr>
        <w:t>-Signs</w:t>
      </w:r>
    </w:p>
    <w:p w:rsidR="009C3237" w:rsidRPr="00565389" w:rsidP="009C3237" w14:paraId="06A88D34" w14:textId="77777777">
      <w:pPr>
        <w:rPr>
          <w:rStyle w:val="blueten1"/>
          <w:rFonts w:ascii="Times New Roman" w:hAnsi="Times New Roman"/>
          <w:i/>
          <w:sz w:val="24"/>
          <w:szCs w:val="24"/>
        </w:rPr>
      </w:pPr>
    </w:p>
    <w:p w:rsidR="009C3237" w:rsidRPr="00565389" w:rsidP="009C3237" w14:paraId="0B3DB233" w14:textId="1D3CE19F">
      <w:pPr>
        <w:rPr>
          <w:sz w:val="24"/>
        </w:rPr>
      </w:pPr>
      <w:r w:rsidRPr="00565389">
        <w:rPr>
          <w:sz w:val="24"/>
        </w:rPr>
        <w:t xml:space="preserve">The employer must post warning signs in work areas where EtO exposures exceed or may exceed the TWA or EL.  Employers must also affix warning labels to containers that may cause worker exposure at or above the TWA or EL.  The Standard provides specific language for the required signs and the labels.  Therefore, OSHA took no burden hours or costs for these requirements.  (See “Paperwork </w:t>
      </w:r>
      <w:r w:rsidR="00927119">
        <w:rPr>
          <w:sz w:val="24"/>
        </w:rPr>
        <w:t xml:space="preserve">Reduction Act </w:t>
      </w:r>
      <w:r w:rsidRPr="00565389">
        <w:rPr>
          <w:sz w:val="24"/>
        </w:rPr>
        <w:t>den 5 CFR 1320.)</w:t>
      </w:r>
    </w:p>
    <w:p w:rsidR="009C3237" w:rsidRPr="00565389" w:rsidP="009C3237" w14:paraId="58EA0BBE" w14:textId="77777777">
      <w:pPr>
        <w:rPr>
          <w:rStyle w:val="blueten1"/>
          <w:rFonts w:ascii="Times New Roman" w:hAnsi="Times New Roman"/>
          <w:i/>
          <w:sz w:val="24"/>
          <w:szCs w:val="24"/>
        </w:rPr>
      </w:pPr>
    </w:p>
    <w:p w:rsidR="009C3237" w:rsidRPr="00565389" w:rsidP="009C3237" w14:paraId="25D1613A" w14:textId="77777777">
      <w:pPr>
        <w:rPr>
          <w:rStyle w:val="blueten1"/>
          <w:rFonts w:ascii="Times New Roman" w:hAnsi="Times New Roman"/>
          <w:sz w:val="24"/>
          <w:szCs w:val="24"/>
        </w:rPr>
      </w:pPr>
    </w:p>
    <w:p w:rsidR="009C3237" w:rsidRPr="00565389" w:rsidP="009C3237" w14:paraId="6C8BA271" w14:textId="77777777">
      <w:pPr>
        <w:spacing w:after="240"/>
        <w:rPr>
          <w:sz w:val="24"/>
        </w:rPr>
      </w:pPr>
      <w:r w:rsidRPr="00565389">
        <w:rPr>
          <w:sz w:val="24"/>
        </w:rPr>
        <w:t xml:space="preserve">(A)The employer shall post and maintain legible signs demarcating regulated areas and   entrances or access ways to regulated areas that bear the following legend: </w:t>
      </w:r>
    </w:p>
    <w:p w:rsidR="009C3237" w:rsidRPr="00565389" w:rsidP="009C3237" w14:paraId="43E3C7FB" w14:textId="77777777">
      <w:pPr>
        <w:jc w:val="center"/>
        <w:rPr>
          <w:b/>
          <w:sz w:val="24"/>
        </w:rPr>
      </w:pPr>
    </w:p>
    <w:p w:rsidR="009C3237" w:rsidRPr="00565389" w:rsidP="009C3237" w14:paraId="147BB6A3" w14:textId="77777777">
      <w:pPr>
        <w:jc w:val="center"/>
        <w:rPr>
          <w:b/>
          <w:sz w:val="24"/>
        </w:rPr>
      </w:pPr>
      <w:r w:rsidRPr="00565389">
        <w:rPr>
          <w:b/>
          <w:sz w:val="24"/>
        </w:rPr>
        <w:t>DANGER</w:t>
      </w:r>
    </w:p>
    <w:p w:rsidR="009C3237" w:rsidRPr="00565389" w:rsidP="009C3237" w14:paraId="691A4582" w14:textId="77777777">
      <w:pPr>
        <w:jc w:val="center"/>
        <w:rPr>
          <w:b/>
          <w:sz w:val="24"/>
        </w:rPr>
      </w:pPr>
      <w:r w:rsidRPr="00565389">
        <w:rPr>
          <w:b/>
          <w:sz w:val="24"/>
        </w:rPr>
        <w:t>ETHYLENE OXIDE</w:t>
      </w:r>
    </w:p>
    <w:p w:rsidR="009C3237" w:rsidRPr="00565389" w:rsidP="009C3237" w14:paraId="2FE97235" w14:textId="77777777">
      <w:pPr>
        <w:jc w:val="center"/>
        <w:rPr>
          <w:b/>
          <w:sz w:val="24"/>
        </w:rPr>
      </w:pPr>
      <w:r w:rsidRPr="00565389">
        <w:rPr>
          <w:b/>
          <w:sz w:val="24"/>
        </w:rPr>
        <w:t>MAY CAUSE CANCER</w:t>
      </w:r>
      <w:r w:rsidRPr="00565389">
        <w:rPr>
          <w:b/>
          <w:sz w:val="24"/>
        </w:rPr>
        <w:br/>
        <w:t>MAY DAMAGE FERTILTY OR THE UNBORN CHILD</w:t>
      </w:r>
    </w:p>
    <w:p w:rsidR="009C3237" w:rsidRPr="00565389" w:rsidP="009C3237" w14:paraId="29CF16E6" w14:textId="77777777">
      <w:pPr>
        <w:jc w:val="center"/>
        <w:rPr>
          <w:b/>
          <w:sz w:val="24"/>
        </w:rPr>
      </w:pPr>
      <w:r w:rsidRPr="00565389">
        <w:rPr>
          <w:b/>
          <w:sz w:val="24"/>
        </w:rPr>
        <w:t>RESPIRATORY PROTECTION AND PROTECTIVE CLOTHING MAY BE REQUIRED IN THIS AREA</w:t>
      </w:r>
      <w:r w:rsidRPr="00565389">
        <w:rPr>
          <w:b/>
          <w:sz w:val="24"/>
        </w:rPr>
        <w:br/>
        <w:t>AUTHORIZED PERSONNEL ONLY</w:t>
      </w:r>
    </w:p>
    <w:p w:rsidR="009C3237" w:rsidRPr="00565389" w:rsidP="009C3237" w14:paraId="08AE3F83" w14:textId="77777777">
      <w:pPr>
        <w:jc w:val="center"/>
        <w:rPr>
          <w:b/>
          <w:sz w:val="24"/>
        </w:rPr>
      </w:pPr>
    </w:p>
    <w:p w:rsidR="009C3237" w:rsidRPr="00565389" w:rsidP="009C3237" w14:paraId="1FC742C8" w14:textId="77777777">
      <w:pPr>
        <w:jc w:val="center"/>
        <w:rPr>
          <w:sz w:val="24"/>
        </w:rPr>
      </w:pPr>
      <w:r w:rsidRPr="00565389">
        <w:rPr>
          <w:sz w:val="24"/>
        </w:rPr>
        <w:t>(B) Prior to June 1, 2016, employers may use the following legend in lieu of that specified in paragraph (j)(2)(i)(A) of this section:</w:t>
      </w:r>
    </w:p>
    <w:p w:rsidR="009C3237" w:rsidRPr="00565389" w:rsidP="009C3237" w14:paraId="3A59C35B" w14:textId="77777777">
      <w:pPr>
        <w:jc w:val="center"/>
        <w:rPr>
          <w:b/>
          <w:sz w:val="24"/>
        </w:rPr>
      </w:pPr>
    </w:p>
    <w:p w:rsidR="009C3237" w:rsidRPr="00565389" w:rsidP="009C3237" w14:paraId="20A84597" w14:textId="77777777">
      <w:pPr>
        <w:jc w:val="center"/>
        <w:rPr>
          <w:b/>
          <w:sz w:val="24"/>
        </w:rPr>
      </w:pPr>
      <w:r w:rsidRPr="00565389">
        <w:rPr>
          <w:b/>
          <w:sz w:val="24"/>
        </w:rPr>
        <w:t>DANGER</w:t>
      </w:r>
      <w:r w:rsidRPr="00565389">
        <w:rPr>
          <w:b/>
          <w:sz w:val="24"/>
        </w:rPr>
        <w:br/>
        <w:t>ETHYLENE OXIDE</w:t>
      </w:r>
    </w:p>
    <w:p w:rsidR="009C3237" w:rsidRPr="00565389" w:rsidP="009C3237" w14:paraId="728268ED" w14:textId="77777777">
      <w:pPr>
        <w:jc w:val="center"/>
        <w:rPr>
          <w:b/>
          <w:sz w:val="24"/>
        </w:rPr>
      </w:pPr>
      <w:r w:rsidRPr="00565389">
        <w:rPr>
          <w:b/>
          <w:sz w:val="24"/>
        </w:rPr>
        <w:t xml:space="preserve">CANCER HAZARD AND REPRODUCTIVE HAZARD </w:t>
      </w:r>
      <w:r w:rsidRPr="00565389">
        <w:rPr>
          <w:b/>
          <w:sz w:val="24"/>
        </w:rPr>
        <w:br/>
        <w:t>AUTHORIZED PERSONNEL ONLY</w:t>
      </w:r>
    </w:p>
    <w:p w:rsidR="009C3237" w:rsidRPr="00565389" w:rsidP="009C3237" w14:paraId="10003959" w14:textId="77777777">
      <w:pPr>
        <w:jc w:val="center"/>
        <w:rPr>
          <w:b/>
          <w:sz w:val="24"/>
        </w:rPr>
      </w:pPr>
      <w:r w:rsidRPr="00565389">
        <w:rPr>
          <w:b/>
          <w:sz w:val="24"/>
        </w:rPr>
        <w:t>RESPIRATORS AND PROTECTIVE CLOTHING MAY BE REQUIRED TO BE WORN IN THIS AREA</w:t>
      </w:r>
    </w:p>
    <w:p w:rsidR="009C3237" w:rsidRPr="00565389" w:rsidP="009C3237" w14:paraId="73A4B883" w14:textId="77777777">
      <w:pPr>
        <w:jc w:val="center"/>
        <w:rPr>
          <w:sz w:val="24"/>
          <w:u w:val="single"/>
        </w:rPr>
      </w:pPr>
      <w:r w:rsidRPr="00565389">
        <w:rPr>
          <w:sz w:val="24"/>
        </w:rPr>
        <w:br/>
      </w:r>
    </w:p>
    <w:p w:rsidR="009C3237" w:rsidRPr="00565389" w:rsidP="009C3237" w14:paraId="114767BD" w14:textId="77777777">
      <w:pPr>
        <w:rPr>
          <w:sz w:val="24"/>
        </w:rPr>
      </w:pPr>
      <w:r w:rsidRPr="00565389">
        <w:rPr>
          <w:b/>
          <w:sz w:val="24"/>
          <w:u w:val="single"/>
        </w:rPr>
        <w:t>Purpose</w:t>
      </w:r>
      <w:r w:rsidRPr="00565389">
        <w:rPr>
          <w:sz w:val="24"/>
        </w:rPr>
        <w:t>:</w:t>
      </w:r>
      <w:r w:rsidRPr="00565389">
        <w:rPr>
          <w:b/>
          <w:sz w:val="24"/>
        </w:rPr>
        <w:t xml:space="preserve">  </w:t>
      </w:r>
      <w:r w:rsidRPr="00565389">
        <w:rPr>
          <w:sz w:val="24"/>
        </w:rPr>
        <w:t xml:space="preserve">These signs alert workers of regulated areas, and to take necessary protective steps before entering the area.  Regulated areas may also exist on a temporary basis, for example, during maintenance.  The use of warning signs in these types of situations is also important, since the temporary high exposures would represent a new or unexpected exposure to workers who are regularly scheduled to work at these sites.  The posting of warning signs at the occurrence of a maintenance situation, or during an emergency if there is time, will help prevent unnecessary exposures to workers who may not otherwise know or expect excessive EtO exposure levels, and serves to warn workers of the need to wear respirators. </w:t>
      </w:r>
    </w:p>
    <w:p w:rsidR="009C3237" w:rsidRPr="00565389" w:rsidP="009C3237" w14:paraId="7B6371BB" w14:textId="77777777">
      <w:pPr>
        <w:rPr>
          <w:b/>
          <w:sz w:val="24"/>
        </w:rPr>
      </w:pPr>
    </w:p>
    <w:p w:rsidR="009C3237" w:rsidRPr="00565389" w:rsidP="009C3237" w14:paraId="310F1C5A" w14:textId="77777777">
      <w:pPr>
        <w:rPr>
          <w:rStyle w:val="blueten1"/>
          <w:rFonts w:ascii="Times New Roman" w:hAnsi="Times New Roman"/>
          <w:i/>
          <w:sz w:val="24"/>
          <w:szCs w:val="24"/>
        </w:rPr>
      </w:pPr>
      <w:bookmarkStart w:id="48" w:name="1910.1047(j)(1)(ii)"/>
      <w:bookmarkEnd w:id="48"/>
      <w:r w:rsidRPr="00565389">
        <w:rPr>
          <w:i/>
          <w:sz w:val="24"/>
        </w:rPr>
        <w:t>§</w:t>
      </w:r>
      <w:r w:rsidRPr="00565389">
        <w:rPr>
          <w:rStyle w:val="blueten1"/>
          <w:rFonts w:ascii="Times New Roman" w:hAnsi="Times New Roman"/>
          <w:bCs/>
          <w:i/>
          <w:sz w:val="24"/>
          <w:szCs w:val="24"/>
        </w:rPr>
        <w:t>1910.1047(j)(2)(ii)-</w:t>
      </w:r>
      <w:r w:rsidRPr="00565389">
        <w:rPr>
          <w:rStyle w:val="blueten1"/>
          <w:rFonts w:ascii="Times New Roman" w:hAnsi="Times New Roman"/>
          <w:i/>
          <w:sz w:val="24"/>
          <w:szCs w:val="24"/>
        </w:rPr>
        <w:t>Labels.</w:t>
      </w:r>
    </w:p>
    <w:p w:rsidR="009C3237" w:rsidRPr="00565389" w:rsidP="009C3237" w14:paraId="2BBF87A2" w14:textId="77777777">
      <w:pPr>
        <w:rPr>
          <w:rStyle w:val="blueten1"/>
          <w:rFonts w:ascii="Times New Roman" w:hAnsi="Times New Roman"/>
          <w:i/>
          <w:sz w:val="24"/>
          <w:szCs w:val="24"/>
        </w:rPr>
      </w:pPr>
    </w:p>
    <w:p w:rsidR="009C3237" w:rsidRPr="00565389" w:rsidP="009C3237" w14:paraId="6DC30AA5" w14:textId="77777777">
      <w:pPr>
        <w:rPr>
          <w:sz w:val="24"/>
        </w:rPr>
      </w:pPr>
      <w:r w:rsidRPr="00565389">
        <w:rPr>
          <w:sz w:val="24"/>
        </w:rPr>
        <w:t>The employer shall ensure that precautionary labels are affixed to all containers of EtO whose contents are capable of causing employee exposure at or above the action level or whose contents may reasonably be foreseen to cause employee exposure above the excursion limit, and that the labels remain affixed when the containers of EtO leave the workplace.  For the purposes of this paragraph, reaction vessels, storage tanks, and pipes or piping systems are not considered to be containers.  The labels shall comply with the requirements of 29 CFR 1910.1200(f) of OSHA's Hazard Communication standard, and shall include the following legend:</w:t>
      </w:r>
    </w:p>
    <w:p w:rsidR="009C3237" w:rsidRPr="00565389" w:rsidP="009C3237" w14:paraId="6E7C5001" w14:textId="77777777">
      <w:pPr>
        <w:rPr>
          <w:rStyle w:val="blueten1"/>
          <w:rFonts w:ascii="Times New Roman" w:hAnsi="Times New Roman"/>
          <w:b/>
          <w:bCs/>
          <w:sz w:val="24"/>
          <w:szCs w:val="24"/>
        </w:rPr>
      </w:pPr>
      <w:bookmarkStart w:id="49" w:name="1910.1047(j)(1)(ii)(A)"/>
      <w:bookmarkEnd w:id="49"/>
    </w:p>
    <w:p w:rsidR="009C3237" w:rsidRPr="00565389" w:rsidP="00BE1CAF" w14:paraId="32161E24" w14:textId="77777777">
      <w:pPr>
        <w:ind w:firstLine="720"/>
        <w:rPr>
          <w:rStyle w:val="blueten1"/>
          <w:rFonts w:ascii="Times New Roman" w:hAnsi="Times New Roman"/>
          <w:sz w:val="24"/>
          <w:szCs w:val="24"/>
        </w:rPr>
      </w:pPr>
      <w:r w:rsidRPr="00565389">
        <w:rPr>
          <w:sz w:val="24"/>
        </w:rPr>
        <w:t>§</w:t>
      </w:r>
      <w:r w:rsidRPr="00565389">
        <w:rPr>
          <w:rStyle w:val="blueten1"/>
          <w:rFonts w:ascii="Times New Roman" w:hAnsi="Times New Roman"/>
          <w:bCs/>
          <w:sz w:val="24"/>
          <w:szCs w:val="24"/>
        </w:rPr>
        <w:t>1910.1047(j)(2)(ii)(B)</w:t>
      </w:r>
      <w:r w:rsidRPr="00565389">
        <w:rPr>
          <w:rStyle w:val="blueten1"/>
          <w:rFonts w:ascii="Times New Roman" w:hAnsi="Times New Roman"/>
          <w:sz w:val="24"/>
          <w:szCs w:val="24"/>
        </w:rPr>
        <w:t xml:space="preserve">: Prior to June 1,2015, employers may include the following </w:t>
      </w:r>
    </w:p>
    <w:p w:rsidR="009C3237" w:rsidRPr="00565389" w:rsidP="00BE1CAF" w14:paraId="158F1496" w14:textId="77777777">
      <w:pPr>
        <w:ind w:firstLine="720"/>
        <w:rPr>
          <w:rStyle w:val="blueten1"/>
          <w:rFonts w:ascii="Times New Roman" w:hAnsi="Times New Roman"/>
          <w:sz w:val="24"/>
          <w:szCs w:val="24"/>
        </w:rPr>
      </w:pPr>
      <w:r w:rsidRPr="00565389">
        <w:rPr>
          <w:rStyle w:val="blueten1"/>
          <w:rFonts w:ascii="Times New Roman" w:hAnsi="Times New Roman"/>
          <w:sz w:val="24"/>
          <w:szCs w:val="24"/>
        </w:rPr>
        <w:t xml:space="preserve">information on containers of EtO in lieu of the labeling requirements in paragraph   </w:t>
      </w:r>
    </w:p>
    <w:p w:rsidR="009C3237" w:rsidRPr="00565389" w:rsidP="00BE1CAF" w14:paraId="2D15793D" w14:textId="444060DB">
      <w:pPr>
        <w:ind w:firstLine="720"/>
        <w:rPr>
          <w:rStyle w:val="blueten1"/>
          <w:rFonts w:ascii="Times New Roman" w:hAnsi="Times New Roman"/>
          <w:sz w:val="24"/>
          <w:szCs w:val="24"/>
        </w:rPr>
      </w:pPr>
      <w:r w:rsidRPr="00565389">
        <w:rPr>
          <w:rStyle w:val="blueten1"/>
          <w:rFonts w:ascii="Times New Roman" w:hAnsi="Times New Roman"/>
          <w:sz w:val="24"/>
          <w:szCs w:val="24"/>
        </w:rPr>
        <w:t>(J)(2)(ii)(B)(j)(1)(i) of this section:</w:t>
      </w:r>
    </w:p>
    <w:p w:rsidR="009C3237" w:rsidRPr="00565389" w:rsidP="009C3237" w14:paraId="2BD8DC39" w14:textId="77777777">
      <w:pPr>
        <w:jc w:val="center"/>
        <w:rPr>
          <w:sz w:val="24"/>
        </w:rPr>
      </w:pPr>
    </w:p>
    <w:p w:rsidR="009C3237" w:rsidRPr="00565389" w:rsidP="009C3237" w14:paraId="39853FFD" w14:textId="0FB539D5">
      <w:pPr>
        <w:jc w:val="center"/>
        <w:rPr>
          <w:b/>
          <w:sz w:val="24"/>
        </w:rPr>
      </w:pPr>
      <w:r w:rsidRPr="00565389">
        <w:rPr>
          <w:b/>
          <w:sz w:val="24"/>
        </w:rPr>
        <w:t>DANGER</w:t>
      </w:r>
      <w:r w:rsidRPr="00565389">
        <w:rPr>
          <w:b/>
          <w:sz w:val="24"/>
        </w:rPr>
        <w:br/>
        <w:t>CONTAINS ETHYLENE OXIDE</w:t>
      </w:r>
      <w:r w:rsidRPr="00565389">
        <w:rPr>
          <w:b/>
          <w:sz w:val="24"/>
        </w:rPr>
        <w:br/>
        <w:t>CANCER HAZARD AND REPRODUCTIVE HAZARD</w:t>
      </w:r>
    </w:p>
    <w:p w:rsidR="009C3237" w:rsidRPr="00565389" w:rsidP="009C3237" w14:paraId="47F4991D" w14:textId="77777777">
      <w:pPr>
        <w:rPr>
          <w:sz w:val="24"/>
        </w:rPr>
      </w:pPr>
    </w:p>
    <w:p w:rsidR="009C3237" w:rsidRPr="00565389" w:rsidP="009C3237" w14:paraId="0DA2BCF6" w14:textId="77777777">
      <w:pPr>
        <w:rPr>
          <w:sz w:val="24"/>
        </w:rPr>
      </w:pPr>
      <w:r w:rsidRPr="00565389">
        <w:rPr>
          <w:sz w:val="24"/>
        </w:rPr>
        <w:t>and</w:t>
      </w:r>
    </w:p>
    <w:p w:rsidR="009C3237" w:rsidRPr="00565389" w:rsidP="009C3237" w14:paraId="3737F186" w14:textId="77777777">
      <w:pPr>
        <w:rPr>
          <w:sz w:val="24"/>
        </w:rPr>
      </w:pPr>
    </w:p>
    <w:p w:rsidR="009C3237" w:rsidRPr="00565389" w:rsidP="009C3237" w14:paraId="78397872" w14:textId="77777777">
      <w:pPr>
        <w:ind w:left="720"/>
        <w:rPr>
          <w:sz w:val="24"/>
        </w:rPr>
      </w:pPr>
      <w:bookmarkStart w:id="50" w:name="1910.1047(j)(1)(ii)(B)"/>
      <w:bookmarkEnd w:id="50"/>
      <w:r w:rsidRPr="00565389">
        <w:rPr>
          <w:sz w:val="24"/>
        </w:rPr>
        <w:t>§</w:t>
      </w:r>
      <w:r w:rsidRPr="00565389">
        <w:rPr>
          <w:rStyle w:val="blueten1"/>
          <w:rFonts w:ascii="Times New Roman" w:hAnsi="Times New Roman"/>
          <w:bCs/>
          <w:sz w:val="24"/>
          <w:szCs w:val="24"/>
        </w:rPr>
        <w:t>1910.1047(j)(2)</w:t>
      </w:r>
      <w:r w:rsidRPr="00565389">
        <w:rPr>
          <w:rStyle w:val="blueten1"/>
          <w:rFonts w:ascii="Times New Roman" w:hAnsi="Times New Roman"/>
          <w:sz w:val="24"/>
          <w:szCs w:val="24"/>
        </w:rPr>
        <w:t xml:space="preserve"> - </w:t>
      </w:r>
      <w:r w:rsidRPr="00565389">
        <w:rPr>
          <w:sz w:val="24"/>
        </w:rPr>
        <w:t>A warning statement against breathing airborne concentrations of EtO.</w:t>
      </w:r>
    </w:p>
    <w:p w:rsidR="009C3237" w:rsidRPr="00565389" w:rsidP="009C3237" w14:paraId="4FCE944A" w14:textId="77777777">
      <w:pPr>
        <w:ind w:left="720"/>
        <w:rPr>
          <w:sz w:val="24"/>
        </w:rPr>
      </w:pPr>
    </w:p>
    <w:p w:rsidR="009C3237" w:rsidRPr="00565389" w:rsidP="009C3237" w14:paraId="431BC3DC" w14:textId="77777777">
      <w:pPr>
        <w:rPr>
          <w:rStyle w:val="blueten1"/>
          <w:rFonts w:ascii="Times New Roman" w:hAnsi="Times New Roman"/>
          <w:i/>
          <w:sz w:val="24"/>
          <w:szCs w:val="24"/>
        </w:rPr>
      </w:pPr>
      <w:bookmarkStart w:id="51" w:name="1910.1047(j)(1)(iii)"/>
      <w:bookmarkEnd w:id="51"/>
      <w:r w:rsidRPr="00565389">
        <w:rPr>
          <w:i/>
          <w:sz w:val="24"/>
        </w:rPr>
        <w:t>§</w:t>
      </w:r>
      <w:r w:rsidRPr="00565389">
        <w:rPr>
          <w:rStyle w:val="blueten1"/>
          <w:rFonts w:ascii="Times New Roman" w:hAnsi="Times New Roman"/>
          <w:bCs/>
          <w:i/>
          <w:sz w:val="24"/>
          <w:szCs w:val="24"/>
        </w:rPr>
        <w:t>1910.1047(j)(2)(ii)</w:t>
      </w:r>
      <w:r w:rsidRPr="00565389">
        <w:rPr>
          <w:rStyle w:val="blueten1"/>
          <w:rFonts w:ascii="Times New Roman" w:hAnsi="Times New Roman"/>
          <w:i/>
          <w:sz w:val="24"/>
          <w:szCs w:val="24"/>
        </w:rPr>
        <w:t>(C)</w:t>
      </w:r>
    </w:p>
    <w:p w:rsidR="009C3237" w:rsidRPr="00565389" w:rsidP="009C3237" w14:paraId="1B3594C2" w14:textId="77777777">
      <w:pPr>
        <w:rPr>
          <w:rStyle w:val="blueten1"/>
          <w:rFonts w:ascii="Times New Roman" w:hAnsi="Times New Roman"/>
          <w:b/>
          <w:i/>
          <w:sz w:val="24"/>
          <w:szCs w:val="24"/>
        </w:rPr>
      </w:pPr>
    </w:p>
    <w:p w:rsidR="009C3237" w:rsidRPr="00565389" w:rsidP="009C3237" w14:paraId="7198950A" w14:textId="77777777">
      <w:pPr>
        <w:rPr>
          <w:sz w:val="24"/>
        </w:rPr>
      </w:pPr>
      <w:r w:rsidRPr="00565389">
        <w:rPr>
          <w:sz w:val="24"/>
        </w:rPr>
        <w:t>The labeling requirements under this section do not apply where EtO is used as a pesticide, as such term is defined in the Federal Insecticide, Fungicide, and Rodenticide Act (7 U.S.C. 136 et seq.), when it is labeled pursuant to that Act and regulations issued under that Act by the Environmental Protection Agency.</w:t>
      </w:r>
    </w:p>
    <w:p w:rsidR="009C3237" w:rsidRPr="00565389" w:rsidP="009C3237" w14:paraId="059A942D" w14:textId="77777777">
      <w:pPr>
        <w:rPr>
          <w:sz w:val="24"/>
        </w:rPr>
      </w:pPr>
    </w:p>
    <w:p w:rsidR="009C3237" w:rsidRPr="00565389" w:rsidP="009C3237" w14:paraId="1633396C" w14:textId="77777777">
      <w:pPr>
        <w:rPr>
          <w:sz w:val="24"/>
        </w:rPr>
      </w:pPr>
      <w:r w:rsidRPr="00565389">
        <w:rPr>
          <w:b/>
          <w:sz w:val="24"/>
          <w:u w:val="single"/>
        </w:rPr>
        <w:t>Purpose</w:t>
      </w:r>
      <w:r w:rsidRPr="00565389">
        <w:rPr>
          <w:sz w:val="24"/>
        </w:rPr>
        <w:t>:</w:t>
      </w:r>
      <w:r w:rsidRPr="00565389">
        <w:rPr>
          <w:b/>
          <w:sz w:val="24"/>
        </w:rPr>
        <w:t xml:space="preserve">  </w:t>
      </w:r>
      <w:r w:rsidRPr="00565389">
        <w:rPr>
          <w:sz w:val="24"/>
        </w:rPr>
        <w:t>Warning labels assure that downstream employers and workers are informed of the hazards of EtO, and that these employers may need to implement special practices to prevent exposure.  Furthermore, hazard labels alert other employers who, in the absence of such labels, might not know that EtO is present in their workplace and, consequently, that they must comply with the Standard.</w:t>
      </w:r>
    </w:p>
    <w:p w:rsidR="009C3237" w:rsidRPr="00565389" w:rsidP="009C3237" w14:paraId="462EAB1E" w14:textId="77777777">
      <w:pPr>
        <w:rPr>
          <w:b/>
          <w:i/>
          <w:sz w:val="24"/>
        </w:rPr>
      </w:pPr>
    </w:p>
    <w:p w:rsidR="009C3237" w:rsidRPr="00565389" w:rsidP="009C3237" w14:paraId="0767714C" w14:textId="77777777">
      <w:pPr>
        <w:rPr>
          <w:b/>
          <w:i/>
          <w:sz w:val="24"/>
        </w:rPr>
      </w:pPr>
      <w:r w:rsidRPr="00565389">
        <w:rPr>
          <w:b/>
          <w:i/>
          <w:sz w:val="24"/>
        </w:rPr>
        <w:t>M.  Information and training (§1910.1047(j)(3))</w:t>
      </w:r>
    </w:p>
    <w:p w:rsidR="009C3237" w:rsidRPr="00565389" w:rsidP="009C3237" w14:paraId="26722A75" w14:textId="77777777">
      <w:pPr>
        <w:rPr>
          <w:sz w:val="24"/>
        </w:rPr>
      </w:pPr>
    </w:p>
    <w:p w:rsidR="009C3237" w:rsidRPr="00565389" w:rsidP="009C3237" w14:paraId="04D386AD"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1910.1047(j)(3)(i)</w:t>
      </w:r>
      <w:r w:rsidRPr="00565389">
        <w:rPr>
          <w:rStyle w:val="blueten1"/>
          <w:rFonts w:ascii="Times New Roman" w:hAnsi="Times New Roman"/>
          <w:i/>
          <w:sz w:val="24"/>
          <w:szCs w:val="24"/>
        </w:rPr>
        <w:t xml:space="preserve"> </w:t>
      </w:r>
    </w:p>
    <w:p w:rsidR="009C3237" w:rsidRPr="00565389" w:rsidP="009C3237" w14:paraId="41E248DB" w14:textId="77777777">
      <w:pPr>
        <w:rPr>
          <w:rStyle w:val="blueten1"/>
          <w:rFonts w:ascii="Times New Roman" w:hAnsi="Times New Roman"/>
          <w:i/>
          <w:sz w:val="24"/>
          <w:szCs w:val="24"/>
        </w:rPr>
      </w:pPr>
    </w:p>
    <w:p w:rsidR="009C3237" w:rsidRPr="00565389" w:rsidP="009C3237" w14:paraId="2111C144" w14:textId="77777777">
      <w:pPr>
        <w:rPr>
          <w:sz w:val="24"/>
        </w:rPr>
      </w:pPr>
      <w:r w:rsidRPr="00565389">
        <w:rPr>
          <w:sz w:val="24"/>
        </w:rPr>
        <w:t>The Standard’s information and training requirements are not considered collections of information.  Therefore, OSHA takes no burden hours and costs for this requirement.</w:t>
      </w:r>
    </w:p>
    <w:p w:rsidR="009C3237" w:rsidRPr="00565389" w:rsidP="009C3237" w14:paraId="41302106" w14:textId="77777777">
      <w:pPr>
        <w:rPr>
          <w:rStyle w:val="blueten1"/>
          <w:rFonts w:ascii="Times New Roman" w:hAnsi="Times New Roman"/>
          <w:i/>
          <w:sz w:val="24"/>
          <w:szCs w:val="24"/>
        </w:rPr>
      </w:pPr>
    </w:p>
    <w:p w:rsidR="009C3237" w:rsidRPr="00565389" w:rsidP="009C3237" w14:paraId="6E6FBC6B" w14:textId="77777777">
      <w:pPr>
        <w:rPr>
          <w:sz w:val="24"/>
        </w:rPr>
      </w:pPr>
      <w:r w:rsidRPr="00565389">
        <w:rPr>
          <w:sz w:val="24"/>
        </w:rPr>
        <w:t>The employer shall provide employees who are potentially exposed to EtO at or above the action level or above the excursion limit with information and training on EtO at the time of initial assignment and at least annually thereafter.</w:t>
      </w:r>
    </w:p>
    <w:p w:rsidR="009C3237" w:rsidRPr="00565389" w:rsidP="009C3237" w14:paraId="4F9C3B86" w14:textId="77777777">
      <w:pPr>
        <w:rPr>
          <w:rStyle w:val="blueten1"/>
          <w:rFonts w:ascii="Times New Roman" w:hAnsi="Times New Roman"/>
          <w:b/>
          <w:bCs/>
          <w:sz w:val="24"/>
          <w:szCs w:val="24"/>
        </w:rPr>
      </w:pPr>
      <w:bookmarkStart w:id="52" w:name="1910.1047(j)(3)(ii)"/>
      <w:bookmarkEnd w:id="52"/>
    </w:p>
    <w:p w:rsidR="009C3237" w:rsidRPr="00565389" w:rsidP="009C3237" w14:paraId="37A457D3"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1910.1047(j)(3)(ii)</w:t>
      </w:r>
      <w:r w:rsidRPr="00565389">
        <w:rPr>
          <w:rStyle w:val="blueten1"/>
          <w:rFonts w:ascii="Times New Roman" w:hAnsi="Times New Roman"/>
          <w:i/>
          <w:sz w:val="24"/>
          <w:szCs w:val="24"/>
        </w:rPr>
        <w:t xml:space="preserve"> </w:t>
      </w:r>
    </w:p>
    <w:p w:rsidR="009C3237" w:rsidRPr="00565389" w:rsidP="009C3237" w14:paraId="36CA12D1" w14:textId="77777777">
      <w:pPr>
        <w:rPr>
          <w:sz w:val="24"/>
        </w:rPr>
      </w:pPr>
    </w:p>
    <w:p w:rsidR="009C3237" w:rsidRPr="00565389" w:rsidP="009C3237" w14:paraId="0140BB9D" w14:textId="77777777">
      <w:pPr>
        <w:rPr>
          <w:sz w:val="24"/>
        </w:rPr>
      </w:pPr>
      <w:r w:rsidRPr="00565389">
        <w:rPr>
          <w:sz w:val="24"/>
        </w:rPr>
        <w:t>Employees shall be informed of the following:</w:t>
      </w:r>
    </w:p>
    <w:p w:rsidR="009C3237" w:rsidRPr="00565389" w:rsidP="009C3237" w14:paraId="2B6A27CA" w14:textId="77777777">
      <w:pPr>
        <w:rPr>
          <w:rStyle w:val="blueten1"/>
          <w:rFonts w:ascii="Times New Roman" w:hAnsi="Times New Roman"/>
          <w:b/>
          <w:bCs/>
          <w:sz w:val="24"/>
          <w:szCs w:val="24"/>
        </w:rPr>
      </w:pPr>
      <w:bookmarkStart w:id="53" w:name="1910.1047(j)(3)(ii)(A)"/>
      <w:bookmarkEnd w:id="53"/>
    </w:p>
    <w:p w:rsidR="009C3237" w:rsidRPr="00565389" w:rsidP="009C3237" w14:paraId="22853B3D" w14:textId="77777777">
      <w:pPr>
        <w:ind w:left="720"/>
        <w:rPr>
          <w:sz w:val="24"/>
        </w:rPr>
      </w:pPr>
      <w:r w:rsidRPr="00565389">
        <w:rPr>
          <w:sz w:val="24"/>
        </w:rPr>
        <w:t>§</w:t>
      </w:r>
      <w:r w:rsidRPr="00565389">
        <w:rPr>
          <w:rStyle w:val="blueten1"/>
          <w:rFonts w:ascii="Times New Roman" w:hAnsi="Times New Roman"/>
          <w:bCs/>
          <w:sz w:val="24"/>
          <w:szCs w:val="24"/>
        </w:rPr>
        <w:t>1910.1047(j)(3)(ii)(A)</w:t>
      </w:r>
      <w:r w:rsidRPr="00565389">
        <w:rPr>
          <w:rStyle w:val="blueten1"/>
          <w:rFonts w:ascii="Times New Roman" w:hAnsi="Times New Roman"/>
          <w:sz w:val="24"/>
          <w:szCs w:val="24"/>
        </w:rPr>
        <w:t xml:space="preserve"> - </w:t>
      </w:r>
      <w:r w:rsidRPr="00565389">
        <w:rPr>
          <w:sz w:val="24"/>
        </w:rPr>
        <w:t>The requirements of this section with an explanation of its contents, including Appendices A and B;</w:t>
      </w:r>
    </w:p>
    <w:p w:rsidR="009C3237" w:rsidRPr="00565389" w:rsidP="009C3237" w14:paraId="6C3E63BE" w14:textId="77777777">
      <w:pPr>
        <w:ind w:left="720"/>
        <w:rPr>
          <w:sz w:val="24"/>
        </w:rPr>
      </w:pPr>
    </w:p>
    <w:p w:rsidR="009C3237" w:rsidRPr="00565389" w:rsidP="009C3237" w14:paraId="30856AA5" w14:textId="77777777">
      <w:pPr>
        <w:ind w:firstLine="720"/>
        <w:rPr>
          <w:sz w:val="24"/>
        </w:rPr>
      </w:pPr>
      <w:bookmarkStart w:id="54" w:name="1910.1047(j)(3)(ii)(B)"/>
      <w:bookmarkEnd w:id="54"/>
      <w:r w:rsidRPr="00565389">
        <w:rPr>
          <w:sz w:val="24"/>
        </w:rPr>
        <w:t>§</w:t>
      </w:r>
      <w:r w:rsidRPr="00565389">
        <w:rPr>
          <w:rStyle w:val="blueten1"/>
          <w:rFonts w:ascii="Times New Roman" w:hAnsi="Times New Roman"/>
          <w:bCs/>
          <w:sz w:val="24"/>
          <w:szCs w:val="24"/>
        </w:rPr>
        <w:t>1910.1047(j)(3)(ii)(B)</w:t>
      </w:r>
      <w:r w:rsidRPr="00565389">
        <w:rPr>
          <w:rStyle w:val="blueten1"/>
          <w:rFonts w:ascii="Times New Roman" w:hAnsi="Times New Roman"/>
          <w:sz w:val="24"/>
          <w:szCs w:val="24"/>
        </w:rPr>
        <w:t xml:space="preserve"> - </w:t>
      </w:r>
      <w:r w:rsidRPr="00565389">
        <w:rPr>
          <w:sz w:val="24"/>
        </w:rPr>
        <w:t>Any operations in their work area where EtO is present;</w:t>
      </w:r>
    </w:p>
    <w:p w:rsidR="009C3237" w:rsidRPr="00565389" w:rsidP="009C3237" w14:paraId="09590C7E" w14:textId="77777777">
      <w:pPr>
        <w:ind w:firstLine="720"/>
        <w:rPr>
          <w:b/>
          <w:i/>
          <w:sz w:val="24"/>
        </w:rPr>
      </w:pPr>
      <w:bookmarkStart w:id="55" w:name="1910.1047(j)(3)(ii)(C)"/>
      <w:bookmarkEnd w:id="55"/>
    </w:p>
    <w:p w:rsidR="009C3237" w:rsidRPr="00565389" w:rsidP="009C3237" w14:paraId="3840FB5E" w14:textId="77777777">
      <w:pPr>
        <w:ind w:firstLine="720"/>
        <w:rPr>
          <w:sz w:val="24"/>
        </w:rPr>
      </w:pPr>
      <w:r w:rsidRPr="00565389">
        <w:rPr>
          <w:sz w:val="24"/>
        </w:rPr>
        <w:t>§</w:t>
      </w:r>
      <w:r w:rsidRPr="00565389">
        <w:rPr>
          <w:rStyle w:val="blueten1"/>
          <w:rFonts w:ascii="Times New Roman" w:hAnsi="Times New Roman"/>
          <w:bCs/>
          <w:sz w:val="24"/>
          <w:szCs w:val="24"/>
        </w:rPr>
        <w:t>1910.1047(j)(3)(ii)(C)</w:t>
      </w:r>
      <w:r w:rsidRPr="00565389">
        <w:rPr>
          <w:rStyle w:val="blueten1"/>
          <w:rFonts w:ascii="Times New Roman" w:hAnsi="Times New Roman"/>
          <w:sz w:val="24"/>
          <w:szCs w:val="24"/>
        </w:rPr>
        <w:t xml:space="preserve"> - </w:t>
      </w:r>
      <w:r w:rsidRPr="00565389">
        <w:rPr>
          <w:sz w:val="24"/>
        </w:rPr>
        <w:t>The location and availability of the written EtO final rule; and</w:t>
      </w:r>
    </w:p>
    <w:p w:rsidR="009C3237" w:rsidRPr="00565389" w:rsidP="009C3237" w14:paraId="2FF80477" w14:textId="77777777">
      <w:pPr>
        <w:ind w:firstLine="720"/>
        <w:rPr>
          <w:b/>
          <w:i/>
          <w:sz w:val="24"/>
        </w:rPr>
      </w:pPr>
      <w:bookmarkStart w:id="56" w:name="1910.1047(j)(3)(ii)(D)"/>
      <w:bookmarkEnd w:id="56"/>
    </w:p>
    <w:p w:rsidR="009C3237" w:rsidRPr="00565389" w:rsidP="009C3237" w14:paraId="58D00F5D" w14:textId="77777777">
      <w:pPr>
        <w:ind w:left="720"/>
        <w:rPr>
          <w:sz w:val="24"/>
        </w:rPr>
      </w:pPr>
      <w:r w:rsidRPr="00565389">
        <w:rPr>
          <w:sz w:val="24"/>
        </w:rPr>
        <w:t>§</w:t>
      </w:r>
      <w:r w:rsidRPr="00565389">
        <w:rPr>
          <w:rStyle w:val="blueten1"/>
          <w:rFonts w:ascii="Times New Roman" w:hAnsi="Times New Roman"/>
          <w:bCs/>
          <w:sz w:val="24"/>
          <w:szCs w:val="24"/>
        </w:rPr>
        <w:t>1910.1047(j)(3)(ii)(D)</w:t>
      </w:r>
      <w:r w:rsidRPr="00565389">
        <w:rPr>
          <w:rStyle w:val="blueten1"/>
          <w:rFonts w:ascii="Times New Roman" w:hAnsi="Times New Roman"/>
          <w:sz w:val="24"/>
          <w:szCs w:val="24"/>
        </w:rPr>
        <w:t xml:space="preserve"> - </w:t>
      </w:r>
      <w:r w:rsidRPr="00565389">
        <w:rPr>
          <w:sz w:val="24"/>
        </w:rPr>
        <w:t>The medical surveillance program required by paragraph (i) of this section with an explanation of the information in Appendix C.</w:t>
      </w:r>
    </w:p>
    <w:p w:rsidR="009C3237" w:rsidRPr="00565389" w:rsidP="009C3237" w14:paraId="40EA3D39" w14:textId="77777777">
      <w:pPr>
        <w:rPr>
          <w:i/>
          <w:sz w:val="24"/>
        </w:rPr>
      </w:pPr>
      <w:bookmarkStart w:id="57" w:name="1910.1047(j)(3)(iii)"/>
      <w:bookmarkEnd w:id="57"/>
    </w:p>
    <w:p w:rsidR="009C3237" w:rsidRPr="00565389" w:rsidP="009C3237" w14:paraId="753B96C2"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1910.1047(j)(3)(iii)</w:t>
      </w:r>
      <w:r w:rsidRPr="00565389">
        <w:rPr>
          <w:rStyle w:val="blueten1"/>
          <w:rFonts w:ascii="Times New Roman" w:hAnsi="Times New Roman"/>
          <w:i/>
          <w:sz w:val="24"/>
          <w:szCs w:val="24"/>
        </w:rPr>
        <w:t xml:space="preserve"> </w:t>
      </w:r>
    </w:p>
    <w:p w:rsidR="009C3237" w:rsidRPr="00565389" w:rsidP="009C3237" w14:paraId="0A1395A1" w14:textId="77777777">
      <w:pPr>
        <w:rPr>
          <w:rStyle w:val="blueten1"/>
          <w:rFonts w:ascii="Times New Roman" w:hAnsi="Times New Roman"/>
          <w:i/>
          <w:sz w:val="24"/>
          <w:szCs w:val="24"/>
        </w:rPr>
      </w:pPr>
    </w:p>
    <w:p w:rsidR="009C3237" w:rsidRPr="00565389" w:rsidP="009C3237" w14:paraId="2C5FEC6C" w14:textId="77777777">
      <w:pPr>
        <w:rPr>
          <w:sz w:val="24"/>
        </w:rPr>
      </w:pPr>
      <w:r w:rsidRPr="00565389">
        <w:rPr>
          <w:sz w:val="24"/>
        </w:rPr>
        <w:t>Employee training shall include at least:</w:t>
      </w:r>
    </w:p>
    <w:p w:rsidR="009C3237" w:rsidRPr="00565389" w:rsidP="009C3237" w14:paraId="76FDC824" w14:textId="77777777">
      <w:pPr>
        <w:rPr>
          <w:sz w:val="24"/>
        </w:rPr>
      </w:pPr>
    </w:p>
    <w:p w:rsidR="009C3237" w:rsidRPr="00565389" w:rsidP="009C3237" w14:paraId="00F41647" w14:textId="77777777">
      <w:pPr>
        <w:ind w:left="720"/>
        <w:rPr>
          <w:sz w:val="24"/>
        </w:rPr>
      </w:pPr>
      <w:bookmarkStart w:id="58" w:name="1910.1047(j)(3)(iii)(A)"/>
      <w:bookmarkEnd w:id="58"/>
      <w:r w:rsidRPr="00565389">
        <w:rPr>
          <w:sz w:val="24"/>
        </w:rPr>
        <w:t>§</w:t>
      </w:r>
      <w:r w:rsidRPr="00565389">
        <w:rPr>
          <w:rStyle w:val="blueten1"/>
          <w:rFonts w:ascii="Times New Roman" w:hAnsi="Times New Roman"/>
          <w:bCs/>
          <w:sz w:val="24"/>
          <w:szCs w:val="24"/>
        </w:rPr>
        <w:t>1910.1047(j)(3)(iii)(A)</w:t>
      </w:r>
      <w:r w:rsidRPr="00565389">
        <w:rPr>
          <w:rStyle w:val="blueten1"/>
          <w:rFonts w:ascii="Times New Roman" w:hAnsi="Times New Roman"/>
          <w:sz w:val="24"/>
          <w:szCs w:val="24"/>
        </w:rPr>
        <w:t xml:space="preserve"> - </w:t>
      </w:r>
      <w:r w:rsidRPr="00565389">
        <w:rPr>
          <w:sz w:val="24"/>
        </w:rPr>
        <w:t>Methods and observations that may be used to detect the presence or release of EtO in the work area (such as monitoring conducted by the employer, continuous monitoring devices, etc.);</w:t>
      </w:r>
    </w:p>
    <w:p w:rsidR="009C3237" w:rsidRPr="00565389" w:rsidP="009C3237" w14:paraId="2F074563" w14:textId="77777777">
      <w:pPr>
        <w:rPr>
          <w:sz w:val="24"/>
        </w:rPr>
      </w:pPr>
      <w:bookmarkStart w:id="59" w:name="1910.1047(j)(3)(iii)(B)"/>
      <w:bookmarkEnd w:id="59"/>
    </w:p>
    <w:p w:rsidR="009C3237" w:rsidRPr="00565389" w:rsidP="009C3237" w14:paraId="44FDA528" w14:textId="77777777">
      <w:pPr>
        <w:ind w:firstLine="720"/>
        <w:rPr>
          <w:sz w:val="24"/>
        </w:rPr>
      </w:pPr>
      <w:r w:rsidRPr="00565389">
        <w:rPr>
          <w:sz w:val="24"/>
        </w:rPr>
        <w:t>§</w:t>
      </w:r>
      <w:r w:rsidRPr="00565389">
        <w:rPr>
          <w:rStyle w:val="blueten1"/>
          <w:rFonts w:ascii="Times New Roman" w:hAnsi="Times New Roman"/>
          <w:bCs/>
          <w:sz w:val="24"/>
          <w:szCs w:val="24"/>
        </w:rPr>
        <w:t>1910.1047(j)(3)(iii)(B)</w:t>
      </w:r>
      <w:r w:rsidRPr="00565389">
        <w:rPr>
          <w:rStyle w:val="blueten1"/>
          <w:rFonts w:ascii="Times New Roman" w:hAnsi="Times New Roman"/>
          <w:sz w:val="24"/>
          <w:szCs w:val="24"/>
        </w:rPr>
        <w:t xml:space="preserve"> - </w:t>
      </w:r>
      <w:r w:rsidRPr="00565389">
        <w:rPr>
          <w:sz w:val="24"/>
        </w:rPr>
        <w:t>The physical and health hazards of EtO;</w:t>
      </w:r>
    </w:p>
    <w:p w:rsidR="009C3237" w:rsidRPr="00565389" w:rsidP="009C3237" w14:paraId="51B5CBBB" w14:textId="77777777">
      <w:pPr>
        <w:ind w:firstLine="720"/>
        <w:rPr>
          <w:sz w:val="24"/>
        </w:rPr>
      </w:pPr>
      <w:bookmarkStart w:id="60" w:name="1910.1047(j)(3)(iii)(C)"/>
      <w:bookmarkEnd w:id="60"/>
    </w:p>
    <w:p w:rsidR="009C3237" w:rsidRPr="00565389" w:rsidP="009C3237" w14:paraId="46559F26" w14:textId="77777777">
      <w:pPr>
        <w:ind w:left="720"/>
        <w:rPr>
          <w:sz w:val="24"/>
        </w:rPr>
      </w:pPr>
      <w:r w:rsidRPr="00565389">
        <w:rPr>
          <w:sz w:val="24"/>
        </w:rPr>
        <w:t>§</w:t>
      </w:r>
      <w:r w:rsidRPr="00565389">
        <w:rPr>
          <w:rStyle w:val="blueten1"/>
          <w:rFonts w:ascii="Times New Roman" w:hAnsi="Times New Roman"/>
          <w:bCs/>
          <w:sz w:val="24"/>
          <w:szCs w:val="24"/>
        </w:rPr>
        <w:t>1910.1047(j)(3)(iii)(C)</w:t>
      </w:r>
      <w:r w:rsidRPr="00565389">
        <w:rPr>
          <w:rStyle w:val="blueten1"/>
          <w:rFonts w:ascii="Times New Roman" w:hAnsi="Times New Roman"/>
          <w:sz w:val="24"/>
          <w:szCs w:val="24"/>
        </w:rPr>
        <w:t xml:space="preserve"> - </w:t>
      </w:r>
      <w:r w:rsidRPr="00565389">
        <w:rPr>
          <w:sz w:val="24"/>
        </w:rPr>
        <w:t>The measures employees can take to protect themselves from hazards associated with EtO exposure, including specific procedures the employer has implemented to protect employees from exposure to EtO, such as work practices, emergency procedures, and personal protective equipment to be used; and</w:t>
      </w:r>
    </w:p>
    <w:p w:rsidR="009C3237" w:rsidRPr="00565389" w:rsidP="009C3237" w14:paraId="5DC742F4" w14:textId="77777777">
      <w:pPr>
        <w:rPr>
          <w:sz w:val="24"/>
        </w:rPr>
      </w:pPr>
      <w:bookmarkStart w:id="61" w:name="1910.1047(j)(3)(iii)(D)"/>
      <w:bookmarkEnd w:id="61"/>
    </w:p>
    <w:p w:rsidR="009C3237" w:rsidRPr="00565389" w:rsidP="009C3237" w14:paraId="406075CA" w14:textId="77777777">
      <w:pPr>
        <w:ind w:left="720"/>
        <w:rPr>
          <w:sz w:val="24"/>
        </w:rPr>
      </w:pPr>
      <w:r w:rsidRPr="00565389">
        <w:rPr>
          <w:sz w:val="24"/>
        </w:rPr>
        <w:t>§</w:t>
      </w:r>
      <w:r w:rsidRPr="00565389">
        <w:rPr>
          <w:rStyle w:val="blueten1"/>
          <w:rFonts w:ascii="Times New Roman" w:hAnsi="Times New Roman"/>
          <w:bCs/>
          <w:sz w:val="24"/>
          <w:szCs w:val="24"/>
        </w:rPr>
        <w:t>1910.1047(j)(3)(iii)(D)</w:t>
      </w:r>
      <w:r w:rsidRPr="00565389">
        <w:rPr>
          <w:rStyle w:val="blueten1"/>
          <w:rFonts w:ascii="Times New Roman" w:hAnsi="Times New Roman"/>
          <w:sz w:val="24"/>
          <w:szCs w:val="24"/>
        </w:rPr>
        <w:t xml:space="preserve"> - </w:t>
      </w:r>
      <w:r w:rsidRPr="00565389">
        <w:rPr>
          <w:sz w:val="24"/>
        </w:rPr>
        <w:t>The details of the hazard communication program developed by the employer, including an explanation of the labeling system and how employees can obtain and use the appropriate hazard information.</w:t>
      </w:r>
    </w:p>
    <w:p w:rsidR="009C3237" w:rsidRPr="00565389" w:rsidP="009C3237" w14:paraId="4F93967B" w14:textId="77777777">
      <w:pPr>
        <w:rPr>
          <w:b/>
          <w:sz w:val="24"/>
          <w:u w:val="single"/>
        </w:rPr>
      </w:pPr>
      <w:bookmarkStart w:id="62" w:name="1910.1047(k)"/>
      <w:bookmarkEnd w:id="62"/>
    </w:p>
    <w:p w:rsidR="009C3237" w:rsidRPr="00565389" w:rsidP="009C3237" w14:paraId="6C00CD30" w14:textId="4321541E">
      <w:pPr>
        <w:rPr>
          <w:sz w:val="24"/>
        </w:rPr>
      </w:pPr>
      <w:r w:rsidRPr="00565389">
        <w:rPr>
          <w:b/>
          <w:sz w:val="24"/>
          <w:u w:val="single"/>
        </w:rPr>
        <w:t>Purpose</w:t>
      </w:r>
      <w:r w:rsidRPr="00565389">
        <w:rPr>
          <w:sz w:val="24"/>
        </w:rPr>
        <w:t>:</w:t>
      </w:r>
      <w:r w:rsidRPr="00565389">
        <w:rPr>
          <w:b/>
          <w:sz w:val="24"/>
        </w:rPr>
        <w:t xml:space="preserve">  </w:t>
      </w:r>
      <w:r w:rsidRPr="00565389">
        <w:rPr>
          <w:sz w:val="24"/>
        </w:rPr>
        <w:t xml:space="preserve">The information and training requirements of the Standard are essential to inform workers of the health hazards of EtO exposure, and to provide them with the understanding required to minimize these health hazards.  In addition, training provides information to workers that enable them to recognize how and where EtO exposure occurs, and what steps to take, including work practices, to limit such exposure.  Another benefit of training is that it serves to explain and reinforce the information presented to workers on warning signs, labels, and MSDSs.  This warning information will be successful and relevant only if workers understand the </w:t>
      </w:r>
      <w:r w:rsidRPr="00565389" w:rsidR="00902053">
        <w:rPr>
          <w:sz w:val="24"/>
        </w:rPr>
        <w:t>information and</w:t>
      </w:r>
      <w:r w:rsidRPr="00565389">
        <w:rPr>
          <w:sz w:val="24"/>
        </w:rPr>
        <w:t xml:space="preserve"> are aware of the actions they must take to avoid or minimize EtO exposure.</w:t>
      </w:r>
    </w:p>
    <w:p w:rsidR="009C3237" w:rsidRPr="00565389" w:rsidP="009C3237" w14:paraId="75CCA8D7" w14:textId="77777777">
      <w:pPr>
        <w:ind w:firstLine="7920"/>
        <w:rPr>
          <w:sz w:val="24"/>
        </w:rPr>
      </w:pPr>
    </w:p>
    <w:p w:rsidR="009C3237" w:rsidRPr="00565389" w:rsidP="009C3237" w14:paraId="47762A6E" w14:textId="77777777">
      <w:pPr>
        <w:rPr>
          <w:b/>
          <w:i/>
          <w:sz w:val="24"/>
        </w:rPr>
      </w:pPr>
      <w:r w:rsidRPr="00565389">
        <w:rPr>
          <w:b/>
          <w:i/>
          <w:sz w:val="24"/>
        </w:rPr>
        <w:t>N.  Objective data for exempted operations (§1910.1047(k)(1))</w:t>
      </w:r>
    </w:p>
    <w:p w:rsidR="009C3237" w:rsidRPr="00565389" w:rsidP="009C3237" w14:paraId="1B468E36" w14:textId="77777777">
      <w:pPr>
        <w:rPr>
          <w:b/>
          <w:i/>
          <w:sz w:val="24"/>
        </w:rPr>
      </w:pPr>
    </w:p>
    <w:p w:rsidR="009C3237" w:rsidRPr="00565389" w:rsidP="009C3237" w14:paraId="7CCA75B2"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1910.1047(k)(1)(i)</w:t>
      </w:r>
      <w:r w:rsidRPr="00565389">
        <w:rPr>
          <w:rStyle w:val="blueten1"/>
          <w:rFonts w:ascii="Times New Roman" w:hAnsi="Times New Roman"/>
          <w:i/>
          <w:sz w:val="24"/>
          <w:szCs w:val="24"/>
        </w:rPr>
        <w:t xml:space="preserve"> </w:t>
      </w:r>
    </w:p>
    <w:p w:rsidR="009C3237" w:rsidRPr="00565389" w:rsidP="009C3237" w14:paraId="7E1223D3" w14:textId="77777777">
      <w:pPr>
        <w:rPr>
          <w:rStyle w:val="blueten1"/>
          <w:rFonts w:ascii="Times New Roman" w:hAnsi="Times New Roman"/>
          <w:sz w:val="24"/>
          <w:szCs w:val="24"/>
        </w:rPr>
      </w:pPr>
    </w:p>
    <w:p w:rsidR="009C3237" w:rsidRPr="00565389" w:rsidP="009C3237" w14:paraId="18F540BA" w14:textId="77777777">
      <w:pPr>
        <w:rPr>
          <w:sz w:val="24"/>
        </w:rPr>
      </w:pPr>
      <w:r w:rsidRPr="00565389">
        <w:rPr>
          <w:sz w:val="24"/>
        </w:rPr>
        <w:t xml:space="preserve">Where the processing, use, or handling of products made from or containing EtO are exempted from other requirements of this section under paragraph (a)(2) of this section, or where objective data have been relied on in lieu of initial monitoring under paragraph (d)(2)(ii) of this section, </w:t>
      </w:r>
    </w:p>
    <w:p w:rsidR="009C3237" w:rsidRPr="00565389" w:rsidP="009C3237" w14:paraId="13C0E8C7" w14:textId="77777777">
      <w:pPr>
        <w:rPr>
          <w:sz w:val="24"/>
        </w:rPr>
      </w:pPr>
      <w:r w:rsidRPr="00565389">
        <w:rPr>
          <w:sz w:val="24"/>
        </w:rPr>
        <w:t>the employer shall establish and maintain an accurate record of objective data reasonably relied upon in support of the exemption.</w:t>
      </w:r>
    </w:p>
    <w:p w:rsidR="009C3237" w:rsidRPr="00565389" w:rsidP="009C3237" w14:paraId="6AAEDF86" w14:textId="77777777">
      <w:pPr>
        <w:rPr>
          <w:i/>
          <w:sz w:val="24"/>
        </w:rPr>
      </w:pPr>
      <w:bookmarkStart w:id="63" w:name="1910.1047(k)(1)(ii)"/>
      <w:bookmarkEnd w:id="63"/>
    </w:p>
    <w:p w:rsidR="009C3237" w:rsidRPr="00565389" w:rsidP="009C3237" w14:paraId="51C21196"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1910.1047(k)(1)(ii)</w:t>
      </w:r>
      <w:r w:rsidRPr="00565389">
        <w:rPr>
          <w:rStyle w:val="blueten1"/>
          <w:rFonts w:ascii="Times New Roman" w:hAnsi="Times New Roman"/>
          <w:i/>
          <w:sz w:val="24"/>
          <w:szCs w:val="24"/>
        </w:rPr>
        <w:t xml:space="preserve"> </w:t>
      </w:r>
    </w:p>
    <w:p w:rsidR="009C3237" w:rsidRPr="00565389" w:rsidP="009C3237" w14:paraId="1D2995A4" w14:textId="77777777">
      <w:pPr>
        <w:rPr>
          <w:rStyle w:val="blueten1"/>
          <w:rFonts w:ascii="Times New Roman" w:hAnsi="Times New Roman"/>
          <w:i/>
          <w:sz w:val="24"/>
          <w:szCs w:val="24"/>
        </w:rPr>
      </w:pPr>
    </w:p>
    <w:p w:rsidR="009C3237" w:rsidRPr="00565389" w:rsidP="009C3237" w14:paraId="5F5E6880" w14:textId="77777777">
      <w:pPr>
        <w:rPr>
          <w:sz w:val="24"/>
        </w:rPr>
      </w:pPr>
      <w:r w:rsidRPr="00565389">
        <w:rPr>
          <w:sz w:val="24"/>
        </w:rPr>
        <w:t>This record shall include at least the following information:</w:t>
      </w:r>
    </w:p>
    <w:p w:rsidR="009C3237" w:rsidRPr="00565389" w:rsidP="009C3237" w14:paraId="43DBF1FB" w14:textId="77777777">
      <w:pPr>
        <w:rPr>
          <w:b/>
          <w:i/>
          <w:sz w:val="24"/>
        </w:rPr>
      </w:pPr>
      <w:bookmarkStart w:id="64" w:name="1910.1047(k)(1)(ii)(A)"/>
      <w:bookmarkEnd w:id="64"/>
    </w:p>
    <w:p w:rsidR="009C3237" w:rsidRPr="00565389" w:rsidP="009C3237" w14:paraId="67DF1135" w14:textId="77777777">
      <w:pPr>
        <w:ind w:firstLine="720"/>
        <w:rPr>
          <w:sz w:val="24"/>
        </w:rPr>
      </w:pPr>
      <w:r w:rsidRPr="00565389">
        <w:rPr>
          <w:sz w:val="24"/>
        </w:rPr>
        <w:t>§</w:t>
      </w:r>
      <w:r w:rsidRPr="00565389">
        <w:rPr>
          <w:rStyle w:val="blueten1"/>
          <w:rFonts w:ascii="Times New Roman" w:hAnsi="Times New Roman"/>
          <w:bCs/>
          <w:sz w:val="24"/>
          <w:szCs w:val="24"/>
        </w:rPr>
        <w:t>1910.1047(k)(1)(ii)(A)</w:t>
      </w:r>
      <w:r w:rsidRPr="00565389">
        <w:rPr>
          <w:rStyle w:val="blueten1"/>
          <w:rFonts w:ascii="Times New Roman" w:hAnsi="Times New Roman"/>
          <w:sz w:val="24"/>
          <w:szCs w:val="24"/>
        </w:rPr>
        <w:t xml:space="preserve"> - </w:t>
      </w:r>
      <w:r w:rsidRPr="00565389">
        <w:rPr>
          <w:sz w:val="24"/>
        </w:rPr>
        <w:t>The product qualifying for exemption;</w:t>
      </w:r>
    </w:p>
    <w:p w:rsidR="009C3237" w:rsidRPr="00565389" w:rsidP="009C3237" w14:paraId="73A41516" w14:textId="77777777">
      <w:pPr>
        <w:ind w:firstLine="720"/>
        <w:rPr>
          <w:sz w:val="24"/>
        </w:rPr>
      </w:pPr>
    </w:p>
    <w:p w:rsidR="009C3237" w:rsidRPr="00565389" w:rsidP="009C3237" w14:paraId="78C9F057" w14:textId="77777777">
      <w:pPr>
        <w:ind w:firstLine="720"/>
        <w:rPr>
          <w:sz w:val="24"/>
        </w:rPr>
      </w:pPr>
      <w:bookmarkStart w:id="65" w:name="1910.1047(k)(1)(ii)(B)"/>
      <w:bookmarkEnd w:id="65"/>
      <w:r w:rsidRPr="00565389">
        <w:rPr>
          <w:sz w:val="24"/>
        </w:rPr>
        <w:t>§</w:t>
      </w:r>
      <w:r w:rsidRPr="00565389">
        <w:rPr>
          <w:rStyle w:val="blueten1"/>
          <w:rFonts w:ascii="Times New Roman" w:hAnsi="Times New Roman"/>
          <w:bCs/>
          <w:sz w:val="24"/>
          <w:szCs w:val="24"/>
        </w:rPr>
        <w:t>1910.1047(k)(1)(ii)(B)</w:t>
      </w:r>
      <w:r w:rsidRPr="00565389">
        <w:rPr>
          <w:rStyle w:val="blueten1"/>
          <w:rFonts w:ascii="Times New Roman" w:hAnsi="Times New Roman"/>
          <w:sz w:val="24"/>
          <w:szCs w:val="24"/>
        </w:rPr>
        <w:t xml:space="preserve"> - </w:t>
      </w:r>
      <w:r w:rsidRPr="00565389">
        <w:rPr>
          <w:sz w:val="24"/>
        </w:rPr>
        <w:t>The source of the objective data;</w:t>
      </w:r>
    </w:p>
    <w:p w:rsidR="009C3237" w:rsidRPr="00565389" w:rsidP="009C3237" w14:paraId="7616237A" w14:textId="77777777">
      <w:pPr>
        <w:ind w:left="720"/>
        <w:rPr>
          <w:sz w:val="24"/>
        </w:rPr>
      </w:pPr>
      <w:bookmarkStart w:id="66" w:name="1910.1047(k)(1)(ii)(C)"/>
      <w:bookmarkEnd w:id="66"/>
    </w:p>
    <w:p w:rsidR="009C3237" w:rsidRPr="00565389" w:rsidP="009C3237" w14:paraId="4A5BF27C" w14:textId="77777777">
      <w:pPr>
        <w:ind w:left="720"/>
        <w:rPr>
          <w:sz w:val="24"/>
        </w:rPr>
      </w:pPr>
      <w:r w:rsidRPr="00565389">
        <w:rPr>
          <w:sz w:val="24"/>
        </w:rPr>
        <w:t>§</w:t>
      </w:r>
      <w:r w:rsidRPr="00565389">
        <w:rPr>
          <w:rStyle w:val="blueten1"/>
          <w:rFonts w:ascii="Times New Roman" w:hAnsi="Times New Roman"/>
          <w:bCs/>
          <w:sz w:val="24"/>
          <w:szCs w:val="24"/>
        </w:rPr>
        <w:t>1910.1047(k)(1)(ii)(C)</w:t>
      </w:r>
      <w:r w:rsidRPr="00565389">
        <w:rPr>
          <w:rStyle w:val="blueten1"/>
          <w:rFonts w:ascii="Times New Roman" w:hAnsi="Times New Roman"/>
          <w:sz w:val="24"/>
          <w:szCs w:val="24"/>
        </w:rPr>
        <w:t xml:space="preserve"> - </w:t>
      </w:r>
      <w:r w:rsidRPr="00565389">
        <w:rPr>
          <w:sz w:val="24"/>
        </w:rPr>
        <w:t>The testing protocol, results of testing, and/or analysis of the material for the release of EtO;</w:t>
      </w:r>
    </w:p>
    <w:p w:rsidR="009C3237" w:rsidRPr="00565389" w:rsidP="009C3237" w14:paraId="44725FEE" w14:textId="77777777">
      <w:pPr>
        <w:ind w:left="720"/>
        <w:rPr>
          <w:sz w:val="24"/>
        </w:rPr>
      </w:pPr>
    </w:p>
    <w:p w:rsidR="009C3237" w:rsidRPr="00565389" w:rsidP="009C3237" w14:paraId="72D701FA" w14:textId="77777777">
      <w:pPr>
        <w:ind w:left="720"/>
        <w:rPr>
          <w:sz w:val="24"/>
        </w:rPr>
      </w:pPr>
      <w:bookmarkStart w:id="67" w:name="1910.1047(k)(1)(ii)(D)"/>
      <w:bookmarkEnd w:id="67"/>
      <w:r w:rsidRPr="00565389">
        <w:rPr>
          <w:sz w:val="24"/>
        </w:rPr>
        <w:t>§</w:t>
      </w:r>
      <w:r w:rsidRPr="00565389">
        <w:rPr>
          <w:rStyle w:val="blueten1"/>
          <w:rFonts w:ascii="Times New Roman" w:hAnsi="Times New Roman"/>
          <w:bCs/>
          <w:sz w:val="24"/>
          <w:szCs w:val="24"/>
        </w:rPr>
        <w:t>1910.1047(k)(1)(ii)(D)</w:t>
      </w:r>
      <w:r w:rsidRPr="00565389">
        <w:rPr>
          <w:rStyle w:val="blueten1"/>
          <w:rFonts w:ascii="Times New Roman" w:hAnsi="Times New Roman"/>
          <w:sz w:val="24"/>
          <w:szCs w:val="24"/>
        </w:rPr>
        <w:t xml:space="preserve"> - </w:t>
      </w:r>
      <w:r w:rsidRPr="00565389">
        <w:rPr>
          <w:sz w:val="24"/>
        </w:rPr>
        <w:t>A description of the operation exempted and how the data support the exemption; and</w:t>
      </w:r>
    </w:p>
    <w:p w:rsidR="009C3237" w:rsidRPr="00565389" w:rsidP="009C3237" w14:paraId="3D73CFD4" w14:textId="77777777">
      <w:pPr>
        <w:ind w:left="720"/>
        <w:rPr>
          <w:sz w:val="24"/>
        </w:rPr>
      </w:pPr>
    </w:p>
    <w:p w:rsidR="009C3237" w:rsidRPr="00565389" w:rsidP="009C3237" w14:paraId="1EF8C32C" w14:textId="77777777">
      <w:pPr>
        <w:ind w:left="720"/>
        <w:rPr>
          <w:sz w:val="24"/>
        </w:rPr>
      </w:pPr>
      <w:bookmarkStart w:id="68" w:name="1910.1047(k)(1)(ii)(E)"/>
      <w:bookmarkEnd w:id="68"/>
      <w:r w:rsidRPr="00565389">
        <w:rPr>
          <w:sz w:val="24"/>
        </w:rPr>
        <w:t>§</w:t>
      </w:r>
      <w:r w:rsidRPr="00565389">
        <w:rPr>
          <w:rStyle w:val="blueten1"/>
          <w:rFonts w:ascii="Times New Roman" w:hAnsi="Times New Roman"/>
          <w:bCs/>
          <w:sz w:val="24"/>
          <w:szCs w:val="24"/>
        </w:rPr>
        <w:t>1910.1047(k)(1)(ii)(E)</w:t>
      </w:r>
      <w:r w:rsidRPr="00565389">
        <w:rPr>
          <w:rStyle w:val="blueten1"/>
          <w:rFonts w:ascii="Times New Roman" w:hAnsi="Times New Roman"/>
          <w:sz w:val="24"/>
          <w:szCs w:val="24"/>
        </w:rPr>
        <w:t xml:space="preserve"> - </w:t>
      </w:r>
      <w:r w:rsidRPr="00565389">
        <w:rPr>
          <w:sz w:val="24"/>
        </w:rPr>
        <w:t>Other data relevant to the operations, materials, processing, or employee exposures covered by the exemption.</w:t>
      </w:r>
    </w:p>
    <w:p w:rsidR="009C3237" w:rsidRPr="00565389" w:rsidP="009C3237" w14:paraId="48642994" w14:textId="77777777">
      <w:pPr>
        <w:rPr>
          <w:b/>
          <w:i/>
          <w:sz w:val="24"/>
        </w:rPr>
      </w:pPr>
      <w:bookmarkStart w:id="69" w:name="1910.1047(k)(1)(iii)"/>
      <w:bookmarkEnd w:id="69"/>
    </w:p>
    <w:p w:rsidR="009C3237" w:rsidRPr="00565389" w:rsidP="009C3237" w14:paraId="459BEE41"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1910.1047(k)(1)(iii)</w:t>
      </w:r>
      <w:r w:rsidRPr="00565389">
        <w:rPr>
          <w:rStyle w:val="blueten1"/>
          <w:rFonts w:ascii="Times New Roman" w:hAnsi="Times New Roman"/>
          <w:i/>
          <w:sz w:val="24"/>
          <w:szCs w:val="24"/>
        </w:rPr>
        <w:t xml:space="preserve"> </w:t>
      </w:r>
    </w:p>
    <w:p w:rsidR="009C3237" w:rsidRPr="00565389" w:rsidP="009C3237" w14:paraId="0A100524" w14:textId="77777777">
      <w:pPr>
        <w:rPr>
          <w:rStyle w:val="blueten1"/>
          <w:rFonts w:ascii="Times New Roman" w:hAnsi="Times New Roman"/>
          <w:sz w:val="24"/>
          <w:szCs w:val="24"/>
        </w:rPr>
      </w:pPr>
    </w:p>
    <w:p w:rsidR="009C3237" w:rsidRPr="00565389" w:rsidP="009C3237" w14:paraId="23A1DB2B" w14:textId="77777777">
      <w:pPr>
        <w:rPr>
          <w:sz w:val="24"/>
        </w:rPr>
      </w:pPr>
      <w:r w:rsidRPr="00565389">
        <w:rPr>
          <w:sz w:val="24"/>
        </w:rPr>
        <w:t>The employer shall maintain this record for the duration of the employer's reliance upon such objective data.</w:t>
      </w:r>
    </w:p>
    <w:p w:rsidR="009C3237" w:rsidRPr="00565389" w:rsidP="009C3237" w14:paraId="1361D717" w14:textId="77777777">
      <w:pPr>
        <w:rPr>
          <w:b/>
          <w:sz w:val="24"/>
          <w:u w:val="single"/>
        </w:rPr>
      </w:pPr>
    </w:p>
    <w:p w:rsidR="009C3237" w:rsidRPr="00565389" w:rsidP="009C3237" w14:paraId="2B85585C" w14:textId="77777777">
      <w:pPr>
        <w:rPr>
          <w:sz w:val="24"/>
        </w:rPr>
      </w:pPr>
      <w:r w:rsidRPr="00565389">
        <w:rPr>
          <w:b/>
          <w:sz w:val="24"/>
          <w:u w:val="single"/>
        </w:rPr>
        <w:t>Purpose</w:t>
      </w:r>
      <w:r w:rsidRPr="00565389">
        <w:rPr>
          <w:sz w:val="24"/>
        </w:rPr>
        <w:t>:</w:t>
      </w:r>
      <w:r w:rsidRPr="00565389">
        <w:rPr>
          <w:b/>
          <w:sz w:val="24"/>
        </w:rPr>
        <w:t xml:space="preserve">  </w:t>
      </w:r>
      <w:r w:rsidRPr="00565389">
        <w:rPr>
          <w:sz w:val="24"/>
        </w:rPr>
        <w:t xml:space="preserve">The purpose of requiring an employer to document and maintain these determinations is to assure that workers and their representatives, who must have access to these determinations as specified by paragraph (k)(4) of the Standard, that the determinations are reasonable.  This provision ensures that the determinations are valid and that they will protect workers from exposure to EtO at or above the AL.  Maintaining the records also allows OSHA to ascertain whether an employer is complying with the Standard; thereby, providing additional assurance that workers are receiving adequate protection from EtO exposures.  </w:t>
      </w:r>
    </w:p>
    <w:p w:rsidR="009C3237" w:rsidRPr="00565389" w:rsidP="009C3237" w14:paraId="359B9472" w14:textId="77777777">
      <w:pPr>
        <w:rPr>
          <w:sz w:val="24"/>
        </w:rPr>
      </w:pPr>
    </w:p>
    <w:p w:rsidR="009C3237" w:rsidRPr="00565389" w:rsidP="009C3237" w14:paraId="2C9A96C8" w14:textId="77777777">
      <w:pPr>
        <w:rPr>
          <w:b/>
          <w:i/>
          <w:sz w:val="24"/>
        </w:rPr>
      </w:pPr>
      <w:r w:rsidRPr="00565389">
        <w:rPr>
          <w:b/>
          <w:i/>
          <w:sz w:val="24"/>
        </w:rPr>
        <w:t>O.  Exposure measurements</w:t>
      </w:r>
      <w:r w:rsidRPr="00565389">
        <w:rPr>
          <w:b/>
          <w:bCs/>
          <w:i/>
          <w:sz w:val="24"/>
        </w:rPr>
        <w:t xml:space="preserve"> </w:t>
      </w:r>
      <w:r w:rsidRPr="00565389">
        <w:rPr>
          <w:b/>
          <w:i/>
          <w:sz w:val="24"/>
        </w:rPr>
        <w:t>(§1910.1047(k)(2))</w:t>
      </w:r>
    </w:p>
    <w:p w:rsidR="009C3237" w:rsidRPr="00565389" w:rsidP="009C3237" w14:paraId="4197476E" w14:textId="77777777">
      <w:pPr>
        <w:rPr>
          <w:sz w:val="24"/>
        </w:rPr>
      </w:pPr>
    </w:p>
    <w:p w:rsidR="009C3237" w:rsidRPr="00565389" w:rsidP="009C3237" w14:paraId="639C1975"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1910.1047(k)(2)(i)</w:t>
      </w:r>
      <w:r w:rsidRPr="00565389">
        <w:rPr>
          <w:rStyle w:val="blueten1"/>
          <w:rFonts w:ascii="Times New Roman" w:hAnsi="Times New Roman"/>
          <w:i/>
          <w:sz w:val="24"/>
          <w:szCs w:val="24"/>
        </w:rPr>
        <w:t xml:space="preserve"> </w:t>
      </w:r>
    </w:p>
    <w:p w:rsidR="009C3237" w:rsidRPr="00565389" w:rsidP="009C3237" w14:paraId="768976D1" w14:textId="77777777">
      <w:pPr>
        <w:rPr>
          <w:rStyle w:val="blueten1"/>
          <w:rFonts w:ascii="Times New Roman" w:hAnsi="Times New Roman"/>
          <w:i/>
          <w:sz w:val="24"/>
          <w:szCs w:val="24"/>
        </w:rPr>
      </w:pPr>
    </w:p>
    <w:p w:rsidR="009C3237" w:rsidRPr="00565389" w:rsidP="009C3237" w14:paraId="12A01D8D" w14:textId="77777777">
      <w:pPr>
        <w:rPr>
          <w:sz w:val="24"/>
        </w:rPr>
      </w:pPr>
      <w:r w:rsidRPr="00565389">
        <w:rPr>
          <w:sz w:val="24"/>
        </w:rPr>
        <w:t>The employer shall keep an accurate record of all measurements taken to monitor employee exposure to EtO as prescribed in paragraph (d) of this section.</w:t>
      </w:r>
    </w:p>
    <w:p w:rsidR="009C3237" w:rsidRPr="00565389" w:rsidP="009C3237" w14:paraId="239A53CF" w14:textId="77777777">
      <w:pPr>
        <w:rPr>
          <w:sz w:val="24"/>
        </w:rPr>
      </w:pPr>
    </w:p>
    <w:p w:rsidR="009C3237" w:rsidRPr="00565389" w:rsidP="009C3237" w14:paraId="728DFEC4" w14:textId="77777777">
      <w:pPr>
        <w:rPr>
          <w:rStyle w:val="blueten1"/>
          <w:rFonts w:ascii="Times New Roman" w:hAnsi="Times New Roman"/>
          <w:i/>
          <w:sz w:val="24"/>
          <w:szCs w:val="24"/>
        </w:rPr>
      </w:pPr>
      <w:bookmarkStart w:id="70" w:name="1910.1047(k)(2)(ii)"/>
      <w:bookmarkEnd w:id="70"/>
      <w:r w:rsidRPr="00565389">
        <w:rPr>
          <w:i/>
          <w:sz w:val="24"/>
        </w:rPr>
        <w:t>§</w:t>
      </w:r>
      <w:r w:rsidRPr="00565389">
        <w:rPr>
          <w:rStyle w:val="blueten1"/>
          <w:rFonts w:ascii="Times New Roman" w:hAnsi="Times New Roman"/>
          <w:bCs/>
          <w:i/>
          <w:sz w:val="24"/>
          <w:szCs w:val="24"/>
        </w:rPr>
        <w:t>1910.1047(k)(2)(ii)</w:t>
      </w:r>
      <w:r w:rsidRPr="00565389">
        <w:rPr>
          <w:rStyle w:val="blueten1"/>
          <w:rFonts w:ascii="Times New Roman" w:hAnsi="Times New Roman"/>
          <w:i/>
          <w:sz w:val="24"/>
          <w:szCs w:val="24"/>
        </w:rPr>
        <w:t xml:space="preserve"> </w:t>
      </w:r>
    </w:p>
    <w:p w:rsidR="009C3237" w:rsidRPr="00565389" w:rsidP="009C3237" w14:paraId="4C73ABD9" w14:textId="77777777">
      <w:pPr>
        <w:rPr>
          <w:rStyle w:val="blueten1"/>
          <w:rFonts w:ascii="Times New Roman" w:hAnsi="Times New Roman"/>
          <w:i/>
          <w:sz w:val="24"/>
          <w:szCs w:val="24"/>
        </w:rPr>
      </w:pPr>
    </w:p>
    <w:p w:rsidR="009C3237" w:rsidRPr="00565389" w:rsidP="009C3237" w14:paraId="0C948D69" w14:textId="77777777">
      <w:pPr>
        <w:rPr>
          <w:sz w:val="24"/>
        </w:rPr>
      </w:pPr>
      <w:r w:rsidRPr="00565389">
        <w:rPr>
          <w:sz w:val="24"/>
        </w:rPr>
        <w:t>This record shall include at least the following information:</w:t>
      </w:r>
    </w:p>
    <w:p w:rsidR="009C3237" w:rsidRPr="00565389" w:rsidP="009C3237" w14:paraId="3A01A600" w14:textId="77777777">
      <w:pPr>
        <w:rPr>
          <w:sz w:val="24"/>
        </w:rPr>
      </w:pPr>
    </w:p>
    <w:p w:rsidR="009C3237" w:rsidRPr="00565389" w:rsidP="009C3237" w14:paraId="6C4A11F5" w14:textId="77777777">
      <w:pPr>
        <w:ind w:firstLine="720"/>
        <w:rPr>
          <w:sz w:val="24"/>
        </w:rPr>
      </w:pPr>
      <w:bookmarkStart w:id="71" w:name="1910.1047(k)(2)(ii)(A)"/>
      <w:bookmarkEnd w:id="71"/>
      <w:r w:rsidRPr="00565389">
        <w:rPr>
          <w:sz w:val="24"/>
        </w:rPr>
        <w:t>§</w:t>
      </w:r>
      <w:r w:rsidRPr="00565389">
        <w:rPr>
          <w:rStyle w:val="blueten1"/>
          <w:rFonts w:ascii="Times New Roman" w:hAnsi="Times New Roman"/>
          <w:bCs/>
          <w:sz w:val="24"/>
          <w:szCs w:val="24"/>
        </w:rPr>
        <w:t>1910.1047(k)(2)(ii)(A)</w:t>
      </w:r>
      <w:r w:rsidRPr="00565389">
        <w:rPr>
          <w:rStyle w:val="blueten1"/>
          <w:rFonts w:ascii="Times New Roman" w:hAnsi="Times New Roman"/>
          <w:sz w:val="24"/>
          <w:szCs w:val="24"/>
        </w:rPr>
        <w:t xml:space="preserve"> - </w:t>
      </w:r>
      <w:r w:rsidRPr="00565389">
        <w:rPr>
          <w:sz w:val="24"/>
        </w:rPr>
        <w:t>The date of measurement;</w:t>
      </w:r>
    </w:p>
    <w:p w:rsidR="009C3237" w:rsidRPr="00565389" w:rsidP="009C3237" w14:paraId="709FDA8A" w14:textId="77777777">
      <w:pPr>
        <w:rPr>
          <w:b/>
          <w:i/>
          <w:sz w:val="24"/>
        </w:rPr>
      </w:pPr>
      <w:bookmarkStart w:id="72" w:name="1910.1047(k)(2)(ii)(B)"/>
      <w:bookmarkEnd w:id="72"/>
    </w:p>
    <w:p w:rsidR="009C3237" w:rsidRPr="00565389" w:rsidP="009C3237" w14:paraId="3F8FC7C2" w14:textId="77777777">
      <w:pPr>
        <w:ind w:left="720"/>
        <w:rPr>
          <w:sz w:val="24"/>
        </w:rPr>
      </w:pPr>
      <w:r w:rsidRPr="00565389">
        <w:rPr>
          <w:sz w:val="24"/>
        </w:rPr>
        <w:t>§</w:t>
      </w:r>
      <w:r w:rsidRPr="00565389">
        <w:rPr>
          <w:rStyle w:val="blueten1"/>
          <w:rFonts w:ascii="Times New Roman" w:hAnsi="Times New Roman"/>
          <w:bCs/>
          <w:sz w:val="24"/>
          <w:szCs w:val="24"/>
        </w:rPr>
        <w:t>1910.1047(k)(2)(ii)(B)</w:t>
      </w:r>
      <w:r w:rsidRPr="00565389">
        <w:rPr>
          <w:rStyle w:val="blueten1"/>
          <w:rFonts w:ascii="Times New Roman" w:hAnsi="Times New Roman"/>
          <w:sz w:val="24"/>
          <w:szCs w:val="24"/>
        </w:rPr>
        <w:t xml:space="preserve"> - </w:t>
      </w:r>
      <w:r w:rsidRPr="00565389">
        <w:rPr>
          <w:sz w:val="24"/>
        </w:rPr>
        <w:t>The operation involving exposure to EtO which is being monitored;</w:t>
      </w:r>
    </w:p>
    <w:p w:rsidR="009C3237" w:rsidRPr="00565389" w:rsidP="009C3237" w14:paraId="09EF3F69" w14:textId="77777777">
      <w:pPr>
        <w:rPr>
          <w:b/>
          <w:i/>
          <w:sz w:val="24"/>
        </w:rPr>
      </w:pPr>
      <w:bookmarkStart w:id="73" w:name="1910.1047(k)(2)(ii)(C)"/>
      <w:bookmarkEnd w:id="73"/>
    </w:p>
    <w:p w:rsidR="009C3237" w:rsidRPr="00565389" w:rsidP="009C3237" w14:paraId="3A606222" w14:textId="77777777">
      <w:pPr>
        <w:ind w:left="720"/>
        <w:rPr>
          <w:sz w:val="24"/>
        </w:rPr>
      </w:pPr>
      <w:r w:rsidRPr="00565389">
        <w:rPr>
          <w:sz w:val="24"/>
        </w:rPr>
        <w:t>§</w:t>
      </w:r>
      <w:r w:rsidRPr="00565389">
        <w:rPr>
          <w:rStyle w:val="blueten1"/>
          <w:rFonts w:ascii="Times New Roman" w:hAnsi="Times New Roman"/>
          <w:bCs/>
          <w:sz w:val="24"/>
          <w:szCs w:val="24"/>
        </w:rPr>
        <w:t>1910.1047(k)(2)(ii)(C)</w:t>
      </w:r>
      <w:r w:rsidRPr="00565389">
        <w:rPr>
          <w:rStyle w:val="blueten1"/>
          <w:rFonts w:ascii="Times New Roman" w:hAnsi="Times New Roman"/>
          <w:sz w:val="24"/>
          <w:szCs w:val="24"/>
        </w:rPr>
        <w:t xml:space="preserve"> - </w:t>
      </w:r>
      <w:r w:rsidRPr="00565389">
        <w:rPr>
          <w:sz w:val="24"/>
        </w:rPr>
        <w:t>Sampling and analytical methods used and evidence of their accuracy;</w:t>
      </w:r>
    </w:p>
    <w:p w:rsidR="009C3237" w:rsidRPr="00565389" w:rsidP="009C3237" w14:paraId="1EA174AA" w14:textId="77777777">
      <w:pPr>
        <w:rPr>
          <w:b/>
          <w:i/>
          <w:sz w:val="24"/>
        </w:rPr>
      </w:pPr>
      <w:bookmarkStart w:id="74" w:name="1910.1047(k)(2)(ii)(D)"/>
      <w:bookmarkEnd w:id="74"/>
    </w:p>
    <w:p w:rsidR="009C3237" w:rsidRPr="00565389" w:rsidP="009C3237" w14:paraId="33056E15" w14:textId="77777777">
      <w:pPr>
        <w:ind w:firstLine="720"/>
        <w:rPr>
          <w:sz w:val="24"/>
        </w:rPr>
      </w:pPr>
      <w:r w:rsidRPr="00565389">
        <w:rPr>
          <w:sz w:val="24"/>
        </w:rPr>
        <w:t>§</w:t>
      </w:r>
      <w:r w:rsidRPr="00565389">
        <w:rPr>
          <w:rStyle w:val="blueten1"/>
          <w:rFonts w:ascii="Times New Roman" w:hAnsi="Times New Roman"/>
          <w:bCs/>
          <w:sz w:val="24"/>
          <w:szCs w:val="24"/>
        </w:rPr>
        <w:t>1910.1047(k)(2)(ii)(D)</w:t>
      </w:r>
      <w:r w:rsidRPr="00565389">
        <w:rPr>
          <w:rStyle w:val="blueten1"/>
          <w:rFonts w:ascii="Times New Roman" w:hAnsi="Times New Roman"/>
          <w:sz w:val="24"/>
          <w:szCs w:val="24"/>
        </w:rPr>
        <w:t xml:space="preserve"> - </w:t>
      </w:r>
      <w:r w:rsidRPr="00565389">
        <w:rPr>
          <w:sz w:val="24"/>
        </w:rPr>
        <w:t>Number, duration, and results of samples taken;</w:t>
      </w:r>
    </w:p>
    <w:p w:rsidR="009C3237" w:rsidRPr="00565389" w:rsidP="009C3237" w14:paraId="725CEAAD" w14:textId="77777777">
      <w:pPr>
        <w:rPr>
          <w:b/>
          <w:i/>
          <w:sz w:val="24"/>
        </w:rPr>
      </w:pPr>
      <w:bookmarkStart w:id="75" w:name="1910.1047(k)(2)(ii)(E)"/>
      <w:bookmarkEnd w:id="75"/>
    </w:p>
    <w:p w:rsidR="009C3237" w:rsidRPr="00565389" w:rsidP="009C3237" w14:paraId="71A3E0E3" w14:textId="77777777">
      <w:pPr>
        <w:ind w:firstLine="720"/>
        <w:rPr>
          <w:i/>
          <w:strike/>
          <w:sz w:val="24"/>
        </w:rPr>
      </w:pPr>
      <w:r w:rsidRPr="00565389">
        <w:rPr>
          <w:sz w:val="24"/>
        </w:rPr>
        <w:t>§</w:t>
      </w:r>
      <w:r w:rsidRPr="00565389">
        <w:rPr>
          <w:rStyle w:val="blueten1"/>
          <w:rFonts w:ascii="Times New Roman" w:hAnsi="Times New Roman"/>
          <w:bCs/>
          <w:sz w:val="24"/>
          <w:szCs w:val="24"/>
        </w:rPr>
        <w:t>1910.1047(k)(2)(ii)(E)</w:t>
      </w:r>
      <w:r w:rsidRPr="00565389">
        <w:rPr>
          <w:rStyle w:val="blueten1"/>
          <w:rFonts w:ascii="Times New Roman" w:hAnsi="Times New Roman"/>
          <w:sz w:val="24"/>
          <w:szCs w:val="24"/>
        </w:rPr>
        <w:t xml:space="preserve"> - </w:t>
      </w:r>
      <w:r w:rsidRPr="00565389">
        <w:rPr>
          <w:sz w:val="24"/>
        </w:rPr>
        <w:t xml:space="preserve">Type of protective devices worn, if any; </w:t>
      </w:r>
      <w:bookmarkStart w:id="76" w:name="1910.1047(k)(2)(ii)(F)"/>
      <w:bookmarkEnd w:id="76"/>
    </w:p>
    <w:p w:rsidR="00CD7F25" w:rsidP="009C3237" w14:paraId="6B2246D6" w14:textId="77777777">
      <w:pPr>
        <w:ind w:left="720"/>
        <w:rPr>
          <w:sz w:val="24"/>
        </w:rPr>
      </w:pPr>
    </w:p>
    <w:p w:rsidR="009C3237" w:rsidRPr="00565389" w:rsidP="009C3237" w14:paraId="36F74FFD" w14:textId="709A50FF">
      <w:pPr>
        <w:ind w:left="720"/>
        <w:rPr>
          <w:sz w:val="24"/>
        </w:rPr>
      </w:pPr>
      <w:r w:rsidRPr="00565389">
        <w:rPr>
          <w:sz w:val="24"/>
        </w:rPr>
        <w:t>§</w:t>
      </w:r>
      <w:r w:rsidRPr="00565389">
        <w:rPr>
          <w:rStyle w:val="blueten1"/>
          <w:rFonts w:ascii="Times New Roman" w:hAnsi="Times New Roman"/>
          <w:bCs/>
          <w:sz w:val="24"/>
          <w:szCs w:val="24"/>
        </w:rPr>
        <w:t>1910.1047(k)(2)(ii)(F)</w:t>
      </w:r>
      <w:r w:rsidRPr="00565389">
        <w:rPr>
          <w:rStyle w:val="blueten1"/>
          <w:rFonts w:ascii="Times New Roman" w:hAnsi="Times New Roman"/>
          <w:sz w:val="24"/>
          <w:szCs w:val="24"/>
        </w:rPr>
        <w:t xml:space="preserve"> - </w:t>
      </w:r>
      <w:r w:rsidRPr="00565389">
        <w:rPr>
          <w:sz w:val="24"/>
        </w:rPr>
        <w:t>Name and exposure of the employees whose exposures are represented.</w:t>
      </w:r>
    </w:p>
    <w:p w:rsidR="009C3237" w:rsidRPr="00565389" w:rsidP="009C3237" w14:paraId="48C46990" w14:textId="77777777">
      <w:pPr>
        <w:rPr>
          <w:i/>
          <w:sz w:val="24"/>
        </w:rPr>
      </w:pPr>
      <w:bookmarkStart w:id="77" w:name="1910.1047(k)(2)(iii)"/>
      <w:bookmarkEnd w:id="77"/>
    </w:p>
    <w:p w:rsidR="009C3237" w:rsidRPr="00565389" w:rsidP="009C3237" w14:paraId="32128C2F"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1910.1047(k)(2)(iii)</w:t>
      </w:r>
      <w:r w:rsidRPr="00565389">
        <w:rPr>
          <w:rStyle w:val="blueten1"/>
          <w:rFonts w:ascii="Times New Roman" w:hAnsi="Times New Roman"/>
          <w:i/>
          <w:sz w:val="24"/>
          <w:szCs w:val="24"/>
        </w:rPr>
        <w:t xml:space="preserve"> </w:t>
      </w:r>
    </w:p>
    <w:p w:rsidR="009C3237" w:rsidRPr="00565389" w:rsidP="009C3237" w14:paraId="0C98BCDF" w14:textId="77777777">
      <w:pPr>
        <w:rPr>
          <w:sz w:val="24"/>
        </w:rPr>
      </w:pPr>
    </w:p>
    <w:p w:rsidR="009C3237" w:rsidRPr="00565389" w:rsidP="009C3237" w14:paraId="5A9269A9" w14:textId="77777777">
      <w:pPr>
        <w:rPr>
          <w:sz w:val="24"/>
        </w:rPr>
      </w:pPr>
      <w:r w:rsidRPr="00565389">
        <w:rPr>
          <w:sz w:val="24"/>
        </w:rPr>
        <w:t>The employer shall maintain this record for at least thirty (30) years, in accordance with 29 CFR 1910.1020.</w:t>
      </w:r>
    </w:p>
    <w:p w:rsidR="009C3237" w:rsidRPr="00565389" w:rsidP="009C3237" w14:paraId="3DEC7081" w14:textId="77777777">
      <w:pPr>
        <w:rPr>
          <w:sz w:val="24"/>
        </w:rPr>
      </w:pPr>
    </w:p>
    <w:p w:rsidR="009C3237" w:rsidRPr="00565389" w:rsidP="009C3237" w14:paraId="32A4E539" w14:textId="77777777">
      <w:pPr>
        <w:rPr>
          <w:sz w:val="24"/>
        </w:rPr>
      </w:pPr>
      <w:r w:rsidRPr="00565389">
        <w:rPr>
          <w:b/>
          <w:sz w:val="24"/>
          <w:u w:val="single"/>
        </w:rPr>
        <w:t>Purpose</w:t>
      </w:r>
      <w:r w:rsidRPr="00565389">
        <w:rPr>
          <w:sz w:val="24"/>
        </w:rPr>
        <w:t>:</w:t>
      </w:r>
      <w:r w:rsidRPr="00565389">
        <w:rPr>
          <w:b/>
          <w:sz w:val="24"/>
        </w:rPr>
        <w:t xml:space="preserve">  </w:t>
      </w:r>
      <w:r w:rsidRPr="00565389">
        <w:rPr>
          <w:sz w:val="24"/>
        </w:rPr>
        <w:t>This document retention requirement enables employers, and workers and their designated representatives, to identify the levels, durations, and extent of EtO exposures (including overexposures).  Additionally, this requirement allows the employers to determine if existing controls are protecting workers or whether additional controls are necessary to provide the required protection.  Lastly, it enables the employer to access the relationship between EtO exposure and the subsequent development of medical diseases.  Retaining these records for 30 years is necessary to document any association that may exist between EtO exposures and the development of long-latency illnesses caused by these exposures.</w:t>
      </w:r>
      <w:r w:rsidRPr="00565389">
        <w:rPr>
          <w:sz w:val="24"/>
        </w:rPr>
        <w:tab/>
      </w:r>
    </w:p>
    <w:p w:rsidR="009C3237" w:rsidRPr="00565389" w:rsidP="009C3237" w14:paraId="7AFA85CF" w14:textId="77777777">
      <w:pPr>
        <w:rPr>
          <w:sz w:val="24"/>
        </w:rPr>
      </w:pPr>
    </w:p>
    <w:p w:rsidR="009C3237" w:rsidRPr="00565389" w:rsidP="009C3237" w14:paraId="77EC48B0" w14:textId="77777777">
      <w:pPr>
        <w:rPr>
          <w:b/>
          <w:i/>
          <w:sz w:val="24"/>
        </w:rPr>
      </w:pPr>
      <w:r w:rsidRPr="00565389">
        <w:rPr>
          <w:b/>
          <w:i/>
          <w:sz w:val="24"/>
        </w:rPr>
        <w:t>P.  Medical surveillance</w:t>
      </w:r>
      <w:r w:rsidRPr="00565389">
        <w:rPr>
          <w:b/>
          <w:bCs/>
          <w:i/>
          <w:sz w:val="24"/>
        </w:rPr>
        <w:t xml:space="preserve"> </w:t>
      </w:r>
      <w:r w:rsidRPr="00565389">
        <w:rPr>
          <w:b/>
          <w:i/>
          <w:sz w:val="24"/>
        </w:rPr>
        <w:t>(§1910.1047(k)(3))</w:t>
      </w:r>
    </w:p>
    <w:p w:rsidR="009C3237" w:rsidRPr="00565389" w:rsidP="009C3237" w14:paraId="3EAD76C2" w14:textId="77777777">
      <w:pPr>
        <w:rPr>
          <w:sz w:val="24"/>
        </w:rPr>
      </w:pPr>
    </w:p>
    <w:p w:rsidR="009C3237" w:rsidRPr="00565389" w:rsidP="009C3237" w14:paraId="1FB1BCD5"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1910.1047(k)(3)(i)</w:t>
      </w:r>
      <w:r w:rsidRPr="00565389">
        <w:rPr>
          <w:rStyle w:val="blueten1"/>
          <w:rFonts w:ascii="Times New Roman" w:hAnsi="Times New Roman"/>
          <w:i/>
          <w:sz w:val="24"/>
          <w:szCs w:val="24"/>
        </w:rPr>
        <w:t xml:space="preserve"> </w:t>
      </w:r>
    </w:p>
    <w:p w:rsidR="009C3237" w:rsidRPr="00565389" w:rsidP="009C3237" w14:paraId="00A5EE61" w14:textId="77777777">
      <w:pPr>
        <w:rPr>
          <w:rStyle w:val="blueten1"/>
          <w:rFonts w:ascii="Times New Roman" w:hAnsi="Times New Roman"/>
          <w:sz w:val="24"/>
          <w:szCs w:val="24"/>
        </w:rPr>
      </w:pPr>
    </w:p>
    <w:p w:rsidR="009C3237" w:rsidRPr="00565389" w:rsidP="009C3237" w14:paraId="78B6BF26" w14:textId="77777777">
      <w:pPr>
        <w:rPr>
          <w:sz w:val="24"/>
        </w:rPr>
      </w:pPr>
      <w:r w:rsidRPr="00565389">
        <w:rPr>
          <w:sz w:val="24"/>
        </w:rPr>
        <w:t>The employer shall establish and maintain an accurate record for each employee subject to medical surveillance by paragraph (i)(1)(i) of this section, in accordance with 29 CFR 1910.1020.</w:t>
      </w:r>
    </w:p>
    <w:p w:rsidR="009C3237" w:rsidRPr="00565389" w:rsidP="009C3237" w14:paraId="15D012B0" w14:textId="77777777">
      <w:pPr>
        <w:rPr>
          <w:rStyle w:val="blueten1"/>
          <w:rFonts w:ascii="Times New Roman" w:hAnsi="Times New Roman"/>
          <w:b/>
          <w:bCs/>
          <w:sz w:val="24"/>
          <w:szCs w:val="24"/>
        </w:rPr>
      </w:pPr>
      <w:bookmarkStart w:id="78" w:name="1910.1047(k)(3)(ii)"/>
      <w:bookmarkEnd w:id="78"/>
    </w:p>
    <w:p w:rsidR="009C3237" w:rsidRPr="00565389" w:rsidP="009C3237" w14:paraId="6A69AEF2"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1910.1047(k)(3)(ii)</w:t>
      </w:r>
      <w:r w:rsidRPr="00565389">
        <w:rPr>
          <w:rStyle w:val="blueten1"/>
          <w:rFonts w:ascii="Times New Roman" w:hAnsi="Times New Roman"/>
          <w:i/>
          <w:sz w:val="24"/>
          <w:szCs w:val="24"/>
        </w:rPr>
        <w:t xml:space="preserve"> </w:t>
      </w:r>
    </w:p>
    <w:p w:rsidR="009C3237" w:rsidRPr="00565389" w:rsidP="009C3237" w14:paraId="73695EEA" w14:textId="77777777">
      <w:pPr>
        <w:rPr>
          <w:rStyle w:val="blueten1"/>
          <w:rFonts w:ascii="Times New Roman" w:hAnsi="Times New Roman"/>
          <w:sz w:val="24"/>
          <w:szCs w:val="24"/>
        </w:rPr>
      </w:pPr>
    </w:p>
    <w:p w:rsidR="009C3237" w:rsidRPr="00565389" w:rsidP="009C3237" w14:paraId="2C6B3184" w14:textId="77777777">
      <w:pPr>
        <w:rPr>
          <w:sz w:val="24"/>
        </w:rPr>
      </w:pPr>
      <w:r w:rsidRPr="00565389">
        <w:rPr>
          <w:sz w:val="24"/>
        </w:rPr>
        <w:t>The record shall include at least the following information:</w:t>
      </w:r>
    </w:p>
    <w:p w:rsidR="009C3237" w:rsidRPr="00565389" w:rsidP="009C3237" w14:paraId="27576E32" w14:textId="77777777">
      <w:pPr>
        <w:rPr>
          <w:b/>
          <w:i/>
          <w:sz w:val="24"/>
        </w:rPr>
      </w:pPr>
      <w:bookmarkStart w:id="79" w:name="1910.1047(k)(3)(ii)(A)"/>
      <w:bookmarkEnd w:id="79"/>
    </w:p>
    <w:p w:rsidR="009C3237" w:rsidRPr="00565389" w:rsidP="009C3237" w14:paraId="602B3473" w14:textId="77777777">
      <w:pPr>
        <w:ind w:firstLine="720"/>
        <w:rPr>
          <w:sz w:val="24"/>
        </w:rPr>
      </w:pPr>
      <w:r w:rsidRPr="00565389">
        <w:rPr>
          <w:sz w:val="24"/>
        </w:rPr>
        <w:t>§</w:t>
      </w:r>
      <w:r w:rsidRPr="00565389">
        <w:rPr>
          <w:rStyle w:val="blueten1"/>
          <w:rFonts w:ascii="Times New Roman" w:hAnsi="Times New Roman"/>
          <w:bCs/>
          <w:sz w:val="24"/>
          <w:szCs w:val="24"/>
        </w:rPr>
        <w:t>1910.1047(k)(3)(ii)(A)</w:t>
      </w:r>
      <w:r w:rsidRPr="00565389">
        <w:rPr>
          <w:rStyle w:val="blueten1"/>
          <w:rFonts w:ascii="Times New Roman" w:hAnsi="Times New Roman"/>
          <w:sz w:val="24"/>
          <w:szCs w:val="24"/>
        </w:rPr>
        <w:t xml:space="preserve"> - </w:t>
      </w:r>
      <w:r w:rsidRPr="00565389">
        <w:rPr>
          <w:sz w:val="24"/>
        </w:rPr>
        <w:t>The name of the employee;</w:t>
      </w:r>
    </w:p>
    <w:p w:rsidR="009C3237" w:rsidRPr="00565389" w:rsidP="009C3237" w14:paraId="74881A22" w14:textId="77777777">
      <w:pPr>
        <w:rPr>
          <w:b/>
          <w:i/>
          <w:sz w:val="24"/>
        </w:rPr>
      </w:pPr>
      <w:bookmarkStart w:id="80" w:name="1910.1047(k)(3)(ii)(B)"/>
      <w:bookmarkEnd w:id="80"/>
    </w:p>
    <w:p w:rsidR="009C3237" w:rsidRPr="00565389" w:rsidP="009C3237" w14:paraId="245F7BF2" w14:textId="77777777">
      <w:pPr>
        <w:ind w:firstLine="720"/>
        <w:rPr>
          <w:sz w:val="24"/>
        </w:rPr>
      </w:pPr>
      <w:r w:rsidRPr="00565389">
        <w:rPr>
          <w:sz w:val="24"/>
        </w:rPr>
        <w:t>§</w:t>
      </w:r>
      <w:r w:rsidRPr="00565389">
        <w:rPr>
          <w:rStyle w:val="blueten1"/>
          <w:rFonts w:ascii="Times New Roman" w:hAnsi="Times New Roman"/>
          <w:bCs/>
          <w:sz w:val="24"/>
          <w:szCs w:val="24"/>
        </w:rPr>
        <w:t>1910.1047(k)(3)(ii)(B)</w:t>
      </w:r>
      <w:r w:rsidRPr="00565389">
        <w:rPr>
          <w:rStyle w:val="blueten1"/>
          <w:rFonts w:ascii="Times New Roman" w:hAnsi="Times New Roman"/>
          <w:sz w:val="24"/>
          <w:szCs w:val="24"/>
        </w:rPr>
        <w:t xml:space="preserve"> - </w:t>
      </w:r>
      <w:r w:rsidRPr="00565389">
        <w:rPr>
          <w:sz w:val="24"/>
        </w:rPr>
        <w:t>Physicians' written opinions;</w:t>
      </w:r>
    </w:p>
    <w:p w:rsidR="009C3237" w:rsidRPr="00565389" w:rsidP="009C3237" w14:paraId="7E22B479" w14:textId="77777777">
      <w:pPr>
        <w:rPr>
          <w:b/>
          <w:i/>
          <w:sz w:val="24"/>
        </w:rPr>
      </w:pPr>
      <w:bookmarkStart w:id="81" w:name="1910.1047(k)(3)(ii)(C)"/>
      <w:bookmarkEnd w:id="81"/>
    </w:p>
    <w:p w:rsidR="009C3237" w:rsidRPr="00565389" w:rsidP="009C3237" w14:paraId="147283B1" w14:textId="77777777">
      <w:pPr>
        <w:ind w:left="720"/>
        <w:rPr>
          <w:sz w:val="24"/>
        </w:rPr>
      </w:pPr>
      <w:r w:rsidRPr="00565389">
        <w:rPr>
          <w:sz w:val="24"/>
        </w:rPr>
        <w:t>§</w:t>
      </w:r>
      <w:r w:rsidRPr="00565389">
        <w:rPr>
          <w:rStyle w:val="blueten1"/>
          <w:rFonts w:ascii="Times New Roman" w:hAnsi="Times New Roman"/>
          <w:bCs/>
          <w:sz w:val="24"/>
          <w:szCs w:val="24"/>
        </w:rPr>
        <w:t>1910.1047(k)(3)(ii)(C)</w:t>
      </w:r>
      <w:r w:rsidRPr="00565389">
        <w:rPr>
          <w:rStyle w:val="blueten1"/>
          <w:rFonts w:ascii="Times New Roman" w:hAnsi="Times New Roman"/>
          <w:sz w:val="24"/>
          <w:szCs w:val="24"/>
        </w:rPr>
        <w:t xml:space="preserve"> - </w:t>
      </w:r>
      <w:r w:rsidRPr="00565389">
        <w:rPr>
          <w:sz w:val="24"/>
        </w:rPr>
        <w:t>Any employee medical complaints related to exposure to EtO; and</w:t>
      </w:r>
    </w:p>
    <w:p w:rsidR="009C3237" w:rsidRPr="00565389" w:rsidP="009C3237" w14:paraId="0832C8FD" w14:textId="77777777">
      <w:pPr>
        <w:rPr>
          <w:b/>
          <w:i/>
          <w:sz w:val="24"/>
        </w:rPr>
      </w:pPr>
      <w:bookmarkStart w:id="82" w:name="1910.1047(k)(3)(ii)(D)"/>
      <w:bookmarkEnd w:id="82"/>
    </w:p>
    <w:p w:rsidR="009C3237" w:rsidRPr="00565389" w:rsidP="009C3237" w14:paraId="1F55416B" w14:textId="77777777">
      <w:pPr>
        <w:ind w:left="720"/>
        <w:rPr>
          <w:sz w:val="24"/>
        </w:rPr>
      </w:pPr>
      <w:r w:rsidRPr="00565389">
        <w:rPr>
          <w:sz w:val="24"/>
        </w:rPr>
        <w:t>§</w:t>
      </w:r>
      <w:r w:rsidRPr="00565389">
        <w:rPr>
          <w:rStyle w:val="blueten1"/>
          <w:rFonts w:ascii="Times New Roman" w:hAnsi="Times New Roman"/>
          <w:bCs/>
          <w:sz w:val="24"/>
          <w:szCs w:val="24"/>
        </w:rPr>
        <w:t>1910.1047(k)(3)(ii)(D)</w:t>
      </w:r>
      <w:r w:rsidRPr="00565389">
        <w:rPr>
          <w:rStyle w:val="blueten1"/>
          <w:rFonts w:ascii="Times New Roman" w:hAnsi="Times New Roman"/>
          <w:sz w:val="24"/>
          <w:szCs w:val="24"/>
        </w:rPr>
        <w:t xml:space="preserve"> - </w:t>
      </w:r>
      <w:r w:rsidRPr="00565389">
        <w:rPr>
          <w:sz w:val="24"/>
        </w:rPr>
        <w:t>A copy of the information provided to the physician as required by paragraph (i)(3) of this section.</w:t>
      </w:r>
    </w:p>
    <w:p w:rsidR="009C3237" w:rsidRPr="00565389" w:rsidP="009C3237" w14:paraId="24BB5F7E" w14:textId="77777777">
      <w:pPr>
        <w:rPr>
          <w:sz w:val="24"/>
        </w:rPr>
      </w:pPr>
    </w:p>
    <w:p w:rsidR="009C3237" w:rsidRPr="00565389" w:rsidP="009C3237" w14:paraId="434B3266" w14:textId="77777777">
      <w:pPr>
        <w:rPr>
          <w:rStyle w:val="blueten1"/>
          <w:rFonts w:ascii="Times New Roman" w:hAnsi="Times New Roman"/>
          <w:i/>
          <w:sz w:val="24"/>
          <w:szCs w:val="24"/>
        </w:rPr>
      </w:pPr>
      <w:bookmarkStart w:id="83" w:name="1910.1047(k)(3)(iii)"/>
      <w:bookmarkEnd w:id="83"/>
      <w:r w:rsidRPr="00565389">
        <w:rPr>
          <w:i/>
          <w:sz w:val="24"/>
        </w:rPr>
        <w:t>§</w:t>
      </w:r>
      <w:r w:rsidRPr="00565389">
        <w:rPr>
          <w:rStyle w:val="blueten1"/>
          <w:rFonts w:ascii="Times New Roman" w:hAnsi="Times New Roman"/>
          <w:bCs/>
          <w:i/>
          <w:sz w:val="24"/>
          <w:szCs w:val="24"/>
        </w:rPr>
        <w:t>1910.1047(k)(3)(iii)</w:t>
      </w:r>
      <w:r w:rsidRPr="00565389">
        <w:rPr>
          <w:rStyle w:val="blueten1"/>
          <w:rFonts w:ascii="Times New Roman" w:hAnsi="Times New Roman"/>
          <w:i/>
          <w:sz w:val="24"/>
          <w:szCs w:val="24"/>
        </w:rPr>
        <w:t xml:space="preserve"> </w:t>
      </w:r>
    </w:p>
    <w:p w:rsidR="009C3237" w:rsidRPr="00565389" w:rsidP="009C3237" w14:paraId="36D953CA" w14:textId="77777777">
      <w:pPr>
        <w:rPr>
          <w:rStyle w:val="blueten1"/>
          <w:rFonts w:ascii="Times New Roman" w:hAnsi="Times New Roman"/>
          <w:i/>
          <w:sz w:val="24"/>
          <w:szCs w:val="24"/>
        </w:rPr>
      </w:pPr>
    </w:p>
    <w:p w:rsidR="009C3237" w:rsidRPr="00565389" w:rsidP="009C3237" w14:paraId="4A7032F7" w14:textId="77777777">
      <w:pPr>
        <w:rPr>
          <w:sz w:val="24"/>
        </w:rPr>
      </w:pPr>
      <w:r w:rsidRPr="00565389">
        <w:rPr>
          <w:sz w:val="24"/>
        </w:rPr>
        <w:t>The employer shall ensure that this record is maintained for the duration of employment plus thirty (30) years, in accordance with 29 CFR 1910.1020.</w:t>
      </w:r>
    </w:p>
    <w:p w:rsidR="009C3237" w:rsidRPr="00565389" w:rsidP="009C3237" w14:paraId="4D600B9D" w14:textId="77777777">
      <w:pPr>
        <w:rPr>
          <w:sz w:val="24"/>
        </w:rPr>
      </w:pPr>
    </w:p>
    <w:p w:rsidR="009C3237" w:rsidRPr="00565389" w:rsidP="009C3237" w14:paraId="78AA76B9" w14:textId="77777777">
      <w:pPr>
        <w:rPr>
          <w:sz w:val="24"/>
        </w:rPr>
      </w:pPr>
      <w:r w:rsidRPr="00565389">
        <w:rPr>
          <w:b/>
          <w:sz w:val="24"/>
          <w:u w:val="single"/>
        </w:rPr>
        <w:t>Purpose</w:t>
      </w:r>
      <w:r w:rsidRPr="00565389">
        <w:rPr>
          <w:sz w:val="24"/>
        </w:rPr>
        <w:t>:</w:t>
      </w:r>
      <w:r w:rsidRPr="00565389">
        <w:rPr>
          <w:b/>
          <w:sz w:val="24"/>
        </w:rPr>
        <w:t xml:space="preserve">  </w:t>
      </w:r>
      <w:r w:rsidRPr="00565389">
        <w:rPr>
          <w:sz w:val="24"/>
        </w:rPr>
        <w:t>Medical-surveillance records assist workers and their physicians in determining the need for treatment or other interventions as a result of the workers’ exposure to EtO.  This information also will alert employers when worker overexposure to EtO occurs, thereby enabling employers to take the action(s) required to reduce EtO exposures.  Maintaining these records for long periods is necessary because of the long latency associated with the development of diseases caused by EtO exposure.</w:t>
      </w:r>
    </w:p>
    <w:p w:rsidR="009C3237" w:rsidRPr="00565389" w:rsidP="009C3237" w14:paraId="3E999E9A" w14:textId="77777777">
      <w:pPr>
        <w:rPr>
          <w:b/>
          <w:i/>
          <w:sz w:val="24"/>
        </w:rPr>
      </w:pPr>
    </w:p>
    <w:p w:rsidR="009C3237" w:rsidRPr="00565389" w:rsidP="009C3237" w14:paraId="26665C7A" w14:textId="77777777">
      <w:pPr>
        <w:rPr>
          <w:sz w:val="24"/>
          <w:vertAlign w:val="superscript"/>
        </w:rPr>
      </w:pPr>
      <w:r w:rsidRPr="00565389">
        <w:rPr>
          <w:b/>
          <w:i/>
          <w:sz w:val="24"/>
        </w:rPr>
        <w:t>Q.  Availability (§1910.1047(k)(4))</w:t>
      </w:r>
      <w:r>
        <w:rPr>
          <w:rStyle w:val="FootnoteReference"/>
          <w:sz w:val="24"/>
          <w:vertAlign w:val="superscript"/>
        </w:rPr>
        <w:footnoteReference w:id="5"/>
      </w:r>
    </w:p>
    <w:p w:rsidR="009C3237" w:rsidRPr="00565389" w:rsidP="009C3237" w14:paraId="3FF688B1" w14:textId="77777777">
      <w:pPr>
        <w:rPr>
          <w:b/>
          <w:i/>
          <w:sz w:val="24"/>
        </w:rPr>
      </w:pPr>
    </w:p>
    <w:p w:rsidR="009C3237" w:rsidRPr="00565389" w:rsidP="009C3237" w14:paraId="6FE6B601"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1910.1047(k)(4)(i)</w:t>
      </w:r>
      <w:r w:rsidRPr="00565389">
        <w:rPr>
          <w:rStyle w:val="blueten1"/>
          <w:rFonts w:ascii="Times New Roman" w:hAnsi="Times New Roman"/>
          <w:i/>
          <w:sz w:val="24"/>
          <w:szCs w:val="24"/>
        </w:rPr>
        <w:t xml:space="preserve"> </w:t>
      </w:r>
    </w:p>
    <w:p w:rsidR="009C3237" w:rsidRPr="00565389" w:rsidP="009C3237" w14:paraId="00E13E0D" w14:textId="77777777">
      <w:pPr>
        <w:rPr>
          <w:rStyle w:val="blueten1"/>
          <w:rFonts w:ascii="Times New Roman" w:hAnsi="Times New Roman"/>
          <w:sz w:val="24"/>
          <w:szCs w:val="24"/>
        </w:rPr>
      </w:pPr>
    </w:p>
    <w:p w:rsidR="009C3237" w:rsidRPr="00565389" w:rsidP="009C3237" w14:paraId="5C162B99" w14:textId="77777777">
      <w:pPr>
        <w:rPr>
          <w:b/>
          <w:i/>
          <w:sz w:val="24"/>
        </w:rPr>
      </w:pPr>
      <w:r w:rsidRPr="00565389">
        <w:rPr>
          <w:sz w:val="24"/>
        </w:rPr>
        <w:t>The employer, upon written request, shall make all records required to be maintained by this section available to the Assistant Secretary and the Director for examination and copying</w:t>
      </w:r>
      <w:bookmarkStart w:id="84" w:name="1910.1047(k)(4)(ii)"/>
      <w:bookmarkEnd w:id="84"/>
    </w:p>
    <w:p w:rsidR="009C3237" w:rsidRPr="00565389" w:rsidP="009C3237" w14:paraId="5993733C"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1910.1047(k)(4)(ii)</w:t>
      </w:r>
      <w:r w:rsidRPr="00565389">
        <w:rPr>
          <w:rStyle w:val="blueten1"/>
          <w:rFonts w:ascii="Times New Roman" w:hAnsi="Times New Roman"/>
          <w:i/>
          <w:sz w:val="24"/>
          <w:szCs w:val="24"/>
        </w:rPr>
        <w:t xml:space="preserve"> </w:t>
      </w:r>
    </w:p>
    <w:p w:rsidR="009C3237" w:rsidRPr="00565389" w:rsidP="009C3237" w14:paraId="08B8A442" w14:textId="77777777">
      <w:pPr>
        <w:rPr>
          <w:rStyle w:val="blueten1"/>
          <w:rFonts w:ascii="Times New Roman" w:hAnsi="Times New Roman"/>
          <w:sz w:val="24"/>
          <w:szCs w:val="24"/>
        </w:rPr>
      </w:pPr>
    </w:p>
    <w:p w:rsidR="009C3237" w:rsidRPr="00565389" w:rsidP="009C3237" w14:paraId="2E823B30" w14:textId="77777777">
      <w:pPr>
        <w:rPr>
          <w:sz w:val="24"/>
        </w:rPr>
      </w:pPr>
      <w:r w:rsidRPr="00565389">
        <w:rPr>
          <w:sz w:val="24"/>
        </w:rPr>
        <w:t>The employer, upon request, shall make any exemption and exposure records required by paragraphs (k)(1) and (2) of this section available for examination and copying to affected employees, former employees, designated representatives and the Assistant Secretary, in accordance with 29 CFR 1910.1020 (a) through (e) and (g) through (i).</w:t>
      </w:r>
    </w:p>
    <w:p w:rsidR="009C3237" w:rsidRPr="00565389" w:rsidP="009C3237" w14:paraId="552577A7" w14:textId="77777777">
      <w:pPr>
        <w:rPr>
          <w:b/>
          <w:i/>
          <w:sz w:val="24"/>
        </w:rPr>
      </w:pPr>
      <w:bookmarkStart w:id="85" w:name="1910.1047(k)(4)(iii)"/>
      <w:bookmarkEnd w:id="85"/>
    </w:p>
    <w:p w:rsidR="009C3237" w:rsidRPr="00565389" w:rsidP="009C3237" w14:paraId="196C2BFE" w14:textId="77777777">
      <w:pPr>
        <w:rPr>
          <w:rStyle w:val="blueten1"/>
          <w:rFonts w:ascii="Times New Roman" w:hAnsi="Times New Roman"/>
          <w:i/>
          <w:sz w:val="24"/>
          <w:szCs w:val="24"/>
        </w:rPr>
      </w:pPr>
      <w:r w:rsidRPr="00565389">
        <w:rPr>
          <w:i/>
          <w:sz w:val="24"/>
        </w:rPr>
        <w:t>§</w:t>
      </w:r>
      <w:r w:rsidRPr="00565389">
        <w:rPr>
          <w:rStyle w:val="blueten1"/>
          <w:rFonts w:ascii="Times New Roman" w:hAnsi="Times New Roman"/>
          <w:bCs/>
          <w:i/>
          <w:sz w:val="24"/>
          <w:szCs w:val="24"/>
        </w:rPr>
        <w:t>1910.1047(k)(4)(iii)</w:t>
      </w:r>
      <w:r w:rsidRPr="00565389">
        <w:rPr>
          <w:rStyle w:val="blueten1"/>
          <w:rFonts w:ascii="Times New Roman" w:hAnsi="Times New Roman"/>
          <w:i/>
          <w:sz w:val="24"/>
          <w:szCs w:val="24"/>
        </w:rPr>
        <w:t xml:space="preserve"> </w:t>
      </w:r>
    </w:p>
    <w:p w:rsidR="009C3237" w:rsidRPr="00565389" w:rsidP="009C3237" w14:paraId="65E07F72" w14:textId="77777777">
      <w:pPr>
        <w:rPr>
          <w:rStyle w:val="blueten1"/>
          <w:rFonts w:ascii="Times New Roman" w:hAnsi="Times New Roman"/>
          <w:sz w:val="24"/>
          <w:szCs w:val="24"/>
        </w:rPr>
      </w:pPr>
    </w:p>
    <w:p w:rsidR="009C3237" w:rsidRPr="00565389" w:rsidP="009C3237" w14:paraId="70861FE3" w14:textId="77777777">
      <w:pPr>
        <w:rPr>
          <w:sz w:val="24"/>
        </w:rPr>
      </w:pPr>
      <w:r w:rsidRPr="00565389">
        <w:rPr>
          <w:sz w:val="24"/>
        </w:rPr>
        <w:t>The employer, upon request, shall make employee medical records required by paragraph (k)(3) of this section available for examination and copying to the subject employee, anyone having the specific written consent of the subject employee, and the Assistant Secretary, in accordance with 29 CFR 1910.1020.</w:t>
      </w:r>
    </w:p>
    <w:p w:rsidR="009C3237" w:rsidRPr="00565389" w:rsidP="009C3237" w14:paraId="648241BF" w14:textId="77777777">
      <w:pPr>
        <w:rPr>
          <w:sz w:val="24"/>
        </w:rPr>
      </w:pPr>
    </w:p>
    <w:p w:rsidR="009C3237" w:rsidRPr="00565389" w:rsidP="009C3237" w14:paraId="74212702" w14:textId="77777777">
      <w:pPr>
        <w:rPr>
          <w:sz w:val="24"/>
        </w:rPr>
      </w:pPr>
      <w:r w:rsidRPr="00565389">
        <w:rPr>
          <w:b/>
          <w:sz w:val="24"/>
          <w:u w:val="single"/>
        </w:rPr>
        <w:t>Purpose</w:t>
      </w:r>
      <w:r w:rsidRPr="00565389">
        <w:rPr>
          <w:sz w:val="24"/>
        </w:rPr>
        <w:t>:</w:t>
      </w:r>
      <w:r w:rsidRPr="00565389">
        <w:rPr>
          <w:b/>
          <w:sz w:val="24"/>
        </w:rPr>
        <w:t xml:space="preserve">  </w:t>
      </w:r>
      <w:r w:rsidRPr="00565389">
        <w:rPr>
          <w:sz w:val="24"/>
        </w:rPr>
        <w:t>Workers and worker representatives use exposure-monitoring and medical-surveillance records to assess worker medical status over the course of employment to evaluate the effectiveness of the worker’s exposure-reduction program, and for other reasons.</w:t>
      </w:r>
    </w:p>
    <w:p w:rsidR="009C3237" w:rsidRPr="00565389" w:rsidP="009C3237" w14:paraId="36E263C6" w14:textId="77777777">
      <w:pPr>
        <w:rPr>
          <w:b/>
          <w:i/>
          <w:sz w:val="24"/>
        </w:rPr>
      </w:pPr>
    </w:p>
    <w:p w:rsidR="009C3237" w:rsidRPr="00565389" w:rsidP="009C3237" w14:paraId="261A7A13" w14:textId="77777777">
      <w:pPr>
        <w:rPr>
          <w:b/>
          <w:i/>
          <w:sz w:val="24"/>
        </w:rPr>
      </w:pPr>
      <w:r w:rsidRPr="00565389">
        <w:rPr>
          <w:b/>
          <w:i/>
          <w:sz w:val="24"/>
        </w:rPr>
        <w:t>R.  Transfer of records (§1910.1047(k)(5))</w:t>
      </w:r>
      <w:bookmarkStart w:id="86" w:name="1910.1047(k)(5)(i)"/>
      <w:bookmarkStart w:id="87" w:name="1910.1047(k)(5)(ii)"/>
      <w:bookmarkStart w:id="88" w:name="1910.1028(k)(4)(i)"/>
      <w:bookmarkStart w:id="89" w:name="1910.1028(k)(4)(ii)"/>
      <w:bookmarkEnd w:id="86"/>
      <w:bookmarkEnd w:id="87"/>
      <w:bookmarkEnd w:id="88"/>
      <w:bookmarkEnd w:id="89"/>
    </w:p>
    <w:p w:rsidR="009C3237" w:rsidRPr="00565389" w:rsidP="009C3237" w14:paraId="60C9E7E4" w14:textId="77777777">
      <w:pPr>
        <w:rPr>
          <w:rFonts w:eastAsia="Calibri"/>
          <w:sz w:val="24"/>
        </w:rPr>
      </w:pPr>
    </w:p>
    <w:p w:rsidR="009C3237" w:rsidRPr="00565389" w:rsidP="009C3237" w14:paraId="3CD2107C" w14:textId="77777777">
      <w:pPr>
        <w:rPr>
          <w:i/>
          <w:sz w:val="24"/>
        </w:rPr>
      </w:pPr>
      <w:r w:rsidRPr="00565389">
        <w:rPr>
          <w:bCs/>
          <w:i/>
          <w:sz w:val="24"/>
        </w:rPr>
        <w:t>§1910.1028(k)(5)</w:t>
      </w:r>
      <w:r w:rsidRPr="00565389">
        <w:rPr>
          <w:i/>
          <w:sz w:val="24"/>
        </w:rPr>
        <w:t xml:space="preserve"> </w:t>
      </w:r>
    </w:p>
    <w:p w:rsidR="009C3237" w:rsidRPr="00565389" w:rsidP="009C3237" w14:paraId="61CF4C25" w14:textId="77777777">
      <w:pPr>
        <w:rPr>
          <w:i/>
          <w:sz w:val="24"/>
        </w:rPr>
      </w:pPr>
    </w:p>
    <w:p w:rsidR="009C3237" w:rsidRPr="00565389" w:rsidP="009C3237" w14:paraId="68A9253E" w14:textId="77777777">
      <w:pPr>
        <w:rPr>
          <w:sz w:val="24"/>
        </w:rPr>
      </w:pPr>
      <w:r w:rsidRPr="00565389">
        <w:rPr>
          <w:sz w:val="24"/>
        </w:rPr>
        <w:t>The employer shall comply with the requirements involving transfer of records set forth in 29 CFR 1910.1020(h).</w:t>
      </w:r>
    </w:p>
    <w:p w:rsidR="009C3237" w:rsidRPr="00565389" w:rsidP="009C3237" w14:paraId="3C06BAC1" w14:textId="77777777">
      <w:pPr>
        <w:rPr>
          <w:b/>
          <w:bCs/>
          <w:sz w:val="24"/>
        </w:rPr>
      </w:pPr>
    </w:p>
    <w:p w:rsidR="009C3237" w:rsidRPr="00565389" w:rsidP="009C3237" w14:paraId="693741EC" w14:textId="77777777">
      <w:pPr>
        <w:rPr>
          <w:sz w:val="24"/>
        </w:rPr>
      </w:pPr>
      <w:r w:rsidRPr="00565389">
        <w:rPr>
          <w:sz w:val="24"/>
        </w:rPr>
        <w:t>Paragraph (h) of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rsidR="009C3237" w:rsidRPr="00565389" w:rsidP="009C3237" w14:paraId="07E8E357" w14:textId="77777777">
      <w:pPr>
        <w:rPr>
          <w:rFonts w:eastAsia="Calibri"/>
          <w:sz w:val="24"/>
        </w:rPr>
      </w:pPr>
    </w:p>
    <w:p w:rsidR="009C3237" w:rsidRPr="00565389" w:rsidP="009C3237" w14:paraId="0C66239A" w14:textId="77777777">
      <w:pPr>
        <w:rPr>
          <w:sz w:val="24"/>
        </w:rPr>
      </w:pPr>
      <w:r w:rsidRPr="00565389">
        <w:rPr>
          <w:sz w:val="24"/>
        </w:rPr>
        <w:t>OSHA considers the employer’s transfer of records to a successor employer to be usual and customary communications during the transition from one employer to a successor employer.  In this regard, the employer would communicate the location of all records, including worker exposure-monitoring and medical records, at the facility to the successor employer during the transfer of business operations, as a matter of usual and customary business practice.  </w:t>
      </w:r>
    </w:p>
    <w:p w:rsidR="009C3237" w:rsidRPr="00565389" w:rsidP="009C3237" w14:paraId="457077C1" w14:textId="77777777">
      <w:pPr>
        <w:rPr>
          <w:sz w:val="24"/>
        </w:rPr>
      </w:pPr>
      <w:r w:rsidRPr="00565389">
        <w:rPr>
          <w:sz w:val="24"/>
        </w:rPr>
        <w:t>In addition, OSHA accounts for the burden hours and costs resulting from the worker notification requirements under the Information Collection Request (ICR) for its Access to Employee Exposure and Medical Records Standard (§1910.1020), OMB Control No. 1218-0065.</w:t>
      </w:r>
    </w:p>
    <w:p w:rsidR="009C3237" w:rsidRPr="00565389" w:rsidP="009C3237" w14:paraId="06AEF26C" w14:textId="77777777">
      <w:pPr>
        <w:rPr>
          <w:b/>
          <w:sz w:val="24"/>
        </w:rPr>
      </w:pPr>
    </w:p>
    <w:p w:rsidR="00DE5B43" w:rsidRPr="00DE5B43" w:rsidP="00AE2B3F" w14:paraId="1487E50B" w14:textId="77777777">
      <w:pPr>
        <w:widowControl/>
        <w:tabs>
          <w:tab w:val="left" w:pos="270"/>
          <w:tab w:val="left" w:pos="360"/>
        </w:tabs>
        <w:rPr>
          <w:b/>
          <w:bCs/>
          <w:sz w:val="24"/>
        </w:rPr>
      </w:pPr>
      <w:r w:rsidRPr="00565389">
        <w:rPr>
          <w:b/>
          <w:bCs/>
          <w:sz w:val="24"/>
        </w:rPr>
        <w:t xml:space="preserve">3.  </w:t>
      </w:r>
      <w:r w:rsidRPr="00DE5B43">
        <w:rPr>
          <w:b/>
          <w:bCs/>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9C3237" w:rsidRPr="00565389" w:rsidP="009C3237" w14:paraId="31A031AA" w14:textId="77777777">
      <w:pPr>
        <w:rPr>
          <w:sz w:val="24"/>
        </w:rPr>
      </w:pPr>
    </w:p>
    <w:p w:rsidR="009C3237" w:rsidRPr="00565389" w:rsidP="009C3237" w14:paraId="699E1907" w14:textId="77777777">
      <w:pPr>
        <w:rPr>
          <w:sz w:val="24"/>
        </w:rPr>
      </w:pPr>
      <w:r w:rsidRPr="00565389">
        <w:rPr>
          <w:sz w:val="24"/>
        </w:rPr>
        <w:t xml:space="preserve">Employers may use automated, electronic, mechanical, or other technological collection techniques, or other forms of information technology (e.g., electronic submission of responses), when establishing and maintaining the required records.  The Agency wrote the paperwork requirements of the Standard in performance-oriented language, i.e., in terms of </w:t>
      </w:r>
      <w:r w:rsidRPr="00565389">
        <w:rPr>
          <w:sz w:val="24"/>
          <w:u w:val="single"/>
        </w:rPr>
        <w:t>what</w:t>
      </w:r>
      <w:r w:rsidRPr="00565389">
        <w:rPr>
          <w:sz w:val="24"/>
        </w:rPr>
        <w:t xml:space="preserve"> data to collect, not </w:t>
      </w:r>
      <w:r w:rsidRPr="00565389">
        <w:rPr>
          <w:sz w:val="24"/>
          <w:u w:val="single"/>
        </w:rPr>
        <w:t>how</w:t>
      </w:r>
      <w:r w:rsidRPr="00565389">
        <w:rPr>
          <w:sz w:val="24"/>
        </w:rPr>
        <w:t xml:space="preserve"> to record the data.</w:t>
      </w:r>
    </w:p>
    <w:p w:rsidR="009C3237" w:rsidRPr="00565389" w:rsidP="009C3237" w14:paraId="713317D1" w14:textId="77777777">
      <w:pPr>
        <w:rPr>
          <w:sz w:val="24"/>
        </w:rPr>
      </w:pPr>
    </w:p>
    <w:p w:rsidR="00DE5B43" w:rsidRPr="00DE5B43" w:rsidP="00AE2B3F" w14:paraId="7B3797B4" w14:textId="5E7C2F23">
      <w:pPr>
        <w:widowControl/>
        <w:tabs>
          <w:tab w:val="left" w:pos="270"/>
        </w:tabs>
        <w:rPr>
          <w:b/>
          <w:bCs/>
          <w:sz w:val="24"/>
        </w:rPr>
      </w:pPr>
      <w:r w:rsidRPr="00565389">
        <w:rPr>
          <w:b/>
          <w:bCs/>
          <w:sz w:val="24"/>
        </w:rPr>
        <w:t xml:space="preserve">4.  </w:t>
      </w:r>
      <w:bookmarkStart w:id="90" w:name="_Hlk137536736"/>
      <w:r w:rsidRPr="00DE5B43">
        <w:rPr>
          <w:b/>
          <w:bCs/>
          <w:sz w:val="24"/>
        </w:rPr>
        <w:t>Describe efforts to identify duplication.  Show specifically why any similar information already available cannot be used or modified for use for the purposes described in Item A.2. above.</w:t>
      </w:r>
    </w:p>
    <w:bookmarkEnd w:id="90"/>
    <w:p w:rsidR="009C3237" w:rsidRPr="00565389" w:rsidP="009C3237" w14:paraId="50258F3B" w14:textId="1EC3BD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3237" w:rsidRPr="00565389" w:rsidP="009C3237" w14:paraId="4BF4B043" w14:textId="77777777">
      <w:pPr>
        <w:rPr>
          <w:sz w:val="24"/>
        </w:rPr>
      </w:pPr>
    </w:p>
    <w:p w:rsidR="009C3237" w:rsidRPr="00565389" w:rsidP="009C3237" w14:paraId="706D6457" w14:textId="7D84898C">
      <w:pPr>
        <w:rPr>
          <w:sz w:val="24"/>
        </w:rPr>
      </w:pPr>
      <w:r w:rsidRPr="00565389">
        <w:rPr>
          <w:sz w:val="24"/>
        </w:rPr>
        <w:t xml:space="preserve">The information required to be collected and maintained is specific to each employer and worker involved, and is not available from, or duplicated, by another source.  The information required by the Standard is available only from employers.  At this time, there is no alternate information source available. </w:t>
      </w:r>
    </w:p>
    <w:p w:rsidR="009C3237" w:rsidRPr="00565389" w:rsidP="009C3237" w14:paraId="2FAF4169" w14:textId="77777777">
      <w:pPr>
        <w:rPr>
          <w:sz w:val="24"/>
        </w:rPr>
      </w:pPr>
    </w:p>
    <w:p w:rsidR="00DE5B43" w:rsidRPr="00DE5B43" w:rsidP="00DE5B43" w14:paraId="7714EAA8" w14:textId="6DDAC5E6">
      <w:pPr>
        <w:tabs>
          <w:tab w:val="left" w:pos="360"/>
        </w:tabs>
        <w:ind w:left="270" w:hanging="270"/>
        <w:rPr>
          <w:b/>
          <w:bCs/>
          <w:sz w:val="24"/>
        </w:rPr>
      </w:pPr>
      <w:r w:rsidRPr="00565389">
        <w:rPr>
          <w:b/>
          <w:bCs/>
          <w:sz w:val="24"/>
        </w:rPr>
        <w:t xml:space="preserve">5.  </w:t>
      </w:r>
      <w:r w:rsidRPr="00DE5B43">
        <w:rPr>
          <w:b/>
          <w:bCs/>
          <w:sz w:val="24"/>
        </w:rPr>
        <w:t xml:space="preserve">If the collection of information impacts small businesses or other small entities, describe </w:t>
      </w:r>
      <w:r w:rsidRPr="00DE5B43">
        <w:rPr>
          <w:b/>
          <w:bCs/>
          <w:sz w:val="24"/>
        </w:rPr>
        <w:t>any methods used to minimize burden.</w:t>
      </w:r>
    </w:p>
    <w:p w:rsidR="009C3237" w:rsidRPr="00565389" w:rsidP="009C3237" w14:paraId="04F942D8" w14:textId="77777777">
      <w:pPr>
        <w:rPr>
          <w:sz w:val="24"/>
        </w:rPr>
      </w:pPr>
    </w:p>
    <w:p w:rsidR="009C3237" w:rsidRPr="00565389" w:rsidP="009C3237" w14:paraId="69860BF1" w14:textId="77777777">
      <w:pPr>
        <w:rPr>
          <w:sz w:val="24"/>
        </w:rPr>
      </w:pPr>
      <w:r w:rsidRPr="00565389">
        <w:rPr>
          <w:sz w:val="24"/>
        </w:rPr>
        <w:t xml:space="preserve">The collections of information do not have a significant impact on a substantial number of small entities. </w:t>
      </w:r>
    </w:p>
    <w:p w:rsidR="009C3237" w:rsidRPr="00565389" w:rsidP="009C3237" w14:paraId="56851496" w14:textId="77777777">
      <w:pPr>
        <w:rPr>
          <w:sz w:val="24"/>
        </w:rPr>
      </w:pPr>
    </w:p>
    <w:p w:rsidR="00DE5B43" w:rsidRPr="00DE5B43" w:rsidP="00AE2B3F" w14:paraId="0D8AD32F" w14:textId="35F4E9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565389">
        <w:rPr>
          <w:b/>
          <w:bCs/>
          <w:sz w:val="24"/>
        </w:rPr>
        <w:t xml:space="preserve">6.  </w:t>
      </w:r>
      <w:r w:rsidRPr="00DE5B43">
        <w:rPr>
          <w:b/>
          <w:bCs/>
          <w:sz w:val="24"/>
        </w:rPr>
        <w:t>Describe the consequence to Federal program or policy activities if the collection is not conducted or is conducted less frequently, and any technical or legal obstacles to reducing burden.</w:t>
      </w:r>
    </w:p>
    <w:p w:rsidR="009C3237" w:rsidRPr="00565389" w:rsidP="009C3237" w14:paraId="4F968753" w14:textId="77777777">
      <w:pPr>
        <w:rPr>
          <w:sz w:val="24"/>
        </w:rPr>
      </w:pPr>
    </w:p>
    <w:p w:rsidR="009C3237" w:rsidRPr="00565389" w:rsidP="009C3237" w14:paraId="5CD26D44" w14:textId="77777777">
      <w:pPr>
        <w:rPr>
          <w:sz w:val="24"/>
        </w:rPr>
      </w:pPr>
      <w:r w:rsidRPr="00565389">
        <w:rPr>
          <w:sz w:val="24"/>
        </w:rPr>
        <w:t>The information collection frequencies specified by this Standard are the minimum OSHA believes are necessary to ensure that employers and OSHA can effectively monitor the exposure and health status of workers working with EtO.</w:t>
      </w:r>
    </w:p>
    <w:p w:rsidR="009C3237" w:rsidRPr="00565389" w:rsidP="009C3237" w14:paraId="0FB6BC0C" w14:textId="77777777">
      <w:pPr>
        <w:rPr>
          <w:sz w:val="24"/>
        </w:rPr>
      </w:pPr>
    </w:p>
    <w:p w:rsidR="0017563F" w:rsidRPr="00AE2B3F" w:rsidP="00AE2B3F" w14:paraId="27FE05EC" w14:textId="42E0C9A1">
      <w:pPr>
        <w:pStyle w:val="ListParagraph"/>
        <w:widowControl/>
        <w:numPr>
          <w:ilvl w:val="0"/>
          <w:numId w:val="13"/>
        </w:numPr>
        <w:tabs>
          <w:tab w:val="left" w:pos="360"/>
        </w:tabs>
        <w:rPr>
          <w:b/>
          <w:bCs/>
          <w:sz w:val="24"/>
        </w:rPr>
      </w:pPr>
      <w:r>
        <w:rPr>
          <w:b/>
          <w:bCs/>
          <w:sz w:val="24"/>
        </w:rPr>
        <w:t xml:space="preserve"> </w:t>
      </w:r>
      <w:r w:rsidRPr="00AE2B3F">
        <w:rPr>
          <w:b/>
          <w:bCs/>
          <w:sz w:val="24"/>
        </w:rPr>
        <w:t xml:space="preserve">Explain any special circumstances that would cause an information collection to be </w:t>
      </w:r>
    </w:p>
    <w:p w:rsidR="0017563F" w:rsidRPr="0017563F" w:rsidP="0017563F" w14:paraId="5736080C" w14:textId="77777777">
      <w:pPr>
        <w:widowControl/>
        <w:tabs>
          <w:tab w:val="left" w:pos="360"/>
        </w:tabs>
        <w:rPr>
          <w:b/>
          <w:bCs/>
          <w:sz w:val="24"/>
        </w:rPr>
      </w:pPr>
      <w:r w:rsidRPr="0017563F">
        <w:rPr>
          <w:b/>
          <w:bCs/>
          <w:sz w:val="24"/>
        </w:rPr>
        <w:tab/>
        <w:t>conducted in a manner:</w:t>
      </w:r>
    </w:p>
    <w:p w:rsidR="0017563F" w:rsidRPr="0017563F" w:rsidP="0017563F" w14:paraId="4EDFA1FB" w14:textId="77777777">
      <w:pPr>
        <w:widowControl/>
        <w:rPr>
          <w:b/>
          <w:bCs/>
          <w:sz w:val="24"/>
        </w:rPr>
      </w:pPr>
    </w:p>
    <w:p w:rsidR="0017563F" w:rsidRPr="0017563F" w:rsidP="0017563F" w14:paraId="7455EA0E" w14:textId="77777777">
      <w:pPr>
        <w:widowControl/>
        <w:numPr>
          <w:ilvl w:val="0"/>
          <w:numId w:val="12"/>
        </w:numPr>
        <w:tabs>
          <w:tab w:val="left" w:pos="1440"/>
        </w:tabs>
        <w:rPr>
          <w:b/>
          <w:bCs/>
          <w:sz w:val="24"/>
        </w:rPr>
      </w:pPr>
      <w:r w:rsidRPr="0017563F">
        <w:rPr>
          <w:b/>
          <w:bCs/>
          <w:sz w:val="24"/>
        </w:rPr>
        <w:t>requiring respondents to report information to the agency more often than quarterly;</w:t>
      </w:r>
    </w:p>
    <w:p w:rsidR="0017563F" w:rsidRPr="0017563F" w:rsidP="0017563F" w14:paraId="1F010D0E" w14:textId="77777777">
      <w:pPr>
        <w:widowControl/>
        <w:rPr>
          <w:b/>
          <w:bCs/>
          <w:sz w:val="24"/>
        </w:rPr>
      </w:pPr>
    </w:p>
    <w:p w:rsidR="0017563F" w:rsidRPr="0017563F" w:rsidP="0017563F" w14:paraId="065E9035" w14:textId="77777777">
      <w:pPr>
        <w:widowControl/>
        <w:numPr>
          <w:ilvl w:val="0"/>
          <w:numId w:val="12"/>
        </w:numPr>
        <w:tabs>
          <w:tab w:val="left" w:pos="1440"/>
        </w:tabs>
        <w:rPr>
          <w:b/>
          <w:bCs/>
          <w:sz w:val="24"/>
        </w:rPr>
      </w:pPr>
      <w:r w:rsidRPr="0017563F">
        <w:rPr>
          <w:b/>
          <w:bCs/>
          <w:sz w:val="24"/>
        </w:rPr>
        <w:t>requiring respondents to prepare a written response to a collection of information in fewer than 30 days after receipt of it;</w:t>
      </w:r>
    </w:p>
    <w:p w:rsidR="0017563F" w:rsidRPr="0017563F" w:rsidP="0017563F" w14:paraId="74CEE49E" w14:textId="77777777">
      <w:pPr>
        <w:widowControl/>
        <w:rPr>
          <w:b/>
          <w:bCs/>
          <w:sz w:val="24"/>
        </w:rPr>
      </w:pPr>
    </w:p>
    <w:p w:rsidR="0017563F" w:rsidRPr="0017563F" w:rsidP="0017563F" w14:paraId="40257769" w14:textId="77777777">
      <w:pPr>
        <w:widowControl/>
        <w:numPr>
          <w:ilvl w:val="0"/>
          <w:numId w:val="12"/>
        </w:numPr>
        <w:tabs>
          <w:tab w:val="left" w:pos="1440"/>
        </w:tabs>
        <w:rPr>
          <w:b/>
          <w:bCs/>
          <w:sz w:val="24"/>
        </w:rPr>
      </w:pPr>
      <w:r w:rsidRPr="0017563F">
        <w:rPr>
          <w:b/>
          <w:bCs/>
          <w:sz w:val="24"/>
        </w:rPr>
        <w:t>requiring respondents to submit more than an original and two copies of any document;</w:t>
      </w:r>
    </w:p>
    <w:p w:rsidR="0017563F" w:rsidRPr="0017563F" w:rsidP="0017563F" w14:paraId="7862D447" w14:textId="77777777">
      <w:pPr>
        <w:widowControl/>
        <w:numPr>
          <w:ilvl w:val="0"/>
          <w:numId w:val="12"/>
        </w:numPr>
        <w:tabs>
          <w:tab w:val="left" w:pos="1440"/>
        </w:tabs>
        <w:rPr>
          <w:b/>
          <w:bCs/>
          <w:sz w:val="24"/>
        </w:rPr>
      </w:pPr>
      <w:r w:rsidRPr="0017563F">
        <w:rPr>
          <w:b/>
          <w:bCs/>
          <w:sz w:val="24"/>
        </w:rPr>
        <w:t xml:space="preserve">requiring respondents to retain records, other than health, medical, government contract, grant-in-aid, or tax records for more than three years; </w:t>
      </w:r>
    </w:p>
    <w:p w:rsidR="0017563F" w:rsidRPr="0017563F" w:rsidP="0017563F" w14:paraId="02769F88" w14:textId="77777777">
      <w:pPr>
        <w:widowControl/>
        <w:tabs>
          <w:tab w:val="left" w:pos="1440"/>
        </w:tabs>
        <w:rPr>
          <w:b/>
          <w:bCs/>
          <w:sz w:val="24"/>
        </w:rPr>
      </w:pPr>
    </w:p>
    <w:p w:rsidR="0017563F" w:rsidRPr="0017563F" w:rsidP="0017563F" w14:paraId="1BD2E213" w14:textId="77777777">
      <w:pPr>
        <w:widowControl/>
        <w:numPr>
          <w:ilvl w:val="0"/>
          <w:numId w:val="12"/>
        </w:numPr>
        <w:tabs>
          <w:tab w:val="left" w:pos="1440"/>
        </w:tabs>
        <w:rPr>
          <w:b/>
          <w:bCs/>
          <w:sz w:val="24"/>
        </w:rPr>
      </w:pPr>
      <w:r w:rsidRPr="0017563F">
        <w:rPr>
          <w:b/>
          <w:bCs/>
          <w:sz w:val="24"/>
        </w:rPr>
        <w:t>in connection with a statistical survey, that is not designed to produce valid and reliable results that can be generalized to the universe of study;</w:t>
      </w:r>
    </w:p>
    <w:p w:rsidR="0017563F" w:rsidRPr="0017563F" w:rsidP="0017563F" w14:paraId="0437B931" w14:textId="77777777">
      <w:pPr>
        <w:widowControl/>
        <w:rPr>
          <w:b/>
          <w:bCs/>
          <w:sz w:val="24"/>
        </w:rPr>
      </w:pPr>
    </w:p>
    <w:p w:rsidR="0017563F" w:rsidRPr="0017563F" w:rsidP="0017563F" w14:paraId="68C83F73" w14:textId="77777777">
      <w:pPr>
        <w:widowControl/>
        <w:numPr>
          <w:ilvl w:val="0"/>
          <w:numId w:val="12"/>
        </w:numPr>
        <w:tabs>
          <w:tab w:val="left" w:pos="1440"/>
        </w:tabs>
        <w:rPr>
          <w:b/>
          <w:bCs/>
          <w:sz w:val="24"/>
        </w:rPr>
      </w:pPr>
      <w:r w:rsidRPr="0017563F">
        <w:rPr>
          <w:b/>
          <w:bCs/>
          <w:sz w:val="24"/>
        </w:rPr>
        <w:t xml:space="preserve">requiring the use of a statistical data classification that has not been reviewed and approved by OMB; </w:t>
      </w:r>
    </w:p>
    <w:p w:rsidR="0017563F" w:rsidRPr="0017563F" w:rsidP="0017563F" w14:paraId="653716E3" w14:textId="77777777">
      <w:pPr>
        <w:widowControl/>
        <w:tabs>
          <w:tab w:val="left" w:pos="1440"/>
        </w:tabs>
        <w:rPr>
          <w:b/>
          <w:bCs/>
          <w:sz w:val="24"/>
        </w:rPr>
      </w:pPr>
    </w:p>
    <w:p w:rsidR="0017563F" w:rsidRPr="0017563F" w:rsidP="0017563F" w14:paraId="0D75E2D3" w14:textId="77777777">
      <w:pPr>
        <w:widowControl/>
        <w:numPr>
          <w:ilvl w:val="0"/>
          <w:numId w:val="12"/>
        </w:numPr>
        <w:tabs>
          <w:tab w:val="left" w:pos="1440"/>
        </w:tabs>
        <w:rPr>
          <w:b/>
          <w:bCs/>
          <w:sz w:val="24"/>
        </w:rPr>
      </w:pPr>
      <w:r w:rsidRPr="0017563F">
        <w:rPr>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7563F" w:rsidRPr="0017563F" w:rsidP="0017563F" w14:paraId="7E8B82C1" w14:textId="77777777">
      <w:pPr>
        <w:widowControl/>
        <w:rPr>
          <w:b/>
          <w:bCs/>
          <w:sz w:val="24"/>
        </w:rPr>
      </w:pPr>
    </w:p>
    <w:p w:rsidR="0017563F" w:rsidRPr="0017563F" w:rsidP="0017563F" w14:paraId="4924189A" w14:textId="77777777">
      <w:pPr>
        <w:widowControl/>
        <w:numPr>
          <w:ilvl w:val="0"/>
          <w:numId w:val="12"/>
        </w:numPr>
        <w:tabs>
          <w:tab w:val="left" w:pos="1440"/>
        </w:tabs>
        <w:rPr>
          <w:b/>
          <w:bCs/>
          <w:sz w:val="24"/>
        </w:rPr>
      </w:pPr>
      <w:r w:rsidRPr="0017563F">
        <w:rPr>
          <w:b/>
          <w:bCs/>
          <w:sz w:val="24"/>
        </w:rPr>
        <w:t>requiring respondents to submit proprietary trade secret, or other confidential information unless the agency can demonstrate that it has instituted procedures to protect the information's confidentiality to the extent permitted by law.</w:t>
      </w:r>
    </w:p>
    <w:p w:rsidR="009C3237" w:rsidRPr="00565389" w:rsidP="009C3237" w14:paraId="154CFBC7" w14:textId="77777777">
      <w:pPr>
        <w:ind w:left="720"/>
        <w:rPr>
          <w:b/>
          <w:sz w:val="24"/>
        </w:rPr>
      </w:pPr>
    </w:p>
    <w:p w:rsidR="009C3237" w:rsidRPr="00565389" w:rsidP="009C3237" w14:paraId="4563C255" w14:textId="77777777">
      <w:pPr>
        <w:rPr>
          <w:b/>
          <w:sz w:val="24"/>
        </w:rPr>
      </w:pPr>
      <w:r w:rsidRPr="00565389">
        <w:rPr>
          <w:sz w:val="24"/>
        </w:rPr>
        <w:t xml:space="preserve">Paragraph (d)(7) of the Standard requires employers to notify each worker, in writing, of their exposure-monitoring results within 15 working days after receiving the results.  If the results show that a worker’s exposure to EtO exceeds the TWA or exceeds the excursion limit, the employer must notify them of this finding, and inform them of the corrective action the employer is taking to prevent overexposure and potential adverse health effects.  Additionally, paragraph </w:t>
      </w:r>
      <w:r w:rsidRPr="00752BEB">
        <w:rPr>
          <w:rStyle w:val="blueten1"/>
          <w:rFonts w:ascii="Times New Roman" w:hAnsi="Times New Roman"/>
          <w:color w:val="auto"/>
          <w:sz w:val="24"/>
          <w:szCs w:val="24"/>
        </w:rPr>
        <w:t xml:space="preserve">(i)(4)(iii) of the Standard requires employers to </w:t>
      </w:r>
      <w:r w:rsidRPr="00565389">
        <w:rPr>
          <w:sz w:val="24"/>
        </w:rPr>
        <w:t>provide a copy of the physician's written opinion to the affected worker within 15 days from its receipt.</w:t>
      </w:r>
    </w:p>
    <w:p w:rsidR="009C3237" w:rsidRPr="00565389" w:rsidP="009C3237" w14:paraId="1F231AD6" w14:textId="77777777">
      <w:pPr>
        <w:rPr>
          <w:sz w:val="24"/>
        </w:rPr>
      </w:pPr>
    </w:p>
    <w:p w:rsidR="0017563F" w:rsidRPr="0017563F" w:rsidP="00AE2B3F" w14:paraId="3DC20B55" w14:textId="77777777">
      <w:pPr>
        <w:widowControl/>
        <w:tabs>
          <w:tab w:val="left" w:pos="360"/>
        </w:tabs>
        <w:rPr>
          <w:b/>
          <w:bCs/>
          <w:sz w:val="24"/>
        </w:rPr>
      </w:pPr>
      <w:r w:rsidRPr="00565389">
        <w:rPr>
          <w:b/>
          <w:bCs/>
          <w:sz w:val="24"/>
        </w:rPr>
        <w:t xml:space="preserve">8.  </w:t>
      </w:r>
      <w:r w:rsidRPr="0017563F">
        <w:rPr>
          <w:b/>
          <w:bCs/>
          <w:sz w:val="24"/>
        </w:rPr>
        <w:t xml:space="preserve">If applicable, provide a copy and identify the data and page number of publication in the </w:t>
      </w:r>
      <w:r w:rsidRPr="0017563F">
        <w:rPr>
          <w:b/>
          <w:bCs/>
          <w:i/>
          <w:sz w:val="24"/>
        </w:rPr>
        <w:t>Federal</w:t>
      </w:r>
      <w:r w:rsidRPr="0017563F">
        <w:rPr>
          <w:b/>
          <w:bCs/>
          <w:sz w:val="24"/>
        </w:rPr>
        <w:t xml:space="preserve"> </w:t>
      </w:r>
      <w:r w:rsidRPr="0017563F">
        <w:rPr>
          <w:b/>
          <w:bCs/>
          <w:i/>
          <w:sz w:val="24"/>
        </w:rPr>
        <w:t>Register</w:t>
      </w:r>
      <w:r w:rsidRPr="0017563F">
        <w:rPr>
          <w:b/>
          <w:bCs/>
          <w:sz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7563F" w:rsidRPr="0017563F" w:rsidP="0017563F" w14:paraId="58399E7C" w14:textId="77777777">
      <w:pPr>
        <w:widowControl/>
        <w:rPr>
          <w:b/>
          <w:bCs/>
          <w:sz w:val="24"/>
        </w:rPr>
      </w:pPr>
    </w:p>
    <w:p w:rsidR="0017563F" w:rsidRPr="0017563F" w:rsidP="00AE2B3F" w14:paraId="3581D663" w14:textId="77777777">
      <w:pPr>
        <w:widowControl/>
        <w:rPr>
          <w:b/>
          <w:bCs/>
          <w:sz w:val="24"/>
        </w:rPr>
      </w:pPr>
      <w:r w:rsidRPr="0017563F">
        <w:rPr>
          <w:b/>
          <w:bCs/>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7563F" w:rsidP="0017563F" w14:paraId="02667467" w14:textId="77777777">
      <w:pPr>
        <w:widowControl/>
        <w:rPr>
          <w:b/>
          <w:bCs/>
          <w:sz w:val="24"/>
        </w:rPr>
      </w:pPr>
    </w:p>
    <w:p w:rsidR="0017563F" w:rsidRPr="0017563F" w:rsidP="00AE2B3F" w14:paraId="14CD8FEC" w14:textId="38507A09">
      <w:pPr>
        <w:widowControl/>
        <w:rPr>
          <w:b/>
          <w:bCs/>
          <w:sz w:val="24"/>
        </w:rPr>
      </w:pPr>
      <w:r w:rsidRPr="0017563F">
        <w:rPr>
          <w:b/>
          <w:bCs/>
          <w:sz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17563F" w:rsidP="009C3237" w14:paraId="011114F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4904E0" w:rsidRPr="004904E0" w:rsidP="004904E0" w14:paraId="3025557D" w14:textId="77777777">
      <w:pPr>
        <w:spacing w:after="200"/>
        <w:rPr>
          <w:rFonts w:eastAsia="Batang"/>
          <w:sz w:val="24"/>
        </w:rPr>
      </w:pPr>
      <w:r w:rsidRPr="004904E0">
        <w:rPr>
          <w:rFonts w:eastAsia="Batang"/>
          <w:sz w:val="24"/>
        </w:rPr>
        <w:t xml:space="preserve">Pursuant to the Paperwork Reduction Act of 1995 (44 U.S.C. 3506(c)(2)(A)), OSHA published a notice in the </w:t>
      </w:r>
      <w:r w:rsidRPr="004904E0">
        <w:rPr>
          <w:rFonts w:eastAsia="Batang"/>
          <w:i/>
          <w:sz w:val="24"/>
        </w:rPr>
        <w:t>Federal</w:t>
      </w:r>
      <w:r w:rsidRPr="004904E0">
        <w:rPr>
          <w:rFonts w:eastAsia="Batang"/>
          <w:sz w:val="24"/>
        </w:rPr>
        <w:t xml:space="preserve"> </w:t>
      </w:r>
      <w:r w:rsidRPr="004904E0">
        <w:rPr>
          <w:rFonts w:eastAsia="Batang"/>
          <w:i/>
          <w:sz w:val="24"/>
        </w:rPr>
        <w:t>Register</w:t>
      </w:r>
      <w:r w:rsidRPr="004904E0">
        <w:rPr>
          <w:rFonts w:eastAsia="Batang"/>
          <w:sz w:val="24"/>
        </w:rPr>
        <w:t xml:space="preserve"> on August 3, 2023</w:t>
      </w:r>
      <w:r w:rsidRPr="004904E0">
        <w:rPr>
          <w:sz w:val="24"/>
        </w:rPr>
        <w:t xml:space="preserve"> (88 FR 51354) </w:t>
      </w:r>
      <w:r w:rsidRPr="004904E0">
        <w:rPr>
          <w:rFonts w:eastAsia="Batang"/>
          <w:sz w:val="24"/>
        </w:rPr>
        <w:t xml:space="preserve">soliciting comments from the public and other interested parties on the information collection requirements contained in the Ethylene Oxide Standard (29 CFR 1910.1047) under Docket Number </w:t>
      </w:r>
      <w:r w:rsidRPr="004904E0">
        <w:rPr>
          <w:sz w:val="24"/>
        </w:rPr>
        <w:t>OSHA-2009-0035</w:t>
      </w:r>
      <w:r w:rsidRPr="004904E0">
        <w:rPr>
          <w:rFonts w:eastAsia="Batang"/>
          <w:sz w:val="24"/>
        </w:rPr>
        <w:t xml:space="preserve">.  The notice was part of a preclearance consultation program that provides interested parties with an opportunity to comment on OSHA’s request for an extension by the Office of Management and Budget (OMB) of a previous approval of the information collection requirements found in the above standard. </w:t>
      </w:r>
    </w:p>
    <w:p w:rsidR="004904E0" w:rsidRPr="004904E0" w:rsidP="004904E0" w14:paraId="234D66E4" w14:textId="77777777">
      <w:pPr>
        <w:pStyle w:val="Default"/>
        <w:spacing w:after="182" w:line="268" w:lineRule="atLeast"/>
        <w:rPr>
          <w:rFonts w:ascii="Times New Roman" w:eastAsia="Batang" w:hAnsi="Times New Roman" w:cs="Times New Roman"/>
          <w:color w:val="auto"/>
        </w:rPr>
      </w:pPr>
      <w:r w:rsidRPr="004904E0">
        <w:rPr>
          <w:rFonts w:ascii="Times New Roman" w:eastAsia="Batang" w:hAnsi="Times New Roman" w:cs="Times New Roman"/>
          <w:color w:val="auto"/>
        </w:rPr>
        <w:t>The agency received one comment on October 2, 2023, in response to this notice from Matthew</w:t>
      </w:r>
      <w:r w:rsidRPr="004904E0">
        <w:rPr>
          <w:rFonts w:ascii="Times New Roman" w:hAnsi="Times New Roman" w:cs="Times New Roman"/>
          <w:color w:val="auto"/>
        </w:rPr>
        <w:t xml:space="preserve"> Garamone of Becton, Dickinson and Company (BD) under docket number OSHA-2009-0035-0016.  Mr. Garamone expressed five concerns in reference to this information collection request on Ethylene Oxide (29 CFR 1910.1047).</w:t>
      </w:r>
    </w:p>
    <w:p w:rsidR="004904E0" w:rsidRPr="004904E0" w:rsidP="004904E0" w14:paraId="6B71016E" w14:textId="77777777">
      <w:pPr>
        <w:pStyle w:val="Default"/>
        <w:numPr>
          <w:ilvl w:val="0"/>
          <w:numId w:val="16"/>
        </w:numPr>
        <w:rPr>
          <w:rFonts w:ascii="Times New Roman" w:hAnsi="Times New Roman" w:cs="Times New Roman"/>
          <w:color w:val="auto"/>
        </w:rPr>
      </w:pPr>
      <w:r w:rsidRPr="004904E0">
        <w:rPr>
          <w:rFonts w:ascii="Times New Roman" w:hAnsi="Times New Roman" w:cs="Times New Roman"/>
          <w:color w:val="auto"/>
        </w:rPr>
        <w:t xml:space="preserve">In the commenter’s first concern he stated that, “The current standard requires employee notification of ethylene oxide (EtO) exposures within 15 working days after the receipt of the results of any monitoring performed, either individually in writing or by posting the </w:t>
      </w:r>
      <w:r w:rsidRPr="004904E0">
        <w:rPr>
          <w:rFonts w:ascii="Times New Roman" w:hAnsi="Times New Roman" w:cs="Times New Roman"/>
          <w:color w:val="auto"/>
        </w:rPr>
        <w:t>results in an appropriate location that is accessible to employees. BD recommends a change to the standard to ease the burden on notifying employees of their ethylene oxide (EtO) exposures to allow for electronic notification rather than notification to each person in writing. With current technology and use of electronic communication commonplace, BD believes revising the standard to allow for electronic notification to each individual would be more efficient cutting down on the time required to perform the notification while still meeting the notification requirement. In light of the fact that BD performs routine and regular exposure monitoring of EtO exposures, this time savings from this change to electronic notification would be sizeable. BD also believes that posting of exposure monitoring results can be construed to violate Privacy Laws. Personnel exposure monitoring data could be considered a medical record and therefore posting is not the preferred route of employee notification."</w:t>
      </w:r>
      <w:r w:rsidRPr="004904E0">
        <w:rPr>
          <w:rFonts w:ascii="Times New Roman" w:hAnsi="Times New Roman" w:cs="Times New Roman"/>
          <w:color w:val="auto"/>
        </w:rPr>
        <w:br/>
      </w:r>
    </w:p>
    <w:p w:rsidR="004904E0" w:rsidRPr="004904E0" w:rsidP="004904E0" w14:paraId="6950D989" w14:textId="77777777">
      <w:pPr>
        <w:rPr>
          <w:sz w:val="24"/>
        </w:rPr>
      </w:pPr>
      <w:r w:rsidRPr="004904E0">
        <w:rPr>
          <w:sz w:val="24"/>
        </w:rPr>
        <w:t xml:space="preserve">Under §1910.1047(d)(7)(i), OSHA standard states that “The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 This notification requirement assures that each worker receives accurate exposure data and, in addition, provides them with information regarding the specific actions the employer is taking to lower their exposures and to furnish them with a safe and healthful workplace in accordance with section 8(c)(3) of the OSH Act. Employers may use automated, electronic, mechanical, or other technological techniques to notify employees of the results of any possible exposure.  The paperwork requirement of the Standard is written in performance-oriented language. Electronic notification satisfies the requirement that notification be made in writing. OSHA does encourage the use of the latest technology. </w:t>
      </w:r>
    </w:p>
    <w:p w:rsidR="004904E0" w:rsidRPr="004904E0" w:rsidP="004904E0" w14:paraId="5DB65148" w14:textId="77777777">
      <w:pPr>
        <w:rPr>
          <w:sz w:val="24"/>
        </w:rPr>
      </w:pPr>
      <w:r w:rsidRPr="004904E0">
        <w:rPr>
          <w:sz w:val="24"/>
        </w:rPr>
        <w:t xml:space="preserve">The option to post exposure monitoring results is a feature of many of OSHA’s substance-specific standards. </w:t>
      </w:r>
      <w:r w:rsidRPr="004904E0">
        <w:rPr>
          <w:i/>
          <w:iCs/>
          <w:sz w:val="24"/>
        </w:rPr>
        <w:t xml:space="preserve">See, </w:t>
      </w:r>
      <w:r w:rsidRPr="004904E0">
        <w:rPr>
          <w:sz w:val="24"/>
        </w:rPr>
        <w:t>e.g.,</w:t>
      </w:r>
      <w:r w:rsidRPr="004904E0">
        <w:rPr>
          <w:i/>
          <w:iCs/>
          <w:sz w:val="24"/>
        </w:rPr>
        <w:t xml:space="preserve"> </w:t>
      </w:r>
      <w:r w:rsidRPr="004904E0">
        <w:rPr>
          <w:sz w:val="24"/>
        </w:rPr>
        <w:t>29 CFR 1910.1053(d)(6) (Respirable Crystalline Silica); 29 CFR 1910.1024(d)(6) (Beryllium); 29 CFR 1910.1025(d)(6) (Lead). However, posting is not required and employers are permitted to notify employees individually.</w:t>
      </w:r>
    </w:p>
    <w:p w:rsidR="004904E0" w:rsidRPr="004904E0" w:rsidP="004904E0" w14:paraId="3659224E" w14:textId="77777777">
      <w:pPr>
        <w:pStyle w:val="Default"/>
        <w:rPr>
          <w:rFonts w:ascii="Times New Roman" w:hAnsi="Times New Roman" w:cs="Times New Roman"/>
          <w:color w:val="auto"/>
        </w:rPr>
      </w:pPr>
    </w:p>
    <w:p w:rsidR="004904E0" w:rsidRPr="004904E0" w:rsidP="004904E0" w14:paraId="1485DA70" w14:textId="77777777">
      <w:pPr>
        <w:pStyle w:val="Default"/>
        <w:numPr>
          <w:ilvl w:val="0"/>
          <w:numId w:val="16"/>
        </w:numPr>
        <w:rPr>
          <w:rFonts w:ascii="Times New Roman" w:hAnsi="Times New Roman" w:cs="Times New Roman"/>
          <w:color w:val="auto"/>
        </w:rPr>
      </w:pPr>
      <w:r w:rsidRPr="004904E0">
        <w:rPr>
          <w:rFonts w:ascii="Times New Roman" w:hAnsi="Times New Roman" w:cs="Times New Roman"/>
          <w:color w:val="auto"/>
        </w:rPr>
        <w:t>The commenter’s second concern stated, “The written notifica</w:t>
      </w:r>
      <w:r w:rsidRPr="004904E0">
        <w:rPr>
          <w:rFonts w:ascii="Times New Roman" w:eastAsia="Calibri" w:hAnsi="Times New Roman" w:cs="Times New Roman"/>
          <w:color w:val="auto"/>
        </w:rPr>
        <w:t>ti</w:t>
      </w:r>
      <w:r w:rsidRPr="004904E0">
        <w:rPr>
          <w:rFonts w:ascii="Times New Roman" w:hAnsi="Times New Roman" w:cs="Times New Roman"/>
          <w:color w:val="auto"/>
        </w:rPr>
        <w:t>on required by the EtO standard shall contain the corrective ac</w:t>
      </w:r>
      <w:r w:rsidRPr="004904E0">
        <w:rPr>
          <w:rFonts w:ascii="Times New Roman" w:eastAsia="Calibri" w:hAnsi="Times New Roman" w:cs="Times New Roman"/>
          <w:color w:val="auto"/>
        </w:rPr>
        <w:t>ti</w:t>
      </w:r>
      <w:r w:rsidRPr="004904E0">
        <w:rPr>
          <w:rFonts w:ascii="Times New Roman" w:hAnsi="Times New Roman" w:cs="Times New Roman"/>
          <w:color w:val="auto"/>
        </w:rPr>
        <w:t>on being taken by the employer to reduce employee exposure to or below the Time Weighted Average (TWA) and/or excursion limit, wherever monitoring results indicated that the TWA and/or excursion limit has been exceeded. BD believes the requirement to include corrective action in the notification to be redundant; these correc</w:t>
      </w:r>
      <w:r w:rsidRPr="004904E0">
        <w:rPr>
          <w:rFonts w:ascii="Times New Roman" w:eastAsia="Calibri" w:hAnsi="Times New Roman" w:cs="Times New Roman"/>
          <w:color w:val="auto"/>
        </w:rPr>
        <w:t>ti</w:t>
      </w:r>
      <w:r w:rsidRPr="004904E0">
        <w:rPr>
          <w:rFonts w:ascii="Times New Roman" w:hAnsi="Times New Roman" w:cs="Times New Roman"/>
          <w:color w:val="auto"/>
        </w:rPr>
        <w:t xml:space="preserve">ve actions are already required to be a part of the written compliance program according to paragraph (f)(2) of the standard. The standard specifies that the written compliance program requires where the TWA or excursion limit is exceeded, the employer shall establish and implement a written program to reduce exposure to or below the TWA and to or below the excursion limit by means of engineering and work practice controls, as required by paragraph (f)(1) of this section, and by the use of respiratory protection where required or permitted under this section. BD proposes using this written compliance program as a means to advise </w:t>
      </w:r>
      <w:r w:rsidRPr="004904E0">
        <w:rPr>
          <w:rFonts w:ascii="Times New Roman" w:hAnsi="Times New Roman" w:cs="Times New Roman"/>
          <w:color w:val="auto"/>
        </w:rPr>
        <w:t xml:space="preserve">associates in lieu of including it in the employee monitoring results to reduce regulatory burden to comply with the EtO standard.” </w:t>
      </w:r>
    </w:p>
    <w:p w:rsidR="004904E0" w:rsidRPr="004904E0" w:rsidP="004904E0" w14:paraId="6E19B4D4" w14:textId="77777777">
      <w:pPr>
        <w:pStyle w:val="Default"/>
        <w:rPr>
          <w:rFonts w:ascii="Times New Roman" w:hAnsi="Times New Roman" w:cs="Times New Roman"/>
          <w:color w:val="auto"/>
        </w:rPr>
      </w:pPr>
      <w:r w:rsidRPr="004904E0">
        <w:rPr>
          <w:rFonts w:ascii="Times New Roman" w:hAnsi="Times New Roman" w:cs="Times New Roman"/>
          <w:color w:val="auto"/>
        </w:rPr>
        <w:t xml:space="preserve"> </w:t>
      </w:r>
    </w:p>
    <w:p w:rsidR="004904E0" w:rsidRPr="004904E0" w:rsidP="004904E0" w14:paraId="6B3B276B" w14:textId="77777777">
      <w:pPr>
        <w:pStyle w:val="Default"/>
        <w:rPr>
          <w:rFonts w:ascii="Times New Roman" w:hAnsi="Times New Roman" w:cs="Times New Roman"/>
          <w:color w:val="auto"/>
        </w:rPr>
      </w:pPr>
      <w:r w:rsidRPr="004904E0">
        <w:rPr>
          <w:rFonts w:ascii="Times New Roman" w:hAnsi="Times New Roman" w:cs="Times New Roman"/>
          <w:color w:val="auto"/>
        </w:rPr>
        <w:t xml:space="preserve">The requirement to include corrective measures in the exposure monitoring notification reinforces the written compliance program required by paragraph (f)(1) of the standard. It provides affected employees the necessary context to understand the consequences of the exposure monitoring results and provides immediate knowledge of the corrective actions that must be taken to reduce exposure. This requirement is also common to many of OSHA’s substance-specific standards. </w:t>
      </w:r>
      <w:r w:rsidRPr="004904E0">
        <w:rPr>
          <w:rFonts w:ascii="Times New Roman" w:hAnsi="Times New Roman" w:cs="Times New Roman"/>
          <w:i/>
          <w:iCs/>
          <w:color w:val="auto"/>
        </w:rPr>
        <w:t xml:space="preserve">See, </w:t>
      </w:r>
      <w:r w:rsidRPr="004904E0">
        <w:rPr>
          <w:rFonts w:ascii="Times New Roman" w:hAnsi="Times New Roman" w:cs="Times New Roman"/>
          <w:color w:val="auto"/>
        </w:rPr>
        <w:t>e.g.,</w:t>
      </w:r>
      <w:r w:rsidRPr="004904E0">
        <w:rPr>
          <w:rFonts w:ascii="Times New Roman" w:hAnsi="Times New Roman" w:cs="Times New Roman"/>
          <w:i/>
          <w:iCs/>
          <w:color w:val="auto"/>
        </w:rPr>
        <w:t xml:space="preserve"> </w:t>
      </w:r>
      <w:r w:rsidRPr="004904E0">
        <w:rPr>
          <w:rFonts w:ascii="Times New Roman" w:hAnsi="Times New Roman" w:cs="Times New Roman"/>
          <w:color w:val="auto"/>
        </w:rPr>
        <w:t>29 CFR 1910.1053(d)(6) (Respirable Crystalline Silica); 29 CFR 1910.1024(d)(6) (Beryllium); 29 CFR 1910.1025(d)(6) (Lead).</w:t>
      </w:r>
    </w:p>
    <w:p w:rsidR="004904E0" w:rsidRPr="004904E0" w:rsidP="004904E0" w14:paraId="57641E31" w14:textId="77777777">
      <w:pPr>
        <w:pStyle w:val="Default"/>
        <w:rPr>
          <w:rFonts w:ascii="Times New Roman" w:hAnsi="Times New Roman" w:cs="Times New Roman"/>
          <w:color w:val="auto"/>
        </w:rPr>
      </w:pPr>
    </w:p>
    <w:p w:rsidR="004904E0" w:rsidRPr="004904E0" w:rsidP="004904E0" w14:paraId="36E7346A" w14:textId="77777777">
      <w:pPr>
        <w:pStyle w:val="Default"/>
        <w:numPr>
          <w:ilvl w:val="0"/>
          <w:numId w:val="16"/>
        </w:numPr>
        <w:rPr>
          <w:rFonts w:ascii="Times New Roman" w:hAnsi="Times New Roman" w:cs="Times New Roman"/>
          <w:color w:val="auto"/>
        </w:rPr>
      </w:pPr>
      <w:r w:rsidRPr="004904E0">
        <w:rPr>
          <w:rFonts w:ascii="Times New Roman" w:hAnsi="Times New Roman" w:cs="Times New Roman"/>
          <w:color w:val="auto"/>
        </w:rPr>
        <w:t>Commenter’s concern three states that, “OSHA provides both an 8-hour time weighted average (TWA) and an excursion limit for ethylene oxide in the standard. The standard list the Excursion Limit as an airborne concentration of EtO in excess of 5 parts of EtO per million parts of air (5 ppm) as averaged over a sampling period of fifteen (15) minutes. The term Excursion Limit may create confusion when compared to other definitions commonly used in the practice of industrial hygiene. The Na</w:t>
      </w:r>
      <w:r w:rsidRPr="004904E0">
        <w:rPr>
          <w:rFonts w:ascii="Times New Roman" w:eastAsia="Calibri" w:hAnsi="Times New Roman" w:cs="Times New Roman"/>
          <w:color w:val="auto"/>
        </w:rPr>
        <w:t>tional</w:t>
      </w:r>
      <w:r w:rsidRPr="004904E0">
        <w:rPr>
          <w:rFonts w:ascii="Times New Roman" w:hAnsi="Times New Roman" w:cs="Times New Roman"/>
          <w:color w:val="auto"/>
        </w:rPr>
        <w:t xml:space="preserve"> Institute of Safety and Health (NIOSH) has set a Short-Term Exposure Limit (STEL) for ethylene oxide which is defined as a 15-minute TWA exposure that should not be exceeded at any time during a workday. California OSHA also has set a STEL limit for ethylene oxide and does not use the terminology ‘excursion limit’. NIOSH is the authoritative Federal agency with providing recommendations, established according to the legislative mandate, to recommend standards to OSHA. BD suggests for clarity’s sake of upda</w:t>
      </w:r>
      <w:r w:rsidRPr="004904E0">
        <w:rPr>
          <w:rFonts w:ascii="Times New Roman" w:eastAsia="Calibri" w:hAnsi="Times New Roman" w:cs="Times New Roman"/>
          <w:color w:val="auto"/>
        </w:rPr>
        <w:t>ting</w:t>
      </w:r>
      <w:r w:rsidRPr="004904E0">
        <w:rPr>
          <w:rFonts w:ascii="Times New Roman" w:hAnsi="Times New Roman" w:cs="Times New Roman"/>
          <w:color w:val="auto"/>
        </w:rPr>
        <w:t xml:space="preserve"> the terminology of ‘excursion limit’ to instead ‘short term exposure limit’. This would help prevent any confusion when training staff in the different terminology which varies based on where the associates work (California versus federal OSHA jurisdictions, for example). In fact, the OSHA Z-1 Table showing annotated version uses the abbreviation terminology (ST) in place of the ethylene oxide term ‘excursions limit’ defined as ST = Short Term Exposure Limit and therefore establishing consistency across all agencies and the American Conference of Governmental Industrial Hygienists (ACGIH).”</w:t>
      </w:r>
    </w:p>
    <w:p w:rsidR="004904E0" w:rsidRPr="004904E0" w:rsidP="004904E0" w14:paraId="5ED28E96" w14:textId="77777777">
      <w:pPr>
        <w:pStyle w:val="Default"/>
        <w:rPr>
          <w:rFonts w:ascii="Times New Roman" w:hAnsi="Times New Roman" w:cs="Times New Roman"/>
          <w:color w:val="auto"/>
        </w:rPr>
      </w:pPr>
    </w:p>
    <w:p w:rsidR="004904E0" w:rsidRPr="004904E0" w:rsidP="004904E0" w14:paraId="4EB506A7" w14:textId="77777777">
      <w:pPr>
        <w:pStyle w:val="Default"/>
        <w:rPr>
          <w:rFonts w:ascii="Times New Roman" w:hAnsi="Times New Roman" w:cs="Times New Roman"/>
          <w:color w:val="auto"/>
          <w:shd w:val="clear" w:color="auto" w:fill="FFFFFF"/>
        </w:rPr>
      </w:pPr>
      <w:r w:rsidRPr="004904E0">
        <w:rPr>
          <w:rFonts w:ascii="Times New Roman" w:hAnsi="Times New Roman" w:cs="Times New Roman"/>
          <w:color w:val="auto"/>
        </w:rPr>
        <w:t xml:space="preserve">The term “excursion limit” is used in the standard for Ethylene Oxide to denote the requirement that “the employer shall ensure that no employee is exposed to an airborne concentration of EtO in excess of 5 parts of EtO per million parts of air (5 ppm) as averaged over a sampling period of fifteen (15) minutes” (29 CFR §1910.1047(c)). </w:t>
      </w:r>
      <w:r w:rsidRPr="004904E0">
        <w:rPr>
          <w:rFonts w:ascii="Times New Roman" w:hAnsi="Times New Roman" w:cs="Times New Roman"/>
          <w:color w:val="auto"/>
          <w:shd w:val="clear" w:color="auto" w:fill="FFFFFF"/>
        </w:rPr>
        <w:t xml:space="preserve">This term was included in the standard when it was issued in 1984. </w:t>
      </w:r>
      <w:r w:rsidRPr="004904E0">
        <w:rPr>
          <w:rFonts w:ascii="Times New Roman" w:hAnsi="Times New Roman" w:cs="Times New Roman"/>
          <w:color w:val="auto"/>
        </w:rPr>
        <w:t>OSHA recognizes that other organizations use different terms to describe comparable exposure limits.</w:t>
      </w:r>
      <w:r w:rsidRPr="004904E0">
        <w:rPr>
          <w:rFonts w:ascii="Times New Roman" w:hAnsi="Times New Roman" w:cs="Times New Roman"/>
          <w:color w:val="auto"/>
          <w:shd w:val="clear" w:color="auto" w:fill="FFFFFF"/>
        </w:rPr>
        <w:t xml:space="preserve"> OSHA appreciates your concerns regarding revising the standard to avoid confusion in the workplace, however, this is outside of the scope of this notice.</w:t>
      </w:r>
    </w:p>
    <w:p w:rsidR="004904E0" w:rsidRPr="004904E0" w:rsidP="004904E0" w14:paraId="11CD1FAB" w14:textId="77777777">
      <w:pPr>
        <w:pStyle w:val="Default"/>
        <w:rPr>
          <w:rFonts w:ascii="Times New Roman" w:hAnsi="Times New Roman" w:cs="Times New Roman"/>
          <w:color w:val="auto"/>
          <w:shd w:val="clear" w:color="auto" w:fill="FFFFFF"/>
        </w:rPr>
      </w:pPr>
    </w:p>
    <w:p w:rsidR="004904E0" w:rsidRPr="004904E0" w:rsidP="004904E0" w14:paraId="0544A549" w14:textId="77777777">
      <w:pPr>
        <w:pStyle w:val="Default"/>
        <w:rPr>
          <w:rFonts w:ascii="Times New Roman" w:hAnsi="Times New Roman" w:cs="Times New Roman"/>
          <w:color w:val="auto"/>
        </w:rPr>
      </w:pPr>
      <w:r w:rsidRPr="004904E0">
        <w:rPr>
          <w:rFonts w:ascii="Times New Roman" w:hAnsi="Times New Roman" w:cs="Times New Roman"/>
          <w:color w:val="auto"/>
          <w:shd w:val="clear" w:color="auto" w:fill="FFFFFF"/>
        </w:rPr>
        <w:t xml:space="preserve"> </w:t>
      </w:r>
    </w:p>
    <w:p w:rsidR="004904E0" w:rsidRPr="004904E0" w:rsidP="004904E0" w14:paraId="3585A3E8" w14:textId="77777777">
      <w:pPr>
        <w:pStyle w:val="Default"/>
        <w:numPr>
          <w:ilvl w:val="0"/>
          <w:numId w:val="16"/>
        </w:numPr>
        <w:rPr>
          <w:rFonts w:ascii="Times New Roman" w:hAnsi="Times New Roman" w:cs="Times New Roman"/>
          <w:color w:val="auto"/>
          <w14:ligatures w14:val="standardContextual"/>
        </w:rPr>
      </w:pPr>
      <w:r w:rsidRPr="004904E0">
        <w:rPr>
          <w:rFonts w:ascii="Times New Roman" w:hAnsi="Times New Roman" w:cs="Times New Roman"/>
          <w:color w:val="auto"/>
        </w:rPr>
        <w:t>In the commentor’s fourth concern stated that, “</w:t>
      </w:r>
      <w:r w:rsidRPr="004904E0">
        <w:rPr>
          <w:rFonts w:ascii="Times New Roman" w:hAnsi="Times New Roman" w:cs="Times New Roman"/>
          <w:color w:val="auto"/>
          <w14:ligatures w14:val="standardContextual"/>
        </w:rPr>
        <w:t xml:space="preserve">BD would like to share its input regarding Table 1 “Number of Facilities by Industry Sector”. BD believes the number of Ethoxylators appears to be low, and likely does not include all applicable industry sectors </w:t>
      </w:r>
      <w:r w:rsidRPr="004904E0">
        <w:rPr>
          <w:rFonts w:ascii="Times New Roman" w:hAnsi="Times New Roman" w:cs="Times New Roman"/>
          <w:color w:val="auto"/>
          <w14:ligatures w14:val="standardContextual"/>
        </w:rPr>
        <w:t>such as glycol manufacturing, plastics manufacturing, and soap products manufacturing. Addi</w:t>
      </w:r>
      <w:r w:rsidRPr="004904E0">
        <w:rPr>
          <w:rFonts w:ascii="Times New Roman" w:eastAsia="Calibri" w:hAnsi="Times New Roman" w:cs="Times New Roman"/>
          <w:color w:val="auto"/>
          <w14:ligatures w14:val="standardContextual"/>
        </w:rPr>
        <w:t>ti</w:t>
      </w:r>
      <w:r w:rsidRPr="004904E0">
        <w:rPr>
          <w:rFonts w:ascii="Times New Roman" w:hAnsi="Times New Roman" w:cs="Times New Roman"/>
          <w:color w:val="auto"/>
          <w14:ligatures w14:val="standardContextual"/>
        </w:rPr>
        <w:t xml:space="preserve">onally, the number of Medical-Product Manufacturers likely does not correlate to the number of facilities with EtO Sterilizers and the number of Contract Sterilizers does not reflect the number of EtO sterilization sites that do work within the United States. </w:t>
      </w:r>
    </w:p>
    <w:p w:rsidR="004904E0" w:rsidRPr="004904E0" w:rsidP="004904E0" w14:paraId="62EDD292" w14:textId="77777777">
      <w:pPr>
        <w:ind w:left="720"/>
        <w:rPr>
          <w:sz w:val="24"/>
        </w:rPr>
      </w:pPr>
    </w:p>
    <w:p w:rsidR="004904E0" w:rsidRPr="004904E0" w:rsidP="004904E0" w14:paraId="58B41C54" w14:textId="77777777">
      <w:pPr>
        <w:ind w:left="720"/>
        <w:rPr>
          <w:sz w:val="24"/>
        </w:rPr>
      </w:pPr>
      <w:r w:rsidRPr="004904E0">
        <w:rPr>
          <w:sz w:val="24"/>
        </w:rPr>
        <w:t xml:space="preserve">BD also believes the wage hour estimates in Table 2 are low. The Mean Hour Wage Rate for each class of worker listed does not correlate to current wage scales. They are, at best, in line with entry-level positions in the listed fields. Wage rates for safety professionals should also reflect that the person performing all the activities required by the standard requires training, skill, and competence in Industrial Hygiene. </w:t>
      </w:r>
    </w:p>
    <w:p w:rsidR="004904E0" w:rsidRPr="004904E0" w:rsidP="004904E0" w14:paraId="10AFB4EF" w14:textId="77777777">
      <w:pPr>
        <w:ind w:left="720"/>
        <w:rPr>
          <w:sz w:val="24"/>
        </w:rPr>
      </w:pPr>
    </w:p>
    <w:p w:rsidR="004904E0" w:rsidRPr="004904E0" w:rsidP="004904E0" w14:paraId="3FBCF650" w14:textId="77777777">
      <w:pPr>
        <w:ind w:left="720"/>
        <w:rPr>
          <w:sz w:val="24"/>
        </w:rPr>
      </w:pPr>
      <w:r w:rsidRPr="004904E0">
        <w:rPr>
          <w:sz w:val="24"/>
        </w:rPr>
        <w:t>Reviewing Table 3 “Exposure Monitoring Burden Hour and Cost Estimates”, BD suggests the number of facili</w:t>
      </w:r>
      <w:r w:rsidRPr="004904E0">
        <w:rPr>
          <w:rFonts w:eastAsia="Calibri"/>
          <w:sz w:val="24"/>
        </w:rPr>
        <w:t>ti</w:t>
      </w:r>
      <w:r w:rsidRPr="004904E0">
        <w:rPr>
          <w:sz w:val="24"/>
        </w:rPr>
        <w:t>es should be adjusted reflec</w:t>
      </w:r>
      <w:r w:rsidRPr="004904E0">
        <w:rPr>
          <w:rFonts w:eastAsia="Calibri"/>
          <w:sz w:val="24"/>
        </w:rPr>
        <w:t>ti</w:t>
      </w:r>
      <w:r w:rsidRPr="004904E0">
        <w:rPr>
          <w:sz w:val="24"/>
        </w:rPr>
        <w:t>ng the Table 1 comments above. We believe the Burden Hours used does not account for any of the time to observe monitoring in progress, calibrate sampling pumps, post calibrate, etc. The values used appear to be an order of magnitude low.</w:t>
      </w:r>
    </w:p>
    <w:p w:rsidR="004904E0" w:rsidRPr="004904E0" w:rsidP="004904E0" w14:paraId="4F422B76" w14:textId="77777777">
      <w:pPr>
        <w:pStyle w:val="Default"/>
        <w:ind w:left="720"/>
        <w:rPr>
          <w:rFonts w:ascii="Times New Roman" w:hAnsi="Times New Roman" w:cs="Times New Roman"/>
          <w:color w:val="auto"/>
          <w14:ligatures w14:val="standardContextual"/>
        </w:rPr>
      </w:pPr>
    </w:p>
    <w:p w:rsidR="004904E0" w:rsidRPr="004904E0" w:rsidP="004904E0" w14:paraId="388A23E3" w14:textId="77777777">
      <w:pPr>
        <w:ind w:left="720"/>
        <w:rPr>
          <w:sz w:val="24"/>
        </w:rPr>
      </w:pPr>
      <w:r w:rsidRPr="004904E0">
        <w:rPr>
          <w:sz w:val="24"/>
        </w:rPr>
        <w:t>The number of samples listed in Table 3 “Exposure Monitoring Burden Hour and Cost Es</w:t>
      </w:r>
      <w:r w:rsidRPr="004904E0">
        <w:rPr>
          <w:rFonts w:hint="eastAsia"/>
          <w:sz w:val="24"/>
        </w:rPr>
        <w:t>􀆟</w:t>
      </w:r>
      <w:r w:rsidRPr="004904E0">
        <w:rPr>
          <w:sz w:val="24"/>
        </w:rPr>
        <w:t>mates” appears to include only on-going routine samples, and does not include monitoring when changes are made, exposure sampling for special tasks with potential for higher exposures and does not include samples as a direct result of staff turnover since the standard specifically calls out monitoring for new employees. Analysis of monitoring results and report preparation time also appear not to have been included in the burden hours. In Table 3, the wage rate u</w:t>
      </w:r>
      <w:r w:rsidRPr="004904E0">
        <w:rPr>
          <w:rFonts w:eastAsia="Calibri"/>
          <w:sz w:val="24"/>
        </w:rPr>
        <w:t xml:space="preserve">tilize </w:t>
      </w:r>
      <w:r w:rsidRPr="004904E0">
        <w:rPr>
          <w:sz w:val="24"/>
        </w:rPr>
        <w:t xml:space="preserve">should reflect average wages for a person with Industrial Hygiene Training/Knowledge/Skills. </w:t>
      </w:r>
    </w:p>
    <w:p w:rsidR="004904E0" w:rsidRPr="004904E0" w:rsidP="004904E0" w14:paraId="268F8306" w14:textId="77777777">
      <w:pPr>
        <w:ind w:left="720"/>
        <w:rPr>
          <w:sz w:val="24"/>
        </w:rPr>
      </w:pPr>
    </w:p>
    <w:p w:rsidR="004904E0" w:rsidRPr="004904E0" w:rsidP="004904E0" w14:paraId="6AA24290" w14:textId="77777777">
      <w:pPr>
        <w:ind w:left="720"/>
        <w:rPr>
          <w:sz w:val="24"/>
        </w:rPr>
      </w:pPr>
      <w:r w:rsidRPr="004904E0">
        <w:rPr>
          <w:sz w:val="24"/>
        </w:rPr>
        <w:t>When estimating the burden hours for the compliance plan, BD believes the time required to develop a meaningful Compliance Plan, including implementation time would be two orders of magnitude greater (not including cost of implementation). The wage burden used must reflect a person with not only the Industrial Hygiene training/skill/knowledge but also a person with Engineering training and ability in designing modifications to the opera</w:t>
      </w:r>
      <w:r w:rsidRPr="004904E0">
        <w:rPr>
          <w:rFonts w:eastAsia="Calibri"/>
          <w:sz w:val="24"/>
        </w:rPr>
        <w:t>ti</w:t>
      </w:r>
      <w:r w:rsidRPr="004904E0">
        <w:rPr>
          <w:sz w:val="24"/>
        </w:rPr>
        <w:t xml:space="preserve">on. </w:t>
      </w:r>
    </w:p>
    <w:p w:rsidR="004904E0" w:rsidRPr="004904E0" w:rsidP="004904E0" w14:paraId="6DE06FCB" w14:textId="77777777">
      <w:pPr>
        <w:ind w:left="720"/>
        <w:rPr>
          <w:sz w:val="24"/>
        </w:rPr>
      </w:pPr>
    </w:p>
    <w:p w:rsidR="004904E0" w:rsidRPr="004904E0" w:rsidP="004904E0" w14:paraId="562DA4A6" w14:textId="77777777">
      <w:pPr>
        <w:ind w:left="720"/>
        <w:rPr>
          <w:sz w:val="24"/>
        </w:rPr>
      </w:pPr>
      <w:r w:rsidRPr="004904E0">
        <w:rPr>
          <w:sz w:val="24"/>
        </w:rPr>
        <w:t>When es</w:t>
      </w:r>
      <w:r w:rsidRPr="004904E0">
        <w:rPr>
          <w:rFonts w:eastAsia="Calibri"/>
          <w:sz w:val="24"/>
        </w:rPr>
        <w:t>ti</w:t>
      </w:r>
      <w:r w:rsidRPr="004904E0">
        <w:rPr>
          <w:sz w:val="24"/>
        </w:rPr>
        <w:t xml:space="preserve">mating the cost and burden of additional medical exams, cost calculations do not appear to account for the administrative time involved nor the paid time for workers to travel to and from the medical exam. </w:t>
      </w:r>
    </w:p>
    <w:p w:rsidR="004904E0" w:rsidRPr="004904E0" w:rsidP="004904E0" w14:paraId="30124F58" w14:textId="77777777">
      <w:pPr>
        <w:ind w:left="720"/>
        <w:rPr>
          <w:sz w:val="24"/>
        </w:rPr>
      </w:pPr>
    </w:p>
    <w:p w:rsidR="004904E0" w:rsidRPr="004904E0" w:rsidP="004904E0" w14:paraId="497AB10B" w14:textId="77777777">
      <w:pPr>
        <w:ind w:left="720"/>
        <w:rPr>
          <w:sz w:val="24"/>
        </w:rPr>
      </w:pPr>
      <w:r w:rsidRPr="004904E0">
        <w:rPr>
          <w:sz w:val="24"/>
        </w:rPr>
        <w:t xml:space="preserve">In the Recordkeeping burden cost, the wage cost used in the calculations reflects wages of an entry level clerical person. Although some of the work could be done by a person at that level, the bulk of the information would need to be generated by a person with the level of an EHS Technician or above. The calculated number of records needs to be adjusted to reflect actual numbers of individuals subject to the requirements in the standard, not just those who were monitored in an individual exposure monitoring </w:t>
      </w:r>
      <w:r w:rsidRPr="004904E0">
        <w:rPr>
          <w:sz w:val="24"/>
        </w:rPr>
        <w:t>ac</w:t>
      </w:r>
      <w:r w:rsidRPr="004904E0">
        <w:rPr>
          <w:rFonts w:eastAsia="Calibri"/>
          <w:sz w:val="24"/>
        </w:rPr>
        <w:t>tivity</w:t>
      </w:r>
      <w:r w:rsidRPr="004904E0">
        <w:rPr>
          <w:sz w:val="24"/>
        </w:rPr>
        <w:t xml:space="preserve">. The numbers must also be adjusted to reflect needed changes noted above. Based on the above suggested corrections to Table 1 “Number of Facilities by Industry Sector”, these changes should also be reflected in Table 7, “Total Number of Employees Hired Annually’. The wages used in this calculation are based on the assumption that recordkeeping could be done by a clerical person, and although some of the work could be done by a person at that level, the bulk of the information would need to be generated by a person with the level of an EHS Technician or above. </w:t>
      </w:r>
    </w:p>
    <w:p w:rsidR="004904E0" w:rsidRPr="004904E0" w:rsidP="004904E0" w14:paraId="02E6D72E" w14:textId="77777777">
      <w:pPr>
        <w:ind w:left="720"/>
        <w:rPr>
          <w:sz w:val="24"/>
        </w:rPr>
      </w:pPr>
    </w:p>
    <w:p w:rsidR="004904E0" w:rsidRPr="004904E0" w:rsidP="004904E0" w14:paraId="6CD9AD91" w14:textId="77777777">
      <w:pPr>
        <w:ind w:left="720"/>
        <w:rPr>
          <w:sz w:val="24"/>
        </w:rPr>
      </w:pPr>
      <w:r w:rsidRPr="004904E0">
        <w:rPr>
          <w:sz w:val="24"/>
        </w:rPr>
        <w:t>In the Exposure Monitoring assumptions, BD feels the cost per sample is low when comparing with actual sampling and analysis costs. Additionally, the assumptions used may only reflect the simpler methodology using passive collection with passive dosimetry badges. The time and complexity needed for active sampling using sampling pumps and sorbent tubes would be higher and needs to include the time and equipment for pump calibration as well as the technical exper</w:t>
      </w:r>
      <w:r w:rsidRPr="004904E0">
        <w:rPr>
          <w:rFonts w:eastAsia="Calibri"/>
          <w:sz w:val="24"/>
        </w:rPr>
        <w:t>tise</w:t>
      </w:r>
      <w:r w:rsidRPr="004904E0">
        <w:rPr>
          <w:sz w:val="24"/>
        </w:rPr>
        <w:t xml:space="preserve"> needed to set up and collect ac</w:t>
      </w:r>
      <w:r w:rsidRPr="004904E0">
        <w:rPr>
          <w:rFonts w:eastAsia="Calibri"/>
          <w:sz w:val="24"/>
        </w:rPr>
        <w:t>tive</w:t>
      </w:r>
      <w:r w:rsidRPr="004904E0">
        <w:rPr>
          <w:sz w:val="24"/>
        </w:rPr>
        <w:t xml:space="preserve"> samples. Companies may choose either method and may prefer the ac</w:t>
      </w:r>
      <w:r w:rsidRPr="004904E0">
        <w:rPr>
          <w:rFonts w:eastAsia="Calibri"/>
          <w:sz w:val="24"/>
        </w:rPr>
        <w:t>tive</w:t>
      </w:r>
      <w:r w:rsidRPr="004904E0">
        <w:rPr>
          <w:sz w:val="24"/>
        </w:rPr>
        <w:t xml:space="preserve"> sampling method to achieve a lower limit of quan</w:t>
      </w:r>
      <w:r w:rsidRPr="004904E0">
        <w:rPr>
          <w:rFonts w:eastAsia="Calibri"/>
          <w:sz w:val="24"/>
        </w:rPr>
        <w:t xml:space="preserve">tification </w:t>
      </w:r>
      <w:r w:rsidRPr="004904E0">
        <w:rPr>
          <w:sz w:val="24"/>
        </w:rPr>
        <w:t xml:space="preserve">or for other technical reasons. BD suggests an increase in this estimated cost based on these factors. </w:t>
      </w:r>
    </w:p>
    <w:p w:rsidR="004904E0" w:rsidRPr="004904E0" w:rsidP="004904E0" w14:paraId="75E473CF" w14:textId="77777777">
      <w:pPr>
        <w:ind w:left="720"/>
        <w:rPr>
          <w:sz w:val="24"/>
        </w:rPr>
      </w:pPr>
    </w:p>
    <w:p w:rsidR="004904E0" w:rsidRPr="004904E0" w:rsidP="004904E0" w14:paraId="583BBEC3" w14:textId="77777777">
      <w:pPr>
        <w:ind w:left="720"/>
        <w:rPr>
          <w:sz w:val="24"/>
        </w:rPr>
      </w:pPr>
      <w:r w:rsidRPr="004904E0">
        <w:rPr>
          <w:sz w:val="24"/>
        </w:rPr>
        <w:t xml:space="preserve">In the Medical Surveillance burden cost, BD believes the estimated cost of medical exams does not reflect current healthcare costs when the exam includes all the items required for effective medical screening. </w:t>
      </w:r>
    </w:p>
    <w:p w:rsidR="004904E0" w:rsidRPr="004904E0" w:rsidP="004904E0" w14:paraId="071234B5" w14:textId="77777777">
      <w:pPr>
        <w:pStyle w:val="Default"/>
        <w:ind w:left="720"/>
        <w:rPr>
          <w:rFonts w:ascii="Times New Roman" w:hAnsi="Times New Roman" w:cs="Times New Roman"/>
          <w:color w:val="auto"/>
          <w14:ligatures w14:val="standardContextual"/>
        </w:rPr>
      </w:pPr>
    </w:p>
    <w:p w:rsidR="004904E0" w:rsidRPr="004904E0" w:rsidP="004904E0" w14:paraId="607CAC83" w14:textId="77777777">
      <w:pPr>
        <w:pStyle w:val="Default"/>
        <w:ind w:left="720"/>
        <w:rPr>
          <w:rFonts w:ascii="Times New Roman" w:hAnsi="Times New Roman" w:cs="Times New Roman"/>
          <w:color w:val="auto"/>
          <w14:ligatures w14:val="standardContextual"/>
        </w:rPr>
      </w:pPr>
      <w:r w:rsidRPr="004904E0">
        <w:rPr>
          <w:rFonts w:ascii="Times New Roman" w:hAnsi="Times New Roman" w:cs="Times New Roman"/>
          <w:color w:val="auto"/>
          <w14:ligatures w14:val="standardContextual"/>
        </w:rPr>
        <w:t>In summary, BD feels the estimated overall Program Changes or adjustments. In light of comments above, the overall burden hours and costs are underestimated and should be increased significantly, not reduced.”</w:t>
      </w:r>
    </w:p>
    <w:p w:rsidR="004904E0" w:rsidRPr="004904E0" w:rsidP="004904E0" w14:paraId="29F3169A" w14:textId="77777777">
      <w:pPr>
        <w:pStyle w:val="Default"/>
        <w:ind w:left="720"/>
        <w:rPr>
          <w:rFonts w:ascii="Times New Roman" w:hAnsi="Times New Roman" w:cs="Times New Roman"/>
          <w:color w:val="auto"/>
          <w14:ligatures w14:val="standardContextual"/>
        </w:rPr>
      </w:pPr>
    </w:p>
    <w:p w:rsidR="004904E0" w:rsidRPr="004904E0" w:rsidP="004904E0" w14:paraId="6DB6D2D5" w14:textId="77777777">
      <w:pPr>
        <w:pStyle w:val="Default"/>
        <w:rPr>
          <w:rFonts w:ascii="Times New Roman" w:hAnsi="Times New Roman" w:cs="Times New Roman"/>
          <w:color w:val="auto"/>
        </w:rPr>
      </w:pPr>
      <w:r w:rsidRPr="004904E0">
        <w:rPr>
          <w:rFonts w:ascii="Times New Roman" w:hAnsi="Times New Roman" w:cs="Times New Roman"/>
          <w:color w:val="auto"/>
        </w:rPr>
        <w:t xml:space="preserve">The wage rates used in the supporting statement for EtO are taken from the US Bureau of Labor Statistics (BLS) website. The mean hourly wage rates from the May 2022 National Occupational Employment and Wage Estimates are used with the fringe benefit mark up to derive the loaded wage contained in the supporting statement. The BLS wage rates can vary depending on the area and location of employment. These rates generally are higher in the Mid Atlantic/Northeast than the Midwest or South. </w:t>
      </w:r>
    </w:p>
    <w:p w:rsidR="004904E0" w:rsidRPr="004904E0" w:rsidP="004904E0" w14:paraId="19C31AC2" w14:textId="77777777">
      <w:pPr>
        <w:rPr>
          <w:sz w:val="24"/>
          <w:highlight w:val="yellow"/>
        </w:rPr>
      </w:pPr>
    </w:p>
    <w:p w:rsidR="004904E0" w:rsidRPr="004904E0" w:rsidP="004904E0" w14:paraId="6CE6552C" w14:textId="77777777">
      <w:pPr>
        <w:rPr>
          <w:sz w:val="24"/>
        </w:rPr>
      </w:pPr>
      <w:r w:rsidRPr="004904E0">
        <w:rPr>
          <w:sz w:val="24"/>
        </w:rPr>
        <w:t>OSHA used pre-existing methods to develop estimates of ethoxylates and medical product manufacturers.  For ethoxylators and medical product manufacturers, OSHA used counts of establishments in the 2005 Regulatory Review of its Ethylene Oxide Standard (29 CFR 1910.1047) and adjusted to account for changes in these industry sectors as described below. The number of contract sterilizers is estimated directly from an industry list of companies providing this service, also described in more detail below.</w:t>
      </w:r>
    </w:p>
    <w:p w:rsidR="004904E0" w:rsidRPr="004904E0" w:rsidP="004904E0" w14:paraId="5B5E6AE0" w14:textId="77777777">
      <w:pPr>
        <w:rPr>
          <w:sz w:val="24"/>
        </w:rPr>
      </w:pPr>
      <w:r w:rsidRPr="004904E0">
        <w:rPr>
          <w:sz w:val="24"/>
          <w:shd w:val="clear" w:color="auto" w:fill="FFFFFF"/>
        </w:rPr>
        <w:t xml:space="preserve">In the 2023 EtO Standard ICR, OSHA estimated the number of ethoxylator establishments following the method used in the 2016 and 2020 EtO Standard ICRs. This method scales the latest available total number of establishments from Census County Business Patterns in NAICS codes 325613, 325110, 325120, 325180, 325194, 325193, 325199, 325998 by the ratio of </w:t>
      </w:r>
      <w:r w:rsidRPr="004904E0">
        <w:rPr>
          <w:sz w:val="24"/>
          <w:shd w:val="clear" w:color="auto" w:fill="FFFFFF"/>
        </w:rPr>
        <w:t>ethoxylators to total establishments found in OSHA’s 2005 “Regulatory Review of the Occupational Safety and Health Administration's Ethylene Oxide Standard (29 CFR 1910.1047).</w:t>
      </w:r>
    </w:p>
    <w:p w:rsidR="004904E0" w:rsidRPr="004904E0" w:rsidP="004904E0" w14:paraId="5036F0CF" w14:textId="77777777">
      <w:pPr>
        <w:rPr>
          <w:sz w:val="24"/>
        </w:rPr>
      </w:pPr>
      <w:r w:rsidRPr="004904E0">
        <w:rPr>
          <w:sz w:val="24"/>
        </w:rPr>
        <w:t xml:space="preserve">In OSHA’s 2005 regulatory review, OSHA defined ethoxylators as any manufacturing firm that uses EtO as a chemical feedstock to make other chemical products. These products include ethylene glycol, glycol ethers, ethanolamines, surfactants (including those used to manufacture shampoos, dish detergents, and specialty cleansers), and other specialty compounds. The number of ethoxylators used in the ratio of ethoxylators to total establishments therefore includes a range of sectors that use EtO as a chemical feedstock. </w:t>
      </w:r>
    </w:p>
    <w:p w:rsidR="004904E0" w:rsidRPr="004904E0" w:rsidP="004904E0" w14:paraId="66C12271" w14:textId="77777777">
      <w:pPr>
        <w:rPr>
          <w:sz w:val="24"/>
        </w:rPr>
      </w:pPr>
      <w:r w:rsidRPr="004904E0">
        <w:rPr>
          <w:sz w:val="24"/>
        </w:rPr>
        <w:t xml:space="preserve">To estimate the number of medical product manufacturers in the 2023 EtO Standard ICR, OSHA followed the methodology used in the 2016 and 2020 EtO Standard ICRs. In the 2005 “Regulatory Review of the Occupational Safety and Health Administration's Ethylene Oxide Standard (29 CFR 1910.1047),” OSHA references EPA’s estimate of affected medical product manufacturers in EPA’s 1996 National Emission Standards for Hazardous Air Pollutants (NESHAP) for Ethylene Oxide Commercial Sterilization and Fumigation Operations standard. Because EPA has since updated its estimate of total facilities in its EtO NESHAP ICRs, OSHA calculated the ratio of the affected medical manufacturers to total facilities in EPA’s 1996 standard and has applied this ratio to EPA’s estimate of total facilities. OSHA followed this method for its 2016, 2020 and 2023 ICRs. </w:t>
      </w:r>
    </w:p>
    <w:p w:rsidR="004904E0" w:rsidRPr="004904E0" w:rsidP="004904E0" w14:paraId="1A5342D0" w14:textId="77777777">
      <w:pPr>
        <w:rPr>
          <w:sz w:val="24"/>
        </w:rPr>
      </w:pPr>
      <w:r w:rsidRPr="004904E0">
        <w:rPr>
          <w:sz w:val="24"/>
        </w:rPr>
        <w:t xml:space="preserve">OSHA used ThomasNet (formerly Thomas’ Registry of American Manufacturers) to estimate the number of contract sterilizers in its 2023 ICR. This method deviates from the 2016 and 2020 ICRs. In 2016, OSHA used the same scaling method as was used to estimate medical-product manufacturers. In 2020, OSHA based its estimates of contract sterilizers on counts of these establishments in the American Chemistry Council’s 2019 report “The Economic Benefit of Ethylene Oxide and the potential cost of deselection.” The American Chemistry Council has not updated this report or its estimate of contract sterilizers. For 2023, OSHA again used an industry list (ThomasNet) of companies providing ethylene oxide contract sterilization services, which when compared to the method used in 2016 resulted in similar establishment counts. </w:t>
      </w:r>
    </w:p>
    <w:p w:rsidR="004904E0" w:rsidRPr="004904E0" w:rsidP="004904E0" w14:paraId="0736DF69" w14:textId="77777777">
      <w:pPr>
        <w:rPr>
          <w:sz w:val="24"/>
        </w:rPr>
      </w:pPr>
      <w:r w:rsidRPr="004904E0">
        <w:rPr>
          <w:sz w:val="24"/>
        </w:rPr>
        <w:t xml:space="preserve">OSHA concludes that an appropriate wage rate has been used for this ICR. While some companies may choose to involve safety professionals in the complete process, others will delegate duties to First Line Supervisors, Secretaries &amp; Administrative Assistants (Clerical). A supervisor documents the exposure levels and posts the results. The supervisor will update and review the written compliance plan while an administrative professional documents and posts the results. The supervisor would document the exposure results and post them while the administrative professional documents and posts the test results. OSHA estimates that Occupational Health and Safety Specialists and Technicians would only be used to review and update the written compliance plan.  OSHA considers their respective wage rates to represent a rough average among the wages for various possible job categories. If some employers choose to utilize employees in very high wage categories to complete these tasks, that is not an incremental cost of this rule. </w:t>
      </w:r>
    </w:p>
    <w:p w:rsidR="004904E0" w:rsidRPr="004904E0" w:rsidP="004904E0" w14:paraId="5F257B4F" w14:textId="77777777">
      <w:pPr>
        <w:rPr>
          <w:sz w:val="24"/>
        </w:rPr>
      </w:pPr>
      <w:r w:rsidRPr="004904E0">
        <w:rPr>
          <w:sz w:val="24"/>
        </w:rPr>
        <w:t xml:space="preserve">In response to the comment on the “Medical Surveillance burden cost, BD believes the estimated cost of medical exams does not reflect current healthcare costs when the exam includes all the items required for effective medical screening.”  </w:t>
      </w:r>
      <w:r w:rsidRPr="004904E0">
        <w:rPr>
          <w:sz w:val="24"/>
          <w:shd w:val="clear" w:color="auto" w:fill="FFFFFF"/>
        </w:rPr>
        <w:t xml:space="preserve">In the 2023 EtO Standard ICR, OSHA estimated the cost of a medical examination by inflating a previously established cost estimate to </w:t>
      </w:r>
      <w:r w:rsidRPr="004904E0">
        <w:rPr>
          <w:sz w:val="24"/>
          <w:shd w:val="clear" w:color="auto" w:fill="FFFFFF"/>
        </w:rPr>
        <w:t xml:space="preserve">2022 dollars. This established cost includes the costs associated with all requirements in section 1910.1047(i)(2)(ii), “Content” of the EtO Standard and was inflated using the Consumer Price Index for medical care to reflect inflation in the medical care industry. </w:t>
      </w:r>
    </w:p>
    <w:p w:rsidR="004904E0" w:rsidRPr="004904E0" w:rsidP="004904E0" w14:paraId="3BF8806F" w14:textId="77777777">
      <w:pPr>
        <w:rPr>
          <w:sz w:val="24"/>
        </w:rPr>
      </w:pPr>
    </w:p>
    <w:p w:rsidR="004904E0" w:rsidRPr="004904E0" w:rsidP="004904E0" w14:paraId="4763EA08" w14:textId="77777777">
      <w:pPr>
        <w:pStyle w:val="Default"/>
        <w:numPr>
          <w:ilvl w:val="0"/>
          <w:numId w:val="16"/>
        </w:numPr>
        <w:rPr>
          <w:rFonts w:ascii="Times New Roman" w:hAnsi="Times New Roman" w:cs="Times New Roman"/>
          <w:color w:val="auto"/>
        </w:rPr>
      </w:pPr>
      <w:r w:rsidRPr="004904E0">
        <w:rPr>
          <w:rFonts w:ascii="Times New Roman" w:hAnsi="Times New Roman" w:cs="Times New Roman"/>
          <w:color w:val="auto"/>
        </w:rPr>
        <w:t xml:space="preserve">BD states in lastly that, “The FIFRA EtO PID includes a number of requirements directly intended to regulate worker health and safety within OSHA-regulated workplaces. For example, the FIFRA EtO PID states that “uses of EtO pose inhalation risks to workers inside commercial sterilization facilities [and] healthcare facilities . . . Therefore, EPA is proposing mitigation to address inhalation risk concerns . . .” PID at 3. The regulation of worker safety within a workplace was entrusted by Congress to OSHA pursuant the OSH Act. As OSHA states on its website: “With the Occupational Safety and Health Act of 1970, Congress created the Occupational Safety and Health Administration (OSHA) to ensure safe and healthful working conditions for workers by setting and enforcing standards and by providing training, outreach, education and assistance.” </w:t>
      </w:r>
      <w:r w:rsidRPr="004904E0">
        <w:rPr>
          <w:rFonts w:ascii="Times New Roman" w:hAnsi="Times New Roman" w:cs="Times New Roman"/>
          <w:i/>
          <w:iCs/>
          <w:color w:val="auto"/>
        </w:rPr>
        <w:t xml:space="preserve">See </w:t>
      </w:r>
      <w:r w:rsidRPr="004904E0">
        <w:rPr>
          <w:rFonts w:ascii="Times New Roman" w:hAnsi="Times New Roman" w:cs="Times New Roman"/>
          <w:color w:val="auto"/>
        </w:rPr>
        <w:t>29 U.S. Code § 651 (“The Congress declares it to be its purpose and policy . . . to assure so far as possible every working man and woman in the Nation safe and healthful working conditions and to preserve our human resources . . . by authorizing the Secretary of Labor to set mandatory occupa</w:t>
      </w:r>
      <w:r w:rsidRPr="004904E0">
        <w:rPr>
          <w:rFonts w:ascii="Times New Roman" w:eastAsia="Calibri" w:hAnsi="Times New Roman" w:cs="Times New Roman"/>
          <w:color w:val="auto"/>
        </w:rPr>
        <w:t>tional</w:t>
      </w:r>
      <w:r w:rsidRPr="004904E0">
        <w:rPr>
          <w:rFonts w:ascii="Times New Roman" w:hAnsi="Times New Roman" w:cs="Times New Roman"/>
          <w:color w:val="auto"/>
        </w:rPr>
        <w:t xml:space="preserve"> safety and health standards applicable to businesses . . .”). OSHA’s ethylene oxide standard is intended to be comprehensive and applies to all occupational exposures to ethylene oxide (EtO)” above OSHA’s action level of 0.5 ppm. 29 C.F.R. 1910.1047(a)(1). </w:t>
      </w:r>
    </w:p>
    <w:p w:rsidR="004904E0" w:rsidRPr="004904E0" w:rsidP="004904E0" w14:paraId="5F16083A" w14:textId="77777777">
      <w:pPr>
        <w:rPr>
          <w:sz w:val="24"/>
        </w:rPr>
      </w:pPr>
      <w:r w:rsidRPr="004904E0">
        <w:rPr>
          <w:sz w:val="24"/>
        </w:rPr>
        <w:t xml:space="preserve"> </w:t>
      </w:r>
    </w:p>
    <w:p w:rsidR="004904E0" w:rsidRPr="004904E0" w:rsidP="004904E0" w14:paraId="6B46724F" w14:textId="77777777">
      <w:pPr>
        <w:ind w:left="720"/>
        <w:rPr>
          <w:sz w:val="24"/>
        </w:rPr>
      </w:pPr>
      <w:r w:rsidRPr="004904E0">
        <w:rPr>
          <w:sz w:val="24"/>
        </w:rPr>
        <w:t xml:space="preserve">While EPA may have authority that impacts workplaces in some cases, the FIFRA EtO PID goes much further and is explicitly designed to bypass limitations in OSHA’s statutory authority and revise OSHA PEL: </w:t>
      </w:r>
    </w:p>
    <w:p w:rsidR="004904E0" w:rsidRPr="004904E0" w:rsidP="004904E0" w14:paraId="089C275B" w14:textId="77777777">
      <w:pPr>
        <w:ind w:left="720"/>
        <w:rPr>
          <w:sz w:val="24"/>
        </w:rPr>
      </w:pPr>
    </w:p>
    <w:p w:rsidR="004904E0" w:rsidRPr="004904E0" w:rsidP="004904E0" w14:paraId="699E7BD6" w14:textId="77777777">
      <w:pPr>
        <w:ind w:left="720"/>
        <w:rPr>
          <w:sz w:val="24"/>
        </w:rPr>
      </w:pPr>
      <w:r w:rsidRPr="004904E0">
        <w:rPr>
          <w:sz w:val="24"/>
        </w:rPr>
        <w:t>In April 2023, EPA issued three proposals that together will reduce risk in communities and for workers: . . . Reducing Risk to Workers in the Sterilization Industry: On April 11, 2023, EPA proposed a broad set of new protections under the Federal Insecticide, Fungicide, and Rodenticide Act that will reduce risk for all workers who use EtO to sterilize things and for others who work, live, or go to school near sterilization facilities.</w:t>
      </w:r>
    </w:p>
    <w:p w:rsidR="004904E0" w:rsidRPr="004904E0" w:rsidP="004904E0" w14:paraId="0001C046" w14:textId="77777777">
      <w:pPr>
        <w:ind w:left="720"/>
        <w:rPr>
          <w:sz w:val="24"/>
        </w:rPr>
      </w:pPr>
      <w:r w:rsidRPr="004904E0">
        <w:rPr>
          <w:sz w:val="24"/>
        </w:rPr>
        <w:t xml:space="preserve">In fact, the FIFRA EtO PID states that because OSHA “health standards issued under section 6(b)(5) of the OSH Act must reduce significant risk only to the extent that it is technologically and economically feasible,” this limitation “often precludes OSHA from imposing exposure control requirements sufficient to ensure that the chemical substance no longer presents a significant risk to workers.” PID at 35. Similarly, EPA states that OSHA’s authority to ensure a work environment “free from recognized hazards that are causing or are likely to cause death or serious physical harm” under the “General Duty Clause,” is not often enforced and places a “heavy evidentiary burden on OSHA to establish violations.” PID at 36. Based on these limitations, EPA concludes “it is appropriate that EPA conduct risk assessments and, where it finds risks of concern to workers, develop risk mitigation measures to address risks from the pesticidal uses of chemicals that OSHA also regulates, and it is expected that EPA’s findings and </w:t>
      </w:r>
      <w:r w:rsidRPr="004904E0">
        <w:rPr>
          <w:sz w:val="24"/>
        </w:rPr>
        <w:t>requirements may sometimes diverge from OSHA’s.” PID at 36.</w:t>
      </w:r>
    </w:p>
    <w:p w:rsidR="004904E0" w:rsidRPr="004904E0" w:rsidP="004904E0" w14:paraId="5E39F6C0" w14:textId="77777777">
      <w:pPr>
        <w:spacing w:line="311" w:lineRule="atLeast"/>
        <w:ind w:left="720"/>
        <w:rPr>
          <w:sz w:val="24"/>
        </w:rPr>
      </w:pPr>
    </w:p>
    <w:p w:rsidR="004904E0" w:rsidRPr="004904E0" w:rsidP="004904E0" w14:paraId="70BBFBDD" w14:textId="77777777">
      <w:pPr>
        <w:spacing w:line="311" w:lineRule="atLeast"/>
        <w:ind w:left="720"/>
        <w:rPr>
          <w:sz w:val="24"/>
        </w:rPr>
      </w:pPr>
      <w:r w:rsidRPr="004904E0">
        <w:rPr>
          <w:sz w:val="24"/>
        </w:rPr>
        <w:t>While OSHA’s ethylene oxide standard (29 C.F.R. § 1910.1047)—which has proven effec</w:t>
      </w:r>
      <w:r w:rsidRPr="004904E0">
        <w:rPr>
          <w:rFonts w:eastAsia="Calibri"/>
          <w:sz w:val="24"/>
        </w:rPr>
        <w:t>tive</w:t>
      </w:r>
      <w:r w:rsidRPr="004904E0">
        <w:rPr>
          <w:sz w:val="24"/>
        </w:rPr>
        <w:t xml:space="preserve"> in ensuring workplace safety—will remain in force, much of it will be func</w:t>
      </w:r>
      <w:r w:rsidRPr="004904E0">
        <w:rPr>
          <w:rFonts w:eastAsia="Calibri"/>
          <w:sz w:val="24"/>
        </w:rPr>
        <w:t>ti</w:t>
      </w:r>
      <w:r w:rsidRPr="004904E0">
        <w:rPr>
          <w:sz w:val="24"/>
        </w:rPr>
        <w:t xml:space="preserve">onally replaced by EPA’s regulations ill. EPA is clearly stepping beyond its area of expertise and is not following the standard, accepted methods for settng occupational health standards. This issue is not cured by EPA’s consultaton with OSHA or even OSHA’s cooperation At the very least, EPA must respect how Congress intended worker safety to be implemented: i.e., taking into account technological and economic feasibility. EPA has some authority to ensure that these factors can be considered through the “economic, social, and environmental” cost/benefits analysis that EPA must conduct under FIFRA. </w:t>
      </w:r>
      <w:r w:rsidRPr="004904E0">
        <w:rPr>
          <w:i/>
          <w:iCs/>
          <w:sz w:val="24"/>
        </w:rPr>
        <w:t xml:space="preserve">See </w:t>
      </w:r>
      <w:r w:rsidRPr="004904E0">
        <w:rPr>
          <w:sz w:val="24"/>
        </w:rPr>
        <w:t>40 C.F.R.§ 155.56);7 U.S. Code § 136(bb). And any mi</w:t>
      </w:r>
      <w:r w:rsidRPr="004904E0">
        <w:rPr>
          <w:rFonts w:hint="eastAsia"/>
          <w:sz w:val="24"/>
        </w:rPr>
        <w:t>􀆟</w:t>
      </w:r>
      <w:r w:rsidRPr="004904E0">
        <w:rPr>
          <w:sz w:val="24"/>
        </w:rPr>
        <w:t>ga</w:t>
      </w:r>
      <w:r w:rsidRPr="004904E0">
        <w:rPr>
          <w:rFonts w:hint="eastAsia"/>
          <w:sz w:val="24"/>
        </w:rPr>
        <w:t>􀆟</w:t>
      </w:r>
      <w:r w:rsidRPr="004904E0">
        <w:rPr>
          <w:rFonts w:eastAsia="Calibri"/>
          <w:sz w:val="24"/>
        </w:rPr>
        <w:t xml:space="preserve"> </w:t>
      </w:r>
      <w:r w:rsidRPr="004904E0">
        <w:rPr>
          <w:sz w:val="24"/>
        </w:rPr>
        <w:t>on measure that effec</w:t>
      </w:r>
      <w:r w:rsidRPr="004904E0">
        <w:rPr>
          <w:rFonts w:eastAsia="Calibri"/>
          <w:sz w:val="24"/>
        </w:rPr>
        <w:t>tively</w:t>
      </w:r>
      <w:r w:rsidRPr="004904E0">
        <w:rPr>
          <w:sz w:val="24"/>
        </w:rPr>
        <w:t xml:space="preserve"> regulates workplace safety should u</w:t>
      </w:r>
      <w:r w:rsidRPr="004904E0">
        <w:rPr>
          <w:rFonts w:eastAsia="Calibri"/>
          <w:sz w:val="24"/>
        </w:rPr>
        <w:t>tili</w:t>
      </w:r>
      <w:r w:rsidRPr="004904E0">
        <w:rPr>
          <w:sz w:val="24"/>
        </w:rPr>
        <w:t>ze the recognized methods, standards, and protocols u</w:t>
      </w:r>
      <w:r w:rsidRPr="004904E0">
        <w:rPr>
          <w:rFonts w:eastAsia="Calibri"/>
          <w:sz w:val="24"/>
        </w:rPr>
        <w:t>tilized</w:t>
      </w:r>
      <w:r w:rsidRPr="004904E0">
        <w:rPr>
          <w:sz w:val="24"/>
        </w:rPr>
        <w:t xml:space="preserve"> by worker safety experts, such as TWA-and breathing zone-based limits and respiratory PPE requirements based on facility-specific air sampling.</w:t>
      </w:r>
      <w:r w:rsidRPr="004904E0">
        <w:rPr>
          <w:position w:val="8"/>
          <w:sz w:val="24"/>
          <w:vertAlign w:val="superscript"/>
        </w:rPr>
        <w:t>”</w:t>
      </w:r>
    </w:p>
    <w:p w:rsidR="004904E0" w:rsidRPr="004904E0" w:rsidP="004904E0" w14:paraId="76BA4C5C" w14:textId="77777777">
      <w:pPr>
        <w:rPr>
          <w:sz w:val="24"/>
        </w:rPr>
      </w:pPr>
    </w:p>
    <w:p w:rsidR="009C3237" w:rsidRPr="00565389" w:rsidP="004904E0" w14:paraId="6B643ECE" w14:textId="72E75A32">
      <w:pPr>
        <w:widowControl/>
        <w:autoSpaceDE/>
        <w:autoSpaceDN/>
        <w:adjustRightInd/>
        <w:spacing w:after="200"/>
        <w:rPr>
          <w:rFonts w:eastAsia="Batang"/>
          <w:sz w:val="24"/>
        </w:rPr>
      </w:pPr>
      <w:r w:rsidRPr="00385FB0">
        <w:rPr>
          <w:position w:val="8"/>
          <w:sz w:val="24"/>
        </w:rPr>
        <w:t>OSHA appreciates your concerns on implementing safe work practices, but this is outside the scope of this notice, concerns the regulatory authority of a different agency, and is not an issue related to this ICR.</w:t>
      </w:r>
    </w:p>
    <w:p w:rsidR="0017563F" w:rsidRPr="0017563F" w:rsidP="00AE2B3F" w14:paraId="65A49D32" w14:textId="77777777">
      <w:pPr>
        <w:widowControl/>
        <w:tabs>
          <w:tab w:val="left" w:pos="360"/>
        </w:tabs>
        <w:rPr>
          <w:b/>
          <w:bCs/>
          <w:sz w:val="24"/>
        </w:rPr>
      </w:pPr>
      <w:r w:rsidRPr="00565389">
        <w:rPr>
          <w:b/>
          <w:bCs/>
          <w:sz w:val="24"/>
        </w:rPr>
        <w:t xml:space="preserve">9.  </w:t>
      </w:r>
      <w:r w:rsidRPr="0017563F">
        <w:rPr>
          <w:b/>
          <w:bCs/>
          <w:sz w:val="24"/>
        </w:rPr>
        <w:t>Explain any decision to provide any payment or gift to respondents, other than remuneration of contractors or grantees.</w:t>
      </w:r>
    </w:p>
    <w:p w:rsidR="009C3237" w:rsidRPr="00565389" w:rsidP="009C3237" w14:paraId="10C15755" w14:textId="77777777">
      <w:pPr>
        <w:rPr>
          <w:sz w:val="24"/>
        </w:rPr>
      </w:pPr>
    </w:p>
    <w:p w:rsidR="009C3237" w:rsidRPr="00565389" w:rsidP="009C3237" w14:paraId="644021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65389">
        <w:rPr>
          <w:sz w:val="24"/>
        </w:rPr>
        <w:t xml:space="preserve">The Agency will </w:t>
      </w:r>
      <w:r w:rsidRPr="00565389">
        <w:rPr>
          <w:sz w:val="24"/>
          <w:u w:val="single"/>
        </w:rPr>
        <w:t>not</w:t>
      </w:r>
      <w:r w:rsidRPr="00565389">
        <w:rPr>
          <w:sz w:val="24"/>
        </w:rPr>
        <w:t xml:space="preserve"> provide payments or gifts to the respondents.</w:t>
      </w:r>
    </w:p>
    <w:p w:rsidR="009C3237" w:rsidRPr="00565389" w:rsidP="009C3237" w14:paraId="0B4D8DB6" w14:textId="77777777">
      <w:pPr>
        <w:rPr>
          <w:sz w:val="24"/>
        </w:rPr>
      </w:pPr>
    </w:p>
    <w:p w:rsidR="0017563F" w:rsidRPr="0017563F" w:rsidP="00AE2B3F" w14:paraId="251AA082" w14:textId="77777777">
      <w:pPr>
        <w:widowControl/>
        <w:tabs>
          <w:tab w:val="left" w:pos="450"/>
        </w:tabs>
        <w:rPr>
          <w:b/>
          <w:bCs/>
          <w:sz w:val="24"/>
        </w:rPr>
      </w:pPr>
      <w:r w:rsidRPr="00565389">
        <w:rPr>
          <w:b/>
          <w:bCs/>
          <w:sz w:val="24"/>
        </w:rPr>
        <w:t xml:space="preserve">10.  </w:t>
      </w:r>
      <w:r w:rsidRPr="0017563F">
        <w:rPr>
          <w:b/>
          <w:bCs/>
          <w:sz w:val="24"/>
        </w:rPr>
        <w:t>Describe any assurance of confidentiality provided to respondents and the basis for the assurance in statute, regulation, or agency policy.</w:t>
      </w:r>
    </w:p>
    <w:p w:rsidR="009C3237" w:rsidRPr="00565389" w:rsidP="009C3237" w14:paraId="3DF1A7FE" w14:textId="77777777">
      <w:pPr>
        <w:rPr>
          <w:sz w:val="24"/>
        </w:rPr>
      </w:pPr>
    </w:p>
    <w:p w:rsidR="009C3237" w:rsidRPr="00565389" w:rsidP="009C3237" w14:paraId="7AC68779" w14:textId="77777777">
      <w:pPr>
        <w:widowControl/>
        <w:rPr>
          <w:color w:val="000000"/>
          <w:sz w:val="24"/>
        </w:rPr>
      </w:pPr>
      <w:r w:rsidRPr="00565389">
        <w:rPr>
          <w:color w:val="000000"/>
          <w:sz w:val="24"/>
        </w:rPr>
        <w:t xml:space="preserve">Since medical records contain information that may be considered private, OSHA has taken steps to ensure that the data are kept private to the extent allowed by law.  Rules of Agency practice and procedure governing OSHA access to worker medical records are contained in 29 CFR 1913.10.  The legal authority for these procedural regulations is found in sections 8(c)(1) and 8(g)(2) of the Occupational Safety and Health Act, 29 U.S.C. 657.  </w:t>
      </w:r>
    </w:p>
    <w:p w:rsidR="009C3237" w:rsidRPr="00565389" w:rsidP="009C3237" w14:paraId="2D4822BF" w14:textId="77777777">
      <w:pPr>
        <w:rPr>
          <w:sz w:val="24"/>
        </w:rPr>
      </w:pPr>
    </w:p>
    <w:p w:rsidR="0017563F" w:rsidRPr="0017563F" w:rsidP="00AE2B3F" w14:paraId="192764A3" w14:textId="77777777">
      <w:pPr>
        <w:widowControl/>
        <w:tabs>
          <w:tab w:val="left" w:pos="90"/>
          <w:tab w:val="left" w:pos="540"/>
        </w:tabs>
        <w:ind w:left="90"/>
        <w:rPr>
          <w:b/>
          <w:bCs/>
          <w:sz w:val="24"/>
        </w:rPr>
      </w:pPr>
      <w:r w:rsidRPr="00565389">
        <w:rPr>
          <w:b/>
          <w:bCs/>
          <w:sz w:val="24"/>
        </w:rPr>
        <w:t xml:space="preserve">11. </w:t>
      </w:r>
      <w:r w:rsidRPr="0017563F">
        <w:rPr>
          <w:b/>
          <w:bCs/>
          <w:sz w:val="24"/>
        </w:rPr>
        <w:t>Provide additional justification for any questions of a sensitive nature, such as sexual</w:t>
      </w:r>
    </w:p>
    <w:p w:rsidR="0017563F" w:rsidRPr="0017563F" w:rsidP="00B37943" w14:paraId="174C8F5E" w14:textId="1B880DB8">
      <w:pPr>
        <w:widowControl/>
        <w:tabs>
          <w:tab w:val="left" w:pos="450"/>
          <w:tab w:val="left" w:pos="540"/>
        </w:tabs>
        <w:ind w:left="540" w:hanging="90"/>
        <w:rPr>
          <w:b/>
          <w:bCs/>
          <w:sz w:val="24"/>
        </w:rPr>
      </w:pPr>
      <w:r w:rsidRPr="0017563F">
        <w:rPr>
          <w:b/>
          <w:bCs/>
          <w:sz w:val="24"/>
        </w:rPr>
        <w:t xml:space="preserve">behavior and attitudes, religious beliefs, and other matters that are </w:t>
      </w:r>
      <w:r w:rsidRPr="0017563F" w:rsidR="00710C21">
        <w:rPr>
          <w:b/>
          <w:bCs/>
          <w:sz w:val="24"/>
        </w:rPr>
        <w:t>commonly considered</w:t>
      </w:r>
      <w:r w:rsidRPr="0017563F">
        <w:rPr>
          <w:b/>
          <w:bCs/>
          <w:sz w:val="24"/>
        </w:rPr>
        <w:t xml:space="preserve">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C3237" w:rsidRPr="00565389" w:rsidP="00B37943" w14:paraId="4B32C843" w14:textId="77777777">
      <w:pPr>
        <w:rPr>
          <w:sz w:val="24"/>
        </w:rPr>
      </w:pPr>
    </w:p>
    <w:p w:rsidR="009C3237" w:rsidRPr="00565389" w:rsidP="009C3237" w14:paraId="76399937" w14:textId="77777777">
      <w:pPr>
        <w:rPr>
          <w:sz w:val="24"/>
        </w:rPr>
      </w:pPr>
      <w:r w:rsidRPr="00565389">
        <w:rPr>
          <w:sz w:val="24"/>
        </w:rPr>
        <w:t xml:space="preserve">Perceived questions of a sensitive nature may be included in medical questionnaires. Information from medical questionnaires is necessary for the PLHCP or physician, or employer, to determine what protections an employer must take to ensure that the employee will have minimal occupational exposure to hazards such as, </w:t>
      </w:r>
      <w:r w:rsidRPr="00565389">
        <w:rPr>
          <w:color w:val="000000"/>
          <w:sz w:val="24"/>
        </w:rPr>
        <w:t>insufficient oxygen environments, harmful dusts, fogs, smokes, mists, gases, vapors, and sprays.</w:t>
      </w:r>
    </w:p>
    <w:p w:rsidR="009C3237" w:rsidRPr="00565389" w:rsidP="009C3237" w14:paraId="1AB7BBE2" w14:textId="77777777">
      <w:pPr>
        <w:rPr>
          <w:b/>
          <w:bCs/>
          <w:sz w:val="24"/>
        </w:rPr>
      </w:pPr>
    </w:p>
    <w:p w:rsidR="0039253D" w:rsidRPr="0039253D" w:rsidP="00AE2B3F" w14:paraId="28BD23EE" w14:textId="77777777">
      <w:pPr>
        <w:widowControl/>
        <w:tabs>
          <w:tab w:val="left" w:pos="540"/>
        </w:tabs>
        <w:rPr>
          <w:b/>
          <w:bCs/>
          <w:sz w:val="24"/>
        </w:rPr>
      </w:pPr>
      <w:r w:rsidRPr="00565389">
        <w:rPr>
          <w:b/>
          <w:bCs/>
          <w:sz w:val="24"/>
        </w:rPr>
        <w:t xml:space="preserve">12. </w:t>
      </w:r>
      <w:r w:rsidRPr="0039253D">
        <w:rPr>
          <w:b/>
          <w:bCs/>
          <w:sz w:val="24"/>
        </w:rPr>
        <w:t>Provide estimates of the hour burden of the collection of information.  The statement should:</w:t>
      </w:r>
    </w:p>
    <w:p w:rsidR="0039253D" w:rsidRPr="0039253D" w:rsidP="0039253D" w14:paraId="7B1838C0" w14:textId="77777777">
      <w:pPr>
        <w:widowControl/>
        <w:rPr>
          <w:b/>
          <w:bCs/>
          <w:sz w:val="24"/>
        </w:rPr>
      </w:pPr>
    </w:p>
    <w:p w:rsidR="0039253D" w:rsidRPr="0039253D" w:rsidP="0039253D" w14:paraId="6B460F0A" w14:textId="77777777">
      <w:pPr>
        <w:widowControl/>
        <w:numPr>
          <w:ilvl w:val="0"/>
          <w:numId w:val="14"/>
        </w:numPr>
        <w:tabs>
          <w:tab w:val="left" w:pos="1440"/>
        </w:tabs>
        <w:rPr>
          <w:b/>
          <w:bCs/>
          <w:sz w:val="24"/>
        </w:rPr>
      </w:pPr>
      <w:r w:rsidRPr="0039253D">
        <w:rPr>
          <w:b/>
          <w:bCs/>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9253D" w:rsidRPr="0039253D" w:rsidP="0039253D" w14:paraId="79BBE50C" w14:textId="77777777">
      <w:pPr>
        <w:widowControl/>
        <w:rPr>
          <w:b/>
          <w:bCs/>
          <w:sz w:val="24"/>
        </w:rPr>
      </w:pPr>
    </w:p>
    <w:p w:rsidR="0039253D" w:rsidRPr="0039253D" w:rsidP="0039253D" w14:paraId="384EE549" w14:textId="77777777">
      <w:pPr>
        <w:widowControl/>
        <w:numPr>
          <w:ilvl w:val="0"/>
          <w:numId w:val="14"/>
        </w:numPr>
        <w:tabs>
          <w:tab w:val="left" w:pos="1440"/>
        </w:tabs>
        <w:rPr>
          <w:b/>
          <w:bCs/>
          <w:sz w:val="24"/>
        </w:rPr>
      </w:pPr>
      <w:r w:rsidRPr="0039253D">
        <w:rPr>
          <w:b/>
          <w:bCs/>
          <w:sz w:val="24"/>
        </w:rPr>
        <w:t>If this request for approval covers more than one form, provide separate hour burden estimates for each form.</w:t>
      </w:r>
    </w:p>
    <w:p w:rsidR="0039253D" w:rsidRPr="0039253D" w:rsidP="0039253D" w14:paraId="45BEF8F6" w14:textId="77777777">
      <w:pPr>
        <w:widowControl/>
        <w:ind w:left="720"/>
        <w:rPr>
          <w:b/>
          <w:bCs/>
          <w:sz w:val="24"/>
        </w:rPr>
      </w:pPr>
    </w:p>
    <w:p w:rsidR="0039253D" w:rsidRPr="0039253D" w:rsidP="0039253D" w14:paraId="4A61CE3B" w14:textId="5DF01DC7">
      <w:pPr>
        <w:widowControl/>
        <w:numPr>
          <w:ilvl w:val="0"/>
          <w:numId w:val="14"/>
        </w:numPr>
        <w:rPr>
          <w:b/>
          <w:bCs/>
          <w:sz w:val="24"/>
        </w:rPr>
      </w:pPr>
      <w:r w:rsidRPr="0039253D">
        <w:rPr>
          <w:b/>
          <w:bCs/>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9C3237" w:rsidRPr="00565389" w:rsidP="009C3237" w14:paraId="595211DB" w14:textId="77777777">
      <w:pPr>
        <w:rPr>
          <w:b/>
          <w:sz w:val="24"/>
        </w:rPr>
      </w:pPr>
    </w:p>
    <w:p w:rsidR="009C3237" w:rsidRPr="00565389" w:rsidP="009C3237" w14:paraId="3C83F2C6" w14:textId="77777777">
      <w:pPr>
        <w:widowControl/>
        <w:tabs>
          <w:tab w:val="center" w:pos="4680"/>
        </w:tabs>
        <w:rPr>
          <w:b/>
          <w:bCs/>
          <w:sz w:val="24"/>
        </w:rPr>
      </w:pPr>
      <w:r w:rsidRPr="00565389">
        <w:rPr>
          <w:sz w:val="24"/>
        </w:rPr>
        <w:t>The Agency updated the number of facilities affected by the Ethylene Oxide Standard based on findings from the regulatory review of the Standard conducted in 2005.</w:t>
      </w:r>
      <w:r>
        <w:rPr>
          <w:rStyle w:val="FootnoteReference"/>
          <w:sz w:val="24"/>
          <w:vertAlign w:val="superscript"/>
        </w:rPr>
        <w:footnoteReference w:id="6"/>
      </w:r>
      <w:r w:rsidRPr="00565389">
        <w:rPr>
          <w:sz w:val="24"/>
        </w:rPr>
        <w:t xml:space="preserve">  The updated numbers of affected facilities are shown in Table 1. </w:t>
      </w:r>
    </w:p>
    <w:p w:rsidR="009C3237" w:rsidRPr="00565389" w:rsidP="009C3237" w14:paraId="43085C79" w14:textId="77777777">
      <w:pPr>
        <w:widowControl/>
        <w:tabs>
          <w:tab w:val="center" w:pos="4680"/>
        </w:tabs>
        <w:rPr>
          <w:b/>
          <w:bCs/>
          <w:sz w:val="24"/>
        </w:rPr>
      </w:pPr>
    </w:p>
    <w:tbl>
      <w:tblPr>
        <w:tblW w:w="0" w:type="auto"/>
        <w:jc w:val="center"/>
        <w:tblLook w:val="04A0"/>
      </w:tblPr>
      <w:tblGrid>
        <w:gridCol w:w="6505"/>
        <w:gridCol w:w="2855"/>
      </w:tblGrid>
      <w:tr w14:paraId="48043AFC" w14:textId="77777777" w:rsidTr="002555EA">
        <w:tblPrEx>
          <w:tblW w:w="0" w:type="auto"/>
          <w:jc w:val="center"/>
          <w:tblLook w:val="04A0"/>
        </w:tblPrEx>
        <w:trPr>
          <w:trHeight w:val="351"/>
          <w:jc w:val="center"/>
        </w:trPr>
        <w:tc>
          <w:tcPr>
            <w:tcW w:w="0" w:type="auto"/>
            <w:gridSpan w:val="2"/>
            <w:tcBorders>
              <w:top w:val="nil"/>
              <w:left w:val="nil"/>
              <w:bottom w:val="nil"/>
              <w:right w:val="nil"/>
            </w:tcBorders>
            <w:shd w:val="clear" w:color="auto" w:fill="auto"/>
            <w:noWrap/>
            <w:vAlign w:val="center"/>
            <w:hideMark/>
          </w:tcPr>
          <w:p w:rsidR="002555EA" w:rsidRPr="002555EA" w:rsidP="002555EA" w14:paraId="549A8C46" w14:textId="6F11D569">
            <w:pPr>
              <w:widowControl/>
              <w:autoSpaceDE/>
              <w:autoSpaceDN/>
              <w:adjustRightInd/>
              <w:jc w:val="center"/>
              <w:rPr>
                <w:b/>
                <w:bCs/>
                <w:sz w:val="24"/>
              </w:rPr>
            </w:pPr>
            <w:r w:rsidRPr="002555EA">
              <w:rPr>
                <w:b/>
                <w:bCs/>
                <w:sz w:val="24"/>
              </w:rPr>
              <w:t>Table 1 - Number of Facilities by Industry Sector</w:t>
            </w:r>
          </w:p>
        </w:tc>
      </w:tr>
      <w:tr w14:paraId="57E368D5" w14:textId="77777777" w:rsidTr="00BE1CAF">
        <w:tblPrEx>
          <w:tblW w:w="0" w:type="auto"/>
          <w:jc w:val="center"/>
          <w:tblLook w:val="04A0"/>
        </w:tblPrEx>
        <w:trPr>
          <w:trHeight w:val="314"/>
          <w:jc w:val="center"/>
        </w:trPr>
        <w:tc>
          <w:tcPr>
            <w:tcW w:w="0" w:type="auto"/>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hideMark/>
          </w:tcPr>
          <w:p w:rsidR="002555EA" w:rsidRPr="002555EA" w:rsidP="002555EA" w14:paraId="6557C26A" w14:textId="77777777">
            <w:pPr>
              <w:widowControl/>
              <w:autoSpaceDE/>
              <w:autoSpaceDN/>
              <w:adjustRightInd/>
              <w:jc w:val="center"/>
              <w:rPr>
                <w:b/>
                <w:bCs/>
                <w:sz w:val="24"/>
              </w:rPr>
            </w:pPr>
            <w:r w:rsidRPr="002555EA">
              <w:rPr>
                <w:b/>
                <w:bCs/>
                <w:sz w:val="24"/>
              </w:rPr>
              <w:t>Industry Sector</w:t>
            </w:r>
          </w:p>
        </w:tc>
        <w:tc>
          <w:tcPr>
            <w:tcW w:w="0" w:type="auto"/>
            <w:tcBorders>
              <w:top w:val="single" w:sz="4" w:space="0" w:color="auto"/>
              <w:left w:val="nil"/>
              <w:bottom w:val="single" w:sz="4" w:space="0" w:color="auto"/>
              <w:right w:val="single" w:sz="4" w:space="0" w:color="auto"/>
            </w:tcBorders>
            <w:shd w:val="clear" w:color="auto" w:fill="DEEBF6" w:themeFill="accent1" w:themeFillTint="33"/>
            <w:vAlign w:val="center"/>
            <w:hideMark/>
          </w:tcPr>
          <w:p w:rsidR="002555EA" w:rsidRPr="002555EA" w:rsidP="002555EA" w14:paraId="72CA59C9" w14:textId="77777777">
            <w:pPr>
              <w:widowControl/>
              <w:autoSpaceDE/>
              <w:autoSpaceDN/>
              <w:adjustRightInd/>
              <w:jc w:val="center"/>
              <w:rPr>
                <w:b/>
                <w:bCs/>
                <w:sz w:val="24"/>
              </w:rPr>
            </w:pPr>
            <w:r w:rsidRPr="002555EA">
              <w:rPr>
                <w:b/>
                <w:bCs/>
                <w:sz w:val="24"/>
              </w:rPr>
              <w:t>No. of Facilities</w:t>
            </w:r>
          </w:p>
        </w:tc>
      </w:tr>
      <w:tr w14:paraId="305CD3C9" w14:textId="77777777" w:rsidTr="002555EA">
        <w:tblPrEx>
          <w:tblW w:w="0" w:type="auto"/>
          <w:jc w:val="center"/>
          <w:tblLook w:val="04A0"/>
        </w:tblPrEx>
        <w:trPr>
          <w:trHeight w:val="31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555EA" w:rsidRPr="002555EA" w:rsidP="002555EA" w14:paraId="4A39941C" w14:textId="77777777">
            <w:pPr>
              <w:widowControl/>
              <w:autoSpaceDE/>
              <w:autoSpaceDN/>
              <w:adjustRightInd/>
              <w:rPr>
                <w:sz w:val="24"/>
              </w:rPr>
            </w:pPr>
            <w:r w:rsidRPr="002555EA">
              <w:rPr>
                <w:sz w:val="24"/>
              </w:rPr>
              <w:t>EtO Producers [1]</w:t>
            </w:r>
          </w:p>
        </w:tc>
        <w:tc>
          <w:tcPr>
            <w:tcW w:w="0" w:type="auto"/>
            <w:tcBorders>
              <w:top w:val="nil"/>
              <w:left w:val="nil"/>
              <w:bottom w:val="single" w:sz="4" w:space="0" w:color="auto"/>
              <w:right w:val="single" w:sz="4" w:space="0" w:color="auto"/>
            </w:tcBorders>
            <w:shd w:val="clear" w:color="auto" w:fill="auto"/>
            <w:noWrap/>
            <w:vAlign w:val="center"/>
            <w:hideMark/>
          </w:tcPr>
          <w:p w:rsidR="002555EA" w:rsidRPr="002555EA" w:rsidP="002555EA" w14:paraId="1DF3E31F" w14:textId="77777777">
            <w:pPr>
              <w:widowControl/>
              <w:autoSpaceDE/>
              <w:autoSpaceDN/>
              <w:adjustRightInd/>
              <w:jc w:val="center"/>
              <w:rPr>
                <w:sz w:val="24"/>
              </w:rPr>
            </w:pPr>
            <w:bookmarkStart w:id="91" w:name="RANGE!B5"/>
            <w:r w:rsidRPr="002555EA">
              <w:rPr>
                <w:sz w:val="24"/>
              </w:rPr>
              <w:t>14</w:t>
            </w:r>
            <w:bookmarkEnd w:id="91"/>
          </w:p>
        </w:tc>
      </w:tr>
      <w:tr w14:paraId="1128DD52" w14:textId="77777777" w:rsidTr="002555EA">
        <w:tblPrEx>
          <w:tblW w:w="0" w:type="auto"/>
          <w:jc w:val="center"/>
          <w:tblLook w:val="04A0"/>
        </w:tblPrEx>
        <w:trPr>
          <w:trHeight w:val="29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555EA" w:rsidRPr="002555EA" w:rsidP="002555EA" w14:paraId="74359058" w14:textId="77777777">
            <w:pPr>
              <w:widowControl/>
              <w:autoSpaceDE/>
              <w:autoSpaceDN/>
              <w:adjustRightInd/>
              <w:rPr>
                <w:sz w:val="24"/>
              </w:rPr>
            </w:pPr>
            <w:r w:rsidRPr="002555EA">
              <w:rPr>
                <w:sz w:val="24"/>
              </w:rPr>
              <w:t>EtO Ethoxylators [2]</w:t>
            </w:r>
          </w:p>
        </w:tc>
        <w:tc>
          <w:tcPr>
            <w:tcW w:w="0" w:type="auto"/>
            <w:tcBorders>
              <w:top w:val="nil"/>
              <w:left w:val="nil"/>
              <w:bottom w:val="single" w:sz="4" w:space="0" w:color="auto"/>
              <w:right w:val="single" w:sz="4" w:space="0" w:color="auto"/>
            </w:tcBorders>
            <w:shd w:val="clear" w:color="auto" w:fill="auto"/>
            <w:noWrap/>
            <w:vAlign w:val="center"/>
            <w:hideMark/>
          </w:tcPr>
          <w:p w:rsidR="002555EA" w:rsidRPr="002555EA" w:rsidP="002555EA" w14:paraId="45EF875D" w14:textId="77777777">
            <w:pPr>
              <w:widowControl/>
              <w:autoSpaceDE/>
              <w:autoSpaceDN/>
              <w:adjustRightInd/>
              <w:jc w:val="center"/>
              <w:rPr>
                <w:sz w:val="24"/>
              </w:rPr>
            </w:pPr>
            <w:bookmarkStart w:id="92" w:name="RANGE!B6"/>
            <w:r w:rsidRPr="002555EA">
              <w:rPr>
                <w:sz w:val="24"/>
              </w:rPr>
              <w:t>105</w:t>
            </w:r>
            <w:bookmarkEnd w:id="92"/>
          </w:p>
        </w:tc>
      </w:tr>
      <w:tr w14:paraId="508ABA3F" w14:textId="77777777" w:rsidTr="002555EA">
        <w:tblPrEx>
          <w:tblW w:w="0" w:type="auto"/>
          <w:jc w:val="center"/>
          <w:tblLook w:val="04A0"/>
        </w:tblPrEx>
        <w:trPr>
          <w:trHeight w:val="31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555EA" w:rsidRPr="002555EA" w:rsidP="002555EA" w14:paraId="67BF40CB" w14:textId="77777777">
            <w:pPr>
              <w:widowControl/>
              <w:autoSpaceDE/>
              <w:autoSpaceDN/>
              <w:adjustRightInd/>
              <w:rPr>
                <w:sz w:val="24"/>
              </w:rPr>
            </w:pPr>
            <w:r w:rsidRPr="002555EA">
              <w:rPr>
                <w:sz w:val="24"/>
              </w:rPr>
              <w:t>Hospitals Using EtO Sterilizers [3]</w:t>
            </w:r>
          </w:p>
        </w:tc>
        <w:tc>
          <w:tcPr>
            <w:tcW w:w="0" w:type="auto"/>
            <w:tcBorders>
              <w:top w:val="nil"/>
              <w:left w:val="nil"/>
              <w:bottom w:val="single" w:sz="4" w:space="0" w:color="auto"/>
              <w:right w:val="single" w:sz="4" w:space="0" w:color="auto"/>
            </w:tcBorders>
            <w:shd w:val="clear" w:color="auto" w:fill="auto"/>
            <w:noWrap/>
            <w:vAlign w:val="center"/>
            <w:hideMark/>
          </w:tcPr>
          <w:p w:rsidR="002555EA" w:rsidRPr="002555EA" w:rsidP="002555EA" w14:paraId="2F2599D1" w14:textId="77777777">
            <w:pPr>
              <w:widowControl/>
              <w:autoSpaceDE/>
              <w:autoSpaceDN/>
              <w:adjustRightInd/>
              <w:jc w:val="center"/>
              <w:rPr>
                <w:sz w:val="24"/>
              </w:rPr>
            </w:pPr>
            <w:bookmarkStart w:id="93" w:name="RANGE!B7"/>
            <w:r w:rsidRPr="002555EA">
              <w:rPr>
                <w:sz w:val="24"/>
              </w:rPr>
              <w:t>1,839</w:t>
            </w:r>
            <w:bookmarkEnd w:id="93"/>
          </w:p>
        </w:tc>
      </w:tr>
      <w:tr w14:paraId="4218DDF0" w14:textId="77777777" w:rsidTr="002555EA">
        <w:tblPrEx>
          <w:tblW w:w="0" w:type="auto"/>
          <w:jc w:val="center"/>
          <w:tblLook w:val="04A0"/>
        </w:tblPrEx>
        <w:trPr>
          <w:trHeight w:val="31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555EA" w:rsidRPr="002555EA" w:rsidP="002555EA" w14:paraId="7517DC20" w14:textId="77777777">
            <w:pPr>
              <w:widowControl/>
              <w:autoSpaceDE/>
              <w:autoSpaceDN/>
              <w:adjustRightInd/>
              <w:rPr>
                <w:sz w:val="24"/>
              </w:rPr>
            </w:pPr>
            <w:r w:rsidRPr="002555EA">
              <w:rPr>
                <w:sz w:val="24"/>
              </w:rPr>
              <w:t>Medical-Product Manufacturers [4]</w:t>
            </w:r>
          </w:p>
        </w:tc>
        <w:tc>
          <w:tcPr>
            <w:tcW w:w="0" w:type="auto"/>
            <w:tcBorders>
              <w:top w:val="nil"/>
              <w:left w:val="nil"/>
              <w:bottom w:val="single" w:sz="4" w:space="0" w:color="auto"/>
              <w:right w:val="single" w:sz="4" w:space="0" w:color="auto"/>
            </w:tcBorders>
            <w:shd w:val="clear" w:color="auto" w:fill="auto"/>
            <w:noWrap/>
            <w:vAlign w:val="center"/>
            <w:hideMark/>
          </w:tcPr>
          <w:p w:rsidR="002555EA" w:rsidRPr="002555EA" w:rsidP="002555EA" w14:paraId="2F649E47" w14:textId="77777777">
            <w:pPr>
              <w:widowControl/>
              <w:autoSpaceDE/>
              <w:autoSpaceDN/>
              <w:adjustRightInd/>
              <w:jc w:val="center"/>
              <w:rPr>
                <w:sz w:val="24"/>
              </w:rPr>
            </w:pPr>
            <w:bookmarkStart w:id="94" w:name="RANGE!B8"/>
            <w:r w:rsidRPr="002555EA">
              <w:rPr>
                <w:sz w:val="24"/>
              </w:rPr>
              <w:t>57</w:t>
            </w:r>
            <w:bookmarkEnd w:id="94"/>
          </w:p>
        </w:tc>
      </w:tr>
      <w:tr w14:paraId="4E5E6E5A" w14:textId="77777777" w:rsidTr="002555EA">
        <w:tblPrEx>
          <w:tblW w:w="0" w:type="auto"/>
          <w:jc w:val="center"/>
          <w:tblLook w:val="04A0"/>
        </w:tblPrEx>
        <w:trPr>
          <w:trHeight w:val="31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555EA" w:rsidRPr="002555EA" w:rsidP="002555EA" w14:paraId="4F07195A" w14:textId="77777777">
            <w:pPr>
              <w:widowControl/>
              <w:autoSpaceDE/>
              <w:autoSpaceDN/>
              <w:adjustRightInd/>
              <w:rPr>
                <w:sz w:val="24"/>
              </w:rPr>
            </w:pPr>
            <w:r w:rsidRPr="002555EA">
              <w:rPr>
                <w:sz w:val="24"/>
              </w:rPr>
              <w:t>Contract Sterilizers [5]</w:t>
            </w:r>
          </w:p>
        </w:tc>
        <w:tc>
          <w:tcPr>
            <w:tcW w:w="0" w:type="auto"/>
            <w:tcBorders>
              <w:top w:val="nil"/>
              <w:left w:val="nil"/>
              <w:bottom w:val="single" w:sz="4" w:space="0" w:color="auto"/>
              <w:right w:val="single" w:sz="4" w:space="0" w:color="auto"/>
            </w:tcBorders>
            <w:shd w:val="clear" w:color="auto" w:fill="auto"/>
            <w:noWrap/>
            <w:vAlign w:val="center"/>
            <w:hideMark/>
          </w:tcPr>
          <w:p w:rsidR="002555EA" w:rsidRPr="002555EA" w:rsidP="002555EA" w14:paraId="5E647161" w14:textId="77777777">
            <w:pPr>
              <w:widowControl/>
              <w:autoSpaceDE/>
              <w:autoSpaceDN/>
              <w:adjustRightInd/>
              <w:jc w:val="center"/>
              <w:rPr>
                <w:sz w:val="24"/>
              </w:rPr>
            </w:pPr>
            <w:bookmarkStart w:id="95" w:name="RANGE!B9"/>
            <w:r w:rsidRPr="002555EA">
              <w:rPr>
                <w:sz w:val="24"/>
              </w:rPr>
              <w:t>11</w:t>
            </w:r>
            <w:bookmarkEnd w:id="95"/>
          </w:p>
        </w:tc>
      </w:tr>
      <w:tr w14:paraId="2A35D754" w14:textId="77777777" w:rsidTr="002555EA">
        <w:tblPrEx>
          <w:tblW w:w="0" w:type="auto"/>
          <w:jc w:val="center"/>
          <w:tblLook w:val="04A0"/>
        </w:tblPrEx>
        <w:trPr>
          <w:trHeight w:val="287"/>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555EA" w:rsidRPr="002555EA" w:rsidP="002555EA" w14:paraId="17BC63EA" w14:textId="77777777">
            <w:pPr>
              <w:widowControl/>
              <w:autoSpaceDE/>
              <w:autoSpaceDN/>
              <w:adjustRightInd/>
              <w:rPr>
                <w:b/>
                <w:bCs/>
                <w:sz w:val="24"/>
              </w:rPr>
            </w:pPr>
            <w:r w:rsidRPr="002555EA">
              <w:rPr>
                <w:b/>
                <w:bCs/>
                <w:sz w:val="24"/>
              </w:rPr>
              <w:t>Total</w:t>
            </w:r>
          </w:p>
        </w:tc>
        <w:tc>
          <w:tcPr>
            <w:tcW w:w="0" w:type="auto"/>
            <w:tcBorders>
              <w:top w:val="nil"/>
              <w:left w:val="nil"/>
              <w:bottom w:val="single" w:sz="4" w:space="0" w:color="auto"/>
              <w:right w:val="single" w:sz="4" w:space="0" w:color="auto"/>
            </w:tcBorders>
            <w:shd w:val="clear" w:color="auto" w:fill="auto"/>
            <w:vAlign w:val="center"/>
            <w:hideMark/>
          </w:tcPr>
          <w:p w:rsidR="002555EA" w:rsidRPr="002555EA" w:rsidP="002555EA" w14:paraId="3151CD18" w14:textId="77777777">
            <w:pPr>
              <w:widowControl/>
              <w:autoSpaceDE/>
              <w:autoSpaceDN/>
              <w:adjustRightInd/>
              <w:jc w:val="center"/>
              <w:rPr>
                <w:b/>
                <w:bCs/>
                <w:sz w:val="24"/>
              </w:rPr>
            </w:pPr>
            <w:r w:rsidRPr="002555EA">
              <w:rPr>
                <w:b/>
                <w:bCs/>
                <w:sz w:val="24"/>
              </w:rPr>
              <w:t>2,026</w:t>
            </w:r>
          </w:p>
        </w:tc>
      </w:tr>
      <w:tr w14:paraId="058064AD" w14:textId="77777777" w:rsidTr="002555EA">
        <w:tblPrEx>
          <w:tblW w:w="0" w:type="auto"/>
          <w:jc w:val="center"/>
          <w:tblLook w:val="04A0"/>
        </w:tblPrEx>
        <w:trPr>
          <w:trHeight w:val="540"/>
          <w:jc w:val="center"/>
        </w:trPr>
        <w:tc>
          <w:tcPr>
            <w:tcW w:w="0" w:type="auto"/>
            <w:gridSpan w:val="2"/>
            <w:tcBorders>
              <w:top w:val="single" w:sz="4" w:space="0" w:color="auto"/>
              <w:left w:val="nil"/>
              <w:bottom w:val="nil"/>
              <w:right w:val="nil"/>
            </w:tcBorders>
            <w:shd w:val="clear" w:color="auto" w:fill="auto"/>
            <w:hideMark/>
          </w:tcPr>
          <w:p w:rsidR="00B37943" w:rsidP="002555EA" w14:paraId="2DA1FD2A" w14:textId="77777777">
            <w:pPr>
              <w:widowControl/>
              <w:autoSpaceDE/>
              <w:autoSpaceDN/>
              <w:adjustRightInd/>
              <w:rPr>
                <w:szCs w:val="20"/>
              </w:rPr>
            </w:pPr>
            <w:bookmarkStart w:id="96" w:name="RANGE!A11"/>
          </w:p>
          <w:p w:rsidR="002555EA" w:rsidRPr="002555EA" w:rsidP="002555EA" w14:paraId="6E928189" w14:textId="73696704">
            <w:pPr>
              <w:widowControl/>
              <w:autoSpaceDE/>
              <w:autoSpaceDN/>
              <w:adjustRightInd/>
              <w:rPr>
                <w:szCs w:val="20"/>
              </w:rPr>
            </w:pPr>
            <w:r w:rsidRPr="002555EA">
              <w:rPr>
                <w:szCs w:val="20"/>
              </w:rPr>
              <w:t xml:space="preserve">[1] Thomas Register of American Manufacturers, Thomas Publishing Co., NY, NY. Retrieved 6/9/2023, from </w:t>
            </w:r>
            <w:hyperlink r:id="rId12" w:history="1">
              <w:r w:rsidRPr="002555EA">
                <w:rPr>
                  <w:rStyle w:val="Hyperlink"/>
                  <w:szCs w:val="20"/>
                </w:rPr>
                <w:t>https://www.thomasnet.com</w:t>
              </w:r>
            </w:hyperlink>
            <w:bookmarkEnd w:id="96"/>
          </w:p>
        </w:tc>
      </w:tr>
      <w:tr w14:paraId="6BDFE1AF" w14:textId="77777777" w:rsidTr="002555EA">
        <w:tblPrEx>
          <w:tblW w:w="0" w:type="auto"/>
          <w:jc w:val="center"/>
          <w:tblLook w:val="04A0"/>
        </w:tblPrEx>
        <w:trPr>
          <w:trHeight w:val="540"/>
          <w:jc w:val="center"/>
        </w:trPr>
        <w:tc>
          <w:tcPr>
            <w:tcW w:w="0" w:type="auto"/>
            <w:gridSpan w:val="2"/>
            <w:tcBorders>
              <w:top w:val="nil"/>
              <w:left w:val="nil"/>
              <w:bottom w:val="nil"/>
              <w:right w:val="nil"/>
            </w:tcBorders>
            <w:shd w:val="clear" w:color="auto" w:fill="auto"/>
            <w:hideMark/>
          </w:tcPr>
          <w:p w:rsidR="002555EA" w:rsidRPr="002555EA" w:rsidP="002555EA" w14:paraId="29A2F6B9" w14:textId="77777777">
            <w:pPr>
              <w:widowControl/>
              <w:autoSpaceDE/>
              <w:autoSpaceDN/>
              <w:adjustRightInd/>
              <w:rPr>
                <w:szCs w:val="20"/>
              </w:rPr>
            </w:pPr>
            <w:r w:rsidRPr="002555EA">
              <w:rPr>
                <w:szCs w:val="20"/>
              </w:rPr>
              <w:t>[2] The SIC codes for ethoxylators in OSHA's (2005) Regulatory Review of the Occupational Safety and Health Administration's Ethylene Oxide Standard (29 CFR 1910.1047), SIC 2843, SIC 2869, were converted to NAICS to obtain the number of establishments in the U.S. Census's County Business Patterns for the years 2000 and 2021. The ratio of the number of ethoxylators in the OSHA (2005) Regulatory Review document (64) to the total number of establishments in the Census County Business Patterns data for the relevant SIC codes in the year 2000 (2,242) was multiplied by the total number of number of establishments in 2021 (3,667) to update the estimated number of ethoxylators.</w:t>
            </w:r>
          </w:p>
        </w:tc>
      </w:tr>
      <w:tr w14:paraId="232FDFC9" w14:textId="77777777" w:rsidTr="002555EA">
        <w:tblPrEx>
          <w:tblW w:w="0" w:type="auto"/>
          <w:jc w:val="center"/>
          <w:tblLook w:val="04A0"/>
        </w:tblPrEx>
        <w:trPr>
          <w:trHeight w:val="540"/>
          <w:jc w:val="center"/>
        </w:trPr>
        <w:tc>
          <w:tcPr>
            <w:tcW w:w="0" w:type="auto"/>
            <w:gridSpan w:val="2"/>
            <w:tcBorders>
              <w:top w:val="nil"/>
              <w:left w:val="nil"/>
              <w:bottom w:val="nil"/>
              <w:right w:val="nil"/>
            </w:tcBorders>
            <w:shd w:val="clear" w:color="auto" w:fill="auto"/>
            <w:hideMark/>
          </w:tcPr>
          <w:p w:rsidR="002555EA" w:rsidRPr="002555EA" w:rsidP="002555EA" w14:paraId="06E1E58C" w14:textId="51B9A7E2">
            <w:pPr>
              <w:widowControl/>
              <w:autoSpaceDE/>
              <w:autoSpaceDN/>
              <w:adjustRightInd/>
              <w:rPr>
                <w:szCs w:val="20"/>
              </w:rPr>
            </w:pPr>
            <w:bookmarkStart w:id="97" w:name="RANGE!A13"/>
            <w:r w:rsidRPr="002555EA">
              <w:rPr>
                <w:szCs w:val="20"/>
              </w:rPr>
              <w:t>[3]</w:t>
            </w:r>
            <w:r w:rsidR="00F14727">
              <w:rPr>
                <w:szCs w:val="20"/>
              </w:rPr>
              <w:t xml:space="preserve"> </w:t>
            </w:r>
            <w:r w:rsidRPr="002555EA">
              <w:rPr>
                <w:szCs w:val="20"/>
              </w:rPr>
              <w:t>According to the American Hospital Association's Fast Facts on U.S. Hospitals, 2023, there were 6,129 hospitals in the U.S. in 2021. We estimate that 30 percent of these hospitals conduct EtO sterilization based on EPA's (2007) National Emission Standards for Hospital Ethylene Oxide Sterilizers Proposed Rule (71 FR 64907). In that rule, EPA estimated that there were 5,800 hospitals in 2002, and used permits and inventory data to estimate that 1,600 to 1,900 of these were confirmed to conduct EtO sterilization. Taking the midpoint of this range (1,750) and rounding to zero decimal places, 30 percent of the 5,800 hospitals conduct EtO sterilization. We thus multiply the number of hospitals by 30 percent to obtain the estimate of 1,839 shown here (</w:t>
            </w:r>
            <w:r w:rsidRPr="002555EA" w:rsidR="00F14727">
              <w:rPr>
                <w:szCs w:val="20"/>
              </w:rPr>
              <w:t>6,129 x</w:t>
            </w:r>
            <w:r w:rsidRPr="002555EA">
              <w:rPr>
                <w:szCs w:val="20"/>
              </w:rPr>
              <w:t xml:space="preserve"> 30 percent = 1,839). </w:t>
            </w:r>
            <w:bookmarkEnd w:id="97"/>
          </w:p>
        </w:tc>
      </w:tr>
      <w:tr w14:paraId="331DE0BE" w14:textId="77777777" w:rsidTr="002555EA">
        <w:tblPrEx>
          <w:tblW w:w="0" w:type="auto"/>
          <w:jc w:val="center"/>
          <w:tblLook w:val="04A0"/>
        </w:tblPrEx>
        <w:trPr>
          <w:trHeight w:val="540"/>
          <w:jc w:val="center"/>
        </w:trPr>
        <w:tc>
          <w:tcPr>
            <w:tcW w:w="0" w:type="auto"/>
            <w:gridSpan w:val="2"/>
            <w:tcBorders>
              <w:top w:val="nil"/>
              <w:left w:val="nil"/>
              <w:bottom w:val="nil"/>
              <w:right w:val="nil"/>
            </w:tcBorders>
            <w:shd w:val="clear" w:color="auto" w:fill="auto"/>
            <w:hideMark/>
          </w:tcPr>
          <w:p w:rsidR="002555EA" w:rsidRPr="002555EA" w:rsidP="002555EA" w14:paraId="7EA8F722" w14:textId="158A6FE7">
            <w:pPr>
              <w:widowControl/>
              <w:autoSpaceDE/>
              <w:autoSpaceDN/>
              <w:adjustRightInd/>
              <w:rPr>
                <w:szCs w:val="20"/>
              </w:rPr>
            </w:pPr>
            <w:bookmarkStart w:id="98" w:name="RANGE!A14"/>
            <w:r w:rsidRPr="002555EA">
              <w:rPr>
                <w:szCs w:val="20"/>
              </w:rPr>
              <w:t xml:space="preserve">[4] OSHA's (2005) Regulatory Review of the Occupational Safety and Health Administration's Ethylene Oxide Standard (29 CFR 1910.1047) used a background information document from EPA's (1994) National Emission Standards for Hazardous Air Pollutants (NESHAP) for Ethylene Oxide Commercial Sterilization and Fumigation Operations. That document estimated there were a total of 187 affected facilities, including 86 medical-product manufacturers. EPA's (2016) Information Collection Request for this rule (ICR Number 201606-2060-010) estimated a total of 125 commercial ethylene oxide sterilization and fumigation facilities, but did not include a breakdown of facilities by type. OSHA thus updated the estimate of 86 medical-product manufacturers using the ratio of total commercial ethylene oxide sterilization and fumigation facilities in the 2005 Regulatory Review document (187) to the number in the 2016 EPA ICR (125), resulting in a total of 57 medical-products manufacturers. (125 *(86/187)). For this (2023) ICR, OSHA carries forward the number of medical product manufacturers estimated in the agency’s 2017 ICR due to no changes in the EPA 2020 ICR from the EPA 2016 ICR: </w:t>
            </w:r>
            <w:hyperlink r:id="rId13" w:history="1">
              <w:r w:rsidRPr="001A076D" w:rsidR="002E2E7D">
                <w:rPr>
                  <w:rStyle w:val="Hyperlink"/>
                  <w:szCs w:val="20"/>
                </w:rPr>
                <w:t>https://www.reginfo.gov/public/Forward?SearchTarget=PRA&amp;textfield=201606-2060-010</w:t>
              </w:r>
            </w:hyperlink>
            <w:r w:rsidRPr="002555EA">
              <w:rPr>
                <w:szCs w:val="20"/>
              </w:rPr>
              <w:t xml:space="preserve"> (“Extension without change of a currently approved collection”).</w:t>
            </w:r>
            <w:bookmarkEnd w:id="98"/>
          </w:p>
        </w:tc>
      </w:tr>
      <w:tr w14:paraId="6ACD29FE" w14:textId="77777777" w:rsidTr="002555EA">
        <w:tblPrEx>
          <w:tblW w:w="0" w:type="auto"/>
          <w:jc w:val="center"/>
          <w:tblLook w:val="04A0"/>
        </w:tblPrEx>
        <w:trPr>
          <w:trHeight w:val="540"/>
          <w:jc w:val="center"/>
        </w:trPr>
        <w:tc>
          <w:tcPr>
            <w:tcW w:w="0" w:type="auto"/>
            <w:gridSpan w:val="2"/>
            <w:tcBorders>
              <w:top w:val="nil"/>
              <w:left w:val="nil"/>
              <w:bottom w:val="nil"/>
              <w:right w:val="nil"/>
            </w:tcBorders>
            <w:shd w:val="clear" w:color="auto" w:fill="auto"/>
            <w:hideMark/>
          </w:tcPr>
          <w:p w:rsidR="002555EA" w:rsidRPr="002555EA" w:rsidP="002555EA" w14:paraId="1C43A993" w14:textId="1ECB0E82">
            <w:pPr>
              <w:widowControl/>
              <w:autoSpaceDE/>
              <w:autoSpaceDN/>
              <w:adjustRightInd/>
              <w:rPr>
                <w:szCs w:val="20"/>
              </w:rPr>
            </w:pPr>
            <w:bookmarkStart w:id="99" w:name="RANGE!A15"/>
            <w:r w:rsidRPr="002555EA">
              <w:rPr>
                <w:szCs w:val="20"/>
              </w:rPr>
              <w:t xml:space="preserve">[5] Thomas Register of American Manufacturers, Thomas Publishing Co., NY, NY. Retrieved 6/9/2023, from </w:t>
            </w:r>
            <w:hyperlink r:id="rId12" w:history="1">
              <w:r w:rsidRPr="002555EA">
                <w:rPr>
                  <w:rStyle w:val="Hyperlink"/>
                  <w:szCs w:val="20"/>
                </w:rPr>
                <w:t>https://www.thomasnet.com</w:t>
              </w:r>
            </w:hyperlink>
            <w:bookmarkEnd w:id="99"/>
          </w:p>
        </w:tc>
      </w:tr>
    </w:tbl>
    <w:p w:rsidR="003F1A46" w:rsidP="009C3237" w14:paraId="3338FE1B" w14:textId="77777777">
      <w:pPr>
        <w:pStyle w:val="NormalWeb"/>
        <w:spacing w:before="2" w:after="2"/>
        <w:rPr>
          <w:b/>
          <w:bCs/>
        </w:rPr>
      </w:pPr>
    </w:p>
    <w:p w:rsidR="003F1A46" w:rsidRPr="000D25F4" w:rsidP="003F1A46" w14:paraId="042913D1" w14:textId="77777777">
      <w:pPr>
        <w:widowControl/>
        <w:rPr>
          <w:b/>
          <w:bCs/>
          <w:smallCaps/>
          <w:sz w:val="24"/>
        </w:rPr>
      </w:pPr>
      <w:r w:rsidRPr="000D25F4">
        <w:rPr>
          <w:b/>
          <w:bCs/>
          <w:smallCaps/>
          <w:sz w:val="24"/>
        </w:rPr>
        <w:t>Burden Hour and Cost Determinations</w:t>
      </w:r>
    </w:p>
    <w:p w:rsidR="003F1A46" w:rsidRPr="000D25F4" w:rsidP="003F1A46" w14:paraId="36E9FB3D" w14:textId="77777777">
      <w:pPr>
        <w:widowControl/>
        <w:rPr>
          <w:b/>
          <w:bCs/>
          <w:smallCaps/>
          <w:sz w:val="24"/>
        </w:rPr>
      </w:pPr>
    </w:p>
    <w:p w:rsidR="003F1A46" w:rsidRPr="000D25F4" w:rsidP="003F1A46" w14:paraId="4958237C" w14:textId="77777777">
      <w:pPr>
        <w:widowControl/>
        <w:rPr>
          <w:sz w:val="32"/>
          <w:szCs w:val="32"/>
        </w:rPr>
      </w:pPr>
      <w:r w:rsidRPr="000D25F4">
        <w:rPr>
          <w:color w:val="000000"/>
          <w:sz w:val="24"/>
          <w:shd w:val="clear" w:color="auto" w:fill="FFFFFF"/>
        </w:rPr>
        <w:t>The agency determined the wage rate from mean hourly wage earnings to represent the cost of employee time.  For the relevant standard occupational classification category, OSHA used the wage rates reported in the Bureau of Labor Statistics, U.S. Department of Labor, Occupational Employment Wage Statistics (OEWS), May 202</w:t>
      </w:r>
      <w:r>
        <w:rPr>
          <w:color w:val="000000"/>
          <w:sz w:val="24"/>
          <w:shd w:val="clear" w:color="auto" w:fill="FFFFFF"/>
        </w:rPr>
        <w:t>2</w:t>
      </w:r>
      <w:r w:rsidRPr="000D25F4">
        <w:rPr>
          <w:color w:val="000000"/>
          <w:sz w:val="24"/>
          <w:shd w:val="clear" w:color="auto" w:fill="FFFFFF"/>
        </w:rPr>
        <w:t xml:space="preserve"> accessed:  </w:t>
      </w:r>
      <w:r>
        <w:rPr>
          <w:color w:val="000000"/>
          <w:sz w:val="24"/>
          <w:shd w:val="clear" w:color="auto" w:fill="FFFFFF"/>
        </w:rPr>
        <w:t>June 20</w:t>
      </w:r>
      <w:r w:rsidRPr="000D25F4">
        <w:rPr>
          <w:color w:val="000000"/>
          <w:sz w:val="24"/>
          <w:shd w:val="clear" w:color="auto" w:fill="FFFFFF"/>
        </w:rPr>
        <w:t xml:space="preserve">, 2023.  (OEWS data is available at </w:t>
      </w:r>
      <w:hyperlink r:id="rId14" w:anchor="43-0000">
        <w:r w:rsidRPr="000D25F4">
          <w:rPr>
            <w:color w:val="0000FF"/>
            <w:sz w:val="24"/>
            <w:u w:val="single"/>
          </w:rPr>
          <w:t>List of SOC Occupations (bls.gov)</w:t>
        </w:r>
      </w:hyperlink>
      <w:r w:rsidRPr="000D25F4">
        <w:rPr>
          <w:color w:val="000000"/>
          <w:sz w:val="24"/>
          <w:shd w:val="clear" w:color="auto" w:fill="FFFFFF"/>
        </w:rPr>
        <w:t xml:space="preserve"> To access a wage rate, select the year, “Occupation profiles,” and the Standard Occupational Classification (SOC) code.) </w:t>
      </w:r>
    </w:p>
    <w:p w:rsidR="003F1A46" w:rsidRPr="000D25F4" w:rsidP="003F1A46" w14:paraId="55561B18" w14:textId="77777777">
      <w:pPr>
        <w:widowControl/>
        <w:tabs>
          <w:tab w:val="left" w:pos="-1440"/>
        </w:tabs>
        <w:rPr>
          <w:sz w:val="24"/>
        </w:rPr>
      </w:pPr>
    </w:p>
    <w:p w:rsidR="003F1A46" w:rsidRPr="004A1B23" w:rsidP="003F1A46" w14:paraId="635A59C2" w14:textId="77777777">
      <w:pPr>
        <w:widowControl/>
        <w:autoSpaceDE/>
        <w:autoSpaceDN/>
        <w:adjustRightInd/>
        <w:textAlignment w:val="baseline"/>
        <w:rPr>
          <w:rFonts w:ascii="Segoe UI" w:hAnsi="Segoe UI" w:cs="Segoe UI"/>
          <w:sz w:val="24"/>
        </w:rPr>
      </w:pPr>
      <w:r w:rsidRPr="00421373">
        <w:rPr>
          <w:sz w:val="24"/>
        </w:rPr>
        <w:t xml:space="preserve">To account for fringe benefits, the agency used the </w:t>
      </w:r>
      <w:r w:rsidRPr="00421373">
        <w:rPr>
          <w:i/>
          <w:iCs/>
          <w:sz w:val="24"/>
        </w:rPr>
        <w:t>Occupational Employment Wage Statistics (OEWS)</w:t>
      </w:r>
      <w:r w:rsidRPr="00421373">
        <w:rPr>
          <w:sz w:val="24"/>
        </w:rPr>
        <w:t xml:space="preserve">.  Fringe markup is from the following BLS release:  </w:t>
      </w:r>
      <w:r w:rsidRPr="00421373">
        <w:rPr>
          <w:i/>
          <w:iCs/>
          <w:sz w:val="24"/>
        </w:rPr>
        <w:t>Employer Costs for Employee Compensation</w:t>
      </w:r>
      <w:r w:rsidRPr="00421373">
        <w:rPr>
          <w:sz w:val="24"/>
        </w:rPr>
        <w:t xml:space="preserve"> news release text; For release, June 16, 2023 </w:t>
      </w:r>
      <w:r w:rsidRPr="00421373">
        <w:rPr>
          <w:i/>
          <w:iCs/>
          <w:sz w:val="24"/>
          <w:u w:val="single"/>
        </w:rPr>
        <w:t xml:space="preserve"> </w:t>
      </w:r>
      <w:hyperlink r:id="rId15" w:history="1">
        <w:r w:rsidRPr="004A1B23">
          <w:rPr>
            <w:color w:val="0000FF"/>
            <w:sz w:val="24"/>
            <w:u w:val="single"/>
          </w:rPr>
          <w:t xml:space="preserve">Employer Costs for Employee </w:t>
        </w:r>
        <w:r w:rsidRPr="004A1B23">
          <w:rPr>
            <w:color w:val="0000FF"/>
            <w:sz w:val="24"/>
            <w:u w:val="single"/>
          </w:rPr>
          <w:t>Compensation – December 2022 (bls.gov)</w:t>
        </w:r>
      </w:hyperlink>
      <w:r w:rsidRPr="00421373">
        <w:rPr>
          <w:i/>
          <w:iCs/>
          <w:sz w:val="24"/>
        </w:rPr>
        <w:t xml:space="preserve">. </w:t>
      </w:r>
      <w:r w:rsidRPr="00421373">
        <w:rPr>
          <w:sz w:val="24"/>
        </w:rPr>
        <w:t>BLS reported that civilian workers, fringe benefits accounted for accounted for 29.5 percent of total compensation and wages accounted for the remaining 70.5 percent.   </w:t>
      </w:r>
    </w:p>
    <w:p w:rsidR="003F1A46" w:rsidRPr="000D25F4" w:rsidP="003F1A46" w14:paraId="1C3252DA" w14:textId="77777777">
      <w:pPr>
        <w:widowControl/>
        <w:autoSpaceDE/>
        <w:autoSpaceDN/>
        <w:adjustRightInd/>
        <w:textAlignment w:val="baseline"/>
        <w:rPr>
          <w:sz w:val="24"/>
        </w:rPr>
      </w:pPr>
      <w:r w:rsidRPr="000D25F4">
        <w:rPr>
          <w:sz w:val="24"/>
        </w:rPr>
        <w:t> </w:t>
      </w:r>
    </w:p>
    <w:p w:rsidR="003F1A46" w:rsidRPr="000D25F4" w:rsidP="003F1A46" w14:paraId="4BB419A1" w14:textId="77777777">
      <w:pPr>
        <w:widowControl/>
        <w:autoSpaceDE/>
        <w:autoSpaceDN/>
        <w:adjustRightInd/>
        <w:textAlignment w:val="baseline"/>
        <w:rPr>
          <w:sz w:val="24"/>
        </w:rPr>
      </w:pPr>
    </w:p>
    <w:tbl>
      <w:tblPr>
        <w:tblW w:w="9602" w:type="dxa"/>
        <w:tblInd w:w="-10" w:type="dxa"/>
        <w:tblLook w:val="04A0"/>
      </w:tblPr>
      <w:tblGrid>
        <w:gridCol w:w="2970"/>
        <w:gridCol w:w="1440"/>
        <w:gridCol w:w="1440"/>
        <w:gridCol w:w="1530"/>
        <w:gridCol w:w="2222"/>
      </w:tblGrid>
      <w:tr w14:paraId="0361111B" w14:textId="77777777" w:rsidTr="00503144">
        <w:tblPrEx>
          <w:tblW w:w="9602" w:type="dxa"/>
          <w:tblInd w:w="-10" w:type="dxa"/>
          <w:tblLook w:val="04A0"/>
        </w:tblPrEx>
        <w:trPr>
          <w:trHeight w:val="300"/>
        </w:trPr>
        <w:tc>
          <w:tcPr>
            <w:tcW w:w="9602" w:type="dxa"/>
            <w:gridSpan w:val="5"/>
            <w:tcBorders>
              <w:top w:val="single" w:sz="8" w:space="0" w:color="auto"/>
              <w:left w:val="single" w:sz="8" w:space="0" w:color="auto"/>
              <w:bottom w:val="single" w:sz="8" w:space="0" w:color="auto"/>
              <w:right w:val="single" w:sz="8" w:space="0" w:color="000000" w:themeColor="text1"/>
            </w:tcBorders>
            <w:shd w:val="clear" w:color="auto" w:fill="E2EFD9" w:themeFill="accent6" w:themeFillTint="33"/>
            <w:vAlign w:val="center"/>
            <w:hideMark/>
          </w:tcPr>
          <w:p w:rsidR="003F1A46" w:rsidRPr="000D25F4" w:rsidP="00AC596B" w14:paraId="5748152C" w14:textId="53034A43">
            <w:pPr>
              <w:widowControl/>
              <w:autoSpaceDE/>
              <w:adjustRightInd/>
              <w:jc w:val="center"/>
              <w:rPr>
                <w:b/>
                <w:color w:val="000000"/>
              </w:rPr>
            </w:pPr>
            <w:r>
              <w:rPr>
                <w:b/>
                <w:color w:val="000000" w:themeColor="text1"/>
              </w:rPr>
              <w:t xml:space="preserve">Table 2   </w:t>
            </w:r>
            <w:r w:rsidRPr="000D25F4">
              <w:rPr>
                <w:b/>
                <w:color w:val="000000" w:themeColor="text1"/>
              </w:rPr>
              <w:t>WAGE HOUR ESTIMATES (</w:t>
            </w:r>
            <w:r w:rsidRPr="000D25F4">
              <w:rPr>
                <w:b/>
                <w:bCs/>
                <w:color w:val="000000" w:themeColor="text1"/>
              </w:rPr>
              <w:t>2023</w:t>
            </w:r>
            <w:r w:rsidRPr="000D25F4">
              <w:rPr>
                <w:b/>
                <w:color w:val="000000" w:themeColor="text1"/>
              </w:rPr>
              <w:t>)</w:t>
            </w:r>
          </w:p>
        </w:tc>
      </w:tr>
      <w:tr w14:paraId="0B082D63" w14:textId="77777777" w:rsidTr="00503144">
        <w:tblPrEx>
          <w:tblW w:w="9602" w:type="dxa"/>
          <w:tblInd w:w="-10" w:type="dxa"/>
          <w:tblLook w:val="04A0"/>
        </w:tblPrEx>
        <w:trPr>
          <w:trHeight w:val="1320"/>
        </w:trPr>
        <w:tc>
          <w:tcPr>
            <w:tcW w:w="2970" w:type="dxa"/>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hideMark/>
          </w:tcPr>
          <w:p w:rsidR="003F1A46" w:rsidRPr="000D25F4" w:rsidP="00AC596B" w14:paraId="0BCD4C7D" w14:textId="77777777">
            <w:pPr>
              <w:widowControl/>
              <w:autoSpaceDE/>
              <w:adjustRightInd/>
              <w:jc w:val="center"/>
              <w:rPr>
                <w:b/>
                <w:bCs/>
                <w:color w:val="000000"/>
                <w:sz w:val="24"/>
              </w:rPr>
            </w:pPr>
            <w:r w:rsidRPr="000D25F4">
              <w:rPr>
                <w:b/>
                <w:bCs/>
                <w:color w:val="000000"/>
                <w:sz w:val="24"/>
              </w:rPr>
              <w:t>Occupational Title</w:t>
            </w:r>
          </w:p>
        </w:tc>
        <w:tc>
          <w:tcPr>
            <w:tcW w:w="1440" w:type="dxa"/>
            <w:tcBorders>
              <w:top w:val="single" w:sz="8" w:space="0" w:color="auto"/>
              <w:left w:val="nil"/>
              <w:bottom w:val="single" w:sz="8" w:space="0" w:color="auto"/>
              <w:right w:val="single" w:sz="8" w:space="0" w:color="auto"/>
            </w:tcBorders>
            <w:shd w:val="clear" w:color="auto" w:fill="A8D08D" w:themeFill="accent6" w:themeFillTint="99"/>
            <w:vAlign w:val="center"/>
            <w:hideMark/>
          </w:tcPr>
          <w:p w:rsidR="003F1A46" w:rsidRPr="000D25F4" w:rsidP="00AC596B" w14:paraId="5DFBFDC6" w14:textId="77777777">
            <w:pPr>
              <w:widowControl/>
              <w:autoSpaceDE/>
              <w:adjustRightInd/>
              <w:jc w:val="center"/>
              <w:rPr>
                <w:b/>
                <w:bCs/>
                <w:color w:val="000000"/>
                <w:sz w:val="24"/>
              </w:rPr>
            </w:pPr>
            <w:r w:rsidRPr="000D25F4">
              <w:rPr>
                <w:b/>
                <w:bCs/>
                <w:color w:val="000000"/>
                <w:sz w:val="24"/>
              </w:rPr>
              <w:t>Standard Occupation Code</w:t>
            </w:r>
          </w:p>
        </w:tc>
        <w:tc>
          <w:tcPr>
            <w:tcW w:w="1440" w:type="dxa"/>
            <w:tcBorders>
              <w:top w:val="single" w:sz="8" w:space="0" w:color="auto"/>
              <w:left w:val="nil"/>
              <w:bottom w:val="single" w:sz="8" w:space="0" w:color="auto"/>
              <w:right w:val="single" w:sz="8" w:space="0" w:color="auto"/>
            </w:tcBorders>
            <w:shd w:val="clear" w:color="auto" w:fill="A8D08D" w:themeFill="accent6" w:themeFillTint="99"/>
            <w:vAlign w:val="center"/>
            <w:hideMark/>
          </w:tcPr>
          <w:p w:rsidR="003F1A46" w:rsidRPr="000D25F4" w:rsidP="00AC596B" w14:paraId="27436EC5" w14:textId="77777777">
            <w:pPr>
              <w:widowControl/>
              <w:autoSpaceDE/>
              <w:adjustRightInd/>
              <w:jc w:val="center"/>
              <w:rPr>
                <w:b/>
                <w:bCs/>
                <w:color w:val="000000"/>
                <w:sz w:val="24"/>
              </w:rPr>
            </w:pPr>
            <w:r w:rsidRPr="000D25F4">
              <w:rPr>
                <w:b/>
                <w:bCs/>
                <w:color w:val="000000"/>
                <w:sz w:val="24"/>
              </w:rPr>
              <w:t>Mean Hour Wage Rate (A)</w:t>
            </w:r>
          </w:p>
        </w:tc>
        <w:tc>
          <w:tcPr>
            <w:tcW w:w="1530" w:type="dxa"/>
            <w:tcBorders>
              <w:top w:val="single" w:sz="8" w:space="0" w:color="auto"/>
              <w:left w:val="nil"/>
              <w:bottom w:val="single" w:sz="8" w:space="0" w:color="auto"/>
              <w:right w:val="single" w:sz="8" w:space="0" w:color="auto"/>
            </w:tcBorders>
            <w:shd w:val="clear" w:color="auto" w:fill="A8D08D" w:themeFill="accent6" w:themeFillTint="99"/>
            <w:vAlign w:val="center"/>
            <w:hideMark/>
          </w:tcPr>
          <w:p w:rsidR="003F1A46" w:rsidRPr="000D25F4" w:rsidP="00AC596B" w14:paraId="60FD4D3D" w14:textId="77777777">
            <w:pPr>
              <w:widowControl/>
              <w:autoSpaceDE/>
              <w:adjustRightInd/>
              <w:jc w:val="center"/>
              <w:rPr>
                <w:b/>
                <w:bCs/>
                <w:color w:val="000000"/>
                <w:sz w:val="24"/>
              </w:rPr>
            </w:pPr>
            <w:r w:rsidRPr="000D25F4">
              <w:rPr>
                <w:b/>
                <w:bCs/>
                <w:color w:val="000000"/>
                <w:sz w:val="24"/>
              </w:rPr>
              <w:t xml:space="preserve">Fringe Benefits </w:t>
            </w:r>
          </w:p>
          <w:p w:rsidR="003F1A46" w:rsidRPr="000D25F4" w:rsidP="00AC596B" w14:paraId="7088F68C" w14:textId="77777777">
            <w:pPr>
              <w:widowControl/>
              <w:autoSpaceDE/>
              <w:adjustRightInd/>
              <w:jc w:val="center"/>
              <w:rPr>
                <w:b/>
                <w:bCs/>
                <w:color w:val="000000"/>
                <w:sz w:val="24"/>
              </w:rPr>
            </w:pPr>
            <w:r w:rsidRPr="000D25F4">
              <w:rPr>
                <w:b/>
                <w:bCs/>
                <w:color w:val="000000"/>
                <w:sz w:val="24"/>
              </w:rPr>
              <w:t>(B)</w:t>
            </w:r>
          </w:p>
        </w:tc>
        <w:tc>
          <w:tcPr>
            <w:tcW w:w="2222" w:type="dxa"/>
            <w:tcBorders>
              <w:top w:val="single" w:sz="8" w:space="0" w:color="auto"/>
              <w:left w:val="nil"/>
              <w:bottom w:val="single" w:sz="8" w:space="0" w:color="auto"/>
              <w:right w:val="single" w:sz="8" w:space="0" w:color="auto"/>
            </w:tcBorders>
            <w:shd w:val="clear" w:color="auto" w:fill="A8D08D" w:themeFill="accent6" w:themeFillTint="99"/>
            <w:vAlign w:val="center"/>
            <w:hideMark/>
          </w:tcPr>
          <w:p w:rsidR="003F1A46" w:rsidRPr="000D25F4" w:rsidP="00AC596B" w14:paraId="51674D72" w14:textId="77777777">
            <w:pPr>
              <w:widowControl/>
              <w:autoSpaceDE/>
              <w:adjustRightInd/>
              <w:jc w:val="center"/>
              <w:rPr>
                <w:b/>
                <w:bCs/>
                <w:color w:val="000000" w:themeColor="text1"/>
                <w:sz w:val="24"/>
              </w:rPr>
            </w:pPr>
            <w:r w:rsidRPr="000D25F4">
              <w:rPr>
                <w:b/>
                <w:color w:val="000000" w:themeColor="text1"/>
                <w:sz w:val="24"/>
              </w:rPr>
              <w:t xml:space="preserve">Loaded Hourly Wage Rate     </w:t>
            </w:r>
          </w:p>
          <w:p w:rsidR="003F1A46" w:rsidRPr="000D25F4" w:rsidP="00AC596B" w14:paraId="03130089" w14:textId="77777777">
            <w:pPr>
              <w:widowControl/>
              <w:autoSpaceDE/>
              <w:adjustRightInd/>
              <w:jc w:val="center"/>
              <w:rPr>
                <w:b/>
                <w:bCs/>
                <w:color w:val="000000"/>
                <w:sz w:val="24"/>
              </w:rPr>
            </w:pPr>
            <w:r w:rsidRPr="000D25F4">
              <w:rPr>
                <w:b/>
                <w:bCs/>
                <w:sz w:val="24"/>
              </w:rPr>
              <w:t>(C) = (A)/((1-(B))</w:t>
            </w:r>
            <w:r w:rsidRPr="000D25F4">
              <w:rPr>
                <w:b/>
                <w:bCs/>
                <w:color w:val="000000" w:themeColor="text1"/>
                <w:sz w:val="24"/>
              </w:rPr>
              <w:t>)</w:t>
            </w:r>
          </w:p>
        </w:tc>
      </w:tr>
      <w:tr w14:paraId="1A51B21C" w14:textId="77777777" w:rsidTr="00DF3580">
        <w:tblPrEx>
          <w:tblW w:w="9602" w:type="dxa"/>
          <w:tblInd w:w="-10" w:type="dxa"/>
          <w:tblLook w:val="04A0"/>
        </w:tblPrEx>
        <w:trPr>
          <w:trHeight w:val="300"/>
        </w:trPr>
        <w:tc>
          <w:tcPr>
            <w:tcW w:w="2970" w:type="dxa"/>
            <w:tcBorders>
              <w:top w:val="nil"/>
              <w:left w:val="single" w:sz="8" w:space="0" w:color="auto"/>
              <w:bottom w:val="single" w:sz="8" w:space="0" w:color="auto"/>
              <w:right w:val="single" w:sz="8" w:space="0" w:color="auto"/>
            </w:tcBorders>
            <w:hideMark/>
          </w:tcPr>
          <w:p w:rsidR="003F1A46" w:rsidRPr="000D25F4" w:rsidP="00AC596B" w14:paraId="53C1E97C" w14:textId="77777777">
            <w:pPr>
              <w:widowControl/>
              <w:autoSpaceDE/>
              <w:adjustRightInd/>
              <w:rPr>
                <w:color w:val="000000"/>
                <w:sz w:val="24"/>
              </w:rPr>
            </w:pPr>
            <w:r>
              <w:rPr>
                <w:color w:val="000000"/>
                <w:sz w:val="24"/>
              </w:rPr>
              <w:t xml:space="preserve">First Line Supervisor </w:t>
            </w:r>
          </w:p>
        </w:tc>
        <w:tc>
          <w:tcPr>
            <w:tcW w:w="1440" w:type="dxa"/>
            <w:tcBorders>
              <w:top w:val="nil"/>
              <w:left w:val="nil"/>
              <w:bottom w:val="single" w:sz="8" w:space="0" w:color="auto"/>
              <w:right w:val="single" w:sz="8" w:space="0" w:color="auto"/>
            </w:tcBorders>
            <w:vAlign w:val="center"/>
            <w:hideMark/>
          </w:tcPr>
          <w:p w:rsidR="003F1A46" w:rsidRPr="000D25F4" w:rsidP="00664B5C" w14:paraId="5127258F" w14:textId="77777777">
            <w:pPr>
              <w:widowControl/>
              <w:autoSpaceDE/>
              <w:adjustRightInd/>
              <w:jc w:val="center"/>
              <w:rPr>
                <w:color w:val="000000"/>
                <w:sz w:val="24"/>
              </w:rPr>
            </w:pPr>
            <w:r>
              <w:rPr>
                <w:color w:val="000000"/>
                <w:sz w:val="24"/>
              </w:rPr>
              <w:t>51-1011</w:t>
            </w:r>
          </w:p>
        </w:tc>
        <w:tc>
          <w:tcPr>
            <w:tcW w:w="1440" w:type="dxa"/>
            <w:tcBorders>
              <w:top w:val="nil"/>
              <w:left w:val="nil"/>
              <w:bottom w:val="single" w:sz="8" w:space="0" w:color="auto"/>
              <w:right w:val="single" w:sz="8" w:space="0" w:color="auto"/>
            </w:tcBorders>
            <w:vAlign w:val="center"/>
            <w:hideMark/>
          </w:tcPr>
          <w:p w:rsidR="003F1A46" w:rsidRPr="000D25F4" w:rsidP="00AC596B" w14:paraId="65D8C29A" w14:textId="77777777">
            <w:pPr>
              <w:widowControl/>
              <w:autoSpaceDE/>
              <w:adjustRightInd/>
              <w:jc w:val="center"/>
              <w:rPr>
                <w:color w:val="000000"/>
                <w:sz w:val="24"/>
              </w:rPr>
            </w:pPr>
            <w:r w:rsidRPr="000D25F4">
              <w:rPr>
                <w:sz w:val="24"/>
              </w:rPr>
              <w:t>$</w:t>
            </w:r>
            <w:r>
              <w:rPr>
                <w:sz w:val="24"/>
              </w:rPr>
              <w:t>33.22</w:t>
            </w:r>
          </w:p>
        </w:tc>
        <w:tc>
          <w:tcPr>
            <w:tcW w:w="1530" w:type="dxa"/>
            <w:tcBorders>
              <w:top w:val="nil"/>
              <w:left w:val="nil"/>
              <w:bottom w:val="single" w:sz="8" w:space="0" w:color="auto"/>
              <w:right w:val="single" w:sz="8" w:space="0" w:color="auto"/>
            </w:tcBorders>
            <w:vAlign w:val="center"/>
            <w:hideMark/>
          </w:tcPr>
          <w:p w:rsidR="003F1A46" w:rsidRPr="000D25F4" w:rsidP="00AC596B" w14:paraId="47AE7E1D" w14:textId="77777777">
            <w:pPr>
              <w:widowControl/>
              <w:autoSpaceDE/>
              <w:adjustRightInd/>
              <w:jc w:val="center"/>
              <w:rPr>
                <w:color w:val="000000"/>
                <w:sz w:val="24"/>
              </w:rPr>
            </w:pPr>
            <w:r w:rsidRPr="000D25F4">
              <w:rPr>
                <w:color w:val="000000"/>
                <w:sz w:val="24"/>
              </w:rPr>
              <w:t>.295</w:t>
            </w:r>
          </w:p>
        </w:tc>
        <w:tc>
          <w:tcPr>
            <w:tcW w:w="2222" w:type="dxa"/>
            <w:tcBorders>
              <w:top w:val="single" w:sz="8" w:space="0" w:color="auto"/>
              <w:left w:val="single" w:sz="8" w:space="0" w:color="auto"/>
              <w:bottom w:val="single" w:sz="8" w:space="0" w:color="auto"/>
              <w:right w:val="single" w:sz="8" w:space="0" w:color="auto"/>
            </w:tcBorders>
            <w:vAlign w:val="center"/>
            <w:hideMark/>
          </w:tcPr>
          <w:p w:rsidR="003F1A46" w:rsidRPr="000D25F4" w:rsidP="00AC596B" w14:paraId="0C28F528" w14:textId="77777777">
            <w:pPr>
              <w:widowControl/>
              <w:autoSpaceDE/>
              <w:adjustRightInd/>
              <w:jc w:val="center"/>
              <w:rPr>
                <w:color w:val="000000"/>
                <w:sz w:val="24"/>
              </w:rPr>
            </w:pPr>
            <w:r w:rsidRPr="000D25F4">
              <w:rPr>
                <w:color w:val="000000" w:themeColor="text1"/>
                <w:sz w:val="24"/>
              </w:rPr>
              <w:t>$</w:t>
            </w:r>
            <w:r>
              <w:rPr>
                <w:color w:val="000000" w:themeColor="text1"/>
                <w:sz w:val="24"/>
              </w:rPr>
              <w:t>47.12</w:t>
            </w:r>
          </w:p>
        </w:tc>
      </w:tr>
      <w:tr w14:paraId="72502196" w14:textId="77777777" w:rsidTr="00DF3580">
        <w:tblPrEx>
          <w:tblW w:w="9602" w:type="dxa"/>
          <w:tblInd w:w="-10" w:type="dxa"/>
          <w:tblLook w:val="04A0"/>
        </w:tblPrEx>
        <w:trPr>
          <w:trHeight w:val="520"/>
        </w:trPr>
        <w:tc>
          <w:tcPr>
            <w:tcW w:w="2970" w:type="dxa"/>
            <w:tcBorders>
              <w:top w:val="single" w:sz="8" w:space="0" w:color="auto"/>
              <w:left w:val="single" w:sz="8" w:space="0" w:color="auto"/>
              <w:bottom w:val="single" w:sz="4" w:space="0" w:color="auto"/>
              <w:right w:val="single" w:sz="8" w:space="0" w:color="auto"/>
            </w:tcBorders>
            <w:hideMark/>
          </w:tcPr>
          <w:p w:rsidR="003F1A46" w:rsidRPr="000D25F4" w:rsidP="00AC596B" w14:paraId="4B2AA6F3" w14:textId="77777777">
            <w:pPr>
              <w:widowControl/>
              <w:autoSpaceDE/>
              <w:adjustRightInd/>
              <w:rPr>
                <w:color w:val="000000"/>
                <w:sz w:val="24"/>
              </w:rPr>
            </w:pPr>
            <w:r w:rsidRPr="000D25F4">
              <w:rPr>
                <w:sz w:val="24"/>
              </w:rPr>
              <w:t>Secretaries &amp; Administrative Assistants (Clerical)</w:t>
            </w:r>
          </w:p>
        </w:tc>
        <w:tc>
          <w:tcPr>
            <w:tcW w:w="1440" w:type="dxa"/>
            <w:tcBorders>
              <w:top w:val="single" w:sz="8" w:space="0" w:color="auto"/>
              <w:left w:val="nil"/>
              <w:bottom w:val="single" w:sz="4" w:space="0" w:color="auto"/>
              <w:right w:val="single" w:sz="8" w:space="0" w:color="auto"/>
            </w:tcBorders>
            <w:vAlign w:val="center"/>
            <w:hideMark/>
          </w:tcPr>
          <w:p w:rsidR="003F1A46" w:rsidRPr="000D25F4" w:rsidP="00664B5C" w14:paraId="3E539CC2" w14:textId="77777777">
            <w:pPr>
              <w:widowControl/>
              <w:autoSpaceDE/>
              <w:adjustRightInd/>
              <w:jc w:val="center"/>
              <w:rPr>
                <w:color w:val="000000"/>
                <w:sz w:val="24"/>
              </w:rPr>
            </w:pPr>
            <w:r w:rsidRPr="000D25F4">
              <w:rPr>
                <w:sz w:val="24"/>
              </w:rPr>
              <w:t>43-6014</w:t>
            </w:r>
          </w:p>
        </w:tc>
        <w:tc>
          <w:tcPr>
            <w:tcW w:w="1440" w:type="dxa"/>
            <w:tcBorders>
              <w:top w:val="single" w:sz="8" w:space="0" w:color="auto"/>
              <w:left w:val="nil"/>
              <w:bottom w:val="single" w:sz="4" w:space="0" w:color="auto"/>
              <w:right w:val="single" w:sz="8" w:space="0" w:color="auto"/>
            </w:tcBorders>
            <w:vAlign w:val="center"/>
            <w:hideMark/>
          </w:tcPr>
          <w:p w:rsidR="003F1A46" w:rsidRPr="000D25F4" w:rsidP="00AC596B" w14:paraId="28B18835" w14:textId="77777777">
            <w:pPr>
              <w:widowControl/>
              <w:autoSpaceDE/>
              <w:adjustRightInd/>
              <w:jc w:val="center"/>
              <w:rPr>
                <w:sz w:val="24"/>
              </w:rPr>
            </w:pPr>
            <w:r w:rsidRPr="000D25F4">
              <w:rPr>
                <w:sz w:val="24"/>
              </w:rPr>
              <w:t>$20.87</w:t>
            </w:r>
          </w:p>
        </w:tc>
        <w:tc>
          <w:tcPr>
            <w:tcW w:w="1530" w:type="dxa"/>
            <w:tcBorders>
              <w:top w:val="single" w:sz="8" w:space="0" w:color="auto"/>
              <w:left w:val="nil"/>
              <w:bottom w:val="single" w:sz="4" w:space="0" w:color="auto"/>
              <w:right w:val="single" w:sz="8" w:space="0" w:color="auto"/>
            </w:tcBorders>
            <w:vAlign w:val="center"/>
            <w:hideMark/>
          </w:tcPr>
          <w:p w:rsidR="003F1A46" w:rsidRPr="000D25F4" w:rsidP="00AC596B" w14:paraId="3DC328E7" w14:textId="77777777">
            <w:pPr>
              <w:widowControl/>
              <w:autoSpaceDE/>
              <w:adjustRightInd/>
              <w:jc w:val="center"/>
              <w:rPr>
                <w:color w:val="000000"/>
                <w:sz w:val="24"/>
              </w:rPr>
            </w:pPr>
            <w:r w:rsidRPr="000D25F4">
              <w:rPr>
                <w:color w:val="000000"/>
                <w:sz w:val="24"/>
              </w:rPr>
              <w:t>.295</w:t>
            </w:r>
          </w:p>
        </w:tc>
        <w:tc>
          <w:tcPr>
            <w:tcW w:w="2222" w:type="dxa"/>
            <w:tcBorders>
              <w:top w:val="single" w:sz="8" w:space="0" w:color="auto"/>
              <w:left w:val="single" w:sz="8" w:space="0" w:color="auto"/>
              <w:bottom w:val="single" w:sz="4" w:space="0" w:color="auto"/>
              <w:right w:val="single" w:sz="8" w:space="0" w:color="auto"/>
            </w:tcBorders>
            <w:vAlign w:val="center"/>
            <w:hideMark/>
          </w:tcPr>
          <w:p w:rsidR="003F1A46" w:rsidRPr="000D25F4" w:rsidP="00AC596B" w14:paraId="030502FC" w14:textId="77777777">
            <w:pPr>
              <w:widowControl/>
              <w:autoSpaceDE/>
              <w:adjustRightInd/>
              <w:jc w:val="center"/>
              <w:rPr>
                <w:color w:val="000000"/>
                <w:sz w:val="24"/>
              </w:rPr>
            </w:pPr>
            <w:r w:rsidRPr="000D25F4">
              <w:rPr>
                <w:color w:val="000000" w:themeColor="text1"/>
                <w:sz w:val="24"/>
              </w:rPr>
              <w:t>$29.60</w:t>
            </w:r>
          </w:p>
        </w:tc>
      </w:tr>
      <w:tr w14:paraId="1C48F27E" w14:textId="77777777" w:rsidTr="00DF3580">
        <w:tblPrEx>
          <w:tblW w:w="9602" w:type="dxa"/>
          <w:tblInd w:w="-10" w:type="dxa"/>
          <w:tblLook w:val="04A0"/>
        </w:tblPrEx>
        <w:trPr>
          <w:trHeight w:val="520"/>
        </w:trPr>
        <w:tc>
          <w:tcPr>
            <w:tcW w:w="2970" w:type="dxa"/>
            <w:tcBorders>
              <w:top w:val="single" w:sz="4" w:space="0" w:color="auto"/>
              <w:left w:val="single" w:sz="8" w:space="0" w:color="auto"/>
              <w:bottom w:val="single" w:sz="4" w:space="0" w:color="auto"/>
              <w:right w:val="single" w:sz="8" w:space="0" w:color="auto"/>
            </w:tcBorders>
          </w:tcPr>
          <w:p w:rsidR="003F1A46" w:rsidRPr="000D25F4" w:rsidP="00AC596B" w14:paraId="271065ED" w14:textId="77777777">
            <w:pPr>
              <w:widowControl/>
              <w:autoSpaceDE/>
              <w:adjustRightInd/>
              <w:rPr>
                <w:sz w:val="24"/>
              </w:rPr>
            </w:pPr>
            <w:r w:rsidRPr="00565389">
              <w:rPr>
                <w:sz w:val="24"/>
              </w:rPr>
              <w:t>Occupational Health and Safety Specialist and Technician</w:t>
            </w:r>
          </w:p>
        </w:tc>
        <w:tc>
          <w:tcPr>
            <w:tcW w:w="1440" w:type="dxa"/>
            <w:tcBorders>
              <w:top w:val="single" w:sz="4" w:space="0" w:color="auto"/>
              <w:left w:val="nil"/>
              <w:bottom w:val="single" w:sz="4" w:space="0" w:color="auto"/>
              <w:right w:val="single" w:sz="8" w:space="0" w:color="auto"/>
            </w:tcBorders>
            <w:vAlign w:val="center"/>
          </w:tcPr>
          <w:p w:rsidR="003F1A46" w:rsidRPr="000D25F4" w:rsidP="00664B5C" w14:paraId="3B22EE6B" w14:textId="77777777">
            <w:pPr>
              <w:widowControl/>
              <w:autoSpaceDE/>
              <w:adjustRightInd/>
              <w:jc w:val="center"/>
              <w:rPr>
                <w:sz w:val="24"/>
              </w:rPr>
            </w:pPr>
            <w:r>
              <w:rPr>
                <w:sz w:val="24"/>
              </w:rPr>
              <w:t>19-5012</w:t>
            </w:r>
          </w:p>
        </w:tc>
        <w:tc>
          <w:tcPr>
            <w:tcW w:w="1440" w:type="dxa"/>
            <w:tcBorders>
              <w:top w:val="single" w:sz="4" w:space="0" w:color="auto"/>
              <w:left w:val="nil"/>
              <w:bottom w:val="single" w:sz="4" w:space="0" w:color="auto"/>
              <w:right w:val="single" w:sz="8" w:space="0" w:color="auto"/>
            </w:tcBorders>
            <w:vAlign w:val="center"/>
          </w:tcPr>
          <w:p w:rsidR="003F1A46" w:rsidRPr="000D25F4" w:rsidP="00AC596B" w14:paraId="462156FD" w14:textId="77777777">
            <w:pPr>
              <w:widowControl/>
              <w:autoSpaceDE/>
              <w:adjustRightInd/>
              <w:jc w:val="center"/>
              <w:rPr>
                <w:sz w:val="24"/>
              </w:rPr>
            </w:pPr>
            <w:r>
              <w:rPr>
                <w:sz w:val="24"/>
              </w:rPr>
              <w:t>$30.40</w:t>
            </w:r>
          </w:p>
        </w:tc>
        <w:tc>
          <w:tcPr>
            <w:tcW w:w="1530" w:type="dxa"/>
            <w:tcBorders>
              <w:top w:val="single" w:sz="4" w:space="0" w:color="auto"/>
              <w:left w:val="nil"/>
              <w:bottom w:val="single" w:sz="4" w:space="0" w:color="auto"/>
              <w:right w:val="single" w:sz="8" w:space="0" w:color="auto"/>
            </w:tcBorders>
            <w:vAlign w:val="center"/>
          </w:tcPr>
          <w:p w:rsidR="003F1A46" w:rsidRPr="000D25F4" w:rsidP="00AC596B" w14:paraId="0812F2C4" w14:textId="77777777">
            <w:pPr>
              <w:widowControl/>
              <w:autoSpaceDE/>
              <w:adjustRightInd/>
              <w:jc w:val="center"/>
              <w:rPr>
                <w:color w:val="000000"/>
                <w:sz w:val="24"/>
              </w:rPr>
            </w:pPr>
            <w:r>
              <w:rPr>
                <w:color w:val="000000"/>
                <w:sz w:val="24"/>
              </w:rPr>
              <w:t>.295</w:t>
            </w:r>
          </w:p>
        </w:tc>
        <w:tc>
          <w:tcPr>
            <w:tcW w:w="2222" w:type="dxa"/>
            <w:tcBorders>
              <w:top w:val="single" w:sz="4" w:space="0" w:color="auto"/>
              <w:left w:val="single" w:sz="8" w:space="0" w:color="auto"/>
              <w:bottom w:val="single" w:sz="4" w:space="0" w:color="auto"/>
              <w:right w:val="single" w:sz="8" w:space="0" w:color="auto"/>
            </w:tcBorders>
            <w:vAlign w:val="center"/>
          </w:tcPr>
          <w:p w:rsidR="003F1A46" w:rsidRPr="000D25F4" w:rsidP="00AC596B" w14:paraId="59F80E49" w14:textId="77777777">
            <w:pPr>
              <w:widowControl/>
              <w:autoSpaceDE/>
              <w:adjustRightInd/>
              <w:jc w:val="center"/>
              <w:rPr>
                <w:color w:val="000000" w:themeColor="text1"/>
                <w:sz w:val="24"/>
              </w:rPr>
            </w:pPr>
            <w:r>
              <w:rPr>
                <w:color w:val="000000" w:themeColor="text1"/>
                <w:sz w:val="24"/>
              </w:rPr>
              <w:t>$43.12</w:t>
            </w:r>
          </w:p>
        </w:tc>
      </w:tr>
    </w:tbl>
    <w:p w:rsidR="00B6485A" w:rsidRPr="00FD6056" w:rsidP="00FD6056" w14:paraId="772C9441" w14:textId="76771E37">
      <w:pPr>
        <w:widowControl/>
        <w:rPr>
          <w:color w:val="000000"/>
          <w:sz w:val="24"/>
        </w:rPr>
      </w:pPr>
      <w:r w:rsidRPr="007B7C0B">
        <w:rPr>
          <w:sz w:val="24"/>
        </w:rPr>
        <w:tab/>
      </w:r>
    </w:p>
    <w:p w:rsidR="002555EA" w:rsidP="009C3237" w14:paraId="00F1A290" w14:textId="77777777">
      <w:pPr>
        <w:rPr>
          <w:sz w:val="24"/>
        </w:rPr>
      </w:pPr>
    </w:p>
    <w:p w:rsidR="009C3237" w:rsidRPr="00565389" w:rsidP="009C3237" w14:paraId="3D44D6AF" w14:textId="401B6CE0">
      <w:pPr>
        <w:rPr>
          <w:sz w:val="24"/>
        </w:rPr>
      </w:pPr>
      <w:r w:rsidRPr="00565389">
        <w:rPr>
          <w:b/>
          <w:bCs/>
          <w:sz w:val="24"/>
        </w:rPr>
        <w:t>Burden Hour and Cost Determinations</w:t>
      </w:r>
    </w:p>
    <w:p w:rsidR="009C3237" w:rsidRPr="00565389" w:rsidP="009C3237" w14:paraId="14ECCBDF" w14:textId="77777777">
      <w:pPr>
        <w:rPr>
          <w:sz w:val="24"/>
        </w:rPr>
      </w:pPr>
    </w:p>
    <w:p w:rsidR="009C3237" w:rsidRPr="00565389" w:rsidP="009C3237" w14:paraId="5B55EAC0" w14:textId="77777777">
      <w:pPr>
        <w:rPr>
          <w:sz w:val="24"/>
        </w:rPr>
      </w:pPr>
      <w:r w:rsidRPr="00565389">
        <w:rPr>
          <w:sz w:val="24"/>
        </w:rPr>
        <w:t>The following sections provide the number of burden hours and costs resulting from the collection of information in the Standard.</w:t>
      </w:r>
    </w:p>
    <w:p w:rsidR="009C3237" w:rsidRPr="00565389" w:rsidP="009C3237" w14:paraId="0A1B9F32" w14:textId="77777777">
      <w:pPr>
        <w:rPr>
          <w:sz w:val="24"/>
        </w:rPr>
      </w:pPr>
    </w:p>
    <w:p w:rsidR="009C3237" w:rsidRPr="00565389" w:rsidP="009C3237" w14:paraId="60B6F3AA" w14:textId="77777777">
      <w:pPr>
        <w:rPr>
          <w:b/>
          <w:bCs/>
          <w:sz w:val="24"/>
        </w:rPr>
      </w:pPr>
      <w:r w:rsidRPr="00565389">
        <w:rPr>
          <w:b/>
          <w:bCs/>
          <w:sz w:val="24"/>
        </w:rPr>
        <w:t>(A)  Exposure monitoring (§1910.1047(d))</w:t>
      </w:r>
    </w:p>
    <w:p w:rsidR="009C3237" w:rsidRPr="00565389" w:rsidP="009C3237" w14:paraId="65AEAAEE" w14:textId="77777777">
      <w:pPr>
        <w:rPr>
          <w:b/>
          <w:bCs/>
          <w:sz w:val="24"/>
        </w:rPr>
      </w:pPr>
    </w:p>
    <w:p w:rsidR="009C3237" w:rsidRPr="00565389" w:rsidP="009C3237" w14:paraId="78E0550F" w14:textId="2D9BD04A">
      <w:pPr>
        <w:rPr>
          <w:sz w:val="24"/>
        </w:rPr>
      </w:pPr>
      <w:r w:rsidRPr="00565389">
        <w:rPr>
          <w:sz w:val="24"/>
        </w:rPr>
        <w:t xml:space="preserve">The provisions under paragraph (d) of the Standard specify the conditions under which employers must perform initial, periodic, and additional monitoring for workers exposed to EtO.  The number of samples required per facility depends on EtO exposure levels, the number of affected job categories, and the number of shifts per day.  OSHA assumes that a professional will take 10 minutes </w:t>
      </w:r>
      <w:r w:rsidRPr="00565389" w:rsidR="00612D4D">
        <w:rPr>
          <w:sz w:val="24"/>
        </w:rPr>
        <w:t>(10/60 hour)</w:t>
      </w:r>
      <w:r w:rsidR="00612D4D">
        <w:rPr>
          <w:sz w:val="24"/>
        </w:rPr>
        <w:t xml:space="preserve"> </w:t>
      </w:r>
      <w:r w:rsidRPr="00565389">
        <w:rPr>
          <w:sz w:val="24"/>
        </w:rPr>
        <w:t>using a passive dosimeter to collect a TWA sample or an excursion limit (EL) sample; this time includes preparing the required documentation.</w:t>
      </w:r>
    </w:p>
    <w:p w:rsidR="009C3237" w:rsidRPr="00565389" w:rsidP="009C3237" w14:paraId="512C102B" w14:textId="77777777">
      <w:pPr>
        <w:rPr>
          <w:sz w:val="24"/>
        </w:rPr>
      </w:pPr>
    </w:p>
    <w:p w:rsidR="009C3237" w:rsidRPr="00565389" w:rsidP="009C3237" w14:paraId="227514DE" w14:textId="77777777">
      <w:pPr>
        <w:rPr>
          <w:bCs/>
          <w:sz w:val="24"/>
        </w:rPr>
      </w:pPr>
      <w:r w:rsidRPr="00565389">
        <w:rPr>
          <w:sz w:val="24"/>
          <w:u w:val="single"/>
        </w:rPr>
        <w:t>Initial monitoring</w:t>
      </w:r>
      <w:r w:rsidRPr="00565389">
        <w:rPr>
          <w:sz w:val="24"/>
        </w:rPr>
        <w:t xml:space="preserve"> (§1910.1047(d)(2))</w:t>
      </w:r>
    </w:p>
    <w:p w:rsidR="009C3237" w:rsidRPr="00565389" w:rsidP="009C3237" w14:paraId="00AE5AED" w14:textId="77777777">
      <w:pPr>
        <w:rPr>
          <w:bCs/>
          <w:sz w:val="24"/>
        </w:rPr>
      </w:pPr>
    </w:p>
    <w:p w:rsidR="009C3237" w:rsidRPr="00565389" w:rsidP="009C3237" w14:paraId="3BE2D425" w14:textId="77777777">
      <w:pPr>
        <w:rPr>
          <w:sz w:val="24"/>
        </w:rPr>
      </w:pPr>
      <w:r w:rsidRPr="00565389">
        <w:rPr>
          <w:sz w:val="24"/>
        </w:rPr>
        <w:t>The number of hospitals using ethylene oxide sterilizers has decreased over the years. There are less medical product manufacturers also, and no spice manufacturers were identified as using EtO. There is an overall decrease in the number of establishments, due primarily to the number of hospitals using Ethylene Oxide.</w:t>
      </w:r>
    </w:p>
    <w:p w:rsidR="00B6485A" w:rsidRPr="00565389" w:rsidP="009C3237" w14:paraId="38C9CBCC" w14:textId="6EC18522">
      <w:pPr>
        <w:rPr>
          <w:sz w:val="24"/>
        </w:rPr>
      </w:pPr>
    </w:p>
    <w:p w:rsidR="009C3237" w:rsidRPr="00565389" w:rsidP="009C3237" w14:paraId="02B5D5B2" w14:textId="77777777">
      <w:pPr>
        <w:rPr>
          <w:sz w:val="24"/>
        </w:rPr>
      </w:pPr>
      <w:r w:rsidRPr="00565389">
        <w:rPr>
          <w:sz w:val="24"/>
          <w:u w:val="single"/>
        </w:rPr>
        <w:t>Periodic and additional monitoring</w:t>
      </w:r>
      <w:r w:rsidRPr="00565389">
        <w:rPr>
          <w:sz w:val="24"/>
        </w:rPr>
        <w:t xml:space="preserve"> (§1910.1047(d)(3) and (d)(5)) </w:t>
      </w:r>
    </w:p>
    <w:p w:rsidR="009C3237" w:rsidRPr="00565389" w:rsidP="009C3237" w14:paraId="14D3D274" w14:textId="77777777">
      <w:pPr>
        <w:rPr>
          <w:sz w:val="24"/>
        </w:rPr>
      </w:pPr>
    </w:p>
    <w:p w:rsidR="006030A1" w:rsidP="009C3237" w14:paraId="390DDE5B" w14:textId="77777777">
      <w:pPr>
        <w:rPr>
          <w:sz w:val="24"/>
        </w:rPr>
      </w:pPr>
      <w:r w:rsidRPr="00565389">
        <w:rPr>
          <w:sz w:val="24"/>
        </w:rPr>
        <w:t xml:space="preserve">Employers must perform additional exposure monitoring if any changes occur in EtO production, process, control equipment, personnel, or work practices that may result in new or increased worker exposure to EtO, or the employer reasonably suspects that any other condition could result in such exposures.  For this ICR, the Agency used the assumptions specified in the previous ICR in determining the burden hours and costs for these provisions; this procedure was necessary because no current exposure-monitoring data for the affected industries are available.  Accordingly, OSHA assumes that:  9% (or </w:t>
      </w:r>
      <w:r w:rsidR="00B6485A">
        <w:rPr>
          <w:sz w:val="24"/>
        </w:rPr>
        <w:t>182</w:t>
      </w:r>
      <w:r w:rsidRPr="00565389">
        <w:rPr>
          <w:sz w:val="24"/>
        </w:rPr>
        <w:t xml:space="preserve">) of the total facilities listed in Table 1 will have exposures at or above the AL and at or below the TWA; an additional 9% (or </w:t>
      </w:r>
      <w:r w:rsidR="00B6485A">
        <w:rPr>
          <w:sz w:val="24"/>
        </w:rPr>
        <w:t>182</w:t>
      </w:r>
      <w:r w:rsidRPr="00565389">
        <w:rPr>
          <w:sz w:val="24"/>
        </w:rPr>
        <w:t>) of all facilities will have worker exposures above the TWA; and 6% of all facilities (</w:t>
      </w:r>
      <w:r w:rsidR="00B6485A">
        <w:rPr>
          <w:sz w:val="24"/>
        </w:rPr>
        <w:t>122</w:t>
      </w:r>
      <w:r w:rsidRPr="00565389">
        <w:rPr>
          <w:sz w:val="24"/>
        </w:rPr>
        <w:t>) will have exposures above the EL.</w:t>
      </w:r>
      <w:r>
        <w:rPr>
          <w:rStyle w:val="FootnoteReference"/>
          <w:sz w:val="24"/>
          <w:vertAlign w:val="superscript"/>
        </w:rPr>
        <w:footnoteReference w:id="7"/>
      </w:r>
      <w:r w:rsidRPr="00565389">
        <w:rPr>
          <w:sz w:val="24"/>
        </w:rPr>
        <w:t xml:space="preserve">  OSHA also assumes that 10% of the total facilities (</w:t>
      </w:r>
      <w:r w:rsidR="00B6485A">
        <w:rPr>
          <w:sz w:val="24"/>
        </w:rPr>
        <w:t>203</w:t>
      </w:r>
      <w:r w:rsidRPr="00565389">
        <w:rPr>
          <w:sz w:val="24"/>
        </w:rPr>
        <w:t>) require additional monitoring.  OSHA assumes a Supervisor spends 10 minutes (10/60 hour) documenting exposure levels (including representative exposure levels) and posting the results. Table 3 summarizes the burden hour and cost determinations for these exposure monitoring requirements:</w:t>
      </w:r>
    </w:p>
    <w:p w:rsidR="006030A1" w:rsidP="009C3237" w14:paraId="0C02AE9C" w14:textId="77777777">
      <w:pPr>
        <w:rPr>
          <w:sz w:val="24"/>
        </w:rPr>
      </w:pPr>
    </w:p>
    <w:p w:rsidR="006030A1" w:rsidP="009C3237" w14:paraId="540447B7" w14:textId="6CA0823F">
      <w:pPr>
        <w:rPr>
          <w:sz w:val="24"/>
        </w:rPr>
      </w:pPr>
      <w:r w:rsidRPr="00612D4D">
        <w:rPr>
          <w:b/>
          <w:bCs/>
          <w:sz w:val="24"/>
        </w:rPr>
        <w:t>Table 3: Exposure Monitoring Burden Hour and Cost Estimates</w:t>
      </w:r>
    </w:p>
    <w:p w:rsidR="00B121B1" w:rsidP="009C3237" w14:paraId="0AE853D8" w14:textId="77777777">
      <w:pPr>
        <w:rPr>
          <w:sz w:val="24"/>
        </w:rPr>
      </w:pPr>
    </w:p>
    <w:tbl>
      <w:tblPr>
        <w:tblStyle w:val="TableGrid"/>
        <w:tblW w:w="10620" w:type="dxa"/>
        <w:tblInd w:w="-545" w:type="dxa"/>
        <w:tblLook w:val="04A0"/>
      </w:tblPr>
      <w:tblGrid>
        <w:gridCol w:w="1812"/>
        <w:gridCol w:w="1115"/>
        <w:gridCol w:w="1050"/>
        <w:gridCol w:w="1285"/>
        <w:gridCol w:w="999"/>
        <w:gridCol w:w="1167"/>
        <w:gridCol w:w="972"/>
        <w:gridCol w:w="972"/>
        <w:gridCol w:w="1248"/>
      </w:tblGrid>
      <w:tr w14:paraId="552F40EB" w14:textId="77777777" w:rsidTr="008C628F">
        <w:tblPrEx>
          <w:tblW w:w="10620" w:type="dxa"/>
          <w:tblInd w:w="-545" w:type="dxa"/>
          <w:tblLook w:val="04A0"/>
        </w:tblPrEx>
        <w:trPr>
          <w:tblHeader/>
        </w:trPr>
        <w:tc>
          <w:tcPr>
            <w:tcW w:w="1812" w:type="dxa"/>
            <w:shd w:val="clear" w:color="auto" w:fill="BDD6EE" w:themeFill="accent1" w:themeFillTint="66"/>
          </w:tcPr>
          <w:p w:rsidR="00B121B1" w:rsidRPr="004E0143" w:rsidP="009C3237" w14:paraId="249BC282" w14:textId="17FF0F08">
            <w:pPr>
              <w:rPr>
                <w:sz w:val="22"/>
                <w:szCs w:val="22"/>
              </w:rPr>
            </w:pPr>
            <w:r w:rsidRPr="004E0143">
              <w:rPr>
                <w:b/>
                <w:bCs/>
                <w:sz w:val="22"/>
                <w:szCs w:val="22"/>
              </w:rPr>
              <w:t>Monitoring Requirement</w:t>
            </w:r>
          </w:p>
        </w:tc>
        <w:tc>
          <w:tcPr>
            <w:tcW w:w="1115" w:type="dxa"/>
            <w:shd w:val="clear" w:color="auto" w:fill="BDD6EE" w:themeFill="accent1" w:themeFillTint="66"/>
          </w:tcPr>
          <w:p w:rsidR="00B121B1" w:rsidRPr="004E0143" w:rsidP="009C3237" w14:paraId="0681BE96" w14:textId="15353720">
            <w:pPr>
              <w:rPr>
                <w:sz w:val="22"/>
                <w:szCs w:val="22"/>
              </w:rPr>
            </w:pPr>
            <w:r w:rsidRPr="004E0143">
              <w:rPr>
                <w:b/>
                <w:bCs/>
                <w:sz w:val="22"/>
                <w:szCs w:val="22"/>
              </w:rPr>
              <w:t>No. of Facilities</w:t>
            </w:r>
          </w:p>
        </w:tc>
        <w:tc>
          <w:tcPr>
            <w:tcW w:w="1050" w:type="dxa"/>
            <w:shd w:val="clear" w:color="auto" w:fill="BDD6EE" w:themeFill="accent1" w:themeFillTint="66"/>
          </w:tcPr>
          <w:p w:rsidR="00B121B1" w:rsidRPr="004E0143" w:rsidP="009C3237" w14:paraId="3A792D4D" w14:textId="43F18DEB">
            <w:pPr>
              <w:rPr>
                <w:sz w:val="22"/>
                <w:szCs w:val="22"/>
              </w:rPr>
            </w:pPr>
            <w:r w:rsidRPr="004E0143">
              <w:rPr>
                <w:b/>
                <w:bCs/>
                <w:sz w:val="22"/>
                <w:szCs w:val="22"/>
              </w:rPr>
              <w:t>No. of Samples</w:t>
            </w:r>
          </w:p>
        </w:tc>
        <w:tc>
          <w:tcPr>
            <w:tcW w:w="1285" w:type="dxa"/>
            <w:shd w:val="clear" w:color="auto" w:fill="BDD6EE" w:themeFill="accent1" w:themeFillTint="66"/>
          </w:tcPr>
          <w:p w:rsidR="008117EC" w:rsidRPr="004E0143" w:rsidP="008117EC" w14:paraId="373F7639" w14:textId="77777777">
            <w:pPr>
              <w:widowControl/>
              <w:autoSpaceDE/>
              <w:autoSpaceDN/>
              <w:adjustRightInd/>
              <w:jc w:val="center"/>
              <w:rPr>
                <w:b/>
                <w:bCs/>
                <w:sz w:val="22"/>
                <w:szCs w:val="22"/>
              </w:rPr>
            </w:pPr>
            <w:r w:rsidRPr="004E0143">
              <w:rPr>
                <w:b/>
                <w:bCs/>
                <w:sz w:val="22"/>
                <w:szCs w:val="22"/>
              </w:rPr>
              <w:t xml:space="preserve">Frequency </w:t>
            </w:r>
          </w:p>
          <w:p w:rsidR="00B121B1" w:rsidRPr="004E0143" w:rsidP="008117EC" w14:paraId="55CBAE46" w14:textId="18A7391C">
            <w:pPr>
              <w:rPr>
                <w:sz w:val="22"/>
                <w:szCs w:val="22"/>
              </w:rPr>
            </w:pPr>
            <w:r w:rsidRPr="004E0143">
              <w:rPr>
                <w:b/>
                <w:bCs/>
                <w:sz w:val="22"/>
                <w:szCs w:val="22"/>
              </w:rPr>
              <w:t>per Year</w:t>
            </w:r>
          </w:p>
        </w:tc>
        <w:tc>
          <w:tcPr>
            <w:tcW w:w="999" w:type="dxa"/>
            <w:shd w:val="clear" w:color="auto" w:fill="BDD6EE" w:themeFill="accent1" w:themeFillTint="66"/>
          </w:tcPr>
          <w:p w:rsidR="00B121B1" w:rsidRPr="004E0143" w:rsidP="009C3237" w14:paraId="01E9A254" w14:textId="0C1A6783">
            <w:pPr>
              <w:rPr>
                <w:b/>
                <w:bCs/>
                <w:sz w:val="22"/>
                <w:szCs w:val="22"/>
              </w:rPr>
            </w:pPr>
            <w:r w:rsidRPr="004E0143">
              <w:rPr>
                <w:b/>
                <w:bCs/>
                <w:sz w:val="22"/>
                <w:szCs w:val="22"/>
              </w:rPr>
              <w:t xml:space="preserve">Total </w:t>
            </w:r>
            <w:r w:rsidR="001673F1">
              <w:rPr>
                <w:b/>
                <w:bCs/>
                <w:sz w:val="22"/>
                <w:szCs w:val="22"/>
              </w:rPr>
              <w:t>Samples</w:t>
            </w:r>
          </w:p>
        </w:tc>
        <w:tc>
          <w:tcPr>
            <w:tcW w:w="1167" w:type="dxa"/>
            <w:shd w:val="clear" w:color="auto" w:fill="BDD6EE" w:themeFill="accent1" w:themeFillTint="66"/>
          </w:tcPr>
          <w:p w:rsidR="00B121B1" w:rsidRPr="004E0143" w:rsidP="009C3237" w14:paraId="7B051D65" w14:textId="32120968">
            <w:pPr>
              <w:rPr>
                <w:sz w:val="22"/>
                <w:szCs w:val="22"/>
              </w:rPr>
            </w:pPr>
            <w:r w:rsidRPr="004E0143">
              <w:rPr>
                <w:b/>
                <w:bCs/>
                <w:sz w:val="22"/>
                <w:szCs w:val="22"/>
              </w:rPr>
              <w:t xml:space="preserve">Sampling </w:t>
            </w:r>
            <w:r w:rsidRPr="004E0143" w:rsidR="00C60450">
              <w:rPr>
                <w:b/>
                <w:bCs/>
                <w:sz w:val="22"/>
                <w:szCs w:val="22"/>
              </w:rPr>
              <w:t>Time (Hours)</w:t>
            </w:r>
          </w:p>
        </w:tc>
        <w:tc>
          <w:tcPr>
            <w:tcW w:w="972" w:type="dxa"/>
            <w:shd w:val="clear" w:color="auto" w:fill="BDD6EE" w:themeFill="accent1" w:themeFillTint="66"/>
          </w:tcPr>
          <w:p w:rsidR="00B121B1" w:rsidRPr="004E0143" w:rsidP="009C3237" w14:paraId="0E45A455" w14:textId="06CE6016">
            <w:pPr>
              <w:rPr>
                <w:sz w:val="22"/>
                <w:szCs w:val="22"/>
              </w:rPr>
            </w:pPr>
            <w:r w:rsidRPr="004E0143">
              <w:rPr>
                <w:b/>
                <w:bCs/>
                <w:sz w:val="22"/>
                <w:szCs w:val="22"/>
              </w:rPr>
              <w:t>Burden Hours</w:t>
            </w:r>
          </w:p>
        </w:tc>
        <w:tc>
          <w:tcPr>
            <w:tcW w:w="972" w:type="dxa"/>
            <w:shd w:val="clear" w:color="auto" w:fill="BDD6EE" w:themeFill="accent1" w:themeFillTint="66"/>
          </w:tcPr>
          <w:p w:rsidR="00B121B1" w:rsidRPr="004E0143" w:rsidP="009C3237" w14:paraId="20BE0601" w14:textId="0BEBA1ED">
            <w:pPr>
              <w:rPr>
                <w:sz w:val="22"/>
                <w:szCs w:val="22"/>
              </w:rPr>
            </w:pPr>
            <w:r w:rsidRPr="004E0143">
              <w:rPr>
                <w:b/>
                <w:bCs/>
                <w:sz w:val="22"/>
                <w:szCs w:val="22"/>
              </w:rPr>
              <w:t>Loaded Wage Rate</w:t>
            </w:r>
          </w:p>
        </w:tc>
        <w:tc>
          <w:tcPr>
            <w:tcW w:w="1248" w:type="dxa"/>
            <w:shd w:val="clear" w:color="auto" w:fill="BDD6EE" w:themeFill="accent1" w:themeFillTint="66"/>
          </w:tcPr>
          <w:p w:rsidR="00B121B1" w:rsidRPr="004E0143" w:rsidP="009C3237" w14:paraId="34F925E3" w14:textId="5B6C53E4">
            <w:pPr>
              <w:rPr>
                <w:sz w:val="22"/>
                <w:szCs w:val="22"/>
              </w:rPr>
            </w:pPr>
            <w:r>
              <w:rPr>
                <w:b/>
                <w:bCs/>
                <w:sz w:val="22"/>
                <w:szCs w:val="22"/>
              </w:rPr>
              <w:t xml:space="preserve">Burden </w:t>
            </w:r>
            <w:r w:rsidRPr="004E0143" w:rsidR="00B074D9">
              <w:rPr>
                <w:b/>
                <w:bCs/>
                <w:sz w:val="22"/>
                <w:szCs w:val="22"/>
              </w:rPr>
              <w:t>Cost</w:t>
            </w:r>
            <w:r w:rsidR="002A7FD1">
              <w:rPr>
                <w:b/>
                <w:bCs/>
                <w:sz w:val="22"/>
                <w:szCs w:val="22"/>
              </w:rPr>
              <w:t>s</w:t>
            </w:r>
          </w:p>
        </w:tc>
      </w:tr>
      <w:tr w14:paraId="0847CAD3" w14:textId="77777777" w:rsidTr="00CF0139">
        <w:tblPrEx>
          <w:tblW w:w="10620" w:type="dxa"/>
          <w:tblInd w:w="-545" w:type="dxa"/>
          <w:tblLook w:val="04A0"/>
        </w:tblPrEx>
        <w:tc>
          <w:tcPr>
            <w:tcW w:w="1812" w:type="dxa"/>
            <w:vAlign w:val="center"/>
          </w:tcPr>
          <w:p w:rsidR="0053719C" w:rsidRPr="00CF0139" w:rsidP="0053719C" w14:paraId="10DA4DD7" w14:textId="40767DE3">
            <w:pPr>
              <w:rPr>
                <w:sz w:val="22"/>
                <w:szCs w:val="22"/>
              </w:rPr>
            </w:pPr>
            <w:r w:rsidRPr="00CF0139">
              <w:rPr>
                <w:sz w:val="22"/>
                <w:szCs w:val="22"/>
              </w:rPr>
              <w:t>Above TWA</w:t>
            </w:r>
          </w:p>
        </w:tc>
        <w:tc>
          <w:tcPr>
            <w:tcW w:w="1115" w:type="dxa"/>
            <w:vAlign w:val="center"/>
          </w:tcPr>
          <w:p w:rsidR="0053719C" w:rsidRPr="00CF0139" w:rsidP="0053719C" w14:paraId="21E8FC1C" w14:textId="63141462">
            <w:pPr>
              <w:jc w:val="center"/>
              <w:rPr>
                <w:sz w:val="22"/>
                <w:szCs w:val="22"/>
              </w:rPr>
            </w:pPr>
            <w:r w:rsidRPr="00CF0139">
              <w:rPr>
                <w:sz w:val="22"/>
                <w:szCs w:val="22"/>
              </w:rPr>
              <w:t>182</w:t>
            </w:r>
          </w:p>
        </w:tc>
        <w:tc>
          <w:tcPr>
            <w:tcW w:w="1050" w:type="dxa"/>
            <w:vAlign w:val="center"/>
          </w:tcPr>
          <w:p w:rsidR="0053719C" w:rsidRPr="00CF0139" w:rsidP="0053719C" w14:paraId="021C9132" w14:textId="2A6982C9">
            <w:pPr>
              <w:jc w:val="center"/>
              <w:rPr>
                <w:sz w:val="22"/>
                <w:szCs w:val="22"/>
              </w:rPr>
            </w:pPr>
            <w:r w:rsidRPr="00CF0139">
              <w:rPr>
                <w:sz w:val="22"/>
                <w:szCs w:val="22"/>
              </w:rPr>
              <w:t>3</w:t>
            </w:r>
          </w:p>
        </w:tc>
        <w:tc>
          <w:tcPr>
            <w:tcW w:w="1285" w:type="dxa"/>
            <w:vAlign w:val="center"/>
          </w:tcPr>
          <w:p w:rsidR="0053719C" w:rsidRPr="00CF0139" w:rsidP="0053719C" w14:paraId="1CFAE888" w14:textId="37EE4D3C">
            <w:pPr>
              <w:jc w:val="center"/>
              <w:rPr>
                <w:sz w:val="22"/>
                <w:szCs w:val="22"/>
              </w:rPr>
            </w:pPr>
            <w:r w:rsidRPr="00CF0139">
              <w:rPr>
                <w:sz w:val="22"/>
                <w:szCs w:val="22"/>
              </w:rPr>
              <w:t>4</w:t>
            </w:r>
          </w:p>
        </w:tc>
        <w:tc>
          <w:tcPr>
            <w:tcW w:w="999" w:type="dxa"/>
          </w:tcPr>
          <w:p w:rsidR="0053719C" w:rsidRPr="00CF0139" w:rsidP="0053719C" w14:paraId="60B77A2E" w14:textId="08DBB226">
            <w:pPr>
              <w:rPr>
                <w:sz w:val="22"/>
                <w:szCs w:val="22"/>
              </w:rPr>
            </w:pPr>
            <w:r>
              <w:rPr>
                <w:sz w:val="22"/>
                <w:szCs w:val="22"/>
              </w:rPr>
              <w:t xml:space="preserve">     </w:t>
            </w:r>
            <w:r w:rsidRPr="00CF0139" w:rsidR="00E00AF7">
              <w:rPr>
                <w:sz w:val="22"/>
                <w:szCs w:val="22"/>
              </w:rPr>
              <w:t>2,184</w:t>
            </w:r>
          </w:p>
        </w:tc>
        <w:tc>
          <w:tcPr>
            <w:tcW w:w="1167" w:type="dxa"/>
            <w:vAlign w:val="center"/>
          </w:tcPr>
          <w:p w:rsidR="0053719C" w:rsidRPr="00CF0139" w:rsidP="0053719C" w14:paraId="79D72035" w14:textId="6F3BA9EF">
            <w:pPr>
              <w:rPr>
                <w:sz w:val="22"/>
                <w:szCs w:val="22"/>
              </w:rPr>
            </w:pPr>
            <w:r w:rsidRPr="00CF0139">
              <w:rPr>
                <w:color w:val="000000"/>
                <w:sz w:val="22"/>
                <w:szCs w:val="22"/>
              </w:rPr>
              <w:t xml:space="preserve"> </w:t>
            </w:r>
            <w:r w:rsidR="00EB1AD6">
              <w:rPr>
                <w:color w:val="000000"/>
                <w:sz w:val="22"/>
                <w:szCs w:val="22"/>
              </w:rPr>
              <w:t xml:space="preserve">   </w:t>
            </w:r>
            <w:r w:rsidRPr="00CF0139">
              <w:rPr>
                <w:color w:val="000000"/>
                <w:sz w:val="22"/>
                <w:szCs w:val="22"/>
              </w:rPr>
              <w:t>10/60</w:t>
            </w:r>
          </w:p>
        </w:tc>
        <w:tc>
          <w:tcPr>
            <w:tcW w:w="972" w:type="dxa"/>
          </w:tcPr>
          <w:p w:rsidR="0053719C" w:rsidRPr="00CF0139" w:rsidP="0053719C" w14:paraId="4CFB87DD" w14:textId="6CFC394B">
            <w:pPr>
              <w:rPr>
                <w:sz w:val="22"/>
                <w:szCs w:val="22"/>
              </w:rPr>
            </w:pPr>
            <w:r>
              <w:rPr>
                <w:sz w:val="22"/>
                <w:szCs w:val="22"/>
              </w:rPr>
              <w:t xml:space="preserve">   </w:t>
            </w:r>
            <w:r w:rsidR="00C84F5A">
              <w:rPr>
                <w:sz w:val="22"/>
                <w:szCs w:val="22"/>
              </w:rPr>
              <w:t xml:space="preserve"> </w:t>
            </w:r>
            <w:r w:rsidRPr="00CF0139" w:rsidR="00CB7765">
              <w:rPr>
                <w:sz w:val="22"/>
                <w:szCs w:val="22"/>
              </w:rPr>
              <w:t>364</w:t>
            </w:r>
          </w:p>
        </w:tc>
        <w:tc>
          <w:tcPr>
            <w:tcW w:w="972" w:type="dxa"/>
            <w:vAlign w:val="center"/>
          </w:tcPr>
          <w:p w:rsidR="0053719C" w:rsidRPr="00CF0139" w:rsidP="0053719C" w14:paraId="689817CD" w14:textId="50B148B8">
            <w:pPr>
              <w:rPr>
                <w:sz w:val="22"/>
                <w:szCs w:val="22"/>
              </w:rPr>
            </w:pPr>
            <w:r w:rsidRPr="00CF0139">
              <w:rPr>
                <w:sz w:val="22"/>
                <w:szCs w:val="22"/>
              </w:rPr>
              <w:t>$47.12</w:t>
            </w:r>
          </w:p>
        </w:tc>
        <w:tc>
          <w:tcPr>
            <w:tcW w:w="1248" w:type="dxa"/>
            <w:vAlign w:val="center"/>
          </w:tcPr>
          <w:p w:rsidR="0053719C" w:rsidRPr="00CF0139" w:rsidP="00CF0139" w14:paraId="2DD6109B" w14:textId="466C5B6C">
            <w:pPr>
              <w:jc w:val="center"/>
              <w:rPr>
                <w:sz w:val="22"/>
                <w:szCs w:val="22"/>
              </w:rPr>
            </w:pPr>
            <w:r w:rsidRPr="00CF0139">
              <w:rPr>
                <w:sz w:val="22"/>
                <w:szCs w:val="22"/>
              </w:rPr>
              <w:t>$17,152</w:t>
            </w:r>
          </w:p>
        </w:tc>
      </w:tr>
      <w:tr w14:paraId="61C0BC8C" w14:textId="77777777" w:rsidTr="00C223A0">
        <w:tblPrEx>
          <w:tblW w:w="10620" w:type="dxa"/>
          <w:tblInd w:w="-545" w:type="dxa"/>
          <w:tblLook w:val="04A0"/>
        </w:tblPrEx>
        <w:tc>
          <w:tcPr>
            <w:tcW w:w="1812" w:type="dxa"/>
            <w:vAlign w:val="center"/>
          </w:tcPr>
          <w:p w:rsidR="0053719C" w:rsidRPr="00CF0139" w:rsidP="0053719C" w14:paraId="453CC330" w14:textId="1CC84D73">
            <w:pPr>
              <w:rPr>
                <w:sz w:val="22"/>
                <w:szCs w:val="22"/>
              </w:rPr>
            </w:pPr>
            <w:r w:rsidRPr="00CF0139">
              <w:rPr>
                <w:sz w:val="22"/>
                <w:szCs w:val="22"/>
              </w:rPr>
              <w:t>At/Above AL &amp; At/Below TWA</w:t>
            </w:r>
          </w:p>
        </w:tc>
        <w:tc>
          <w:tcPr>
            <w:tcW w:w="1115" w:type="dxa"/>
            <w:vAlign w:val="center"/>
          </w:tcPr>
          <w:p w:rsidR="0053719C" w:rsidRPr="00CF0139" w:rsidP="0053719C" w14:paraId="4718EDAA" w14:textId="145EE173">
            <w:pPr>
              <w:jc w:val="center"/>
              <w:rPr>
                <w:sz w:val="22"/>
                <w:szCs w:val="22"/>
              </w:rPr>
            </w:pPr>
            <w:r w:rsidRPr="00CF0139">
              <w:rPr>
                <w:sz w:val="22"/>
                <w:szCs w:val="22"/>
              </w:rPr>
              <w:t>182</w:t>
            </w:r>
          </w:p>
        </w:tc>
        <w:tc>
          <w:tcPr>
            <w:tcW w:w="1050" w:type="dxa"/>
            <w:vAlign w:val="center"/>
          </w:tcPr>
          <w:p w:rsidR="0053719C" w:rsidRPr="00CF0139" w:rsidP="0053719C" w14:paraId="22627BCF" w14:textId="2CCB1A49">
            <w:pPr>
              <w:jc w:val="center"/>
              <w:rPr>
                <w:sz w:val="22"/>
                <w:szCs w:val="22"/>
              </w:rPr>
            </w:pPr>
            <w:r w:rsidRPr="00CF0139">
              <w:rPr>
                <w:sz w:val="22"/>
                <w:szCs w:val="22"/>
              </w:rPr>
              <w:t>3</w:t>
            </w:r>
          </w:p>
        </w:tc>
        <w:tc>
          <w:tcPr>
            <w:tcW w:w="1285" w:type="dxa"/>
            <w:vAlign w:val="center"/>
          </w:tcPr>
          <w:p w:rsidR="0053719C" w:rsidRPr="00CF0139" w:rsidP="00C223A0" w14:paraId="37348100" w14:textId="4C15BD3B">
            <w:pPr>
              <w:jc w:val="center"/>
              <w:rPr>
                <w:sz w:val="22"/>
                <w:szCs w:val="22"/>
              </w:rPr>
            </w:pPr>
            <w:r w:rsidRPr="00CF0139">
              <w:rPr>
                <w:sz w:val="22"/>
                <w:szCs w:val="22"/>
              </w:rPr>
              <w:t>2</w:t>
            </w:r>
          </w:p>
        </w:tc>
        <w:tc>
          <w:tcPr>
            <w:tcW w:w="999" w:type="dxa"/>
            <w:vAlign w:val="center"/>
          </w:tcPr>
          <w:p w:rsidR="0053719C" w:rsidRPr="00CF0139" w:rsidP="00C223A0" w14:paraId="7445BDCE" w14:textId="5D7E5F14">
            <w:pPr>
              <w:jc w:val="center"/>
              <w:rPr>
                <w:sz w:val="22"/>
                <w:szCs w:val="22"/>
              </w:rPr>
            </w:pPr>
            <w:r>
              <w:rPr>
                <w:sz w:val="22"/>
                <w:szCs w:val="22"/>
              </w:rPr>
              <w:t xml:space="preserve">            </w:t>
            </w:r>
            <w:r w:rsidRPr="00CF0139" w:rsidR="00F5428D">
              <w:rPr>
                <w:sz w:val="22"/>
                <w:szCs w:val="22"/>
              </w:rPr>
              <w:t>1,092</w:t>
            </w:r>
          </w:p>
        </w:tc>
        <w:tc>
          <w:tcPr>
            <w:tcW w:w="1167" w:type="dxa"/>
            <w:vAlign w:val="center"/>
          </w:tcPr>
          <w:p w:rsidR="0053719C" w:rsidRPr="00CF0139" w:rsidP="00C223A0" w14:paraId="328F7BC0" w14:textId="66C3CCAF">
            <w:pPr>
              <w:jc w:val="center"/>
              <w:rPr>
                <w:sz w:val="22"/>
                <w:szCs w:val="22"/>
              </w:rPr>
            </w:pPr>
            <w:r w:rsidRPr="00CF0139">
              <w:rPr>
                <w:color w:val="000000"/>
                <w:sz w:val="22"/>
                <w:szCs w:val="22"/>
              </w:rPr>
              <w:t>10/60</w:t>
            </w:r>
          </w:p>
        </w:tc>
        <w:tc>
          <w:tcPr>
            <w:tcW w:w="972" w:type="dxa"/>
            <w:vAlign w:val="center"/>
          </w:tcPr>
          <w:p w:rsidR="0053719C" w:rsidRPr="00CF0139" w:rsidP="00C223A0" w14:paraId="458B4E97" w14:textId="24938640">
            <w:pPr>
              <w:jc w:val="center"/>
              <w:rPr>
                <w:sz w:val="22"/>
                <w:szCs w:val="22"/>
              </w:rPr>
            </w:pPr>
            <w:r w:rsidRPr="00CF0139">
              <w:rPr>
                <w:sz w:val="22"/>
                <w:szCs w:val="22"/>
              </w:rPr>
              <w:t>182</w:t>
            </w:r>
          </w:p>
        </w:tc>
        <w:tc>
          <w:tcPr>
            <w:tcW w:w="972" w:type="dxa"/>
            <w:vAlign w:val="center"/>
          </w:tcPr>
          <w:p w:rsidR="0053719C" w:rsidRPr="00CF0139" w:rsidP="00C223A0" w14:paraId="0C52C888" w14:textId="7C05160A">
            <w:pPr>
              <w:jc w:val="center"/>
              <w:rPr>
                <w:sz w:val="22"/>
                <w:szCs w:val="22"/>
              </w:rPr>
            </w:pPr>
            <w:r w:rsidRPr="00CF0139">
              <w:rPr>
                <w:sz w:val="22"/>
                <w:szCs w:val="22"/>
              </w:rPr>
              <w:t>$47.12</w:t>
            </w:r>
          </w:p>
        </w:tc>
        <w:tc>
          <w:tcPr>
            <w:tcW w:w="1248" w:type="dxa"/>
            <w:vAlign w:val="center"/>
          </w:tcPr>
          <w:p w:rsidR="0053719C" w:rsidRPr="00CF0139" w:rsidP="00C223A0" w14:paraId="5EE3BC6E" w14:textId="14DE0CB1">
            <w:pPr>
              <w:jc w:val="center"/>
              <w:rPr>
                <w:sz w:val="22"/>
                <w:szCs w:val="22"/>
              </w:rPr>
            </w:pPr>
            <w:r w:rsidRPr="00CF0139">
              <w:rPr>
                <w:sz w:val="22"/>
                <w:szCs w:val="22"/>
              </w:rPr>
              <w:t>$8</w:t>
            </w:r>
            <w:r w:rsidRPr="00CF0139" w:rsidR="007A45D8">
              <w:rPr>
                <w:sz w:val="22"/>
                <w:szCs w:val="22"/>
              </w:rPr>
              <w:t>,576</w:t>
            </w:r>
          </w:p>
        </w:tc>
      </w:tr>
      <w:tr w14:paraId="158E5E30" w14:textId="77777777" w:rsidTr="00C223A0">
        <w:tblPrEx>
          <w:tblW w:w="10620" w:type="dxa"/>
          <w:tblInd w:w="-545" w:type="dxa"/>
          <w:tblLook w:val="04A0"/>
        </w:tblPrEx>
        <w:tc>
          <w:tcPr>
            <w:tcW w:w="1812" w:type="dxa"/>
            <w:vAlign w:val="center"/>
          </w:tcPr>
          <w:p w:rsidR="0053719C" w:rsidRPr="00CF0139" w:rsidP="0053719C" w14:paraId="3A0E38FA" w14:textId="4B500267">
            <w:pPr>
              <w:rPr>
                <w:sz w:val="22"/>
                <w:szCs w:val="22"/>
              </w:rPr>
            </w:pPr>
            <w:r w:rsidRPr="00CF0139">
              <w:rPr>
                <w:sz w:val="22"/>
                <w:szCs w:val="22"/>
              </w:rPr>
              <w:t>Above EL</w:t>
            </w:r>
          </w:p>
        </w:tc>
        <w:tc>
          <w:tcPr>
            <w:tcW w:w="1115" w:type="dxa"/>
            <w:vAlign w:val="center"/>
          </w:tcPr>
          <w:p w:rsidR="0053719C" w:rsidRPr="00CF0139" w:rsidP="0053719C" w14:paraId="4EAC9ACC" w14:textId="16FBB732">
            <w:pPr>
              <w:jc w:val="center"/>
              <w:rPr>
                <w:sz w:val="22"/>
                <w:szCs w:val="22"/>
              </w:rPr>
            </w:pPr>
            <w:r w:rsidRPr="00CF0139">
              <w:rPr>
                <w:sz w:val="22"/>
                <w:szCs w:val="22"/>
              </w:rPr>
              <w:t>122</w:t>
            </w:r>
          </w:p>
        </w:tc>
        <w:tc>
          <w:tcPr>
            <w:tcW w:w="1050" w:type="dxa"/>
            <w:vAlign w:val="center"/>
          </w:tcPr>
          <w:p w:rsidR="0053719C" w:rsidRPr="00CF0139" w:rsidP="0053719C" w14:paraId="4EBB64FE" w14:textId="06BC1E04">
            <w:pPr>
              <w:jc w:val="center"/>
              <w:rPr>
                <w:sz w:val="22"/>
                <w:szCs w:val="22"/>
              </w:rPr>
            </w:pPr>
            <w:r w:rsidRPr="00CF0139">
              <w:rPr>
                <w:sz w:val="22"/>
                <w:szCs w:val="22"/>
              </w:rPr>
              <w:t>6</w:t>
            </w:r>
          </w:p>
        </w:tc>
        <w:tc>
          <w:tcPr>
            <w:tcW w:w="1285" w:type="dxa"/>
            <w:vAlign w:val="center"/>
          </w:tcPr>
          <w:p w:rsidR="0053719C" w:rsidRPr="00CF0139" w:rsidP="00C223A0" w14:paraId="061E38CC" w14:textId="79095061">
            <w:pPr>
              <w:jc w:val="center"/>
              <w:rPr>
                <w:sz w:val="22"/>
                <w:szCs w:val="22"/>
              </w:rPr>
            </w:pPr>
            <w:r w:rsidRPr="00CF0139">
              <w:rPr>
                <w:sz w:val="22"/>
                <w:szCs w:val="22"/>
              </w:rPr>
              <w:t>1</w:t>
            </w:r>
          </w:p>
        </w:tc>
        <w:tc>
          <w:tcPr>
            <w:tcW w:w="999" w:type="dxa"/>
            <w:vAlign w:val="center"/>
          </w:tcPr>
          <w:p w:rsidR="0053719C" w:rsidRPr="00CF0139" w:rsidP="00C223A0" w14:paraId="50759963" w14:textId="6FB288BF">
            <w:pPr>
              <w:jc w:val="center"/>
              <w:rPr>
                <w:sz w:val="22"/>
                <w:szCs w:val="22"/>
              </w:rPr>
            </w:pPr>
            <w:r w:rsidRPr="00CF0139">
              <w:rPr>
                <w:sz w:val="22"/>
                <w:szCs w:val="22"/>
              </w:rPr>
              <w:t>732</w:t>
            </w:r>
          </w:p>
        </w:tc>
        <w:tc>
          <w:tcPr>
            <w:tcW w:w="1167" w:type="dxa"/>
            <w:vAlign w:val="center"/>
          </w:tcPr>
          <w:p w:rsidR="0053719C" w:rsidRPr="00CF0139" w:rsidP="00C223A0" w14:paraId="4A8A5C68" w14:textId="00903BDB">
            <w:pPr>
              <w:jc w:val="center"/>
              <w:rPr>
                <w:sz w:val="22"/>
                <w:szCs w:val="22"/>
              </w:rPr>
            </w:pPr>
            <w:r w:rsidRPr="00CF0139">
              <w:rPr>
                <w:color w:val="000000"/>
                <w:sz w:val="22"/>
                <w:szCs w:val="22"/>
              </w:rPr>
              <w:t>10/60</w:t>
            </w:r>
          </w:p>
        </w:tc>
        <w:tc>
          <w:tcPr>
            <w:tcW w:w="972" w:type="dxa"/>
            <w:vAlign w:val="center"/>
          </w:tcPr>
          <w:p w:rsidR="0053719C" w:rsidRPr="00CF0139" w:rsidP="00C223A0" w14:paraId="3907DBC5" w14:textId="0E1BB616">
            <w:pPr>
              <w:jc w:val="center"/>
              <w:rPr>
                <w:sz w:val="22"/>
                <w:szCs w:val="22"/>
              </w:rPr>
            </w:pPr>
            <w:r w:rsidRPr="00CF0139">
              <w:rPr>
                <w:sz w:val="22"/>
                <w:szCs w:val="22"/>
              </w:rPr>
              <w:t>122</w:t>
            </w:r>
          </w:p>
        </w:tc>
        <w:tc>
          <w:tcPr>
            <w:tcW w:w="972" w:type="dxa"/>
            <w:vAlign w:val="center"/>
          </w:tcPr>
          <w:p w:rsidR="0053719C" w:rsidRPr="00CF0139" w:rsidP="00C223A0" w14:paraId="7D86F42C" w14:textId="6A2B8088">
            <w:pPr>
              <w:jc w:val="center"/>
              <w:rPr>
                <w:sz w:val="22"/>
                <w:szCs w:val="22"/>
              </w:rPr>
            </w:pPr>
            <w:r w:rsidRPr="00CF0139">
              <w:rPr>
                <w:sz w:val="22"/>
                <w:szCs w:val="22"/>
              </w:rPr>
              <w:t>$47.12</w:t>
            </w:r>
          </w:p>
        </w:tc>
        <w:tc>
          <w:tcPr>
            <w:tcW w:w="1248" w:type="dxa"/>
            <w:vAlign w:val="center"/>
          </w:tcPr>
          <w:p w:rsidR="0053719C" w:rsidRPr="00CF0139" w:rsidP="00C223A0" w14:paraId="3D52337F" w14:textId="76269786">
            <w:pPr>
              <w:jc w:val="center"/>
              <w:rPr>
                <w:sz w:val="22"/>
                <w:szCs w:val="22"/>
              </w:rPr>
            </w:pPr>
            <w:r w:rsidRPr="00CF0139">
              <w:rPr>
                <w:sz w:val="22"/>
                <w:szCs w:val="22"/>
              </w:rPr>
              <w:t>$</w:t>
            </w:r>
            <w:r w:rsidRPr="00CF0139" w:rsidR="002D694E">
              <w:rPr>
                <w:sz w:val="22"/>
                <w:szCs w:val="22"/>
              </w:rPr>
              <w:t>5,749</w:t>
            </w:r>
          </w:p>
        </w:tc>
      </w:tr>
      <w:tr w14:paraId="16CBA255" w14:textId="77777777" w:rsidTr="00C223A0">
        <w:tblPrEx>
          <w:tblW w:w="10620" w:type="dxa"/>
          <w:tblInd w:w="-545" w:type="dxa"/>
          <w:tblLook w:val="04A0"/>
        </w:tblPrEx>
        <w:tc>
          <w:tcPr>
            <w:tcW w:w="1812" w:type="dxa"/>
            <w:vAlign w:val="center"/>
          </w:tcPr>
          <w:p w:rsidR="0053719C" w:rsidRPr="00CF0139" w:rsidP="0053719C" w14:paraId="11C0231E" w14:textId="57790A26">
            <w:pPr>
              <w:rPr>
                <w:sz w:val="22"/>
                <w:szCs w:val="22"/>
              </w:rPr>
            </w:pPr>
            <w:r w:rsidRPr="00CF0139">
              <w:rPr>
                <w:sz w:val="22"/>
                <w:szCs w:val="22"/>
              </w:rPr>
              <w:t>Additional</w:t>
            </w:r>
          </w:p>
        </w:tc>
        <w:tc>
          <w:tcPr>
            <w:tcW w:w="1115" w:type="dxa"/>
            <w:vAlign w:val="center"/>
          </w:tcPr>
          <w:p w:rsidR="0053719C" w:rsidRPr="00CF0139" w:rsidP="0053719C" w14:paraId="130FFAE9" w14:textId="51AFB867">
            <w:pPr>
              <w:jc w:val="center"/>
              <w:rPr>
                <w:sz w:val="22"/>
                <w:szCs w:val="22"/>
              </w:rPr>
            </w:pPr>
            <w:r w:rsidRPr="00CF0139">
              <w:rPr>
                <w:sz w:val="22"/>
                <w:szCs w:val="22"/>
              </w:rPr>
              <w:t>203</w:t>
            </w:r>
          </w:p>
        </w:tc>
        <w:tc>
          <w:tcPr>
            <w:tcW w:w="1050" w:type="dxa"/>
            <w:vAlign w:val="center"/>
          </w:tcPr>
          <w:p w:rsidR="0053719C" w:rsidRPr="00CF0139" w:rsidP="0053719C" w14:paraId="67197B48" w14:textId="79D83B78">
            <w:pPr>
              <w:jc w:val="center"/>
              <w:rPr>
                <w:sz w:val="22"/>
                <w:szCs w:val="22"/>
              </w:rPr>
            </w:pPr>
            <w:r w:rsidRPr="00CF0139">
              <w:rPr>
                <w:sz w:val="22"/>
                <w:szCs w:val="22"/>
              </w:rPr>
              <w:t>1</w:t>
            </w:r>
          </w:p>
        </w:tc>
        <w:tc>
          <w:tcPr>
            <w:tcW w:w="1285" w:type="dxa"/>
            <w:vAlign w:val="center"/>
          </w:tcPr>
          <w:p w:rsidR="0053719C" w:rsidRPr="00CF0139" w:rsidP="00C223A0" w14:paraId="579B73AA" w14:textId="755D922B">
            <w:pPr>
              <w:jc w:val="center"/>
              <w:rPr>
                <w:sz w:val="22"/>
                <w:szCs w:val="22"/>
              </w:rPr>
            </w:pPr>
            <w:r w:rsidRPr="00CF0139">
              <w:rPr>
                <w:sz w:val="22"/>
                <w:szCs w:val="22"/>
              </w:rPr>
              <w:t>1</w:t>
            </w:r>
          </w:p>
        </w:tc>
        <w:tc>
          <w:tcPr>
            <w:tcW w:w="999" w:type="dxa"/>
            <w:vAlign w:val="center"/>
          </w:tcPr>
          <w:p w:rsidR="0053719C" w:rsidRPr="00CF0139" w:rsidP="00C223A0" w14:paraId="01B119ED" w14:textId="1FBEF48F">
            <w:pPr>
              <w:jc w:val="center"/>
              <w:rPr>
                <w:sz w:val="22"/>
                <w:szCs w:val="22"/>
              </w:rPr>
            </w:pPr>
            <w:r w:rsidRPr="00CF0139">
              <w:rPr>
                <w:sz w:val="22"/>
                <w:szCs w:val="22"/>
              </w:rPr>
              <w:t>203</w:t>
            </w:r>
          </w:p>
        </w:tc>
        <w:tc>
          <w:tcPr>
            <w:tcW w:w="1167" w:type="dxa"/>
            <w:vAlign w:val="center"/>
          </w:tcPr>
          <w:p w:rsidR="0053719C" w:rsidRPr="00CF0139" w:rsidP="00C223A0" w14:paraId="023C526C" w14:textId="3854F1B6">
            <w:pPr>
              <w:jc w:val="center"/>
              <w:rPr>
                <w:sz w:val="22"/>
                <w:szCs w:val="22"/>
              </w:rPr>
            </w:pPr>
            <w:r w:rsidRPr="00CF0139">
              <w:rPr>
                <w:color w:val="000000"/>
                <w:sz w:val="22"/>
                <w:szCs w:val="22"/>
              </w:rPr>
              <w:t>10/60</w:t>
            </w:r>
          </w:p>
        </w:tc>
        <w:tc>
          <w:tcPr>
            <w:tcW w:w="972" w:type="dxa"/>
            <w:vAlign w:val="center"/>
          </w:tcPr>
          <w:p w:rsidR="0053719C" w:rsidRPr="00CF0139" w:rsidP="00C223A0" w14:paraId="5F32AAFD" w14:textId="7857DBEC">
            <w:pPr>
              <w:jc w:val="center"/>
              <w:rPr>
                <w:sz w:val="22"/>
                <w:szCs w:val="22"/>
              </w:rPr>
            </w:pPr>
            <w:r w:rsidRPr="00CF0139">
              <w:rPr>
                <w:sz w:val="22"/>
                <w:szCs w:val="22"/>
              </w:rPr>
              <w:t>34</w:t>
            </w:r>
          </w:p>
        </w:tc>
        <w:tc>
          <w:tcPr>
            <w:tcW w:w="972" w:type="dxa"/>
            <w:vAlign w:val="center"/>
          </w:tcPr>
          <w:p w:rsidR="0053719C" w:rsidRPr="00CF0139" w:rsidP="00C223A0" w14:paraId="35D68DC3" w14:textId="21EEC7D6">
            <w:pPr>
              <w:jc w:val="center"/>
              <w:rPr>
                <w:sz w:val="22"/>
                <w:szCs w:val="22"/>
              </w:rPr>
            </w:pPr>
            <w:r w:rsidRPr="00CF0139">
              <w:rPr>
                <w:sz w:val="22"/>
                <w:szCs w:val="22"/>
              </w:rPr>
              <w:t>$47.12</w:t>
            </w:r>
          </w:p>
        </w:tc>
        <w:tc>
          <w:tcPr>
            <w:tcW w:w="1248" w:type="dxa"/>
            <w:vAlign w:val="center"/>
          </w:tcPr>
          <w:p w:rsidR="0053719C" w:rsidRPr="00CF0139" w:rsidP="00C223A0" w14:paraId="03094C95" w14:textId="6B5CC405">
            <w:pPr>
              <w:jc w:val="center"/>
              <w:rPr>
                <w:sz w:val="22"/>
                <w:szCs w:val="22"/>
              </w:rPr>
            </w:pPr>
            <w:r w:rsidRPr="00CF0139">
              <w:rPr>
                <w:sz w:val="22"/>
                <w:szCs w:val="22"/>
              </w:rPr>
              <w:t>$1,602</w:t>
            </w:r>
          </w:p>
        </w:tc>
      </w:tr>
      <w:tr w14:paraId="107C313E" w14:textId="77777777" w:rsidTr="00E33791">
        <w:tblPrEx>
          <w:tblW w:w="10620" w:type="dxa"/>
          <w:tblInd w:w="-545" w:type="dxa"/>
          <w:tblLook w:val="04A0"/>
        </w:tblPrEx>
        <w:tc>
          <w:tcPr>
            <w:tcW w:w="1812" w:type="dxa"/>
            <w:vAlign w:val="center"/>
          </w:tcPr>
          <w:p w:rsidR="00532972" w:rsidP="00532972" w14:paraId="1D1F652F" w14:textId="17FCA436">
            <w:pPr>
              <w:rPr>
                <w:sz w:val="24"/>
              </w:rPr>
            </w:pPr>
            <w:r w:rsidRPr="00612D4D">
              <w:rPr>
                <w:b/>
                <w:bCs/>
                <w:sz w:val="24"/>
              </w:rPr>
              <w:t>Totals</w:t>
            </w:r>
          </w:p>
        </w:tc>
        <w:tc>
          <w:tcPr>
            <w:tcW w:w="1115" w:type="dxa"/>
            <w:vAlign w:val="center"/>
          </w:tcPr>
          <w:p w:rsidR="00532972" w:rsidP="008A2659" w14:paraId="58797F6F" w14:textId="5D422CF2">
            <w:pPr>
              <w:jc w:val="center"/>
              <w:rPr>
                <w:sz w:val="24"/>
              </w:rPr>
            </w:pPr>
            <w:r w:rsidRPr="00612D4D">
              <w:rPr>
                <w:b/>
                <w:bCs/>
                <w:sz w:val="24"/>
              </w:rPr>
              <w:t>689</w:t>
            </w:r>
          </w:p>
        </w:tc>
        <w:tc>
          <w:tcPr>
            <w:tcW w:w="1050" w:type="dxa"/>
          </w:tcPr>
          <w:p w:rsidR="00532972" w:rsidP="00532972" w14:paraId="481AAA7A" w14:textId="77777777">
            <w:pPr>
              <w:rPr>
                <w:sz w:val="24"/>
              </w:rPr>
            </w:pPr>
          </w:p>
        </w:tc>
        <w:tc>
          <w:tcPr>
            <w:tcW w:w="1285" w:type="dxa"/>
          </w:tcPr>
          <w:p w:rsidR="00532972" w:rsidP="00532972" w14:paraId="420AEC67" w14:textId="77777777">
            <w:pPr>
              <w:rPr>
                <w:sz w:val="24"/>
              </w:rPr>
            </w:pPr>
          </w:p>
        </w:tc>
        <w:tc>
          <w:tcPr>
            <w:tcW w:w="999" w:type="dxa"/>
          </w:tcPr>
          <w:p w:rsidR="00532972" w:rsidRPr="00707560" w:rsidP="00532972" w14:paraId="381BFC57" w14:textId="718A1A88">
            <w:pPr>
              <w:rPr>
                <w:b/>
                <w:bCs/>
                <w:sz w:val="24"/>
              </w:rPr>
            </w:pPr>
            <w:r w:rsidRPr="00707560">
              <w:rPr>
                <w:b/>
                <w:bCs/>
                <w:sz w:val="24"/>
              </w:rPr>
              <w:t>4,211</w:t>
            </w:r>
          </w:p>
        </w:tc>
        <w:tc>
          <w:tcPr>
            <w:tcW w:w="1167" w:type="dxa"/>
          </w:tcPr>
          <w:p w:rsidR="00532972" w:rsidP="00532972" w14:paraId="24AC760A" w14:textId="77777777">
            <w:pPr>
              <w:rPr>
                <w:sz w:val="24"/>
              </w:rPr>
            </w:pPr>
          </w:p>
        </w:tc>
        <w:tc>
          <w:tcPr>
            <w:tcW w:w="972" w:type="dxa"/>
          </w:tcPr>
          <w:p w:rsidR="00532972" w:rsidRPr="007A0CB2" w:rsidP="00532972" w14:paraId="07392EB6" w14:textId="3234E47D">
            <w:pPr>
              <w:rPr>
                <w:b/>
                <w:bCs/>
                <w:sz w:val="24"/>
              </w:rPr>
            </w:pPr>
            <w:r w:rsidRPr="007A0CB2">
              <w:rPr>
                <w:b/>
                <w:bCs/>
                <w:sz w:val="24"/>
              </w:rPr>
              <w:t>702</w:t>
            </w:r>
          </w:p>
        </w:tc>
        <w:tc>
          <w:tcPr>
            <w:tcW w:w="972" w:type="dxa"/>
          </w:tcPr>
          <w:p w:rsidR="00532972" w:rsidP="00532972" w14:paraId="37C19DC3" w14:textId="77777777">
            <w:pPr>
              <w:rPr>
                <w:sz w:val="24"/>
              </w:rPr>
            </w:pPr>
          </w:p>
        </w:tc>
        <w:tc>
          <w:tcPr>
            <w:tcW w:w="1248" w:type="dxa"/>
          </w:tcPr>
          <w:p w:rsidR="00532972" w:rsidRPr="00743F31" w:rsidP="00532972" w14:paraId="19CE0AAC" w14:textId="5E471A34">
            <w:pPr>
              <w:rPr>
                <w:b/>
                <w:bCs/>
                <w:sz w:val="22"/>
                <w:szCs w:val="22"/>
              </w:rPr>
            </w:pPr>
            <w:r w:rsidRPr="00743F31">
              <w:rPr>
                <w:b/>
                <w:bCs/>
                <w:sz w:val="22"/>
                <w:szCs w:val="22"/>
              </w:rPr>
              <w:t>$33,079</w:t>
            </w:r>
          </w:p>
        </w:tc>
      </w:tr>
    </w:tbl>
    <w:p w:rsidR="00713CA5" w:rsidP="009C3237" w14:paraId="6E74B295" w14:textId="77777777">
      <w:pPr>
        <w:rPr>
          <w:sz w:val="24"/>
        </w:rPr>
      </w:pPr>
    </w:p>
    <w:p w:rsidR="00612D4D" w:rsidP="009C3237" w14:paraId="6B9CF22A" w14:textId="77777777">
      <w:pPr>
        <w:rPr>
          <w:b/>
          <w:sz w:val="24"/>
        </w:rPr>
      </w:pPr>
    </w:p>
    <w:p w:rsidR="009C3237" w:rsidRPr="00565389" w:rsidP="009C3237" w14:paraId="3CBF40D7" w14:textId="77777777">
      <w:pPr>
        <w:rPr>
          <w:sz w:val="24"/>
          <w:u w:val="single"/>
        </w:rPr>
      </w:pPr>
      <w:r w:rsidRPr="00565389">
        <w:rPr>
          <w:sz w:val="24"/>
          <w:u w:val="single"/>
        </w:rPr>
        <w:t>Employee notification (§1910.1047(d)(7))</w:t>
      </w:r>
    </w:p>
    <w:p w:rsidR="009C3237" w:rsidRPr="00565389" w:rsidP="009C3237" w14:paraId="10274CDA" w14:textId="77777777">
      <w:pPr>
        <w:rPr>
          <w:sz w:val="24"/>
          <w:u w:val="single"/>
        </w:rPr>
      </w:pPr>
    </w:p>
    <w:p w:rsidR="009C3237" w:rsidRPr="00565389" w:rsidP="009C3237" w14:paraId="4EBC0B61" w14:textId="25AD8300">
      <w:pPr>
        <w:rPr>
          <w:sz w:val="24"/>
        </w:rPr>
      </w:pPr>
      <w:r w:rsidRPr="00565389">
        <w:rPr>
          <w:sz w:val="24"/>
        </w:rPr>
        <w:t>Employers must provide written notification to each worker of their exposure-monitoring results, either individually or by posting their exposure-monitoring results in an appropriate location that is accessible to the affected workers.  OSHA assumes a secretary spends 5 minutes (5/60 hour) documenting exposure levels (including representative exposure levels) and posting the results.  OSHA assumes that worker exposures above the EL occur only in facilities that have airborne EtO concentrations at or above the AL; therefore, employers would post their TWA and EL monitoring results simultaneously (i.e., employee notification of elevated TWAs and ELs can occur in a single posting).  Table 4 summarizes the burden hour and cost determinations for this employee-notification requirement:</w:t>
      </w:r>
    </w:p>
    <w:p w:rsidR="0056485B" w:rsidP="009C3237" w14:paraId="58CC2FA0" w14:textId="77777777">
      <w:pPr>
        <w:rPr>
          <w:b/>
          <w:sz w:val="24"/>
        </w:rPr>
      </w:pPr>
    </w:p>
    <w:p w:rsidR="0056485B" w:rsidP="009C3237" w14:paraId="22E1A6FE" w14:textId="7CF61F12">
      <w:pPr>
        <w:rPr>
          <w:b/>
          <w:bCs/>
          <w:sz w:val="24"/>
        </w:rPr>
      </w:pPr>
      <w:r w:rsidRPr="004B5ECF">
        <w:rPr>
          <w:b/>
          <w:bCs/>
          <w:sz w:val="24"/>
        </w:rPr>
        <w:t>Table 4: Employee Exposure Notification Burden Hour and Cost Estimates Samples and Cost</w:t>
      </w:r>
    </w:p>
    <w:p w:rsidR="00F55061" w:rsidP="009C3237" w14:paraId="2C20478F" w14:textId="77777777">
      <w:pPr>
        <w:rPr>
          <w:b/>
          <w:sz w:val="24"/>
        </w:rPr>
      </w:pPr>
    </w:p>
    <w:tbl>
      <w:tblPr>
        <w:tblStyle w:val="TableGrid"/>
        <w:tblW w:w="10080" w:type="dxa"/>
        <w:tblInd w:w="-455" w:type="dxa"/>
        <w:tblLook w:val="04A0"/>
      </w:tblPr>
      <w:tblGrid>
        <w:gridCol w:w="1906"/>
        <w:gridCol w:w="1153"/>
        <w:gridCol w:w="1219"/>
        <w:gridCol w:w="1112"/>
        <w:gridCol w:w="1122"/>
        <w:gridCol w:w="1106"/>
        <w:gridCol w:w="1106"/>
        <w:gridCol w:w="1356"/>
      </w:tblGrid>
      <w:tr w14:paraId="125040EA" w14:textId="77777777" w:rsidTr="00CE2B90">
        <w:tblPrEx>
          <w:tblW w:w="10080" w:type="dxa"/>
          <w:tblInd w:w="-455" w:type="dxa"/>
          <w:tblLook w:val="04A0"/>
        </w:tblPrEx>
        <w:tc>
          <w:tcPr>
            <w:tcW w:w="1906" w:type="dxa"/>
            <w:shd w:val="clear" w:color="auto" w:fill="BDD6EE" w:themeFill="accent1" w:themeFillTint="66"/>
          </w:tcPr>
          <w:p w:rsidR="00D75D1C" w:rsidP="00D75D1C" w14:paraId="3850BDB8" w14:textId="2E08847C">
            <w:pPr>
              <w:rPr>
                <w:b/>
                <w:sz w:val="24"/>
              </w:rPr>
            </w:pPr>
            <w:r w:rsidRPr="004E0143">
              <w:rPr>
                <w:b/>
                <w:bCs/>
                <w:sz w:val="22"/>
                <w:szCs w:val="22"/>
              </w:rPr>
              <w:t>Monitoring Requirement</w:t>
            </w:r>
          </w:p>
        </w:tc>
        <w:tc>
          <w:tcPr>
            <w:tcW w:w="1153" w:type="dxa"/>
            <w:shd w:val="clear" w:color="auto" w:fill="BDD6EE" w:themeFill="accent1" w:themeFillTint="66"/>
          </w:tcPr>
          <w:p w:rsidR="00D75D1C" w:rsidP="00D75D1C" w14:paraId="0C8B0CD8" w14:textId="17CF59BF">
            <w:pPr>
              <w:rPr>
                <w:b/>
                <w:sz w:val="24"/>
              </w:rPr>
            </w:pPr>
            <w:r w:rsidRPr="004E0143">
              <w:rPr>
                <w:b/>
                <w:bCs/>
                <w:sz w:val="22"/>
                <w:szCs w:val="22"/>
              </w:rPr>
              <w:t>No. of Facilities</w:t>
            </w:r>
          </w:p>
        </w:tc>
        <w:tc>
          <w:tcPr>
            <w:tcW w:w="1219" w:type="dxa"/>
            <w:shd w:val="clear" w:color="auto" w:fill="BDD6EE" w:themeFill="accent1" w:themeFillTint="66"/>
          </w:tcPr>
          <w:p w:rsidR="00D75D1C" w:rsidRPr="004E0143" w:rsidP="00D75D1C" w14:paraId="14BC990A" w14:textId="77777777">
            <w:pPr>
              <w:widowControl/>
              <w:autoSpaceDE/>
              <w:autoSpaceDN/>
              <w:adjustRightInd/>
              <w:jc w:val="center"/>
              <w:rPr>
                <w:b/>
                <w:bCs/>
                <w:sz w:val="22"/>
                <w:szCs w:val="22"/>
              </w:rPr>
            </w:pPr>
            <w:r w:rsidRPr="004E0143">
              <w:rPr>
                <w:b/>
                <w:bCs/>
                <w:sz w:val="22"/>
                <w:szCs w:val="22"/>
              </w:rPr>
              <w:t xml:space="preserve">Frequency </w:t>
            </w:r>
          </w:p>
          <w:p w:rsidR="00D75D1C" w:rsidP="00D75D1C" w14:paraId="4D787B82" w14:textId="2247D36D">
            <w:pPr>
              <w:rPr>
                <w:b/>
                <w:sz w:val="24"/>
              </w:rPr>
            </w:pPr>
            <w:r w:rsidRPr="004E0143">
              <w:rPr>
                <w:b/>
                <w:bCs/>
                <w:sz w:val="22"/>
                <w:szCs w:val="22"/>
              </w:rPr>
              <w:t>per Year</w:t>
            </w:r>
          </w:p>
        </w:tc>
        <w:tc>
          <w:tcPr>
            <w:tcW w:w="1112" w:type="dxa"/>
            <w:shd w:val="clear" w:color="auto" w:fill="BDD6EE" w:themeFill="accent1" w:themeFillTint="66"/>
          </w:tcPr>
          <w:p w:rsidR="00D75D1C" w:rsidP="00D75D1C" w14:paraId="2226F72E" w14:textId="3886B851">
            <w:pPr>
              <w:rPr>
                <w:b/>
                <w:sz w:val="24"/>
              </w:rPr>
            </w:pPr>
            <w:r w:rsidRPr="004E0143">
              <w:rPr>
                <w:b/>
                <w:bCs/>
                <w:sz w:val="22"/>
                <w:szCs w:val="22"/>
              </w:rPr>
              <w:t xml:space="preserve">Total </w:t>
            </w:r>
            <w:r>
              <w:rPr>
                <w:b/>
                <w:bCs/>
                <w:sz w:val="22"/>
                <w:szCs w:val="22"/>
              </w:rPr>
              <w:t>Samples</w:t>
            </w:r>
          </w:p>
        </w:tc>
        <w:tc>
          <w:tcPr>
            <w:tcW w:w="1122" w:type="dxa"/>
            <w:shd w:val="clear" w:color="auto" w:fill="BDD6EE" w:themeFill="accent1" w:themeFillTint="66"/>
          </w:tcPr>
          <w:p w:rsidR="00D75D1C" w:rsidP="00D75D1C" w14:paraId="4BE56817" w14:textId="2359CC5A">
            <w:pPr>
              <w:rPr>
                <w:b/>
                <w:sz w:val="24"/>
              </w:rPr>
            </w:pPr>
            <w:r w:rsidRPr="004E0143">
              <w:rPr>
                <w:b/>
                <w:bCs/>
                <w:sz w:val="22"/>
                <w:szCs w:val="22"/>
              </w:rPr>
              <w:t>Sampling Time (Hours)</w:t>
            </w:r>
          </w:p>
        </w:tc>
        <w:tc>
          <w:tcPr>
            <w:tcW w:w="1106" w:type="dxa"/>
            <w:shd w:val="clear" w:color="auto" w:fill="BDD6EE" w:themeFill="accent1" w:themeFillTint="66"/>
          </w:tcPr>
          <w:p w:rsidR="00D75D1C" w:rsidP="00D75D1C" w14:paraId="3AD72607" w14:textId="470152C4">
            <w:pPr>
              <w:rPr>
                <w:b/>
                <w:sz w:val="24"/>
              </w:rPr>
            </w:pPr>
            <w:r w:rsidRPr="004E0143">
              <w:rPr>
                <w:b/>
                <w:bCs/>
                <w:sz w:val="22"/>
                <w:szCs w:val="22"/>
              </w:rPr>
              <w:t>Burden Hours</w:t>
            </w:r>
          </w:p>
        </w:tc>
        <w:tc>
          <w:tcPr>
            <w:tcW w:w="1106" w:type="dxa"/>
            <w:shd w:val="clear" w:color="auto" w:fill="BDD6EE" w:themeFill="accent1" w:themeFillTint="66"/>
          </w:tcPr>
          <w:p w:rsidR="00D75D1C" w:rsidP="00D75D1C" w14:paraId="6ADAB50E" w14:textId="18D0FA47">
            <w:pPr>
              <w:rPr>
                <w:b/>
                <w:sz w:val="24"/>
              </w:rPr>
            </w:pPr>
            <w:r w:rsidRPr="004E0143">
              <w:rPr>
                <w:b/>
                <w:bCs/>
                <w:sz w:val="22"/>
                <w:szCs w:val="22"/>
              </w:rPr>
              <w:t>Loaded Wage Rate</w:t>
            </w:r>
          </w:p>
        </w:tc>
        <w:tc>
          <w:tcPr>
            <w:tcW w:w="1356" w:type="dxa"/>
            <w:shd w:val="clear" w:color="auto" w:fill="BDD6EE" w:themeFill="accent1" w:themeFillTint="66"/>
          </w:tcPr>
          <w:p w:rsidR="00D75D1C" w:rsidP="00D75D1C" w14:paraId="6360C41C" w14:textId="241E3DCD">
            <w:pPr>
              <w:rPr>
                <w:b/>
                <w:sz w:val="24"/>
              </w:rPr>
            </w:pPr>
            <w:r w:rsidRPr="004E0143">
              <w:rPr>
                <w:b/>
                <w:bCs/>
                <w:sz w:val="22"/>
                <w:szCs w:val="22"/>
              </w:rPr>
              <w:t>Cost</w:t>
            </w:r>
          </w:p>
        </w:tc>
      </w:tr>
      <w:tr w14:paraId="6AEB1B6A" w14:textId="77777777" w:rsidTr="00A612FE">
        <w:tblPrEx>
          <w:tblW w:w="10080" w:type="dxa"/>
          <w:tblInd w:w="-455" w:type="dxa"/>
          <w:tblLook w:val="04A0"/>
        </w:tblPrEx>
        <w:tc>
          <w:tcPr>
            <w:tcW w:w="1906" w:type="dxa"/>
            <w:vAlign w:val="center"/>
          </w:tcPr>
          <w:p w:rsidR="008C0AE4" w:rsidRPr="00736777" w:rsidP="008C0AE4" w14:paraId="2BD70336" w14:textId="248D0B4C">
            <w:pPr>
              <w:rPr>
                <w:b/>
                <w:sz w:val="22"/>
                <w:szCs w:val="22"/>
              </w:rPr>
            </w:pPr>
            <w:r w:rsidRPr="00736777">
              <w:rPr>
                <w:sz w:val="22"/>
                <w:szCs w:val="22"/>
              </w:rPr>
              <w:t>Above TWA; Above EL</w:t>
            </w:r>
          </w:p>
        </w:tc>
        <w:tc>
          <w:tcPr>
            <w:tcW w:w="1153" w:type="dxa"/>
            <w:vAlign w:val="center"/>
          </w:tcPr>
          <w:p w:rsidR="008C0AE4" w:rsidRPr="00736777" w:rsidP="00A612FE" w14:paraId="72A2FCEA" w14:textId="5F585968">
            <w:pPr>
              <w:jc w:val="center"/>
              <w:rPr>
                <w:bCs/>
                <w:sz w:val="22"/>
                <w:szCs w:val="22"/>
              </w:rPr>
            </w:pPr>
            <w:r w:rsidRPr="00736777">
              <w:rPr>
                <w:bCs/>
                <w:sz w:val="22"/>
                <w:szCs w:val="22"/>
              </w:rPr>
              <w:t>182</w:t>
            </w:r>
          </w:p>
        </w:tc>
        <w:tc>
          <w:tcPr>
            <w:tcW w:w="1219" w:type="dxa"/>
            <w:vAlign w:val="center"/>
          </w:tcPr>
          <w:p w:rsidR="008C0AE4" w:rsidRPr="00736777" w:rsidP="00A612FE" w14:paraId="71CD9617" w14:textId="53DDC92E">
            <w:pPr>
              <w:jc w:val="center"/>
              <w:rPr>
                <w:bCs/>
                <w:sz w:val="22"/>
                <w:szCs w:val="22"/>
              </w:rPr>
            </w:pPr>
            <w:r w:rsidRPr="00736777">
              <w:rPr>
                <w:bCs/>
                <w:sz w:val="22"/>
                <w:szCs w:val="22"/>
              </w:rPr>
              <w:t>4</w:t>
            </w:r>
          </w:p>
        </w:tc>
        <w:tc>
          <w:tcPr>
            <w:tcW w:w="1112" w:type="dxa"/>
            <w:vAlign w:val="center"/>
          </w:tcPr>
          <w:p w:rsidR="008C0AE4" w:rsidRPr="00736777" w:rsidP="00A612FE" w14:paraId="7703DE92" w14:textId="011425E3">
            <w:pPr>
              <w:jc w:val="center"/>
              <w:rPr>
                <w:bCs/>
                <w:sz w:val="22"/>
                <w:szCs w:val="22"/>
              </w:rPr>
            </w:pPr>
            <w:r w:rsidRPr="00736777">
              <w:rPr>
                <w:bCs/>
                <w:sz w:val="22"/>
                <w:szCs w:val="22"/>
              </w:rPr>
              <w:t>728</w:t>
            </w:r>
          </w:p>
        </w:tc>
        <w:tc>
          <w:tcPr>
            <w:tcW w:w="1122" w:type="dxa"/>
            <w:vAlign w:val="center"/>
          </w:tcPr>
          <w:p w:rsidR="008C0AE4" w:rsidRPr="00736777" w:rsidP="00A612FE" w14:paraId="6A7E8EBB" w14:textId="0471DF30">
            <w:pPr>
              <w:jc w:val="center"/>
              <w:rPr>
                <w:bCs/>
                <w:sz w:val="22"/>
                <w:szCs w:val="22"/>
              </w:rPr>
            </w:pPr>
            <w:r w:rsidRPr="00736777">
              <w:rPr>
                <w:bCs/>
                <w:sz w:val="22"/>
                <w:szCs w:val="22"/>
              </w:rPr>
              <w:t>5/60</w:t>
            </w:r>
          </w:p>
        </w:tc>
        <w:tc>
          <w:tcPr>
            <w:tcW w:w="1106" w:type="dxa"/>
            <w:vAlign w:val="center"/>
          </w:tcPr>
          <w:p w:rsidR="008C0AE4" w:rsidRPr="00736777" w:rsidP="00A612FE" w14:paraId="14369A57" w14:textId="48EF9B55">
            <w:pPr>
              <w:jc w:val="center"/>
              <w:rPr>
                <w:b/>
                <w:sz w:val="22"/>
                <w:szCs w:val="22"/>
              </w:rPr>
            </w:pPr>
            <w:r w:rsidRPr="00736777">
              <w:rPr>
                <w:b/>
                <w:sz w:val="22"/>
                <w:szCs w:val="22"/>
              </w:rPr>
              <w:t>61</w:t>
            </w:r>
          </w:p>
        </w:tc>
        <w:tc>
          <w:tcPr>
            <w:tcW w:w="1106" w:type="dxa"/>
            <w:vAlign w:val="center"/>
          </w:tcPr>
          <w:p w:rsidR="008C0AE4" w:rsidRPr="00736777" w:rsidP="00A612FE" w14:paraId="0DCBBF7E" w14:textId="15EFD97E">
            <w:pPr>
              <w:jc w:val="center"/>
              <w:rPr>
                <w:b/>
                <w:sz w:val="22"/>
                <w:szCs w:val="22"/>
              </w:rPr>
            </w:pPr>
            <w:r w:rsidRPr="00736777">
              <w:rPr>
                <w:color w:val="000000" w:themeColor="text1"/>
                <w:sz w:val="22"/>
                <w:szCs w:val="22"/>
              </w:rPr>
              <w:t>$29.60</w:t>
            </w:r>
          </w:p>
        </w:tc>
        <w:tc>
          <w:tcPr>
            <w:tcW w:w="1356" w:type="dxa"/>
            <w:vAlign w:val="center"/>
          </w:tcPr>
          <w:p w:rsidR="008C0AE4" w:rsidRPr="00736777" w:rsidP="00A612FE" w14:paraId="5C7E0DFA" w14:textId="7D7B0BAC">
            <w:pPr>
              <w:jc w:val="center"/>
              <w:rPr>
                <w:b/>
                <w:sz w:val="22"/>
                <w:szCs w:val="22"/>
              </w:rPr>
            </w:pPr>
            <w:r w:rsidRPr="00736777">
              <w:rPr>
                <w:b/>
                <w:sz w:val="22"/>
                <w:szCs w:val="22"/>
              </w:rPr>
              <w:t>$1,806</w:t>
            </w:r>
          </w:p>
        </w:tc>
      </w:tr>
      <w:tr w14:paraId="3060EF41" w14:textId="77777777" w:rsidTr="00A612FE">
        <w:tblPrEx>
          <w:tblW w:w="10080" w:type="dxa"/>
          <w:tblInd w:w="-455" w:type="dxa"/>
          <w:tblLook w:val="04A0"/>
        </w:tblPrEx>
        <w:tc>
          <w:tcPr>
            <w:tcW w:w="1906" w:type="dxa"/>
            <w:vAlign w:val="center"/>
          </w:tcPr>
          <w:p w:rsidR="008C0AE4" w:rsidRPr="00736777" w:rsidP="008C0AE4" w14:paraId="5887AB6A" w14:textId="51F726A5">
            <w:pPr>
              <w:rPr>
                <w:b/>
                <w:sz w:val="22"/>
                <w:szCs w:val="22"/>
              </w:rPr>
            </w:pPr>
            <w:r w:rsidRPr="00736777">
              <w:rPr>
                <w:sz w:val="22"/>
                <w:szCs w:val="22"/>
              </w:rPr>
              <w:t>At/Above AL &amp; At/Below TWA; Above EL</w:t>
            </w:r>
          </w:p>
        </w:tc>
        <w:tc>
          <w:tcPr>
            <w:tcW w:w="1153" w:type="dxa"/>
            <w:vAlign w:val="center"/>
          </w:tcPr>
          <w:p w:rsidR="008C0AE4" w:rsidRPr="00736777" w:rsidP="00A612FE" w14:paraId="67C7EFBA" w14:textId="50B67391">
            <w:pPr>
              <w:jc w:val="center"/>
              <w:rPr>
                <w:bCs/>
                <w:sz w:val="22"/>
                <w:szCs w:val="22"/>
              </w:rPr>
            </w:pPr>
            <w:r w:rsidRPr="00736777">
              <w:rPr>
                <w:bCs/>
                <w:sz w:val="22"/>
                <w:szCs w:val="22"/>
              </w:rPr>
              <w:t>182</w:t>
            </w:r>
          </w:p>
        </w:tc>
        <w:tc>
          <w:tcPr>
            <w:tcW w:w="1219" w:type="dxa"/>
            <w:vAlign w:val="center"/>
          </w:tcPr>
          <w:p w:rsidR="008C0AE4" w:rsidRPr="00736777" w:rsidP="00A612FE" w14:paraId="7C4493D3" w14:textId="7E7BBDB4">
            <w:pPr>
              <w:jc w:val="center"/>
              <w:rPr>
                <w:bCs/>
                <w:sz w:val="22"/>
                <w:szCs w:val="22"/>
              </w:rPr>
            </w:pPr>
            <w:r w:rsidRPr="00736777">
              <w:rPr>
                <w:bCs/>
                <w:sz w:val="22"/>
                <w:szCs w:val="22"/>
              </w:rPr>
              <w:t>2</w:t>
            </w:r>
          </w:p>
        </w:tc>
        <w:tc>
          <w:tcPr>
            <w:tcW w:w="1112" w:type="dxa"/>
            <w:vAlign w:val="center"/>
          </w:tcPr>
          <w:p w:rsidR="008C0AE4" w:rsidRPr="00736777" w:rsidP="00A612FE" w14:paraId="6DE7FD03" w14:textId="4CE722C2">
            <w:pPr>
              <w:jc w:val="center"/>
              <w:rPr>
                <w:bCs/>
                <w:sz w:val="22"/>
                <w:szCs w:val="22"/>
              </w:rPr>
            </w:pPr>
            <w:r w:rsidRPr="00736777">
              <w:rPr>
                <w:bCs/>
                <w:sz w:val="22"/>
                <w:szCs w:val="22"/>
              </w:rPr>
              <w:t>364</w:t>
            </w:r>
          </w:p>
        </w:tc>
        <w:tc>
          <w:tcPr>
            <w:tcW w:w="1122" w:type="dxa"/>
            <w:vAlign w:val="center"/>
          </w:tcPr>
          <w:p w:rsidR="008C0AE4" w:rsidRPr="00736777" w:rsidP="00A612FE" w14:paraId="77E24390" w14:textId="7A23855C">
            <w:pPr>
              <w:jc w:val="center"/>
              <w:rPr>
                <w:bCs/>
                <w:sz w:val="22"/>
                <w:szCs w:val="22"/>
              </w:rPr>
            </w:pPr>
            <w:r w:rsidRPr="00736777">
              <w:rPr>
                <w:bCs/>
                <w:sz w:val="22"/>
                <w:szCs w:val="22"/>
              </w:rPr>
              <w:t>5/60</w:t>
            </w:r>
          </w:p>
        </w:tc>
        <w:tc>
          <w:tcPr>
            <w:tcW w:w="1106" w:type="dxa"/>
            <w:vAlign w:val="center"/>
          </w:tcPr>
          <w:p w:rsidR="008C0AE4" w:rsidRPr="00736777" w:rsidP="00A612FE" w14:paraId="3E46E5AC" w14:textId="231953F7">
            <w:pPr>
              <w:jc w:val="center"/>
              <w:rPr>
                <w:b/>
                <w:sz w:val="22"/>
                <w:szCs w:val="22"/>
              </w:rPr>
            </w:pPr>
            <w:r w:rsidRPr="00736777">
              <w:rPr>
                <w:b/>
                <w:sz w:val="22"/>
                <w:szCs w:val="22"/>
              </w:rPr>
              <w:t>30</w:t>
            </w:r>
          </w:p>
        </w:tc>
        <w:tc>
          <w:tcPr>
            <w:tcW w:w="1106" w:type="dxa"/>
            <w:vAlign w:val="center"/>
          </w:tcPr>
          <w:p w:rsidR="008C0AE4" w:rsidRPr="00736777" w:rsidP="00A612FE" w14:paraId="40E5C2CA" w14:textId="2D778440">
            <w:pPr>
              <w:jc w:val="center"/>
              <w:rPr>
                <w:b/>
                <w:sz w:val="22"/>
                <w:szCs w:val="22"/>
              </w:rPr>
            </w:pPr>
            <w:r w:rsidRPr="00736777">
              <w:rPr>
                <w:color w:val="000000" w:themeColor="text1"/>
                <w:sz w:val="22"/>
                <w:szCs w:val="22"/>
              </w:rPr>
              <w:t>$29.60</w:t>
            </w:r>
          </w:p>
        </w:tc>
        <w:tc>
          <w:tcPr>
            <w:tcW w:w="1356" w:type="dxa"/>
            <w:vAlign w:val="center"/>
          </w:tcPr>
          <w:p w:rsidR="008C0AE4" w:rsidRPr="00736777" w:rsidP="00A612FE" w14:paraId="496E87EA" w14:textId="62703504">
            <w:pPr>
              <w:jc w:val="center"/>
              <w:rPr>
                <w:b/>
                <w:sz w:val="22"/>
                <w:szCs w:val="22"/>
              </w:rPr>
            </w:pPr>
            <w:r w:rsidRPr="00736777">
              <w:rPr>
                <w:b/>
                <w:sz w:val="22"/>
                <w:szCs w:val="22"/>
              </w:rPr>
              <w:t>$</w:t>
            </w:r>
            <w:r w:rsidRPr="00736777" w:rsidR="00363CD0">
              <w:rPr>
                <w:b/>
                <w:sz w:val="22"/>
                <w:szCs w:val="22"/>
              </w:rPr>
              <w:t>888</w:t>
            </w:r>
          </w:p>
        </w:tc>
      </w:tr>
      <w:tr w14:paraId="4FF3EDCC" w14:textId="77777777" w:rsidTr="00A612FE">
        <w:tblPrEx>
          <w:tblW w:w="10080" w:type="dxa"/>
          <w:tblInd w:w="-455" w:type="dxa"/>
          <w:tblLook w:val="04A0"/>
        </w:tblPrEx>
        <w:tc>
          <w:tcPr>
            <w:tcW w:w="1906" w:type="dxa"/>
            <w:vAlign w:val="center"/>
          </w:tcPr>
          <w:p w:rsidR="008C0AE4" w:rsidRPr="00736777" w:rsidP="008C0AE4" w14:paraId="11C762E3" w14:textId="11925F16">
            <w:pPr>
              <w:rPr>
                <w:b/>
                <w:sz w:val="22"/>
                <w:szCs w:val="22"/>
              </w:rPr>
            </w:pPr>
            <w:r w:rsidRPr="00736777">
              <w:rPr>
                <w:sz w:val="22"/>
                <w:szCs w:val="22"/>
              </w:rPr>
              <w:t>Additional</w:t>
            </w:r>
          </w:p>
        </w:tc>
        <w:tc>
          <w:tcPr>
            <w:tcW w:w="1153" w:type="dxa"/>
            <w:vAlign w:val="center"/>
          </w:tcPr>
          <w:p w:rsidR="008C0AE4" w:rsidRPr="00736777" w:rsidP="00A612FE" w14:paraId="292962E0" w14:textId="768ADCAF">
            <w:pPr>
              <w:jc w:val="center"/>
              <w:rPr>
                <w:bCs/>
                <w:sz w:val="22"/>
                <w:szCs w:val="22"/>
              </w:rPr>
            </w:pPr>
            <w:r w:rsidRPr="00736777">
              <w:rPr>
                <w:bCs/>
                <w:sz w:val="22"/>
                <w:szCs w:val="22"/>
              </w:rPr>
              <w:t>203</w:t>
            </w:r>
          </w:p>
        </w:tc>
        <w:tc>
          <w:tcPr>
            <w:tcW w:w="1219" w:type="dxa"/>
            <w:vAlign w:val="center"/>
          </w:tcPr>
          <w:p w:rsidR="008C0AE4" w:rsidRPr="00736777" w:rsidP="00A612FE" w14:paraId="33C2FEFF" w14:textId="6C2993FB">
            <w:pPr>
              <w:jc w:val="center"/>
              <w:rPr>
                <w:bCs/>
                <w:sz w:val="22"/>
                <w:szCs w:val="22"/>
              </w:rPr>
            </w:pPr>
            <w:r w:rsidRPr="00736777">
              <w:rPr>
                <w:bCs/>
                <w:sz w:val="22"/>
                <w:szCs w:val="22"/>
              </w:rPr>
              <w:t>1</w:t>
            </w:r>
          </w:p>
        </w:tc>
        <w:tc>
          <w:tcPr>
            <w:tcW w:w="1112" w:type="dxa"/>
            <w:vAlign w:val="center"/>
          </w:tcPr>
          <w:p w:rsidR="008C0AE4" w:rsidRPr="00736777" w:rsidP="00A612FE" w14:paraId="5ABD4B63" w14:textId="1D8B60C8">
            <w:pPr>
              <w:jc w:val="center"/>
              <w:rPr>
                <w:bCs/>
                <w:sz w:val="22"/>
                <w:szCs w:val="22"/>
              </w:rPr>
            </w:pPr>
            <w:r w:rsidRPr="00736777">
              <w:rPr>
                <w:bCs/>
                <w:sz w:val="22"/>
                <w:szCs w:val="22"/>
              </w:rPr>
              <w:t>203</w:t>
            </w:r>
          </w:p>
        </w:tc>
        <w:tc>
          <w:tcPr>
            <w:tcW w:w="1122" w:type="dxa"/>
            <w:vAlign w:val="center"/>
          </w:tcPr>
          <w:p w:rsidR="008C0AE4" w:rsidRPr="00736777" w:rsidP="00A612FE" w14:paraId="2B01EB22" w14:textId="71FB1DE7">
            <w:pPr>
              <w:jc w:val="center"/>
              <w:rPr>
                <w:bCs/>
                <w:sz w:val="22"/>
                <w:szCs w:val="22"/>
              </w:rPr>
            </w:pPr>
            <w:r w:rsidRPr="00736777">
              <w:rPr>
                <w:bCs/>
                <w:sz w:val="22"/>
                <w:szCs w:val="22"/>
              </w:rPr>
              <w:t>5/60</w:t>
            </w:r>
          </w:p>
        </w:tc>
        <w:tc>
          <w:tcPr>
            <w:tcW w:w="1106" w:type="dxa"/>
            <w:vAlign w:val="center"/>
          </w:tcPr>
          <w:p w:rsidR="008C0AE4" w:rsidRPr="00736777" w:rsidP="00A612FE" w14:paraId="03A64CD9" w14:textId="0D297567">
            <w:pPr>
              <w:jc w:val="center"/>
              <w:rPr>
                <w:b/>
                <w:sz w:val="22"/>
                <w:szCs w:val="22"/>
              </w:rPr>
            </w:pPr>
            <w:r w:rsidRPr="00736777">
              <w:rPr>
                <w:b/>
                <w:sz w:val="22"/>
                <w:szCs w:val="22"/>
              </w:rPr>
              <w:t>17</w:t>
            </w:r>
          </w:p>
        </w:tc>
        <w:tc>
          <w:tcPr>
            <w:tcW w:w="1106" w:type="dxa"/>
            <w:vAlign w:val="center"/>
          </w:tcPr>
          <w:p w:rsidR="008C0AE4" w:rsidRPr="00736777" w:rsidP="00A612FE" w14:paraId="1DDEDDFA" w14:textId="5D195E0B">
            <w:pPr>
              <w:jc w:val="center"/>
              <w:rPr>
                <w:b/>
                <w:sz w:val="22"/>
                <w:szCs w:val="22"/>
              </w:rPr>
            </w:pPr>
            <w:r w:rsidRPr="00736777">
              <w:rPr>
                <w:color w:val="000000" w:themeColor="text1"/>
                <w:sz w:val="22"/>
                <w:szCs w:val="22"/>
              </w:rPr>
              <w:t>$29.60</w:t>
            </w:r>
          </w:p>
        </w:tc>
        <w:tc>
          <w:tcPr>
            <w:tcW w:w="1356" w:type="dxa"/>
            <w:vAlign w:val="center"/>
          </w:tcPr>
          <w:p w:rsidR="008C0AE4" w:rsidRPr="00736777" w:rsidP="00A612FE" w14:paraId="09F67BB1" w14:textId="4347CC20">
            <w:pPr>
              <w:jc w:val="center"/>
              <w:rPr>
                <w:b/>
                <w:sz w:val="22"/>
                <w:szCs w:val="22"/>
              </w:rPr>
            </w:pPr>
            <w:r w:rsidRPr="00736777">
              <w:rPr>
                <w:b/>
                <w:sz w:val="22"/>
                <w:szCs w:val="22"/>
              </w:rPr>
              <w:t>$503</w:t>
            </w:r>
          </w:p>
        </w:tc>
      </w:tr>
      <w:tr w14:paraId="4A5C98B8" w14:textId="77777777" w:rsidTr="00A612FE">
        <w:tblPrEx>
          <w:tblW w:w="10080" w:type="dxa"/>
          <w:tblInd w:w="-455" w:type="dxa"/>
          <w:tblLook w:val="04A0"/>
        </w:tblPrEx>
        <w:tc>
          <w:tcPr>
            <w:tcW w:w="1906" w:type="dxa"/>
          </w:tcPr>
          <w:p w:rsidR="00473169" w:rsidRPr="00736777" w:rsidP="009C3237" w14:paraId="5BF6834C" w14:textId="6104C38B">
            <w:pPr>
              <w:rPr>
                <w:b/>
                <w:sz w:val="22"/>
                <w:szCs w:val="22"/>
              </w:rPr>
            </w:pPr>
            <w:r w:rsidRPr="00736777">
              <w:rPr>
                <w:b/>
                <w:sz w:val="22"/>
                <w:szCs w:val="22"/>
              </w:rPr>
              <w:t>Totals</w:t>
            </w:r>
          </w:p>
        </w:tc>
        <w:tc>
          <w:tcPr>
            <w:tcW w:w="1153" w:type="dxa"/>
            <w:vAlign w:val="center"/>
          </w:tcPr>
          <w:p w:rsidR="00473169" w:rsidRPr="00736777" w:rsidP="00A612FE" w14:paraId="1B17F2CC" w14:textId="77777777">
            <w:pPr>
              <w:jc w:val="center"/>
              <w:rPr>
                <w:b/>
                <w:sz w:val="22"/>
                <w:szCs w:val="22"/>
              </w:rPr>
            </w:pPr>
          </w:p>
        </w:tc>
        <w:tc>
          <w:tcPr>
            <w:tcW w:w="1219" w:type="dxa"/>
            <w:vAlign w:val="center"/>
          </w:tcPr>
          <w:p w:rsidR="00473169" w:rsidRPr="00736777" w:rsidP="00A612FE" w14:paraId="00CA3D14" w14:textId="77777777">
            <w:pPr>
              <w:jc w:val="center"/>
              <w:rPr>
                <w:b/>
                <w:sz w:val="22"/>
                <w:szCs w:val="22"/>
              </w:rPr>
            </w:pPr>
          </w:p>
        </w:tc>
        <w:tc>
          <w:tcPr>
            <w:tcW w:w="1112" w:type="dxa"/>
            <w:vAlign w:val="center"/>
          </w:tcPr>
          <w:p w:rsidR="00473169" w:rsidRPr="00736777" w:rsidP="00A612FE" w14:paraId="6995C7E2" w14:textId="0B07FD89">
            <w:pPr>
              <w:jc w:val="center"/>
              <w:rPr>
                <w:b/>
                <w:sz w:val="22"/>
                <w:szCs w:val="22"/>
              </w:rPr>
            </w:pPr>
            <w:r w:rsidRPr="00736777">
              <w:rPr>
                <w:b/>
                <w:sz w:val="22"/>
                <w:szCs w:val="22"/>
              </w:rPr>
              <w:t>1,295</w:t>
            </w:r>
          </w:p>
        </w:tc>
        <w:tc>
          <w:tcPr>
            <w:tcW w:w="1122" w:type="dxa"/>
            <w:vAlign w:val="center"/>
          </w:tcPr>
          <w:p w:rsidR="00473169" w:rsidRPr="00736777" w:rsidP="00A612FE" w14:paraId="32221BF8" w14:textId="77777777">
            <w:pPr>
              <w:jc w:val="center"/>
              <w:rPr>
                <w:b/>
                <w:sz w:val="22"/>
                <w:szCs w:val="22"/>
              </w:rPr>
            </w:pPr>
          </w:p>
        </w:tc>
        <w:tc>
          <w:tcPr>
            <w:tcW w:w="1106" w:type="dxa"/>
            <w:vAlign w:val="center"/>
          </w:tcPr>
          <w:p w:rsidR="00473169" w:rsidRPr="00736777" w:rsidP="00A612FE" w14:paraId="6197C97D" w14:textId="6B47A720">
            <w:pPr>
              <w:jc w:val="center"/>
              <w:rPr>
                <w:b/>
                <w:sz w:val="22"/>
                <w:szCs w:val="22"/>
              </w:rPr>
            </w:pPr>
            <w:r>
              <w:rPr>
                <w:b/>
                <w:sz w:val="22"/>
                <w:szCs w:val="22"/>
              </w:rPr>
              <w:t>108</w:t>
            </w:r>
          </w:p>
        </w:tc>
        <w:tc>
          <w:tcPr>
            <w:tcW w:w="1106" w:type="dxa"/>
            <w:vAlign w:val="center"/>
          </w:tcPr>
          <w:p w:rsidR="00473169" w:rsidRPr="00736777" w:rsidP="00A612FE" w14:paraId="1719BCCB" w14:textId="77777777">
            <w:pPr>
              <w:jc w:val="center"/>
              <w:rPr>
                <w:b/>
                <w:sz w:val="22"/>
                <w:szCs w:val="22"/>
              </w:rPr>
            </w:pPr>
          </w:p>
        </w:tc>
        <w:tc>
          <w:tcPr>
            <w:tcW w:w="1356" w:type="dxa"/>
            <w:vAlign w:val="center"/>
          </w:tcPr>
          <w:p w:rsidR="00473169" w:rsidRPr="00736777" w:rsidP="00A612FE" w14:paraId="516C7F4D" w14:textId="48DE44C5">
            <w:pPr>
              <w:jc w:val="center"/>
              <w:rPr>
                <w:b/>
                <w:sz w:val="22"/>
                <w:szCs w:val="22"/>
              </w:rPr>
            </w:pPr>
            <w:r>
              <w:rPr>
                <w:b/>
                <w:sz w:val="22"/>
                <w:szCs w:val="22"/>
              </w:rPr>
              <w:t>$3,197</w:t>
            </w:r>
          </w:p>
        </w:tc>
      </w:tr>
    </w:tbl>
    <w:p w:rsidR="004B5ECF" w:rsidP="009C3237" w14:paraId="7850D438" w14:textId="77777777">
      <w:pPr>
        <w:rPr>
          <w:b/>
          <w:sz w:val="24"/>
        </w:rPr>
      </w:pPr>
    </w:p>
    <w:p w:rsidR="00B21C70" w:rsidP="009C3237" w14:paraId="6DE7BE1F" w14:textId="77777777">
      <w:pPr>
        <w:rPr>
          <w:b/>
          <w:sz w:val="24"/>
        </w:rPr>
      </w:pPr>
    </w:p>
    <w:p w:rsidR="009C3237" w:rsidRPr="00565389" w:rsidP="009C3237" w14:paraId="22F2E58D" w14:textId="00E8A261">
      <w:pPr>
        <w:rPr>
          <w:sz w:val="24"/>
        </w:rPr>
      </w:pPr>
      <w:r w:rsidRPr="00565389">
        <w:rPr>
          <w:b/>
          <w:bCs/>
          <w:sz w:val="24"/>
        </w:rPr>
        <w:t>(B)  Compliance program (§1910.1047(f)(2))</w:t>
      </w:r>
    </w:p>
    <w:p w:rsidR="009C3237" w:rsidRPr="00565389" w:rsidP="009C3237" w14:paraId="5B5D13A2" w14:textId="77777777">
      <w:pPr>
        <w:rPr>
          <w:b/>
          <w:bCs/>
          <w:sz w:val="24"/>
        </w:rPr>
      </w:pPr>
    </w:p>
    <w:p w:rsidR="009C3237" w:rsidRPr="00565389" w:rsidP="009C3237" w14:paraId="1CC71DA6" w14:textId="2D208907">
      <w:pPr>
        <w:rPr>
          <w:sz w:val="24"/>
        </w:rPr>
      </w:pPr>
      <w:r w:rsidRPr="00565389">
        <w:rPr>
          <w:sz w:val="24"/>
        </w:rPr>
        <w:t>If any worker EtO exposures exceed the TWA or EL, the employer must establish and implement a written program to reduce the worker’s exposure to</w:t>
      </w:r>
      <w:r w:rsidRPr="00565389">
        <w:rPr>
          <w:b/>
          <w:bCs/>
          <w:sz w:val="24"/>
        </w:rPr>
        <w:t xml:space="preserve"> </w:t>
      </w:r>
      <w:r w:rsidRPr="00565389">
        <w:rPr>
          <w:sz w:val="24"/>
        </w:rPr>
        <w:t xml:space="preserve">or below the TWA or EL; the employer must do so using primarily engineering controls and work practices, and then respirators as permitted by the Standard.  The written compliance program must also include a schedule for periodic leak detection surveys, as well as a plan for emergency situations as specified in paragraph (h)(i).  Employers must review their written compliance programs at least </w:t>
      </w:r>
      <w:r w:rsidRPr="00565389" w:rsidR="001B798B">
        <w:rPr>
          <w:sz w:val="24"/>
        </w:rPr>
        <w:t>annually and</w:t>
      </w:r>
      <w:r w:rsidRPr="00565389">
        <w:rPr>
          <w:sz w:val="24"/>
        </w:rPr>
        <w:t xml:space="preserve"> update them as necessary to account for significant program changes.</w:t>
      </w:r>
    </w:p>
    <w:p w:rsidR="009C3237" w:rsidRPr="00565389" w:rsidP="009C3237" w14:paraId="1DC91D15" w14:textId="77777777">
      <w:pPr>
        <w:rPr>
          <w:sz w:val="24"/>
        </w:rPr>
      </w:pPr>
    </w:p>
    <w:p w:rsidR="009C3237" w:rsidRPr="00565389" w:rsidP="009C3237" w14:paraId="476D75D0" w14:textId="387BBEF4">
      <w:pPr>
        <w:rPr>
          <w:sz w:val="24"/>
        </w:rPr>
      </w:pPr>
      <w:r w:rsidRPr="00565389">
        <w:rPr>
          <w:sz w:val="24"/>
        </w:rPr>
        <w:t xml:space="preserve">This provision requires existing facilities to review their written compliance program at least annually if the facility has worker exposures above the TWA or EL.  Based on the analysis conducted above under “Periodic and Additional Monitoring,” if 9% and 6% of the existing facilities have worker exposures above the TWA or EL, respectively, then a total of </w:t>
      </w:r>
      <w:r w:rsidR="00402237">
        <w:rPr>
          <w:sz w:val="24"/>
        </w:rPr>
        <w:t>304</w:t>
      </w:r>
      <w:r w:rsidRPr="00565389">
        <w:rPr>
          <w:sz w:val="24"/>
        </w:rPr>
        <w:t xml:space="preserve"> existing facilities (</w:t>
      </w:r>
      <w:r w:rsidR="00402237">
        <w:rPr>
          <w:sz w:val="24"/>
        </w:rPr>
        <w:t>182</w:t>
      </w:r>
      <w:r w:rsidRPr="00565389">
        <w:rPr>
          <w:sz w:val="24"/>
        </w:rPr>
        <w:t xml:space="preserve"> facilities with workers who exceed the TWA + </w:t>
      </w:r>
      <w:r w:rsidR="00402237">
        <w:rPr>
          <w:sz w:val="24"/>
        </w:rPr>
        <w:t>122</w:t>
      </w:r>
      <w:r w:rsidRPr="00565389">
        <w:rPr>
          <w:sz w:val="24"/>
        </w:rPr>
        <w:t xml:space="preserve"> facilities with workers who are above the EL) must review their written compliance programs annually.  OSHA assumes from the RIA for the Standard that, on average, a professional spends 1 hour reviewing and updating a written compliance program.  </w:t>
      </w:r>
    </w:p>
    <w:p w:rsidR="009C3237" w:rsidRPr="00565389" w:rsidP="009C3237" w14:paraId="4D4D7578" w14:textId="77777777">
      <w:pPr>
        <w:rPr>
          <w:sz w:val="24"/>
        </w:rPr>
      </w:pPr>
    </w:p>
    <w:p w:rsidR="009C3237" w:rsidRPr="00565389" w:rsidP="009C3237" w14:paraId="2FA04C52" w14:textId="199969B2">
      <w:pPr>
        <w:ind w:firstLine="720"/>
        <w:rPr>
          <w:sz w:val="24"/>
        </w:rPr>
      </w:pPr>
      <w:r w:rsidRPr="00565389">
        <w:rPr>
          <w:b/>
          <w:bCs/>
          <w:sz w:val="24"/>
        </w:rPr>
        <w:t>Burden hours</w:t>
      </w:r>
      <w:r w:rsidRPr="00565389">
        <w:rPr>
          <w:sz w:val="24"/>
        </w:rPr>
        <w:t>:  3</w:t>
      </w:r>
      <w:r w:rsidR="00402237">
        <w:rPr>
          <w:sz w:val="24"/>
        </w:rPr>
        <w:t>04</w:t>
      </w:r>
      <w:r w:rsidRPr="00565389">
        <w:rPr>
          <w:sz w:val="24"/>
        </w:rPr>
        <w:t xml:space="preserve"> facilities x 1 hour = </w:t>
      </w:r>
      <w:r w:rsidR="00402237">
        <w:rPr>
          <w:sz w:val="24"/>
        </w:rPr>
        <w:t>304</w:t>
      </w:r>
      <w:r w:rsidRPr="00565389">
        <w:rPr>
          <w:sz w:val="24"/>
        </w:rPr>
        <w:t xml:space="preserve"> hours</w:t>
      </w:r>
    </w:p>
    <w:p w:rsidR="009C3237" w:rsidRPr="00565389" w:rsidP="009C3237" w14:paraId="339CA375" w14:textId="0874EB77">
      <w:pPr>
        <w:ind w:firstLine="1440"/>
        <w:rPr>
          <w:sz w:val="24"/>
        </w:rPr>
      </w:pPr>
      <w:r w:rsidRPr="00565389">
        <w:rPr>
          <w:b/>
          <w:bCs/>
          <w:sz w:val="24"/>
        </w:rPr>
        <w:t xml:space="preserve">    Cost</w:t>
      </w:r>
      <w:r w:rsidRPr="00565389">
        <w:rPr>
          <w:sz w:val="24"/>
        </w:rPr>
        <w:t xml:space="preserve">:  </w:t>
      </w:r>
      <w:r w:rsidR="00402237">
        <w:rPr>
          <w:sz w:val="24"/>
        </w:rPr>
        <w:t>304</w:t>
      </w:r>
      <w:r w:rsidRPr="00565389">
        <w:rPr>
          <w:sz w:val="24"/>
        </w:rPr>
        <w:t xml:space="preserve"> hours x $</w:t>
      </w:r>
      <w:r w:rsidR="00B664A7">
        <w:rPr>
          <w:sz w:val="24"/>
        </w:rPr>
        <w:t xml:space="preserve"> 47.12</w:t>
      </w:r>
      <w:r w:rsidR="00402237">
        <w:rPr>
          <w:sz w:val="24"/>
        </w:rPr>
        <w:t xml:space="preserve"> </w:t>
      </w:r>
      <w:r w:rsidRPr="00565389">
        <w:rPr>
          <w:sz w:val="24"/>
        </w:rPr>
        <w:t xml:space="preserve">= </w:t>
      </w:r>
      <w:r w:rsidR="00402237">
        <w:rPr>
          <w:sz w:val="24"/>
        </w:rPr>
        <w:t>$</w:t>
      </w:r>
      <w:r w:rsidR="00B664A7">
        <w:rPr>
          <w:sz w:val="24"/>
        </w:rPr>
        <w:t xml:space="preserve"> 14,324</w:t>
      </w:r>
    </w:p>
    <w:p w:rsidR="009C3237" w:rsidRPr="00565389" w:rsidP="009C3237" w14:paraId="1B3785CA" w14:textId="77777777">
      <w:pPr>
        <w:rPr>
          <w:b/>
          <w:bCs/>
          <w:sz w:val="24"/>
        </w:rPr>
      </w:pPr>
    </w:p>
    <w:p w:rsidR="009C3237" w:rsidRPr="00565389" w:rsidP="009C3237" w14:paraId="3C145865" w14:textId="77777777">
      <w:pPr>
        <w:rPr>
          <w:b/>
          <w:bCs/>
          <w:sz w:val="24"/>
        </w:rPr>
      </w:pPr>
      <w:r w:rsidRPr="00565389">
        <w:rPr>
          <w:b/>
          <w:bCs/>
          <w:sz w:val="24"/>
        </w:rPr>
        <w:t>(C)  Respirator protection (§1910.1047(g)(2))</w:t>
      </w:r>
    </w:p>
    <w:p w:rsidR="009C3237" w:rsidRPr="00565389" w:rsidP="009C3237" w14:paraId="738FF580" w14:textId="77777777">
      <w:pPr>
        <w:rPr>
          <w:b/>
          <w:bCs/>
          <w:sz w:val="24"/>
        </w:rPr>
      </w:pPr>
    </w:p>
    <w:p w:rsidR="009C3237" w:rsidRPr="00565389" w:rsidP="009C3237" w14:paraId="74CA3565" w14:textId="77777777">
      <w:pPr>
        <w:rPr>
          <w:sz w:val="24"/>
        </w:rPr>
      </w:pPr>
      <w:r w:rsidRPr="00565389">
        <w:rPr>
          <w:sz w:val="24"/>
        </w:rPr>
        <w:t xml:space="preserve">The Standard requires employers to implement a respiratory-protection program in accordance with the provisions of OSHA’s Respiratory Protection Standard (29 CFR 1910.134).  OSHA </w:t>
      </w:r>
    </w:p>
    <w:p w:rsidR="009C3237" w:rsidRPr="00565389" w:rsidP="009C3237" w14:paraId="0C6F5450" w14:textId="77777777">
      <w:pPr>
        <w:rPr>
          <w:sz w:val="24"/>
        </w:rPr>
      </w:pPr>
      <w:r w:rsidRPr="00565389">
        <w:rPr>
          <w:sz w:val="24"/>
        </w:rPr>
        <w:t>takes the burden for this requirement under the ICR for the Respiratory Protection Standard for General Industry (29 CFR 1910.134), OMB Control Number 1218-0099.</w:t>
      </w:r>
    </w:p>
    <w:p w:rsidR="009C3237" w:rsidRPr="00565389" w:rsidP="009C3237" w14:paraId="260234D7" w14:textId="77777777">
      <w:pPr>
        <w:rPr>
          <w:b/>
          <w:bCs/>
          <w:sz w:val="24"/>
        </w:rPr>
      </w:pPr>
    </w:p>
    <w:p w:rsidR="009C3237" w:rsidRPr="00565389" w:rsidP="009C3237" w14:paraId="3DB1E34A" w14:textId="77777777">
      <w:pPr>
        <w:rPr>
          <w:b/>
          <w:bCs/>
          <w:sz w:val="24"/>
        </w:rPr>
      </w:pPr>
      <w:r w:rsidRPr="00565389">
        <w:rPr>
          <w:b/>
          <w:bCs/>
          <w:sz w:val="24"/>
        </w:rPr>
        <w:t>(D)  Emergency situations (§1910.1047(h)(1)(i))</w:t>
      </w:r>
    </w:p>
    <w:p w:rsidR="009C3237" w:rsidRPr="00565389" w:rsidP="009C3237" w14:paraId="6C6956C9" w14:textId="77777777">
      <w:pPr>
        <w:rPr>
          <w:b/>
          <w:bCs/>
          <w:sz w:val="24"/>
        </w:rPr>
      </w:pPr>
    </w:p>
    <w:p w:rsidR="009C3237" w:rsidRPr="00565389" w:rsidP="009C3237" w14:paraId="2033531C" w14:textId="77777777">
      <w:pPr>
        <w:rPr>
          <w:sz w:val="24"/>
        </w:rPr>
      </w:pPr>
      <w:r w:rsidRPr="00565389">
        <w:rPr>
          <w:sz w:val="24"/>
        </w:rPr>
        <w:t xml:space="preserve">Employers must develop a written plan for emergency situations for each workplace where there is a possibility of an emergency.  The plan must provide workers engaged in correcting emergency conditions with respiratory protection specified by paragraph (g) of the Standard.  The plan must also include the elements required by 29 CFR 1910.38 and 29 CFR 1910.39, "Emergency action plans” and “Fire prevention plans," respectively.   </w:t>
      </w:r>
    </w:p>
    <w:p w:rsidR="009C3237" w:rsidRPr="00565389" w:rsidP="009C3237" w14:paraId="6C0816D6" w14:textId="77777777">
      <w:pPr>
        <w:rPr>
          <w:b/>
          <w:bCs/>
          <w:sz w:val="24"/>
        </w:rPr>
      </w:pPr>
    </w:p>
    <w:p w:rsidR="009C3237" w:rsidRPr="00565389" w:rsidP="009C3237" w14:paraId="0D60FC64" w14:textId="77777777">
      <w:pPr>
        <w:rPr>
          <w:sz w:val="24"/>
        </w:rPr>
      </w:pPr>
      <w:r w:rsidRPr="00565389">
        <w:rPr>
          <w:b/>
          <w:bCs/>
          <w:sz w:val="24"/>
        </w:rPr>
        <w:t>(E)  Medical surveillance (§1910.1047(i))</w:t>
      </w:r>
    </w:p>
    <w:p w:rsidR="009C3237" w:rsidRPr="00565389" w:rsidP="009C3237" w14:paraId="5CBF4A7D" w14:textId="77777777">
      <w:pPr>
        <w:rPr>
          <w:sz w:val="24"/>
        </w:rPr>
      </w:pPr>
    </w:p>
    <w:p w:rsidR="009C3237" w:rsidRPr="00565389" w:rsidP="009C3237" w14:paraId="31998629" w14:textId="77777777">
      <w:pPr>
        <w:rPr>
          <w:sz w:val="24"/>
        </w:rPr>
      </w:pPr>
      <w:r w:rsidRPr="00565389">
        <w:rPr>
          <w:sz w:val="24"/>
          <w:u w:val="single"/>
        </w:rPr>
        <w:t>General requirements and medical examinations and consultations</w:t>
      </w:r>
      <w:r w:rsidRPr="00565389">
        <w:rPr>
          <w:sz w:val="24"/>
        </w:rPr>
        <w:t xml:space="preserve"> (§1910.1047(i)(1) and (i)(2))</w:t>
      </w:r>
    </w:p>
    <w:p w:rsidR="009C3237" w:rsidRPr="00565389" w:rsidP="009C3237" w14:paraId="69BCAA2F" w14:textId="77777777">
      <w:pPr>
        <w:rPr>
          <w:sz w:val="24"/>
        </w:rPr>
      </w:pPr>
    </w:p>
    <w:p w:rsidR="009C3237" w:rsidRPr="00565389" w:rsidP="009C3237" w14:paraId="05D9BE5F" w14:textId="77777777">
      <w:pPr>
        <w:rPr>
          <w:sz w:val="24"/>
        </w:rPr>
      </w:pPr>
      <w:r w:rsidRPr="00565389">
        <w:rPr>
          <w:sz w:val="24"/>
        </w:rPr>
        <w:t xml:space="preserve">Employers must provide workers with an initial medical examination prior to their assignment to an area where EtO exposures may be at or above the AL for 30 or more days a year, and an annual medical examination to any worker who has EtO exposures at or above the AL for 30 or more days a year.  The Standard requires additional medical examinations for workers who: </w:t>
      </w:r>
    </w:p>
    <w:p w:rsidR="009C3237" w:rsidRPr="00565389" w:rsidP="009C3237" w14:paraId="0D68E834" w14:textId="77777777">
      <w:pPr>
        <w:rPr>
          <w:sz w:val="24"/>
        </w:rPr>
      </w:pPr>
      <w:r w:rsidRPr="00565389">
        <w:rPr>
          <w:sz w:val="24"/>
        </w:rPr>
        <w:t>terminate employment or receive a reassignment to an area where exposure to EtO is not at or above the AL for at least 30 days per year; have EtO exposures that occurred during an emergency situation; notify the employer that they have signs or symptoms indicating possible overexposure to EtO; or desire medical advice concerning the effects of current or past exposure to EtO on their ability to produce a healthy child.  The employer must also increase the frequency of medical examinations if so advised by the examining physician.</w:t>
      </w:r>
    </w:p>
    <w:p w:rsidR="009C3237" w:rsidRPr="00565389" w:rsidP="009C3237" w14:paraId="0CA0D462" w14:textId="77777777">
      <w:pPr>
        <w:rPr>
          <w:sz w:val="24"/>
        </w:rPr>
      </w:pPr>
    </w:p>
    <w:p w:rsidR="009C3237" w:rsidRPr="00565389" w:rsidP="009C3237" w14:paraId="11005DA4" w14:textId="446C3974">
      <w:pPr>
        <w:rPr>
          <w:sz w:val="24"/>
        </w:rPr>
      </w:pPr>
      <w:r w:rsidRPr="00565389">
        <w:rPr>
          <w:sz w:val="24"/>
        </w:rPr>
        <w:t>To estimate the burden hours and costs of initial medical examinations for this ICR, OSHA multiplied, for each industry sector, the number of exposed workers by the turnover rate specified for the sector in the RIA of the Standard.  However, the RIA found that many employers in each industry sector provided newly hired workers with initial medical examinations prior to publication of the Standard (i.e., as a usual and customary practice); the Agency refers to the proportion of employers in each sector who administered initial medical examinations to their newly hired workers prior to publication of the Standard as the "pre-Standard compliance rate."  Accordingly, after multiplying the number of exposed workers by the turnover rate for each industry sector, then the Agency multiplied the resulting product by the non-compliance rate to get the number of responses to be multiplied by the time per response.</w:t>
      </w:r>
    </w:p>
    <w:p w:rsidR="009C3237" w:rsidRPr="00565389" w:rsidP="009C3237" w14:paraId="56150C3B" w14:textId="77777777">
      <w:pPr>
        <w:rPr>
          <w:sz w:val="24"/>
        </w:rPr>
      </w:pPr>
    </w:p>
    <w:p w:rsidR="009C3237" w:rsidRPr="00565389" w:rsidP="009C3237" w14:paraId="0083215C" w14:textId="7482D9C1">
      <w:pPr>
        <w:rPr>
          <w:sz w:val="24"/>
        </w:rPr>
      </w:pPr>
      <w:r w:rsidRPr="00565389">
        <w:rPr>
          <w:sz w:val="24"/>
        </w:rPr>
        <w:t xml:space="preserve">The RIA also assumed that a worker would be away from the job for 2 hours while taking the medical examination (i.e., “lost time”), except for workers in hospitals that use EtO sterilizers, who would be away from their jobs for only </w:t>
      </w:r>
      <w:r w:rsidR="004B5ECF">
        <w:rPr>
          <w:sz w:val="24"/>
        </w:rPr>
        <w:t>30 minutes (</w:t>
      </w:r>
      <w:r w:rsidRPr="00565389">
        <w:rPr>
          <w:sz w:val="24"/>
        </w:rPr>
        <w:t>30/60 hour</w:t>
      </w:r>
      <w:r w:rsidR="004B5ECF">
        <w:rPr>
          <w:sz w:val="24"/>
        </w:rPr>
        <w:t>)</w:t>
      </w:r>
      <w:r w:rsidRPr="00565389">
        <w:rPr>
          <w:sz w:val="24"/>
        </w:rPr>
        <w:t xml:space="preserve"> because they do not have to travel to a medical facility for the medical examination.</w:t>
      </w:r>
    </w:p>
    <w:p w:rsidR="009C3237" w:rsidRPr="00565389" w:rsidP="009C3237" w14:paraId="41A36571" w14:textId="77777777">
      <w:pPr>
        <w:rPr>
          <w:sz w:val="24"/>
        </w:rPr>
      </w:pPr>
    </w:p>
    <w:p w:rsidR="009C3237" w:rsidP="009C3237" w14:paraId="34778189" w14:textId="77777777">
      <w:pPr>
        <w:rPr>
          <w:sz w:val="24"/>
        </w:rPr>
      </w:pPr>
      <w:r w:rsidRPr="00565389">
        <w:rPr>
          <w:sz w:val="24"/>
        </w:rPr>
        <w:t>The following chart summarizes the burden hour and cost determinations for the initial medical-examination requirement.</w:t>
      </w:r>
    </w:p>
    <w:p w:rsidR="004B5ECF" w:rsidP="009C3237" w14:paraId="29266E46" w14:textId="77777777">
      <w:pPr>
        <w:rPr>
          <w:sz w:val="24"/>
        </w:rPr>
      </w:pPr>
    </w:p>
    <w:p w:rsidR="00D06217" w:rsidP="009C3237" w14:paraId="20D5463E" w14:textId="77777777">
      <w:pPr>
        <w:rPr>
          <w:b/>
          <w:bCs/>
          <w:sz w:val="24"/>
        </w:rPr>
      </w:pPr>
    </w:p>
    <w:p w:rsidR="007B1EDB" w:rsidP="009C3237" w14:paraId="672D128D" w14:textId="6C8AB882">
      <w:pPr>
        <w:rPr>
          <w:sz w:val="24"/>
        </w:rPr>
      </w:pPr>
      <w:r w:rsidRPr="004B5ECF">
        <w:rPr>
          <w:b/>
          <w:bCs/>
          <w:sz w:val="24"/>
        </w:rPr>
        <w:t>Table 5: Initial Employee Medical Examinations Burden Hour and Cost Estimates</w:t>
      </w:r>
    </w:p>
    <w:p w:rsidR="002379DB" w:rsidP="009C3237" w14:paraId="248E7EE9" w14:textId="77777777">
      <w:pPr>
        <w:rPr>
          <w:sz w:val="24"/>
        </w:rPr>
      </w:pPr>
    </w:p>
    <w:tbl>
      <w:tblPr>
        <w:tblStyle w:val="TableGrid"/>
        <w:tblW w:w="10946" w:type="dxa"/>
        <w:tblInd w:w="-905" w:type="dxa"/>
        <w:tblLayout w:type="fixed"/>
        <w:tblLook w:val="04A0"/>
      </w:tblPr>
      <w:tblGrid>
        <w:gridCol w:w="1890"/>
        <w:gridCol w:w="1406"/>
        <w:gridCol w:w="1080"/>
        <w:gridCol w:w="1260"/>
        <w:gridCol w:w="1170"/>
        <w:gridCol w:w="990"/>
        <w:gridCol w:w="990"/>
        <w:gridCol w:w="1080"/>
        <w:gridCol w:w="1080"/>
      </w:tblGrid>
      <w:tr w14:paraId="048750B8" w14:textId="77777777" w:rsidTr="00DD2E9D">
        <w:tblPrEx>
          <w:tblW w:w="10946" w:type="dxa"/>
          <w:tblInd w:w="-905" w:type="dxa"/>
          <w:tblLayout w:type="fixed"/>
          <w:tblLook w:val="04A0"/>
        </w:tblPrEx>
        <w:trPr>
          <w:tblHeader/>
        </w:trPr>
        <w:tc>
          <w:tcPr>
            <w:tcW w:w="1890" w:type="dxa"/>
            <w:shd w:val="clear" w:color="auto" w:fill="BDD6EE" w:themeFill="accent1" w:themeFillTint="66"/>
            <w:vAlign w:val="center"/>
          </w:tcPr>
          <w:p w:rsidR="00443E4E" w:rsidRPr="00490E2B" w:rsidP="004F44D9" w14:paraId="0D7AE787" w14:textId="59CB03AA">
            <w:pPr>
              <w:jc w:val="center"/>
              <w:rPr>
                <w:szCs w:val="20"/>
              </w:rPr>
            </w:pPr>
            <w:r w:rsidRPr="00490E2B">
              <w:rPr>
                <w:b/>
                <w:bCs/>
                <w:szCs w:val="20"/>
              </w:rPr>
              <w:t>Industry Sector</w:t>
            </w:r>
          </w:p>
        </w:tc>
        <w:tc>
          <w:tcPr>
            <w:tcW w:w="1406" w:type="dxa"/>
            <w:shd w:val="clear" w:color="auto" w:fill="BDD6EE" w:themeFill="accent1" w:themeFillTint="66"/>
            <w:vAlign w:val="center"/>
          </w:tcPr>
          <w:p w:rsidR="00443E4E" w:rsidRPr="00490E2B" w:rsidP="00DD2E9D" w14:paraId="046A1582" w14:textId="1774ABCA">
            <w:pPr>
              <w:jc w:val="center"/>
              <w:rPr>
                <w:szCs w:val="20"/>
              </w:rPr>
            </w:pPr>
            <w:r w:rsidRPr="00490E2B">
              <w:rPr>
                <w:b/>
                <w:bCs/>
                <w:szCs w:val="20"/>
              </w:rPr>
              <w:t>No. of Exposed Employees</w:t>
            </w:r>
          </w:p>
        </w:tc>
        <w:tc>
          <w:tcPr>
            <w:tcW w:w="1080" w:type="dxa"/>
            <w:shd w:val="clear" w:color="auto" w:fill="BDD6EE" w:themeFill="accent1" w:themeFillTint="66"/>
            <w:vAlign w:val="center"/>
          </w:tcPr>
          <w:p w:rsidR="00443E4E" w:rsidRPr="00490E2B" w:rsidP="004F44D9" w14:paraId="74C7DFBC" w14:textId="761B55B0">
            <w:pPr>
              <w:jc w:val="center"/>
              <w:rPr>
                <w:szCs w:val="20"/>
              </w:rPr>
            </w:pPr>
            <w:r w:rsidRPr="00490E2B">
              <w:rPr>
                <w:b/>
                <w:bCs/>
                <w:szCs w:val="20"/>
              </w:rPr>
              <w:t>Turnover Rate (%) [2]</w:t>
            </w:r>
          </w:p>
        </w:tc>
        <w:tc>
          <w:tcPr>
            <w:tcW w:w="1260" w:type="dxa"/>
            <w:shd w:val="clear" w:color="auto" w:fill="BDD6EE" w:themeFill="accent1" w:themeFillTint="66"/>
            <w:vAlign w:val="center"/>
          </w:tcPr>
          <w:p w:rsidR="00443E4E" w:rsidRPr="00490E2B" w:rsidP="004F44D9" w14:paraId="32DF2263" w14:textId="7ADA1519">
            <w:pPr>
              <w:jc w:val="center"/>
              <w:rPr>
                <w:szCs w:val="20"/>
              </w:rPr>
            </w:pPr>
            <w:r w:rsidRPr="00490E2B">
              <w:rPr>
                <w:b/>
                <w:bCs/>
                <w:szCs w:val="20"/>
              </w:rPr>
              <w:t>Non-Compliance Rate</w:t>
            </w:r>
          </w:p>
        </w:tc>
        <w:tc>
          <w:tcPr>
            <w:tcW w:w="1170" w:type="dxa"/>
            <w:shd w:val="clear" w:color="auto" w:fill="BDD6EE" w:themeFill="accent1" w:themeFillTint="66"/>
            <w:vAlign w:val="center"/>
          </w:tcPr>
          <w:p w:rsidR="00443E4E" w:rsidRPr="00490E2B" w:rsidP="004F44D9" w14:paraId="353709CE" w14:textId="3683D4A6">
            <w:pPr>
              <w:jc w:val="center"/>
              <w:rPr>
                <w:b/>
                <w:bCs/>
                <w:szCs w:val="20"/>
              </w:rPr>
            </w:pPr>
            <w:r w:rsidRPr="00490E2B">
              <w:rPr>
                <w:b/>
                <w:bCs/>
                <w:szCs w:val="20"/>
              </w:rPr>
              <w:t>Total Exposed Employees</w:t>
            </w:r>
          </w:p>
        </w:tc>
        <w:tc>
          <w:tcPr>
            <w:tcW w:w="990" w:type="dxa"/>
            <w:shd w:val="clear" w:color="auto" w:fill="BDD6EE" w:themeFill="accent1" w:themeFillTint="66"/>
            <w:vAlign w:val="center"/>
          </w:tcPr>
          <w:p w:rsidR="00443E4E" w:rsidRPr="00490E2B" w:rsidP="004F44D9" w14:paraId="1B7FF583" w14:textId="55395DD1">
            <w:pPr>
              <w:jc w:val="center"/>
              <w:rPr>
                <w:szCs w:val="20"/>
              </w:rPr>
            </w:pPr>
            <w:r w:rsidRPr="00490E2B">
              <w:rPr>
                <w:b/>
                <w:bCs/>
                <w:szCs w:val="20"/>
              </w:rPr>
              <w:t>Lost Time (Hours)</w:t>
            </w:r>
          </w:p>
        </w:tc>
        <w:tc>
          <w:tcPr>
            <w:tcW w:w="990" w:type="dxa"/>
            <w:shd w:val="clear" w:color="auto" w:fill="BDD6EE" w:themeFill="accent1" w:themeFillTint="66"/>
            <w:vAlign w:val="center"/>
          </w:tcPr>
          <w:p w:rsidR="00443E4E" w:rsidRPr="00490E2B" w:rsidP="004F44D9" w14:paraId="16FA559E" w14:textId="14D10FD1">
            <w:pPr>
              <w:jc w:val="center"/>
              <w:rPr>
                <w:szCs w:val="20"/>
              </w:rPr>
            </w:pPr>
            <w:r w:rsidRPr="00490E2B">
              <w:rPr>
                <w:b/>
                <w:bCs/>
                <w:szCs w:val="20"/>
              </w:rPr>
              <w:t>Total Burden Hours</w:t>
            </w:r>
          </w:p>
        </w:tc>
        <w:tc>
          <w:tcPr>
            <w:tcW w:w="1080" w:type="dxa"/>
            <w:shd w:val="clear" w:color="auto" w:fill="BDD6EE" w:themeFill="accent1" w:themeFillTint="66"/>
            <w:vAlign w:val="center"/>
          </w:tcPr>
          <w:p w:rsidR="00443E4E" w:rsidRPr="00490E2B" w:rsidP="004F44D9" w14:paraId="1CB35CA0" w14:textId="2F9B898C">
            <w:pPr>
              <w:jc w:val="center"/>
              <w:rPr>
                <w:szCs w:val="20"/>
              </w:rPr>
            </w:pPr>
            <w:r w:rsidRPr="00490E2B">
              <w:rPr>
                <w:b/>
                <w:bCs/>
                <w:szCs w:val="20"/>
              </w:rPr>
              <w:t>Loaded Wage Rate</w:t>
            </w:r>
          </w:p>
        </w:tc>
        <w:tc>
          <w:tcPr>
            <w:tcW w:w="1080" w:type="dxa"/>
            <w:shd w:val="clear" w:color="auto" w:fill="BDD6EE" w:themeFill="accent1" w:themeFillTint="66"/>
            <w:vAlign w:val="center"/>
          </w:tcPr>
          <w:p w:rsidR="00443E4E" w:rsidRPr="00490E2B" w:rsidP="004F44D9" w14:paraId="27F531E1" w14:textId="0CE87301">
            <w:pPr>
              <w:jc w:val="center"/>
              <w:rPr>
                <w:szCs w:val="20"/>
              </w:rPr>
            </w:pPr>
            <w:r w:rsidRPr="00490E2B">
              <w:rPr>
                <w:b/>
                <w:bCs/>
                <w:szCs w:val="20"/>
              </w:rPr>
              <w:t>Total Cost</w:t>
            </w:r>
          </w:p>
        </w:tc>
      </w:tr>
      <w:tr w14:paraId="18DBA835" w14:textId="77777777" w:rsidTr="00DD2E9D">
        <w:tblPrEx>
          <w:tblW w:w="10946" w:type="dxa"/>
          <w:tblInd w:w="-905" w:type="dxa"/>
          <w:tblLayout w:type="fixed"/>
          <w:tblLook w:val="04A0"/>
        </w:tblPrEx>
        <w:tc>
          <w:tcPr>
            <w:tcW w:w="1890" w:type="dxa"/>
            <w:vAlign w:val="center"/>
          </w:tcPr>
          <w:p w:rsidR="00443E4E" w:rsidRPr="00490E2B" w:rsidP="00D42231" w14:paraId="56305D5D" w14:textId="3B595FE7">
            <w:pPr>
              <w:rPr>
                <w:szCs w:val="20"/>
              </w:rPr>
            </w:pPr>
            <w:r w:rsidRPr="00490E2B">
              <w:rPr>
                <w:b/>
                <w:bCs/>
                <w:szCs w:val="20"/>
              </w:rPr>
              <w:t>EtO Producers</w:t>
            </w:r>
          </w:p>
        </w:tc>
        <w:tc>
          <w:tcPr>
            <w:tcW w:w="1406" w:type="dxa"/>
            <w:vAlign w:val="center"/>
          </w:tcPr>
          <w:p w:rsidR="00443E4E" w:rsidRPr="00490E2B" w:rsidP="00527F90" w14:paraId="308BBEFB" w14:textId="75AEFE73">
            <w:pPr>
              <w:jc w:val="center"/>
              <w:rPr>
                <w:szCs w:val="20"/>
              </w:rPr>
            </w:pPr>
            <w:r w:rsidRPr="00490E2B">
              <w:rPr>
                <w:szCs w:val="20"/>
              </w:rPr>
              <w:t>1,246</w:t>
            </w:r>
          </w:p>
        </w:tc>
        <w:tc>
          <w:tcPr>
            <w:tcW w:w="1080" w:type="dxa"/>
            <w:vAlign w:val="center"/>
          </w:tcPr>
          <w:p w:rsidR="00443E4E" w:rsidRPr="00490E2B" w:rsidP="00527F90" w14:paraId="7C2A6E42" w14:textId="55646881">
            <w:pPr>
              <w:jc w:val="center"/>
              <w:rPr>
                <w:szCs w:val="20"/>
              </w:rPr>
            </w:pPr>
            <w:r w:rsidRPr="00490E2B">
              <w:rPr>
                <w:szCs w:val="20"/>
              </w:rPr>
              <w:t>43.1%</w:t>
            </w:r>
          </w:p>
        </w:tc>
        <w:tc>
          <w:tcPr>
            <w:tcW w:w="1260" w:type="dxa"/>
            <w:vAlign w:val="center"/>
          </w:tcPr>
          <w:p w:rsidR="00443E4E" w:rsidRPr="00490E2B" w:rsidP="00527F90" w14:paraId="02D4DA55" w14:textId="0809F7E8">
            <w:pPr>
              <w:jc w:val="center"/>
              <w:rPr>
                <w:szCs w:val="20"/>
              </w:rPr>
            </w:pPr>
            <w:r w:rsidRPr="00490E2B">
              <w:rPr>
                <w:szCs w:val="20"/>
              </w:rPr>
              <w:t>0%</w:t>
            </w:r>
          </w:p>
        </w:tc>
        <w:tc>
          <w:tcPr>
            <w:tcW w:w="1170" w:type="dxa"/>
            <w:vAlign w:val="center"/>
          </w:tcPr>
          <w:p w:rsidR="00443E4E" w:rsidRPr="00490E2B" w:rsidP="00527F90" w14:paraId="3AC8A833" w14:textId="551D4100">
            <w:pPr>
              <w:jc w:val="center"/>
              <w:rPr>
                <w:szCs w:val="20"/>
              </w:rPr>
            </w:pPr>
            <w:r w:rsidRPr="00490E2B">
              <w:rPr>
                <w:szCs w:val="20"/>
              </w:rPr>
              <w:t>0</w:t>
            </w:r>
          </w:p>
        </w:tc>
        <w:tc>
          <w:tcPr>
            <w:tcW w:w="990" w:type="dxa"/>
            <w:vAlign w:val="center"/>
          </w:tcPr>
          <w:p w:rsidR="00443E4E" w:rsidRPr="00490E2B" w:rsidP="00527F90" w14:paraId="3EE984A5" w14:textId="7AFE154B">
            <w:pPr>
              <w:jc w:val="center"/>
              <w:rPr>
                <w:szCs w:val="20"/>
              </w:rPr>
            </w:pPr>
            <w:r w:rsidRPr="00490E2B">
              <w:rPr>
                <w:szCs w:val="20"/>
              </w:rPr>
              <w:t>2</w:t>
            </w:r>
          </w:p>
        </w:tc>
        <w:tc>
          <w:tcPr>
            <w:tcW w:w="990" w:type="dxa"/>
            <w:vAlign w:val="center"/>
          </w:tcPr>
          <w:p w:rsidR="00443E4E" w:rsidRPr="00490E2B" w:rsidP="00527F90" w14:paraId="1F928FCD" w14:textId="5E538D04">
            <w:pPr>
              <w:jc w:val="center"/>
              <w:rPr>
                <w:szCs w:val="20"/>
              </w:rPr>
            </w:pPr>
            <w:r w:rsidRPr="00490E2B">
              <w:rPr>
                <w:szCs w:val="20"/>
              </w:rPr>
              <w:t>0</w:t>
            </w:r>
          </w:p>
        </w:tc>
        <w:tc>
          <w:tcPr>
            <w:tcW w:w="1080" w:type="dxa"/>
            <w:vAlign w:val="center"/>
          </w:tcPr>
          <w:p w:rsidR="00443E4E" w:rsidRPr="00490E2B" w:rsidP="00527F90" w14:paraId="54A3677D" w14:textId="1B7126B4">
            <w:pPr>
              <w:jc w:val="center"/>
              <w:rPr>
                <w:szCs w:val="20"/>
              </w:rPr>
            </w:pPr>
            <w:r w:rsidRPr="00490E2B">
              <w:rPr>
                <w:szCs w:val="20"/>
              </w:rPr>
              <w:t>$43.12</w:t>
            </w:r>
          </w:p>
        </w:tc>
        <w:tc>
          <w:tcPr>
            <w:tcW w:w="1080" w:type="dxa"/>
            <w:vAlign w:val="center"/>
          </w:tcPr>
          <w:p w:rsidR="00443E4E" w:rsidRPr="00490E2B" w:rsidP="00527F90" w14:paraId="1BC61335" w14:textId="5D3C3B83">
            <w:pPr>
              <w:jc w:val="center"/>
              <w:rPr>
                <w:szCs w:val="20"/>
              </w:rPr>
            </w:pPr>
            <w:r w:rsidRPr="00490E2B">
              <w:rPr>
                <w:szCs w:val="20"/>
              </w:rPr>
              <w:t>$0</w:t>
            </w:r>
          </w:p>
        </w:tc>
      </w:tr>
      <w:tr w14:paraId="3D8F70C1" w14:textId="77777777" w:rsidTr="00DD2E9D">
        <w:tblPrEx>
          <w:tblW w:w="10946" w:type="dxa"/>
          <w:tblInd w:w="-905" w:type="dxa"/>
          <w:tblLayout w:type="fixed"/>
          <w:tblLook w:val="04A0"/>
        </w:tblPrEx>
        <w:tc>
          <w:tcPr>
            <w:tcW w:w="1890" w:type="dxa"/>
            <w:vAlign w:val="center"/>
          </w:tcPr>
          <w:p w:rsidR="00443E4E" w:rsidRPr="00490E2B" w:rsidP="00D42231" w14:paraId="3DD0A576" w14:textId="6EC0FA61">
            <w:pPr>
              <w:rPr>
                <w:szCs w:val="20"/>
              </w:rPr>
            </w:pPr>
            <w:r w:rsidRPr="00490E2B">
              <w:rPr>
                <w:b/>
                <w:bCs/>
                <w:szCs w:val="20"/>
              </w:rPr>
              <w:t>EtO Ethoxylators</w:t>
            </w:r>
          </w:p>
        </w:tc>
        <w:tc>
          <w:tcPr>
            <w:tcW w:w="1406" w:type="dxa"/>
            <w:vAlign w:val="center"/>
          </w:tcPr>
          <w:p w:rsidR="00443E4E" w:rsidRPr="00490E2B" w:rsidP="00527F90" w14:paraId="2C091B4E" w14:textId="797CC273">
            <w:pPr>
              <w:jc w:val="center"/>
              <w:rPr>
                <w:szCs w:val="20"/>
              </w:rPr>
            </w:pPr>
            <w:r w:rsidRPr="00490E2B">
              <w:rPr>
                <w:szCs w:val="20"/>
              </w:rPr>
              <w:t>6,300</w:t>
            </w:r>
          </w:p>
        </w:tc>
        <w:tc>
          <w:tcPr>
            <w:tcW w:w="1080" w:type="dxa"/>
            <w:vAlign w:val="center"/>
          </w:tcPr>
          <w:p w:rsidR="00443E4E" w:rsidRPr="00490E2B" w:rsidP="00527F90" w14:paraId="74694F95" w14:textId="423CB05D">
            <w:pPr>
              <w:jc w:val="center"/>
              <w:rPr>
                <w:szCs w:val="20"/>
              </w:rPr>
            </w:pPr>
            <w:r w:rsidRPr="00490E2B">
              <w:rPr>
                <w:szCs w:val="20"/>
              </w:rPr>
              <w:t>43.1%</w:t>
            </w:r>
          </w:p>
        </w:tc>
        <w:tc>
          <w:tcPr>
            <w:tcW w:w="1260" w:type="dxa"/>
            <w:vAlign w:val="center"/>
          </w:tcPr>
          <w:p w:rsidR="00443E4E" w:rsidRPr="00490E2B" w:rsidP="00527F90" w14:paraId="071EF594" w14:textId="2D46A518">
            <w:pPr>
              <w:jc w:val="center"/>
              <w:rPr>
                <w:szCs w:val="20"/>
              </w:rPr>
            </w:pPr>
            <w:r w:rsidRPr="00490E2B">
              <w:rPr>
                <w:szCs w:val="20"/>
              </w:rPr>
              <w:t>6%</w:t>
            </w:r>
          </w:p>
        </w:tc>
        <w:tc>
          <w:tcPr>
            <w:tcW w:w="1170" w:type="dxa"/>
            <w:vAlign w:val="center"/>
          </w:tcPr>
          <w:p w:rsidR="00443E4E" w:rsidRPr="00490E2B" w:rsidP="00527F90" w14:paraId="49BFD85A" w14:textId="594425D9">
            <w:pPr>
              <w:jc w:val="center"/>
              <w:rPr>
                <w:szCs w:val="20"/>
              </w:rPr>
            </w:pPr>
            <w:r>
              <w:rPr>
                <w:szCs w:val="20"/>
              </w:rPr>
              <w:t>163</w:t>
            </w:r>
          </w:p>
        </w:tc>
        <w:tc>
          <w:tcPr>
            <w:tcW w:w="990" w:type="dxa"/>
            <w:vAlign w:val="center"/>
          </w:tcPr>
          <w:p w:rsidR="00443E4E" w:rsidRPr="00490E2B" w:rsidP="00527F90" w14:paraId="5FDBC744" w14:textId="0083E772">
            <w:pPr>
              <w:jc w:val="center"/>
              <w:rPr>
                <w:szCs w:val="20"/>
              </w:rPr>
            </w:pPr>
            <w:r w:rsidRPr="00490E2B">
              <w:rPr>
                <w:szCs w:val="20"/>
              </w:rPr>
              <w:t>2</w:t>
            </w:r>
          </w:p>
        </w:tc>
        <w:tc>
          <w:tcPr>
            <w:tcW w:w="990" w:type="dxa"/>
            <w:vAlign w:val="center"/>
          </w:tcPr>
          <w:p w:rsidR="00443E4E" w:rsidRPr="00490E2B" w:rsidP="00527F90" w14:paraId="0D785BFD" w14:textId="77045D99">
            <w:pPr>
              <w:jc w:val="center"/>
              <w:rPr>
                <w:szCs w:val="20"/>
              </w:rPr>
            </w:pPr>
            <w:r>
              <w:rPr>
                <w:szCs w:val="20"/>
              </w:rPr>
              <w:t>326</w:t>
            </w:r>
          </w:p>
        </w:tc>
        <w:tc>
          <w:tcPr>
            <w:tcW w:w="1080" w:type="dxa"/>
            <w:vAlign w:val="center"/>
          </w:tcPr>
          <w:p w:rsidR="00443E4E" w:rsidRPr="00490E2B" w:rsidP="00527F90" w14:paraId="5D6DBC0B" w14:textId="5EE67E16">
            <w:pPr>
              <w:jc w:val="center"/>
              <w:rPr>
                <w:szCs w:val="20"/>
              </w:rPr>
            </w:pPr>
            <w:r w:rsidRPr="00490E2B">
              <w:rPr>
                <w:szCs w:val="20"/>
              </w:rPr>
              <w:t>$43.12</w:t>
            </w:r>
          </w:p>
        </w:tc>
        <w:tc>
          <w:tcPr>
            <w:tcW w:w="1080" w:type="dxa"/>
            <w:vAlign w:val="center"/>
          </w:tcPr>
          <w:p w:rsidR="00443E4E" w:rsidRPr="00490E2B" w:rsidP="00A81889" w14:paraId="55D3E89B" w14:textId="4692D50C">
            <w:pPr>
              <w:jc w:val="center"/>
              <w:rPr>
                <w:szCs w:val="20"/>
              </w:rPr>
            </w:pPr>
            <w:r w:rsidRPr="00490E2B">
              <w:rPr>
                <w:szCs w:val="20"/>
              </w:rPr>
              <w:t>$</w:t>
            </w:r>
            <w:r w:rsidR="003C29B8">
              <w:rPr>
                <w:szCs w:val="20"/>
              </w:rPr>
              <w:t>14,057</w:t>
            </w:r>
          </w:p>
        </w:tc>
      </w:tr>
      <w:tr w14:paraId="450FA7C7" w14:textId="77777777" w:rsidTr="00DD2E9D">
        <w:tblPrEx>
          <w:tblW w:w="10946" w:type="dxa"/>
          <w:tblInd w:w="-905" w:type="dxa"/>
          <w:tblLayout w:type="fixed"/>
          <w:tblLook w:val="04A0"/>
        </w:tblPrEx>
        <w:tc>
          <w:tcPr>
            <w:tcW w:w="1890" w:type="dxa"/>
            <w:vAlign w:val="center"/>
          </w:tcPr>
          <w:p w:rsidR="00443E4E" w:rsidRPr="00490E2B" w:rsidP="00D42231" w14:paraId="42E56BE9" w14:textId="7C5256CB">
            <w:pPr>
              <w:rPr>
                <w:szCs w:val="20"/>
              </w:rPr>
            </w:pPr>
            <w:r w:rsidRPr="00490E2B">
              <w:rPr>
                <w:b/>
                <w:bCs/>
                <w:szCs w:val="20"/>
              </w:rPr>
              <w:t>Hospitals Using EtO Sterilizers</w:t>
            </w:r>
          </w:p>
        </w:tc>
        <w:tc>
          <w:tcPr>
            <w:tcW w:w="1406" w:type="dxa"/>
            <w:vAlign w:val="center"/>
          </w:tcPr>
          <w:p w:rsidR="00443E4E" w:rsidRPr="00490E2B" w:rsidP="00527F90" w14:paraId="5043E01A" w14:textId="306A1575">
            <w:pPr>
              <w:jc w:val="center"/>
              <w:rPr>
                <w:szCs w:val="20"/>
              </w:rPr>
            </w:pPr>
            <w:r w:rsidRPr="00490E2B">
              <w:rPr>
                <w:szCs w:val="20"/>
              </w:rPr>
              <w:t>22,068</w:t>
            </w:r>
          </w:p>
        </w:tc>
        <w:tc>
          <w:tcPr>
            <w:tcW w:w="1080" w:type="dxa"/>
            <w:vAlign w:val="center"/>
          </w:tcPr>
          <w:p w:rsidR="00443E4E" w:rsidRPr="00490E2B" w:rsidP="00527F90" w14:paraId="56F92E45" w14:textId="70C6042A">
            <w:pPr>
              <w:jc w:val="center"/>
              <w:rPr>
                <w:szCs w:val="20"/>
              </w:rPr>
            </w:pPr>
            <w:r w:rsidRPr="00490E2B">
              <w:rPr>
                <w:szCs w:val="20"/>
              </w:rPr>
              <w:t>44.0%</w:t>
            </w:r>
          </w:p>
        </w:tc>
        <w:tc>
          <w:tcPr>
            <w:tcW w:w="1260" w:type="dxa"/>
            <w:vAlign w:val="center"/>
          </w:tcPr>
          <w:p w:rsidR="00443E4E" w:rsidRPr="00490E2B" w:rsidP="00527F90" w14:paraId="3070EB54" w14:textId="779AB737">
            <w:pPr>
              <w:jc w:val="center"/>
              <w:rPr>
                <w:szCs w:val="20"/>
              </w:rPr>
            </w:pPr>
            <w:r w:rsidRPr="00490E2B">
              <w:rPr>
                <w:szCs w:val="20"/>
              </w:rPr>
              <w:t>0%</w:t>
            </w:r>
          </w:p>
        </w:tc>
        <w:tc>
          <w:tcPr>
            <w:tcW w:w="1170" w:type="dxa"/>
            <w:vAlign w:val="center"/>
          </w:tcPr>
          <w:p w:rsidR="00443E4E" w:rsidRPr="00490E2B" w:rsidP="00527F90" w14:paraId="7700BC52" w14:textId="688F954B">
            <w:pPr>
              <w:jc w:val="center"/>
              <w:rPr>
                <w:szCs w:val="20"/>
              </w:rPr>
            </w:pPr>
            <w:r w:rsidRPr="00490E2B">
              <w:rPr>
                <w:szCs w:val="20"/>
              </w:rPr>
              <w:t>0</w:t>
            </w:r>
          </w:p>
        </w:tc>
        <w:tc>
          <w:tcPr>
            <w:tcW w:w="990" w:type="dxa"/>
            <w:vAlign w:val="center"/>
          </w:tcPr>
          <w:p w:rsidR="00443E4E" w:rsidRPr="00490E2B" w:rsidP="00527F90" w14:paraId="72458894" w14:textId="5F52A401">
            <w:pPr>
              <w:jc w:val="center"/>
              <w:rPr>
                <w:szCs w:val="20"/>
              </w:rPr>
            </w:pPr>
            <w:r w:rsidRPr="00490E2B">
              <w:rPr>
                <w:szCs w:val="20"/>
              </w:rPr>
              <w:t>30/60</w:t>
            </w:r>
          </w:p>
        </w:tc>
        <w:tc>
          <w:tcPr>
            <w:tcW w:w="990" w:type="dxa"/>
            <w:vAlign w:val="center"/>
          </w:tcPr>
          <w:p w:rsidR="00443E4E" w:rsidRPr="00490E2B" w:rsidP="00527F90" w14:paraId="70957A18" w14:textId="0FBC45AC">
            <w:pPr>
              <w:jc w:val="center"/>
              <w:rPr>
                <w:szCs w:val="20"/>
              </w:rPr>
            </w:pPr>
            <w:r w:rsidRPr="00490E2B">
              <w:rPr>
                <w:szCs w:val="20"/>
              </w:rPr>
              <w:t>0</w:t>
            </w:r>
          </w:p>
        </w:tc>
        <w:tc>
          <w:tcPr>
            <w:tcW w:w="1080" w:type="dxa"/>
            <w:vAlign w:val="center"/>
          </w:tcPr>
          <w:p w:rsidR="00443E4E" w:rsidRPr="00490E2B" w:rsidP="00527F90" w14:paraId="3179CCF3" w14:textId="4B8002C2">
            <w:pPr>
              <w:jc w:val="center"/>
              <w:rPr>
                <w:szCs w:val="20"/>
              </w:rPr>
            </w:pPr>
            <w:r w:rsidRPr="00490E2B">
              <w:rPr>
                <w:szCs w:val="20"/>
              </w:rPr>
              <w:t>$43.12</w:t>
            </w:r>
          </w:p>
        </w:tc>
        <w:tc>
          <w:tcPr>
            <w:tcW w:w="1080" w:type="dxa"/>
            <w:vAlign w:val="center"/>
          </w:tcPr>
          <w:p w:rsidR="00443E4E" w:rsidRPr="00490E2B" w:rsidP="00527F90" w14:paraId="28B86537" w14:textId="2DA2E51C">
            <w:pPr>
              <w:jc w:val="center"/>
              <w:rPr>
                <w:szCs w:val="20"/>
              </w:rPr>
            </w:pPr>
            <w:r w:rsidRPr="00490E2B">
              <w:rPr>
                <w:szCs w:val="20"/>
              </w:rPr>
              <w:t>$0</w:t>
            </w:r>
          </w:p>
        </w:tc>
      </w:tr>
      <w:tr w14:paraId="7E74DAA8" w14:textId="77777777" w:rsidTr="00DD2E9D">
        <w:tblPrEx>
          <w:tblW w:w="10946" w:type="dxa"/>
          <w:tblInd w:w="-905" w:type="dxa"/>
          <w:tblLayout w:type="fixed"/>
          <w:tblLook w:val="04A0"/>
        </w:tblPrEx>
        <w:tc>
          <w:tcPr>
            <w:tcW w:w="1890" w:type="dxa"/>
            <w:vAlign w:val="center"/>
          </w:tcPr>
          <w:p w:rsidR="00443E4E" w:rsidRPr="00490E2B" w:rsidP="00D42231" w14:paraId="04A44AFF" w14:textId="7DD897D0">
            <w:pPr>
              <w:rPr>
                <w:szCs w:val="20"/>
              </w:rPr>
            </w:pPr>
            <w:r w:rsidRPr="00490E2B">
              <w:rPr>
                <w:b/>
                <w:bCs/>
                <w:szCs w:val="20"/>
              </w:rPr>
              <w:t>Medical-Product Manufacturers</w:t>
            </w:r>
          </w:p>
        </w:tc>
        <w:tc>
          <w:tcPr>
            <w:tcW w:w="1406" w:type="dxa"/>
            <w:vAlign w:val="center"/>
          </w:tcPr>
          <w:p w:rsidR="00443E4E" w:rsidRPr="00490E2B" w:rsidP="00527F90" w14:paraId="33000E48" w14:textId="427A5E7F">
            <w:pPr>
              <w:jc w:val="center"/>
              <w:rPr>
                <w:szCs w:val="20"/>
              </w:rPr>
            </w:pPr>
            <w:r w:rsidRPr="00490E2B">
              <w:rPr>
                <w:szCs w:val="20"/>
              </w:rPr>
              <w:t>1,083</w:t>
            </w:r>
          </w:p>
        </w:tc>
        <w:tc>
          <w:tcPr>
            <w:tcW w:w="1080" w:type="dxa"/>
            <w:vAlign w:val="center"/>
          </w:tcPr>
          <w:p w:rsidR="00443E4E" w:rsidRPr="00490E2B" w:rsidP="00527F90" w14:paraId="2430BE6B" w14:textId="6B87FC5C">
            <w:pPr>
              <w:jc w:val="center"/>
              <w:rPr>
                <w:szCs w:val="20"/>
              </w:rPr>
            </w:pPr>
            <w:r w:rsidRPr="00490E2B">
              <w:rPr>
                <w:szCs w:val="20"/>
              </w:rPr>
              <w:t>43.1%</w:t>
            </w:r>
          </w:p>
        </w:tc>
        <w:tc>
          <w:tcPr>
            <w:tcW w:w="1260" w:type="dxa"/>
            <w:vAlign w:val="center"/>
          </w:tcPr>
          <w:p w:rsidR="00443E4E" w:rsidRPr="00490E2B" w:rsidP="00527F90" w14:paraId="7D05D5AD" w14:textId="5AE94789">
            <w:pPr>
              <w:jc w:val="center"/>
              <w:rPr>
                <w:szCs w:val="20"/>
              </w:rPr>
            </w:pPr>
            <w:r w:rsidRPr="00490E2B">
              <w:rPr>
                <w:szCs w:val="20"/>
              </w:rPr>
              <w:t>34%</w:t>
            </w:r>
          </w:p>
        </w:tc>
        <w:tc>
          <w:tcPr>
            <w:tcW w:w="1170" w:type="dxa"/>
            <w:vAlign w:val="center"/>
          </w:tcPr>
          <w:p w:rsidR="00443E4E" w:rsidRPr="00490E2B" w:rsidP="00527F90" w14:paraId="63E340A3" w14:textId="56AE795C">
            <w:pPr>
              <w:jc w:val="center"/>
              <w:rPr>
                <w:szCs w:val="20"/>
              </w:rPr>
            </w:pPr>
            <w:r>
              <w:rPr>
                <w:szCs w:val="20"/>
              </w:rPr>
              <w:t>159</w:t>
            </w:r>
          </w:p>
        </w:tc>
        <w:tc>
          <w:tcPr>
            <w:tcW w:w="990" w:type="dxa"/>
            <w:vAlign w:val="center"/>
          </w:tcPr>
          <w:p w:rsidR="00443E4E" w:rsidRPr="00490E2B" w:rsidP="00527F90" w14:paraId="2033918C" w14:textId="006A9EEC">
            <w:pPr>
              <w:jc w:val="center"/>
              <w:rPr>
                <w:szCs w:val="20"/>
              </w:rPr>
            </w:pPr>
            <w:r w:rsidRPr="00490E2B">
              <w:rPr>
                <w:szCs w:val="20"/>
              </w:rPr>
              <w:t>2</w:t>
            </w:r>
          </w:p>
        </w:tc>
        <w:tc>
          <w:tcPr>
            <w:tcW w:w="990" w:type="dxa"/>
            <w:vAlign w:val="center"/>
          </w:tcPr>
          <w:p w:rsidR="00443E4E" w:rsidRPr="00490E2B" w:rsidP="00527F90" w14:paraId="756363A6" w14:textId="2BE40622">
            <w:pPr>
              <w:jc w:val="center"/>
              <w:rPr>
                <w:szCs w:val="20"/>
              </w:rPr>
            </w:pPr>
            <w:r>
              <w:rPr>
                <w:szCs w:val="20"/>
              </w:rPr>
              <w:t>318</w:t>
            </w:r>
          </w:p>
        </w:tc>
        <w:tc>
          <w:tcPr>
            <w:tcW w:w="1080" w:type="dxa"/>
            <w:vAlign w:val="center"/>
          </w:tcPr>
          <w:p w:rsidR="00443E4E" w:rsidRPr="00490E2B" w:rsidP="00527F90" w14:paraId="00F2D590" w14:textId="08F6B47B">
            <w:pPr>
              <w:jc w:val="center"/>
              <w:rPr>
                <w:szCs w:val="20"/>
              </w:rPr>
            </w:pPr>
            <w:r w:rsidRPr="00490E2B">
              <w:rPr>
                <w:szCs w:val="20"/>
              </w:rPr>
              <w:t>$43.12</w:t>
            </w:r>
          </w:p>
        </w:tc>
        <w:tc>
          <w:tcPr>
            <w:tcW w:w="1080" w:type="dxa"/>
            <w:vAlign w:val="center"/>
          </w:tcPr>
          <w:p w:rsidR="00443E4E" w:rsidRPr="00490E2B" w:rsidP="00527F90" w14:paraId="7EF7AB55" w14:textId="156A5FFB">
            <w:pPr>
              <w:jc w:val="center"/>
              <w:rPr>
                <w:szCs w:val="20"/>
              </w:rPr>
            </w:pPr>
            <w:r w:rsidRPr="00490E2B">
              <w:rPr>
                <w:szCs w:val="20"/>
              </w:rPr>
              <w:t>$</w:t>
            </w:r>
            <w:r w:rsidR="00287B6D">
              <w:rPr>
                <w:szCs w:val="20"/>
              </w:rPr>
              <w:t>13,712</w:t>
            </w:r>
          </w:p>
        </w:tc>
      </w:tr>
      <w:tr w14:paraId="4C23B98A" w14:textId="77777777" w:rsidTr="00DD2E9D">
        <w:tblPrEx>
          <w:tblW w:w="10946" w:type="dxa"/>
          <w:tblInd w:w="-905" w:type="dxa"/>
          <w:tblLayout w:type="fixed"/>
          <w:tblLook w:val="04A0"/>
        </w:tblPrEx>
        <w:tc>
          <w:tcPr>
            <w:tcW w:w="1890" w:type="dxa"/>
            <w:vAlign w:val="center"/>
          </w:tcPr>
          <w:p w:rsidR="00443E4E" w:rsidRPr="00490E2B" w:rsidP="00D42231" w14:paraId="63F5514C" w14:textId="79450051">
            <w:pPr>
              <w:rPr>
                <w:szCs w:val="20"/>
              </w:rPr>
            </w:pPr>
            <w:r w:rsidRPr="00490E2B">
              <w:rPr>
                <w:b/>
                <w:bCs/>
                <w:szCs w:val="20"/>
              </w:rPr>
              <w:t>Contract Sterilizers</w:t>
            </w:r>
          </w:p>
        </w:tc>
        <w:tc>
          <w:tcPr>
            <w:tcW w:w="1406" w:type="dxa"/>
            <w:vAlign w:val="center"/>
          </w:tcPr>
          <w:p w:rsidR="00443E4E" w:rsidRPr="00490E2B" w:rsidP="00527F90" w14:paraId="13698F32" w14:textId="01ED03EE">
            <w:pPr>
              <w:jc w:val="center"/>
              <w:rPr>
                <w:szCs w:val="20"/>
              </w:rPr>
            </w:pPr>
            <w:r w:rsidRPr="00490E2B">
              <w:rPr>
                <w:szCs w:val="20"/>
              </w:rPr>
              <w:t>209</w:t>
            </w:r>
          </w:p>
        </w:tc>
        <w:tc>
          <w:tcPr>
            <w:tcW w:w="1080" w:type="dxa"/>
            <w:vAlign w:val="center"/>
          </w:tcPr>
          <w:p w:rsidR="00443E4E" w:rsidRPr="00490E2B" w:rsidP="00527F90" w14:paraId="53A71BF2" w14:textId="7CBC6B7E">
            <w:pPr>
              <w:jc w:val="center"/>
              <w:rPr>
                <w:szCs w:val="20"/>
              </w:rPr>
            </w:pPr>
            <w:r w:rsidRPr="00490E2B">
              <w:rPr>
                <w:szCs w:val="20"/>
              </w:rPr>
              <w:t>44.0%</w:t>
            </w:r>
          </w:p>
        </w:tc>
        <w:tc>
          <w:tcPr>
            <w:tcW w:w="1260" w:type="dxa"/>
            <w:vAlign w:val="center"/>
          </w:tcPr>
          <w:p w:rsidR="00443E4E" w:rsidRPr="00490E2B" w:rsidP="00527F90" w14:paraId="4CE80840" w14:textId="6374BD28">
            <w:pPr>
              <w:jc w:val="center"/>
              <w:rPr>
                <w:szCs w:val="20"/>
              </w:rPr>
            </w:pPr>
            <w:r w:rsidRPr="00490E2B">
              <w:rPr>
                <w:szCs w:val="20"/>
              </w:rPr>
              <w:t>0%</w:t>
            </w:r>
          </w:p>
        </w:tc>
        <w:tc>
          <w:tcPr>
            <w:tcW w:w="1170" w:type="dxa"/>
            <w:vAlign w:val="center"/>
          </w:tcPr>
          <w:p w:rsidR="00443E4E" w:rsidRPr="00490E2B" w:rsidP="00527F90" w14:paraId="7C916A52" w14:textId="0D676480">
            <w:pPr>
              <w:jc w:val="center"/>
              <w:rPr>
                <w:szCs w:val="20"/>
              </w:rPr>
            </w:pPr>
            <w:r w:rsidRPr="00490E2B">
              <w:rPr>
                <w:szCs w:val="20"/>
              </w:rPr>
              <w:t>0</w:t>
            </w:r>
          </w:p>
        </w:tc>
        <w:tc>
          <w:tcPr>
            <w:tcW w:w="990" w:type="dxa"/>
            <w:vAlign w:val="center"/>
          </w:tcPr>
          <w:p w:rsidR="00443E4E" w:rsidRPr="00490E2B" w:rsidP="00527F90" w14:paraId="71A8BB48" w14:textId="155F7989">
            <w:pPr>
              <w:jc w:val="center"/>
              <w:rPr>
                <w:szCs w:val="20"/>
              </w:rPr>
            </w:pPr>
            <w:r w:rsidRPr="00490E2B">
              <w:rPr>
                <w:szCs w:val="20"/>
              </w:rPr>
              <w:t>2</w:t>
            </w:r>
          </w:p>
        </w:tc>
        <w:tc>
          <w:tcPr>
            <w:tcW w:w="990" w:type="dxa"/>
            <w:vAlign w:val="center"/>
          </w:tcPr>
          <w:p w:rsidR="00443E4E" w:rsidRPr="00490E2B" w:rsidP="00527F90" w14:paraId="71259DC8" w14:textId="52874BB4">
            <w:pPr>
              <w:jc w:val="center"/>
              <w:rPr>
                <w:szCs w:val="20"/>
              </w:rPr>
            </w:pPr>
            <w:r w:rsidRPr="00490E2B">
              <w:rPr>
                <w:szCs w:val="20"/>
              </w:rPr>
              <w:t>0</w:t>
            </w:r>
          </w:p>
        </w:tc>
        <w:tc>
          <w:tcPr>
            <w:tcW w:w="1080" w:type="dxa"/>
            <w:vAlign w:val="center"/>
          </w:tcPr>
          <w:p w:rsidR="00443E4E" w:rsidRPr="00490E2B" w:rsidP="00527F90" w14:paraId="4B22FFC3" w14:textId="7B768AA7">
            <w:pPr>
              <w:jc w:val="center"/>
              <w:rPr>
                <w:szCs w:val="20"/>
              </w:rPr>
            </w:pPr>
            <w:r w:rsidRPr="00490E2B">
              <w:rPr>
                <w:szCs w:val="20"/>
              </w:rPr>
              <w:t>$43.12</w:t>
            </w:r>
          </w:p>
        </w:tc>
        <w:tc>
          <w:tcPr>
            <w:tcW w:w="1080" w:type="dxa"/>
            <w:vAlign w:val="center"/>
          </w:tcPr>
          <w:p w:rsidR="00443E4E" w:rsidRPr="00490E2B" w:rsidP="00527F90" w14:paraId="18BAAA4B" w14:textId="6AC3F059">
            <w:pPr>
              <w:jc w:val="center"/>
              <w:rPr>
                <w:szCs w:val="20"/>
              </w:rPr>
            </w:pPr>
            <w:r w:rsidRPr="00490E2B">
              <w:rPr>
                <w:szCs w:val="20"/>
              </w:rPr>
              <w:t>$0</w:t>
            </w:r>
          </w:p>
        </w:tc>
      </w:tr>
      <w:tr w14:paraId="69207AF5" w14:textId="77777777" w:rsidTr="00DD2E9D">
        <w:tblPrEx>
          <w:tblW w:w="10946" w:type="dxa"/>
          <w:tblInd w:w="-905" w:type="dxa"/>
          <w:tblLayout w:type="fixed"/>
          <w:tblLook w:val="04A0"/>
        </w:tblPrEx>
        <w:tc>
          <w:tcPr>
            <w:tcW w:w="1890" w:type="dxa"/>
          </w:tcPr>
          <w:p w:rsidR="00443E4E" w:rsidRPr="00490E2B" w:rsidP="009C3237" w14:paraId="1191C91D" w14:textId="124BD2DC">
            <w:pPr>
              <w:rPr>
                <w:b/>
                <w:bCs/>
                <w:szCs w:val="20"/>
              </w:rPr>
            </w:pPr>
            <w:r w:rsidRPr="00490E2B">
              <w:rPr>
                <w:b/>
                <w:bCs/>
                <w:szCs w:val="20"/>
              </w:rPr>
              <w:t>Total</w:t>
            </w:r>
          </w:p>
        </w:tc>
        <w:tc>
          <w:tcPr>
            <w:tcW w:w="1406" w:type="dxa"/>
          </w:tcPr>
          <w:p w:rsidR="00443E4E" w:rsidRPr="00490E2B" w:rsidP="009C3237" w14:paraId="5D1BC3AA" w14:textId="77777777">
            <w:pPr>
              <w:rPr>
                <w:szCs w:val="20"/>
              </w:rPr>
            </w:pPr>
          </w:p>
        </w:tc>
        <w:tc>
          <w:tcPr>
            <w:tcW w:w="1080" w:type="dxa"/>
          </w:tcPr>
          <w:p w:rsidR="00443E4E" w:rsidRPr="00490E2B" w:rsidP="009C3237" w14:paraId="0D2E3551" w14:textId="77777777">
            <w:pPr>
              <w:rPr>
                <w:szCs w:val="20"/>
              </w:rPr>
            </w:pPr>
          </w:p>
        </w:tc>
        <w:tc>
          <w:tcPr>
            <w:tcW w:w="1260" w:type="dxa"/>
          </w:tcPr>
          <w:p w:rsidR="00443E4E" w:rsidRPr="00490E2B" w:rsidP="009C3237" w14:paraId="40C00EC3" w14:textId="77777777">
            <w:pPr>
              <w:rPr>
                <w:szCs w:val="20"/>
              </w:rPr>
            </w:pPr>
          </w:p>
        </w:tc>
        <w:tc>
          <w:tcPr>
            <w:tcW w:w="1170" w:type="dxa"/>
            <w:vAlign w:val="center"/>
          </w:tcPr>
          <w:p w:rsidR="00443E4E" w:rsidRPr="00490E2B" w:rsidP="00F422A8" w14:paraId="23031A5F" w14:textId="755CEFB4">
            <w:pPr>
              <w:jc w:val="center"/>
              <w:rPr>
                <w:b/>
                <w:bCs/>
                <w:szCs w:val="20"/>
              </w:rPr>
            </w:pPr>
            <w:r>
              <w:rPr>
                <w:b/>
                <w:bCs/>
                <w:szCs w:val="20"/>
              </w:rPr>
              <w:t>322</w:t>
            </w:r>
          </w:p>
        </w:tc>
        <w:tc>
          <w:tcPr>
            <w:tcW w:w="990" w:type="dxa"/>
            <w:vAlign w:val="center"/>
          </w:tcPr>
          <w:p w:rsidR="00443E4E" w:rsidRPr="00490E2B" w:rsidP="00F422A8" w14:paraId="49176595" w14:textId="77777777">
            <w:pPr>
              <w:jc w:val="center"/>
              <w:rPr>
                <w:b/>
                <w:bCs/>
                <w:szCs w:val="20"/>
              </w:rPr>
            </w:pPr>
          </w:p>
        </w:tc>
        <w:tc>
          <w:tcPr>
            <w:tcW w:w="990" w:type="dxa"/>
            <w:vAlign w:val="center"/>
          </w:tcPr>
          <w:p w:rsidR="00443E4E" w:rsidRPr="00490E2B" w:rsidP="00F422A8" w14:paraId="21A0F260" w14:textId="0925E64A">
            <w:pPr>
              <w:jc w:val="center"/>
              <w:rPr>
                <w:b/>
                <w:bCs/>
                <w:szCs w:val="20"/>
              </w:rPr>
            </w:pPr>
            <w:r>
              <w:rPr>
                <w:b/>
                <w:bCs/>
                <w:szCs w:val="20"/>
              </w:rPr>
              <w:t>6</w:t>
            </w:r>
            <w:r w:rsidR="00093FA2">
              <w:rPr>
                <w:b/>
                <w:bCs/>
                <w:szCs w:val="20"/>
              </w:rPr>
              <w:t>4</w:t>
            </w:r>
            <w:r>
              <w:rPr>
                <w:b/>
                <w:bCs/>
                <w:szCs w:val="20"/>
              </w:rPr>
              <w:t>4</w:t>
            </w:r>
          </w:p>
        </w:tc>
        <w:tc>
          <w:tcPr>
            <w:tcW w:w="1080" w:type="dxa"/>
            <w:vAlign w:val="center"/>
          </w:tcPr>
          <w:p w:rsidR="00443E4E" w:rsidRPr="00490E2B" w:rsidP="00F422A8" w14:paraId="367F2045" w14:textId="77777777">
            <w:pPr>
              <w:jc w:val="center"/>
              <w:rPr>
                <w:b/>
                <w:bCs/>
                <w:szCs w:val="20"/>
              </w:rPr>
            </w:pPr>
          </w:p>
        </w:tc>
        <w:tc>
          <w:tcPr>
            <w:tcW w:w="1080" w:type="dxa"/>
            <w:vAlign w:val="center"/>
          </w:tcPr>
          <w:p w:rsidR="00443E4E" w:rsidRPr="00490E2B" w:rsidP="00F422A8" w14:paraId="4605D746" w14:textId="4DD086DA">
            <w:pPr>
              <w:jc w:val="center"/>
              <w:rPr>
                <w:b/>
                <w:bCs/>
                <w:szCs w:val="20"/>
              </w:rPr>
            </w:pPr>
            <w:r>
              <w:rPr>
                <w:b/>
                <w:bCs/>
                <w:szCs w:val="20"/>
              </w:rPr>
              <w:t>27,769</w:t>
            </w:r>
          </w:p>
        </w:tc>
      </w:tr>
    </w:tbl>
    <w:p w:rsidR="004B5ECF" w:rsidP="009C3237" w14:paraId="026771AA" w14:textId="1B826144">
      <w:pPr>
        <w:rPr>
          <w:szCs w:val="20"/>
        </w:rPr>
      </w:pPr>
      <w:r>
        <w:rPr>
          <w:szCs w:val="20"/>
        </w:rPr>
        <w:t>[</w:t>
      </w:r>
      <w:r w:rsidR="004714A1">
        <w:rPr>
          <w:szCs w:val="20"/>
        </w:rPr>
        <w:t>1</w:t>
      </w:r>
      <w:r w:rsidRPr="00733210" w:rsidR="00733210">
        <w:rPr>
          <w:szCs w:val="20"/>
        </w:rPr>
        <w:t>] This represents the hires rate for the Manufacturing (43.1%) and Health Care and Social Assistance (44.0%) sectors taken from Job Openings and Labor Turnover Survey (JOLTS), Bureau of Labor Statistics, 2023.</w:t>
      </w:r>
    </w:p>
    <w:p w:rsidR="000C1323" w:rsidP="009C3237" w14:paraId="35CAC481" w14:textId="77777777">
      <w:pPr>
        <w:rPr>
          <w:szCs w:val="20"/>
        </w:rPr>
      </w:pPr>
    </w:p>
    <w:p w:rsidR="009C3237" w:rsidP="00A95EBF" w14:paraId="06E4C73E" w14:textId="06E4F39B">
      <w:pPr>
        <w:rPr>
          <w:sz w:val="24"/>
        </w:rPr>
      </w:pPr>
      <w:r w:rsidRPr="00565389">
        <w:rPr>
          <w:sz w:val="24"/>
        </w:rPr>
        <w:t>The Agency also used the RIA for the Standard to estimate the burden hours and cost of periodic medical examinations.  According to the RIA, 25% of the employers in each industry sector provided periodic medical examinations as a usual and customary practice prior to publication of the final Standard (i.e., the “pre-Standard compliance rate”).  The Agency, therefore, estimated burden hours and costs by multiplying the number of exposed workers by the pre-standard compliance rate, and then subtracting this product from the number of exposed workers to obtain the number of exposed workers who must receive the periodic medical examinations required by the Standard.  Additionally, OSHA used the same "lost time" estimates for these medical examinations that it used for the initial medical examinations.  The following chart summarizes the burden hour and cost determinations for the periodic medical-examination requirement.</w:t>
      </w:r>
      <w:r w:rsidRPr="00565389">
        <w:rPr>
          <w:b/>
          <w:sz w:val="24"/>
        </w:rPr>
        <w:br/>
      </w:r>
    </w:p>
    <w:p w:rsidR="00515165" w:rsidP="00A95EBF" w14:paraId="3AA80E20" w14:textId="77777777">
      <w:pPr>
        <w:rPr>
          <w:sz w:val="24"/>
        </w:rPr>
      </w:pPr>
      <w:r w:rsidRPr="00FE070F">
        <w:rPr>
          <w:b/>
          <w:bCs/>
          <w:sz w:val="24"/>
        </w:rPr>
        <w:t>Table 6: Periodic Employee Medical Examinations Burden Hour and Cost Estimates</w:t>
      </w:r>
    </w:p>
    <w:tbl>
      <w:tblPr>
        <w:tblStyle w:val="TableGrid"/>
        <w:tblW w:w="0" w:type="auto"/>
        <w:tblLook w:val="04A0"/>
      </w:tblPr>
      <w:tblGrid>
        <w:gridCol w:w="1634"/>
        <w:gridCol w:w="1231"/>
        <w:gridCol w:w="1341"/>
        <w:gridCol w:w="1231"/>
        <w:gridCol w:w="972"/>
        <w:gridCol w:w="950"/>
        <w:gridCol w:w="950"/>
        <w:gridCol w:w="1041"/>
      </w:tblGrid>
      <w:tr w14:paraId="0D15383D" w14:textId="77777777" w:rsidTr="004C044A">
        <w:tblPrEx>
          <w:tblW w:w="0" w:type="auto"/>
          <w:tblLook w:val="04A0"/>
        </w:tblPrEx>
        <w:trPr>
          <w:tblHeader/>
        </w:trPr>
        <w:tc>
          <w:tcPr>
            <w:tcW w:w="1634" w:type="dxa"/>
            <w:shd w:val="clear" w:color="auto" w:fill="BDD6EE" w:themeFill="accent1" w:themeFillTint="66"/>
            <w:vAlign w:val="center"/>
          </w:tcPr>
          <w:p w:rsidR="00C76709" w:rsidRPr="002B6B61" w:rsidP="008176B0" w14:paraId="442B1E14" w14:textId="4F437C62">
            <w:pPr>
              <w:jc w:val="center"/>
              <w:rPr>
                <w:b/>
                <w:bCs/>
                <w:sz w:val="22"/>
                <w:szCs w:val="22"/>
              </w:rPr>
            </w:pPr>
            <w:r w:rsidRPr="002B6B61">
              <w:rPr>
                <w:b/>
                <w:bCs/>
                <w:sz w:val="22"/>
                <w:szCs w:val="22"/>
              </w:rPr>
              <w:t>Industry Sector</w:t>
            </w:r>
          </w:p>
        </w:tc>
        <w:tc>
          <w:tcPr>
            <w:tcW w:w="1231" w:type="dxa"/>
            <w:shd w:val="clear" w:color="auto" w:fill="BDD6EE" w:themeFill="accent1" w:themeFillTint="66"/>
          </w:tcPr>
          <w:p w:rsidR="00C76709" w:rsidRPr="002B6B61" w:rsidP="008176B0" w14:paraId="452DBC8F" w14:textId="58C5F8DD">
            <w:pPr>
              <w:jc w:val="center"/>
              <w:rPr>
                <w:b/>
                <w:bCs/>
                <w:sz w:val="22"/>
                <w:szCs w:val="22"/>
              </w:rPr>
            </w:pPr>
            <w:r w:rsidRPr="002B6B61">
              <w:rPr>
                <w:b/>
                <w:bCs/>
                <w:sz w:val="22"/>
                <w:szCs w:val="22"/>
              </w:rPr>
              <w:t>No. of Exposed Employees</w:t>
            </w:r>
          </w:p>
        </w:tc>
        <w:tc>
          <w:tcPr>
            <w:tcW w:w="1341" w:type="dxa"/>
            <w:shd w:val="clear" w:color="auto" w:fill="BDD6EE" w:themeFill="accent1" w:themeFillTint="66"/>
          </w:tcPr>
          <w:p w:rsidR="00C76709" w:rsidRPr="002B6B61" w:rsidP="008176B0" w14:paraId="06A784E2" w14:textId="1DAC8256">
            <w:pPr>
              <w:jc w:val="center"/>
              <w:rPr>
                <w:b/>
                <w:bCs/>
                <w:sz w:val="22"/>
                <w:szCs w:val="22"/>
              </w:rPr>
            </w:pPr>
            <w:r>
              <w:rPr>
                <w:b/>
                <w:bCs/>
                <w:sz w:val="22"/>
                <w:szCs w:val="22"/>
              </w:rPr>
              <w:t>Non-</w:t>
            </w:r>
            <w:r w:rsidRPr="002B6B61">
              <w:rPr>
                <w:b/>
                <w:bCs/>
                <w:sz w:val="22"/>
                <w:szCs w:val="22"/>
              </w:rPr>
              <w:t xml:space="preserve"> Compliance Rate</w:t>
            </w:r>
          </w:p>
        </w:tc>
        <w:tc>
          <w:tcPr>
            <w:tcW w:w="1231" w:type="dxa"/>
            <w:shd w:val="clear" w:color="auto" w:fill="BDD6EE" w:themeFill="accent1" w:themeFillTint="66"/>
          </w:tcPr>
          <w:p w:rsidR="00C76709" w:rsidRPr="002B6B61" w:rsidP="008176B0" w14:paraId="63A177CA" w14:textId="0FAA3129">
            <w:pPr>
              <w:jc w:val="center"/>
              <w:rPr>
                <w:b/>
                <w:bCs/>
                <w:sz w:val="22"/>
                <w:szCs w:val="22"/>
              </w:rPr>
            </w:pPr>
            <w:r w:rsidRPr="002B6B61">
              <w:rPr>
                <w:b/>
                <w:bCs/>
                <w:sz w:val="22"/>
                <w:szCs w:val="22"/>
              </w:rPr>
              <w:t>Total Exposed Employees</w:t>
            </w:r>
          </w:p>
        </w:tc>
        <w:tc>
          <w:tcPr>
            <w:tcW w:w="1024" w:type="dxa"/>
            <w:shd w:val="clear" w:color="auto" w:fill="BDD6EE" w:themeFill="accent1" w:themeFillTint="66"/>
          </w:tcPr>
          <w:p w:rsidR="00C76709" w:rsidRPr="002B6B61" w:rsidP="008176B0" w14:paraId="447D683C" w14:textId="4A7CEE54">
            <w:pPr>
              <w:jc w:val="center"/>
              <w:rPr>
                <w:b/>
                <w:bCs/>
                <w:sz w:val="22"/>
                <w:szCs w:val="22"/>
              </w:rPr>
            </w:pPr>
            <w:r w:rsidRPr="002B6B61">
              <w:rPr>
                <w:b/>
                <w:bCs/>
                <w:sz w:val="22"/>
                <w:szCs w:val="22"/>
              </w:rPr>
              <w:t>Lost Time (Hours)</w:t>
            </w:r>
          </w:p>
        </w:tc>
        <w:tc>
          <w:tcPr>
            <w:tcW w:w="1009" w:type="dxa"/>
            <w:shd w:val="clear" w:color="auto" w:fill="BDD6EE" w:themeFill="accent1" w:themeFillTint="66"/>
          </w:tcPr>
          <w:p w:rsidR="002B6B61" w:rsidRPr="002B6B61" w:rsidP="008176B0" w14:paraId="7D26977F" w14:textId="77777777">
            <w:pPr>
              <w:jc w:val="center"/>
              <w:rPr>
                <w:b/>
                <w:bCs/>
                <w:sz w:val="22"/>
                <w:szCs w:val="22"/>
              </w:rPr>
            </w:pPr>
            <w:r w:rsidRPr="002B6B61">
              <w:rPr>
                <w:b/>
                <w:bCs/>
                <w:sz w:val="22"/>
                <w:szCs w:val="22"/>
              </w:rPr>
              <w:t>Total</w:t>
            </w:r>
          </w:p>
          <w:p w:rsidR="00C76709" w:rsidRPr="002B6B61" w:rsidP="008176B0" w14:paraId="1A149633" w14:textId="341AA487">
            <w:pPr>
              <w:jc w:val="center"/>
              <w:rPr>
                <w:b/>
                <w:bCs/>
                <w:sz w:val="22"/>
                <w:szCs w:val="22"/>
              </w:rPr>
            </w:pPr>
            <w:r w:rsidRPr="002B6B61">
              <w:rPr>
                <w:b/>
                <w:bCs/>
                <w:sz w:val="22"/>
                <w:szCs w:val="22"/>
              </w:rPr>
              <w:t>Burden Hours</w:t>
            </w:r>
          </w:p>
        </w:tc>
        <w:tc>
          <w:tcPr>
            <w:tcW w:w="1009" w:type="dxa"/>
            <w:shd w:val="clear" w:color="auto" w:fill="BDD6EE" w:themeFill="accent1" w:themeFillTint="66"/>
          </w:tcPr>
          <w:p w:rsidR="00C76709" w:rsidRPr="002B6B61" w:rsidP="008176B0" w14:paraId="22D2D22F" w14:textId="55DABCF7">
            <w:pPr>
              <w:jc w:val="center"/>
              <w:rPr>
                <w:b/>
                <w:bCs/>
                <w:sz w:val="22"/>
                <w:szCs w:val="22"/>
              </w:rPr>
            </w:pPr>
            <w:r w:rsidRPr="002B6B61">
              <w:rPr>
                <w:b/>
                <w:bCs/>
                <w:sz w:val="22"/>
                <w:szCs w:val="22"/>
              </w:rPr>
              <w:t>Loaded Wage Rate</w:t>
            </w:r>
          </w:p>
        </w:tc>
        <w:tc>
          <w:tcPr>
            <w:tcW w:w="871" w:type="dxa"/>
            <w:shd w:val="clear" w:color="auto" w:fill="BDD6EE" w:themeFill="accent1" w:themeFillTint="66"/>
          </w:tcPr>
          <w:p w:rsidR="00FB672B" w:rsidRPr="002B6B61" w:rsidP="008176B0" w14:paraId="5C63F844" w14:textId="77777777">
            <w:pPr>
              <w:jc w:val="center"/>
              <w:rPr>
                <w:b/>
                <w:bCs/>
                <w:sz w:val="22"/>
                <w:szCs w:val="22"/>
              </w:rPr>
            </w:pPr>
            <w:r w:rsidRPr="002B6B61">
              <w:rPr>
                <w:b/>
                <w:bCs/>
                <w:sz w:val="22"/>
                <w:szCs w:val="22"/>
              </w:rPr>
              <w:t>Total</w:t>
            </w:r>
          </w:p>
          <w:p w:rsidR="00C76709" w:rsidRPr="002B6B61" w:rsidP="008176B0" w14:paraId="0CD61CA2" w14:textId="46DE620A">
            <w:pPr>
              <w:jc w:val="center"/>
              <w:rPr>
                <w:b/>
                <w:bCs/>
                <w:sz w:val="22"/>
                <w:szCs w:val="22"/>
              </w:rPr>
            </w:pPr>
            <w:r w:rsidRPr="002B6B61">
              <w:rPr>
                <w:b/>
                <w:bCs/>
                <w:sz w:val="22"/>
                <w:szCs w:val="22"/>
              </w:rPr>
              <w:t>Cost</w:t>
            </w:r>
          </w:p>
        </w:tc>
      </w:tr>
      <w:tr w14:paraId="73EC777B" w14:textId="77777777" w:rsidTr="00FB2C11">
        <w:tblPrEx>
          <w:tblW w:w="0" w:type="auto"/>
          <w:tblLook w:val="04A0"/>
        </w:tblPrEx>
        <w:tc>
          <w:tcPr>
            <w:tcW w:w="1634" w:type="dxa"/>
            <w:vAlign w:val="center"/>
          </w:tcPr>
          <w:p w:rsidR="00725F63" w:rsidRPr="00823A6A" w:rsidP="00725F63" w14:paraId="021B3748" w14:textId="1E7BCF25">
            <w:pPr>
              <w:rPr>
                <w:sz w:val="22"/>
                <w:szCs w:val="22"/>
              </w:rPr>
            </w:pPr>
            <w:r w:rsidRPr="00823A6A">
              <w:rPr>
                <w:b/>
                <w:bCs/>
                <w:sz w:val="22"/>
                <w:szCs w:val="22"/>
              </w:rPr>
              <w:t>EtO Producers</w:t>
            </w:r>
          </w:p>
        </w:tc>
        <w:tc>
          <w:tcPr>
            <w:tcW w:w="1231" w:type="dxa"/>
            <w:vAlign w:val="center"/>
          </w:tcPr>
          <w:p w:rsidR="00725F63" w:rsidRPr="00DD6395" w:rsidP="00823A6A" w14:paraId="692484B1" w14:textId="7C727FB2">
            <w:pPr>
              <w:jc w:val="center"/>
              <w:rPr>
                <w:sz w:val="22"/>
                <w:szCs w:val="22"/>
              </w:rPr>
            </w:pPr>
            <w:r w:rsidRPr="00DD6395">
              <w:rPr>
                <w:sz w:val="22"/>
                <w:szCs w:val="22"/>
              </w:rPr>
              <w:t>1,246</w:t>
            </w:r>
          </w:p>
        </w:tc>
        <w:tc>
          <w:tcPr>
            <w:tcW w:w="1341" w:type="dxa"/>
            <w:vAlign w:val="center"/>
          </w:tcPr>
          <w:p w:rsidR="00725F63" w:rsidRPr="00DD6395" w:rsidP="00823A6A" w14:paraId="39037BB4" w14:textId="7351813E">
            <w:pPr>
              <w:jc w:val="center"/>
              <w:rPr>
                <w:sz w:val="22"/>
                <w:szCs w:val="22"/>
              </w:rPr>
            </w:pPr>
            <w:r>
              <w:rPr>
                <w:sz w:val="22"/>
                <w:szCs w:val="22"/>
              </w:rPr>
              <w:t>75</w:t>
            </w:r>
            <w:r w:rsidRPr="00DD6395">
              <w:rPr>
                <w:sz w:val="22"/>
                <w:szCs w:val="22"/>
              </w:rPr>
              <w:t>%</w:t>
            </w:r>
          </w:p>
        </w:tc>
        <w:tc>
          <w:tcPr>
            <w:tcW w:w="1231" w:type="dxa"/>
            <w:vAlign w:val="center"/>
          </w:tcPr>
          <w:p w:rsidR="00725F63" w:rsidRPr="00DD6395" w:rsidP="00823A6A" w14:paraId="55AD8D78" w14:textId="1D7C7DA6">
            <w:pPr>
              <w:jc w:val="center"/>
              <w:rPr>
                <w:sz w:val="22"/>
                <w:szCs w:val="22"/>
              </w:rPr>
            </w:pPr>
            <w:r>
              <w:rPr>
                <w:sz w:val="22"/>
                <w:szCs w:val="22"/>
              </w:rPr>
              <w:t>935</w:t>
            </w:r>
          </w:p>
        </w:tc>
        <w:tc>
          <w:tcPr>
            <w:tcW w:w="1024" w:type="dxa"/>
            <w:vAlign w:val="center"/>
          </w:tcPr>
          <w:p w:rsidR="00725F63" w:rsidRPr="00DD6395" w:rsidP="00823A6A" w14:paraId="7E190FB4" w14:textId="5A49C8A5">
            <w:pPr>
              <w:jc w:val="center"/>
              <w:rPr>
                <w:sz w:val="22"/>
                <w:szCs w:val="22"/>
              </w:rPr>
            </w:pPr>
            <w:r w:rsidRPr="00DD6395">
              <w:rPr>
                <w:sz w:val="22"/>
                <w:szCs w:val="22"/>
              </w:rPr>
              <w:t>2</w:t>
            </w:r>
          </w:p>
        </w:tc>
        <w:tc>
          <w:tcPr>
            <w:tcW w:w="1009" w:type="dxa"/>
            <w:vAlign w:val="center"/>
          </w:tcPr>
          <w:p w:rsidR="00725F63" w:rsidRPr="00DD6395" w:rsidP="00823A6A" w14:paraId="227C67CD" w14:textId="26606CC8">
            <w:pPr>
              <w:jc w:val="center"/>
              <w:rPr>
                <w:sz w:val="22"/>
                <w:szCs w:val="22"/>
              </w:rPr>
            </w:pPr>
            <w:r>
              <w:rPr>
                <w:sz w:val="22"/>
                <w:szCs w:val="22"/>
              </w:rPr>
              <w:t>1,870</w:t>
            </w:r>
          </w:p>
        </w:tc>
        <w:tc>
          <w:tcPr>
            <w:tcW w:w="1009" w:type="dxa"/>
            <w:vAlign w:val="center"/>
          </w:tcPr>
          <w:p w:rsidR="00725F63" w:rsidRPr="00DD6395" w:rsidP="00823A6A" w14:paraId="19A6DD3F" w14:textId="2F381D6F">
            <w:pPr>
              <w:jc w:val="center"/>
              <w:rPr>
                <w:sz w:val="22"/>
                <w:szCs w:val="22"/>
              </w:rPr>
            </w:pPr>
            <w:r w:rsidRPr="00DD6395">
              <w:rPr>
                <w:sz w:val="22"/>
                <w:szCs w:val="22"/>
              </w:rPr>
              <w:t>$43.12</w:t>
            </w:r>
          </w:p>
        </w:tc>
        <w:tc>
          <w:tcPr>
            <w:tcW w:w="871" w:type="dxa"/>
            <w:vAlign w:val="center"/>
          </w:tcPr>
          <w:p w:rsidR="00725F63" w:rsidRPr="00880C4C" w:rsidP="00823A6A" w14:paraId="31826F16" w14:textId="77F5C7B9">
            <w:pPr>
              <w:jc w:val="center"/>
              <w:rPr>
                <w:sz w:val="22"/>
                <w:szCs w:val="22"/>
              </w:rPr>
            </w:pPr>
            <w:r w:rsidRPr="00880C4C">
              <w:rPr>
                <w:sz w:val="22"/>
                <w:szCs w:val="22"/>
              </w:rPr>
              <w:t>$</w:t>
            </w:r>
            <w:r w:rsidR="00517C74">
              <w:rPr>
                <w:sz w:val="22"/>
                <w:szCs w:val="22"/>
              </w:rPr>
              <w:t>80,634</w:t>
            </w:r>
          </w:p>
        </w:tc>
      </w:tr>
      <w:tr w14:paraId="6E71FC3B" w14:textId="77777777" w:rsidTr="00FB2C11">
        <w:tblPrEx>
          <w:tblW w:w="0" w:type="auto"/>
          <w:tblLook w:val="04A0"/>
        </w:tblPrEx>
        <w:tc>
          <w:tcPr>
            <w:tcW w:w="1634" w:type="dxa"/>
            <w:vAlign w:val="center"/>
          </w:tcPr>
          <w:p w:rsidR="00725F63" w:rsidRPr="00823A6A" w:rsidP="00725F63" w14:paraId="51B09761" w14:textId="0EC68B9F">
            <w:pPr>
              <w:rPr>
                <w:sz w:val="22"/>
                <w:szCs w:val="22"/>
              </w:rPr>
            </w:pPr>
            <w:r w:rsidRPr="00823A6A">
              <w:rPr>
                <w:b/>
                <w:bCs/>
                <w:sz w:val="22"/>
                <w:szCs w:val="22"/>
              </w:rPr>
              <w:t>EtO Ethoxylators</w:t>
            </w:r>
          </w:p>
        </w:tc>
        <w:tc>
          <w:tcPr>
            <w:tcW w:w="1231" w:type="dxa"/>
            <w:vAlign w:val="center"/>
          </w:tcPr>
          <w:p w:rsidR="00725F63" w:rsidRPr="00DD6395" w:rsidP="00823A6A" w14:paraId="7EAC3B14" w14:textId="5A32D01E">
            <w:pPr>
              <w:jc w:val="center"/>
              <w:rPr>
                <w:sz w:val="22"/>
                <w:szCs w:val="22"/>
              </w:rPr>
            </w:pPr>
            <w:r w:rsidRPr="00DD6395">
              <w:rPr>
                <w:sz w:val="22"/>
                <w:szCs w:val="22"/>
              </w:rPr>
              <w:t>6,300</w:t>
            </w:r>
          </w:p>
        </w:tc>
        <w:tc>
          <w:tcPr>
            <w:tcW w:w="1341" w:type="dxa"/>
            <w:vAlign w:val="center"/>
          </w:tcPr>
          <w:p w:rsidR="00725F63" w:rsidRPr="00DD6395" w:rsidP="00823A6A" w14:paraId="30635C1D" w14:textId="1F440A1B">
            <w:pPr>
              <w:jc w:val="center"/>
              <w:rPr>
                <w:sz w:val="22"/>
                <w:szCs w:val="22"/>
              </w:rPr>
            </w:pPr>
            <w:r>
              <w:rPr>
                <w:sz w:val="22"/>
                <w:szCs w:val="22"/>
              </w:rPr>
              <w:t>75</w:t>
            </w:r>
            <w:r w:rsidRPr="00DD6395">
              <w:rPr>
                <w:sz w:val="22"/>
                <w:szCs w:val="22"/>
              </w:rPr>
              <w:t>%</w:t>
            </w:r>
          </w:p>
        </w:tc>
        <w:tc>
          <w:tcPr>
            <w:tcW w:w="1231" w:type="dxa"/>
            <w:vAlign w:val="center"/>
          </w:tcPr>
          <w:p w:rsidR="00725F63" w:rsidRPr="00DD6395" w:rsidP="00823A6A" w14:paraId="6ED18319" w14:textId="7DF73DBE">
            <w:pPr>
              <w:jc w:val="center"/>
              <w:rPr>
                <w:sz w:val="22"/>
                <w:szCs w:val="22"/>
              </w:rPr>
            </w:pPr>
            <w:r>
              <w:rPr>
                <w:sz w:val="22"/>
                <w:szCs w:val="22"/>
              </w:rPr>
              <w:t>4,725</w:t>
            </w:r>
          </w:p>
        </w:tc>
        <w:tc>
          <w:tcPr>
            <w:tcW w:w="1024" w:type="dxa"/>
            <w:vAlign w:val="center"/>
          </w:tcPr>
          <w:p w:rsidR="00725F63" w:rsidRPr="00DD6395" w:rsidP="00823A6A" w14:paraId="769F499E" w14:textId="5BA35AA6">
            <w:pPr>
              <w:jc w:val="center"/>
              <w:rPr>
                <w:sz w:val="22"/>
                <w:szCs w:val="22"/>
              </w:rPr>
            </w:pPr>
            <w:r w:rsidRPr="00DD6395">
              <w:rPr>
                <w:sz w:val="22"/>
                <w:szCs w:val="22"/>
              </w:rPr>
              <w:t>2</w:t>
            </w:r>
          </w:p>
        </w:tc>
        <w:tc>
          <w:tcPr>
            <w:tcW w:w="1009" w:type="dxa"/>
            <w:vAlign w:val="center"/>
          </w:tcPr>
          <w:p w:rsidR="00725F63" w:rsidRPr="00DD6395" w:rsidP="00823A6A" w14:paraId="57D83632" w14:textId="0FCA7AC4">
            <w:pPr>
              <w:jc w:val="center"/>
              <w:rPr>
                <w:sz w:val="22"/>
                <w:szCs w:val="22"/>
              </w:rPr>
            </w:pPr>
            <w:r>
              <w:rPr>
                <w:sz w:val="22"/>
                <w:szCs w:val="22"/>
              </w:rPr>
              <w:t>9,450</w:t>
            </w:r>
          </w:p>
        </w:tc>
        <w:tc>
          <w:tcPr>
            <w:tcW w:w="1009" w:type="dxa"/>
            <w:vAlign w:val="center"/>
          </w:tcPr>
          <w:p w:rsidR="00725F63" w:rsidRPr="00DD6395" w:rsidP="00823A6A" w14:paraId="1CA4097D" w14:textId="16CDED6A">
            <w:pPr>
              <w:jc w:val="center"/>
              <w:rPr>
                <w:sz w:val="22"/>
                <w:szCs w:val="22"/>
              </w:rPr>
            </w:pPr>
            <w:r w:rsidRPr="00DD6395">
              <w:rPr>
                <w:sz w:val="22"/>
                <w:szCs w:val="22"/>
              </w:rPr>
              <w:t>$43.12</w:t>
            </w:r>
          </w:p>
        </w:tc>
        <w:tc>
          <w:tcPr>
            <w:tcW w:w="871" w:type="dxa"/>
            <w:vAlign w:val="center"/>
          </w:tcPr>
          <w:p w:rsidR="00725F63" w:rsidRPr="00880C4C" w:rsidP="00823A6A" w14:paraId="5C0CB469" w14:textId="3BDED8A7">
            <w:pPr>
              <w:jc w:val="center"/>
              <w:rPr>
                <w:sz w:val="22"/>
                <w:szCs w:val="22"/>
              </w:rPr>
            </w:pPr>
            <w:r w:rsidRPr="00880C4C">
              <w:rPr>
                <w:sz w:val="22"/>
                <w:szCs w:val="22"/>
              </w:rPr>
              <w:t>$</w:t>
            </w:r>
            <w:r w:rsidR="00AC6605">
              <w:rPr>
                <w:sz w:val="22"/>
                <w:szCs w:val="22"/>
              </w:rPr>
              <w:t>407,484</w:t>
            </w:r>
          </w:p>
        </w:tc>
      </w:tr>
      <w:tr w14:paraId="52C8FAFC" w14:textId="77777777" w:rsidTr="00FB2C11">
        <w:tblPrEx>
          <w:tblW w:w="0" w:type="auto"/>
          <w:tblLook w:val="04A0"/>
        </w:tblPrEx>
        <w:tc>
          <w:tcPr>
            <w:tcW w:w="1634" w:type="dxa"/>
            <w:vAlign w:val="center"/>
          </w:tcPr>
          <w:p w:rsidR="00725F63" w:rsidRPr="00823A6A" w:rsidP="00725F63" w14:paraId="25E64657" w14:textId="71E709AE">
            <w:pPr>
              <w:rPr>
                <w:sz w:val="22"/>
                <w:szCs w:val="22"/>
              </w:rPr>
            </w:pPr>
            <w:r w:rsidRPr="00823A6A">
              <w:rPr>
                <w:b/>
                <w:bCs/>
                <w:sz w:val="22"/>
                <w:szCs w:val="22"/>
              </w:rPr>
              <w:t>Hospitals Using EtO Sterilizers</w:t>
            </w:r>
          </w:p>
        </w:tc>
        <w:tc>
          <w:tcPr>
            <w:tcW w:w="1231" w:type="dxa"/>
            <w:vAlign w:val="center"/>
          </w:tcPr>
          <w:p w:rsidR="00725F63" w:rsidRPr="00DD6395" w:rsidP="00823A6A" w14:paraId="0E254875" w14:textId="0D53DA49">
            <w:pPr>
              <w:jc w:val="center"/>
              <w:rPr>
                <w:sz w:val="22"/>
                <w:szCs w:val="22"/>
              </w:rPr>
            </w:pPr>
            <w:r w:rsidRPr="00DD6395">
              <w:rPr>
                <w:sz w:val="22"/>
                <w:szCs w:val="22"/>
              </w:rPr>
              <w:t>22,068</w:t>
            </w:r>
          </w:p>
        </w:tc>
        <w:tc>
          <w:tcPr>
            <w:tcW w:w="1341" w:type="dxa"/>
            <w:vAlign w:val="center"/>
          </w:tcPr>
          <w:p w:rsidR="00725F63" w:rsidRPr="00DD6395" w:rsidP="00823A6A" w14:paraId="4759639B" w14:textId="5DF0C404">
            <w:pPr>
              <w:jc w:val="center"/>
              <w:rPr>
                <w:sz w:val="22"/>
                <w:szCs w:val="22"/>
              </w:rPr>
            </w:pPr>
            <w:r>
              <w:rPr>
                <w:sz w:val="22"/>
                <w:szCs w:val="22"/>
              </w:rPr>
              <w:t>75</w:t>
            </w:r>
            <w:r w:rsidRPr="00DD6395">
              <w:rPr>
                <w:sz w:val="22"/>
                <w:szCs w:val="22"/>
              </w:rPr>
              <w:t>%</w:t>
            </w:r>
          </w:p>
        </w:tc>
        <w:tc>
          <w:tcPr>
            <w:tcW w:w="1231" w:type="dxa"/>
            <w:vAlign w:val="center"/>
          </w:tcPr>
          <w:p w:rsidR="00725F63" w:rsidRPr="00DD6395" w:rsidP="00823A6A" w14:paraId="4B4F0680" w14:textId="6B145B84">
            <w:pPr>
              <w:jc w:val="center"/>
              <w:rPr>
                <w:sz w:val="22"/>
                <w:szCs w:val="22"/>
              </w:rPr>
            </w:pPr>
            <w:r>
              <w:rPr>
                <w:sz w:val="22"/>
                <w:szCs w:val="22"/>
              </w:rPr>
              <w:t>16,551</w:t>
            </w:r>
          </w:p>
        </w:tc>
        <w:tc>
          <w:tcPr>
            <w:tcW w:w="1024" w:type="dxa"/>
            <w:vAlign w:val="center"/>
          </w:tcPr>
          <w:p w:rsidR="00725F63" w:rsidRPr="00DD6395" w:rsidP="00823A6A" w14:paraId="31B94A7F" w14:textId="799D6225">
            <w:pPr>
              <w:jc w:val="center"/>
              <w:rPr>
                <w:sz w:val="22"/>
                <w:szCs w:val="22"/>
              </w:rPr>
            </w:pPr>
            <w:r w:rsidRPr="00DD6395">
              <w:rPr>
                <w:color w:val="000000"/>
                <w:sz w:val="22"/>
                <w:szCs w:val="22"/>
              </w:rPr>
              <w:t>30/60</w:t>
            </w:r>
          </w:p>
        </w:tc>
        <w:tc>
          <w:tcPr>
            <w:tcW w:w="1009" w:type="dxa"/>
            <w:vAlign w:val="center"/>
          </w:tcPr>
          <w:p w:rsidR="00725F63" w:rsidRPr="00DD6395" w:rsidP="00823A6A" w14:paraId="2C6BB67D" w14:textId="3B6824CF">
            <w:pPr>
              <w:jc w:val="center"/>
              <w:rPr>
                <w:sz w:val="22"/>
                <w:szCs w:val="22"/>
              </w:rPr>
            </w:pPr>
            <w:r>
              <w:rPr>
                <w:sz w:val="22"/>
                <w:szCs w:val="22"/>
              </w:rPr>
              <w:t>8,276</w:t>
            </w:r>
          </w:p>
        </w:tc>
        <w:tc>
          <w:tcPr>
            <w:tcW w:w="1009" w:type="dxa"/>
            <w:vAlign w:val="center"/>
          </w:tcPr>
          <w:p w:rsidR="00725F63" w:rsidRPr="00DD6395" w:rsidP="00823A6A" w14:paraId="3B44B6C5" w14:textId="7519B6EC">
            <w:pPr>
              <w:jc w:val="center"/>
              <w:rPr>
                <w:sz w:val="22"/>
                <w:szCs w:val="22"/>
              </w:rPr>
            </w:pPr>
            <w:r w:rsidRPr="00DD6395">
              <w:rPr>
                <w:sz w:val="22"/>
                <w:szCs w:val="22"/>
              </w:rPr>
              <w:t>$43.12</w:t>
            </w:r>
          </w:p>
        </w:tc>
        <w:tc>
          <w:tcPr>
            <w:tcW w:w="871" w:type="dxa"/>
            <w:vAlign w:val="center"/>
          </w:tcPr>
          <w:p w:rsidR="00725F63" w:rsidRPr="00880C4C" w:rsidP="00823A6A" w14:paraId="562489D8" w14:textId="401FD06E">
            <w:pPr>
              <w:jc w:val="center"/>
              <w:rPr>
                <w:sz w:val="22"/>
                <w:szCs w:val="22"/>
              </w:rPr>
            </w:pPr>
            <w:r w:rsidRPr="00880C4C">
              <w:rPr>
                <w:sz w:val="22"/>
                <w:szCs w:val="22"/>
              </w:rPr>
              <w:t>$</w:t>
            </w:r>
            <w:r w:rsidR="00722BF2">
              <w:rPr>
                <w:sz w:val="22"/>
                <w:szCs w:val="22"/>
              </w:rPr>
              <w:t>356,861</w:t>
            </w:r>
          </w:p>
        </w:tc>
      </w:tr>
      <w:tr w14:paraId="7993CE29" w14:textId="77777777" w:rsidTr="00FB2C11">
        <w:tblPrEx>
          <w:tblW w:w="0" w:type="auto"/>
          <w:tblLook w:val="04A0"/>
        </w:tblPrEx>
        <w:tc>
          <w:tcPr>
            <w:tcW w:w="1634" w:type="dxa"/>
            <w:vAlign w:val="center"/>
          </w:tcPr>
          <w:p w:rsidR="00725F63" w:rsidRPr="00823A6A" w:rsidP="00725F63" w14:paraId="03517562" w14:textId="476B5DE2">
            <w:pPr>
              <w:rPr>
                <w:sz w:val="22"/>
                <w:szCs w:val="22"/>
              </w:rPr>
            </w:pPr>
            <w:r w:rsidRPr="00823A6A">
              <w:rPr>
                <w:b/>
                <w:bCs/>
                <w:sz w:val="22"/>
                <w:szCs w:val="22"/>
              </w:rPr>
              <w:t>Medical-Product Manufacturers</w:t>
            </w:r>
          </w:p>
        </w:tc>
        <w:tc>
          <w:tcPr>
            <w:tcW w:w="1231" w:type="dxa"/>
            <w:vAlign w:val="center"/>
          </w:tcPr>
          <w:p w:rsidR="00725F63" w:rsidRPr="00DD6395" w:rsidP="00823A6A" w14:paraId="6710F04A" w14:textId="7C27ADC2">
            <w:pPr>
              <w:jc w:val="center"/>
              <w:rPr>
                <w:sz w:val="22"/>
                <w:szCs w:val="22"/>
              </w:rPr>
            </w:pPr>
            <w:r w:rsidRPr="00DD6395">
              <w:rPr>
                <w:sz w:val="22"/>
                <w:szCs w:val="22"/>
              </w:rPr>
              <w:t>1,083</w:t>
            </w:r>
          </w:p>
        </w:tc>
        <w:tc>
          <w:tcPr>
            <w:tcW w:w="1341" w:type="dxa"/>
            <w:vAlign w:val="center"/>
          </w:tcPr>
          <w:p w:rsidR="00725F63" w:rsidRPr="00DD6395" w:rsidP="00823A6A" w14:paraId="0FDF2FDD" w14:textId="7A94DF66">
            <w:pPr>
              <w:jc w:val="center"/>
              <w:rPr>
                <w:sz w:val="22"/>
                <w:szCs w:val="22"/>
              </w:rPr>
            </w:pPr>
            <w:r>
              <w:rPr>
                <w:sz w:val="22"/>
                <w:szCs w:val="22"/>
              </w:rPr>
              <w:t>75</w:t>
            </w:r>
            <w:r w:rsidRPr="00DD6395">
              <w:rPr>
                <w:sz w:val="22"/>
                <w:szCs w:val="22"/>
              </w:rPr>
              <w:t>%</w:t>
            </w:r>
          </w:p>
        </w:tc>
        <w:tc>
          <w:tcPr>
            <w:tcW w:w="1231" w:type="dxa"/>
            <w:vAlign w:val="center"/>
          </w:tcPr>
          <w:p w:rsidR="00725F63" w:rsidRPr="00DD6395" w:rsidP="00823A6A" w14:paraId="003BE7C3" w14:textId="173E42F4">
            <w:pPr>
              <w:jc w:val="center"/>
              <w:rPr>
                <w:sz w:val="22"/>
                <w:szCs w:val="22"/>
              </w:rPr>
            </w:pPr>
            <w:r>
              <w:rPr>
                <w:sz w:val="22"/>
                <w:szCs w:val="22"/>
              </w:rPr>
              <w:t>812</w:t>
            </w:r>
          </w:p>
        </w:tc>
        <w:tc>
          <w:tcPr>
            <w:tcW w:w="1024" w:type="dxa"/>
            <w:vAlign w:val="center"/>
          </w:tcPr>
          <w:p w:rsidR="00725F63" w:rsidRPr="00DD6395" w:rsidP="00823A6A" w14:paraId="1536D957" w14:textId="47AB8FDC">
            <w:pPr>
              <w:jc w:val="center"/>
              <w:rPr>
                <w:sz w:val="22"/>
                <w:szCs w:val="22"/>
              </w:rPr>
            </w:pPr>
            <w:r w:rsidRPr="00DD6395">
              <w:rPr>
                <w:sz w:val="22"/>
                <w:szCs w:val="22"/>
              </w:rPr>
              <w:t>2</w:t>
            </w:r>
          </w:p>
        </w:tc>
        <w:tc>
          <w:tcPr>
            <w:tcW w:w="1009" w:type="dxa"/>
            <w:vAlign w:val="center"/>
          </w:tcPr>
          <w:p w:rsidR="00725F63" w:rsidRPr="00DD6395" w:rsidP="00823A6A" w14:paraId="743CAC9B" w14:textId="385761B5">
            <w:pPr>
              <w:jc w:val="center"/>
              <w:rPr>
                <w:sz w:val="22"/>
                <w:szCs w:val="22"/>
              </w:rPr>
            </w:pPr>
            <w:r>
              <w:rPr>
                <w:sz w:val="22"/>
                <w:szCs w:val="22"/>
              </w:rPr>
              <w:t>1,624</w:t>
            </w:r>
          </w:p>
        </w:tc>
        <w:tc>
          <w:tcPr>
            <w:tcW w:w="1009" w:type="dxa"/>
            <w:vAlign w:val="center"/>
          </w:tcPr>
          <w:p w:rsidR="00725F63" w:rsidRPr="00DD6395" w:rsidP="00823A6A" w14:paraId="56B6A1E3" w14:textId="768B7D82">
            <w:pPr>
              <w:jc w:val="center"/>
              <w:rPr>
                <w:sz w:val="22"/>
                <w:szCs w:val="22"/>
              </w:rPr>
            </w:pPr>
            <w:r w:rsidRPr="00DD6395">
              <w:rPr>
                <w:sz w:val="22"/>
                <w:szCs w:val="22"/>
              </w:rPr>
              <w:t>$43.12</w:t>
            </w:r>
          </w:p>
        </w:tc>
        <w:tc>
          <w:tcPr>
            <w:tcW w:w="871" w:type="dxa"/>
            <w:vAlign w:val="center"/>
          </w:tcPr>
          <w:p w:rsidR="00725F63" w:rsidRPr="00880C4C" w:rsidP="00823A6A" w14:paraId="376D5CF4" w14:textId="5BE03659">
            <w:pPr>
              <w:jc w:val="center"/>
              <w:rPr>
                <w:sz w:val="22"/>
                <w:szCs w:val="22"/>
              </w:rPr>
            </w:pPr>
            <w:r w:rsidRPr="00880C4C">
              <w:rPr>
                <w:sz w:val="22"/>
                <w:szCs w:val="22"/>
              </w:rPr>
              <w:t>$</w:t>
            </w:r>
            <w:r w:rsidR="00477FEF">
              <w:rPr>
                <w:sz w:val="22"/>
                <w:szCs w:val="22"/>
              </w:rPr>
              <w:t>70,027</w:t>
            </w:r>
          </w:p>
        </w:tc>
      </w:tr>
      <w:tr w14:paraId="2729292C" w14:textId="77777777" w:rsidTr="006168A6">
        <w:tblPrEx>
          <w:tblW w:w="0" w:type="auto"/>
          <w:tblLook w:val="04A0"/>
        </w:tblPrEx>
        <w:tc>
          <w:tcPr>
            <w:tcW w:w="1634" w:type="dxa"/>
          </w:tcPr>
          <w:p w:rsidR="00FB2C11" w:rsidP="00FB2C11" w14:paraId="3658ECB6" w14:textId="52A6D942">
            <w:pPr>
              <w:rPr>
                <w:sz w:val="24"/>
              </w:rPr>
            </w:pPr>
            <w:r w:rsidRPr="00FE070F">
              <w:rPr>
                <w:b/>
                <w:bCs/>
                <w:sz w:val="24"/>
              </w:rPr>
              <w:t>Contract Sterilizers</w:t>
            </w:r>
          </w:p>
        </w:tc>
        <w:tc>
          <w:tcPr>
            <w:tcW w:w="1231" w:type="dxa"/>
            <w:vAlign w:val="center"/>
          </w:tcPr>
          <w:p w:rsidR="00FB2C11" w:rsidRPr="00DD6395" w:rsidP="006168A6" w14:paraId="0C7DD8AA" w14:textId="03B3E03A">
            <w:pPr>
              <w:jc w:val="center"/>
              <w:rPr>
                <w:sz w:val="22"/>
                <w:szCs w:val="22"/>
              </w:rPr>
            </w:pPr>
            <w:r w:rsidRPr="00DD6395">
              <w:rPr>
                <w:sz w:val="22"/>
                <w:szCs w:val="22"/>
              </w:rPr>
              <w:t>209</w:t>
            </w:r>
          </w:p>
        </w:tc>
        <w:tc>
          <w:tcPr>
            <w:tcW w:w="1341" w:type="dxa"/>
            <w:vAlign w:val="center"/>
          </w:tcPr>
          <w:p w:rsidR="00FB2C11" w:rsidRPr="00DD6395" w:rsidP="006168A6" w14:paraId="52ED9D5E" w14:textId="426575C7">
            <w:pPr>
              <w:jc w:val="center"/>
              <w:rPr>
                <w:sz w:val="22"/>
                <w:szCs w:val="22"/>
              </w:rPr>
            </w:pPr>
            <w:r>
              <w:rPr>
                <w:sz w:val="22"/>
                <w:szCs w:val="22"/>
              </w:rPr>
              <w:t>75</w:t>
            </w:r>
            <w:r w:rsidRPr="00DD6395">
              <w:rPr>
                <w:sz w:val="22"/>
                <w:szCs w:val="22"/>
              </w:rPr>
              <w:t>%</w:t>
            </w:r>
          </w:p>
        </w:tc>
        <w:tc>
          <w:tcPr>
            <w:tcW w:w="1231" w:type="dxa"/>
            <w:vAlign w:val="center"/>
          </w:tcPr>
          <w:p w:rsidR="00FB2C11" w:rsidRPr="00DD6395" w:rsidP="006168A6" w14:paraId="00BAEE0D" w14:textId="0D3455BB">
            <w:pPr>
              <w:jc w:val="center"/>
              <w:rPr>
                <w:sz w:val="22"/>
                <w:szCs w:val="22"/>
              </w:rPr>
            </w:pPr>
            <w:r>
              <w:rPr>
                <w:sz w:val="22"/>
                <w:szCs w:val="22"/>
              </w:rPr>
              <w:t>157</w:t>
            </w:r>
          </w:p>
        </w:tc>
        <w:tc>
          <w:tcPr>
            <w:tcW w:w="1024" w:type="dxa"/>
            <w:vAlign w:val="center"/>
          </w:tcPr>
          <w:p w:rsidR="00FB2C11" w:rsidRPr="00DD6395" w:rsidP="006168A6" w14:paraId="1E4B2677" w14:textId="3C6F3E5B">
            <w:pPr>
              <w:jc w:val="center"/>
              <w:rPr>
                <w:sz w:val="22"/>
                <w:szCs w:val="22"/>
              </w:rPr>
            </w:pPr>
            <w:r w:rsidRPr="00DD6395">
              <w:rPr>
                <w:sz w:val="22"/>
                <w:szCs w:val="22"/>
              </w:rPr>
              <w:t>2</w:t>
            </w:r>
          </w:p>
        </w:tc>
        <w:tc>
          <w:tcPr>
            <w:tcW w:w="1009" w:type="dxa"/>
            <w:vAlign w:val="center"/>
          </w:tcPr>
          <w:p w:rsidR="00FB2C11" w:rsidRPr="00DD6395" w:rsidP="006168A6" w14:paraId="440F707C" w14:textId="3DFAD910">
            <w:pPr>
              <w:jc w:val="center"/>
              <w:rPr>
                <w:sz w:val="22"/>
                <w:szCs w:val="22"/>
              </w:rPr>
            </w:pPr>
            <w:r>
              <w:rPr>
                <w:sz w:val="22"/>
                <w:szCs w:val="22"/>
              </w:rPr>
              <w:t>314</w:t>
            </w:r>
          </w:p>
        </w:tc>
        <w:tc>
          <w:tcPr>
            <w:tcW w:w="1009" w:type="dxa"/>
            <w:vAlign w:val="center"/>
          </w:tcPr>
          <w:p w:rsidR="00FB2C11" w:rsidRPr="00DD6395" w:rsidP="006168A6" w14:paraId="1F5B0E71" w14:textId="4AC59DAB">
            <w:pPr>
              <w:jc w:val="center"/>
              <w:rPr>
                <w:sz w:val="22"/>
                <w:szCs w:val="22"/>
              </w:rPr>
            </w:pPr>
            <w:r w:rsidRPr="00DD6395">
              <w:rPr>
                <w:sz w:val="22"/>
                <w:szCs w:val="22"/>
              </w:rPr>
              <w:t>$43.12</w:t>
            </w:r>
          </w:p>
        </w:tc>
        <w:tc>
          <w:tcPr>
            <w:tcW w:w="871" w:type="dxa"/>
            <w:vAlign w:val="center"/>
          </w:tcPr>
          <w:p w:rsidR="00FB2C11" w:rsidRPr="00880C4C" w:rsidP="00FB2C11" w14:paraId="0345C87E" w14:textId="1AFF6063">
            <w:pPr>
              <w:rPr>
                <w:sz w:val="22"/>
                <w:szCs w:val="22"/>
              </w:rPr>
            </w:pPr>
            <w:r w:rsidRPr="00880C4C">
              <w:rPr>
                <w:sz w:val="22"/>
                <w:szCs w:val="22"/>
              </w:rPr>
              <w:t>$</w:t>
            </w:r>
            <w:r w:rsidR="00DC0366">
              <w:rPr>
                <w:sz w:val="22"/>
                <w:szCs w:val="22"/>
              </w:rPr>
              <w:t>13,540</w:t>
            </w:r>
          </w:p>
        </w:tc>
      </w:tr>
      <w:tr w14:paraId="15146CC8" w14:textId="77777777" w:rsidTr="000E0FEC">
        <w:tblPrEx>
          <w:tblW w:w="0" w:type="auto"/>
          <w:tblLook w:val="04A0"/>
        </w:tblPrEx>
        <w:tc>
          <w:tcPr>
            <w:tcW w:w="1634" w:type="dxa"/>
          </w:tcPr>
          <w:p w:rsidR="00C76709" w:rsidRPr="00000203" w:rsidP="00C76709" w14:paraId="711D3495" w14:textId="6A2EB356">
            <w:pPr>
              <w:rPr>
                <w:b/>
                <w:bCs/>
                <w:sz w:val="22"/>
                <w:szCs w:val="22"/>
              </w:rPr>
            </w:pPr>
            <w:r w:rsidRPr="00000203">
              <w:rPr>
                <w:b/>
                <w:bCs/>
                <w:sz w:val="22"/>
                <w:szCs w:val="22"/>
              </w:rPr>
              <w:t>Totals</w:t>
            </w:r>
          </w:p>
        </w:tc>
        <w:tc>
          <w:tcPr>
            <w:tcW w:w="1231" w:type="dxa"/>
          </w:tcPr>
          <w:p w:rsidR="00C76709" w:rsidRPr="00000203" w:rsidP="00C76709" w14:paraId="0877206F" w14:textId="77777777">
            <w:pPr>
              <w:rPr>
                <w:b/>
                <w:bCs/>
                <w:sz w:val="22"/>
                <w:szCs w:val="22"/>
              </w:rPr>
            </w:pPr>
          </w:p>
        </w:tc>
        <w:tc>
          <w:tcPr>
            <w:tcW w:w="1341" w:type="dxa"/>
          </w:tcPr>
          <w:p w:rsidR="00C76709" w:rsidRPr="00000203" w:rsidP="00C76709" w14:paraId="5D23EFCE" w14:textId="77777777">
            <w:pPr>
              <w:rPr>
                <w:b/>
                <w:bCs/>
                <w:sz w:val="22"/>
                <w:szCs w:val="22"/>
              </w:rPr>
            </w:pPr>
          </w:p>
        </w:tc>
        <w:tc>
          <w:tcPr>
            <w:tcW w:w="1231" w:type="dxa"/>
            <w:vAlign w:val="center"/>
          </w:tcPr>
          <w:p w:rsidR="00C76709" w:rsidRPr="00000203" w:rsidP="000E0FEC" w14:paraId="46B3957E" w14:textId="353FBE71">
            <w:pPr>
              <w:jc w:val="center"/>
              <w:rPr>
                <w:b/>
                <w:bCs/>
                <w:sz w:val="22"/>
                <w:szCs w:val="22"/>
              </w:rPr>
            </w:pPr>
            <w:r>
              <w:rPr>
                <w:b/>
                <w:bCs/>
                <w:sz w:val="22"/>
                <w:szCs w:val="22"/>
              </w:rPr>
              <w:t>23,180</w:t>
            </w:r>
          </w:p>
        </w:tc>
        <w:tc>
          <w:tcPr>
            <w:tcW w:w="1024" w:type="dxa"/>
            <w:vAlign w:val="center"/>
          </w:tcPr>
          <w:p w:rsidR="00C76709" w:rsidRPr="00000203" w:rsidP="000E0FEC" w14:paraId="727ACC93" w14:textId="77777777">
            <w:pPr>
              <w:jc w:val="center"/>
              <w:rPr>
                <w:b/>
                <w:bCs/>
                <w:sz w:val="22"/>
                <w:szCs w:val="22"/>
              </w:rPr>
            </w:pPr>
          </w:p>
        </w:tc>
        <w:tc>
          <w:tcPr>
            <w:tcW w:w="1009" w:type="dxa"/>
            <w:vAlign w:val="center"/>
          </w:tcPr>
          <w:p w:rsidR="00C76709" w:rsidRPr="00000203" w:rsidP="000E0FEC" w14:paraId="6C072061" w14:textId="4FDA39D9">
            <w:pPr>
              <w:jc w:val="center"/>
              <w:rPr>
                <w:b/>
                <w:bCs/>
                <w:sz w:val="22"/>
                <w:szCs w:val="22"/>
              </w:rPr>
            </w:pPr>
            <w:r>
              <w:rPr>
                <w:b/>
                <w:bCs/>
                <w:sz w:val="22"/>
                <w:szCs w:val="22"/>
              </w:rPr>
              <w:t>21,534</w:t>
            </w:r>
          </w:p>
        </w:tc>
        <w:tc>
          <w:tcPr>
            <w:tcW w:w="1009" w:type="dxa"/>
            <w:vAlign w:val="center"/>
          </w:tcPr>
          <w:p w:rsidR="00C76709" w:rsidRPr="00000203" w:rsidP="000E0FEC" w14:paraId="6872288A" w14:textId="77777777">
            <w:pPr>
              <w:jc w:val="center"/>
              <w:rPr>
                <w:b/>
                <w:bCs/>
                <w:sz w:val="22"/>
                <w:szCs w:val="22"/>
              </w:rPr>
            </w:pPr>
          </w:p>
        </w:tc>
        <w:tc>
          <w:tcPr>
            <w:tcW w:w="871" w:type="dxa"/>
            <w:vAlign w:val="center"/>
          </w:tcPr>
          <w:p w:rsidR="00C76709" w:rsidRPr="00000203" w:rsidP="000E0FEC" w14:paraId="7E8A2759" w14:textId="099F050B">
            <w:pPr>
              <w:jc w:val="center"/>
              <w:rPr>
                <w:b/>
                <w:bCs/>
                <w:sz w:val="22"/>
                <w:szCs w:val="22"/>
              </w:rPr>
            </w:pPr>
            <w:r>
              <w:rPr>
                <w:b/>
                <w:bCs/>
                <w:sz w:val="22"/>
                <w:szCs w:val="22"/>
              </w:rPr>
              <w:t>$</w:t>
            </w:r>
            <w:r w:rsidR="00D216B1">
              <w:rPr>
                <w:b/>
                <w:bCs/>
                <w:sz w:val="22"/>
                <w:szCs w:val="22"/>
              </w:rPr>
              <w:t>928,546</w:t>
            </w:r>
          </w:p>
        </w:tc>
      </w:tr>
    </w:tbl>
    <w:p w:rsidR="00146681" w:rsidP="00A95EBF" w14:paraId="0B6C7004" w14:textId="7CA4002F">
      <w:pPr>
        <w:rPr>
          <w:sz w:val="24"/>
        </w:rPr>
      </w:pPr>
    </w:p>
    <w:p w:rsidR="00A0366C" w:rsidP="009C3237" w14:paraId="332CEE93" w14:textId="77777777">
      <w:pPr>
        <w:widowControl/>
        <w:rPr>
          <w:b/>
          <w:sz w:val="24"/>
        </w:rPr>
      </w:pPr>
    </w:p>
    <w:p w:rsidR="009C3237" w:rsidRPr="00A95EBF" w:rsidP="009C3237" w14:paraId="6A433110" w14:textId="41DC1560">
      <w:pPr>
        <w:widowControl/>
        <w:rPr>
          <w:sz w:val="24"/>
        </w:rPr>
      </w:pPr>
      <w:r w:rsidRPr="00565389">
        <w:rPr>
          <w:b/>
          <w:sz w:val="24"/>
        </w:rPr>
        <w:t>Additional Medical Examinations</w:t>
      </w:r>
    </w:p>
    <w:p w:rsidR="009C3237" w:rsidRPr="00565389" w:rsidP="009C3237" w14:paraId="2EBE327E" w14:textId="77777777">
      <w:pPr>
        <w:widowControl/>
        <w:rPr>
          <w:sz w:val="24"/>
        </w:rPr>
      </w:pPr>
    </w:p>
    <w:p w:rsidR="009C3237" w:rsidRPr="00565389" w:rsidP="009C3237" w14:paraId="51A3D308" w14:textId="658B4F45">
      <w:pPr>
        <w:widowControl/>
        <w:rPr>
          <w:sz w:val="24"/>
        </w:rPr>
      </w:pPr>
      <w:r w:rsidRPr="00565389">
        <w:rPr>
          <w:sz w:val="24"/>
        </w:rPr>
        <w:t>Employers must also provide workers with the following additional medical examinations:  After exposure to an emergency situation; on termination of employment or reassignment to a work area with EtO exposures below the AL; after developing signs or symptoms of possible EtO exposure; if they desire medical advice concerning their reproductive ability; or as indicated by the examining physician.  For the purposes of this ICR, OSHA assumes that 1 percent of the 3</w:t>
      </w:r>
      <w:r w:rsidR="00A95EBF">
        <w:rPr>
          <w:sz w:val="24"/>
        </w:rPr>
        <w:t>0,906</w:t>
      </w:r>
      <w:r w:rsidRPr="00565389">
        <w:rPr>
          <w:sz w:val="24"/>
        </w:rPr>
        <w:t xml:space="preserve"> exposed workers will require an additional medical examination each year.  Hospitals using EtO sterilizers employ 22,</w:t>
      </w:r>
      <w:r w:rsidR="00A95EBF">
        <w:rPr>
          <w:sz w:val="24"/>
        </w:rPr>
        <w:t>026</w:t>
      </w:r>
      <w:r w:rsidRPr="00565389">
        <w:rPr>
          <w:sz w:val="24"/>
        </w:rPr>
        <w:t xml:space="preserve"> of these workers, while the other industry sectors covered by the Standard employ the remaining </w:t>
      </w:r>
      <w:r w:rsidR="0006617D">
        <w:rPr>
          <w:sz w:val="24"/>
        </w:rPr>
        <w:t>8,838</w:t>
      </w:r>
      <w:r w:rsidRPr="00565389">
        <w:rPr>
          <w:sz w:val="24"/>
        </w:rPr>
        <w:t xml:space="preserve"> workers; 1% of the workers in the hospital and non-hospital sectors would be </w:t>
      </w:r>
      <w:r w:rsidR="0006617D">
        <w:rPr>
          <w:sz w:val="24"/>
        </w:rPr>
        <w:t>221</w:t>
      </w:r>
      <w:r w:rsidRPr="00565389">
        <w:rPr>
          <w:sz w:val="24"/>
        </w:rPr>
        <w:t xml:space="preserve"> and </w:t>
      </w:r>
      <w:r w:rsidR="0006617D">
        <w:rPr>
          <w:sz w:val="24"/>
        </w:rPr>
        <w:t>88</w:t>
      </w:r>
      <w:r w:rsidRPr="00565389">
        <w:rPr>
          <w:sz w:val="24"/>
        </w:rPr>
        <w:t xml:space="preserve"> workers, respectively.  OSHA used the same "lost time" estimates for these medical examinations that it used for the initial and periodic medical examinations (i.e., 2 hours for non-hospital workers and 30 minutes (30/60 hours) for hospital workers).   </w:t>
      </w:r>
    </w:p>
    <w:p w:rsidR="009C3237" w:rsidRPr="00565389" w:rsidP="009C3237" w14:paraId="14E3A9C8" w14:textId="77777777">
      <w:pPr>
        <w:jc w:val="center"/>
        <w:rPr>
          <w:b/>
          <w:sz w:val="24"/>
        </w:rPr>
      </w:pPr>
    </w:p>
    <w:p w:rsidR="009C3237" w:rsidRPr="00565389" w:rsidP="009C3237" w14:paraId="7CF52941" w14:textId="026EA533">
      <w:pPr>
        <w:widowControl/>
        <w:ind w:left="1440"/>
        <w:rPr>
          <w:sz w:val="24"/>
        </w:rPr>
      </w:pPr>
      <w:r w:rsidRPr="00565389">
        <w:rPr>
          <w:b/>
          <w:bCs/>
          <w:sz w:val="24"/>
        </w:rPr>
        <w:t>Burden hours</w:t>
      </w:r>
      <w:r w:rsidRPr="00565389" w:rsidR="003C797A">
        <w:rPr>
          <w:sz w:val="24"/>
        </w:rPr>
        <w:t>: (</w:t>
      </w:r>
      <w:r w:rsidR="00554C82">
        <w:rPr>
          <w:sz w:val="24"/>
        </w:rPr>
        <w:t>88</w:t>
      </w:r>
      <w:r w:rsidRPr="00565389">
        <w:rPr>
          <w:sz w:val="24"/>
        </w:rPr>
        <w:t xml:space="preserve"> medical examinations x 2 hours) + (221 medical </w:t>
      </w:r>
    </w:p>
    <w:p w:rsidR="009C3237" w:rsidRPr="00565389" w:rsidP="009C3237" w14:paraId="643CAD61" w14:textId="4AB7EA73">
      <w:pPr>
        <w:widowControl/>
        <w:ind w:left="1440"/>
        <w:rPr>
          <w:sz w:val="24"/>
        </w:rPr>
      </w:pPr>
      <w:r w:rsidRPr="00565389">
        <w:rPr>
          <w:b/>
          <w:bCs/>
          <w:sz w:val="24"/>
        </w:rPr>
        <w:tab/>
      </w:r>
      <w:r w:rsidRPr="00565389">
        <w:rPr>
          <w:b/>
          <w:bCs/>
          <w:sz w:val="24"/>
        </w:rPr>
        <w:tab/>
        <w:t xml:space="preserve">   </w:t>
      </w:r>
      <w:r w:rsidRPr="00565389">
        <w:rPr>
          <w:sz w:val="24"/>
        </w:rPr>
        <w:t xml:space="preserve">examinations x 30/60 hours) = </w:t>
      </w:r>
      <w:r w:rsidR="0006617D">
        <w:rPr>
          <w:sz w:val="24"/>
        </w:rPr>
        <w:t>287</w:t>
      </w:r>
      <w:r w:rsidRPr="00565389">
        <w:rPr>
          <w:sz w:val="24"/>
        </w:rPr>
        <w:t xml:space="preserve"> hours</w:t>
      </w:r>
    </w:p>
    <w:p w:rsidR="009C3237" w:rsidRPr="00565389" w:rsidP="009C3237" w14:paraId="06D44B5E" w14:textId="77777777">
      <w:pPr>
        <w:widowControl/>
        <w:ind w:left="720"/>
        <w:rPr>
          <w:b/>
          <w:bCs/>
          <w:sz w:val="24"/>
        </w:rPr>
      </w:pPr>
    </w:p>
    <w:p w:rsidR="009C3237" w:rsidRPr="00565389" w:rsidP="009C3237" w14:paraId="195C028F" w14:textId="25331444">
      <w:pPr>
        <w:widowControl/>
        <w:ind w:left="1440" w:firstLine="720"/>
        <w:rPr>
          <w:sz w:val="24"/>
        </w:rPr>
      </w:pPr>
      <w:r w:rsidRPr="00565389">
        <w:rPr>
          <w:b/>
          <w:bCs/>
          <w:sz w:val="24"/>
        </w:rPr>
        <w:t xml:space="preserve">   Cost</w:t>
      </w:r>
      <w:r w:rsidRPr="00565389">
        <w:rPr>
          <w:sz w:val="24"/>
        </w:rPr>
        <w:t xml:space="preserve">:  </w:t>
      </w:r>
      <w:r w:rsidR="0006617D">
        <w:rPr>
          <w:sz w:val="24"/>
        </w:rPr>
        <w:t>287</w:t>
      </w:r>
      <w:r w:rsidRPr="00565389">
        <w:rPr>
          <w:sz w:val="24"/>
        </w:rPr>
        <w:t xml:space="preserve"> hours x $</w:t>
      </w:r>
      <w:r w:rsidR="00565B7F">
        <w:rPr>
          <w:sz w:val="24"/>
        </w:rPr>
        <w:t>43.12</w:t>
      </w:r>
      <w:r w:rsidRPr="00565389">
        <w:rPr>
          <w:sz w:val="24"/>
        </w:rPr>
        <w:t>= $</w:t>
      </w:r>
      <w:r w:rsidR="00565B7F">
        <w:rPr>
          <w:sz w:val="24"/>
        </w:rPr>
        <w:t xml:space="preserve"> 12,375 </w:t>
      </w:r>
    </w:p>
    <w:p w:rsidR="0056485B" w:rsidP="009C3237" w14:paraId="14A030E9" w14:textId="77777777">
      <w:pPr>
        <w:widowControl/>
        <w:rPr>
          <w:sz w:val="24"/>
        </w:rPr>
      </w:pPr>
    </w:p>
    <w:p w:rsidR="009C3237" w:rsidRPr="00565389" w:rsidP="009C3237" w14:paraId="79DADE45" w14:textId="3F254A4D">
      <w:pPr>
        <w:widowControl/>
        <w:rPr>
          <w:sz w:val="24"/>
        </w:rPr>
      </w:pPr>
      <w:r w:rsidRPr="00565389">
        <w:rPr>
          <w:sz w:val="24"/>
        </w:rPr>
        <w:t xml:space="preserve">Note total responses = </w:t>
      </w:r>
      <w:r w:rsidR="0006617D">
        <w:rPr>
          <w:sz w:val="24"/>
        </w:rPr>
        <w:t xml:space="preserve">309 </w:t>
      </w:r>
    </w:p>
    <w:p w:rsidR="009C3237" w:rsidRPr="00565389" w:rsidP="009C3237" w14:paraId="5C8DF15B" w14:textId="77777777">
      <w:pPr>
        <w:widowControl/>
        <w:rPr>
          <w:sz w:val="24"/>
        </w:rPr>
      </w:pPr>
    </w:p>
    <w:p w:rsidR="009C3237" w:rsidRPr="00565389" w:rsidP="009C3237" w14:paraId="4C71064D" w14:textId="77777777">
      <w:pPr>
        <w:widowControl/>
        <w:rPr>
          <w:sz w:val="24"/>
        </w:rPr>
      </w:pPr>
      <w:r w:rsidRPr="00565389">
        <w:rPr>
          <w:sz w:val="24"/>
        </w:rPr>
        <w:t>In summary, the total burden hours and cost for the lost time accrued by workers who take the various medical examinations required by the Standard are:</w:t>
      </w:r>
    </w:p>
    <w:p w:rsidR="009C3237" w:rsidRPr="00565389" w:rsidP="009C3237" w14:paraId="270B9470" w14:textId="77777777">
      <w:pPr>
        <w:widowControl/>
        <w:rPr>
          <w:sz w:val="24"/>
        </w:rPr>
      </w:pPr>
    </w:p>
    <w:p w:rsidR="009C3237" w:rsidRPr="00565389" w:rsidP="009C3237" w14:paraId="024A45B6" w14:textId="77777777">
      <w:pPr>
        <w:widowControl/>
        <w:ind w:left="720" w:firstLine="720"/>
        <w:rPr>
          <w:b/>
          <w:bCs/>
          <w:sz w:val="24"/>
        </w:rPr>
      </w:pPr>
    </w:p>
    <w:p w:rsidR="009C3237" w:rsidRPr="00565389" w:rsidP="009C3237" w14:paraId="7661135B" w14:textId="4820E9B7">
      <w:pPr>
        <w:widowControl/>
        <w:ind w:left="720" w:firstLine="720"/>
        <w:rPr>
          <w:sz w:val="24"/>
        </w:rPr>
      </w:pPr>
      <w:r w:rsidRPr="00565389">
        <w:rPr>
          <w:b/>
          <w:bCs/>
          <w:sz w:val="24"/>
        </w:rPr>
        <w:t>Burden hours</w:t>
      </w:r>
      <w:r w:rsidRPr="00565389">
        <w:rPr>
          <w:sz w:val="24"/>
        </w:rPr>
        <w:t xml:space="preserve">:  Initial medical examinations =                 </w:t>
      </w:r>
      <w:r w:rsidR="0006617D">
        <w:rPr>
          <w:sz w:val="24"/>
        </w:rPr>
        <w:t>643</w:t>
      </w:r>
      <w:r w:rsidRPr="00565389">
        <w:rPr>
          <w:sz w:val="24"/>
        </w:rPr>
        <w:t xml:space="preserve">      </w:t>
      </w:r>
    </w:p>
    <w:p w:rsidR="009C3237" w:rsidRPr="00565389" w:rsidP="009C3237" w14:paraId="05308BC4" w14:textId="526B5C6C">
      <w:pPr>
        <w:widowControl/>
        <w:ind w:firstLine="720"/>
        <w:rPr>
          <w:sz w:val="24"/>
        </w:rPr>
      </w:pPr>
      <w:r w:rsidRPr="00565389">
        <w:rPr>
          <w:sz w:val="24"/>
        </w:rPr>
        <w:t xml:space="preserve">                          </w:t>
      </w:r>
      <w:r w:rsidRPr="00565389">
        <w:rPr>
          <w:sz w:val="24"/>
        </w:rPr>
        <w:tab/>
        <w:t xml:space="preserve">  Periodic medical examinations =         2</w:t>
      </w:r>
      <w:r w:rsidR="0006617D">
        <w:rPr>
          <w:sz w:val="24"/>
        </w:rPr>
        <w:t>1,533</w:t>
      </w:r>
      <w:r w:rsidRPr="00565389">
        <w:rPr>
          <w:sz w:val="24"/>
        </w:rPr>
        <w:t xml:space="preserve">  </w:t>
      </w:r>
    </w:p>
    <w:p w:rsidR="009C3237" w:rsidRPr="00565389" w:rsidP="009C3237" w14:paraId="326E926E" w14:textId="54DD8F11">
      <w:pPr>
        <w:widowControl/>
        <w:ind w:firstLine="2160"/>
        <w:rPr>
          <w:sz w:val="24"/>
          <w:u w:val="single"/>
        </w:rPr>
      </w:pPr>
      <w:r w:rsidRPr="00565389">
        <w:rPr>
          <w:sz w:val="24"/>
        </w:rPr>
        <w:t xml:space="preserve">   </w:t>
      </w:r>
      <w:r w:rsidRPr="00565389">
        <w:rPr>
          <w:sz w:val="24"/>
        </w:rPr>
        <w:tab/>
        <w:t xml:space="preserve">  Additional medical examinations =  </w:t>
      </w:r>
      <w:r w:rsidRPr="00565389">
        <w:rPr>
          <w:sz w:val="24"/>
          <w:u w:val="single"/>
        </w:rPr>
        <w:t xml:space="preserve">        </w:t>
      </w:r>
      <w:r w:rsidR="0006617D">
        <w:rPr>
          <w:sz w:val="24"/>
          <w:u w:val="single"/>
        </w:rPr>
        <w:t>287</w:t>
      </w:r>
    </w:p>
    <w:p w:rsidR="009C3237" w:rsidRPr="00565389" w:rsidP="009C3237" w14:paraId="56F45097" w14:textId="3F2A5E56">
      <w:pPr>
        <w:widowControl/>
        <w:ind w:firstLine="2160"/>
        <w:rPr>
          <w:sz w:val="24"/>
        </w:rPr>
      </w:pPr>
      <w:r w:rsidRPr="00565389">
        <w:rPr>
          <w:sz w:val="24"/>
        </w:rPr>
        <w:tab/>
      </w:r>
      <w:r w:rsidRPr="00565389">
        <w:rPr>
          <w:sz w:val="24"/>
        </w:rPr>
        <w:tab/>
      </w:r>
      <w:r w:rsidRPr="00565389">
        <w:rPr>
          <w:sz w:val="24"/>
        </w:rPr>
        <w:tab/>
      </w:r>
      <w:r w:rsidRPr="00565389">
        <w:rPr>
          <w:sz w:val="24"/>
        </w:rPr>
        <w:tab/>
        <w:t xml:space="preserve">           Total:       2</w:t>
      </w:r>
      <w:r w:rsidR="0006617D">
        <w:rPr>
          <w:sz w:val="24"/>
        </w:rPr>
        <w:t>2,463</w:t>
      </w:r>
    </w:p>
    <w:p w:rsidR="009C3237" w:rsidRPr="00565389" w:rsidP="009C3237" w14:paraId="75C48765" w14:textId="77777777">
      <w:pPr>
        <w:widowControl/>
        <w:rPr>
          <w:sz w:val="24"/>
        </w:rPr>
      </w:pPr>
    </w:p>
    <w:p w:rsidR="009C3237" w:rsidRPr="00565389" w:rsidP="009C3237" w14:paraId="0F8B2608" w14:textId="4DF80CD5">
      <w:pPr>
        <w:widowControl/>
        <w:ind w:firstLine="720"/>
        <w:rPr>
          <w:sz w:val="24"/>
        </w:rPr>
      </w:pPr>
      <w:r w:rsidRPr="00565389">
        <w:rPr>
          <w:b/>
          <w:bCs/>
          <w:sz w:val="24"/>
        </w:rPr>
        <w:t xml:space="preserve">       </w:t>
      </w:r>
      <w:r w:rsidRPr="00565389">
        <w:rPr>
          <w:b/>
          <w:bCs/>
          <w:sz w:val="24"/>
        </w:rPr>
        <w:tab/>
        <w:t xml:space="preserve">    </w:t>
      </w:r>
      <w:r w:rsidRPr="00565389">
        <w:rPr>
          <w:b/>
          <w:bCs/>
          <w:sz w:val="24"/>
        </w:rPr>
        <w:tab/>
        <w:t xml:space="preserve">   Cost</w:t>
      </w:r>
      <w:r w:rsidRPr="00565389">
        <w:rPr>
          <w:sz w:val="24"/>
        </w:rPr>
        <w:t>:  Initial medical examinations =              $</w:t>
      </w:r>
      <w:r w:rsidR="00565B7F">
        <w:rPr>
          <w:sz w:val="24"/>
        </w:rPr>
        <w:t>27,737</w:t>
      </w:r>
    </w:p>
    <w:p w:rsidR="009C3237" w:rsidRPr="00565389" w:rsidP="009C3237" w14:paraId="683EA997" w14:textId="40111707">
      <w:pPr>
        <w:widowControl/>
        <w:ind w:firstLine="720"/>
        <w:rPr>
          <w:sz w:val="24"/>
        </w:rPr>
      </w:pPr>
      <w:r w:rsidRPr="00565389">
        <w:rPr>
          <w:sz w:val="24"/>
        </w:rPr>
        <w:t xml:space="preserve">                           </w:t>
      </w:r>
      <w:r w:rsidRPr="00565389">
        <w:rPr>
          <w:sz w:val="24"/>
        </w:rPr>
        <w:tab/>
        <w:t xml:space="preserve">  Periodic medical examinations =         $</w:t>
      </w:r>
      <w:r w:rsidR="00565B7F">
        <w:rPr>
          <w:bCs/>
          <w:sz w:val="24"/>
        </w:rPr>
        <w:t xml:space="preserve"> 928,546</w:t>
      </w:r>
    </w:p>
    <w:p w:rsidR="009C3237" w:rsidRPr="00565389" w:rsidP="009C3237" w14:paraId="46FCF7E5" w14:textId="6AAD449A">
      <w:pPr>
        <w:widowControl/>
        <w:ind w:left="2160"/>
        <w:rPr>
          <w:sz w:val="24"/>
        </w:rPr>
      </w:pPr>
      <w:r w:rsidRPr="00565389">
        <w:rPr>
          <w:sz w:val="24"/>
        </w:rPr>
        <w:t xml:space="preserve">   </w:t>
      </w:r>
      <w:r w:rsidRPr="00565389">
        <w:rPr>
          <w:sz w:val="24"/>
        </w:rPr>
        <w:tab/>
        <w:t xml:space="preserve">  Additional medical examinations =       </w:t>
      </w:r>
      <w:r w:rsidRPr="00565389">
        <w:rPr>
          <w:sz w:val="24"/>
          <w:u w:val="single"/>
        </w:rPr>
        <w:t>$</w:t>
      </w:r>
      <w:r w:rsidR="00565B7F">
        <w:rPr>
          <w:sz w:val="24"/>
          <w:u w:val="single"/>
        </w:rPr>
        <w:t>12,375</w:t>
      </w:r>
    </w:p>
    <w:p w:rsidR="009C3237" w:rsidRPr="00565389" w:rsidP="009C3237" w14:paraId="71BEF790" w14:textId="503B8B3C">
      <w:pPr>
        <w:widowControl/>
        <w:ind w:firstLine="1440"/>
        <w:rPr>
          <w:b/>
          <w:sz w:val="24"/>
        </w:rPr>
      </w:pPr>
      <w:r w:rsidRPr="00565389">
        <w:rPr>
          <w:sz w:val="24"/>
        </w:rPr>
        <w:t xml:space="preserve">                            </w:t>
      </w:r>
      <w:r w:rsidRPr="00565389">
        <w:rPr>
          <w:sz w:val="24"/>
        </w:rPr>
        <w:tab/>
        <w:t xml:space="preserve"> </w:t>
      </w:r>
      <w:r w:rsidRPr="00565389">
        <w:rPr>
          <w:sz w:val="24"/>
        </w:rPr>
        <w:tab/>
      </w:r>
      <w:r w:rsidRPr="00565389">
        <w:rPr>
          <w:sz w:val="24"/>
        </w:rPr>
        <w:tab/>
      </w:r>
      <w:r w:rsidRPr="00565389">
        <w:rPr>
          <w:sz w:val="24"/>
        </w:rPr>
        <w:tab/>
        <w:t>Total:      $</w:t>
      </w:r>
      <w:r w:rsidR="00565B7F">
        <w:rPr>
          <w:sz w:val="24"/>
        </w:rPr>
        <w:t xml:space="preserve"> </w:t>
      </w:r>
      <w:r w:rsidR="00D056C6">
        <w:rPr>
          <w:sz w:val="24"/>
        </w:rPr>
        <w:t>968,658</w:t>
      </w:r>
    </w:p>
    <w:p w:rsidR="009C3237" w:rsidRPr="00565389" w:rsidP="009C3237" w14:paraId="462C3451" w14:textId="77777777">
      <w:pPr>
        <w:rPr>
          <w:sz w:val="24"/>
        </w:rPr>
      </w:pPr>
      <w:r w:rsidRPr="00565389">
        <w:rPr>
          <w:sz w:val="24"/>
          <w:u w:val="single"/>
        </w:rPr>
        <w:t>Information provided to the physician</w:t>
      </w:r>
      <w:r w:rsidRPr="00565389">
        <w:rPr>
          <w:sz w:val="24"/>
        </w:rPr>
        <w:t xml:space="preserve"> (§1910.1047(i)(3))</w:t>
      </w:r>
    </w:p>
    <w:p w:rsidR="009C3237" w:rsidRPr="00565389" w:rsidP="009C3237" w14:paraId="28DFDB92" w14:textId="77777777">
      <w:pPr>
        <w:rPr>
          <w:sz w:val="24"/>
        </w:rPr>
      </w:pPr>
    </w:p>
    <w:p w:rsidR="009C3237" w:rsidRPr="00565389" w:rsidP="009C3237" w14:paraId="2EF74935" w14:textId="18F89FF5">
      <w:pPr>
        <w:pStyle w:val="BodyText"/>
        <w:tabs>
          <w:tab w:val="left" w:pos="1620"/>
        </w:tabs>
      </w:pPr>
      <w:r w:rsidRPr="00565389">
        <w:t>Employers must provide the examining physicians with specific information on each worker who receives a medical examination.  Accordingly, the 2,</w:t>
      </w:r>
      <w:r w:rsidR="0006617D">
        <w:t>026</w:t>
      </w:r>
      <w:r w:rsidRPr="00565389">
        <w:t xml:space="preserve"> facilities covered by the Standard must administer a total of 2</w:t>
      </w:r>
      <w:r w:rsidR="0006617D">
        <w:t>3,811</w:t>
      </w:r>
      <w:r w:rsidRPr="00565389">
        <w:t xml:space="preserve"> medical examinations to their workers each year (i.e., </w:t>
      </w:r>
      <w:r w:rsidR="0006617D">
        <w:t>322</w:t>
      </w:r>
      <w:r w:rsidRPr="00565389">
        <w:t xml:space="preserve"> initial </w:t>
      </w:r>
      <w:r w:rsidRPr="00565389">
        <w:t>medical examinations</w:t>
      </w:r>
      <w:r>
        <w:rPr>
          <w:rStyle w:val="FootnoteReference"/>
          <w:vertAlign w:val="superscript"/>
        </w:rPr>
        <w:footnoteReference w:id="8"/>
      </w:r>
      <w:r w:rsidRPr="00565389">
        <w:t xml:space="preserve"> + 23,</w:t>
      </w:r>
      <w:r w:rsidR="0006617D">
        <w:t>180</w:t>
      </w:r>
      <w:r w:rsidRPr="00565389">
        <w:t xml:space="preserve"> periodic medical examinations</w:t>
      </w:r>
      <w:r>
        <w:rPr>
          <w:rStyle w:val="FootnoteReference"/>
          <w:vertAlign w:val="superscript"/>
        </w:rPr>
        <w:footnoteReference w:id="9"/>
      </w:r>
      <w:r w:rsidRPr="00565389">
        <w:t xml:space="preserve"> + 3</w:t>
      </w:r>
      <w:r w:rsidR="0006617D">
        <w:t>09</w:t>
      </w:r>
      <w:r w:rsidRPr="00565389">
        <w:t xml:space="preserve"> additional medical examinations</w:t>
      </w:r>
      <w:r>
        <w:rPr>
          <w:rStyle w:val="FootnoteReference"/>
          <w:vertAlign w:val="superscript"/>
        </w:rPr>
        <w:footnoteReference w:id="10"/>
      </w:r>
      <w:r w:rsidRPr="00565389">
        <w:t>).  The Agency assumes that, for each medical examination administered to a worker, a secretary requires 5 minutes (5/60 hour) to compile the information and provide it to the physician.</w:t>
      </w:r>
    </w:p>
    <w:p w:rsidR="009C3237" w:rsidRPr="00565389" w:rsidP="009C3237" w14:paraId="5FC02F93" w14:textId="77777777">
      <w:pPr>
        <w:ind w:left="720" w:firstLine="720"/>
        <w:rPr>
          <w:b/>
          <w:bCs/>
          <w:sz w:val="24"/>
        </w:rPr>
      </w:pPr>
    </w:p>
    <w:p w:rsidR="009C3237" w:rsidRPr="00565389" w:rsidP="009C3237" w14:paraId="6AEDF284" w14:textId="301A9534">
      <w:pPr>
        <w:ind w:left="720" w:firstLine="720"/>
        <w:rPr>
          <w:sz w:val="24"/>
        </w:rPr>
      </w:pPr>
      <w:r w:rsidRPr="00565389">
        <w:rPr>
          <w:b/>
          <w:bCs/>
          <w:sz w:val="24"/>
        </w:rPr>
        <w:t>Burden hours</w:t>
      </w:r>
      <w:r w:rsidRPr="00565389">
        <w:rPr>
          <w:sz w:val="24"/>
        </w:rPr>
        <w:t>:  2</w:t>
      </w:r>
      <w:r w:rsidR="00642AF0">
        <w:rPr>
          <w:sz w:val="24"/>
        </w:rPr>
        <w:t>3,</w:t>
      </w:r>
      <w:r w:rsidR="00554C82">
        <w:rPr>
          <w:sz w:val="24"/>
        </w:rPr>
        <w:t>81</w:t>
      </w:r>
      <w:r w:rsidR="00642AF0">
        <w:rPr>
          <w:sz w:val="24"/>
        </w:rPr>
        <w:t>1</w:t>
      </w:r>
      <w:r w:rsidRPr="00565389">
        <w:rPr>
          <w:sz w:val="24"/>
        </w:rPr>
        <w:t xml:space="preserve"> medical examinations x 5/60 hour = </w:t>
      </w:r>
      <w:r w:rsidR="00642AF0">
        <w:rPr>
          <w:sz w:val="24"/>
        </w:rPr>
        <w:t>1,984</w:t>
      </w:r>
      <w:r w:rsidRPr="00565389">
        <w:rPr>
          <w:sz w:val="24"/>
        </w:rPr>
        <w:t xml:space="preserve"> hours</w:t>
      </w:r>
    </w:p>
    <w:p w:rsidR="009C3237" w:rsidRPr="00565389" w:rsidP="009C3237" w14:paraId="457DA32B" w14:textId="027F0111">
      <w:pPr>
        <w:ind w:left="720" w:firstLine="1440"/>
        <w:rPr>
          <w:sz w:val="24"/>
        </w:rPr>
      </w:pPr>
      <w:r w:rsidRPr="00565389">
        <w:rPr>
          <w:b/>
          <w:bCs/>
          <w:sz w:val="24"/>
        </w:rPr>
        <w:t xml:space="preserve">    Cost</w:t>
      </w:r>
      <w:r w:rsidRPr="00565389">
        <w:rPr>
          <w:sz w:val="24"/>
        </w:rPr>
        <w:t xml:space="preserve">:  </w:t>
      </w:r>
      <w:r w:rsidR="00642AF0">
        <w:rPr>
          <w:sz w:val="24"/>
        </w:rPr>
        <w:t xml:space="preserve">1,984 </w:t>
      </w:r>
      <w:r w:rsidRPr="00565389">
        <w:rPr>
          <w:sz w:val="24"/>
        </w:rPr>
        <w:t>hours x $</w:t>
      </w:r>
      <w:r w:rsidR="0099106F">
        <w:rPr>
          <w:sz w:val="24"/>
        </w:rPr>
        <w:t xml:space="preserve"> 29.60</w:t>
      </w:r>
      <w:r w:rsidRPr="00565389">
        <w:rPr>
          <w:sz w:val="24"/>
        </w:rPr>
        <w:t xml:space="preserve"> = $</w:t>
      </w:r>
      <w:r w:rsidR="0099106F">
        <w:rPr>
          <w:sz w:val="24"/>
        </w:rPr>
        <w:t>58,72</w:t>
      </w:r>
      <w:r w:rsidR="00C56856">
        <w:rPr>
          <w:sz w:val="24"/>
        </w:rPr>
        <w:t>6</w:t>
      </w:r>
    </w:p>
    <w:p w:rsidR="009C3237" w:rsidRPr="00565389" w:rsidP="009C3237" w14:paraId="7FE99424" w14:textId="77777777">
      <w:pPr>
        <w:rPr>
          <w:sz w:val="24"/>
        </w:rPr>
      </w:pPr>
    </w:p>
    <w:p w:rsidR="00554C82" w:rsidP="009C3237" w14:paraId="02693DD4" w14:textId="77777777">
      <w:pPr>
        <w:rPr>
          <w:sz w:val="24"/>
          <w:u w:val="single"/>
        </w:rPr>
      </w:pPr>
    </w:p>
    <w:p w:rsidR="003C797A" w:rsidP="009C3237" w14:paraId="2BE94941" w14:textId="77777777">
      <w:pPr>
        <w:rPr>
          <w:sz w:val="24"/>
          <w:u w:val="single"/>
        </w:rPr>
      </w:pPr>
    </w:p>
    <w:p w:rsidR="003C797A" w:rsidP="009C3237" w14:paraId="73ECD7F0" w14:textId="77777777">
      <w:pPr>
        <w:rPr>
          <w:sz w:val="24"/>
          <w:u w:val="single"/>
        </w:rPr>
      </w:pPr>
    </w:p>
    <w:p w:rsidR="009C3237" w:rsidRPr="00565389" w:rsidP="009C3237" w14:paraId="3EE51C05" w14:textId="2FABFBEF">
      <w:pPr>
        <w:rPr>
          <w:sz w:val="24"/>
          <w:u w:val="single"/>
        </w:rPr>
      </w:pPr>
      <w:r w:rsidRPr="00565389">
        <w:rPr>
          <w:sz w:val="24"/>
          <w:u w:val="single"/>
        </w:rPr>
        <w:t>Physician’s written opinion</w:t>
      </w:r>
      <w:r w:rsidRPr="00565389">
        <w:rPr>
          <w:sz w:val="24"/>
        </w:rPr>
        <w:t xml:space="preserve"> (</w:t>
      </w:r>
      <w:r w:rsidRPr="00565389">
        <w:rPr>
          <w:bCs/>
          <w:sz w:val="24"/>
        </w:rPr>
        <w:t>§</w:t>
      </w:r>
      <w:r w:rsidRPr="00565389">
        <w:rPr>
          <w:sz w:val="24"/>
        </w:rPr>
        <w:t>1910.1047(i)(4))</w:t>
      </w:r>
    </w:p>
    <w:p w:rsidR="009C3237" w:rsidRPr="00565389" w:rsidP="009C3237" w14:paraId="7670B7DE" w14:textId="77777777">
      <w:pPr>
        <w:rPr>
          <w:sz w:val="24"/>
        </w:rPr>
      </w:pPr>
    </w:p>
    <w:p w:rsidR="009C3237" w:rsidRPr="00565389" w:rsidP="009C3237" w14:paraId="5D4AA77F" w14:textId="34595636">
      <w:pPr>
        <w:rPr>
          <w:sz w:val="24"/>
        </w:rPr>
      </w:pPr>
      <w:r w:rsidRPr="00565389">
        <w:rPr>
          <w:sz w:val="24"/>
        </w:rPr>
        <w:t xml:space="preserve">Employers must provide a copy of the physician’s written opinion to each worker who receives a medical examination.  OSHA assumes that a secretary will take 5 minutes (5/60 hours) to deliver a copy of the physician’s written opinion to each worker receiving an examination.  Based on the analysis performed under “information provided to the examining physician” above, workers received </w:t>
      </w:r>
      <w:r w:rsidR="00642AF0">
        <w:rPr>
          <w:sz w:val="24"/>
        </w:rPr>
        <w:t>23</w:t>
      </w:r>
      <w:r w:rsidRPr="00565389">
        <w:rPr>
          <w:sz w:val="24"/>
        </w:rPr>
        <w:t>,</w:t>
      </w:r>
      <w:r w:rsidR="00642AF0">
        <w:rPr>
          <w:sz w:val="24"/>
        </w:rPr>
        <w:t>811</w:t>
      </w:r>
      <w:r w:rsidRPr="00565389">
        <w:rPr>
          <w:sz w:val="24"/>
        </w:rPr>
        <w:t xml:space="preserve"> medical examinations annually, each of which results in an opinion written by the examining physician.</w:t>
      </w:r>
    </w:p>
    <w:p w:rsidR="009C3237" w:rsidRPr="00565389" w:rsidP="009C3237" w14:paraId="1408AA0D" w14:textId="77777777">
      <w:pPr>
        <w:rPr>
          <w:sz w:val="24"/>
        </w:rPr>
      </w:pPr>
      <w:r w:rsidRPr="00565389">
        <w:rPr>
          <w:sz w:val="24"/>
        </w:rPr>
        <w:tab/>
      </w:r>
    </w:p>
    <w:p w:rsidR="009C3237" w:rsidRPr="00565389" w:rsidP="009C3237" w14:paraId="2B707251" w14:textId="421A857D">
      <w:pPr>
        <w:rPr>
          <w:bCs/>
          <w:sz w:val="24"/>
        </w:rPr>
      </w:pPr>
      <w:r w:rsidRPr="00565389">
        <w:rPr>
          <w:bCs/>
          <w:sz w:val="24"/>
        </w:rPr>
        <w:t xml:space="preserve">                            </w:t>
      </w:r>
      <w:r w:rsidRPr="00565389">
        <w:rPr>
          <w:b/>
          <w:bCs/>
          <w:sz w:val="24"/>
        </w:rPr>
        <w:t>Burden hours</w:t>
      </w:r>
      <w:r w:rsidRPr="00565389">
        <w:rPr>
          <w:bCs/>
          <w:sz w:val="24"/>
        </w:rPr>
        <w:t>: 2</w:t>
      </w:r>
      <w:r w:rsidR="00642AF0">
        <w:rPr>
          <w:bCs/>
          <w:sz w:val="24"/>
        </w:rPr>
        <w:t>3,811</w:t>
      </w:r>
      <w:r w:rsidRPr="00565389">
        <w:rPr>
          <w:bCs/>
          <w:sz w:val="24"/>
        </w:rPr>
        <w:t xml:space="preserve"> medical examinations x 5/60 hour = </w:t>
      </w:r>
      <w:r w:rsidR="00642AF0">
        <w:rPr>
          <w:bCs/>
          <w:sz w:val="24"/>
        </w:rPr>
        <w:t>1,984</w:t>
      </w:r>
      <w:r w:rsidRPr="00565389">
        <w:rPr>
          <w:bCs/>
          <w:sz w:val="24"/>
        </w:rPr>
        <w:t xml:space="preserve"> hours</w:t>
      </w:r>
    </w:p>
    <w:p w:rsidR="009C3237" w:rsidRPr="00565389" w:rsidP="009C3237" w14:paraId="13DE4CBE" w14:textId="542AC9F8">
      <w:pPr>
        <w:rPr>
          <w:sz w:val="24"/>
        </w:rPr>
      </w:pPr>
      <w:r w:rsidRPr="00565389">
        <w:rPr>
          <w:b/>
          <w:bCs/>
          <w:sz w:val="24"/>
        </w:rPr>
        <w:t xml:space="preserve">                                            Cost</w:t>
      </w:r>
      <w:r w:rsidRPr="00565389">
        <w:rPr>
          <w:sz w:val="24"/>
        </w:rPr>
        <w:t xml:space="preserve">: </w:t>
      </w:r>
      <w:r w:rsidR="00642AF0">
        <w:rPr>
          <w:bCs/>
          <w:sz w:val="24"/>
        </w:rPr>
        <w:t>1,984</w:t>
      </w:r>
      <w:r w:rsidRPr="00565389">
        <w:rPr>
          <w:sz w:val="24"/>
        </w:rPr>
        <w:t xml:space="preserve"> hours x $</w:t>
      </w:r>
      <w:r w:rsidR="0099106F">
        <w:rPr>
          <w:sz w:val="24"/>
        </w:rPr>
        <w:t>29.60</w:t>
      </w:r>
      <w:r w:rsidRPr="00565389">
        <w:rPr>
          <w:sz w:val="24"/>
        </w:rPr>
        <w:t xml:space="preserve"> = $</w:t>
      </w:r>
      <w:r w:rsidR="0099106F">
        <w:rPr>
          <w:sz w:val="24"/>
        </w:rPr>
        <w:t xml:space="preserve">58,726 </w:t>
      </w:r>
    </w:p>
    <w:p w:rsidR="009C3237" w:rsidRPr="00565389" w:rsidP="009C3237" w14:paraId="5232DB28" w14:textId="77777777">
      <w:pPr>
        <w:rPr>
          <w:b/>
          <w:bCs/>
          <w:sz w:val="24"/>
        </w:rPr>
      </w:pPr>
    </w:p>
    <w:p w:rsidR="009C3237" w:rsidRPr="00565389" w:rsidP="009C3237" w14:paraId="040E67F9" w14:textId="77777777">
      <w:pPr>
        <w:rPr>
          <w:sz w:val="24"/>
        </w:rPr>
      </w:pPr>
      <w:r w:rsidRPr="00565389">
        <w:rPr>
          <w:b/>
          <w:bCs/>
          <w:sz w:val="24"/>
        </w:rPr>
        <w:t>(F)  Communication of EtO hazards</w:t>
      </w:r>
      <w:r w:rsidRPr="00565389">
        <w:rPr>
          <w:sz w:val="24"/>
        </w:rPr>
        <w:t xml:space="preserve"> </w:t>
      </w:r>
      <w:r w:rsidRPr="00565389">
        <w:rPr>
          <w:b/>
          <w:bCs/>
          <w:sz w:val="24"/>
        </w:rPr>
        <w:t>to employees (§1910.1047(j)</w:t>
      </w:r>
      <w:r w:rsidRPr="00565389">
        <w:rPr>
          <w:sz w:val="24"/>
        </w:rPr>
        <w:t>)</w:t>
      </w:r>
      <w:r w:rsidRPr="00565389">
        <w:rPr>
          <w:b/>
          <w:i/>
          <w:sz w:val="24"/>
        </w:rPr>
        <w:t xml:space="preserve"> </w:t>
      </w:r>
    </w:p>
    <w:p w:rsidR="009C3237" w:rsidRPr="00565389" w:rsidP="009C3237" w14:paraId="37B77826" w14:textId="77777777">
      <w:pPr>
        <w:tabs>
          <w:tab w:val="left" w:pos="3148"/>
        </w:tabs>
        <w:rPr>
          <w:sz w:val="24"/>
        </w:rPr>
      </w:pPr>
      <w:r w:rsidRPr="00565389">
        <w:rPr>
          <w:sz w:val="24"/>
        </w:rPr>
        <w:tab/>
      </w:r>
    </w:p>
    <w:p w:rsidR="009C3237" w:rsidRPr="00565389" w:rsidP="009C3237" w14:paraId="14892898" w14:textId="77777777">
      <w:pPr>
        <w:rPr>
          <w:rStyle w:val="blueten1"/>
          <w:rFonts w:ascii="Times New Roman" w:hAnsi="Times New Roman"/>
          <w:i/>
          <w:sz w:val="24"/>
          <w:szCs w:val="24"/>
        </w:rPr>
      </w:pPr>
      <w:r w:rsidRPr="00565389">
        <w:rPr>
          <w:sz w:val="24"/>
          <w:u w:val="single"/>
        </w:rPr>
        <w:t>Signs and Labels</w:t>
      </w:r>
      <w:r w:rsidRPr="00565389">
        <w:rPr>
          <w:sz w:val="24"/>
        </w:rPr>
        <w:t xml:space="preserve"> (§1910.1047(j)(2)</w:t>
      </w:r>
    </w:p>
    <w:p w:rsidR="009C3237" w:rsidRPr="00565389" w:rsidP="009C3237" w14:paraId="6CE6FA13" w14:textId="77777777">
      <w:pPr>
        <w:rPr>
          <w:sz w:val="24"/>
        </w:rPr>
      </w:pPr>
      <w:r w:rsidRPr="00565389">
        <w:rPr>
          <w:sz w:val="24"/>
        </w:rPr>
        <w:t xml:space="preserve"> </w:t>
      </w:r>
    </w:p>
    <w:p w:rsidR="009C3237" w:rsidRPr="00565389" w:rsidP="009C3237" w14:paraId="7414A735" w14:textId="77777777">
      <w:pPr>
        <w:rPr>
          <w:sz w:val="24"/>
        </w:rPr>
      </w:pPr>
      <w:r w:rsidRPr="00565389">
        <w:rPr>
          <w:sz w:val="24"/>
        </w:rPr>
        <w:t xml:space="preserve">“See item 2, above.” </w:t>
      </w:r>
    </w:p>
    <w:p w:rsidR="009C3237" w:rsidRPr="00565389" w:rsidP="009C3237" w14:paraId="575F8347" w14:textId="77777777">
      <w:pPr>
        <w:rPr>
          <w:sz w:val="24"/>
        </w:rPr>
      </w:pPr>
    </w:p>
    <w:p w:rsidR="009C3237" w:rsidRPr="00565389" w:rsidP="009C3237" w14:paraId="063C31B5" w14:textId="77777777">
      <w:pPr>
        <w:rPr>
          <w:sz w:val="24"/>
        </w:rPr>
      </w:pPr>
      <w:r w:rsidRPr="00565389">
        <w:rPr>
          <w:sz w:val="24"/>
          <w:u w:val="single"/>
        </w:rPr>
        <w:t>Information and Training</w:t>
      </w:r>
      <w:r w:rsidRPr="00565389">
        <w:rPr>
          <w:sz w:val="24"/>
        </w:rPr>
        <w:t xml:space="preserve"> (§1910.1047(j)(3))</w:t>
      </w:r>
    </w:p>
    <w:p w:rsidR="009C3237" w:rsidRPr="00565389" w:rsidP="009C3237" w14:paraId="4E4BAA58" w14:textId="77777777">
      <w:pPr>
        <w:rPr>
          <w:sz w:val="24"/>
        </w:rPr>
      </w:pPr>
    </w:p>
    <w:p w:rsidR="009C3237" w:rsidRPr="00565389" w:rsidP="009C3237" w14:paraId="47D2D7A5" w14:textId="77777777">
      <w:pPr>
        <w:rPr>
          <w:sz w:val="24"/>
        </w:rPr>
      </w:pPr>
      <w:r w:rsidRPr="00565389">
        <w:rPr>
          <w:sz w:val="24"/>
        </w:rPr>
        <w:t xml:space="preserve">“See item 2, above.” </w:t>
      </w:r>
    </w:p>
    <w:p w:rsidR="009C3237" w:rsidRPr="00565389" w:rsidP="009C3237" w14:paraId="7EA7C16F" w14:textId="77777777">
      <w:pPr>
        <w:rPr>
          <w:sz w:val="24"/>
        </w:rPr>
      </w:pPr>
      <w:r w:rsidRPr="00565389">
        <w:rPr>
          <w:sz w:val="24"/>
        </w:rPr>
        <w:tab/>
      </w:r>
    </w:p>
    <w:p w:rsidR="009C3237" w:rsidRPr="00565389" w:rsidP="009C3237" w14:paraId="04B4C021" w14:textId="77777777">
      <w:pPr>
        <w:rPr>
          <w:sz w:val="24"/>
        </w:rPr>
      </w:pPr>
      <w:r w:rsidRPr="00565389">
        <w:rPr>
          <w:sz w:val="24"/>
        </w:rPr>
        <w:t>(</w:t>
      </w:r>
      <w:r w:rsidRPr="00565389">
        <w:rPr>
          <w:b/>
          <w:bCs/>
          <w:sz w:val="24"/>
        </w:rPr>
        <w:t>G)  Recordkeeping (§1910.1047(k))</w:t>
      </w:r>
    </w:p>
    <w:p w:rsidR="009C3237" w:rsidRPr="00565389" w:rsidP="009C3237" w14:paraId="253B6EC2" w14:textId="77777777">
      <w:pPr>
        <w:rPr>
          <w:sz w:val="24"/>
        </w:rPr>
      </w:pPr>
    </w:p>
    <w:p w:rsidR="009C3237" w:rsidRPr="00565389" w:rsidP="009C3237" w14:paraId="7414C7DD" w14:textId="77777777">
      <w:pPr>
        <w:rPr>
          <w:sz w:val="24"/>
        </w:rPr>
      </w:pPr>
      <w:r w:rsidRPr="00565389">
        <w:rPr>
          <w:sz w:val="24"/>
          <w:u w:val="single"/>
        </w:rPr>
        <w:t>Objective data for exempted operations</w:t>
      </w:r>
      <w:r w:rsidRPr="00565389">
        <w:rPr>
          <w:sz w:val="24"/>
        </w:rPr>
        <w:t xml:space="preserve"> (§1910.1047(k)(1))</w:t>
      </w:r>
    </w:p>
    <w:p w:rsidR="009C3237" w:rsidRPr="00565389" w:rsidP="009C3237" w14:paraId="5C445CC0" w14:textId="77777777">
      <w:pPr>
        <w:rPr>
          <w:sz w:val="24"/>
        </w:rPr>
      </w:pPr>
    </w:p>
    <w:p w:rsidR="009C3237" w:rsidRPr="00565389" w:rsidP="009C3237" w14:paraId="45A70824" w14:textId="77777777">
      <w:pPr>
        <w:pStyle w:val="BodyText"/>
      </w:pPr>
      <w:r w:rsidRPr="00565389">
        <w:t xml:space="preserve">Employers must keep a record of the objective data.  OSHA believes that employers have </w:t>
      </w:r>
      <w:r w:rsidRPr="00565389">
        <w:t>previously developed required objective data and now must maintain the objective-data records.  The regulatory burden for maintaining objective data is negligible; therefore, the Agency is taking no burden hours or costs for this requirement.</w:t>
      </w:r>
    </w:p>
    <w:p w:rsidR="009C3237" w:rsidRPr="00565389" w:rsidP="009C3237" w14:paraId="33F0377A" w14:textId="77777777">
      <w:pPr>
        <w:rPr>
          <w:sz w:val="24"/>
        </w:rPr>
      </w:pPr>
    </w:p>
    <w:p w:rsidR="009C3237" w:rsidRPr="00565389" w:rsidP="009C3237" w14:paraId="218D1A77" w14:textId="77777777">
      <w:pPr>
        <w:rPr>
          <w:sz w:val="24"/>
        </w:rPr>
      </w:pPr>
      <w:r w:rsidRPr="00565389">
        <w:rPr>
          <w:sz w:val="24"/>
          <w:u w:val="single"/>
        </w:rPr>
        <w:t>Exposure measurements</w:t>
      </w:r>
      <w:r w:rsidRPr="00565389">
        <w:rPr>
          <w:sz w:val="24"/>
        </w:rPr>
        <w:t xml:space="preserve"> (§1910.1047(k)(2))</w:t>
      </w:r>
    </w:p>
    <w:p w:rsidR="009C3237" w:rsidRPr="00565389" w:rsidP="009C3237" w14:paraId="3D3D0439" w14:textId="77777777">
      <w:pPr>
        <w:rPr>
          <w:sz w:val="24"/>
        </w:rPr>
      </w:pPr>
    </w:p>
    <w:p w:rsidR="009C3237" w:rsidRPr="00565389" w:rsidP="009C3237" w14:paraId="68D7D300" w14:textId="60250367">
      <w:pPr>
        <w:rPr>
          <w:sz w:val="24"/>
        </w:rPr>
      </w:pPr>
      <w:r w:rsidRPr="00565389">
        <w:rPr>
          <w:sz w:val="24"/>
        </w:rPr>
        <w:t>The Standard requires each employer to establish and maintain an accurate record of all measurements taken to monitor worker exposure to EtO. OSHA estimates that a secretary will spend 5 minutes (5/60 hour) to establish, maintain, and update each exposure-monitoring record according to the requirements of this provision.  Based on analysis above under “Exposure monitoring,” the</w:t>
      </w:r>
      <w:r w:rsidR="000332C1">
        <w:rPr>
          <w:sz w:val="24"/>
        </w:rPr>
        <w:t xml:space="preserve"> </w:t>
      </w:r>
      <w:r w:rsidRPr="00610D33" w:rsidR="000332C1">
        <w:rPr>
          <w:sz w:val="24"/>
        </w:rPr>
        <w:t>689</w:t>
      </w:r>
      <w:r w:rsidRPr="00565389">
        <w:rPr>
          <w:sz w:val="24"/>
        </w:rPr>
        <w:t xml:space="preserve"> facilities</w:t>
      </w:r>
      <w:r w:rsidR="00554C82">
        <w:rPr>
          <w:sz w:val="24"/>
        </w:rPr>
        <w:t xml:space="preserve"> with </w:t>
      </w:r>
      <w:r w:rsidR="00610D33">
        <w:rPr>
          <w:sz w:val="24"/>
        </w:rPr>
        <w:t>additional exposure monitoring</w:t>
      </w:r>
      <w:r w:rsidRPr="00565389">
        <w:rPr>
          <w:sz w:val="24"/>
        </w:rPr>
        <w:t xml:space="preserve"> will generate a total of 4,</w:t>
      </w:r>
      <w:r w:rsidR="0056485B">
        <w:rPr>
          <w:sz w:val="24"/>
        </w:rPr>
        <w:t>211</w:t>
      </w:r>
      <w:r>
        <w:rPr>
          <w:rStyle w:val="FootnoteReference"/>
          <w:color w:val="000000"/>
          <w:sz w:val="24"/>
          <w:vertAlign w:val="superscript"/>
        </w:rPr>
        <w:footnoteReference w:id="11"/>
      </w:r>
      <w:r w:rsidR="00732DE4">
        <w:rPr>
          <w:sz w:val="24"/>
        </w:rPr>
        <w:t xml:space="preserve"> </w:t>
      </w:r>
      <w:r w:rsidRPr="00565389">
        <w:rPr>
          <w:color w:val="000000"/>
          <w:sz w:val="24"/>
          <w:vertAlign w:val="superscript"/>
        </w:rPr>
        <w:t xml:space="preserve"> </w:t>
      </w:r>
      <w:r w:rsidRPr="00565389">
        <w:rPr>
          <w:color w:val="000000"/>
          <w:sz w:val="24"/>
        </w:rPr>
        <w:t>periodic and additional exposure-monitoring records for determining either TWAs or ELs.</w:t>
      </w:r>
    </w:p>
    <w:p w:rsidR="009C3237" w:rsidRPr="00565389" w:rsidP="009C3237" w14:paraId="3AC68E1A" w14:textId="77777777">
      <w:pPr>
        <w:rPr>
          <w:b/>
          <w:bCs/>
          <w:sz w:val="24"/>
        </w:rPr>
      </w:pPr>
    </w:p>
    <w:p w:rsidR="009C3237" w:rsidRPr="00565389" w:rsidP="009C3237" w14:paraId="6E4652E2" w14:textId="6ACDBE86">
      <w:pPr>
        <w:ind w:left="720" w:firstLine="720"/>
        <w:rPr>
          <w:sz w:val="24"/>
        </w:rPr>
      </w:pPr>
      <w:r w:rsidRPr="00565389">
        <w:rPr>
          <w:b/>
          <w:bCs/>
          <w:sz w:val="24"/>
        </w:rPr>
        <w:t>Burden hours</w:t>
      </w:r>
      <w:r w:rsidRPr="00565389">
        <w:rPr>
          <w:sz w:val="24"/>
        </w:rPr>
        <w:t>:  4,</w:t>
      </w:r>
      <w:r w:rsidR="00642AF0">
        <w:rPr>
          <w:sz w:val="24"/>
        </w:rPr>
        <w:t>211</w:t>
      </w:r>
      <w:r w:rsidRPr="00565389">
        <w:rPr>
          <w:sz w:val="24"/>
        </w:rPr>
        <w:t xml:space="preserve"> records x 5/60</w:t>
      </w:r>
      <w:r>
        <w:rPr>
          <w:sz w:val="24"/>
        </w:rPr>
        <w:t xml:space="preserve"> </w:t>
      </w:r>
      <w:r w:rsidRPr="00565389">
        <w:rPr>
          <w:sz w:val="24"/>
        </w:rPr>
        <w:t>hour = 3</w:t>
      </w:r>
      <w:r w:rsidR="00642AF0">
        <w:rPr>
          <w:sz w:val="24"/>
        </w:rPr>
        <w:t xml:space="preserve">51 </w:t>
      </w:r>
      <w:r w:rsidRPr="00565389">
        <w:rPr>
          <w:sz w:val="24"/>
        </w:rPr>
        <w:t>hours</w:t>
      </w:r>
    </w:p>
    <w:p w:rsidR="009C3237" w:rsidRPr="00565389" w:rsidP="009C3237" w14:paraId="1AE6A755" w14:textId="40F23333">
      <w:pPr>
        <w:rPr>
          <w:sz w:val="24"/>
          <w:u w:val="single"/>
        </w:rPr>
      </w:pPr>
      <w:r w:rsidRPr="00565389">
        <w:rPr>
          <w:b/>
          <w:bCs/>
          <w:sz w:val="24"/>
        </w:rPr>
        <w:t xml:space="preserve">    </w:t>
      </w:r>
      <w:r w:rsidRPr="00565389">
        <w:rPr>
          <w:b/>
          <w:bCs/>
          <w:sz w:val="24"/>
        </w:rPr>
        <w:tab/>
      </w:r>
      <w:r w:rsidRPr="00565389">
        <w:rPr>
          <w:b/>
          <w:bCs/>
          <w:sz w:val="24"/>
        </w:rPr>
        <w:tab/>
      </w:r>
      <w:r w:rsidRPr="00565389">
        <w:rPr>
          <w:b/>
          <w:bCs/>
          <w:sz w:val="24"/>
        </w:rPr>
        <w:tab/>
        <w:t xml:space="preserve">    Cost</w:t>
      </w:r>
      <w:r w:rsidRPr="00565389">
        <w:rPr>
          <w:sz w:val="24"/>
        </w:rPr>
        <w:t xml:space="preserve">: </w:t>
      </w:r>
      <w:r w:rsidR="00642AF0">
        <w:rPr>
          <w:sz w:val="24"/>
        </w:rPr>
        <w:t>351</w:t>
      </w:r>
      <w:r w:rsidRPr="00565389">
        <w:rPr>
          <w:sz w:val="24"/>
        </w:rPr>
        <w:t xml:space="preserve"> hours x $</w:t>
      </w:r>
      <w:r w:rsidR="0099106F">
        <w:rPr>
          <w:sz w:val="24"/>
        </w:rPr>
        <w:t xml:space="preserve">29.60 </w:t>
      </w:r>
      <w:r w:rsidRPr="00565389">
        <w:rPr>
          <w:sz w:val="24"/>
        </w:rPr>
        <w:t>= $</w:t>
      </w:r>
      <w:r w:rsidR="0099106F">
        <w:rPr>
          <w:sz w:val="24"/>
        </w:rPr>
        <w:t>10,3</w:t>
      </w:r>
      <w:r w:rsidR="006475D2">
        <w:rPr>
          <w:sz w:val="24"/>
        </w:rPr>
        <w:t>90</w:t>
      </w:r>
    </w:p>
    <w:p w:rsidR="009C3237" w:rsidRPr="00565389" w:rsidP="009C3237" w14:paraId="1DAE2BD7" w14:textId="77777777">
      <w:pPr>
        <w:rPr>
          <w:sz w:val="24"/>
          <w:u w:val="single"/>
        </w:rPr>
      </w:pPr>
    </w:p>
    <w:p w:rsidR="009C3237" w:rsidRPr="00565389" w:rsidP="009C3237" w14:paraId="3DD4A747" w14:textId="77777777">
      <w:pPr>
        <w:rPr>
          <w:sz w:val="24"/>
        </w:rPr>
      </w:pPr>
      <w:r w:rsidRPr="00565389">
        <w:rPr>
          <w:sz w:val="24"/>
          <w:u w:val="single"/>
        </w:rPr>
        <w:t>Medical records</w:t>
      </w:r>
      <w:r w:rsidRPr="00565389">
        <w:rPr>
          <w:sz w:val="24"/>
        </w:rPr>
        <w:t xml:space="preserve"> (§1910.1047(k)(3))</w:t>
      </w:r>
    </w:p>
    <w:p w:rsidR="009C3237" w:rsidRPr="00565389" w:rsidP="009C3237" w14:paraId="22223645" w14:textId="77777777">
      <w:pPr>
        <w:rPr>
          <w:sz w:val="24"/>
        </w:rPr>
      </w:pPr>
    </w:p>
    <w:p w:rsidR="009C3237" w:rsidRPr="00565389" w:rsidP="009C3237" w14:paraId="1588C8FD" w14:textId="4143F7AB">
      <w:pPr>
        <w:rPr>
          <w:sz w:val="24"/>
        </w:rPr>
      </w:pPr>
      <w:r w:rsidRPr="00565389">
        <w:rPr>
          <w:sz w:val="24"/>
        </w:rPr>
        <w:t xml:space="preserve">Under this provision, employers must establish and maintain a record of each medical examination.  As noted in the analysis conducted above under “Information provided to the physician,” the </w:t>
      </w:r>
      <w:r w:rsidR="00610D33">
        <w:rPr>
          <w:sz w:val="24"/>
        </w:rPr>
        <w:t>2,026</w:t>
      </w:r>
      <w:r w:rsidRPr="00565389" w:rsidR="000332C1">
        <w:rPr>
          <w:sz w:val="24"/>
        </w:rPr>
        <w:t xml:space="preserve"> </w:t>
      </w:r>
      <w:r w:rsidRPr="00565389">
        <w:rPr>
          <w:sz w:val="24"/>
        </w:rPr>
        <w:t xml:space="preserve">facilities covered by the Standard administer a total of </w:t>
      </w:r>
      <w:r w:rsidR="00376930">
        <w:rPr>
          <w:sz w:val="24"/>
        </w:rPr>
        <w:t>23</w:t>
      </w:r>
      <w:r w:rsidRPr="00565389">
        <w:rPr>
          <w:sz w:val="24"/>
        </w:rPr>
        <w:t>,</w:t>
      </w:r>
      <w:r w:rsidR="00376930">
        <w:rPr>
          <w:sz w:val="24"/>
        </w:rPr>
        <w:t xml:space="preserve">811 </w:t>
      </w:r>
      <w:r w:rsidRPr="00565389">
        <w:rPr>
          <w:sz w:val="24"/>
        </w:rPr>
        <w:t>medical examinations to exposed workers each year.  OSHA estimates that a secretary will require 5 minutes (5/60 hour) to establish, maintain, and update each of these records.</w:t>
      </w:r>
    </w:p>
    <w:p w:rsidR="009C3237" w:rsidRPr="00565389" w:rsidP="009C3237" w14:paraId="3B93562C" w14:textId="77777777">
      <w:pPr>
        <w:ind w:firstLine="720"/>
        <w:rPr>
          <w:b/>
          <w:bCs/>
          <w:sz w:val="24"/>
        </w:rPr>
      </w:pPr>
    </w:p>
    <w:p w:rsidR="009C3237" w:rsidRPr="00565389" w:rsidP="009C3237" w14:paraId="1E5D9BAC" w14:textId="0A6C2C60">
      <w:pPr>
        <w:ind w:left="720" w:firstLine="720"/>
        <w:rPr>
          <w:sz w:val="24"/>
        </w:rPr>
      </w:pPr>
      <w:r w:rsidRPr="00565389">
        <w:rPr>
          <w:b/>
          <w:bCs/>
          <w:sz w:val="24"/>
        </w:rPr>
        <w:t>Burden hours</w:t>
      </w:r>
      <w:r w:rsidRPr="00565389">
        <w:rPr>
          <w:sz w:val="24"/>
        </w:rPr>
        <w:t>:   2</w:t>
      </w:r>
      <w:r w:rsidR="00376930">
        <w:rPr>
          <w:sz w:val="24"/>
        </w:rPr>
        <w:t>3,811</w:t>
      </w:r>
      <w:r w:rsidRPr="00565389">
        <w:rPr>
          <w:sz w:val="24"/>
        </w:rPr>
        <w:t xml:space="preserve"> records x 5/60 hour = </w:t>
      </w:r>
      <w:r w:rsidR="00376930">
        <w:rPr>
          <w:sz w:val="24"/>
        </w:rPr>
        <w:t>1,984</w:t>
      </w:r>
      <w:r w:rsidRPr="00565389">
        <w:rPr>
          <w:sz w:val="24"/>
        </w:rPr>
        <w:t xml:space="preserve"> hours</w:t>
      </w:r>
    </w:p>
    <w:p w:rsidR="009C3237" w:rsidRPr="00565389" w:rsidP="009C3237" w14:paraId="0829C61E" w14:textId="0C0192B5">
      <w:pPr>
        <w:ind w:left="720" w:firstLine="1440"/>
        <w:rPr>
          <w:sz w:val="24"/>
        </w:rPr>
      </w:pPr>
      <w:r w:rsidRPr="00565389">
        <w:rPr>
          <w:b/>
          <w:bCs/>
          <w:sz w:val="24"/>
        </w:rPr>
        <w:t xml:space="preserve">    Cost</w:t>
      </w:r>
      <w:r w:rsidRPr="00565389">
        <w:rPr>
          <w:sz w:val="24"/>
        </w:rPr>
        <w:t xml:space="preserve">:  </w:t>
      </w:r>
      <w:r w:rsidR="00376930">
        <w:rPr>
          <w:sz w:val="24"/>
        </w:rPr>
        <w:t>1,984</w:t>
      </w:r>
      <w:r w:rsidRPr="00565389">
        <w:rPr>
          <w:sz w:val="24"/>
        </w:rPr>
        <w:t xml:space="preserve"> hours x $</w:t>
      </w:r>
      <w:r w:rsidR="0099106F">
        <w:rPr>
          <w:sz w:val="24"/>
        </w:rPr>
        <w:t>29.60</w:t>
      </w:r>
      <w:r w:rsidRPr="00565389">
        <w:rPr>
          <w:sz w:val="24"/>
        </w:rPr>
        <w:t xml:space="preserve"> = $</w:t>
      </w:r>
      <w:r w:rsidR="0099106F">
        <w:rPr>
          <w:sz w:val="24"/>
        </w:rPr>
        <w:t xml:space="preserve"> 58,726</w:t>
      </w:r>
    </w:p>
    <w:p w:rsidR="009C3237" w:rsidRPr="00565389" w:rsidP="009C3237" w14:paraId="45A21BF4" w14:textId="77777777">
      <w:pPr>
        <w:ind w:firstLine="1440"/>
        <w:rPr>
          <w:sz w:val="24"/>
        </w:rPr>
      </w:pPr>
    </w:p>
    <w:p w:rsidR="009C3237" w:rsidRPr="00565389" w:rsidP="009C3237" w14:paraId="77173C2D" w14:textId="77777777">
      <w:pPr>
        <w:pStyle w:val="FootnoteText"/>
        <w:rPr>
          <w:sz w:val="24"/>
          <w:szCs w:val="24"/>
        </w:rPr>
      </w:pPr>
      <w:r w:rsidRPr="00565389">
        <w:rPr>
          <w:sz w:val="24"/>
          <w:szCs w:val="24"/>
          <w:u w:val="single"/>
        </w:rPr>
        <w:t>Availability</w:t>
      </w:r>
      <w:r w:rsidRPr="00565389">
        <w:rPr>
          <w:sz w:val="24"/>
          <w:szCs w:val="24"/>
        </w:rPr>
        <w:t xml:space="preserve"> (§1910.1047(k)(4))</w:t>
      </w:r>
      <w:r>
        <w:rPr>
          <w:rStyle w:val="FootnoteReference"/>
          <w:sz w:val="24"/>
          <w:szCs w:val="24"/>
          <w:vertAlign w:val="superscript"/>
        </w:rPr>
        <w:footnoteReference w:id="12"/>
      </w:r>
      <w:r w:rsidRPr="00565389">
        <w:rPr>
          <w:sz w:val="24"/>
          <w:szCs w:val="24"/>
        </w:rPr>
        <w:t xml:space="preserve"> </w:t>
      </w:r>
    </w:p>
    <w:p w:rsidR="009C3237" w:rsidRPr="00565389" w:rsidP="009C3237" w14:paraId="516C70B3" w14:textId="77777777">
      <w:pPr>
        <w:pStyle w:val="FootnoteText"/>
        <w:rPr>
          <w:sz w:val="24"/>
          <w:szCs w:val="24"/>
          <w:vertAlign w:val="superscript"/>
        </w:rPr>
      </w:pPr>
    </w:p>
    <w:p w:rsidR="009C3237" w:rsidRPr="00565389" w:rsidP="009C3237" w14:paraId="482C61A9" w14:textId="77777777">
      <w:pPr>
        <w:pStyle w:val="BodyText"/>
      </w:pPr>
      <w:r w:rsidRPr="00565389">
        <w:t>Employers must provide, on request, objective data, worker exposure-monitoring records, and written compliance programs to affected workers, former workers, and designated worker representatives, as well as a worker’s medical surveillance records to the worker and to anyone having the worker’s specific written consent.</w:t>
      </w:r>
    </w:p>
    <w:p w:rsidR="009C3237" w:rsidP="009C3237" w14:paraId="69AB7A0B" w14:textId="77777777">
      <w:pPr>
        <w:rPr>
          <w:sz w:val="24"/>
        </w:rPr>
      </w:pPr>
    </w:p>
    <w:p w:rsidR="00D06217" w:rsidP="00A7385C" w14:paraId="21E9E1F5" w14:textId="77777777">
      <w:pPr>
        <w:ind w:left="720" w:firstLine="720"/>
        <w:rPr>
          <w:b/>
          <w:bCs/>
          <w:sz w:val="24"/>
        </w:rPr>
      </w:pPr>
    </w:p>
    <w:p w:rsidR="00D06217" w:rsidP="00A7385C" w14:paraId="000B6324" w14:textId="77777777">
      <w:pPr>
        <w:ind w:left="720" w:firstLine="720"/>
        <w:rPr>
          <w:b/>
          <w:bCs/>
          <w:sz w:val="24"/>
        </w:rPr>
      </w:pPr>
    </w:p>
    <w:p w:rsidR="00D06217" w:rsidP="00A7385C" w14:paraId="6BE28810" w14:textId="77777777">
      <w:pPr>
        <w:ind w:left="720" w:firstLine="720"/>
        <w:rPr>
          <w:b/>
          <w:bCs/>
          <w:sz w:val="24"/>
        </w:rPr>
      </w:pPr>
    </w:p>
    <w:p w:rsidR="00A7385C" w:rsidP="00A7385C" w14:paraId="3CD7BF51" w14:textId="4FE6FF72">
      <w:pPr>
        <w:ind w:left="720" w:firstLine="720"/>
        <w:rPr>
          <w:sz w:val="24"/>
        </w:rPr>
      </w:pPr>
      <w:r w:rsidRPr="00610D33">
        <w:rPr>
          <w:b/>
          <w:bCs/>
          <w:sz w:val="24"/>
        </w:rPr>
        <w:t xml:space="preserve">Table 7 – </w:t>
      </w:r>
      <w:r>
        <w:rPr>
          <w:b/>
          <w:bCs/>
          <w:sz w:val="24"/>
        </w:rPr>
        <w:t>Total Number of Employees Hired Annually</w:t>
      </w:r>
    </w:p>
    <w:tbl>
      <w:tblPr>
        <w:tblStyle w:val="TableGrid"/>
        <w:tblW w:w="0" w:type="auto"/>
        <w:tblLook w:val="04A0"/>
      </w:tblPr>
      <w:tblGrid>
        <w:gridCol w:w="2337"/>
        <w:gridCol w:w="2337"/>
        <w:gridCol w:w="2338"/>
        <w:gridCol w:w="2338"/>
      </w:tblGrid>
      <w:tr w14:paraId="0906D45F" w14:textId="77777777" w:rsidTr="009E457A">
        <w:tblPrEx>
          <w:tblW w:w="0" w:type="auto"/>
          <w:tblLook w:val="04A0"/>
        </w:tblPrEx>
        <w:tc>
          <w:tcPr>
            <w:tcW w:w="2337" w:type="dxa"/>
            <w:shd w:val="clear" w:color="auto" w:fill="BDD6EE" w:themeFill="accent1" w:themeFillTint="66"/>
            <w:vAlign w:val="center"/>
          </w:tcPr>
          <w:p w:rsidR="00A01DAC" w:rsidP="00A01DAC" w14:paraId="2F46556E" w14:textId="57AEAB20">
            <w:pPr>
              <w:rPr>
                <w:sz w:val="24"/>
              </w:rPr>
            </w:pPr>
            <w:r w:rsidRPr="00610D33">
              <w:rPr>
                <w:b/>
                <w:bCs/>
                <w:color w:val="000000"/>
                <w:sz w:val="24"/>
              </w:rPr>
              <w:t>Sector</w:t>
            </w:r>
          </w:p>
        </w:tc>
        <w:tc>
          <w:tcPr>
            <w:tcW w:w="2337" w:type="dxa"/>
            <w:shd w:val="clear" w:color="auto" w:fill="BDD6EE" w:themeFill="accent1" w:themeFillTint="66"/>
            <w:vAlign w:val="center"/>
          </w:tcPr>
          <w:p w:rsidR="00A01DAC" w:rsidP="00A01DAC" w14:paraId="3848306F" w14:textId="62E7D70B">
            <w:pPr>
              <w:rPr>
                <w:sz w:val="24"/>
              </w:rPr>
            </w:pPr>
            <w:r w:rsidRPr="00610D33">
              <w:rPr>
                <w:b/>
                <w:bCs/>
                <w:color w:val="000000"/>
                <w:sz w:val="24"/>
              </w:rPr>
              <w:t>Exposed Employees</w:t>
            </w:r>
          </w:p>
        </w:tc>
        <w:tc>
          <w:tcPr>
            <w:tcW w:w="2338" w:type="dxa"/>
            <w:shd w:val="clear" w:color="auto" w:fill="BDD6EE" w:themeFill="accent1" w:themeFillTint="66"/>
            <w:vAlign w:val="center"/>
          </w:tcPr>
          <w:p w:rsidR="00A01DAC" w:rsidP="00A01DAC" w14:paraId="4476D323" w14:textId="7331BAD4">
            <w:pPr>
              <w:rPr>
                <w:sz w:val="24"/>
              </w:rPr>
            </w:pPr>
            <w:r w:rsidRPr="00610D33">
              <w:rPr>
                <w:b/>
                <w:bCs/>
                <w:color w:val="000000"/>
                <w:sz w:val="24"/>
              </w:rPr>
              <w:t>Turnover Rate</w:t>
            </w:r>
          </w:p>
        </w:tc>
        <w:tc>
          <w:tcPr>
            <w:tcW w:w="2338" w:type="dxa"/>
            <w:shd w:val="clear" w:color="auto" w:fill="BDD6EE" w:themeFill="accent1" w:themeFillTint="66"/>
            <w:vAlign w:val="center"/>
          </w:tcPr>
          <w:p w:rsidR="00A01DAC" w:rsidP="00A01DAC" w14:paraId="1D8EC420" w14:textId="55D93E31">
            <w:pPr>
              <w:rPr>
                <w:sz w:val="24"/>
              </w:rPr>
            </w:pPr>
            <w:r w:rsidRPr="00610D33">
              <w:rPr>
                <w:b/>
                <w:bCs/>
                <w:color w:val="000000"/>
                <w:sz w:val="24"/>
              </w:rPr>
              <w:t>Annual Employment</w:t>
            </w:r>
          </w:p>
        </w:tc>
      </w:tr>
      <w:tr w14:paraId="0B1EE68A" w14:textId="77777777" w:rsidTr="00E33791">
        <w:tblPrEx>
          <w:tblW w:w="0" w:type="auto"/>
          <w:tblLook w:val="04A0"/>
        </w:tblPrEx>
        <w:tc>
          <w:tcPr>
            <w:tcW w:w="2337" w:type="dxa"/>
            <w:vAlign w:val="center"/>
          </w:tcPr>
          <w:p w:rsidR="00045C76" w:rsidP="00045C76" w14:paraId="660E04B2" w14:textId="79DB2678">
            <w:pPr>
              <w:rPr>
                <w:sz w:val="24"/>
              </w:rPr>
            </w:pPr>
            <w:r w:rsidRPr="00610D33">
              <w:rPr>
                <w:sz w:val="24"/>
              </w:rPr>
              <w:t>Producers</w:t>
            </w:r>
          </w:p>
        </w:tc>
        <w:tc>
          <w:tcPr>
            <w:tcW w:w="2337" w:type="dxa"/>
            <w:vAlign w:val="center"/>
          </w:tcPr>
          <w:p w:rsidR="00045C76" w:rsidP="00045C76" w14:paraId="42D705BE" w14:textId="675FB0FE">
            <w:pPr>
              <w:rPr>
                <w:sz w:val="24"/>
              </w:rPr>
            </w:pPr>
            <w:r w:rsidRPr="00610D33">
              <w:rPr>
                <w:sz w:val="24"/>
              </w:rPr>
              <w:t>1,246</w:t>
            </w:r>
          </w:p>
        </w:tc>
        <w:tc>
          <w:tcPr>
            <w:tcW w:w="2338" w:type="dxa"/>
            <w:vAlign w:val="center"/>
          </w:tcPr>
          <w:p w:rsidR="00045C76" w:rsidP="00045C76" w14:paraId="4E042523" w14:textId="5D15F396">
            <w:pPr>
              <w:rPr>
                <w:sz w:val="24"/>
              </w:rPr>
            </w:pPr>
            <w:r w:rsidRPr="00610D33">
              <w:rPr>
                <w:sz w:val="24"/>
              </w:rPr>
              <w:t>43.1%</w:t>
            </w:r>
          </w:p>
        </w:tc>
        <w:tc>
          <w:tcPr>
            <w:tcW w:w="2338" w:type="dxa"/>
            <w:vAlign w:val="center"/>
          </w:tcPr>
          <w:p w:rsidR="00045C76" w:rsidP="00045C76" w14:paraId="101184C3" w14:textId="2E2EB03D">
            <w:pPr>
              <w:rPr>
                <w:sz w:val="24"/>
              </w:rPr>
            </w:pPr>
            <w:r w:rsidRPr="00610D33">
              <w:rPr>
                <w:sz w:val="24"/>
              </w:rPr>
              <w:t>1,783</w:t>
            </w:r>
          </w:p>
        </w:tc>
      </w:tr>
      <w:tr w14:paraId="56E2CD60" w14:textId="77777777" w:rsidTr="00E33791">
        <w:tblPrEx>
          <w:tblW w:w="0" w:type="auto"/>
          <w:tblLook w:val="04A0"/>
        </w:tblPrEx>
        <w:tc>
          <w:tcPr>
            <w:tcW w:w="2337" w:type="dxa"/>
            <w:vAlign w:val="center"/>
          </w:tcPr>
          <w:p w:rsidR="00045C76" w:rsidP="00045C76" w14:paraId="3B7EEA5D" w14:textId="502BD978">
            <w:pPr>
              <w:rPr>
                <w:sz w:val="24"/>
              </w:rPr>
            </w:pPr>
            <w:r w:rsidRPr="00610D33">
              <w:rPr>
                <w:sz w:val="24"/>
              </w:rPr>
              <w:t>Ethoxylators</w:t>
            </w:r>
          </w:p>
        </w:tc>
        <w:tc>
          <w:tcPr>
            <w:tcW w:w="2337" w:type="dxa"/>
            <w:vAlign w:val="center"/>
          </w:tcPr>
          <w:p w:rsidR="00045C76" w:rsidP="00045C76" w14:paraId="0EF1CE66" w14:textId="3D42AB1C">
            <w:pPr>
              <w:rPr>
                <w:sz w:val="24"/>
              </w:rPr>
            </w:pPr>
            <w:r w:rsidRPr="00610D33">
              <w:rPr>
                <w:sz w:val="24"/>
              </w:rPr>
              <w:t>6,300</w:t>
            </w:r>
          </w:p>
        </w:tc>
        <w:tc>
          <w:tcPr>
            <w:tcW w:w="2338" w:type="dxa"/>
            <w:vAlign w:val="center"/>
          </w:tcPr>
          <w:p w:rsidR="00045C76" w:rsidP="00045C76" w14:paraId="6D87E602" w14:textId="41AB14D5">
            <w:pPr>
              <w:rPr>
                <w:sz w:val="24"/>
              </w:rPr>
            </w:pPr>
            <w:r w:rsidRPr="00610D33">
              <w:rPr>
                <w:sz w:val="24"/>
              </w:rPr>
              <w:t>43.1%</w:t>
            </w:r>
          </w:p>
        </w:tc>
        <w:tc>
          <w:tcPr>
            <w:tcW w:w="2338" w:type="dxa"/>
            <w:vAlign w:val="center"/>
          </w:tcPr>
          <w:p w:rsidR="00045C76" w:rsidP="00045C76" w14:paraId="118FDB75" w14:textId="5B4B0A0A">
            <w:pPr>
              <w:rPr>
                <w:sz w:val="24"/>
              </w:rPr>
            </w:pPr>
            <w:r w:rsidRPr="00610D33">
              <w:rPr>
                <w:sz w:val="24"/>
              </w:rPr>
              <w:t>9,015</w:t>
            </w:r>
          </w:p>
        </w:tc>
      </w:tr>
      <w:tr w14:paraId="18C49062" w14:textId="77777777" w:rsidTr="00E33791">
        <w:tblPrEx>
          <w:tblW w:w="0" w:type="auto"/>
          <w:tblLook w:val="04A0"/>
        </w:tblPrEx>
        <w:tc>
          <w:tcPr>
            <w:tcW w:w="2337" w:type="dxa"/>
            <w:vAlign w:val="center"/>
          </w:tcPr>
          <w:p w:rsidR="00045C76" w:rsidP="00045C76" w14:paraId="55EDCCB7" w14:textId="68CD1997">
            <w:pPr>
              <w:rPr>
                <w:sz w:val="24"/>
              </w:rPr>
            </w:pPr>
            <w:r w:rsidRPr="00610D33">
              <w:rPr>
                <w:sz w:val="24"/>
              </w:rPr>
              <w:t>Hospitals</w:t>
            </w:r>
          </w:p>
        </w:tc>
        <w:tc>
          <w:tcPr>
            <w:tcW w:w="2337" w:type="dxa"/>
            <w:vAlign w:val="center"/>
          </w:tcPr>
          <w:p w:rsidR="00045C76" w:rsidP="00045C76" w14:paraId="1ED37774" w14:textId="1F5BAEA4">
            <w:pPr>
              <w:rPr>
                <w:sz w:val="24"/>
              </w:rPr>
            </w:pPr>
            <w:r w:rsidRPr="00610D33">
              <w:rPr>
                <w:sz w:val="24"/>
              </w:rPr>
              <w:t>22,068</w:t>
            </w:r>
          </w:p>
        </w:tc>
        <w:tc>
          <w:tcPr>
            <w:tcW w:w="2338" w:type="dxa"/>
            <w:vAlign w:val="center"/>
          </w:tcPr>
          <w:p w:rsidR="00045C76" w:rsidP="00045C76" w14:paraId="319A50FE" w14:textId="1B479BED">
            <w:pPr>
              <w:rPr>
                <w:sz w:val="24"/>
              </w:rPr>
            </w:pPr>
            <w:r w:rsidRPr="00610D33">
              <w:rPr>
                <w:sz w:val="24"/>
              </w:rPr>
              <w:t>44.0%</w:t>
            </w:r>
          </w:p>
        </w:tc>
        <w:tc>
          <w:tcPr>
            <w:tcW w:w="2338" w:type="dxa"/>
            <w:vAlign w:val="center"/>
          </w:tcPr>
          <w:p w:rsidR="00045C76" w:rsidP="00045C76" w14:paraId="0821EE6D" w14:textId="25359E7A">
            <w:pPr>
              <w:rPr>
                <w:sz w:val="24"/>
              </w:rPr>
            </w:pPr>
            <w:r w:rsidRPr="00610D33">
              <w:rPr>
                <w:sz w:val="24"/>
              </w:rPr>
              <w:t>31,778</w:t>
            </w:r>
          </w:p>
        </w:tc>
      </w:tr>
      <w:tr w14:paraId="1EC7ED22" w14:textId="77777777" w:rsidTr="00E33791">
        <w:tblPrEx>
          <w:tblW w:w="0" w:type="auto"/>
          <w:tblLook w:val="04A0"/>
        </w:tblPrEx>
        <w:tc>
          <w:tcPr>
            <w:tcW w:w="2337" w:type="dxa"/>
            <w:vAlign w:val="center"/>
          </w:tcPr>
          <w:p w:rsidR="00045C76" w:rsidP="00045C76" w14:paraId="47E3CFB3" w14:textId="150D7DD2">
            <w:pPr>
              <w:rPr>
                <w:sz w:val="24"/>
              </w:rPr>
            </w:pPr>
            <w:r w:rsidRPr="00610D33">
              <w:rPr>
                <w:sz w:val="24"/>
              </w:rPr>
              <w:t>Medical- Product Manufacturers</w:t>
            </w:r>
          </w:p>
        </w:tc>
        <w:tc>
          <w:tcPr>
            <w:tcW w:w="2337" w:type="dxa"/>
            <w:vAlign w:val="center"/>
          </w:tcPr>
          <w:p w:rsidR="00045C76" w:rsidP="00045C76" w14:paraId="09A3E68A" w14:textId="41A0B06A">
            <w:pPr>
              <w:rPr>
                <w:sz w:val="24"/>
              </w:rPr>
            </w:pPr>
            <w:r w:rsidRPr="00610D33">
              <w:rPr>
                <w:sz w:val="24"/>
              </w:rPr>
              <w:t>1,083</w:t>
            </w:r>
          </w:p>
        </w:tc>
        <w:tc>
          <w:tcPr>
            <w:tcW w:w="2338" w:type="dxa"/>
            <w:vAlign w:val="center"/>
          </w:tcPr>
          <w:p w:rsidR="00045C76" w:rsidP="00045C76" w14:paraId="6FCFEDCF" w14:textId="4C9CA527">
            <w:pPr>
              <w:rPr>
                <w:sz w:val="24"/>
              </w:rPr>
            </w:pPr>
            <w:r w:rsidRPr="00610D33">
              <w:rPr>
                <w:sz w:val="24"/>
              </w:rPr>
              <w:t>43.1%</w:t>
            </w:r>
          </w:p>
        </w:tc>
        <w:tc>
          <w:tcPr>
            <w:tcW w:w="2338" w:type="dxa"/>
            <w:vAlign w:val="center"/>
          </w:tcPr>
          <w:p w:rsidR="00045C76" w:rsidP="00045C76" w14:paraId="16E30873" w14:textId="3078B06C">
            <w:pPr>
              <w:rPr>
                <w:sz w:val="24"/>
              </w:rPr>
            </w:pPr>
            <w:r w:rsidRPr="00610D33">
              <w:rPr>
                <w:sz w:val="24"/>
              </w:rPr>
              <w:t>1,550</w:t>
            </w:r>
          </w:p>
        </w:tc>
      </w:tr>
      <w:tr w14:paraId="708AB2C0" w14:textId="77777777" w:rsidTr="00E33791">
        <w:tblPrEx>
          <w:tblW w:w="0" w:type="auto"/>
          <w:tblLook w:val="04A0"/>
        </w:tblPrEx>
        <w:tc>
          <w:tcPr>
            <w:tcW w:w="2337" w:type="dxa"/>
            <w:vAlign w:val="center"/>
          </w:tcPr>
          <w:p w:rsidR="00045C76" w:rsidP="00045C76" w14:paraId="76E10485" w14:textId="2114DE40">
            <w:pPr>
              <w:rPr>
                <w:sz w:val="24"/>
              </w:rPr>
            </w:pPr>
            <w:r w:rsidRPr="00610D33">
              <w:rPr>
                <w:sz w:val="24"/>
              </w:rPr>
              <w:t>Contract Sterilizers</w:t>
            </w:r>
          </w:p>
        </w:tc>
        <w:tc>
          <w:tcPr>
            <w:tcW w:w="2337" w:type="dxa"/>
            <w:vAlign w:val="center"/>
          </w:tcPr>
          <w:p w:rsidR="00045C76" w:rsidP="00045C76" w14:paraId="317753FC" w14:textId="389F0DE0">
            <w:pPr>
              <w:rPr>
                <w:sz w:val="24"/>
              </w:rPr>
            </w:pPr>
            <w:r w:rsidRPr="00610D33">
              <w:rPr>
                <w:sz w:val="24"/>
              </w:rPr>
              <w:t>209</w:t>
            </w:r>
          </w:p>
        </w:tc>
        <w:tc>
          <w:tcPr>
            <w:tcW w:w="2338" w:type="dxa"/>
            <w:vAlign w:val="center"/>
          </w:tcPr>
          <w:p w:rsidR="00045C76" w:rsidP="00045C76" w14:paraId="49DDB327" w14:textId="48E40EEF">
            <w:pPr>
              <w:rPr>
                <w:sz w:val="24"/>
              </w:rPr>
            </w:pPr>
            <w:r w:rsidRPr="00610D33">
              <w:rPr>
                <w:sz w:val="24"/>
              </w:rPr>
              <w:t>44.0%</w:t>
            </w:r>
          </w:p>
        </w:tc>
        <w:tc>
          <w:tcPr>
            <w:tcW w:w="2338" w:type="dxa"/>
            <w:vAlign w:val="center"/>
          </w:tcPr>
          <w:p w:rsidR="00045C76" w:rsidP="00045C76" w14:paraId="592EB961" w14:textId="701DC861">
            <w:pPr>
              <w:rPr>
                <w:sz w:val="24"/>
              </w:rPr>
            </w:pPr>
            <w:r w:rsidRPr="00610D33">
              <w:rPr>
                <w:sz w:val="24"/>
              </w:rPr>
              <w:t>301</w:t>
            </w:r>
          </w:p>
        </w:tc>
      </w:tr>
      <w:tr w14:paraId="7BBF1A9E" w14:textId="77777777" w:rsidTr="00620B64">
        <w:tblPrEx>
          <w:tblW w:w="0" w:type="auto"/>
          <w:tblLook w:val="04A0"/>
        </w:tblPrEx>
        <w:tc>
          <w:tcPr>
            <w:tcW w:w="2337" w:type="dxa"/>
            <w:vAlign w:val="center"/>
          </w:tcPr>
          <w:p w:rsidR="00045C76" w:rsidP="00045C76" w14:paraId="13F85AE7" w14:textId="419D1E1C">
            <w:pPr>
              <w:rPr>
                <w:sz w:val="24"/>
              </w:rPr>
            </w:pPr>
            <w:r w:rsidRPr="00610D33">
              <w:rPr>
                <w:b/>
                <w:bCs/>
                <w:sz w:val="24"/>
              </w:rPr>
              <w:t>Totals</w:t>
            </w:r>
          </w:p>
        </w:tc>
        <w:tc>
          <w:tcPr>
            <w:tcW w:w="2337" w:type="dxa"/>
            <w:vAlign w:val="center"/>
          </w:tcPr>
          <w:p w:rsidR="00045C76" w:rsidP="00045C76" w14:paraId="39C3F9CE" w14:textId="4398EF2A">
            <w:pPr>
              <w:rPr>
                <w:sz w:val="24"/>
              </w:rPr>
            </w:pPr>
            <w:r w:rsidRPr="00610D33">
              <w:rPr>
                <w:b/>
                <w:bCs/>
                <w:sz w:val="24"/>
              </w:rPr>
              <w:t>30,906</w:t>
            </w:r>
          </w:p>
        </w:tc>
        <w:tc>
          <w:tcPr>
            <w:tcW w:w="2338" w:type="dxa"/>
            <w:shd w:val="clear" w:color="auto" w:fill="000000" w:themeFill="text1"/>
            <w:vAlign w:val="center"/>
          </w:tcPr>
          <w:p w:rsidR="00045C76" w:rsidP="00045C76" w14:paraId="2E531BEB" w14:textId="5D1BF3AD">
            <w:pPr>
              <w:rPr>
                <w:sz w:val="24"/>
              </w:rPr>
            </w:pPr>
            <w:r w:rsidRPr="00610D33">
              <w:rPr>
                <w:b/>
                <w:bCs/>
                <w:sz w:val="24"/>
              </w:rPr>
              <w:t> </w:t>
            </w:r>
          </w:p>
        </w:tc>
        <w:tc>
          <w:tcPr>
            <w:tcW w:w="2338" w:type="dxa"/>
            <w:vAlign w:val="center"/>
          </w:tcPr>
          <w:p w:rsidR="00045C76" w:rsidP="00045C76" w14:paraId="4562D62B" w14:textId="14601063">
            <w:pPr>
              <w:rPr>
                <w:sz w:val="24"/>
              </w:rPr>
            </w:pPr>
            <w:r w:rsidRPr="00610D33">
              <w:rPr>
                <w:b/>
                <w:bCs/>
                <w:sz w:val="24"/>
              </w:rPr>
              <w:t>44,427</w:t>
            </w:r>
          </w:p>
        </w:tc>
      </w:tr>
    </w:tbl>
    <w:p w:rsidR="00BA167E" w:rsidRPr="00565389" w:rsidP="009C3237" w14:paraId="6C59B81D" w14:textId="77777777">
      <w:pPr>
        <w:rPr>
          <w:sz w:val="24"/>
        </w:rPr>
      </w:pPr>
    </w:p>
    <w:p w:rsidR="00610D33" w:rsidP="009C3237" w14:paraId="35073D71" w14:textId="7291BEB1">
      <w:pPr>
        <w:rPr>
          <w:sz w:val="24"/>
        </w:rPr>
      </w:pPr>
      <w:r w:rsidRPr="00565389">
        <w:rPr>
          <w:sz w:val="24"/>
        </w:rPr>
        <w:t xml:space="preserve">The </w:t>
      </w:r>
      <w:r w:rsidR="0074017F">
        <w:rPr>
          <w:sz w:val="24"/>
        </w:rPr>
        <w:t>a</w:t>
      </w:r>
      <w:r w:rsidRPr="00565389">
        <w:rPr>
          <w:sz w:val="24"/>
        </w:rPr>
        <w:t>gency assumes that 10% of exposed workers (4,</w:t>
      </w:r>
      <w:r w:rsidR="00376930">
        <w:rPr>
          <w:sz w:val="24"/>
        </w:rPr>
        <w:t>443</w:t>
      </w:r>
      <w:r w:rsidRPr="00565389">
        <w:rPr>
          <w:sz w:val="24"/>
        </w:rPr>
        <w:t>) (see Table 7 below), including designated worker representatives, will request access to exposure-monitoring and medical-surveillance records, or written compliance programs, each year. OSHA estimates that it will take a secretary 5 minutes (5/60 hour) to make these records available to the workers and their designated worker representatives.</w:t>
      </w:r>
    </w:p>
    <w:p w:rsidR="009A45E6" w:rsidP="009C3237" w14:paraId="5B0190AF" w14:textId="77777777">
      <w:pPr>
        <w:rPr>
          <w:sz w:val="24"/>
        </w:rPr>
      </w:pPr>
    </w:p>
    <w:p w:rsidR="009A45E6" w:rsidP="009C3237" w14:paraId="53C4077C" w14:textId="77777777">
      <w:pPr>
        <w:rPr>
          <w:sz w:val="24"/>
        </w:rPr>
      </w:pPr>
    </w:p>
    <w:p w:rsidR="009C3237" w:rsidRPr="00565389" w:rsidP="009A45E6" w14:paraId="4AABB5FB" w14:textId="3527E72A">
      <w:pPr>
        <w:rPr>
          <w:sz w:val="24"/>
        </w:rPr>
      </w:pPr>
      <w:r w:rsidRPr="00565389">
        <w:rPr>
          <w:b/>
          <w:bCs/>
          <w:sz w:val="24"/>
        </w:rPr>
        <w:t>Burden hours</w:t>
      </w:r>
      <w:r w:rsidRPr="00565389">
        <w:rPr>
          <w:sz w:val="24"/>
        </w:rPr>
        <w:t xml:space="preserve">:  </w:t>
      </w:r>
      <w:r w:rsidR="00FF2E34">
        <w:rPr>
          <w:sz w:val="24"/>
        </w:rPr>
        <w:tab/>
      </w:r>
      <w:r w:rsidRPr="00565389">
        <w:rPr>
          <w:sz w:val="24"/>
        </w:rPr>
        <w:t>4,</w:t>
      </w:r>
      <w:r w:rsidR="00376930">
        <w:rPr>
          <w:sz w:val="24"/>
        </w:rPr>
        <w:t>443</w:t>
      </w:r>
      <w:r w:rsidRPr="00565389">
        <w:rPr>
          <w:sz w:val="24"/>
        </w:rPr>
        <w:t xml:space="preserve"> workers/representatives x 5/60 hour = </w:t>
      </w:r>
      <w:r w:rsidR="00376930">
        <w:rPr>
          <w:sz w:val="24"/>
        </w:rPr>
        <w:t>370</w:t>
      </w:r>
      <w:r w:rsidRPr="00565389">
        <w:rPr>
          <w:sz w:val="24"/>
        </w:rPr>
        <w:t xml:space="preserve"> hours</w:t>
      </w:r>
    </w:p>
    <w:p w:rsidR="009C3237" w:rsidRPr="00565389" w:rsidP="009A45E6" w14:paraId="38712B5C" w14:textId="3371F099">
      <w:pPr>
        <w:rPr>
          <w:sz w:val="24"/>
        </w:rPr>
      </w:pPr>
      <w:r w:rsidRPr="00565389">
        <w:rPr>
          <w:b/>
          <w:bCs/>
          <w:sz w:val="24"/>
        </w:rPr>
        <w:t>Cost</w:t>
      </w:r>
      <w:r w:rsidRPr="00565389">
        <w:rPr>
          <w:sz w:val="24"/>
        </w:rPr>
        <w:t xml:space="preserve">:   </w:t>
      </w:r>
      <w:r w:rsidR="009A45E6">
        <w:rPr>
          <w:sz w:val="24"/>
        </w:rPr>
        <w:tab/>
      </w:r>
      <w:r w:rsidR="009A45E6">
        <w:rPr>
          <w:sz w:val="24"/>
        </w:rPr>
        <w:tab/>
      </w:r>
      <w:r w:rsidR="00FF2E34">
        <w:rPr>
          <w:sz w:val="24"/>
        </w:rPr>
        <w:tab/>
      </w:r>
      <w:r w:rsidR="00376930">
        <w:rPr>
          <w:sz w:val="24"/>
        </w:rPr>
        <w:t>370</w:t>
      </w:r>
      <w:r w:rsidRPr="00565389">
        <w:rPr>
          <w:sz w:val="24"/>
        </w:rPr>
        <w:t xml:space="preserve"> hours for workers/representatives x $</w:t>
      </w:r>
      <w:r w:rsidR="0099106F">
        <w:rPr>
          <w:sz w:val="24"/>
        </w:rPr>
        <w:t>29.60</w:t>
      </w:r>
      <w:r w:rsidR="006A7352">
        <w:rPr>
          <w:sz w:val="24"/>
        </w:rPr>
        <w:t xml:space="preserve"> </w:t>
      </w:r>
      <w:r w:rsidRPr="00565389">
        <w:rPr>
          <w:sz w:val="24"/>
        </w:rPr>
        <w:t>(secretary) = $</w:t>
      </w:r>
      <w:r w:rsidR="0099106F">
        <w:rPr>
          <w:sz w:val="24"/>
        </w:rPr>
        <w:t>10,952</w:t>
      </w:r>
    </w:p>
    <w:p w:rsidR="009C3237" w:rsidRPr="00565389" w:rsidP="009C3237" w14:paraId="689945B5" w14:textId="77777777">
      <w:pPr>
        <w:ind w:left="1440" w:firstLine="1440"/>
        <w:rPr>
          <w:sz w:val="24"/>
        </w:rPr>
      </w:pPr>
    </w:p>
    <w:p w:rsidR="009C3237" w:rsidRPr="00565389" w:rsidP="009C3237" w14:paraId="5B141010" w14:textId="77777777">
      <w:pPr>
        <w:ind w:left="1440" w:firstLine="1440"/>
        <w:rPr>
          <w:sz w:val="24"/>
        </w:rPr>
      </w:pPr>
    </w:p>
    <w:p w:rsidR="009C3237" w:rsidRPr="00565389" w:rsidP="009C3237" w14:paraId="2BB91174" w14:textId="77777777">
      <w:pPr>
        <w:ind w:left="1440" w:firstLine="1440"/>
        <w:rPr>
          <w:sz w:val="24"/>
        </w:rPr>
      </w:pPr>
    </w:p>
    <w:p w:rsidR="009C3237" w:rsidRPr="00565389" w:rsidP="009C3237" w14:paraId="75DF483C" w14:textId="77777777">
      <w:pPr>
        <w:ind w:left="1440" w:firstLine="1440"/>
        <w:rPr>
          <w:sz w:val="24"/>
        </w:rPr>
      </w:pPr>
    </w:p>
    <w:p w:rsidR="009C3237" w:rsidRPr="00565389" w:rsidP="009C3237" w14:paraId="11E30F60" w14:textId="77777777">
      <w:pPr>
        <w:ind w:left="1440" w:firstLine="1440"/>
        <w:rPr>
          <w:sz w:val="24"/>
        </w:rPr>
      </w:pPr>
    </w:p>
    <w:p w:rsidR="009C3237" w:rsidRPr="00565389" w:rsidP="009C3237" w14:paraId="4ED186CD" w14:textId="77777777">
      <w:pPr>
        <w:ind w:left="1440" w:firstLine="1440"/>
        <w:rPr>
          <w:sz w:val="24"/>
        </w:rPr>
      </w:pPr>
    </w:p>
    <w:p w:rsidR="009C3237" w:rsidRPr="00565389" w:rsidP="009C3237" w14:paraId="572D57C3" w14:textId="77777777">
      <w:pPr>
        <w:ind w:left="1440" w:firstLine="1440"/>
        <w:rPr>
          <w:sz w:val="24"/>
        </w:rPr>
      </w:pPr>
    </w:p>
    <w:p w:rsidR="009C3237" w:rsidRPr="00565389" w:rsidP="009C3237" w14:paraId="018CC642" w14:textId="77777777">
      <w:pPr>
        <w:ind w:left="1440" w:firstLine="1440"/>
        <w:rPr>
          <w:sz w:val="24"/>
        </w:rPr>
      </w:pPr>
    </w:p>
    <w:p w:rsidR="009C3237" w:rsidRPr="00565389" w:rsidP="009C3237" w14:paraId="109E9378" w14:textId="77777777">
      <w:pPr>
        <w:ind w:left="1440" w:firstLine="1440"/>
        <w:rPr>
          <w:sz w:val="24"/>
        </w:rPr>
      </w:pPr>
    </w:p>
    <w:p w:rsidR="009C3237" w:rsidRPr="00565389" w:rsidP="009C3237" w14:paraId="2E8C0CA2" w14:textId="77777777">
      <w:pPr>
        <w:ind w:left="1440" w:firstLine="1440"/>
        <w:rPr>
          <w:sz w:val="24"/>
        </w:rPr>
      </w:pPr>
    </w:p>
    <w:p w:rsidR="009C3237" w:rsidRPr="00565389" w:rsidP="009C3237" w14:paraId="4DCD5E02" w14:textId="77777777">
      <w:pPr>
        <w:ind w:left="1440" w:firstLine="1440"/>
        <w:rPr>
          <w:sz w:val="24"/>
        </w:rPr>
      </w:pPr>
    </w:p>
    <w:p w:rsidR="009C3237" w:rsidRPr="00565389" w:rsidP="009C3237" w14:paraId="5A9C48EE" w14:textId="77777777">
      <w:pPr>
        <w:ind w:left="1440" w:firstLine="1440"/>
        <w:rPr>
          <w:sz w:val="24"/>
        </w:rPr>
      </w:pPr>
    </w:p>
    <w:p w:rsidR="009C3237" w:rsidRPr="00565389" w:rsidP="009C3237" w14:paraId="38A6BEA8" w14:textId="77777777">
      <w:pPr>
        <w:ind w:left="1440" w:firstLine="1440"/>
        <w:rPr>
          <w:sz w:val="24"/>
        </w:rPr>
      </w:pPr>
    </w:p>
    <w:p w:rsidR="009C3237" w:rsidRPr="00565389" w:rsidP="009C3237" w14:paraId="6FED17F5" w14:textId="77777777">
      <w:pPr>
        <w:ind w:left="1440" w:firstLine="1440"/>
        <w:rPr>
          <w:sz w:val="24"/>
        </w:rPr>
      </w:pPr>
    </w:p>
    <w:p w:rsidR="009C3237" w:rsidRPr="00565389" w:rsidP="000332C1" w14:paraId="3F1CF9B7" w14:textId="77777777">
      <w:pPr>
        <w:rPr>
          <w:sz w:val="24"/>
        </w:rPr>
        <w:sectPr w:rsidSect="006A1310">
          <w:headerReference w:type="even" r:id="rId16"/>
          <w:headerReference w:type="default" r:id="rId17"/>
          <w:footerReference w:type="even" r:id="rId18"/>
          <w:footerReference w:type="default" r:id="rId19"/>
          <w:headerReference w:type="first" r:id="rId20"/>
          <w:endnotePr>
            <w:numFmt w:val="decimal"/>
          </w:endnotePr>
          <w:pgSz w:w="12240" w:h="15840" w:code="1"/>
          <w:pgMar w:top="1440" w:right="1440" w:bottom="1440" w:left="1440" w:header="720" w:footer="1440" w:gutter="0"/>
          <w:pgNumType w:fmt="numberInDash"/>
          <w:cols w:space="720"/>
          <w:noEndnote/>
          <w:docGrid w:linePitch="272"/>
        </w:sectPr>
      </w:pPr>
    </w:p>
    <w:p w:rsidR="00376930" w:rsidP="009C3237" w14:paraId="207D48C9" w14:textId="2145D995">
      <w:pPr>
        <w:rPr>
          <w:sz w:val="24"/>
        </w:rPr>
      </w:pPr>
      <w:r w:rsidRPr="00565389">
        <w:rPr>
          <w:sz w:val="24"/>
        </w:rPr>
        <w:t>The following table summarizes the burden hours and costs associated with each provision of the Standard that contains a collection of information:</w:t>
      </w:r>
    </w:p>
    <w:p w:rsidR="00AA0CBB" w:rsidP="009C3237" w14:paraId="4516581E" w14:textId="77777777">
      <w:pPr>
        <w:rPr>
          <w:sz w:val="24"/>
        </w:rPr>
      </w:pPr>
    </w:p>
    <w:tbl>
      <w:tblPr>
        <w:tblW w:w="13500" w:type="dxa"/>
        <w:tblInd w:w="-270" w:type="dxa"/>
        <w:tblLayout w:type="fixed"/>
        <w:tblLook w:val="04A0"/>
      </w:tblPr>
      <w:tblGrid>
        <w:gridCol w:w="2610"/>
        <w:gridCol w:w="1800"/>
        <w:gridCol w:w="1454"/>
        <w:gridCol w:w="1430"/>
        <w:gridCol w:w="1270"/>
        <w:gridCol w:w="1177"/>
        <w:gridCol w:w="1243"/>
        <w:gridCol w:w="1076"/>
        <w:gridCol w:w="1440"/>
      </w:tblGrid>
      <w:tr w14:paraId="699E9402" w14:textId="77777777" w:rsidTr="005E13B2">
        <w:tblPrEx>
          <w:tblW w:w="13500" w:type="dxa"/>
          <w:tblInd w:w="-270" w:type="dxa"/>
          <w:tblLayout w:type="fixed"/>
          <w:tblLook w:val="04A0"/>
        </w:tblPrEx>
        <w:trPr>
          <w:trHeight w:val="312"/>
          <w:tblHeader/>
        </w:trPr>
        <w:tc>
          <w:tcPr>
            <w:tcW w:w="13500" w:type="dxa"/>
            <w:gridSpan w:val="9"/>
            <w:tcBorders>
              <w:top w:val="nil"/>
              <w:left w:val="nil"/>
              <w:bottom w:val="nil"/>
              <w:right w:val="nil"/>
            </w:tcBorders>
            <w:shd w:val="clear" w:color="auto" w:fill="auto"/>
            <w:vAlign w:val="center"/>
            <w:hideMark/>
          </w:tcPr>
          <w:p w:rsidR="00AA0CBB" w:rsidRPr="00AA0CBB" w:rsidP="00AA0CBB" w14:paraId="05D8CF8A" w14:textId="59EAB1EC">
            <w:pPr>
              <w:widowControl/>
              <w:autoSpaceDE/>
              <w:autoSpaceDN/>
              <w:adjustRightInd/>
              <w:jc w:val="center"/>
              <w:rPr>
                <w:b/>
                <w:bCs/>
                <w:sz w:val="24"/>
              </w:rPr>
            </w:pPr>
            <w:r w:rsidRPr="00AA0CBB">
              <w:rPr>
                <w:b/>
                <w:bCs/>
                <w:sz w:val="24"/>
              </w:rPr>
              <w:t>TABLE 8</w:t>
            </w:r>
            <w:r>
              <w:rPr>
                <w:b/>
                <w:bCs/>
                <w:sz w:val="24"/>
              </w:rPr>
              <w:t xml:space="preserve"> </w:t>
            </w:r>
            <w:r w:rsidRPr="00AA0CBB">
              <w:rPr>
                <w:b/>
                <w:bCs/>
                <w:sz w:val="24"/>
              </w:rPr>
              <w:t>- RESPONDENTS, RESPONSES, BURDEN HOURS AND ANNUAL BURDEN COST FOR PRIVATE SECTOR</w:t>
            </w:r>
          </w:p>
        </w:tc>
      </w:tr>
      <w:tr w14:paraId="10CEC177" w14:textId="77777777" w:rsidTr="00B84BAD">
        <w:tblPrEx>
          <w:tblW w:w="13500" w:type="dxa"/>
          <w:tblInd w:w="-270" w:type="dxa"/>
          <w:tblLayout w:type="fixed"/>
          <w:tblLook w:val="04A0"/>
        </w:tblPrEx>
        <w:trPr>
          <w:trHeight w:val="936"/>
          <w:tblHeader/>
        </w:trPr>
        <w:tc>
          <w:tcPr>
            <w:tcW w:w="261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AA0CBB" w:rsidRPr="00777FD8" w:rsidP="00AA0CBB" w14:paraId="03A0F762" w14:textId="17A6B8CD">
            <w:pPr>
              <w:widowControl/>
              <w:autoSpaceDE/>
              <w:autoSpaceDN/>
              <w:adjustRightInd/>
              <w:jc w:val="center"/>
              <w:rPr>
                <w:b/>
                <w:bCs/>
                <w:sz w:val="22"/>
                <w:szCs w:val="22"/>
              </w:rPr>
            </w:pPr>
            <w:r w:rsidRPr="00777FD8">
              <w:rPr>
                <w:b/>
                <w:bCs/>
                <w:sz w:val="22"/>
                <w:szCs w:val="22"/>
              </w:rPr>
              <w:t>Collection of Information</w:t>
            </w:r>
          </w:p>
        </w:tc>
        <w:tc>
          <w:tcPr>
            <w:tcW w:w="1800"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rsidR="00AA0CBB" w:rsidRPr="00777FD8" w:rsidP="00AA0CBB" w14:paraId="513F183B" w14:textId="77777777">
            <w:pPr>
              <w:widowControl/>
              <w:autoSpaceDE/>
              <w:autoSpaceDN/>
              <w:adjustRightInd/>
              <w:jc w:val="center"/>
              <w:rPr>
                <w:b/>
                <w:bCs/>
                <w:sz w:val="22"/>
                <w:szCs w:val="22"/>
              </w:rPr>
            </w:pPr>
            <w:r w:rsidRPr="00777FD8">
              <w:rPr>
                <w:b/>
                <w:bCs/>
                <w:sz w:val="22"/>
                <w:szCs w:val="22"/>
              </w:rPr>
              <w:t>Type of Respondent*</w:t>
            </w:r>
          </w:p>
        </w:tc>
        <w:tc>
          <w:tcPr>
            <w:tcW w:w="1454"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rsidR="00AA0CBB" w:rsidRPr="00777FD8" w:rsidP="00AA0CBB" w14:paraId="7C918106" w14:textId="109484AA">
            <w:pPr>
              <w:widowControl/>
              <w:autoSpaceDE/>
              <w:autoSpaceDN/>
              <w:adjustRightInd/>
              <w:jc w:val="center"/>
              <w:rPr>
                <w:b/>
                <w:bCs/>
                <w:sz w:val="22"/>
                <w:szCs w:val="22"/>
              </w:rPr>
            </w:pPr>
            <w:r w:rsidRPr="00777FD8">
              <w:rPr>
                <w:b/>
                <w:bCs/>
                <w:sz w:val="22"/>
                <w:szCs w:val="22"/>
              </w:rPr>
              <w:t>No. of Respon-dents</w:t>
            </w:r>
          </w:p>
        </w:tc>
        <w:tc>
          <w:tcPr>
            <w:tcW w:w="1430"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rsidR="00AA0CBB" w:rsidRPr="00777FD8" w:rsidP="00AA0CBB" w14:paraId="750FAB1A" w14:textId="77777777">
            <w:pPr>
              <w:widowControl/>
              <w:autoSpaceDE/>
              <w:autoSpaceDN/>
              <w:adjustRightInd/>
              <w:jc w:val="center"/>
              <w:rPr>
                <w:b/>
                <w:bCs/>
                <w:sz w:val="22"/>
                <w:szCs w:val="22"/>
              </w:rPr>
            </w:pPr>
            <w:r w:rsidRPr="00777FD8">
              <w:rPr>
                <w:b/>
                <w:bCs/>
                <w:sz w:val="22"/>
                <w:szCs w:val="22"/>
              </w:rPr>
              <w:t>No. of Responses per Respondent</w:t>
            </w:r>
          </w:p>
        </w:tc>
        <w:tc>
          <w:tcPr>
            <w:tcW w:w="1270"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rsidR="00AA0CBB" w:rsidRPr="00777FD8" w:rsidP="00AA0CBB" w14:paraId="7524023F" w14:textId="36402A4E">
            <w:pPr>
              <w:widowControl/>
              <w:autoSpaceDE/>
              <w:autoSpaceDN/>
              <w:adjustRightInd/>
              <w:jc w:val="center"/>
              <w:rPr>
                <w:b/>
                <w:bCs/>
                <w:sz w:val="22"/>
                <w:szCs w:val="22"/>
              </w:rPr>
            </w:pPr>
            <w:r w:rsidRPr="00777FD8">
              <w:rPr>
                <w:b/>
                <w:bCs/>
                <w:sz w:val="22"/>
                <w:szCs w:val="22"/>
              </w:rPr>
              <w:t>Total Responses</w:t>
            </w:r>
          </w:p>
        </w:tc>
        <w:tc>
          <w:tcPr>
            <w:tcW w:w="1177"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rsidR="00AA0CBB" w:rsidRPr="00777FD8" w:rsidP="00AA0CBB" w14:paraId="01772A32" w14:textId="749F923D">
            <w:pPr>
              <w:widowControl/>
              <w:autoSpaceDE/>
              <w:autoSpaceDN/>
              <w:adjustRightInd/>
              <w:jc w:val="center"/>
              <w:rPr>
                <w:b/>
                <w:bCs/>
                <w:sz w:val="22"/>
                <w:szCs w:val="22"/>
              </w:rPr>
            </w:pPr>
            <w:r w:rsidRPr="00777FD8">
              <w:rPr>
                <w:b/>
                <w:bCs/>
                <w:sz w:val="22"/>
                <w:szCs w:val="22"/>
              </w:rPr>
              <w:t>Time per Response (Hrs.)</w:t>
            </w:r>
          </w:p>
        </w:tc>
        <w:tc>
          <w:tcPr>
            <w:tcW w:w="1243" w:type="dxa"/>
            <w:tcBorders>
              <w:top w:val="single" w:sz="4" w:space="0" w:color="auto"/>
              <w:left w:val="nil"/>
              <w:bottom w:val="single" w:sz="4" w:space="0" w:color="auto"/>
              <w:right w:val="single" w:sz="4" w:space="0" w:color="auto"/>
            </w:tcBorders>
            <w:shd w:val="clear" w:color="auto" w:fill="9CC2E5" w:themeFill="accent1" w:themeFillTint="99"/>
            <w:hideMark/>
          </w:tcPr>
          <w:p w:rsidR="00AA0CBB" w:rsidRPr="00777FD8" w:rsidP="00AA0CBB" w14:paraId="539A64A7" w14:textId="77777777">
            <w:pPr>
              <w:widowControl/>
              <w:autoSpaceDE/>
              <w:autoSpaceDN/>
              <w:adjustRightInd/>
              <w:jc w:val="center"/>
              <w:rPr>
                <w:b/>
                <w:bCs/>
                <w:sz w:val="22"/>
                <w:szCs w:val="22"/>
              </w:rPr>
            </w:pPr>
            <w:r w:rsidRPr="00777FD8">
              <w:rPr>
                <w:b/>
                <w:bCs/>
                <w:sz w:val="22"/>
                <w:szCs w:val="22"/>
              </w:rPr>
              <w:t>Total Burden Hours (rounded)</w:t>
            </w:r>
          </w:p>
        </w:tc>
        <w:tc>
          <w:tcPr>
            <w:tcW w:w="1076"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rsidR="00AA0CBB" w:rsidRPr="00777FD8" w:rsidP="00AA0CBB" w14:paraId="6514461D" w14:textId="5812D748">
            <w:pPr>
              <w:widowControl/>
              <w:autoSpaceDE/>
              <w:autoSpaceDN/>
              <w:adjustRightInd/>
              <w:jc w:val="center"/>
              <w:rPr>
                <w:b/>
                <w:bCs/>
                <w:sz w:val="22"/>
                <w:szCs w:val="22"/>
              </w:rPr>
            </w:pPr>
            <w:r w:rsidRPr="00777FD8">
              <w:rPr>
                <w:b/>
                <w:bCs/>
                <w:sz w:val="22"/>
                <w:szCs w:val="22"/>
              </w:rPr>
              <w:t>Loaded  Hourly Wage Rate</w:t>
            </w:r>
          </w:p>
        </w:tc>
        <w:tc>
          <w:tcPr>
            <w:tcW w:w="1440"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rsidR="00AA0CBB" w:rsidRPr="00777FD8" w:rsidP="00AA0CBB" w14:paraId="55D2BDF8" w14:textId="77777777">
            <w:pPr>
              <w:widowControl/>
              <w:autoSpaceDE/>
              <w:autoSpaceDN/>
              <w:adjustRightInd/>
              <w:jc w:val="center"/>
              <w:rPr>
                <w:b/>
                <w:bCs/>
                <w:sz w:val="22"/>
                <w:szCs w:val="22"/>
              </w:rPr>
            </w:pPr>
            <w:r w:rsidRPr="00777FD8">
              <w:rPr>
                <w:b/>
                <w:bCs/>
                <w:sz w:val="22"/>
                <w:szCs w:val="22"/>
              </w:rPr>
              <w:t>Total Burden Costs (rounded)</w:t>
            </w:r>
          </w:p>
        </w:tc>
      </w:tr>
      <w:tr w14:paraId="7F9DEF0D" w14:textId="77777777" w:rsidTr="00B84BAD">
        <w:tblPrEx>
          <w:tblW w:w="13500" w:type="dxa"/>
          <w:tblInd w:w="-270" w:type="dxa"/>
          <w:tblLayout w:type="fixed"/>
          <w:tblLook w:val="04A0"/>
        </w:tblPrEx>
        <w:trPr>
          <w:trHeight w:val="368"/>
        </w:trPr>
        <w:tc>
          <w:tcPr>
            <w:tcW w:w="13500" w:type="dxa"/>
            <w:gridSpan w:val="9"/>
            <w:tcBorders>
              <w:top w:val="nil"/>
              <w:left w:val="single" w:sz="4" w:space="0" w:color="auto"/>
              <w:bottom w:val="single" w:sz="4" w:space="0" w:color="auto"/>
              <w:right w:val="single" w:sz="4" w:space="0" w:color="auto"/>
            </w:tcBorders>
            <w:shd w:val="clear" w:color="auto" w:fill="DEEBF6" w:themeFill="accent1" w:themeFillTint="33"/>
            <w:vAlign w:val="center"/>
          </w:tcPr>
          <w:p w:rsidR="00435972" w:rsidRPr="00565389" w:rsidP="00895E2D" w14:paraId="2949DC45" w14:textId="77777777">
            <w:pPr>
              <w:rPr>
                <w:b/>
                <w:bCs/>
                <w:sz w:val="24"/>
              </w:rPr>
            </w:pPr>
            <w:r w:rsidRPr="00565389">
              <w:rPr>
                <w:b/>
                <w:bCs/>
                <w:sz w:val="24"/>
              </w:rPr>
              <w:t>(A)  Exposure monitoring (§1910.1047(d))</w:t>
            </w:r>
          </w:p>
          <w:p w:rsidR="00435972" w:rsidRPr="00777FD8" w:rsidP="00AA0CBB" w14:paraId="04F9D646" w14:textId="77777777">
            <w:pPr>
              <w:widowControl/>
              <w:autoSpaceDE/>
              <w:autoSpaceDN/>
              <w:adjustRightInd/>
              <w:jc w:val="right"/>
              <w:rPr>
                <w:sz w:val="22"/>
                <w:szCs w:val="22"/>
              </w:rPr>
            </w:pPr>
          </w:p>
        </w:tc>
      </w:tr>
      <w:tr w14:paraId="6B6C598B" w14:textId="77777777" w:rsidTr="002A314E">
        <w:tblPrEx>
          <w:tblW w:w="13500" w:type="dxa"/>
          <w:tblInd w:w="-270" w:type="dxa"/>
          <w:tblLayout w:type="fixed"/>
          <w:tblLook w:val="04A0"/>
        </w:tblPrEx>
        <w:trPr>
          <w:trHeight w:val="624"/>
        </w:trPr>
        <w:tc>
          <w:tcPr>
            <w:tcW w:w="2610" w:type="dxa"/>
            <w:tcBorders>
              <w:top w:val="nil"/>
              <w:left w:val="single" w:sz="4" w:space="0" w:color="auto"/>
              <w:bottom w:val="single" w:sz="4" w:space="0" w:color="auto"/>
              <w:right w:val="single" w:sz="4" w:space="0" w:color="auto"/>
            </w:tcBorders>
            <w:shd w:val="clear" w:color="auto" w:fill="auto"/>
            <w:vAlign w:val="center"/>
            <w:hideMark/>
          </w:tcPr>
          <w:p w:rsidR="00AA0CBB" w:rsidRPr="00777FD8" w:rsidP="00AA0CBB" w14:paraId="66E0BB0F" w14:textId="77777777">
            <w:pPr>
              <w:widowControl/>
              <w:autoSpaceDE/>
              <w:autoSpaceDN/>
              <w:adjustRightInd/>
              <w:rPr>
                <w:sz w:val="22"/>
                <w:szCs w:val="22"/>
              </w:rPr>
            </w:pPr>
            <w:r w:rsidRPr="00777FD8">
              <w:rPr>
                <w:sz w:val="22"/>
                <w:szCs w:val="22"/>
              </w:rPr>
              <w:t>Exposure Monitoring</w:t>
            </w:r>
            <w:r w:rsidRPr="00777FD8">
              <w:rPr>
                <w:sz w:val="22"/>
                <w:szCs w:val="22"/>
              </w:rPr>
              <w:br/>
              <w:t>(§1910.1047(d))</w:t>
            </w:r>
          </w:p>
        </w:tc>
        <w:tc>
          <w:tcPr>
            <w:tcW w:w="1800" w:type="dxa"/>
            <w:tcBorders>
              <w:top w:val="nil"/>
              <w:left w:val="nil"/>
              <w:bottom w:val="single" w:sz="4" w:space="0" w:color="auto"/>
              <w:right w:val="single" w:sz="4" w:space="0" w:color="auto"/>
            </w:tcBorders>
            <w:shd w:val="clear" w:color="auto" w:fill="auto"/>
            <w:noWrap/>
            <w:vAlign w:val="center"/>
            <w:hideMark/>
          </w:tcPr>
          <w:p w:rsidR="00AA0CBB" w:rsidRPr="00777FD8" w:rsidP="00AA0CBB" w14:paraId="56751D91" w14:textId="77777777">
            <w:pPr>
              <w:widowControl/>
              <w:autoSpaceDE/>
              <w:autoSpaceDN/>
              <w:adjustRightInd/>
              <w:rPr>
                <w:sz w:val="22"/>
                <w:szCs w:val="22"/>
              </w:rPr>
            </w:pPr>
            <w:r w:rsidRPr="00777FD8">
              <w:rPr>
                <w:sz w:val="22"/>
                <w:szCs w:val="22"/>
              </w:rPr>
              <w:t>First Line Supervisor</w:t>
            </w:r>
          </w:p>
        </w:tc>
        <w:tc>
          <w:tcPr>
            <w:tcW w:w="1454" w:type="dxa"/>
            <w:tcBorders>
              <w:top w:val="nil"/>
              <w:left w:val="nil"/>
              <w:bottom w:val="single" w:sz="4" w:space="0" w:color="auto"/>
              <w:right w:val="single" w:sz="4" w:space="0" w:color="auto"/>
            </w:tcBorders>
            <w:shd w:val="clear" w:color="auto" w:fill="auto"/>
            <w:noWrap/>
            <w:vAlign w:val="center"/>
            <w:hideMark/>
          </w:tcPr>
          <w:p w:rsidR="00AA0CBB" w:rsidRPr="00777FD8" w:rsidP="002A314E" w14:paraId="65FC2BD3" w14:textId="77777777">
            <w:pPr>
              <w:widowControl/>
              <w:autoSpaceDE/>
              <w:autoSpaceDN/>
              <w:adjustRightInd/>
              <w:jc w:val="center"/>
              <w:rPr>
                <w:sz w:val="22"/>
                <w:szCs w:val="22"/>
              </w:rPr>
            </w:pPr>
            <w:r w:rsidRPr="00777FD8">
              <w:rPr>
                <w:sz w:val="22"/>
                <w:szCs w:val="22"/>
              </w:rPr>
              <w:t>2,026</w:t>
            </w:r>
          </w:p>
        </w:tc>
        <w:tc>
          <w:tcPr>
            <w:tcW w:w="1430" w:type="dxa"/>
            <w:tcBorders>
              <w:top w:val="nil"/>
              <w:left w:val="nil"/>
              <w:bottom w:val="single" w:sz="4" w:space="0" w:color="auto"/>
              <w:right w:val="single" w:sz="4" w:space="0" w:color="auto"/>
            </w:tcBorders>
            <w:shd w:val="clear" w:color="auto" w:fill="auto"/>
            <w:noWrap/>
            <w:vAlign w:val="center"/>
            <w:hideMark/>
          </w:tcPr>
          <w:p w:rsidR="00AA0CBB" w:rsidRPr="00777FD8" w:rsidP="002A314E" w14:paraId="162A29ED" w14:textId="77777777">
            <w:pPr>
              <w:widowControl/>
              <w:autoSpaceDE/>
              <w:autoSpaceDN/>
              <w:adjustRightInd/>
              <w:jc w:val="center"/>
              <w:rPr>
                <w:sz w:val="22"/>
                <w:szCs w:val="22"/>
              </w:rPr>
            </w:pPr>
            <w:r w:rsidRPr="00777FD8">
              <w:rPr>
                <w:sz w:val="22"/>
                <w:szCs w:val="22"/>
              </w:rPr>
              <w:t>2.0785</w:t>
            </w:r>
          </w:p>
        </w:tc>
        <w:tc>
          <w:tcPr>
            <w:tcW w:w="1270" w:type="dxa"/>
            <w:tcBorders>
              <w:top w:val="nil"/>
              <w:left w:val="nil"/>
              <w:bottom w:val="single" w:sz="4" w:space="0" w:color="auto"/>
              <w:right w:val="single" w:sz="4" w:space="0" w:color="auto"/>
            </w:tcBorders>
            <w:shd w:val="clear" w:color="auto" w:fill="auto"/>
            <w:noWrap/>
            <w:vAlign w:val="center"/>
            <w:hideMark/>
          </w:tcPr>
          <w:p w:rsidR="00AA0CBB" w:rsidRPr="00777FD8" w:rsidP="002A314E" w14:paraId="6A972EA1" w14:textId="77777777">
            <w:pPr>
              <w:widowControl/>
              <w:autoSpaceDE/>
              <w:autoSpaceDN/>
              <w:adjustRightInd/>
              <w:jc w:val="center"/>
              <w:rPr>
                <w:sz w:val="22"/>
                <w:szCs w:val="22"/>
              </w:rPr>
            </w:pPr>
            <w:r w:rsidRPr="00777FD8">
              <w:rPr>
                <w:sz w:val="22"/>
                <w:szCs w:val="22"/>
              </w:rPr>
              <w:t>4,211</w:t>
            </w:r>
          </w:p>
        </w:tc>
        <w:tc>
          <w:tcPr>
            <w:tcW w:w="1177" w:type="dxa"/>
            <w:tcBorders>
              <w:top w:val="nil"/>
              <w:left w:val="nil"/>
              <w:bottom w:val="single" w:sz="4" w:space="0" w:color="auto"/>
              <w:right w:val="single" w:sz="4" w:space="0" w:color="auto"/>
            </w:tcBorders>
            <w:shd w:val="clear" w:color="auto" w:fill="auto"/>
            <w:noWrap/>
            <w:vAlign w:val="center"/>
            <w:hideMark/>
          </w:tcPr>
          <w:p w:rsidR="00AA0CBB" w:rsidRPr="00777FD8" w:rsidP="002A314E" w14:paraId="44E4C5E8" w14:textId="2C2924E6">
            <w:pPr>
              <w:widowControl/>
              <w:autoSpaceDE/>
              <w:autoSpaceDN/>
              <w:adjustRightInd/>
              <w:jc w:val="center"/>
              <w:rPr>
                <w:sz w:val="22"/>
                <w:szCs w:val="22"/>
              </w:rPr>
            </w:pPr>
            <w:r w:rsidRPr="00777FD8">
              <w:rPr>
                <w:sz w:val="22"/>
                <w:szCs w:val="22"/>
              </w:rPr>
              <w:t>10/60</w:t>
            </w:r>
          </w:p>
        </w:tc>
        <w:tc>
          <w:tcPr>
            <w:tcW w:w="1243" w:type="dxa"/>
            <w:tcBorders>
              <w:top w:val="nil"/>
              <w:left w:val="nil"/>
              <w:bottom w:val="single" w:sz="4" w:space="0" w:color="auto"/>
              <w:right w:val="single" w:sz="4" w:space="0" w:color="auto"/>
            </w:tcBorders>
            <w:shd w:val="clear" w:color="auto" w:fill="auto"/>
            <w:noWrap/>
            <w:vAlign w:val="center"/>
            <w:hideMark/>
          </w:tcPr>
          <w:p w:rsidR="00AA0CBB" w:rsidRPr="00777FD8" w:rsidP="002A314E" w14:paraId="178932F2" w14:textId="77777777">
            <w:pPr>
              <w:widowControl/>
              <w:autoSpaceDE/>
              <w:autoSpaceDN/>
              <w:adjustRightInd/>
              <w:jc w:val="center"/>
              <w:rPr>
                <w:sz w:val="22"/>
                <w:szCs w:val="22"/>
              </w:rPr>
            </w:pPr>
            <w:r w:rsidRPr="00777FD8">
              <w:rPr>
                <w:sz w:val="22"/>
                <w:szCs w:val="22"/>
              </w:rPr>
              <w:t>702</w:t>
            </w:r>
          </w:p>
        </w:tc>
        <w:tc>
          <w:tcPr>
            <w:tcW w:w="1076" w:type="dxa"/>
            <w:tcBorders>
              <w:top w:val="nil"/>
              <w:left w:val="nil"/>
              <w:bottom w:val="single" w:sz="4" w:space="0" w:color="auto"/>
              <w:right w:val="single" w:sz="4" w:space="0" w:color="auto"/>
            </w:tcBorders>
            <w:shd w:val="clear" w:color="auto" w:fill="auto"/>
            <w:noWrap/>
            <w:vAlign w:val="center"/>
            <w:hideMark/>
          </w:tcPr>
          <w:p w:rsidR="00AA0CBB" w:rsidRPr="00777FD8" w:rsidP="002A314E" w14:paraId="05742358" w14:textId="41794FAA">
            <w:pPr>
              <w:widowControl/>
              <w:autoSpaceDE/>
              <w:autoSpaceDN/>
              <w:adjustRightInd/>
              <w:jc w:val="center"/>
              <w:rPr>
                <w:sz w:val="22"/>
                <w:szCs w:val="22"/>
              </w:rPr>
            </w:pPr>
            <w:r w:rsidRPr="00777FD8">
              <w:rPr>
                <w:sz w:val="22"/>
                <w:szCs w:val="22"/>
              </w:rPr>
              <w:t>$</w:t>
            </w:r>
            <w:r w:rsidRPr="00777FD8" w:rsidR="00617F25">
              <w:rPr>
                <w:sz w:val="22"/>
                <w:szCs w:val="22"/>
              </w:rPr>
              <w:t>47.1</w:t>
            </w:r>
            <w:r w:rsidRPr="00777FD8" w:rsidR="00BB7B75">
              <w:rPr>
                <w:sz w:val="22"/>
                <w:szCs w:val="22"/>
              </w:rPr>
              <w:t>2</w:t>
            </w:r>
          </w:p>
        </w:tc>
        <w:tc>
          <w:tcPr>
            <w:tcW w:w="1440" w:type="dxa"/>
            <w:tcBorders>
              <w:top w:val="nil"/>
              <w:left w:val="nil"/>
              <w:bottom w:val="single" w:sz="4" w:space="0" w:color="auto"/>
              <w:right w:val="single" w:sz="4" w:space="0" w:color="auto"/>
            </w:tcBorders>
            <w:shd w:val="clear" w:color="auto" w:fill="auto"/>
            <w:noWrap/>
            <w:vAlign w:val="center"/>
            <w:hideMark/>
          </w:tcPr>
          <w:p w:rsidR="00AA0CBB" w:rsidRPr="00777FD8" w:rsidP="002A314E" w14:paraId="537C87A3" w14:textId="11519973">
            <w:pPr>
              <w:widowControl/>
              <w:autoSpaceDE/>
              <w:autoSpaceDN/>
              <w:adjustRightInd/>
              <w:jc w:val="center"/>
              <w:rPr>
                <w:sz w:val="22"/>
                <w:szCs w:val="22"/>
              </w:rPr>
            </w:pPr>
            <w:r w:rsidRPr="00777FD8">
              <w:rPr>
                <w:sz w:val="22"/>
                <w:szCs w:val="22"/>
              </w:rPr>
              <w:t>$33,07</w:t>
            </w:r>
            <w:r w:rsidR="00DE323D">
              <w:rPr>
                <w:sz w:val="22"/>
                <w:szCs w:val="22"/>
              </w:rPr>
              <w:t>9</w:t>
            </w:r>
          </w:p>
        </w:tc>
      </w:tr>
      <w:tr w14:paraId="7C591CFD" w14:textId="77777777" w:rsidTr="00774A86">
        <w:tblPrEx>
          <w:tblW w:w="13500" w:type="dxa"/>
          <w:tblInd w:w="-270" w:type="dxa"/>
          <w:tblLayout w:type="fixed"/>
          <w:tblLook w:val="04A0"/>
        </w:tblPrEx>
        <w:trPr>
          <w:trHeight w:val="624"/>
        </w:trPr>
        <w:tc>
          <w:tcPr>
            <w:tcW w:w="2610" w:type="dxa"/>
            <w:tcBorders>
              <w:top w:val="nil"/>
              <w:left w:val="single" w:sz="4" w:space="0" w:color="auto"/>
              <w:bottom w:val="single" w:sz="4" w:space="0" w:color="auto"/>
              <w:right w:val="single" w:sz="4" w:space="0" w:color="auto"/>
            </w:tcBorders>
            <w:shd w:val="clear" w:color="auto" w:fill="auto"/>
            <w:vAlign w:val="center"/>
            <w:hideMark/>
          </w:tcPr>
          <w:p w:rsidR="00AA0CBB" w:rsidRPr="00777FD8" w:rsidP="00AA0CBB" w14:paraId="36B427D3" w14:textId="77777777">
            <w:pPr>
              <w:widowControl/>
              <w:autoSpaceDE/>
              <w:autoSpaceDN/>
              <w:adjustRightInd/>
              <w:rPr>
                <w:sz w:val="22"/>
                <w:szCs w:val="22"/>
              </w:rPr>
            </w:pPr>
            <w:r w:rsidRPr="00777FD8">
              <w:rPr>
                <w:sz w:val="22"/>
                <w:szCs w:val="22"/>
              </w:rPr>
              <w:t>Exposure Notification</w:t>
            </w:r>
            <w:r w:rsidRPr="00777FD8">
              <w:rPr>
                <w:sz w:val="22"/>
                <w:szCs w:val="22"/>
              </w:rPr>
              <w:br/>
              <w:t>(§1910.1047(d)(7))</w:t>
            </w:r>
          </w:p>
        </w:tc>
        <w:tc>
          <w:tcPr>
            <w:tcW w:w="1800" w:type="dxa"/>
            <w:tcBorders>
              <w:top w:val="nil"/>
              <w:left w:val="nil"/>
              <w:bottom w:val="single" w:sz="4" w:space="0" w:color="auto"/>
              <w:right w:val="single" w:sz="4" w:space="0" w:color="auto"/>
            </w:tcBorders>
            <w:shd w:val="clear" w:color="auto" w:fill="auto"/>
            <w:noWrap/>
            <w:vAlign w:val="center"/>
            <w:hideMark/>
          </w:tcPr>
          <w:p w:rsidR="00AA0CBB" w:rsidRPr="00777FD8" w:rsidP="00AA0CBB" w14:paraId="3868AD15" w14:textId="77777777">
            <w:pPr>
              <w:widowControl/>
              <w:autoSpaceDE/>
              <w:autoSpaceDN/>
              <w:adjustRightInd/>
              <w:rPr>
                <w:sz w:val="22"/>
                <w:szCs w:val="22"/>
              </w:rPr>
            </w:pPr>
            <w:r w:rsidRPr="00777FD8">
              <w:rPr>
                <w:sz w:val="22"/>
                <w:szCs w:val="22"/>
              </w:rPr>
              <w:t>Secretaries and Administrative Assistants</w:t>
            </w:r>
          </w:p>
        </w:tc>
        <w:tc>
          <w:tcPr>
            <w:tcW w:w="1454" w:type="dxa"/>
            <w:tcBorders>
              <w:top w:val="nil"/>
              <w:left w:val="nil"/>
              <w:bottom w:val="single" w:sz="4" w:space="0" w:color="auto"/>
              <w:right w:val="single" w:sz="4" w:space="0" w:color="auto"/>
            </w:tcBorders>
            <w:shd w:val="clear" w:color="auto" w:fill="auto"/>
            <w:noWrap/>
            <w:vAlign w:val="center"/>
            <w:hideMark/>
          </w:tcPr>
          <w:p w:rsidR="00AA0CBB" w:rsidRPr="00777FD8" w:rsidP="002A314E" w14:paraId="22C4D9E5" w14:textId="77777777">
            <w:pPr>
              <w:widowControl/>
              <w:autoSpaceDE/>
              <w:autoSpaceDN/>
              <w:adjustRightInd/>
              <w:jc w:val="center"/>
              <w:rPr>
                <w:sz w:val="22"/>
                <w:szCs w:val="22"/>
              </w:rPr>
            </w:pPr>
            <w:r w:rsidRPr="00777FD8">
              <w:rPr>
                <w:sz w:val="22"/>
                <w:szCs w:val="22"/>
              </w:rPr>
              <w:t>2,026</w:t>
            </w:r>
          </w:p>
        </w:tc>
        <w:tc>
          <w:tcPr>
            <w:tcW w:w="1430" w:type="dxa"/>
            <w:tcBorders>
              <w:top w:val="nil"/>
              <w:left w:val="nil"/>
              <w:bottom w:val="single" w:sz="4" w:space="0" w:color="auto"/>
              <w:right w:val="single" w:sz="4" w:space="0" w:color="auto"/>
            </w:tcBorders>
            <w:shd w:val="clear" w:color="auto" w:fill="auto"/>
            <w:noWrap/>
            <w:vAlign w:val="center"/>
            <w:hideMark/>
          </w:tcPr>
          <w:p w:rsidR="00AA0CBB" w:rsidRPr="00777FD8" w:rsidP="002A314E" w14:paraId="74E7E2CE" w14:textId="77777777">
            <w:pPr>
              <w:widowControl/>
              <w:autoSpaceDE/>
              <w:autoSpaceDN/>
              <w:adjustRightInd/>
              <w:jc w:val="center"/>
              <w:rPr>
                <w:sz w:val="22"/>
                <w:szCs w:val="22"/>
              </w:rPr>
            </w:pPr>
            <w:r w:rsidRPr="00777FD8">
              <w:rPr>
                <w:sz w:val="22"/>
                <w:szCs w:val="22"/>
              </w:rPr>
              <w:t>0.6402</w:t>
            </w:r>
          </w:p>
        </w:tc>
        <w:tc>
          <w:tcPr>
            <w:tcW w:w="1270" w:type="dxa"/>
            <w:tcBorders>
              <w:top w:val="nil"/>
              <w:left w:val="nil"/>
              <w:bottom w:val="single" w:sz="4" w:space="0" w:color="auto"/>
              <w:right w:val="single" w:sz="4" w:space="0" w:color="auto"/>
            </w:tcBorders>
            <w:shd w:val="clear" w:color="auto" w:fill="auto"/>
            <w:noWrap/>
            <w:vAlign w:val="center"/>
            <w:hideMark/>
          </w:tcPr>
          <w:p w:rsidR="00AA0CBB" w:rsidRPr="00777FD8" w:rsidP="002A314E" w14:paraId="7EF4F703" w14:textId="5851FDAD">
            <w:pPr>
              <w:widowControl/>
              <w:autoSpaceDE/>
              <w:autoSpaceDN/>
              <w:adjustRightInd/>
              <w:jc w:val="center"/>
              <w:rPr>
                <w:sz w:val="22"/>
                <w:szCs w:val="22"/>
              </w:rPr>
            </w:pPr>
            <w:r w:rsidRPr="00777FD8">
              <w:rPr>
                <w:sz w:val="22"/>
                <w:szCs w:val="22"/>
              </w:rPr>
              <w:t>1,29</w:t>
            </w:r>
            <w:r w:rsidR="006A22ED">
              <w:rPr>
                <w:sz w:val="22"/>
                <w:szCs w:val="22"/>
              </w:rPr>
              <w:t>5</w:t>
            </w:r>
          </w:p>
        </w:tc>
        <w:tc>
          <w:tcPr>
            <w:tcW w:w="1177" w:type="dxa"/>
            <w:tcBorders>
              <w:top w:val="nil"/>
              <w:left w:val="nil"/>
              <w:bottom w:val="single" w:sz="4" w:space="0" w:color="auto"/>
              <w:right w:val="single" w:sz="4" w:space="0" w:color="auto"/>
            </w:tcBorders>
            <w:shd w:val="clear" w:color="auto" w:fill="auto"/>
            <w:noWrap/>
            <w:vAlign w:val="center"/>
            <w:hideMark/>
          </w:tcPr>
          <w:p w:rsidR="00AA0CBB" w:rsidRPr="00777FD8" w:rsidP="002A314E" w14:paraId="16B529CD" w14:textId="65F20ADE">
            <w:pPr>
              <w:widowControl/>
              <w:autoSpaceDE/>
              <w:autoSpaceDN/>
              <w:adjustRightInd/>
              <w:jc w:val="center"/>
              <w:rPr>
                <w:sz w:val="22"/>
                <w:szCs w:val="22"/>
              </w:rPr>
            </w:pPr>
            <w:r w:rsidRPr="00777FD8">
              <w:rPr>
                <w:sz w:val="22"/>
                <w:szCs w:val="22"/>
              </w:rPr>
              <w:t>5/60</w:t>
            </w:r>
          </w:p>
        </w:tc>
        <w:tc>
          <w:tcPr>
            <w:tcW w:w="1243" w:type="dxa"/>
            <w:tcBorders>
              <w:top w:val="nil"/>
              <w:left w:val="nil"/>
              <w:bottom w:val="single" w:sz="4" w:space="0" w:color="auto"/>
              <w:right w:val="single" w:sz="4" w:space="0" w:color="auto"/>
            </w:tcBorders>
            <w:shd w:val="clear" w:color="auto" w:fill="auto"/>
            <w:noWrap/>
            <w:vAlign w:val="center"/>
            <w:hideMark/>
          </w:tcPr>
          <w:p w:rsidR="00AA0CBB" w:rsidRPr="00777FD8" w:rsidP="002A314E" w14:paraId="3F114CC1" w14:textId="77777777">
            <w:pPr>
              <w:widowControl/>
              <w:autoSpaceDE/>
              <w:autoSpaceDN/>
              <w:adjustRightInd/>
              <w:jc w:val="center"/>
              <w:rPr>
                <w:sz w:val="22"/>
                <w:szCs w:val="22"/>
              </w:rPr>
            </w:pPr>
            <w:r w:rsidRPr="00777FD8">
              <w:rPr>
                <w:sz w:val="22"/>
                <w:szCs w:val="22"/>
              </w:rPr>
              <w:t>108</w:t>
            </w:r>
          </w:p>
        </w:tc>
        <w:tc>
          <w:tcPr>
            <w:tcW w:w="1076" w:type="dxa"/>
            <w:tcBorders>
              <w:top w:val="nil"/>
              <w:left w:val="nil"/>
              <w:bottom w:val="single" w:sz="4" w:space="0" w:color="auto"/>
              <w:right w:val="single" w:sz="4" w:space="0" w:color="auto"/>
            </w:tcBorders>
            <w:shd w:val="clear" w:color="auto" w:fill="auto"/>
            <w:noWrap/>
            <w:vAlign w:val="center"/>
            <w:hideMark/>
          </w:tcPr>
          <w:p w:rsidR="00AA0CBB" w:rsidRPr="00777FD8" w:rsidP="002A314E" w14:paraId="15BA5332" w14:textId="1197C5E3">
            <w:pPr>
              <w:widowControl/>
              <w:autoSpaceDE/>
              <w:autoSpaceDN/>
              <w:adjustRightInd/>
              <w:jc w:val="center"/>
              <w:rPr>
                <w:sz w:val="22"/>
                <w:szCs w:val="22"/>
              </w:rPr>
            </w:pPr>
            <w:r w:rsidRPr="00777FD8">
              <w:rPr>
                <w:sz w:val="22"/>
                <w:szCs w:val="22"/>
              </w:rPr>
              <w:t>$</w:t>
            </w:r>
            <w:r w:rsidRPr="00777FD8" w:rsidR="00617F25">
              <w:rPr>
                <w:sz w:val="22"/>
                <w:szCs w:val="22"/>
              </w:rPr>
              <w:t>29.60</w:t>
            </w:r>
          </w:p>
        </w:tc>
        <w:tc>
          <w:tcPr>
            <w:tcW w:w="1440" w:type="dxa"/>
            <w:tcBorders>
              <w:top w:val="nil"/>
              <w:left w:val="nil"/>
              <w:bottom w:val="single" w:sz="4" w:space="0" w:color="auto"/>
              <w:right w:val="single" w:sz="4" w:space="0" w:color="auto"/>
            </w:tcBorders>
            <w:shd w:val="clear" w:color="auto" w:fill="auto"/>
            <w:noWrap/>
            <w:vAlign w:val="center"/>
            <w:hideMark/>
          </w:tcPr>
          <w:p w:rsidR="00AA0CBB" w:rsidRPr="00777FD8" w:rsidP="00774A86" w14:paraId="281658CB" w14:textId="326F5DF1">
            <w:pPr>
              <w:widowControl/>
              <w:autoSpaceDE/>
              <w:autoSpaceDN/>
              <w:adjustRightInd/>
              <w:jc w:val="center"/>
              <w:rPr>
                <w:sz w:val="22"/>
                <w:szCs w:val="22"/>
              </w:rPr>
            </w:pPr>
            <w:r w:rsidRPr="00777FD8">
              <w:rPr>
                <w:sz w:val="22"/>
                <w:szCs w:val="22"/>
              </w:rPr>
              <w:t>$</w:t>
            </w:r>
            <w:r w:rsidRPr="00777FD8" w:rsidR="00617F25">
              <w:rPr>
                <w:sz w:val="22"/>
                <w:szCs w:val="22"/>
              </w:rPr>
              <w:t>3,197</w:t>
            </w:r>
          </w:p>
        </w:tc>
      </w:tr>
      <w:tr w14:paraId="74247BF9" w14:textId="77777777" w:rsidTr="00E205E0">
        <w:tblPrEx>
          <w:tblW w:w="13500" w:type="dxa"/>
          <w:tblInd w:w="-270" w:type="dxa"/>
          <w:tblLayout w:type="fixed"/>
          <w:tblLook w:val="04A0"/>
        </w:tblPrEx>
        <w:trPr>
          <w:trHeight w:val="624"/>
        </w:trPr>
        <w:tc>
          <w:tcPr>
            <w:tcW w:w="13500" w:type="dxa"/>
            <w:gridSpan w:val="9"/>
            <w:tcBorders>
              <w:top w:val="nil"/>
              <w:left w:val="single" w:sz="4" w:space="0" w:color="auto"/>
              <w:bottom w:val="single" w:sz="4" w:space="0" w:color="auto"/>
              <w:right w:val="single" w:sz="4" w:space="0" w:color="auto"/>
            </w:tcBorders>
            <w:shd w:val="clear" w:color="auto" w:fill="DEEBF6" w:themeFill="accent1" w:themeFillTint="33"/>
            <w:vAlign w:val="center"/>
          </w:tcPr>
          <w:p w:rsidR="00E205E0" w:rsidRPr="00565389" w:rsidP="00E205E0" w14:paraId="77077DE6" w14:textId="77777777">
            <w:pPr>
              <w:rPr>
                <w:sz w:val="24"/>
              </w:rPr>
            </w:pPr>
            <w:r w:rsidRPr="00565389">
              <w:rPr>
                <w:b/>
                <w:bCs/>
                <w:sz w:val="24"/>
              </w:rPr>
              <w:t>(B)  Compliance program (§1910.1047(f)(2))</w:t>
            </w:r>
          </w:p>
          <w:p w:rsidR="00E205E0" w:rsidRPr="00777FD8" w:rsidP="00AA0CBB" w14:paraId="32E7729B" w14:textId="77777777">
            <w:pPr>
              <w:widowControl/>
              <w:autoSpaceDE/>
              <w:autoSpaceDN/>
              <w:adjustRightInd/>
              <w:jc w:val="right"/>
              <w:rPr>
                <w:sz w:val="22"/>
                <w:szCs w:val="22"/>
              </w:rPr>
            </w:pPr>
          </w:p>
        </w:tc>
      </w:tr>
      <w:tr w14:paraId="68A11133" w14:textId="77777777" w:rsidTr="00774A86">
        <w:tblPrEx>
          <w:tblW w:w="13500" w:type="dxa"/>
          <w:tblInd w:w="-270" w:type="dxa"/>
          <w:tblLayout w:type="fixed"/>
          <w:tblLook w:val="04A0"/>
        </w:tblPrEx>
        <w:trPr>
          <w:trHeight w:val="624"/>
        </w:trPr>
        <w:tc>
          <w:tcPr>
            <w:tcW w:w="2610" w:type="dxa"/>
            <w:tcBorders>
              <w:top w:val="nil"/>
              <w:left w:val="single" w:sz="4" w:space="0" w:color="auto"/>
              <w:bottom w:val="single" w:sz="4" w:space="0" w:color="auto"/>
              <w:right w:val="single" w:sz="4" w:space="0" w:color="auto"/>
            </w:tcBorders>
            <w:shd w:val="clear" w:color="auto" w:fill="auto"/>
            <w:vAlign w:val="center"/>
            <w:hideMark/>
          </w:tcPr>
          <w:p w:rsidR="00AA0CBB" w:rsidRPr="00777FD8" w:rsidP="00AA0CBB" w14:paraId="01BA0D6D" w14:textId="77777777">
            <w:pPr>
              <w:widowControl/>
              <w:autoSpaceDE/>
              <w:autoSpaceDN/>
              <w:adjustRightInd/>
              <w:rPr>
                <w:sz w:val="22"/>
                <w:szCs w:val="22"/>
              </w:rPr>
            </w:pPr>
            <w:r w:rsidRPr="00777FD8">
              <w:rPr>
                <w:sz w:val="22"/>
                <w:szCs w:val="22"/>
              </w:rPr>
              <w:t>Compliance Program</w:t>
            </w:r>
            <w:r w:rsidRPr="00777FD8">
              <w:rPr>
                <w:sz w:val="22"/>
                <w:szCs w:val="22"/>
              </w:rPr>
              <w:br/>
              <w:t>(§1910.1047(f)(2))</w:t>
            </w:r>
          </w:p>
        </w:tc>
        <w:tc>
          <w:tcPr>
            <w:tcW w:w="1800" w:type="dxa"/>
            <w:tcBorders>
              <w:top w:val="nil"/>
              <w:left w:val="nil"/>
              <w:bottom w:val="single" w:sz="4" w:space="0" w:color="auto"/>
              <w:right w:val="single" w:sz="4" w:space="0" w:color="auto"/>
            </w:tcBorders>
            <w:shd w:val="clear" w:color="auto" w:fill="auto"/>
            <w:noWrap/>
            <w:vAlign w:val="center"/>
            <w:hideMark/>
          </w:tcPr>
          <w:p w:rsidR="00AA0CBB" w:rsidRPr="00777FD8" w:rsidP="00AA0CBB" w14:paraId="59A1B748" w14:textId="77777777">
            <w:pPr>
              <w:widowControl/>
              <w:autoSpaceDE/>
              <w:autoSpaceDN/>
              <w:adjustRightInd/>
              <w:rPr>
                <w:sz w:val="22"/>
                <w:szCs w:val="22"/>
              </w:rPr>
            </w:pPr>
            <w:r w:rsidRPr="00777FD8">
              <w:rPr>
                <w:sz w:val="22"/>
                <w:szCs w:val="22"/>
              </w:rPr>
              <w:t>First Line Supervisor</w:t>
            </w:r>
          </w:p>
        </w:tc>
        <w:tc>
          <w:tcPr>
            <w:tcW w:w="1454" w:type="dxa"/>
            <w:tcBorders>
              <w:top w:val="nil"/>
              <w:left w:val="nil"/>
              <w:bottom w:val="single" w:sz="4" w:space="0" w:color="auto"/>
              <w:right w:val="single" w:sz="4" w:space="0" w:color="auto"/>
            </w:tcBorders>
            <w:shd w:val="clear" w:color="auto" w:fill="auto"/>
            <w:noWrap/>
            <w:vAlign w:val="center"/>
            <w:hideMark/>
          </w:tcPr>
          <w:p w:rsidR="00AA0CBB" w:rsidRPr="00777FD8" w:rsidP="00774A86" w14:paraId="2C013733" w14:textId="77777777">
            <w:pPr>
              <w:widowControl/>
              <w:autoSpaceDE/>
              <w:autoSpaceDN/>
              <w:adjustRightInd/>
              <w:jc w:val="center"/>
              <w:rPr>
                <w:sz w:val="22"/>
                <w:szCs w:val="22"/>
              </w:rPr>
            </w:pPr>
            <w:r w:rsidRPr="00777FD8">
              <w:rPr>
                <w:sz w:val="22"/>
                <w:szCs w:val="22"/>
              </w:rPr>
              <w:t>2,026</w:t>
            </w:r>
          </w:p>
        </w:tc>
        <w:tc>
          <w:tcPr>
            <w:tcW w:w="1430" w:type="dxa"/>
            <w:tcBorders>
              <w:top w:val="nil"/>
              <w:left w:val="nil"/>
              <w:bottom w:val="single" w:sz="4" w:space="0" w:color="auto"/>
              <w:right w:val="single" w:sz="4" w:space="0" w:color="auto"/>
            </w:tcBorders>
            <w:shd w:val="clear" w:color="auto" w:fill="auto"/>
            <w:noWrap/>
            <w:vAlign w:val="center"/>
            <w:hideMark/>
          </w:tcPr>
          <w:p w:rsidR="00AA0CBB" w:rsidRPr="00777FD8" w:rsidP="00774A86" w14:paraId="45AF7B8A" w14:textId="77777777">
            <w:pPr>
              <w:widowControl/>
              <w:autoSpaceDE/>
              <w:autoSpaceDN/>
              <w:adjustRightInd/>
              <w:jc w:val="center"/>
              <w:rPr>
                <w:sz w:val="22"/>
                <w:szCs w:val="22"/>
              </w:rPr>
            </w:pPr>
            <w:r w:rsidRPr="00777FD8">
              <w:rPr>
                <w:sz w:val="22"/>
                <w:szCs w:val="22"/>
              </w:rPr>
              <w:t>0.1500</w:t>
            </w:r>
          </w:p>
        </w:tc>
        <w:tc>
          <w:tcPr>
            <w:tcW w:w="1270" w:type="dxa"/>
            <w:tcBorders>
              <w:top w:val="nil"/>
              <w:left w:val="nil"/>
              <w:bottom w:val="single" w:sz="4" w:space="0" w:color="auto"/>
              <w:right w:val="single" w:sz="4" w:space="0" w:color="auto"/>
            </w:tcBorders>
            <w:shd w:val="clear" w:color="auto" w:fill="auto"/>
            <w:noWrap/>
            <w:vAlign w:val="center"/>
            <w:hideMark/>
          </w:tcPr>
          <w:p w:rsidR="00AA0CBB" w:rsidRPr="00777FD8" w:rsidP="00774A86" w14:paraId="78233911" w14:textId="77777777">
            <w:pPr>
              <w:widowControl/>
              <w:autoSpaceDE/>
              <w:autoSpaceDN/>
              <w:adjustRightInd/>
              <w:jc w:val="center"/>
              <w:rPr>
                <w:sz w:val="22"/>
                <w:szCs w:val="22"/>
              </w:rPr>
            </w:pPr>
            <w:r w:rsidRPr="00777FD8">
              <w:rPr>
                <w:sz w:val="22"/>
                <w:szCs w:val="22"/>
              </w:rPr>
              <w:t>304</w:t>
            </w:r>
          </w:p>
        </w:tc>
        <w:tc>
          <w:tcPr>
            <w:tcW w:w="1177" w:type="dxa"/>
            <w:tcBorders>
              <w:top w:val="nil"/>
              <w:left w:val="nil"/>
              <w:bottom w:val="single" w:sz="4" w:space="0" w:color="auto"/>
              <w:right w:val="single" w:sz="4" w:space="0" w:color="auto"/>
            </w:tcBorders>
            <w:shd w:val="clear" w:color="auto" w:fill="auto"/>
            <w:noWrap/>
            <w:vAlign w:val="center"/>
            <w:hideMark/>
          </w:tcPr>
          <w:p w:rsidR="00AA0CBB" w:rsidRPr="00777FD8" w:rsidP="00774A86" w14:paraId="7A513C81" w14:textId="77777777">
            <w:pPr>
              <w:widowControl/>
              <w:autoSpaceDE/>
              <w:autoSpaceDN/>
              <w:adjustRightInd/>
              <w:jc w:val="center"/>
              <w:rPr>
                <w:sz w:val="22"/>
                <w:szCs w:val="22"/>
              </w:rPr>
            </w:pPr>
            <w:r w:rsidRPr="00777FD8">
              <w:rPr>
                <w:sz w:val="22"/>
                <w:szCs w:val="22"/>
              </w:rPr>
              <w:t>1</w:t>
            </w:r>
          </w:p>
        </w:tc>
        <w:tc>
          <w:tcPr>
            <w:tcW w:w="1243" w:type="dxa"/>
            <w:tcBorders>
              <w:top w:val="nil"/>
              <w:left w:val="nil"/>
              <w:bottom w:val="single" w:sz="4" w:space="0" w:color="auto"/>
              <w:right w:val="single" w:sz="4" w:space="0" w:color="auto"/>
            </w:tcBorders>
            <w:shd w:val="clear" w:color="auto" w:fill="auto"/>
            <w:noWrap/>
            <w:vAlign w:val="center"/>
            <w:hideMark/>
          </w:tcPr>
          <w:p w:rsidR="00AA0CBB" w:rsidRPr="00777FD8" w:rsidP="00774A86" w14:paraId="198B2078" w14:textId="77777777">
            <w:pPr>
              <w:widowControl/>
              <w:autoSpaceDE/>
              <w:autoSpaceDN/>
              <w:adjustRightInd/>
              <w:jc w:val="center"/>
              <w:rPr>
                <w:sz w:val="22"/>
                <w:szCs w:val="22"/>
              </w:rPr>
            </w:pPr>
            <w:r w:rsidRPr="00777FD8">
              <w:rPr>
                <w:sz w:val="22"/>
                <w:szCs w:val="22"/>
              </w:rPr>
              <w:t>304</w:t>
            </w:r>
          </w:p>
        </w:tc>
        <w:tc>
          <w:tcPr>
            <w:tcW w:w="1076" w:type="dxa"/>
            <w:tcBorders>
              <w:top w:val="nil"/>
              <w:left w:val="nil"/>
              <w:bottom w:val="single" w:sz="4" w:space="0" w:color="auto"/>
              <w:right w:val="single" w:sz="4" w:space="0" w:color="auto"/>
            </w:tcBorders>
            <w:shd w:val="clear" w:color="auto" w:fill="auto"/>
            <w:noWrap/>
            <w:vAlign w:val="center"/>
            <w:hideMark/>
          </w:tcPr>
          <w:p w:rsidR="00AA0CBB" w:rsidRPr="00777FD8" w:rsidP="00774A86" w14:paraId="09695BF6" w14:textId="7573AF01">
            <w:pPr>
              <w:widowControl/>
              <w:autoSpaceDE/>
              <w:autoSpaceDN/>
              <w:adjustRightInd/>
              <w:jc w:val="center"/>
              <w:rPr>
                <w:sz w:val="22"/>
                <w:szCs w:val="22"/>
              </w:rPr>
            </w:pPr>
            <w:r w:rsidRPr="00777FD8">
              <w:rPr>
                <w:sz w:val="22"/>
                <w:szCs w:val="22"/>
              </w:rPr>
              <w:t>$</w:t>
            </w:r>
            <w:r w:rsidRPr="00777FD8" w:rsidR="00617F25">
              <w:rPr>
                <w:sz w:val="22"/>
                <w:szCs w:val="22"/>
              </w:rPr>
              <w:t>47.12</w:t>
            </w:r>
          </w:p>
        </w:tc>
        <w:tc>
          <w:tcPr>
            <w:tcW w:w="1440" w:type="dxa"/>
            <w:tcBorders>
              <w:top w:val="nil"/>
              <w:left w:val="nil"/>
              <w:bottom w:val="single" w:sz="4" w:space="0" w:color="auto"/>
              <w:right w:val="single" w:sz="4" w:space="0" w:color="auto"/>
            </w:tcBorders>
            <w:shd w:val="clear" w:color="auto" w:fill="auto"/>
            <w:noWrap/>
            <w:vAlign w:val="center"/>
            <w:hideMark/>
          </w:tcPr>
          <w:p w:rsidR="00AA0CBB" w:rsidRPr="00777FD8" w:rsidP="00774A86" w14:paraId="29F9A0F8" w14:textId="052EDCEB">
            <w:pPr>
              <w:widowControl/>
              <w:autoSpaceDE/>
              <w:autoSpaceDN/>
              <w:adjustRightInd/>
              <w:jc w:val="center"/>
              <w:rPr>
                <w:sz w:val="22"/>
                <w:szCs w:val="22"/>
              </w:rPr>
            </w:pPr>
            <w:r w:rsidRPr="00777FD8">
              <w:rPr>
                <w:sz w:val="22"/>
                <w:szCs w:val="22"/>
              </w:rPr>
              <w:t>$</w:t>
            </w:r>
            <w:r w:rsidRPr="00777FD8" w:rsidR="00617F25">
              <w:rPr>
                <w:sz w:val="22"/>
                <w:szCs w:val="22"/>
              </w:rPr>
              <w:t>14,324</w:t>
            </w:r>
          </w:p>
        </w:tc>
      </w:tr>
      <w:tr w14:paraId="25E64988" w14:textId="77777777" w:rsidTr="000D0769">
        <w:tblPrEx>
          <w:tblW w:w="13500" w:type="dxa"/>
          <w:tblInd w:w="-270" w:type="dxa"/>
          <w:tblLayout w:type="fixed"/>
          <w:tblLook w:val="04A0"/>
        </w:tblPrEx>
        <w:trPr>
          <w:trHeight w:val="413"/>
        </w:trPr>
        <w:tc>
          <w:tcPr>
            <w:tcW w:w="13500" w:type="dxa"/>
            <w:gridSpan w:val="9"/>
            <w:tcBorders>
              <w:top w:val="nil"/>
              <w:left w:val="single" w:sz="4" w:space="0" w:color="auto"/>
              <w:bottom w:val="single" w:sz="4" w:space="0" w:color="auto"/>
              <w:right w:val="single" w:sz="4" w:space="0" w:color="auto"/>
            </w:tcBorders>
            <w:shd w:val="clear" w:color="auto" w:fill="DEEBF6" w:themeFill="accent1" w:themeFillTint="33"/>
            <w:vAlign w:val="center"/>
            <w:hideMark/>
          </w:tcPr>
          <w:p w:rsidR="00AA0CBB" w:rsidRPr="00777FD8" w:rsidP="00AA0CBB" w14:paraId="1148836B" w14:textId="4B46FBAF">
            <w:pPr>
              <w:widowControl/>
              <w:autoSpaceDE/>
              <w:autoSpaceDN/>
              <w:adjustRightInd/>
              <w:rPr>
                <w:sz w:val="22"/>
                <w:szCs w:val="22"/>
              </w:rPr>
            </w:pPr>
            <w:r w:rsidRPr="00565389">
              <w:rPr>
                <w:b/>
                <w:bCs/>
                <w:sz w:val="24"/>
              </w:rPr>
              <w:t>(E)  Medical surveillance (§1910.1047(i))</w:t>
            </w:r>
          </w:p>
        </w:tc>
      </w:tr>
      <w:tr w14:paraId="15CA698A" w14:textId="77777777" w:rsidTr="00E45B2E">
        <w:tblPrEx>
          <w:tblW w:w="13500" w:type="dxa"/>
          <w:tblInd w:w="-270" w:type="dxa"/>
          <w:tblLayout w:type="fixed"/>
          <w:tblLook w:val="04A0"/>
        </w:tblPrEx>
        <w:trPr>
          <w:trHeight w:val="624"/>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3EF" w:rsidRPr="00777FD8" w:rsidP="00E443EF" w14:paraId="0E9FBFF3" w14:textId="77777777">
            <w:pPr>
              <w:widowControl/>
              <w:autoSpaceDE/>
              <w:autoSpaceDN/>
              <w:adjustRightInd/>
              <w:rPr>
                <w:sz w:val="22"/>
                <w:szCs w:val="22"/>
              </w:rPr>
            </w:pPr>
            <w:r w:rsidRPr="00777FD8">
              <w:rPr>
                <w:sz w:val="22"/>
                <w:szCs w:val="22"/>
              </w:rPr>
              <w:t>Initial Medical Examinations</w:t>
            </w:r>
            <w:r w:rsidRPr="00777FD8">
              <w:rPr>
                <w:sz w:val="22"/>
                <w:szCs w:val="22"/>
              </w:rPr>
              <w:br/>
              <w:t>(§1910.1047(d)(1) &amp; (d)(2))</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E443EF" w:rsidRPr="00777FD8" w:rsidP="00E443EF" w14:paraId="21938314" w14:textId="77777777">
            <w:pPr>
              <w:widowControl/>
              <w:autoSpaceDE/>
              <w:autoSpaceDN/>
              <w:adjustRightInd/>
              <w:rPr>
                <w:sz w:val="22"/>
                <w:szCs w:val="22"/>
              </w:rPr>
            </w:pPr>
            <w:r w:rsidRPr="00777FD8">
              <w:rPr>
                <w:sz w:val="22"/>
                <w:szCs w:val="22"/>
              </w:rPr>
              <w:t>Occupational Health and Safety Specialist and Technician</w:t>
            </w:r>
          </w:p>
        </w:tc>
        <w:tc>
          <w:tcPr>
            <w:tcW w:w="1454" w:type="dxa"/>
            <w:tcBorders>
              <w:top w:val="single" w:sz="4" w:space="0" w:color="auto"/>
              <w:left w:val="nil"/>
              <w:bottom w:val="single" w:sz="4" w:space="0" w:color="auto"/>
              <w:right w:val="single" w:sz="4" w:space="0" w:color="auto"/>
            </w:tcBorders>
            <w:shd w:val="clear" w:color="auto" w:fill="auto"/>
            <w:noWrap/>
            <w:vAlign w:val="center"/>
            <w:hideMark/>
          </w:tcPr>
          <w:p w:rsidR="00E443EF" w:rsidRPr="00AC0224" w:rsidP="00E45B2E" w14:paraId="331859C7" w14:textId="77777777">
            <w:pPr>
              <w:widowControl/>
              <w:autoSpaceDE/>
              <w:autoSpaceDN/>
              <w:adjustRightInd/>
              <w:jc w:val="center"/>
              <w:rPr>
                <w:sz w:val="22"/>
                <w:szCs w:val="22"/>
              </w:rPr>
            </w:pPr>
            <w:r w:rsidRPr="00AC0224">
              <w:rPr>
                <w:sz w:val="22"/>
                <w:szCs w:val="22"/>
              </w:rPr>
              <w:t>2,026</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rsidR="00E443EF" w:rsidRPr="00AC0224" w:rsidP="00E45B2E" w14:paraId="4838F405" w14:textId="77777777">
            <w:pPr>
              <w:widowControl/>
              <w:autoSpaceDE/>
              <w:autoSpaceDN/>
              <w:adjustRightInd/>
              <w:jc w:val="center"/>
              <w:rPr>
                <w:sz w:val="22"/>
                <w:szCs w:val="22"/>
              </w:rPr>
            </w:pPr>
            <w:r w:rsidRPr="00AC0224">
              <w:rPr>
                <w:sz w:val="22"/>
                <w:szCs w:val="22"/>
              </w:rPr>
              <w:t>0.1589</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rsidR="00E443EF" w:rsidRPr="00AC0224" w:rsidP="00E45B2E" w14:paraId="4BF63DA8" w14:textId="2ED8A689">
            <w:pPr>
              <w:widowControl/>
              <w:autoSpaceDE/>
              <w:autoSpaceDN/>
              <w:adjustRightInd/>
              <w:jc w:val="center"/>
              <w:rPr>
                <w:sz w:val="22"/>
                <w:szCs w:val="22"/>
              </w:rPr>
            </w:pPr>
            <w:r>
              <w:rPr>
                <w:sz w:val="22"/>
                <w:szCs w:val="22"/>
              </w:rPr>
              <w:t>322</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E443EF" w:rsidRPr="00AC0224" w:rsidP="00E45B2E" w14:paraId="40A827B4" w14:textId="77777777">
            <w:pPr>
              <w:widowControl/>
              <w:autoSpaceDE/>
              <w:autoSpaceDN/>
              <w:adjustRightInd/>
              <w:jc w:val="center"/>
              <w:rPr>
                <w:sz w:val="22"/>
                <w:szCs w:val="22"/>
              </w:rPr>
            </w:pPr>
            <w:r w:rsidRPr="00AC0224">
              <w:rPr>
                <w:sz w:val="22"/>
                <w:szCs w:val="22"/>
              </w:rPr>
              <w:t>2</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E443EF" w:rsidRPr="00AC0224" w:rsidP="00E45B2E" w14:paraId="0E07FDC9" w14:textId="5B588C31">
            <w:pPr>
              <w:widowControl/>
              <w:autoSpaceDE/>
              <w:autoSpaceDN/>
              <w:adjustRightInd/>
              <w:jc w:val="center"/>
              <w:rPr>
                <w:sz w:val="22"/>
                <w:szCs w:val="22"/>
              </w:rPr>
            </w:pPr>
            <w:r>
              <w:rPr>
                <w:sz w:val="22"/>
                <w:szCs w:val="22"/>
              </w:rPr>
              <w:t>644</w:t>
            </w:r>
          </w:p>
        </w:tc>
        <w:tc>
          <w:tcPr>
            <w:tcW w:w="1076" w:type="dxa"/>
            <w:tcBorders>
              <w:top w:val="single" w:sz="4" w:space="0" w:color="auto"/>
              <w:left w:val="nil"/>
              <w:bottom w:val="single" w:sz="4" w:space="0" w:color="auto"/>
              <w:right w:val="single" w:sz="4" w:space="0" w:color="auto"/>
            </w:tcBorders>
            <w:shd w:val="clear" w:color="auto" w:fill="auto"/>
            <w:noWrap/>
            <w:vAlign w:val="center"/>
            <w:hideMark/>
          </w:tcPr>
          <w:p w:rsidR="00E443EF" w:rsidRPr="00AC0224" w:rsidP="00E45B2E" w14:paraId="639FAFE1" w14:textId="4DE02E00">
            <w:pPr>
              <w:widowControl/>
              <w:autoSpaceDE/>
              <w:autoSpaceDN/>
              <w:adjustRightInd/>
              <w:jc w:val="center"/>
              <w:rPr>
                <w:sz w:val="22"/>
                <w:szCs w:val="22"/>
              </w:rPr>
            </w:pPr>
            <w:r w:rsidRPr="00AC0224">
              <w:rPr>
                <w:sz w:val="22"/>
                <w:szCs w:val="22"/>
              </w:rPr>
              <w:t>$43.12</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E443EF" w:rsidRPr="00AC0224" w:rsidP="00E45B2E" w14:paraId="002B3CDC" w14:textId="33B61974">
            <w:pPr>
              <w:widowControl/>
              <w:autoSpaceDE/>
              <w:autoSpaceDN/>
              <w:adjustRightInd/>
              <w:jc w:val="center"/>
              <w:rPr>
                <w:sz w:val="22"/>
                <w:szCs w:val="22"/>
              </w:rPr>
            </w:pPr>
            <w:r w:rsidRPr="00AC0224">
              <w:rPr>
                <w:sz w:val="22"/>
                <w:szCs w:val="22"/>
              </w:rPr>
              <w:t>$</w:t>
            </w:r>
            <w:r w:rsidR="00E00FDB">
              <w:rPr>
                <w:sz w:val="22"/>
                <w:szCs w:val="22"/>
              </w:rPr>
              <w:t>27,769</w:t>
            </w:r>
          </w:p>
        </w:tc>
      </w:tr>
      <w:tr w14:paraId="03197D34" w14:textId="77777777" w:rsidTr="00AC0224">
        <w:tblPrEx>
          <w:tblW w:w="13500" w:type="dxa"/>
          <w:tblInd w:w="-270" w:type="dxa"/>
          <w:tblLayout w:type="fixed"/>
          <w:tblLook w:val="04A0"/>
        </w:tblPrEx>
        <w:trPr>
          <w:trHeight w:val="624"/>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3EF" w:rsidRPr="00777FD8" w:rsidP="00E443EF" w14:paraId="113F8DA8" w14:textId="77777777">
            <w:pPr>
              <w:widowControl/>
              <w:autoSpaceDE/>
              <w:autoSpaceDN/>
              <w:adjustRightInd/>
              <w:rPr>
                <w:sz w:val="22"/>
                <w:szCs w:val="22"/>
              </w:rPr>
            </w:pPr>
            <w:r w:rsidRPr="00777FD8">
              <w:rPr>
                <w:sz w:val="22"/>
                <w:szCs w:val="22"/>
              </w:rPr>
              <w:t>Periodic Medical Examinations</w:t>
            </w:r>
            <w:r w:rsidRPr="00777FD8">
              <w:rPr>
                <w:sz w:val="22"/>
                <w:szCs w:val="22"/>
              </w:rPr>
              <w:br/>
              <w:t>(§1910.1047(d)(3))</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E443EF" w:rsidRPr="00777FD8" w:rsidP="00E443EF" w14:paraId="4E2A228E" w14:textId="77777777">
            <w:pPr>
              <w:widowControl/>
              <w:autoSpaceDE/>
              <w:autoSpaceDN/>
              <w:adjustRightInd/>
              <w:rPr>
                <w:sz w:val="22"/>
                <w:szCs w:val="22"/>
              </w:rPr>
            </w:pPr>
            <w:r w:rsidRPr="00777FD8">
              <w:rPr>
                <w:sz w:val="22"/>
                <w:szCs w:val="22"/>
              </w:rPr>
              <w:t xml:space="preserve">Occupational Health and Safety </w:t>
            </w:r>
            <w:r w:rsidRPr="00777FD8">
              <w:rPr>
                <w:sz w:val="22"/>
                <w:szCs w:val="22"/>
              </w:rPr>
              <w:t>Specialist and Technician</w:t>
            </w:r>
          </w:p>
        </w:tc>
        <w:tc>
          <w:tcPr>
            <w:tcW w:w="1454" w:type="dxa"/>
            <w:tcBorders>
              <w:top w:val="single" w:sz="4" w:space="0" w:color="auto"/>
              <w:left w:val="nil"/>
              <w:bottom w:val="single" w:sz="4" w:space="0" w:color="auto"/>
              <w:right w:val="single" w:sz="4" w:space="0" w:color="auto"/>
            </w:tcBorders>
            <w:shd w:val="clear" w:color="auto" w:fill="auto"/>
            <w:noWrap/>
            <w:vAlign w:val="center"/>
            <w:hideMark/>
          </w:tcPr>
          <w:p w:rsidR="00E443EF" w:rsidRPr="00777FD8" w:rsidP="00AC0224" w14:paraId="417C7A48" w14:textId="77777777">
            <w:pPr>
              <w:widowControl/>
              <w:autoSpaceDE/>
              <w:autoSpaceDN/>
              <w:adjustRightInd/>
              <w:jc w:val="center"/>
              <w:rPr>
                <w:sz w:val="22"/>
                <w:szCs w:val="22"/>
              </w:rPr>
            </w:pPr>
            <w:r w:rsidRPr="00777FD8">
              <w:rPr>
                <w:sz w:val="22"/>
                <w:szCs w:val="22"/>
              </w:rPr>
              <w:t>2,026</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rsidR="00E443EF" w:rsidRPr="00777FD8" w:rsidP="00AC0224" w14:paraId="5F6C0042" w14:textId="540F9FBD">
            <w:pPr>
              <w:widowControl/>
              <w:autoSpaceDE/>
              <w:autoSpaceDN/>
              <w:adjustRightInd/>
              <w:jc w:val="center"/>
              <w:rPr>
                <w:sz w:val="22"/>
                <w:szCs w:val="22"/>
              </w:rPr>
            </w:pPr>
            <w:r>
              <w:rPr>
                <w:sz w:val="22"/>
                <w:szCs w:val="22"/>
              </w:rPr>
              <w:t>3.</w:t>
            </w:r>
            <w:r w:rsidR="001D7BB6">
              <w:rPr>
                <w:sz w:val="22"/>
                <w:szCs w:val="22"/>
              </w:rPr>
              <w:t>27196</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rsidR="00E443EF" w:rsidRPr="00777FD8" w:rsidP="00AC0224" w14:paraId="4D52D797" w14:textId="382A6DD1">
            <w:pPr>
              <w:widowControl/>
              <w:autoSpaceDE/>
              <w:autoSpaceDN/>
              <w:adjustRightInd/>
              <w:jc w:val="center"/>
              <w:rPr>
                <w:sz w:val="22"/>
                <w:szCs w:val="22"/>
              </w:rPr>
            </w:pPr>
            <w:r>
              <w:rPr>
                <w:sz w:val="22"/>
                <w:szCs w:val="22"/>
              </w:rPr>
              <w:t>6,629</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E443EF" w:rsidRPr="00777FD8" w:rsidP="00AC0224" w14:paraId="7E25A01B" w14:textId="253106EC">
            <w:pPr>
              <w:widowControl/>
              <w:autoSpaceDE/>
              <w:autoSpaceDN/>
              <w:adjustRightInd/>
              <w:jc w:val="center"/>
              <w:rPr>
                <w:sz w:val="22"/>
                <w:szCs w:val="22"/>
              </w:rPr>
            </w:pPr>
            <w:r>
              <w:rPr>
                <w:sz w:val="22"/>
                <w:szCs w:val="22"/>
              </w:rPr>
              <w:t>2</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E443EF" w:rsidRPr="00777FD8" w:rsidP="00AC0224" w14:paraId="047C2D5D" w14:textId="5E68A622">
            <w:pPr>
              <w:widowControl/>
              <w:autoSpaceDE/>
              <w:autoSpaceDN/>
              <w:adjustRightInd/>
              <w:jc w:val="center"/>
              <w:rPr>
                <w:sz w:val="22"/>
                <w:szCs w:val="22"/>
              </w:rPr>
            </w:pPr>
            <w:r>
              <w:rPr>
                <w:sz w:val="22"/>
                <w:szCs w:val="22"/>
              </w:rPr>
              <w:t>13,258</w:t>
            </w:r>
          </w:p>
        </w:tc>
        <w:tc>
          <w:tcPr>
            <w:tcW w:w="1076" w:type="dxa"/>
            <w:tcBorders>
              <w:top w:val="single" w:sz="4" w:space="0" w:color="auto"/>
              <w:left w:val="nil"/>
              <w:bottom w:val="single" w:sz="4" w:space="0" w:color="auto"/>
              <w:right w:val="single" w:sz="4" w:space="0" w:color="auto"/>
            </w:tcBorders>
            <w:shd w:val="clear" w:color="auto" w:fill="auto"/>
            <w:noWrap/>
            <w:vAlign w:val="center"/>
            <w:hideMark/>
          </w:tcPr>
          <w:p w:rsidR="00E443EF" w:rsidRPr="00777FD8" w:rsidP="00AC0224" w14:paraId="2AE4FE83" w14:textId="5ABE087D">
            <w:pPr>
              <w:widowControl/>
              <w:autoSpaceDE/>
              <w:autoSpaceDN/>
              <w:adjustRightInd/>
              <w:jc w:val="center"/>
              <w:rPr>
                <w:sz w:val="22"/>
                <w:szCs w:val="22"/>
              </w:rPr>
            </w:pPr>
            <w:r w:rsidRPr="00777FD8">
              <w:rPr>
                <w:sz w:val="22"/>
                <w:szCs w:val="22"/>
              </w:rPr>
              <w:t>$43.12</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E443EF" w:rsidRPr="00777FD8" w:rsidP="00AC0224" w14:paraId="2E04A422" w14:textId="48E34FEB">
            <w:pPr>
              <w:widowControl/>
              <w:autoSpaceDE/>
              <w:autoSpaceDN/>
              <w:adjustRightInd/>
              <w:jc w:val="center"/>
              <w:rPr>
                <w:sz w:val="22"/>
                <w:szCs w:val="22"/>
              </w:rPr>
            </w:pPr>
            <w:r w:rsidRPr="00777FD8">
              <w:rPr>
                <w:sz w:val="22"/>
                <w:szCs w:val="22"/>
              </w:rPr>
              <w:t>$</w:t>
            </w:r>
            <w:r w:rsidR="005D68BB">
              <w:rPr>
                <w:sz w:val="22"/>
                <w:szCs w:val="22"/>
              </w:rPr>
              <w:t>571,685</w:t>
            </w:r>
          </w:p>
        </w:tc>
      </w:tr>
      <w:tr w14:paraId="73B49792" w14:textId="77777777" w:rsidTr="00AC0224">
        <w:tblPrEx>
          <w:tblW w:w="13500" w:type="dxa"/>
          <w:tblInd w:w="-270" w:type="dxa"/>
          <w:tblLayout w:type="fixed"/>
          <w:tblLook w:val="04A0"/>
        </w:tblPrEx>
        <w:trPr>
          <w:trHeight w:val="624"/>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4B560C" w:rsidRPr="00777FD8" w:rsidP="004B560C" w14:paraId="4EB0F93A" w14:textId="77777777">
            <w:pPr>
              <w:widowControl/>
              <w:autoSpaceDE/>
              <w:autoSpaceDN/>
              <w:adjustRightInd/>
              <w:rPr>
                <w:sz w:val="22"/>
                <w:szCs w:val="22"/>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4B560C" w:rsidRPr="00777FD8" w:rsidP="004B560C" w14:paraId="7655F39E" w14:textId="77777777">
            <w:pPr>
              <w:widowControl/>
              <w:autoSpaceDE/>
              <w:autoSpaceDN/>
              <w:adjustRightInd/>
              <w:rPr>
                <w:sz w:val="22"/>
                <w:szCs w:val="22"/>
              </w:rPr>
            </w:pPr>
          </w:p>
        </w:tc>
        <w:tc>
          <w:tcPr>
            <w:tcW w:w="1454" w:type="dxa"/>
            <w:tcBorders>
              <w:top w:val="single" w:sz="4" w:space="0" w:color="auto"/>
              <w:left w:val="nil"/>
              <w:bottom w:val="single" w:sz="4" w:space="0" w:color="auto"/>
              <w:right w:val="single" w:sz="4" w:space="0" w:color="auto"/>
            </w:tcBorders>
            <w:shd w:val="clear" w:color="auto" w:fill="auto"/>
            <w:noWrap/>
            <w:vAlign w:val="center"/>
          </w:tcPr>
          <w:p w:rsidR="004B560C" w:rsidRPr="00777FD8" w:rsidP="00AC0224" w14:paraId="5A6FF486" w14:textId="5C535BF9">
            <w:pPr>
              <w:widowControl/>
              <w:autoSpaceDE/>
              <w:autoSpaceDN/>
              <w:adjustRightInd/>
              <w:jc w:val="center"/>
              <w:rPr>
                <w:sz w:val="22"/>
                <w:szCs w:val="22"/>
              </w:rPr>
            </w:pPr>
            <w:r>
              <w:rPr>
                <w:sz w:val="22"/>
                <w:szCs w:val="22"/>
              </w:rPr>
              <w:t>2,026</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4B560C" w:rsidRPr="00777FD8" w:rsidP="00AC0224" w14:paraId="1404A9E6" w14:textId="6F0C51AB">
            <w:pPr>
              <w:widowControl/>
              <w:autoSpaceDE/>
              <w:autoSpaceDN/>
              <w:adjustRightInd/>
              <w:jc w:val="center"/>
              <w:rPr>
                <w:sz w:val="22"/>
                <w:szCs w:val="22"/>
              </w:rPr>
            </w:pPr>
            <w:r>
              <w:rPr>
                <w:sz w:val="22"/>
                <w:szCs w:val="22"/>
              </w:rPr>
              <w:t>8.169299</w:t>
            </w:r>
          </w:p>
        </w:tc>
        <w:tc>
          <w:tcPr>
            <w:tcW w:w="1270" w:type="dxa"/>
            <w:tcBorders>
              <w:top w:val="single" w:sz="4" w:space="0" w:color="auto"/>
              <w:left w:val="nil"/>
              <w:bottom w:val="single" w:sz="4" w:space="0" w:color="auto"/>
              <w:right w:val="single" w:sz="4" w:space="0" w:color="auto"/>
            </w:tcBorders>
            <w:shd w:val="clear" w:color="auto" w:fill="auto"/>
            <w:noWrap/>
            <w:vAlign w:val="center"/>
          </w:tcPr>
          <w:p w:rsidR="004B560C" w:rsidRPr="00777FD8" w:rsidP="00AC0224" w14:paraId="11F6A1A4" w14:textId="10804A9F">
            <w:pPr>
              <w:widowControl/>
              <w:autoSpaceDE/>
              <w:autoSpaceDN/>
              <w:adjustRightInd/>
              <w:jc w:val="center"/>
              <w:rPr>
                <w:sz w:val="22"/>
                <w:szCs w:val="22"/>
              </w:rPr>
            </w:pPr>
            <w:r>
              <w:rPr>
                <w:sz w:val="22"/>
                <w:szCs w:val="22"/>
              </w:rPr>
              <w:t>16,551</w:t>
            </w:r>
          </w:p>
        </w:tc>
        <w:tc>
          <w:tcPr>
            <w:tcW w:w="1177" w:type="dxa"/>
            <w:tcBorders>
              <w:top w:val="single" w:sz="4" w:space="0" w:color="auto"/>
              <w:left w:val="nil"/>
              <w:bottom w:val="single" w:sz="4" w:space="0" w:color="auto"/>
              <w:right w:val="single" w:sz="4" w:space="0" w:color="auto"/>
            </w:tcBorders>
            <w:shd w:val="clear" w:color="auto" w:fill="auto"/>
            <w:noWrap/>
            <w:vAlign w:val="center"/>
          </w:tcPr>
          <w:p w:rsidR="004B560C" w:rsidRPr="00777FD8" w:rsidP="00AC0224" w14:paraId="3DA3D630" w14:textId="64FCB489">
            <w:pPr>
              <w:widowControl/>
              <w:autoSpaceDE/>
              <w:autoSpaceDN/>
              <w:adjustRightInd/>
              <w:jc w:val="center"/>
              <w:rPr>
                <w:sz w:val="22"/>
                <w:szCs w:val="22"/>
              </w:rPr>
            </w:pPr>
            <w:r>
              <w:rPr>
                <w:sz w:val="22"/>
                <w:szCs w:val="22"/>
              </w:rPr>
              <w:t>30/60</w:t>
            </w:r>
          </w:p>
        </w:tc>
        <w:tc>
          <w:tcPr>
            <w:tcW w:w="1243" w:type="dxa"/>
            <w:tcBorders>
              <w:top w:val="single" w:sz="4" w:space="0" w:color="auto"/>
              <w:left w:val="nil"/>
              <w:bottom w:val="single" w:sz="4" w:space="0" w:color="auto"/>
              <w:right w:val="single" w:sz="4" w:space="0" w:color="auto"/>
            </w:tcBorders>
            <w:shd w:val="clear" w:color="auto" w:fill="auto"/>
            <w:noWrap/>
            <w:vAlign w:val="center"/>
          </w:tcPr>
          <w:p w:rsidR="004B560C" w:rsidRPr="00777FD8" w:rsidP="00AC0224" w14:paraId="515CBF76" w14:textId="1D9264A3">
            <w:pPr>
              <w:widowControl/>
              <w:autoSpaceDE/>
              <w:autoSpaceDN/>
              <w:adjustRightInd/>
              <w:jc w:val="center"/>
              <w:rPr>
                <w:sz w:val="22"/>
                <w:szCs w:val="22"/>
              </w:rPr>
            </w:pPr>
            <w:r>
              <w:rPr>
                <w:sz w:val="22"/>
                <w:szCs w:val="22"/>
              </w:rPr>
              <w:t>8,276</w:t>
            </w:r>
          </w:p>
        </w:tc>
        <w:tc>
          <w:tcPr>
            <w:tcW w:w="1076" w:type="dxa"/>
            <w:tcBorders>
              <w:top w:val="single" w:sz="4" w:space="0" w:color="auto"/>
              <w:left w:val="nil"/>
              <w:bottom w:val="single" w:sz="4" w:space="0" w:color="auto"/>
              <w:right w:val="single" w:sz="4" w:space="0" w:color="auto"/>
            </w:tcBorders>
            <w:shd w:val="clear" w:color="auto" w:fill="auto"/>
            <w:noWrap/>
            <w:vAlign w:val="center"/>
          </w:tcPr>
          <w:p w:rsidR="004B560C" w:rsidRPr="00777FD8" w:rsidP="00AC0224" w14:paraId="6E29EB67" w14:textId="142B7F2F">
            <w:pPr>
              <w:widowControl/>
              <w:autoSpaceDE/>
              <w:autoSpaceDN/>
              <w:adjustRightInd/>
              <w:jc w:val="center"/>
              <w:rPr>
                <w:sz w:val="22"/>
                <w:szCs w:val="22"/>
              </w:rPr>
            </w:pPr>
            <w:r w:rsidRPr="00DD6395">
              <w:rPr>
                <w:sz w:val="22"/>
                <w:szCs w:val="22"/>
              </w:rPr>
              <w:t>$43.12</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4B560C" w:rsidRPr="00777FD8" w:rsidP="00AC0224" w14:paraId="5938D0F1" w14:textId="63BAE9DD">
            <w:pPr>
              <w:widowControl/>
              <w:autoSpaceDE/>
              <w:autoSpaceDN/>
              <w:adjustRightInd/>
              <w:jc w:val="center"/>
              <w:rPr>
                <w:sz w:val="22"/>
                <w:szCs w:val="22"/>
              </w:rPr>
            </w:pPr>
            <w:r w:rsidRPr="00880C4C">
              <w:rPr>
                <w:sz w:val="22"/>
                <w:szCs w:val="22"/>
              </w:rPr>
              <w:t>$</w:t>
            </w:r>
            <w:r>
              <w:rPr>
                <w:sz w:val="22"/>
                <w:szCs w:val="22"/>
              </w:rPr>
              <w:t>356,861</w:t>
            </w:r>
          </w:p>
        </w:tc>
      </w:tr>
      <w:tr w14:paraId="47D98112" w14:textId="77777777" w:rsidTr="009E70F9">
        <w:tblPrEx>
          <w:tblW w:w="13500" w:type="dxa"/>
          <w:tblInd w:w="-270" w:type="dxa"/>
          <w:tblLayout w:type="fixed"/>
          <w:tblLook w:val="04A0"/>
        </w:tblPrEx>
        <w:trPr>
          <w:trHeight w:val="624"/>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3EF" w:rsidRPr="00777FD8" w:rsidP="00E443EF" w14:paraId="03E4E6FF" w14:textId="77777777">
            <w:pPr>
              <w:widowControl/>
              <w:autoSpaceDE/>
              <w:autoSpaceDN/>
              <w:adjustRightInd/>
              <w:rPr>
                <w:sz w:val="22"/>
                <w:szCs w:val="22"/>
              </w:rPr>
            </w:pPr>
            <w:r w:rsidRPr="00777FD8">
              <w:rPr>
                <w:sz w:val="22"/>
                <w:szCs w:val="22"/>
              </w:rPr>
              <w:t>Additional Medical Exams</w:t>
            </w:r>
            <w:r w:rsidRPr="00777FD8">
              <w:rPr>
                <w:sz w:val="22"/>
                <w:szCs w:val="22"/>
              </w:rPr>
              <w:br/>
              <w:t>(§1910.1047(d)(5))</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E443EF" w:rsidRPr="00777FD8" w:rsidP="00E443EF" w14:paraId="7F7E7377" w14:textId="77777777">
            <w:pPr>
              <w:widowControl/>
              <w:autoSpaceDE/>
              <w:autoSpaceDN/>
              <w:adjustRightInd/>
              <w:rPr>
                <w:sz w:val="22"/>
                <w:szCs w:val="22"/>
              </w:rPr>
            </w:pPr>
            <w:r w:rsidRPr="00777FD8">
              <w:rPr>
                <w:sz w:val="22"/>
                <w:szCs w:val="22"/>
              </w:rPr>
              <w:t>Occupational Health and Safety Specialist and Technician</w:t>
            </w:r>
          </w:p>
        </w:tc>
        <w:tc>
          <w:tcPr>
            <w:tcW w:w="1454" w:type="dxa"/>
            <w:tcBorders>
              <w:top w:val="single" w:sz="4" w:space="0" w:color="auto"/>
              <w:left w:val="nil"/>
              <w:bottom w:val="single" w:sz="4" w:space="0" w:color="auto"/>
              <w:right w:val="single" w:sz="4" w:space="0" w:color="auto"/>
            </w:tcBorders>
            <w:shd w:val="clear" w:color="auto" w:fill="auto"/>
            <w:noWrap/>
            <w:vAlign w:val="center"/>
            <w:hideMark/>
          </w:tcPr>
          <w:p w:rsidR="00E443EF" w:rsidRPr="00777FD8" w:rsidP="009E70F9" w14:paraId="3120A138" w14:textId="77777777">
            <w:pPr>
              <w:widowControl/>
              <w:autoSpaceDE/>
              <w:autoSpaceDN/>
              <w:adjustRightInd/>
              <w:jc w:val="center"/>
              <w:rPr>
                <w:sz w:val="22"/>
                <w:szCs w:val="22"/>
              </w:rPr>
            </w:pPr>
            <w:r w:rsidRPr="00777FD8">
              <w:rPr>
                <w:sz w:val="22"/>
                <w:szCs w:val="22"/>
              </w:rPr>
              <w:t>2,026</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rsidR="00E443EF" w:rsidRPr="00777FD8" w:rsidP="009E70F9" w14:paraId="4BD5BBC8" w14:textId="77777777">
            <w:pPr>
              <w:widowControl/>
              <w:autoSpaceDE/>
              <w:autoSpaceDN/>
              <w:adjustRightInd/>
              <w:jc w:val="center"/>
              <w:rPr>
                <w:sz w:val="22"/>
                <w:szCs w:val="22"/>
              </w:rPr>
            </w:pPr>
            <w:r w:rsidRPr="00777FD8">
              <w:rPr>
                <w:sz w:val="22"/>
                <w:szCs w:val="22"/>
              </w:rPr>
              <w:t>0.1525</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rsidR="00E443EF" w:rsidRPr="00777FD8" w:rsidP="009E70F9" w14:paraId="6191CAB6" w14:textId="7F96D389">
            <w:pPr>
              <w:widowControl/>
              <w:autoSpaceDE/>
              <w:autoSpaceDN/>
              <w:adjustRightInd/>
              <w:jc w:val="center"/>
              <w:rPr>
                <w:sz w:val="22"/>
                <w:szCs w:val="22"/>
              </w:rPr>
            </w:pPr>
            <w:r>
              <w:rPr>
                <w:sz w:val="22"/>
                <w:szCs w:val="22"/>
              </w:rPr>
              <w:t>88</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E443EF" w:rsidRPr="00777FD8" w:rsidP="009E70F9" w14:paraId="311A86E7" w14:textId="50C78355">
            <w:pPr>
              <w:widowControl/>
              <w:autoSpaceDE/>
              <w:autoSpaceDN/>
              <w:adjustRightInd/>
              <w:jc w:val="center"/>
              <w:rPr>
                <w:sz w:val="22"/>
                <w:szCs w:val="22"/>
              </w:rPr>
            </w:pPr>
            <w:r>
              <w:rPr>
                <w:sz w:val="22"/>
                <w:szCs w:val="22"/>
              </w:rPr>
              <w:t>2</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E443EF" w:rsidRPr="00777FD8" w:rsidP="009E70F9" w14:paraId="61B61D23" w14:textId="05683A52">
            <w:pPr>
              <w:widowControl/>
              <w:autoSpaceDE/>
              <w:autoSpaceDN/>
              <w:adjustRightInd/>
              <w:jc w:val="center"/>
              <w:rPr>
                <w:sz w:val="22"/>
                <w:szCs w:val="22"/>
              </w:rPr>
            </w:pPr>
            <w:r>
              <w:rPr>
                <w:sz w:val="22"/>
                <w:szCs w:val="22"/>
              </w:rPr>
              <w:t>176</w:t>
            </w:r>
          </w:p>
        </w:tc>
        <w:tc>
          <w:tcPr>
            <w:tcW w:w="1076" w:type="dxa"/>
            <w:tcBorders>
              <w:top w:val="single" w:sz="4" w:space="0" w:color="auto"/>
              <w:left w:val="nil"/>
              <w:bottom w:val="single" w:sz="4" w:space="0" w:color="auto"/>
              <w:right w:val="single" w:sz="4" w:space="0" w:color="auto"/>
            </w:tcBorders>
            <w:shd w:val="clear" w:color="auto" w:fill="auto"/>
            <w:noWrap/>
            <w:vAlign w:val="center"/>
            <w:hideMark/>
          </w:tcPr>
          <w:p w:rsidR="00E443EF" w:rsidRPr="00777FD8" w:rsidP="009E70F9" w14:paraId="2288C406" w14:textId="5C09A123">
            <w:pPr>
              <w:widowControl/>
              <w:autoSpaceDE/>
              <w:autoSpaceDN/>
              <w:adjustRightInd/>
              <w:jc w:val="center"/>
              <w:rPr>
                <w:sz w:val="22"/>
                <w:szCs w:val="22"/>
              </w:rPr>
            </w:pPr>
            <w:r w:rsidRPr="00777FD8">
              <w:rPr>
                <w:sz w:val="22"/>
                <w:szCs w:val="22"/>
              </w:rPr>
              <w:t>$43.12</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E443EF" w:rsidRPr="00777FD8" w:rsidP="009E70F9" w14:paraId="73D4DAC4" w14:textId="7877AF53">
            <w:pPr>
              <w:widowControl/>
              <w:autoSpaceDE/>
              <w:autoSpaceDN/>
              <w:adjustRightInd/>
              <w:jc w:val="center"/>
              <w:rPr>
                <w:sz w:val="22"/>
                <w:szCs w:val="22"/>
              </w:rPr>
            </w:pPr>
            <w:r w:rsidRPr="00777FD8">
              <w:rPr>
                <w:sz w:val="22"/>
                <w:szCs w:val="22"/>
              </w:rPr>
              <w:t>$</w:t>
            </w:r>
            <w:r w:rsidR="00C917C3">
              <w:rPr>
                <w:sz w:val="22"/>
                <w:szCs w:val="22"/>
              </w:rPr>
              <w:t>7,589</w:t>
            </w:r>
          </w:p>
        </w:tc>
      </w:tr>
      <w:tr w14:paraId="7375F872" w14:textId="77777777" w:rsidTr="00E66A3E">
        <w:tblPrEx>
          <w:tblW w:w="13500" w:type="dxa"/>
          <w:tblInd w:w="-270" w:type="dxa"/>
          <w:tblLayout w:type="fixed"/>
          <w:tblLook w:val="04A0"/>
        </w:tblPrEx>
        <w:trPr>
          <w:trHeight w:val="624"/>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6C208D" w:rsidRPr="00777FD8" w:rsidP="006C208D" w14:paraId="271B0746" w14:textId="77777777">
            <w:pPr>
              <w:widowControl/>
              <w:autoSpaceDE/>
              <w:autoSpaceDN/>
              <w:adjustRightInd/>
              <w:rPr>
                <w:sz w:val="22"/>
                <w:szCs w:val="22"/>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6C208D" w:rsidRPr="00777FD8" w:rsidP="006C208D" w14:paraId="52F2CC8A" w14:textId="77777777">
            <w:pPr>
              <w:widowControl/>
              <w:autoSpaceDE/>
              <w:autoSpaceDN/>
              <w:adjustRightInd/>
              <w:rPr>
                <w:sz w:val="22"/>
                <w:szCs w:val="22"/>
              </w:rPr>
            </w:pPr>
          </w:p>
        </w:tc>
        <w:tc>
          <w:tcPr>
            <w:tcW w:w="1454" w:type="dxa"/>
            <w:tcBorders>
              <w:top w:val="single" w:sz="4" w:space="0" w:color="auto"/>
              <w:left w:val="nil"/>
              <w:bottom w:val="single" w:sz="4" w:space="0" w:color="auto"/>
              <w:right w:val="single" w:sz="4" w:space="0" w:color="auto"/>
            </w:tcBorders>
            <w:shd w:val="clear" w:color="auto" w:fill="auto"/>
            <w:noWrap/>
            <w:vAlign w:val="center"/>
          </w:tcPr>
          <w:p w:rsidR="006C208D" w:rsidRPr="00777FD8" w:rsidP="00E66A3E" w14:paraId="479DA83E" w14:textId="04B45594">
            <w:pPr>
              <w:widowControl/>
              <w:autoSpaceDE/>
              <w:autoSpaceDN/>
              <w:adjustRightInd/>
              <w:jc w:val="center"/>
              <w:rPr>
                <w:sz w:val="22"/>
                <w:szCs w:val="22"/>
              </w:rPr>
            </w:pPr>
            <w:r w:rsidRPr="00777FD8">
              <w:rPr>
                <w:sz w:val="22"/>
                <w:szCs w:val="22"/>
              </w:rPr>
              <w:t>2,026</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6C208D" w:rsidRPr="00777FD8" w:rsidP="00E66A3E" w14:paraId="064C31C3" w14:textId="5996E707">
            <w:pPr>
              <w:widowControl/>
              <w:autoSpaceDE/>
              <w:autoSpaceDN/>
              <w:adjustRightInd/>
              <w:jc w:val="center"/>
              <w:rPr>
                <w:sz w:val="22"/>
                <w:szCs w:val="22"/>
              </w:rPr>
            </w:pPr>
            <w:r>
              <w:rPr>
                <w:sz w:val="22"/>
                <w:szCs w:val="22"/>
              </w:rPr>
              <w:t>0.10908193</w:t>
            </w:r>
          </w:p>
        </w:tc>
        <w:tc>
          <w:tcPr>
            <w:tcW w:w="1270" w:type="dxa"/>
            <w:tcBorders>
              <w:top w:val="single" w:sz="4" w:space="0" w:color="auto"/>
              <w:left w:val="nil"/>
              <w:bottom w:val="single" w:sz="4" w:space="0" w:color="auto"/>
              <w:right w:val="single" w:sz="4" w:space="0" w:color="auto"/>
            </w:tcBorders>
            <w:shd w:val="clear" w:color="auto" w:fill="auto"/>
            <w:noWrap/>
            <w:vAlign w:val="center"/>
          </w:tcPr>
          <w:p w:rsidR="006C208D" w:rsidRPr="00777FD8" w:rsidP="00E66A3E" w14:paraId="341DB426" w14:textId="6AC4EE81">
            <w:pPr>
              <w:widowControl/>
              <w:autoSpaceDE/>
              <w:autoSpaceDN/>
              <w:adjustRightInd/>
              <w:jc w:val="center"/>
              <w:rPr>
                <w:sz w:val="22"/>
                <w:szCs w:val="22"/>
              </w:rPr>
            </w:pPr>
            <w:r>
              <w:rPr>
                <w:sz w:val="22"/>
                <w:szCs w:val="22"/>
              </w:rPr>
              <w:t>221</w:t>
            </w:r>
          </w:p>
        </w:tc>
        <w:tc>
          <w:tcPr>
            <w:tcW w:w="1177" w:type="dxa"/>
            <w:tcBorders>
              <w:top w:val="single" w:sz="4" w:space="0" w:color="auto"/>
              <w:left w:val="nil"/>
              <w:bottom w:val="single" w:sz="4" w:space="0" w:color="auto"/>
              <w:right w:val="single" w:sz="4" w:space="0" w:color="auto"/>
            </w:tcBorders>
            <w:shd w:val="clear" w:color="auto" w:fill="auto"/>
            <w:noWrap/>
            <w:vAlign w:val="center"/>
          </w:tcPr>
          <w:p w:rsidR="006C208D" w:rsidRPr="00777FD8" w:rsidP="00E66A3E" w14:paraId="7294D305" w14:textId="38E47212">
            <w:pPr>
              <w:widowControl/>
              <w:autoSpaceDE/>
              <w:autoSpaceDN/>
              <w:adjustRightInd/>
              <w:jc w:val="center"/>
              <w:rPr>
                <w:sz w:val="22"/>
                <w:szCs w:val="22"/>
              </w:rPr>
            </w:pPr>
            <w:r>
              <w:rPr>
                <w:sz w:val="22"/>
                <w:szCs w:val="22"/>
              </w:rPr>
              <w:t>30/60</w:t>
            </w:r>
          </w:p>
        </w:tc>
        <w:tc>
          <w:tcPr>
            <w:tcW w:w="1243" w:type="dxa"/>
            <w:tcBorders>
              <w:top w:val="single" w:sz="4" w:space="0" w:color="auto"/>
              <w:left w:val="nil"/>
              <w:bottom w:val="single" w:sz="4" w:space="0" w:color="auto"/>
              <w:right w:val="single" w:sz="4" w:space="0" w:color="auto"/>
            </w:tcBorders>
            <w:shd w:val="clear" w:color="auto" w:fill="auto"/>
            <w:noWrap/>
            <w:vAlign w:val="center"/>
          </w:tcPr>
          <w:p w:rsidR="006C208D" w:rsidRPr="00777FD8" w:rsidP="00E66A3E" w14:paraId="52705004" w14:textId="1D7616E8">
            <w:pPr>
              <w:widowControl/>
              <w:autoSpaceDE/>
              <w:autoSpaceDN/>
              <w:adjustRightInd/>
              <w:jc w:val="center"/>
              <w:rPr>
                <w:sz w:val="22"/>
                <w:szCs w:val="22"/>
              </w:rPr>
            </w:pPr>
            <w:r>
              <w:rPr>
                <w:sz w:val="22"/>
                <w:szCs w:val="22"/>
              </w:rPr>
              <w:t>111</w:t>
            </w:r>
          </w:p>
        </w:tc>
        <w:tc>
          <w:tcPr>
            <w:tcW w:w="1076" w:type="dxa"/>
            <w:tcBorders>
              <w:top w:val="single" w:sz="4" w:space="0" w:color="auto"/>
              <w:left w:val="nil"/>
              <w:bottom w:val="single" w:sz="4" w:space="0" w:color="auto"/>
              <w:right w:val="single" w:sz="4" w:space="0" w:color="auto"/>
            </w:tcBorders>
            <w:shd w:val="clear" w:color="auto" w:fill="auto"/>
            <w:noWrap/>
            <w:vAlign w:val="center"/>
          </w:tcPr>
          <w:p w:rsidR="006C208D" w:rsidRPr="00777FD8" w:rsidP="00E66A3E" w14:paraId="39BA8431" w14:textId="099F80F6">
            <w:pPr>
              <w:widowControl/>
              <w:autoSpaceDE/>
              <w:autoSpaceDN/>
              <w:adjustRightInd/>
              <w:jc w:val="center"/>
              <w:rPr>
                <w:sz w:val="22"/>
                <w:szCs w:val="22"/>
              </w:rPr>
            </w:pPr>
            <w:r w:rsidRPr="00777FD8">
              <w:rPr>
                <w:sz w:val="22"/>
                <w:szCs w:val="22"/>
              </w:rPr>
              <w:t>$43.12</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C208D" w:rsidRPr="00777FD8" w:rsidP="00E66A3E" w14:paraId="436E245E" w14:textId="4A5F4054">
            <w:pPr>
              <w:widowControl/>
              <w:autoSpaceDE/>
              <w:autoSpaceDN/>
              <w:adjustRightInd/>
              <w:jc w:val="center"/>
              <w:rPr>
                <w:sz w:val="22"/>
                <w:szCs w:val="22"/>
              </w:rPr>
            </w:pPr>
            <w:r>
              <w:rPr>
                <w:sz w:val="22"/>
                <w:szCs w:val="22"/>
              </w:rPr>
              <w:t>$4,786</w:t>
            </w:r>
          </w:p>
        </w:tc>
      </w:tr>
      <w:tr w14:paraId="44DC67C9" w14:textId="77777777" w:rsidTr="00E66A3E">
        <w:tblPrEx>
          <w:tblW w:w="13500" w:type="dxa"/>
          <w:tblInd w:w="-270" w:type="dxa"/>
          <w:tblLayout w:type="fixed"/>
          <w:tblLook w:val="04A0"/>
        </w:tblPrEx>
        <w:trPr>
          <w:trHeight w:val="624"/>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208D" w:rsidRPr="00777FD8" w:rsidP="006C208D" w14:paraId="7E3970B8" w14:textId="77777777">
            <w:pPr>
              <w:widowControl/>
              <w:autoSpaceDE/>
              <w:autoSpaceDN/>
              <w:adjustRightInd/>
              <w:rPr>
                <w:sz w:val="22"/>
                <w:szCs w:val="22"/>
              </w:rPr>
            </w:pPr>
            <w:r w:rsidRPr="00777FD8">
              <w:rPr>
                <w:sz w:val="22"/>
                <w:szCs w:val="22"/>
              </w:rPr>
              <w:t>Information provided to the physician</w:t>
            </w:r>
            <w:r w:rsidRPr="00777FD8">
              <w:rPr>
                <w:sz w:val="22"/>
                <w:szCs w:val="22"/>
              </w:rPr>
              <w:br/>
              <w:t>(§1910.1047(i)(3))</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6C208D" w14:paraId="7CA6333C" w14:textId="77777777">
            <w:pPr>
              <w:widowControl/>
              <w:autoSpaceDE/>
              <w:autoSpaceDN/>
              <w:adjustRightInd/>
              <w:rPr>
                <w:sz w:val="22"/>
                <w:szCs w:val="22"/>
              </w:rPr>
            </w:pPr>
            <w:r w:rsidRPr="00777FD8">
              <w:rPr>
                <w:sz w:val="22"/>
                <w:szCs w:val="22"/>
              </w:rPr>
              <w:t>Secretaries and Administrative Assistants</w:t>
            </w:r>
          </w:p>
        </w:tc>
        <w:tc>
          <w:tcPr>
            <w:tcW w:w="1454"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E66A3E" w14:paraId="0F087053" w14:textId="77777777">
            <w:pPr>
              <w:widowControl/>
              <w:autoSpaceDE/>
              <w:autoSpaceDN/>
              <w:adjustRightInd/>
              <w:jc w:val="center"/>
              <w:rPr>
                <w:sz w:val="22"/>
                <w:szCs w:val="22"/>
              </w:rPr>
            </w:pPr>
            <w:r w:rsidRPr="00777FD8">
              <w:rPr>
                <w:sz w:val="22"/>
                <w:szCs w:val="22"/>
              </w:rPr>
              <w:t>2,026</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E66A3E" w14:paraId="51C9C671" w14:textId="77777777">
            <w:pPr>
              <w:widowControl/>
              <w:autoSpaceDE/>
              <w:autoSpaceDN/>
              <w:adjustRightInd/>
              <w:jc w:val="center"/>
              <w:rPr>
                <w:sz w:val="22"/>
                <w:szCs w:val="22"/>
              </w:rPr>
            </w:pPr>
            <w:r w:rsidRPr="00777FD8">
              <w:rPr>
                <w:sz w:val="22"/>
                <w:szCs w:val="22"/>
              </w:rPr>
              <w:t>11.7527</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E66A3E" w14:paraId="44CEAFEC" w14:textId="77777777">
            <w:pPr>
              <w:widowControl/>
              <w:autoSpaceDE/>
              <w:autoSpaceDN/>
              <w:adjustRightInd/>
              <w:jc w:val="center"/>
              <w:rPr>
                <w:sz w:val="22"/>
                <w:szCs w:val="22"/>
              </w:rPr>
            </w:pPr>
            <w:r w:rsidRPr="00777FD8">
              <w:rPr>
                <w:sz w:val="22"/>
                <w:szCs w:val="22"/>
              </w:rPr>
              <w:t>23,811</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E66A3E" w14:paraId="483FC687" w14:textId="472317E3">
            <w:pPr>
              <w:widowControl/>
              <w:autoSpaceDE/>
              <w:autoSpaceDN/>
              <w:adjustRightInd/>
              <w:jc w:val="center"/>
              <w:rPr>
                <w:sz w:val="22"/>
                <w:szCs w:val="22"/>
              </w:rPr>
            </w:pPr>
            <w:r w:rsidRPr="00777FD8">
              <w:rPr>
                <w:sz w:val="22"/>
                <w:szCs w:val="22"/>
              </w:rPr>
              <w:t>5/60</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E66A3E" w14:paraId="51B0020F" w14:textId="77777777">
            <w:pPr>
              <w:widowControl/>
              <w:autoSpaceDE/>
              <w:autoSpaceDN/>
              <w:adjustRightInd/>
              <w:jc w:val="center"/>
              <w:rPr>
                <w:sz w:val="22"/>
                <w:szCs w:val="22"/>
              </w:rPr>
            </w:pPr>
            <w:r w:rsidRPr="00777FD8">
              <w:rPr>
                <w:sz w:val="22"/>
                <w:szCs w:val="22"/>
              </w:rPr>
              <w:t>1,984</w:t>
            </w:r>
          </w:p>
        </w:tc>
        <w:tc>
          <w:tcPr>
            <w:tcW w:w="1076"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E66A3E" w14:paraId="684BCB32" w14:textId="285833FC">
            <w:pPr>
              <w:widowControl/>
              <w:autoSpaceDE/>
              <w:autoSpaceDN/>
              <w:adjustRightInd/>
              <w:jc w:val="center"/>
              <w:rPr>
                <w:sz w:val="22"/>
                <w:szCs w:val="22"/>
              </w:rPr>
            </w:pPr>
            <w:r w:rsidRPr="00777FD8">
              <w:rPr>
                <w:sz w:val="22"/>
                <w:szCs w:val="22"/>
              </w:rPr>
              <w:t>$29.60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E66A3E" w14:paraId="514CC662" w14:textId="77777777">
            <w:pPr>
              <w:widowControl/>
              <w:autoSpaceDE/>
              <w:autoSpaceDN/>
              <w:adjustRightInd/>
              <w:jc w:val="center"/>
              <w:rPr>
                <w:sz w:val="22"/>
                <w:szCs w:val="22"/>
              </w:rPr>
            </w:pPr>
            <w:r w:rsidRPr="00777FD8">
              <w:rPr>
                <w:sz w:val="22"/>
                <w:szCs w:val="22"/>
              </w:rPr>
              <w:t>$58,726</w:t>
            </w:r>
          </w:p>
          <w:p w:rsidR="006C208D" w:rsidRPr="00777FD8" w:rsidP="00E66A3E" w14:paraId="3EBF1D86" w14:textId="5ACF2030">
            <w:pPr>
              <w:widowControl/>
              <w:autoSpaceDE/>
              <w:autoSpaceDN/>
              <w:adjustRightInd/>
              <w:jc w:val="center"/>
              <w:rPr>
                <w:sz w:val="22"/>
                <w:szCs w:val="22"/>
              </w:rPr>
            </w:pPr>
          </w:p>
        </w:tc>
      </w:tr>
      <w:tr w14:paraId="02FD3799" w14:textId="77777777" w:rsidTr="00E66A3E">
        <w:tblPrEx>
          <w:tblW w:w="13500" w:type="dxa"/>
          <w:tblInd w:w="-270" w:type="dxa"/>
          <w:tblLayout w:type="fixed"/>
          <w:tblLook w:val="04A0"/>
        </w:tblPrEx>
        <w:trPr>
          <w:trHeight w:val="624"/>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208D" w:rsidRPr="00777FD8" w:rsidP="006C208D" w14:paraId="56865625" w14:textId="77777777">
            <w:pPr>
              <w:widowControl/>
              <w:autoSpaceDE/>
              <w:autoSpaceDN/>
              <w:adjustRightInd/>
              <w:rPr>
                <w:sz w:val="22"/>
                <w:szCs w:val="22"/>
              </w:rPr>
            </w:pPr>
            <w:r w:rsidRPr="00777FD8">
              <w:rPr>
                <w:sz w:val="22"/>
                <w:szCs w:val="22"/>
              </w:rPr>
              <w:t>Physician Written Opinion</w:t>
            </w:r>
            <w:r w:rsidRPr="00777FD8">
              <w:rPr>
                <w:sz w:val="22"/>
                <w:szCs w:val="22"/>
              </w:rPr>
              <w:br/>
              <w:t>(§1910.1047(i)(4))</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6C208D" w14:paraId="7AA3B842" w14:textId="77777777">
            <w:pPr>
              <w:widowControl/>
              <w:autoSpaceDE/>
              <w:autoSpaceDN/>
              <w:adjustRightInd/>
              <w:rPr>
                <w:sz w:val="22"/>
                <w:szCs w:val="22"/>
              </w:rPr>
            </w:pPr>
            <w:r w:rsidRPr="00777FD8">
              <w:rPr>
                <w:sz w:val="22"/>
                <w:szCs w:val="22"/>
              </w:rPr>
              <w:t>Secretaries and Administrative Assistants</w:t>
            </w:r>
          </w:p>
        </w:tc>
        <w:tc>
          <w:tcPr>
            <w:tcW w:w="1454"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E66A3E" w14:paraId="75E0AE9D" w14:textId="77777777">
            <w:pPr>
              <w:widowControl/>
              <w:autoSpaceDE/>
              <w:autoSpaceDN/>
              <w:adjustRightInd/>
              <w:jc w:val="center"/>
              <w:rPr>
                <w:sz w:val="22"/>
                <w:szCs w:val="22"/>
              </w:rPr>
            </w:pPr>
            <w:r w:rsidRPr="00777FD8">
              <w:rPr>
                <w:sz w:val="22"/>
                <w:szCs w:val="22"/>
              </w:rPr>
              <w:t>2,026</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E66A3E" w14:paraId="4797B9F1" w14:textId="77777777">
            <w:pPr>
              <w:widowControl/>
              <w:autoSpaceDE/>
              <w:autoSpaceDN/>
              <w:adjustRightInd/>
              <w:jc w:val="center"/>
              <w:rPr>
                <w:sz w:val="22"/>
                <w:szCs w:val="22"/>
              </w:rPr>
            </w:pPr>
            <w:r w:rsidRPr="00777FD8">
              <w:rPr>
                <w:sz w:val="22"/>
                <w:szCs w:val="22"/>
              </w:rPr>
              <w:t>11.7527</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E66A3E" w14:paraId="22C52499" w14:textId="77777777">
            <w:pPr>
              <w:widowControl/>
              <w:autoSpaceDE/>
              <w:autoSpaceDN/>
              <w:adjustRightInd/>
              <w:jc w:val="center"/>
              <w:rPr>
                <w:sz w:val="22"/>
                <w:szCs w:val="22"/>
              </w:rPr>
            </w:pPr>
            <w:r w:rsidRPr="00777FD8">
              <w:rPr>
                <w:sz w:val="22"/>
                <w:szCs w:val="22"/>
              </w:rPr>
              <w:t>23,811</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E66A3E" w14:paraId="0019D774" w14:textId="5712C2E1">
            <w:pPr>
              <w:widowControl/>
              <w:autoSpaceDE/>
              <w:autoSpaceDN/>
              <w:adjustRightInd/>
              <w:jc w:val="center"/>
              <w:rPr>
                <w:sz w:val="22"/>
                <w:szCs w:val="22"/>
              </w:rPr>
            </w:pPr>
            <w:r w:rsidRPr="00777FD8">
              <w:rPr>
                <w:sz w:val="22"/>
                <w:szCs w:val="22"/>
              </w:rPr>
              <w:t>5/60</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E66A3E" w14:paraId="7A6B36C2" w14:textId="77777777">
            <w:pPr>
              <w:widowControl/>
              <w:autoSpaceDE/>
              <w:autoSpaceDN/>
              <w:adjustRightInd/>
              <w:jc w:val="center"/>
              <w:rPr>
                <w:sz w:val="22"/>
                <w:szCs w:val="22"/>
              </w:rPr>
            </w:pPr>
            <w:r w:rsidRPr="00777FD8">
              <w:rPr>
                <w:sz w:val="22"/>
                <w:szCs w:val="22"/>
              </w:rPr>
              <w:t>1,984</w:t>
            </w:r>
          </w:p>
        </w:tc>
        <w:tc>
          <w:tcPr>
            <w:tcW w:w="1076"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E66A3E" w14:paraId="7E20A477" w14:textId="05CB0BBB">
            <w:pPr>
              <w:widowControl/>
              <w:autoSpaceDE/>
              <w:autoSpaceDN/>
              <w:adjustRightInd/>
              <w:jc w:val="center"/>
              <w:rPr>
                <w:sz w:val="22"/>
                <w:szCs w:val="22"/>
              </w:rPr>
            </w:pPr>
            <w:r w:rsidRPr="00777FD8">
              <w:rPr>
                <w:sz w:val="22"/>
                <w:szCs w:val="22"/>
              </w:rPr>
              <w:t>$29.60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E66A3E" w14:paraId="455257C0" w14:textId="598DBE2D">
            <w:pPr>
              <w:widowControl/>
              <w:autoSpaceDE/>
              <w:autoSpaceDN/>
              <w:adjustRightInd/>
              <w:jc w:val="center"/>
              <w:rPr>
                <w:sz w:val="22"/>
                <w:szCs w:val="22"/>
              </w:rPr>
            </w:pPr>
            <w:r w:rsidRPr="00777FD8">
              <w:rPr>
                <w:sz w:val="22"/>
                <w:szCs w:val="22"/>
              </w:rPr>
              <w:t>$58,726</w:t>
            </w:r>
          </w:p>
        </w:tc>
      </w:tr>
      <w:tr w14:paraId="67CE7D55" w14:textId="77777777" w:rsidTr="00545D79">
        <w:tblPrEx>
          <w:tblW w:w="13500" w:type="dxa"/>
          <w:tblInd w:w="-270" w:type="dxa"/>
          <w:tblLayout w:type="fixed"/>
          <w:tblLook w:val="04A0"/>
        </w:tblPrEx>
        <w:trPr>
          <w:trHeight w:val="624"/>
        </w:trPr>
        <w:tc>
          <w:tcPr>
            <w:tcW w:w="13500" w:type="dxa"/>
            <w:gridSpan w:val="9"/>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6C208D" w:rsidRPr="00777FD8" w:rsidP="006C208D" w14:paraId="55242C90" w14:textId="02F72D0E">
            <w:pPr>
              <w:widowControl/>
              <w:autoSpaceDE/>
              <w:autoSpaceDN/>
              <w:adjustRightInd/>
              <w:rPr>
                <w:sz w:val="22"/>
                <w:szCs w:val="22"/>
              </w:rPr>
            </w:pPr>
            <w:r w:rsidRPr="00565389">
              <w:rPr>
                <w:sz w:val="24"/>
              </w:rPr>
              <w:t>(</w:t>
            </w:r>
            <w:r w:rsidRPr="00565389">
              <w:rPr>
                <w:b/>
                <w:bCs/>
                <w:sz w:val="24"/>
              </w:rPr>
              <w:t>G)  Recordkeeping (§1910.1047(k))</w:t>
            </w:r>
          </w:p>
        </w:tc>
      </w:tr>
      <w:tr w14:paraId="1391DEA9" w14:textId="77777777" w:rsidTr="00674162">
        <w:tblPrEx>
          <w:tblW w:w="13500" w:type="dxa"/>
          <w:tblInd w:w="-270" w:type="dxa"/>
          <w:tblLayout w:type="fixed"/>
          <w:tblLook w:val="04A0"/>
        </w:tblPrEx>
        <w:trPr>
          <w:trHeight w:val="624"/>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208D" w:rsidRPr="00777FD8" w:rsidP="006C208D" w14:paraId="474A89B3" w14:textId="77777777">
            <w:pPr>
              <w:widowControl/>
              <w:autoSpaceDE/>
              <w:autoSpaceDN/>
              <w:adjustRightInd/>
              <w:rPr>
                <w:sz w:val="22"/>
                <w:szCs w:val="22"/>
              </w:rPr>
            </w:pPr>
            <w:r w:rsidRPr="00777FD8">
              <w:rPr>
                <w:sz w:val="22"/>
                <w:szCs w:val="22"/>
              </w:rPr>
              <w:t>Exposure Measurements</w:t>
            </w:r>
            <w:r w:rsidRPr="00777FD8">
              <w:rPr>
                <w:sz w:val="22"/>
                <w:szCs w:val="22"/>
              </w:rPr>
              <w:br/>
              <w:t>(§1910.1047(k)(2))</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6C208D" w14:paraId="11917CD0" w14:textId="77777777">
            <w:pPr>
              <w:widowControl/>
              <w:autoSpaceDE/>
              <w:autoSpaceDN/>
              <w:adjustRightInd/>
              <w:rPr>
                <w:sz w:val="22"/>
                <w:szCs w:val="22"/>
              </w:rPr>
            </w:pPr>
            <w:r w:rsidRPr="00777FD8">
              <w:rPr>
                <w:sz w:val="22"/>
                <w:szCs w:val="22"/>
              </w:rPr>
              <w:t>Secretaries and Administrative Assistants</w:t>
            </w:r>
          </w:p>
        </w:tc>
        <w:tc>
          <w:tcPr>
            <w:tcW w:w="1454"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674162" w14:paraId="156DE772" w14:textId="77777777">
            <w:pPr>
              <w:widowControl/>
              <w:autoSpaceDE/>
              <w:autoSpaceDN/>
              <w:adjustRightInd/>
              <w:jc w:val="center"/>
              <w:rPr>
                <w:sz w:val="22"/>
                <w:szCs w:val="22"/>
              </w:rPr>
            </w:pPr>
            <w:r w:rsidRPr="00777FD8">
              <w:rPr>
                <w:sz w:val="22"/>
                <w:szCs w:val="22"/>
              </w:rPr>
              <w:t>2,026</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674162" w14:paraId="3454B683" w14:textId="77777777">
            <w:pPr>
              <w:widowControl/>
              <w:autoSpaceDE/>
              <w:autoSpaceDN/>
              <w:adjustRightInd/>
              <w:jc w:val="center"/>
              <w:rPr>
                <w:sz w:val="22"/>
                <w:szCs w:val="22"/>
              </w:rPr>
            </w:pPr>
            <w:r w:rsidRPr="00777FD8">
              <w:rPr>
                <w:sz w:val="22"/>
                <w:szCs w:val="22"/>
              </w:rPr>
              <w:t>2.0785</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674162" w14:paraId="30EA9EFA" w14:textId="77777777">
            <w:pPr>
              <w:widowControl/>
              <w:autoSpaceDE/>
              <w:autoSpaceDN/>
              <w:adjustRightInd/>
              <w:jc w:val="center"/>
              <w:rPr>
                <w:sz w:val="22"/>
                <w:szCs w:val="22"/>
              </w:rPr>
            </w:pPr>
            <w:r w:rsidRPr="00777FD8">
              <w:rPr>
                <w:sz w:val="22"/>
                <w:szCs w:val="22"/>
              </w:rPr>
              <w:t>4,211</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674162" w14:paraId="33E19910" w14:textId="28BEBE70">
            <w:pPr>
              <w:widowControl/>
              <w:autoSpaceDE/>
              <w:autoSpaceDN/>
              <w:adjustRightInd/>
              <w:jc w:val="center"/>
              <w:rPr>
                <w:sz w:val="22"/>
                <w:szCs w:val="22"/>
              </w:rPr>
            </w:pPr>
            <w:r w:rsidRPr="00777FD8">
              <w:rPr>
                <w:sz w:val="22"/>
                <w:szCs w:val="22"/>
              </w:rPr>
              <w:t>5/60</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674162" w14:paraId="70B9D626" w14:textId="77777777">
            <w:pPr>
              <w:widowControl/>
              <w:autoSpaceDE/>
              <w:autoSpaceDN/>
              <w:adjustRightInd/>
              <w:jc w:val="center"/>
              <w:rPr>
                <w:sz w:val="22"/>
                <w:szCs w:val="22"/>
              </w:rPr>
            </w:pPr>
            <w:r w:rsidRPr="00777FD8">
              <w:rPr>
                <w:sz w:val="22"/>
                <w:szCs w:val="22"/>
              </w:rPr>
              <w:t>351</w:t>
            </w:r>
          </w:p>
        </w:tc>
        <w:tc>
          <w:tcPr>
            <w:tcW w:w="1076"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674162" w14:paraId="245959C1" w14:textId="389CA861">
            <w:pPr>
              <w:widowControl/>
              <w:autoSpaceDE/>
              <w:autoSpaceDN/>
              <w:adjustRightInd/>
              <w:jc w:val="center"/>
              <w:rPr>
                <w:sz w:val="22"/>
                <w:szCs w:val="22"/>
              </w:rPr>
            </w:pPr>
            <w:r w:rsidRPr="00777FD8">
              <w:rPr>
                <w:sz w:val="22"/>
                <w:szCs w:val="22"/>
              </w:rPr>
              <w:t>$29.60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674162" w14:paraId="12D514F6" w14:textId="4F29671F">
            <w:pPr>
              <w:widowControl/>
              <w:autoSpaceDE/>
              <w:autoSpaceDN/>
              <w:adjustRightInd/>
              <w:jc w:val="center"/>
              <w:rPr>
                <w:sz w:val="22"/>
                <w:szCs w:val="22"/>
              </w:rPr>
            </w:pPr>
            <w:r w:rsidRPr="00777FD8">
              <w:rPr>
                <w:sz w:val="22"/>
                <w:szCs w:val="22"/>
              </w:rPr>
              <w:t>$10,390</w:t>
            </w:r>
          </w:p>
        </w:tc>
      </w:tr>
      <w:tr w14:paraId="2EA4029B" w14:textId="77777777" w:rsidTr="006E395C">
        <w:tblPrEx>
          <w:tblW w:w="13500" w:type="dxa"/>
          <w:tblInd w:w="-270" w:type="dxa"/>
          <w:tblLayout w:type="fixed"/>
          <w:tblLook w:val="04A0"/>
        </w:tblPrEx>
        <w:trPr>
          <w:trHeight w:val="624"/>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208D" w:rsidRPr="00777FD8" w:rsidP="006C208D" w14:paraId="5E17C333" w14:textId="77777777">
            <w:pPr>
              <w:widowControl/>
              <w:autoSpaceDE/>
              <w:autoSpaceDN/>
              <w:adjustRightInd/>
              <w:rPr>
                <w:sz w:val="22"/>
                <w:szCs w:val="22"/>
              </w:rPr>
            </w:pPr>
            <w:r w:rsidRPr="00777FD8">
              <w:rPr>
                <w:sz w:val="22"/>
                <w:szCs w:val="22"/>
              </w:rPr>
              <w:t>Medical Records</w:t>
            </w:r>
            <w:r w:rsidRPr="00777FD8">
              <w:rPr>
                <w:sz w:val="22"/>
                <w:szCs w:val="22"/>
              </w:rPr>
              <w:br/>
              <w:t>(§1910.1047 (k)(3))</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6C208D" w14:paraId="50A85225" w14:textId="77777777">
            <w:pPr>
              <w:widowControl/>
              <w:autoSpaceDE/>
              <w:autoSpaceDN/>
              <w:adjustRightInd/>
              <w:rPr>
                <w:sz w:val="22"/>
                <w:szCs w:val="22"/>
              </w:rPr>
            </w:pPr>
            <w:r w:rsidRPr="00777FD8">
              <w:rPr>
                <w:sz w:val="22"/>
                <w:szCs w:val="22"/>
              </w:rPr>
              <w:t>Secretaries and Administrative Assistants</w:t>
            </w:r>
          </w:p>
        </w:tc>
        <w:tc>
          <w:tcPr>
            <w:tcW w:w="1454"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6E395C" w14:paraId="64642E61" w14:textId="77777777">
            <w:pPr>
              <w:widowControl/>
              <w:autoSpaceDE/>
              <w:autoSpaceDN/>
              <w:adjustRightInd/>
              <w:jc w:val="center"/>
              <w:rPr>
                <w:sz w:val="22"/>
                <w:szCs w:val="22"/>
              </w:rPr>
            </w:pPr>
            <w:r w:rsidRPr="00777FD8">
              <w:rPr>
                <w:sz w:val="22"/>
                <w:szCs w:val="22"/>
              </w:rPr>
              <w:t>2,026</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6E395C" w14:paraId="72543061" w14:textId="77777777">
            <w:pPr>
              <w:widowControl/>
              <w:autoSpaceDE/>
              <w:autoSpaceDN/>
              <w:adjustRightInd/>
              <w:jc w:val="center"/>
              <w:rPr>
                <w:sz w:val="22"/>
                <w:szCs w:val="22"/>
              </w:rPr>
            </w:pPr>
            <w:r w:rsidRPr="00777FD8">
              <w:rPr>
                <w:sz w:val="22"/>
                <w:szCs w:val="22"/>
              </w:rPr>
              <w:t>11.7527</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6E395C" w14:paraId="22D0DDB8" w14:textId="77777777">
            <w:pPr>
              <w:widowControl/>
              <w:autoSpaceDE/>
              <w:autoSpaceDN/>
              <w:adjustRightInd/>
              <w:jc w:val="center"/>
              <w:rPr>
                <w:sz w:val="22"/>
                <w:szCs w:val="22"/>
              </w:rPr>
            </w:pPr>
            <w:r w:rsidRPr="00777FD8">
              <w:rPr>
                <w:sz w:val="22"/>
                <w:szCs w:val="22"/>
              </w:rPr>
              <w:t>23,811</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6E395C" w14:paraId="41D6A5A6" w14:textId="2E0C3FBE">
            <w:pPr>
              <w:widowControl/>
              <w:autoSpaceDE/>
              <w:autoSpaceDN/>
              <w:adjustRightInd/>
              <w:jc w:val="center"/>
              <w:rPr>
                <w:sz w:val="22"/>
                <w:szCs w:val="22"/>
              </w:rPr>
            </w:pPr>
            <w:r w:rsidRPr="00777FD8">
              <w:rPr>
                <w:sz w:val="22"/>
                <w:szCs w:val="22"/>
              </w:rPr>
              <w:t>5/60</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6E395C" w14:paraId="629DA7EC" w14:textId="77777777">
            <w:pPr>
              <w:widowControl/>
              <w:autoSpaceDE/>
              <w:autoSpaceDN/>
              <w:adjustRightInd/>
              <w:jc w:val="center"/>
              <w:rPr>
                <w:sz w:val="22"/>
                <w:szCs w:val="22"/>
              </w:rPr>
            </w:pPr>
            <w:r w:rsidRPr="00777FD8">
              <w:rPr>
                <w:sz w:val="22"/>
                <w:szCs w:val="22"/>
              </w:rPr>
              <w:t>1,984</w:t>
            </w:r>
          </w:p>
        </w:tc>
        <w:tc>
          <w:tcPr>
            <w:tcW w:w="1076"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6E395C" w14:paraId="553FE1AC" w14:textId="26F61DAA">
            <w:pPr>
              <w:widowControl/>
              <w:autoSpaceDE/>
              <w:autoSpaceDN/>
              <w:adjustRightInd/>
              <w:jc w:val="center"/>
              <w:rPr>
                <w:sz w:val="22"/>
                <w:szCs w:val="22"/>
              </w:rPr>
            </w:pPr>
            <w:r w:rsidRPr="00777FD8">
              <w:rPr>
                <w:sz w:val="22"/>
                <w:szCs w:val="22"/>
              </w:rPr>
              <w:t>$29.60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6E395C" w14:paraId="0EC174A1" w14:textId="257A9D60">
            <w:pPr>
              <w:widowControl/>
              <w:autoSpaceDE/>
              <w:autoSpaceDN/>
              <w:adjustRightInd/>
              <w:jc w:val="center"/>
              <w:rPr>
                <w:sz w:val="22"/>
                <w:szCs w:val="22"/>
              </w:rPr>
            </w:pPr>
            <w:r w:rsidRPr="00777FD8">
              <w:rPr>
                <w:sz w:val="22"/>
                <w:szCs w:val="22"/>
              </w:rPr>
              <w:t>$58,726</w:t>
            </w:r>
          </w:p>
        </w:tc>
      </w:tr>
      <w:tr w14:paraId="05A9E6AB" w14:textId="77777777" w:rsidTr="006E395C">
        <w:tblPrEx>
          <w:tblW w:w="13500" w:type="dxa"/>
          <w:tblInd w:w="-270" w:type="dxa"/>
          <w:tblLayout w:type="fixed"/>
          <w:tblLook w:val="04A0"/>
        </w:tblPrEx>
        <w:trPr>
          <w:trHeight w:val="624"/>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208D" w:rsidRPr="00777FD8" w:rsidP="006C208D" w14:paraId="6504BE09" w14:textId="77777777">
            <w:pPr>
              <w:widowControl/>
              <w:autoSpaceDE/>
              <w:autoSpaceDN/>
              <w:adjustRightInd/>
              <w:rPr>
                <w:sz w:val="22"/>
                <w:szCs w:val="22"/>
                <w:u w:val="single"/>
              </w:rPr>
            </w:pPr>
            <w:r w:rsidRPr="00777FD8">
              <w:rPr>
                <w:sz w:val="22"/>
                <w:szCs w:val="22"/>
                <w:u w:val="single"/>
              </w:rPr>
              <w:t>Availability</w:t>
            </w:r>
            <w:r w:rsidRPr="00777FD8">
              <w:rPr>
                <w:sz w:val="22"/>
                <w:szCs w:val="22"/>
                <w:u w:val="single"/>
              </w:rPr>
              <w:br/>
            </w:r>
            <w:r w:rsidRPr="00777FD8">
              <w:rPr>
                <w:sz w:val="22"/>
                <w:szCs w:val="22"/>
              </w:rPr>
              <w:t>(§1910.1047(k)(4))</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6C208D" w14:paraId="01FB5549" w14:textId="77777777">
            <w:pPr>
              <w:widowControl/>
              <w:autoSpaceDE/>
              <w:autoSpaceDN/>
              <w:adjustRightInd/>
              <w:rPr>
                <w:sz w:val="22"/>
                <w:szCs w:val="22"/>
              </w:rPr>
            </w:pPr>
            <w:r w:rsidRPr="00777FD8">
              <w:rPr>
                <w:sz w:val="22"/>
                <w:szCs w:val="22"/>
              </w:rPr>
              <w:t>Secretaries and Administrative Assistants</w:t>
            </w:r>
          </w:p>
        </w:tc>
        <w:tc>
          <w:tcPr>
            <w:tcW w:w="1454"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6E395C" w14:paraId="22038838" w14:textId="77777777">
            <w:pPr>
              <w:widowControl/>
              <w:autoSpaceDE/>
              <w:autoSpaceDN/>
              <w:adjustRightInd/>
              <w:jc w:val="center"/>
              <w:rPr>
                <w:sz w:val="22"/>
                <w:szCs w:val="22"/>
              </w:rPr>
            </w:pPr>
            <w:r w:rsidRPr="00777FD8">
              <w:rPr>
                <w:sz w:val="22"/>
                <w:szCs w:val="22"/>
              </w:rPr>
              <w:t>2,026</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6E395C" w14:paraId="7C8D96BF" w14:textId="77777777">
            <w:pPr>
              <w:widowControl/>
              <w:autoSpaceDE/>
              <w:autoSpaceDN/>
              <w:adjustRightInd/>
              <w:jc w:val="center"/>
              <w:rPr>
                <w:sz w:val="22"/>
                <w:szCs w:val="22"/>
              </w:rPr>
            </w:pPr>
            <w:r w:rsidRPr="00777FD8">
              <w:rPr>
                <w:sz w:val="22"/>
                <w:szCs w:val="22"/>
              </w:rPr>
              <w:t>2.1930</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6E395C" w14:paraId="5EDD1C63" w14:textId="77777777">
            <w:pPr>
              <w:widowControl/>
              <w:autoSpaceDE/>
              <w:autoSpaceDN/>
              <w:adjustRightInd/>
              <w:jc w:val="center"/>
              <w:rPr>
                <w:sz w:val="22"/>
                <w:szCs w:val="22"/>
              </w:rPr>
            </w:pPr>
            <w:r w:rsidRPr="00777FD8">
              <w:rPr>
                <w:sz w:val="22"/>
                <w:szCs w:val="22"/>
              </w:rPr>
              <w:t>4,443</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6E395C" w14:paraId="6396FDAB" w14:textId="10F465B6">
            <w:pPr>
              <w:widowControl/>
              <w:autoSpaceDE/>
              <w:autoSpaceDN/>
              <w:adjustRightInd/>
              <w:jc w:val="center"/>
              <w:rPr>
                <w:sz w:val="22"/>
                <w:szCs w:val="22"/>
              </w:rPr>
            </w:pPr>
            <w:r w:rsidRPr="00777FD8">
              <w:rPr>
                <w:sz w:val="22"/>
                <w:szCs w:val="22"/>
              </w:rPr>
              <w:t>5/60</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6E395C" w14:paraId="328E850E" w14:textId="77777777">
            <w:pPr>
              <w:widowControl/>
              <w:autoSpaceDE/>
              <w:autoSpaceDN/>
              <w:adjustRightInd/>
              <w:jc w:val="center"/>
              <w:rPr>
                <w:sz w:val="22"/>
                <w:szCs w:val="22"/>
              </w:rPr>
            </w:pPr>
            <w:r w:rsidRPr="00777FD8">
              <w:rPr>
                <w:sz w:val="22"/>
                <w:szCs w:val="22"/>
              </w:rPr>
              <w:t>370</w:t>
            </w:r>
          </w:p>
        </w:tc>
        <w:tc>
          <w:tcPr>
            <w:tcW w:w="1076"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6E395C" w14:paraId="20932E33" w14:textId="0AEEBF6D">
            <w:pPr>
              <w:widowControl/>
              <w:autoSpaceDE/>
              <w:autoSpaceDN/>
              <w:adjustRightInd/>
              <w:jc w:val="center"/>
              <w:rPr>
                <w:sz w:val="22"/>
                <w:szCs w:val="22"/>
              </w:rPr>
            </w:pPr>
            <w:r w:rsidRPr="00777FD8">
              <w:rPr>
                <w:sz w:val="22"/>
                <w:szCs w:val="22"/>
              </w:rPr>
              <w:t>$29.60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6E395C" w14:paraId="49601246" w14:textId="043276F1">
            <w:pPr>
              <w:widowControl/>
              <w:autoSpaceDE/>
              <w:autoSpaceDN/>
              <w:adjustRightInd/>
              <w:jc w:val="center"/>
              <w:rPr>
                <w:sz w:val="22"/>
                <w:szCs w:val="22"/>
              </w:rPr>
            </w:pPr>
            <w:r w:rsidRPr="00777FD8">
              <w:rPr>
                <w:sz w:val="22"/>
                <w:szCs w:val="22"/>
              </w:rPr>
              <w:t>$10,952</w:t>
            </w:r>
          </w:p>
        </w:tc>
      </w:tr>
      <w:tr w14:paraId="52F47A7C" w14:textId="77777777" w:rsidTr="00620B64">
        <w:tblPrEx>
          <w:tblW w:w="13500" w:type="dxa"/>
          <w:tblInd w:w="-270" w:type="dxa"/>
          <w:tblLayout w:type="fixed"/>
          <w:tblLook w:val="04A0"/>
        </w:tblPrEx>
        <w:trPr>
          <w:trHeight w:val="312"/>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208D" w:rsidRPr="00777FD8" w:rsidP="006C208D" w14:paraId="6202DC6D" w14:textId="77777777">
            <w:pPr>
              <w:widowControl/>
              <w:autoSpaceDE/>
              <w:autoSpaceDN/>
              <w:adjustRightInd/>
              <w:rPr>
                <w:b/>
                <w:bCs/>
                <w:sz w:val="22"/>
                <w:szCs w:val="22"/>
              </w:rPr>
            </w:pPr>
            <w:r w:rsidRPr="00777FD8">
              <w:rPr>
                <w:b/>
                <w:bCs/>
                <w:sz w:val="22"/>
                <w:szCs w:val="22"/>
              </w:rPr>
              <w:t>Total</w:t>
            </w:r>
          </w:p>
        </w:tc>
        <w:tc>
          <w:tcPr>
            <w:tcW w:w="1800" w:type="dxa"/>
            <w:tcBorders>
              <w:top w:val="single" w:sz="4" w:space="0" w:color="auto"/>
              <w:left w:val="nil"/>
              <w:bottom w:val="single" w:sz="4" w:space="0" w:color="auto"/>
              <w:right w:val="single" w:sz="4" w:space="0" w:color="auto"/>
            </w:tcBorders>
            <w:shd w:val="clear" w:color="auto" w:fill="000000" w:themeFill="text1"/>
            <w:noWrap/>
            <w:vAlign w:val="center"/>
            <w:hideMark/>
          </w:tcPr>
          <w:p w:rsidR="006C208D" w:rsidRPr="00777FD8" w:rsidP="006C208D" w14:paraId="22CF252E" w14:textId="77777777">
            <w:pPr>
              <w:widowControl/>
              <w:autoSpaceDE/>
              <w:autoSpaceDN/>
              <w:adjustRightInd/>
              <w:rPr>
                <w:b/>
                <w:bCs/>
                <w:sz w:val="22"/>
                <w:szCs w:val="22"/>
              </w:rPr>
            </w:pPr>
            <w:r w:rsidRPr="00777FD8">
              <w:rPr>
                <w:b/>
                <w:bCs/>
                <w:sz w:val="22"/>
                <w:szCs w:val="22"/>
              </w:rPr>
              <w:t> </w:t>
            </w:r>
          </w:p>
        </w:tc>
        <w:tc>
          <w:tcPr>
            <w:tcW w:w="1454"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6C208D" w14:paraId="7FD2188B" w14:textId="4C8C4CE4">
            <w:pPr>
              <w:widowControl/>
              <w:autoSpaceDE/>
              <w:autoSpaceDN/>
              <w:adjustRightInd/>
              <w:rPr>
                <w:b/>
                <w:bCs/>
                <w:sz w:val="22"/>
                <w:szCs w:val="22"/>
              </w:rPr>
            </w:pPr>
            <w:r w:rsidRPr="00777FD8">
              <w:rPr>
                <w:b/>
                <w:bCs/>
                <w:sz w:val="22"/>
                <w:szCs w:val="22"/>
              </w:rPr>
              <w:t> </w:t>
            </w:r>
            <w:r w:rsidR="000E6FA7">
              <w:rPr>
                <w:b/>
                <w:bCs/>
                <w:sz w:val="22"/>
                <w:szCs w:val="22"/>
              </w:rPr>
              <w:t>2,026*</w:t>
            </w:r>
          </w:p>
        </w:tc>
        <w:tc>
          <w:tcPr>
            <w:tcW w:w="1430" w:type="dxa"/>
            <w:tcBorders>
              <w:top w:val="single" w:sz="4" w:space="0" w:color="auto"/>
              <w:left w:val="nil"/>
              <w:bottom w:val="single" w:sz="4" w:space="0" w:color="auto"/>
              <w:right w:val="single" w:sz="4" w:space="0" w:color="auto"/>
            </w:tcBorders>
            <w:shd w:val="clear" w:color="auto" w:fill="000000" w:themeFill="text1"/>
            <w:noWrap/>
            <w:vAlign w:val="center"/>
            <w:hideMark/>
          </w:tcPr>
          <w:p w:rsidR="006C208D" w:rsidRPr="00777FD8" w:rsidP="006C208D" w14:paraId="3A048D99" w14:textId="77777777">
            <w:pPr>
              <w:widowControl/>
              <w:autoSpaceDE/>
              <w:autoSpaceDN/>
              <w:adjustRightInd/>
              <w:rPr>
                <w:b/>
                <w:bCs/>
                <w:sz w:val="22"/>
                <w:szCs w:val="22"/>
              </w:rPr>
            </w:pPr>
            <w:r w:rsidRPr="00777FD8">
              <w:rPr>
                <w:b/>
                <w:bCs/>
                <w:sz w:val="22"/>
                <w:szCs w:val="22"/>
              </w:rPr>
              <w:t> </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60500F" w14:paraId="5BB8FF39" w14:textId="4FE5A0CC">
            <w:pPr>
              <w:widowControl/>
              <w:autoSpaceDE/>
              <w:autoSpaceDN/>
              <w:adjustRightInd/>
              <w:jc w:val="center"/>
              <w:rPr>
                <w:b/>
                <w:bCs/>
                <w:sz w:val="22"/>
                <w:szCs w:val="22"/>
              </w:rPr>
            </w:pPr>
            <w:r w:rsidRPr="00777FD8">
              <w:rPr>
                <w:b/>
                <w:bCs/>
                <w:sz w:val="22"/>
                <w:szCs w:val="22"/>
              </w:rPr>
              <w:t>1</w:t>
            </w:r>
            <w:r w:rsidR="00F75EF0">
              <w:rPr>
                <w:b/>
                <w:bCs/>
                <w:sz w:val="22"/>
                <w:szCs w:val="22"/>
              </w:rPr>
              <w:t>09,708</w:t>
            </w:r>
          </w:p>
        </w:tc>
        <w:tc>
          <w:tcPr>
            <w:tcW w:w="1177" w:type="dxa"/>
            <w:tcBorders>
              <w:top w:val="single" w:sz="4" w:space="0" w:color="auto"/>
              <w:left w:val="nil"/>
              <w:bottom w:val="single" w:sz="4" w:space="0" w:color="auto"/>
              <w:right w:val="single" w:sz="4" w:space="0" w:color="auto"/>
            </w:tcBorders>
            <w:shd w:val="clear" w:color="auto" w:fill="000000" w:themeFill="text1"/>
            <w:noWrap/>
            <w:vAlign w:val="center"/>
            <w:hideMark/>
          </w:tcPr>
          <w:p w:rsidR="006C208D" w:rsidRPr="00777FD8" w:rsidP="006C208D" w14:paraId="632402F9" w14:textId="77777777">
            <w:pPr>
              <w:widowControl/>
              <w:autoSpaceDE/>
              <w:autoSpaceDN/>
              <w:adjustRightInd/>
              <w:rPr>
                <w:b/>
                <w:bCs/>
                <w:sz w:val="22"/>
                <w:szCs w:val="22"/>
              </w:rPr>
            </w:pPr>
            <w:r w:rsidRPr="00777FD8">
              <w:rPr>
                <w:b/>
                <w:bCs/>
                <w:sz w:val="22"/>
                <w:szCs w:val="22"/>
              </w:rPr>
              <w:t> </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60500F" w14:paraId="7792FF6B" w14:textId="0B85C582">
            <w:pPr>
              <w:widowControl/>
              <w:autoSpaceDE/>
              <w:autoSpaceDN/>
              <w:adjustRightInd/>
              <w:jc w:val="center"/>
              <w:rPr>
                <w:b/>
                <w:bCs/>
                <w:sz w:val="22"/>
                <w:szCs w:val="22"/>
              </w:rPr>
            </w:pPr>
            <w:r>
              <w:rPr>
                <w:b/>
                <w:bCs/>
                <w:sz w:val="22"/>
                <w:szCs w:val="22"/>
              </w:rPr>
              <w:t>30,252</w:t>
            </w:r>
          </w:p>
        </w:tc>
        <w:tc>
          <w:tcPr>
            <w:tcW w:w="1076" w:type="dxa"/>
            <w:tcBorders>
              <w:top w:val="single" w:sz="4" w:space="0" w:color="auto"/>
              <w:left w:val="nil"/>
              <w:bottom w:val="single" w:sz="4" w:space="0" w:color="auto"/>
              <w:right w:val="single" w:sz="4" w:space="0" w:color="auto"/>
            </w:tcBorders>
            <w:shd w:val="clear" w:color="auto" w:fill="000000" w:themeFill="text1"/>
            <w:noWrap/>
            <w:vAlign w:val="center"/>
            <w:hideMark/>
          </w:tcPr>
          <w:p w:rsidR="006C208D" w:rsidRPr="00777FD8" w:rsidP="006C208D" w14:paraId="5D5D9A77" w14:textId="77777777">
            <w:pPr>
              <w:widowControl/>
              <w:autoSpaceDE/>
              <w:autoSpaceDN/>
              <w:adjustRightInd/>
              <w:rPr>
                <w:sz w:val="22"/>
                <w:szCs w:val="22"/>
              </w:rPr>
            </w:pPr>
            <w:r w:rsidRPr="00777FD8">
              <w:rPr>
                <w:sz w:val="22"/>
                <w:szCs w:val="22"/>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C208D" w:rsidRPr="00777FD8" w:rsidP="006C208D" w14:paraId="6AFBA4F7" w14:textId="70A0DDDE">
            <w:pPr>
              <w:widowControl/>
              <w:autoSpaceDE/>
              <w:autoSpaceDN/>
              <w:adjustRightInd/>
              <w:jc w:val="right"/>
              <w:rPr>
                <w:b/>
                <w:bCs/>
                <w:sz w:val="22"/>
                <w:szCs w:val="22"/>
              </w:rPr>
            </w:pPr>
            <w:r w:rsidRPr="00777FD8">
              <w:rPr>
                <w:b/>
                <w:bCs/>
                <w:sz w:val="22"/>
                <w:szCs w:val="22"/>
              </w:rPr>
              <w:t>$</w:t>
            </w:r>
            <w:r w:rsidR="00CA62E1">
              <w:rPr>
                <w:b/>
                <w:bCs/>
                <w:sz w:val="22"/>
                <w:szCs w:val="22"/>
              </w:rPr>
              <w:t>1,216</w:t>
            </w:r>
            <w:r w:rsidR="00BC6E8B">
              <w:rPr>
                <w:b/>
                <w:bCs/>
                <w:sz w:val="22"/>
                <w:szCs w:val="22"/>
              </w:rPr>
              <w:t>,810</w:t>
            </w:r>
          </w:p>
        </w:tc>
      </w:tr>
    </w:tbl>
    <w:p w:rsidR="00AA0CBB" w:rsidP="00376930" w14:paraId="277B86E2" w14:textId="64E284C8">
      <w:pPr>
        <w:rPr>
          <w:sz w:val="24"/>
        </w:rPr>
        <w:sectPr w:rsidSect="006A1310">
          <w:endnotePr>
            <w:numFmt w:val="decimal"/>
          </w:endnotePr>
          <w:pgSz w:w="15840" w:h="12240" w:orient="landscape" w:code="1"/>
          <w:pgMar w:top="1440" w:right="1440" w:bottom="1440" w:left="1440" w:header="1440" w:footer="1440" w:gutter="0"/>
          <w:pgNumType w:fmt="numberInDash"/>
          <w:cols w:space="720"/>
          <w:noEndnote/>
          <w:docGrid w:linePitch="272"/>
        </w:sectPr>
      </w:pPr>
      <w:r>
        <w:rPr>
          <w:sz w:val="24"/>
        </w:rPr>
        <w:t>*= not cumulative</w:t>
      </w:r>
    </w:p>
    <w:p w:rsidR="0039253D" w:rsidRPr="0039253D" w:rsidP="00AE2B3F" w14:paraId="19A68A8F" w14:textId="77777777">
      <w:pPr>
        <w:widowControl/>
        <w:tabs>
          <w:tab w:val="left" w:pos="180"/>
        </w:tabs>
        <w:rPr>
          <w:b/>
          <w:bCs/>
          <w:sz w:val="24"/>
        </w:rPr>
      </w:pPr>
      <w:r w:rsidRPr="00565389">
        <w:rPr>
          <w:b/>
          <w:bCs/>
          <w:color w:val="000000"/>
          <w:sz w:val="24"/>
        </w:rPr>
        <w:t xml:space="preserve">13.  </w:t>
      </w:r>
      <w:r w:rsidRPr="0039253D">
        <w:rPr>
          <w:b/>
          <w:bCs/>
          <w:sz w:val="24"/>
        </w:rPr>
        <w:t>Provide an estimate of the total annual cost burden to respondents or recordkeepers resulting from the collection of information.  (Do not include the cost of any hour burden shown in Items 12 and 14).</w:t>
      </w:r>
    </w:p>
    <w:p w:rsidR="0039253D" w:rsidRPr="0039253D" w:rsidP="0039253D" w14:paraId="251E5928" w14:textId="77777777">
      <w:pPr>
        <w:widowControl/>
        <w:rPr>
          <w:b/>
          <w:bCs/>
          <w:sz w:val="24"/>
        </w:rPr>
      </w:pPr>
    </w:p>
    <w:p w:rsidR="0039253D" w:rsidRPr="0039253D" w:rsidP="0039253D" w14:paraId="184F18C5" w14:textId="77777777">
      <w:pPr>
        <w:widowControl/>
        <w:numPr>
          <w:ilvl w:val="0"/>
          <w:numId w:val="15"/>
        </w:numPr>
        <w:tabs>
          <w:tab w:val="left" w:pos="1440"/>
        </w:tabs>
        <w:rPr>
          <w:b/>
          <w:bCs/>
          <w:sz w:val="24"/>
        </w:rPr>
      </w:pPr>
      <w:r w:rsidRPr="0039253D">
        <w:rPr>
          <w:b/>
          <w:bCs/>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9253D" w:rsidRPr="0039253D" w:rsidP="0039253D" w14:paraId="2D75EAC0" w14:textId="77777777">
      <w:pPr>
        <w:widowControl/>
        <w:rPr>
          <w:b/>
          <w:bCs/>
          <w:sz w:val="24"/>
        </w:rPr>
      </w:pPr>
    </w:p>
    <w:p w:rsidR="0039253D" w:rsidRPr="0039253D" w:rsidP="0039253D" w14:paraId="1FBB8F89" w14:textId="77777777">
      <w:pPr>
        <w:widowControl/>
        <w:numPr>
          <w:ilvl w:val="0"/>
          <w:numId w:val="15"/>
        </w:numPr>
        <w:tabs>
          <w:tab w:val="left" w:pos="1440"/>
        </w:tabs>
        <w:rPr>
          <w:b/>
          <w:bCs/>
          <w:sz w:val="24"/>
        </w:rPr>
      </w:pPr>
      <w:r w:rsidRPr="0039253D">
        <w:rPr>
          <w:b/>
          <w:bCs/>
          <w:sz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9253D" w:rsidRPr="0039253D" w:rsidP="0039253D" w14:paraId="797E2EB1" w14:textId="77777777">
      <w:pPr>
        <w:widowControl/>
        <w:rPr>
          <w:b/>
          <w:bCs/>
          <w:sz w:val="24"/>
        </w:rPr>
      </w:pPr>
    </w:p>
    <w:p w:rsidR="0039253D" w:rsidRPr="0039253D" w:rsidP="0039253D" w14:paraId="78D237C8" w14:textId="77777777">
      <w:pPr>
        <w:widowControl/>
        <w:numPr>
          <w:ilvl w:val="0"/>
          <w:numId w:val="15"/>
        </w:numPr>
        <w:tabs>
          <w:tab w:val="left" w:pos="1440"/>
        </w:tabs>
        <w:rPr>
          <w:b/>
          <w:bCs/>
          <w:sz w:val="24"/>
        </w:rPr>
      </w:pPr>
      <w:r w:rsidRPr="0039253D">
        <w:rPr>
          <w:b/>
          <w:bCs/>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C3237" w:rsidRPr="00565389" w:rsidP="009C3237" w14:paraId="7B045AB3" w14:textId="77777777">
      <w:pPr>
        <w:rPr>
          <w:sz w:val="24"/>
        </w:rPr>
      </w:pPr>
    </w:p>
    <w:p w:rsidR="009C3237" w:rsidP="009C3237" w14:paraId="71187544" w14:textId="0AAF7B87">
      <w:pPr>
        <w:rPr>
          <w:strike/>
          <w:sz w:val="24"/>
        </w:rPr>
      </w:pPr>
      <w:r w:rsidRPr="00565389">
        <w:rPr>
          <w:sz w:val="24"/>
        </w:rPr>
        <w:t>OSHA estimates that the total annual cost to respondents is $</w:t>
      </w:r>
      <w:r w:rsidR="00376930">
        <w:rPr>
          <w:sz w:val="24"/>
        </w:rPr>
        <w:t>5,129,858</w:t>
      </w:r>
      <w:r w:rsidRPr="00565389">
        <w:rPr>
          <w:sz w:val="24"/>
        </w:rPr>
        <w:t xml:space="preserve"> which consists of $</w:t>
      </w:r>
      <w:r w:rsidR="00376930">
        <w:rPr>
          <w:sz w:val="24"/>
        </w:rPr>
        <w:t>320,036</w:t>
      </w:r>
      <w:r w:rsidRPr="00565389">
        <w:rPr>
          <w:sz w:val="24"/>
        </w:rPr>
        <w:t xml:space="preserve"> for collecting exposure monitoring samples</w:t>
      </w:r>
      <w:r w:rsidR="00AA0CBB">
        <w:rPr>
          <w:sz w:val="24"/>
        </w:rPr>
        <w:t xml:space="preserve"> </w:t>
      </w:r>
      <w:r w:rsidRPr="00565389">
        <w:rPr>
          <w:sz w:val="24"/>
        </w:rPr>
        <w:t>and $4,</w:t>
      </w:r>
      <w:r w:rsidR="00376930">
        <w:rPr>
          <w:sz w:val="24"/>
        </w:rPr>
        <w:t>809,822</w:t>
      </w:r>
      <w:r w:rsidRPr="00565389">
        <w:rPr>
          <w:sz w:val="24"/>
        </w:rPr>
        <w:t xml:space="preserve"> to administer medical examinations and questionnaires. </w:t>
      </w:r>
      <w:r w:rsidRPr="00565389">
        <w:rPr>
          <w:strike/>
          <w:sz w:val="24"/>
        </w:rPr>
        <w:t xml:space="preserve"> </w:t>
      </w:r>
    </w:p>
    <w:p w:rsidR="00E61C7F" w:rsidP="009C3237" w14:paraId="6F1C377B" w14:textId="77777777">
      <w:pPr>
        <w:rPr>
          <w:strike/>
          <w:sz w:val="24"/>
        </w:rPr>
      </w:pPr>
    </w:p>
    <w:p w:rsidR="009C3237" w:rsidRPr="00565389" w:rsidP="009C3237" w14:paraId="09E65C4F" w14:textId="77777777">
      <w:pPr>
        <w:rPr>
          <w:b/>
          <w:bCs/>
          <w:sz w:val="24"/>
        </w:rPr>
      </w:pPr>
      <w:r w:rsidRPr="00565389">
        <w:rPr>
          <w:b/>
          <w:bCs/>
          <w:sz w:val="24"/>
        </w:rPr>
        <w:t>Exposure Monitoring</w:t>
      </w:r>
    </w:p>
    <w:p w:rsidR="009C3237" w:rsidRPr="00565389" w:rsidP="009C3237" w14:paraId="656FE637" w14:textId="77777777">
      <w:pPr>
        <w:rPr>
          <w:b/>
          <w:bCs/>
          <w:sz w:val="24"/>
        </w:rPr>
      </w:pPr>
    </w:p>
    <w:p w:rsidR="009C3237" w:rsidRPr="00404D6D" w:rsidP="009C3237" w14:paraId="6F78F47E" w14:textId="1D717B18">
      <w:pPr>
        <w:rPr>
          <w:sz w:val="24"/>
        </w:rPr>
      </w:pPr>
      <w:r w:rsidRPr="00565389">
        <w:rPr>
          <w:sz w:val="24"/>
        </w:rPr>
        <w:t>The Agency estimated a cost of $72</w:t>
      </w:r>
      <w:r>
        <w:rPr>
          <w:rStyle w:val="FootnoteReference"/>
          <w:sz w:val="24"/>
          <w:vertAlign w:val="superscript"/>
        </w:rPr>
        <w:footnoteReference w:id="13"/>
      </w:r>
      <w:r w:rsidRPr="00565389">
        <w:rPr>
          <w:sz w:val="24"/>
        </w:rPr>
        <w:t xml:space="preserve"> per sample to collect and analyze airborne EtO samples. </w:t>
      </w:r>
      <w:r w:rsidRPr="00565389">
        <w:rPr>
          <w:sz w:val="24"/>
        </w:rPr>
        <w:t>The determinations made under “Exposure monitoring” above indicate that employers collect 4,</w:t>
      </w:r>
      <w:r w:rsidR="00404D6D">
        <w:rPr>
          <w:sz w:val="24"/>
        </w:rPr>
        <w:t>211</w:t>
      </w:r>
      <w:r w:rsidRPr="00565389">
        <w:rPr>
          <w:sz w:val="24"/>
        </w:rPr>
        <w:t xml:space="preserve"> EtO samples each year. (4,</w:t>
      </w:r>
      <w:r w:rsidR="00404D6D">
        <w:rPr>
          <w:sz w:val="24"/>
        </w:rPr>
        <w:t>211</w:t>
      </w:r>
      <w:r w:rsidRPr="00565389">
        <w:rPr>
          <w:sz w:val="24"/>
        </w:rPr>
        <w:t xml:space="preserve"> x $7</w:t>
      </w:r>
      <w:r w:rsidR="00404D6D">
        <w:rPr>
          <w:sz w:val="24"/>
        </w:rPr>
        <w:t>6</w:t>
      </w:r>
      <w:r w:rsidRPr="00565389">
        <w:rPr>
          <w:sz w:val="24"/>
        </w:rPr>
        <w:t>= $</w:t>
      </w:r>
      <w:r w:rsidR="00404D6D">
        <w:rPr>
          <w:sz w:val="24"/>
        </w:rPr>
        <w:t>320,036</w:t>
      </w:r>
      <w:r w:rsidRPr="00565389">
        <w:rPr>
          <w:sz w:val="24"/>
        </w:rPr>
        <w:t>)</w:t>
      </w:r>
    </w:p>
    <w:p w:rsidR="00FC2EDF" w:rsidP="009C3237" w14:paraId="718E3284" w14:textId="77777777">
      <w:pPr>
        <w:rPr>
          <w:b/>
          <w:bCs/>
          <w:sz w:val="24"/>
        </w:rPr>
      </w:pPr>
    </w:p>
    <w:p w:rsidR="00FC2EDF" w:rsidP="009C3237" w14:paraId="2E98597B" w14:textId="77777777">
      <w:pPr>
        <w:rPr>
          <w:b/>
          <w:bCs/>
          <w:sz w:val="24"/>
        </w:rPr>
      </w:pPr>
    </w:p>
    <w:p w:rsidR="009C3237" w:rsidRPr="00565389" w:rsidP="009C3237" w14:paraId="0E48774B" w14:textId="55B2273E">
      <w:pPr>
        <w:rPr>
          <w:sz w:val="24"/>
        </w:rPr>
      </w:pPr>
      <w:r w:rsidRPr="00565389">
        <w:rPr>
          <w:b/>
          <w:bCs/>
          <w:sz w:val="24"/>
        </w:rPr>
        <w:t>Medical Surveillance</w:t>
      </w:r>
    </w:p>
    <w:p w:rsidR="009C3237" w:rsidRPr="00565389" w:rsidP="009C3237" w14:paraId="0D1532EB" w14:textId="77777777">
      <w:pPr>
        <w:rPr>
          <w:sz w:val="24"/>
        </w:rPr>
      </w:pPr>
    </w:p>
    <w:p w:rsidR="009C3237" w:rsidP="009C3237" w14:paraId="532A2BA1" w14:textId="739B4BE9">
      <w:pPr>
        <w:rPr>
          <w:sz w:val="24"/>
        </w:rPr>
      </w:pPr>
      <w:r w:rsidRPr="00565389">
        <w:rPr>
          <w:sz w:val="24"/>
        </w:rPr>
        <w:t>Consistent with recent ICRs and RIAs for other standards, the Agency estimates that each medical examination costs $</w:t>
      </w:r>
      <w:r w:rsidR="00404D6D">
        <w:rPr>
          <w:sz w:val="24"/>
        </w:rPr>
        <w:t>202.</w:t>
      </w:r>
      <w:r>
        <w:rPr>
          <w:rStyle w:val="FootnoteReference"/>
          <w:sz w:val="24"/>
          <w:vertAlign w:val="superscript"/>
        </w:rPr>
        <w:footnoteReference w:id="14"/>
      </w:r>
      <w:r w:rsidRPr="00565389">
        <w:rPr>
          <w:sz w:val="24"/>
          <w:vertAlign w:val="superscript"/>
        </w:rPr>
        <w:t xml:space="preserve">  </w:t>
      </w:r>
      <w:r w:rsidRPr="00565389">
        <w:rPr>
          <w:sz w:val="24"/>
        </w:rPr>
        <w:t>According to the analysis conducted above under “Information provided to the physician,” the 2,0</w:t>
      </w:r>
      <w:r w:rsidR="00404D6D">
        <w:rPr>
          <w:sz w:val="24"/>
        </w:rPr>
        <w:t>26</w:t>
      </w:r>
      <w:r w:rsidRPr="00565389">
        <w:rPr>
          <w:sz w:val="24"/>
        </w:rPr>
        <w:t xml:space="preserve"> facilities covered by the Standard administer a total of 2</w:t>
      </w:r>
      <w:r w:rsidR="00404D6D">
        <w:rPr>
          <w:sz w:val="24"/>
        </w:rPr>
        <w:t>3,811</w:t>
      </w:r>
      <w:r w:rsidRPr="00565389">
        <w:rPr>
          <w:sz w:val="24"/>
        </w:rPr>
        <w:t xml:space="preserve"> medical examinations each year. (2</w:t>
      </w:r>
      <w:r w:rsidR="00404D6D">
        <w:rPr>
          <w:sz w:val="24"/>
        </w:rPr>
        <w:t>3,811</w:t>
      </w:r>
      <w:r w:rsidRPr="00565389">
        <w:rPr>
          <w:sz w:val="24"/>
        </w:rPr>
        <w:t xml:space="preserve"> x $</w:t>
      </w:r>
      <w:r w:rsidR="00404D6D">
        <w:rPr>
          <w:sz w:val="24"/>
        </w:rPr>
        <w:t>202</w:t>
      </w:r>
      <w:r w:rsidRPr="00565389">
        <w:rPr>
          <w:sz w:val="24"/>
        </w:rPr>
        <w:t xml:space="preserve"> = $4,</w:t>
      </w:r>
      <w:r w:rsidR="00404D6D">
        <w:rPr>
          <w:sz w:val="24"/>
        </w:rPr>
        <w:t>809,822</w:t>
      </w:r>
      <w:r w:rsidRPr="00565389">
        <w:rPr>
          <w:sz w:val="24"/>
        </w:rPr>
        <w:t>).</w:t>
      </w:r>
    </w:p>
    <w:p w:rsidR="005A1097" w:rsidRPr="00565389" w:rsidP="009C3237" w14:paraId="7E5FB8EF" w14:textId="77777777">
      <w:pPr>
        <w:rPr>
          <w:sz w:val="24"/>
        </w:rPr>
      </w:pPr>
    </w:p>
    <w:p w:rsidR="009C3237" w:rsidRPr="005A1097" w:rsidP="009C3237" w14:paraId="13D8B1AF" w14:textId="1DC054FE">
      <w:pPr>
        <w:rPr>
          <w:b/>
          <w:bCs/>
          <w:sz w:val="24"/>
        </w:rPr>
      </w:pPr>
      <w:r>
        <w:rPr>
          <w:b/>
          <w:bCs/>
          <w:sz w:val="24"/>
        </w:rPr>
        <w:t xml:space="preserve">Table 9 </w:t>
      </w:r>
      <w:r w:rsidR="00B22C05">
        <w:rPr>
          <w:b/>
          <w:bCs/>
          <w:sz w:val="24"/>
        </w:rPr>
        <w:t>–</w:t>
      </w:r>
      <w:r>
        <w:rPr>
          <w:b/>
          <w:bCs/>
          <w:sz w:val="24"/>
        </w:rPr>
        <w:t xml:space="preserve"> </w:t>
      </w:r>
      <w:r w:rsidR="009F1B7B">
        <w:rPr>
          <w:b/>
          <w:bCs/>
          <w:sz w:val="24"/>
        </w:rPr>
        <w:t xml:space="preserve">Total </w:t>
      </w:r>
      <w:r w:rsidR="00B22C05">
        <w:rPr>
          <w:b/>
          <w:bCs/>
          <w:sz w:val="24"/>
        </w:rPr>
        <w:t>Capitol Cost</w:t>
      </w:r>
      <w:r w:rsidR="009F1B7B">
        <w:rPr>
          <w:b/>
          <w:bCs/>
          <w:sz w:val="24"/>
        </w:rPr>
        <w:t xml:space="preserve"> for Exposure Monitoring and Medical Surveillance</w:t>
      </w:r>
    </w:p>
    <w:tbl>
      <w:tblPr>
        <w:tblStyle w:val="TableGrid"/>
        <w:tblW w:w="0" w:type="auto"/>
        <w:tblLook w:val="04A0"/>
      </w:tblPr>
      <w:tblGrid>
        <w:gridCol w:w="2624"/>
        <w:gridCol w:w="2242"/>
        <w:gridCol w:w="2242"/>
        <w:gridCol w:w="2242"/>
      </w:tblGrid>
      <w:tr w14:paraId="449A1F9E" w14:textId="77777777" w:rsidTr="00E33791">
        <w:tblPrEx>
          <w:tblW w:w="0" w:type="auto"/>
          <w:tblLook w:val="04A0"/>
        </w:tblPrEx>
        <w:tc>
          <w:tcPr>
            <w:tcW w:w="2624" w:type="dxa"/>
            <w:shd w:val="clear" w:color="auto" w:fill="A8D08D" w:themeFill="accent6" w:themeFillTint="99"/>
          </w:tcPr>
          <w:p w:rsidR="00BE7E91" w:rsidP="00E33791" w14:paraId="0C1B1B68" w14:textId="77777777">
            <w:pPr>
              <w:rPr>
                <w:b/>
                <w:bCs/>
                <w:sz w:val="24"/>
              </w:rPr>
            </w:pPr>
            <w:r>
              <w:rPr>
                <w:b/>
                <w:bCs/>
                <w:sz w:val="24"/>
              </w:rPr>
              <w:t>Exposure Monitoring</w:t>
            </w:r>
          </w:p>
        </w:tc>
        <w:tc>
          <w:tcPr>
            <w:tcW w:w="2242" w:type="dxa"/>
            <w:shd w:val="clear" w:color="auto" w:fill="A8D08D" w:themeFill="accent6" w:themeFillTint="99"/>
          </w:tcPr>
          <w:p w:rsidR="00BE7E91" w:rsidP="00E33791" w14:paraId="06F71650" w14:textId="77777777">
            <w:pPr>
              <w:rPr>
                <w:b/>
                <w:bCs/>
                <w:sz w:val="24"/>
              </w:rPr>
            </w:pPr>
            <w:r>
              <w:rPr>
                <w:b/>
                <w:bCs/>
                <w:sz w:val="24"/>
              </w:rPr>
              <w:t>Number of EtO Samples Collected</w:t>
            </w:r>
          </w:p>
        </w:tc>
        <w:tc>
          <w:tcPr>
            <w:tcW w:w="2242" w:type="dxa"/>
            <w:shd w:val="clear" w:color="auto" w:fill="A8D08D" w:themeFill="accent6" w:themeFillTint="99"/>
          </w:tcPr>
          <w:p w:rsidR="00BE7E91" w:rsidP="00E33791" w14:paraId="501FB103" w14:textId="77777777">
            <w:pPr>
              <w:rPr>
                <w:b/>
                <w:bCs/>
                <w:sz w:val="24"/>
              </w:rPr>
            </w:pPr>
            <w:r>
              <w:rPr>
                <w:b/>
                <w:bCs/>
                <w:sz w:val="24"/>
              </w:rPr>
              <w:t xml:space="preserve">Unit Cost </w:t>
            </w:r>
          </w:p>
        </w:tc>
        <w:tc>
          <w:tcPr>
            <w:tcW w:w="2242" w:type="dxa"/>
            <w:shd w:val="clear" w:color="auto" w:fill="A8D08D" w:themeFill="accent6" w:themeFillTint="99"/>
          </w:tcPr>
          <w:p w:rsidR="00BE7E91" w:rsidP="00E33791" w14:paraId="6AD69189" w14:textId="77777777">
            <w:pPr>
              <w:rPr>
                <w:b/>
                <w:bCs/>
                <w:sz w:val="24"/>
              </w:rPr>
            </w:pPr>
            <w:r>
              <w:rPr>
                <w:b/>
                <w:bCs/>
                <w:sz w:val="24"/>
              </w:rPr>
              <w:t>Total Cost</w:t>
            </w:r>
          </w:p>
        </w:tc>
      </w:tr>
      <w:tr w14:paraId="4CAD0DED" w14:textId="77777777" w:rsidTr="00E33791">
        <w:tblPrEx>
          <w:tblW w:w="0" w:type="auto"/>
          <w:tblLook w:val="04A0"/>
        </w:tblPrEx>
        <w:tc>
          <w:tcPr>
            <w:tcW w:w="2624" w:type="dxa"/>
          </w:tcPr>
          <w:p w:rsidR="00BE7E91" w:rsidP="00E33791" w14:paraId="67BBCB22" w14:textId="77777777">
            <w:pPr>
              <w:rPr>
                <w:b/>
                <w:bCs/>
                <w:sz w:val="24"/>
              </w:rPr>
            </w:pPr>
            <w:r>
              <w:rPr>
                <w:b/>
                <w:bCs/>
                <w:sz w:val="24"/>
              </w:rPr>
              <w:t xml:space="preserve">Samples </w:t>
            </w:r>
          </w:p>
        </w:tc>
        <w:tc>
          <w:tcPr>
            <w:tcW w:w="2242" w:type="dxa"/>
          </w:tcPr>
          <w:p w:rsidR="00BE7E91" w:rsidRPr="00A619D5" w:rsidP="00E33791" w14:paraId="2A6CD648" w14:textId="436B0C52">
            <w:pPr>
              <w:rPr>
                <w:sz w:val="24"/>
              </w:rPr>
            </w:pPr>
            <w:r w:rsidRPr="00A619D5">
              <w:rPr>
                <w:sz w:val="24"/>
              </w:rPr>
              <w:t>4</w:t>
            </w:r>
            <w:r w:rsidR="0008614B">
              <w:rPr>
                <w:sz w:val="24"/>
              </w:rPr>
              <w:t>,</w:t>
            </w:r>
            <w:r w:rsidRPr="00A619D5">
              <w:rPr>
                <w:sz w:val="24"/>
              </w:rPr>
              <w:t>211</w:t>
            </w:r>
          </w:p>
        </w:tc>
        <w:tc>
          <w:tcPr>
            <w:tcW w:w="2242" w:type="dxa"/>
          </w:tcPr>
          <w:p w:rsidR="00BE7E91" w:rsidRPr="00A619D5" w:rsidP="00E33791" w14:paraId="2C655675" w14:textId="77777777">
            <w:pPr>
              <w:rPr>
                <w:sz w:val="24"/>
              </w:rPr>
            </w:pPr>
            <w:r w:rsidRPr="00A619D5">
              <w:rPr>
                <w:sz w:val="24"/>
              </w:rPr>
              <w:t>$76</w:t>
            </w:r>
          </w:p>
        </w:tc>
        <w:tc>
          <w:tcPr>
            <w:tcW w:w="2242" w:type="dxa"/>
          </w:tcPr>
          <w:p w:rsidR="00BE7E91" w:rsidRPr="00A619D5" w:rsidP="00E33791" w14:paraId="46B2993A" w14:textId="77777777">
            <w:pPr>
              <w:rPr>
                <w:sz w:val="24"/>
              </w:rPr>
            </w:pPr>
            <w:r w:rsidRPr="00A619D5">
              <w:rPr>
                <w:sz w:val="24"/>
              </w:rPr>
              <w:t>$320,036</w:t>
            </w:r>
          </w:p>
        </w:tc>
      </w:tr>
      <w:tr w14:paraId="7690E22A" w14:textId="77777777" w:rsidTr="00E33791">
        <w:tblPrEx>
          <w:tblW w:w="0" w:type="auto"/>
          <w:tblLook w:val="04A0"/>
        </w:tblPrEx>
        <w:tc>
          <w:tcPr>
            <w:tcW w:w="2624" w:type="dxa"/>
            <w:shd w:val="clear" w:color="auto" w:fill="A8D08D" w:themeFill="accent6" w:themeFillTint="99"/>
          </w:tcPr>
          <w:p w:rsidR="00BE7E91" w:rsidP="00E33791" w14:paraId="25FC1E5B" w14:textId="77777777">
            <w:pPr>
              <w:rPr>
                <w:b/>
                <w:bCs/>
                <w:sz w:val="24"/>
              </w:rPr>
            </w:pPr>
            <w:r>
              <w:rPr>
                <w:b/>
                <w:bCs/>
                <w:sz w:val="24"/>
              </w:rPr>
              <w:t>Medical Surveillance</w:t>
            </w:r>
          </w:p>
        </w:tc>
        <w:tc>
          <w:tcPr>
            <w:tcW w:w="2242" w:type="dxa"/>
            <w:shd w:val="clear" w:color="auto" w:fill="A8D08D" w:themeFill="accent6" w:themeFillTint="99"/>
          </w:tcPr>
          <w:p w:rsidR="00BE7E91" w:rsidP="00E33791" w14:paraId="54255A0E" w14:textId="77777777">
            <w:pPr>
              <w:rPr>
                <w:b/>
                <w:bCs/>
                <w:sz w:val="24"/>
              </w:rPr>
            </w:pPr>
            <w:r>
              <w:rPr>
                <w:b/>
                <w:bCs/>
                <w:sz w:val="24"/>
              </w:rPr>
              <w:t>Number of Medical Examination</w:t>
            </w:r>
          </w:p>
        </w:tc>
        <w:tc>
          <w:tcPr>
            <w:tcW w:w="2242" w:type="dxa"/>
            <w:shd w:val="clear" w:color="auto" w:fill="A8D08D" w:themeFill="accent6" w:themeFillTint="99"/>
          </w:tcPr>
          <w:p w:rsidR="00BE7E91" w:rsidP="00E33791" w14:paraId="37FCB27D" w14:textId="77777777">
            <w:pPr>
              <w:rPr>
                <w:b/>
                <w:bCs/>
                <w:sz w:val="24"/>
              </w:rPr>
            </w:pPr>
            <w:r>
              <w:rPr>
                <w:b/>
                <w:bCs/>
                <w:sz w:val="24"/>
              </w:rPr>
              <w:t>Unit Cost</w:t>
            </w:r>
          </w:p>
        </w:tc>
        <w:tc>
          <w:tcPr>
            <w:tcW w:w="2242" w:type="dxa"/>
            <w:shd w:val="clear" w:color="auto" w:fill="A8D08D" w:themeFill="accent6" w:themeFillTint="99"/>
          </w:tcPr>
          <w:p w:rsidR="00BE7E91" w:rsidP="00E33791" w14:paraId="7458325C" w14:textId="77777777">
            <w:pPr>
              <w:rPr>
                <w:b/>
                <w:bCs/>
                <w:sz w:val="24"/>
              </w:rPr>
            </w:pPr>
            <w:r>
              <w:rPr>
                <w:b/>
                <w:bCs/>
                <w:sz w:val="24"/>
              </w:rPr>
              <w:t>Total Cost</w:t>
            </w:r>
          </w:p>
        </w:tc>
      </w:tr>
      <w:tr w14:paraId="76B7D99C" w14:textId="77777777" w:rsidTr="00E33791">
        <w:tblPrEx>
          <w:tblW w:w="0" w:type="auto"/>
          <w:tblLook w:val="04A0"/>
        </w:tblPrEx>
        <w:tc>
          <w:tcPr>
            <w:tcW w:w="2624" w:type="dxa"/>
          </w:tcPr>
          <w:p w:rsidR="00BE7E91" w:rsidP="00E33791" w14:paraId="2F415115" w14:textId="77777777">
            <w:pPr>
              <w:rPr>
                <w:b/>
                <w:bCs/>
                <w:sz w:val="24"/>
              </w:rPr>
            </w:pPr>
            <w:r>
              <w:rPr>
                <w:b/>
                <w:bCs/>
                <w:sz w:val="24"/>
              </w:rPr>
              <w:t>Examinations</w:t>
            </w:r>
          </w:p>
        </w:tc>
        <w:tc>
          <w:tcPr>
            <w:tcW w:w="2242" w:type="dxa"/>
          </w:tcPr>
          <w:p w:rsidR="00BE7E91" w:rsidRPr="00A619D5" w:rsidP="00E33791" w14:paraId="77D054CA" w14:textId="77777777">
            <w:pPr>
              <w:rPr>
                <w:sz w:val="24"/>
              </w:rPr>
            </w:pPr>
            <w:r w:rsidRPr="00A619D5">
              <w:rPr>
                <w:sz w:val="24"/>
              </w:rPr>
              <w:t>23,811</w:t>
            </w:r>
          </w:p>
        </w:tc>
        <w:tc>
          <w:tcPr>
            <w:tcW w:w="2242" w:type="dxa"/>
          </w:tcPr>
          <w:p w:rsidR="00BE7E91" w:rsidRPr="00A619D5" w:rsidP="00E33791" w14:paraId="0E51B223" w14:textId="77777777">
            <w:pPr>
              <w:rPr>
                <w:sz w:val="24"/>
              </w:rPr>
            </w:pPr>
            <w:r w:rsidRPr="00A619D5">
              <w:rPr>
                <w:sz w:val="24"/>
              </w:rPr>
              <w:t>$202</w:t>
            </w:r>
          </w:p>
        </w:tc>
        <w:tc>
          <w:tcPr>
            <w:tcW w:w="2242" w:type="dxa"/>
          </w:tcPr>
          <w:p w:rsidR="00BE7E91" w:rsidRPr="00A619D5" w:rsidP="00E33791" w14:paraId="6F2B99CA" w14:textId="77777777">
            <w:pPr>
              <w:rPr>
                <w:sz w:val="24"/>
              </w:rPr>
            </w:pPr>
            <w:r w:rsidRPr="00A619D5">
              <w:rPr>
                <w:sz w:val="24"/>
              </w:rPr>
              <w:t>$4,809,822</w:t>
            </w:r>
          </w:p>
        </w:tc>
      </w:tr>
      <w:tr w14:paraId="55681307" w14:textId="77777777" w:rsidTr="00E33791">
        <w:tblPrEx>
          <w:tblW w:w="0" w:type="auto"/>
          <w:tblLook w:val="04A0"/>
        </w:tblPrEx>
        <w:tc>
          <w:tcPr>
            <w:tcW w:w="2624" w:type="dxa"/>
          </w:tcPr>
          <w:p w:rsidR="00BE7E91" w:rsidP="00E33791" w14:paraId="06242000" w14:textId="77777777">
            <w:pPr>
              <w:rPr>
                <w:b/>
                <w:bCs/>
                <w:sz w:val="24"/>
              </w:rPr>
            </w:pPr>
            <w:r>
              <w:rPr>
                <w:b/>
                <w:bCs/>
                <w:sz w:val="24"/>
              </w:rPr>
              <w:t>Total</w:t>
            </w:r>
          </w:p>
        </w:tc>
        <w:tc>
          <w:tcPr>
            <w:tcW w:w="2242" w:type="dxa"/>
          </w:tcPr>
          <w:p w:rsidR="00BE7E91" w:rsidRPr="00A619D5" w:rsidP="00E33791" w14:paraId="32EC49E3" w14:textId="77777777">
            <w:pPr>
              <w:rPr>
                <w:sz w:val="24"/>
              </w:rPr>
            </w:pPr>
          </w:p>
        </w:tc>
        <w:tc>
          <w:tcPr>
            <w:tcW w:w="2242" w:type="dxa"/>
          </w:tcPr>
          <w:p w:rsidR="00BE7E91" w:rsidRPr="00A619D5" w:rsidP="00E33791" w14:paraId="2DDB518C" w14:textId="77777777">
            <w:pPr>
              <w:rPr>
                <w:sz w:val="24"/>
              </w:rPr>
            </w:pPr>
          </w:p>
        </w:tc>
        <w:tc>
          <w:tcPr>
            <w:tcW w:w="2242" w:type="dxa"/>
          </w:tcPr>
          <w:p w:rsidR="00BE7E91" w:rsidRPr="00936154" w:rsidP="00E33791" w14:paraId="51D437A8" w14:textId="77777777">
            <w:pPr>
              <w:rPr>
                <w:b/>
                <w:bCs/>
                <w:sz w:val="24"/>
              </w:rPr>
            </w:pPr>
            <w:r w:rsidRPr="00936154">
              <w:rPr>
                <w:b/>
                <w:bCs/>
                <w:sz w:val="24"/>
              </w:rPr>
              <w:t>$5,129,858</w:t>
            </w:r>
          </w:p>
        </w:tc>
      </w:tr>
    </w:tbl>
    <w:p w:rsidR="00BE7E91" w:rsidRPr="00565389" w:rsidP="009C3237" w14:paraId="37672C4B" w14:textId="77777777">
      <w:pPr>
        <w:rPr>
          <w:sz w:val="24"/>
        </w:rPr>
      </w:pPr>
    </w:p>
    <w:p w:rsidR="009C3237" w:rsidRPr="00565389" w:rsidP="009C3237" w14:paraId="7B253E9E" w14:textId="77777777">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bCs/>
          <w:color w:val="000000"/>
          <w:sz w:val="24"/>
        </w:rPr>
      </w:pPr>
    </w:p>
    <w:p w:rsidR="00D71277" w:rsidRPr="00D71277" w:rsidP="00AE2B3F" w14:paraId="0E07FC8C" w14:textId="5083E414">
      <w:pPr>
        <w:widowControl/>
        <w:tabs>
          <w:tab w:val="left" w:pos="450"/>
        </w:tabs>
        <w:rPr>
          <w:b/>
          <w:bCs/>
          <w:sz w:val="24"/>
        </w:rPr>
      </w:pPr>
      <w:r w:rsidRPr="00565389">
        <w:rPr>
          <w:b/>
          <w:bCs/>
          <w:color w:val="000000"/>
          <w:sz w:val="24"/>
        </w:rPr>
        <w:t>14.</w:t>
      </w:r>
      <w:r>
        <w:rPr>
          <w:b/>
          <w:bCs/>
          <w:color w:val="000000"/>
          <w:sz w:val="24"/>
        </w:rPr>
        <w:t xml:space="preserve">   </w:t>
      </w:r>
      <w:r w:rsidRPr="00D71277">
        <w:rPr>
          <w:b/>
          <w:bCs/>
          <w:sz w:val="24"/>
        </w:rPr>
        <w:t xml:space="preserve"> Provide estimates of annualized cost to the Federal Government.  Also, provide a</w:t>
      </w:r>
    </w:p>
    <w:p w:rsidR="00D71277" w:rsidRPr="00D71277" w:rsidP="00D71277" w14:paraId="63704593" w14:textId="77777777">
      <w:pPr>
        <w:widowControl/>
        <w:tabs>
          <w:tab w:val="left" w:pos="450"/>
        </w:tabs>
        <w:ind w:left="450"/>
        <w:rPr>
          <w:b/>
          <w:bCs/>
          <w:sz w:val="24"/>
        </w:rPr>
      </w:pPr>
      <w:r w:rsidRPr="00D71277">
        <w:rPr>
          <w:b/>
          <w:bCs/>
          <w:sz w:val="24"/>
        </w:rPr>
        <w:t>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C3237" w:rsidRPr="00565389" w:rsidP="009C3237" w14:paraId="5EE02E81" w14:textId="6529F383">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bCs/>
          <w:color w:val="000000"/>
          <w:sz w:val="24"/>
        </w:rPr>
      </w:pPr>
    </w:p>
    <w:p w:rsidR="009C3237" w:rsidRPr="00565389" w:rsidP="009C3237" w14:paraId="5964F57C" w14:textId="77777777">
      <w:pPr>
        <w:rPr>
          <w:sz w:val="24"/>
        </w:rPr>
      </w:pPr>
    </w:p>
    <w:p w:rsidR="009C3237" w:rsidRPr="00565389" w:rsidP="009C3237" w14:paraId="112A8219" w14:textId="77777777">
      <w:pPr>
        <w:tabs>
          <w:tab w:val="left" w:pos="0"/>
        </w:tabs>
        <w:jc w:val="both"/>
        <w:rPr>
          <w:bCs/>
          <w:sz w:val="24"/>
        </w:rPr>
      </w:pPr>
      <w:r w:rsidRPr="00565389">
        <w:rPr>
          <w:bCs/>
          <w:sz w:val="24"/>
        </w:rPr>
        <w:t>There is no cost to the Federal Government.</w:t>
      </w:r>
    </w:p>
    <w:p w:rsidR="009C3237" w:rsidRPr="00565389" w:rsidP="009C3237" w14:paraId="26CDA9B6" w14:textId="77777777">
      <w:pPr>
        <w:rPr>
          <w:sz w:val="24"/>
        </w:rPr>
      </w:pPr>
    </w:p>
    <w:p w:rsidR="009C3237" w:rsidRPr="00565389" w:rsidP="009C3237" w14:paraId="3AF48089" w14:textId="77777777">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color w:val="000000"/>
          <w:sz w:val="24"/>
        </w:rPr>
      </w:pPr>
      <w:r w:rsidRPr="00565389">
        <w:rPr>
          <w:b/>
          <w:color w:val="000000"/>
          <w:sz w:val="24"/>
        </w:rPr>
        <w:t>15.  Explain the reasons for any program changes or adjustments.</w:t>
      </w:r>
    </w:p>
    <w:p w:rsidR="009C3237" w:rsidRPr="00565389" w:rsidP="009C3237" w14:paraId="50F3E44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JM"/>
        </w:rPr>
      </w:pPr>
    </w:p>
    <w:p w:rsidR="009C3237" w:rsidRPr="00565389" w:rsidP="009C3237" w14:paraId="378A6AB0" w14:textId="3ADF136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JM"/>
        </w:rPr>
      </w:pPr>
      <w:r w:rsidRPr="00565389">
        <w:rPr>
          <w:sz w:val="24"/>
          <w:lang w:val="en-JM"/>
        </w:rPr>
        <w:t xml:space="preserve">There is an overall adjustment </w:t>
      </w:r>
      <w:r w:rsidR="00404D6D">
        <w:rPr>
          <w:sz w:val="24"/>
          <w:lang w:val="en-JM"/>
        </w:rPr>
        <w:t>decrease</w:t>
      </w:r>
      <w:r w:rsidRPr="00565389">
        <w:rPr>
          <w:sz w:val="24"/>
          <w:lang w:val="en-JM"/>
        </w:rPr>
        <w:t xml:space="preserve"> in burden hours for this ICR.  The burden hours have </w:t>
      </w:r>
      <w:r w:rsidR="00404D6D">
        <w:rPr>
          <w:sz w:val="24"/>
          <w:lang w:val="en-JM"/>
        </w:rPr>
        <w:t>decreased</w:t>
      </w:r>
      <w:r w:rsidRPr="00565389">
        <w:rPr>
          <w:sz w:val="24"/>
          <w:lang w:val="en-JM"/>
        </w:rPr>
        <w:t xml:space="preserve"> a total of </w:t>
      </w:r>
      <w:r w:rsidR="00404D6D">
        <w:rPr>
          <w:sz w:val="24"/>
          <w:lang w:val="en-JM"/>
        </w:rPr>
        <w:t>1,00</w:t>
      </w:r>
      <w:r w:rsidR="00877743">
        <w:rPr>
          <w:sz w:val="24"/>
          <w:lang w:val="en-JM"/>
        </w:rPr>
        <w:t>5</w:t>
      </w:r>
      <w:r w:rsidR="00404D6D">
        <w:rPr>
          <w:sz w:val="24"/>
          <w:lang w:val="en-JM"/>
        </w:rPr>
        <w:t xml:space="preserve"> </w:t>
      </w:r>
      <w:r w:rsidRPr="00565389">
        <w:rPr>
          <w:sz w:val="24"/>
          <w:lang w:val="en-JM"/>
        </w:rPr>
        <w:t xml:space="preserve">hours (from </w:t>
      </w:r>
      <w:r w:rsidR="00404D6D">
        <w:rPr>
          <w:sz w:val="24"/>
          <w:lang w:val="en-JM"/>
        </w:rPr>
        <w:t>31,257</w:t>
      </w:r>
      <w:r w:rsidRPr="00565389">
        <w:rPr>
          <w:sz w:val="24"/>
          <w:lang w:val="en-JM"/>
        </w:rPr>
        <w:t xml:space="preserve"> hours to </w:t>
      </w:r>
      <w:r w:rsidR="00181E57">
        <w:rPr>
          <w:sz w:val="24"/>
          <w:lang w:val="en-JM"/>
        </w:rPr>
        <w:t>30,25</w:t>
      </w:r>
      <w:r w:rsidR="000C0F9E">
        <w:rPr>
          <w:sz w:val="24"/>
          <w:lang w:val="en-JM"/>
        </w:rPr>
        <w:t>2</w:t>
      </w:r>
      <w:r w:rsidRPr="00565389">
        <w:rPr>
          <w:sz w:val="24"/>
          <w:lang w:val="en-JM"/>
        </w:rPr>
        <w:t xml:space="preserve"> hours). The adjusted </w:t>
      </w:r>
      <w:r w:rsidR="00181E57">
        <w:rPr>
          <w:sz w:val="24"/>
          <w:lang w:val="en-JM"/>
        </w:rPr>
        <w:t>de</w:t>
      </w:r>
      <w:r w:rsidRPr="00565389">
        <w:rPr>
          <w:sz w:val="24"/>
          <w:lang w:val="en-JM"/>
        </w:rPr>
        <w:t xml:space="preserve">crease is primarily due to </w:t>
      </w:r>
      <w:r>
        <w:rPr>
          <w:sz w:val="24"/>
          <w:lang w:val="en-JM"/>
        </w:rPr>
        <w:t xml:space="preserve">the </w:t>
      </w:r>
      <w:r w:rsidRPr="00565389">
        <w:rPr>
          <w:sz w:val="24"/>
          <w:lang w:val="en-JM"/>
        </w:rPr>
        <w:t xml:space="preserve">estimated number of establishments covered by the standard. </w:t>
      </w:r>
    </w:p>
    <w:p w:rsidR="009C3237" w:rsidRPr="00565389" w:rsidP="009C3237" w14:paraId="542BC06C" w14:textId="77777777">
      <w:pPr>
        <w:rPr>
          <w:sz w:val="24"/>
          <w:lang w:val="en-JM"/>
        </w:rPr>
      </w:pPr>
    </w:p>
    <w:p w:rsidR="009C3237" w:rsidRPr="00565389" w:rsidP="009C3237" w14:paraId="2D81CAF3" w14:textId="46C847B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4"/>
        </w:rPr>
      </w:pPr>
      <w:r w:rsidRPr="00565389">
        <w:rPr>
          <w:rFonts w:eastAsia="Calibri"/>
          <w:sz w:val="24"/>
        </w:rPr>
        <w:t>There is an overall adjusted increase in capital costs of $</w:t>
      </w:r>
      <w:r w:rsidR="00404D6D">
        <w:rPr>
          <w:rFonts w:eastAsia="Calibri"/>
          <w:sz w:val="24"/>
        </w:rPr>
        <w:t>159,050</w:t>
      </w:r>
      <w:r w:rsidRPr="00565389">
        <w:rPr>
          <w:rFonts w:eastAsia="Calibri"/>
          <w:sz w:val="24"/>
        </w:rPr>
        <w:t xml:space="preserve"> (from $4,970,808</w:t>
      </w:r>
      <w:r w:rsidR="00404D6D">
        <w:rPr>
          <w:rFonts w:eastAsia="Calibri"/>
          <w:sz w:val="24"/>
        </w:rPr>
        <w:t xml:space="preserve"> to $5,129,858</w:t>
      </w:r>
      <w:r w:rsidRPr="00565389">
        <w:rPr>
          <w:rFonts w:eastAsia="Calibri"/>
          <w:sz w:val="24"/>
        </w:rPr>
        <w:t xml:space="preserve">).  There was a </w:t>
      </w:r>
      <w:r w:rsidR="00404D6D">
        <w:rPr>
          <w:rFonts w:eastAsia="Calibri"/>
          <w:sz w:val="24"/>
        </w:rPr>
        <w:t xml:space="preserve">decrease in the </w:t>
      </w:r>
      <w:r w:rsidRPr="00565389">
        <w:rPr>
          <w:rFonts w:eastAsia="Calibri"/>
          <w:sz w:val="24"/>
        </w:rPr>
        <w:t>number of medical exams administered,</w:t>
      </w:r>
      <w:r w:rsidR="00404D6D">
        <w:rPr>
          <w:rFonts w:eastAsia="Calibri"/>
          <w:sz w:val="24"/>
        </w:rPr>
        <w:t xml:space="preserve"> but</w:t>
      </w:r>
      <w:r w:rsidRPr="00565389">
        <w:rPr>
          <w:rFonts w:eastAsia="Calibri"/>
          <w:sz w:val="24"/>
        </w:rPr>
        <w:t xml:space="preserve"> the cost of exposure monitoring samples and medical examinations </w:t>
      </w:r>
      <w:r w:rsidR="00404D6D">
        <w:rPr>
          <w:rFonts w:eastAsia="Calibri"/>
          <w:sz w:val="24"/>
        </w:rPr>
        <w:t xml:space="preserve">increased. </w:t>
      </w:r>
    </w:p>
    <w:p w:rsidR="009C3237" w:rsidRPr="00565389" w:rsidP="009C3237" w14:paraId="67538C57"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sz w:val="24"/>
        </w:rPr>
      </w:pPr>
    </w:p>
    <w:p w:rsidR="00AE2B3F" w:rsidRPr="00AE2B3F" w:rsidP="00AE2B3F" w14:paraId="6D303FEE" w14:textId="5D389107">
      <w:pPr>
        <w:widowControl/>
        <w:tabs>
          <w:tab w:val="left" w:pos="450"/>
        </w:tabs>
        <w:ind w:left="630" w:hanging="720"/>
        <w:rPr>
          <w:b/>
          <w:bCs/>
          <w:sz w:val="24"/>
        </w:rPr>
      </w:pPr>
      <w:r w:rsidRPr="00565389">
        <w:rPr>
          <w:b/>
          <w:bCs/>
          <w:color w:val="000000"/>
          <w:sz w:val="24"/>
        </w:rPr>
        <w:t xml:space="preserve">16.  </w:t>
      </w:r>
      <w:r w:rsidRPr="00AE2B3F">
        <w:rPr>
          <w:b/>
          <w:bCs/>
          <w:sz w:val="24"/>
        </w:rPr>
        <w:t xml:space="preserve">For collections of information whose results will be published, outline plans for </w:t>
      </w:r>
    </w:p>
    <w:p w:rsidR="00AE2B3F" w:rsidRPr="00AE2B3F" w:rsidP="00AE2B3F" w14:paraId="6F118126" w14:textId="58D91C98">
      <w:pPr>
        <w:widowControl/>
        <w:tabs>
          <w:tab w:val="left" w:pos="450"/>
          <w:tab w:val="left" w:pos="540"/>
        </w:tabs>
        <w:ind w:left="720" w:hanging="720"/>
        <w:rPr>
          <w:b/>
          <w:bCs/>
          <w:sz w:val="24"/>
        </w:rPr>
      </w:pPr>
      <w:r>
        <w:rPr>
          <w:b/>
          <w:bCs/>
          <w:sz w:val="24"/>
        </w:rPr>
        <w:tab/>
      </w:r>
      <w:r w:rsidRPr="00AE2B3F">
        <w:rPr>
          <w:b/>
          <w:bCs/>
          <w:sz w:val="24"/>
        </w:rPr>
        <w:t>tabulation and publication.  Address any complex analytical techniques that will be</w:t>
      </w:r>
    </w:p>
    <w:p w:rsidR="00AE2B3F" w:rsidRPr="00AE2B3F" w:rsidP="00AE2B3F" w14:paraId="0D947A08" w14:textId="77777777">
      <w:pPr>
        <w:widowControl/>
        <w:tabs>
          <w:tab w:val="left" w:pos="450"/>
        </w:tabs>
        <w:ind w:left="720" w:hanging="720"/>
        <w:rPr>
          <w:b/>
          <w:bCs/>
          <w:sz w:val="24"/>
        </w:rPr>
      </w:pPr>
      <w:r w:rsidRPr="00AE2B3F">
        <w:rPr>
          <w:b/>
          <w:bCs/>
          <w:sz w:val="24"/>
        </w:rPr>
        <w:tab/>
        <w:t xml:space="preserve">used.  Provide the time schedule for the entire project, including beginning and </w:t>
      </w:r>
    </w:p>
    <w:p w:rsidR="00AE2B3F" w:rsidRPr="00AE2B3F" w:rsidP="00AE2B3F" w14:paraId="141A35B0" w14:textId="77777777">
      <w:pPr>
        <w:widowControl/>
        <w:tabs>
          <w:tab w:val="left" w:pos="450"/>
        </w:tabs>
        <w:ind w:left="720" w:hanging="720"/>
        <w:rPr>
          <w:b/>
          <w:bCs/>
          <w:sz w:val="24"/>
        </w:rPr>
      </w:pPr>
      <w:r w:rsidRPr="00AE2B3F">
        <w:rPr>
          <w:b/>
          <w:bCs/>
          <w:sz w:val="24"/>
        </w:rPr>
        <w:tab/>
        <w:t xml:space="preserve">ending dates of the collection of information, completion of report, publication dates, </w:t>
      </w:r>
    </w:p>
    <w:p w:rsidR="00AE2B3F" w:rsidRPr="00AE2B3F" w:rsidP="00AE2B3F" w14:paraId="4C8A5DEE" w14:textId="77777777">
      <w:pPr>
        <w:widowControl/>
        <w:tabs>
          <w:tab w:val="left" w:pos="450"/>
        </w:tabs>
        <w:ind w:left="720" w:hanging="720"/>
        <w:rPr>
          <w:sz w:val="24"/>
        </w:rPr>
      </w:pPr>
      <w:r w:rsidRPr="00AE2B3F">
        <w:rPr>
          <w:b/>
          <w:bCs/>
          <w:sz w:val="24"/>
        </w:rPr>
        <w:tab/>
        <w:t>and other actions.</w:t>
      </w:r>
    </w:p>
    <w:p w:rsidR="009C3237" w:rsidRPr="00565389" w:rsidP="009C3237" w14:paraId="0B3BCB10" w14:textId="734247C1">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color w:val="000000"/>
          <w:sz w:val="24"/>
        </w:rPr>
      </w:pPr>
    </w:p>
    <w:p w:rsidR="009C3237" w:rsidRPr="00565389" w:rsidP="009C3237" w14:paraId="18C52470" w14:textId="77777777">
      <w:pPr>
        <w:rPr>
          <w:sz w:val="24"/>
        </w:rPr>
      </w:pPr>
      <w:r w:rsidRPr="00565389">
        <w:rPr>
          <w:sz w:val="24"/>
        </w:rPr>
        <w:t>OSHA will not publish the information collected under the Standard.</w:t>
      </w:r>
    </w:p>
    <w:p w:rsidR="009C3237" w:rsidRPr="00565389" w:rsidP="009C3237" w14:paraId="5E139841" w14:textId="77777777">
      <w:pPr>
        <w:rPr>
          <w:sz w:val="24"/>
        </w:rPr>
      </w:pPr>
    </w:p>
    <w:p w:rsidR="009C3237" w:rsidRPr="00565389" w:rsidP="009C3237" w14:paraId="30C4DEF7" w14:textId="77777777">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bCs/>
          <w:color w:val="000000"/>
          <w:sz w:val="24"/>
        </w:rPr>
      </w:pPr>
      <w:r w:rsidRPr="00565389">
        <w:rPr>
          <w:b/>
          <w:bCs/>
          <w:color w:val="000000"/>
          <w:sz w:val="24"/>
        </w:rPr>
        <w:t>17.  If seeking approval to not display the expiration date for OMB approval of the information collection, explain the reasons that display would be inappropriate.</w:t>
      </w:r>
    </w:p>
    <w:p w:rsidR="009C3237" w:rsidRPr="00565389" w:rsidP="009C3237" w14:paraId="0BAA6C0C" w14:textId="77777777">
      <w:pPr>
        <w:pStyle w:val="PlainText"/>
        <w:rPr>
          <w:rFonts w:ascii="Times New Roman" w:hAnsi="Times New Roman"/>
          <w:sz w:val="24"/>
          <w:szCs w:val="24"/>
        </w:rPr>
      </w:pPr>
    </w:p>
    <w:p w:rsidR="00736021" w:rsidP="009C3237" w14:paraId="7859F405" w14:textId="77777777">
      <w:pPr>
        <w:pStyle w:val="PlainText"/>
        <w:rPr>
          <w:rFonts w:ascii="Times New Roman" w:hAnsi="Times New Roman"/>
          <w:sz w:val="24"/>
          <w:szCs w:val="24"/>
        </w:rPr>
      </w:pPr>
      <w:r>
        <w:rPr>
          <w:rFonts w:ascii="Times New Roman" w:hAnsi="Times New Roman"/>
          <w:sz w:val="24"/>
          <w:szCs w:val="24"/>
        </w:rPr>
        <w:t xml:space="preserve">OSHA is not </w:t>
      </w:r>
      <w:r w:rsidRPr="00A71C2E">
        <w:rPr>
          <w:rFonts w:ascii="Times New Roman" w:hAnsi="Times New Roman"/>
          <w:sz w:val="24"/>
          <w:szCs w:val="24"/>
        </w:rPr>
        <w:t>seeking approval to not display the expiration date</w:t>
      </w:r>
      <w:r>
        <w:rPr>
          <w:rFonts w:ascii="Times New Roman" w:hAnsi="Times New Roman"/>
          <w:sz w:val="24"/>
          <w:szCs w:val="24"/>
        </w:rPr>
        <w:t>.</w:t>
      </w:r>
    </w:p>
    <w:p w:rsidR="00736021" w:rsidP="009C3237" w14:paraId="6A54EB81" w14:textId="77777777">
      <w:pPr>
        <w:pStyle w:val="PlainText"/>
        <w:rPr>
          <w:rFonts w:ascii="Times New Roman" w:hAnsi="Times New Roman"/>
          <w:sz w:val="24"/>
          <w:szCs w:val="24"/>
        </w:rPr>
      </w:pPr>
    </w:p>
    <w:p w:rsidR="009C3237" w:rsidRPr="00565389" w:rsidP="009C3237" w14:paraId="23FFB252" w14:textId="04278BEB">
      <w:pPr>
        <w:pStyle w:val="PlainText"/>
        <w:rPr>
          <w:rFonts w:ascii="Times New Roman" w:hAnsi="Times New Roman"/>
          <w:sz w:val="24"/>
          <w:szCs w:val="24"/>
        </w:rPr>
      </w:pPr>
      <w:r w:rsidRPr="00565389">
        <w:rPr>
          <w:rFonts w:ascii="Times New Roman" w:hAnsi="Times New Roman"/>
          <w:sz w:val="24"/>
          <w:szCs w:val="24"/>
        </w:rPr>
        <w:t>OSHA lists current valid control numbers in §§1910.8, 1915.8, 1917.4, 1918.4, and 1926.5 and publishes the expiration date in the Federal Register notice announcing OMB approval of the information-collection requirement (</w:t>
      </w:r>
      <w:r w:rsidRPr="00565389">
        <w:rPr>
          <w:rFonts w:ascii="Times New Roman" w:hAnsi="Times New Roman"/>
          <w:i/>
          <w:sz w:val="24"/>
          <w:szCs w:val="24"/>
        </w:rPr>
        <w:t>see</w:t>
      </w:r>
      <w:r w:rsidRPr="00565389">
        <w:rPr>
          <w:rFonts w:ascii="Times New Roman" w:hAnsi="Times New Roman"/>
          <w:sz w:val="24"/>
          <w:szCs w:val="24"/>
        </w:rPr>
        <w:t xml:space="preserve"> 5 CFR 1320.3(f)(3)).  OSHA believes that this is the most appropriate and accurate mechanism to inform interested parties of these expiration dates.</w:t>
      </w:r>
    </w:p>
    <w:p w:rsidR="009C3237" w:rsidRPr="00565389" w:rsidP="009C3237" w14:paraId="2368C2D7" w14:textId="77777777">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bCs/>
          <w:color w:val="000000"/>
          <w:sz w:val="24"/>
        </w:rPr>
      </w:pPr>
    </w:p>
    <w:p w:rsidR="009C3237" w:rsidRPr="00565389" w:rsidP="009C3237" w14:paraId="05077DC9" w14:textId="77777777">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bCs/>
          <w:color w:val="000000"/>
          <w:sz w:val="24"/>
        </w:rPr>
      </w:pPr>
      <w:r w:rsidRPr="00565389">
        <w:rPr>
          <w:b/>
          <w:bCs/>
          <w:color w:val="000000"/>
          <w:sz w:val="24"/>
        </w:rPr>
        <w:t>18.  Explain each exception to the certification statement.</w:t>
      </w:r>
    </w:p>
    <w:p w:rsidR="009C3237" w:rsidRPr="00565389" w:rsidP="009C3237" w14:paraId="0B714D08" w14:textId="77777777">
      <w:pPr>
        <w:tabs>
          <w:tab w:val="left" w:pos="0"/>
          <w:tab w:val="left" w:pos="360"/>
          <w:tab w:val="left" w:pos="720"/>
          <w:tab w:val="left" w:pos="2160"/>
          <w:tab w:val="left" w:pos="2880"/>
          <w:tab w:val="left" w:pos="3600"/>
          <w:tab w:val="left" w:pos="4320"/>
          <w:tab w:val="left" w:pos="5040"/>
          <w:tab w:val="left" w:pos="5760"/>
          <w:tab w:val="left" w:pos="6300"/>
          <w:tab w:val="left" w:pos="7200"/>
          <w:tab w:val="left" w:pos="7920"/>
          <w:tab w:val="left" w:pos="8640"/>
          <w:tab w:val="left" w:pos="9360"/>
        </w:tabs>
        <w:rPr>
          <w:b/>
          <w:bCs/>
          <w:color w:val="000000"/>
          <w:sz w:val="24"/>
        </w:rPr>
      </w:pPr>
    </w:p>
    <w:p w:rsidR="009C3237" w:rsidRPr="00565389" w:rsidP="009C3237" w14:paraId="14A4EA8D" w14:textId="77777777">
      <w:pPr>
        <w:rPr>
          <w:sz w:val="24"/>
        </w:rPr>
      </w:pPr>
      <w:r w:rsidRPr="00565389">
        <w:rPr>
          <w:color w:val="000000"/>
          <w:sz w:val="24"/>
        </w:rPr>
        <w:t>OSHA is not seeking an exception to the certification statement.</w:t>
      </w:r>
    </w:p>
    <w:p w:rsidR="009C3237" w:rsidRPr="00565389" w:rsidP="009C3237" w14:paraId="15C6D102" w14:textId="77777777">
      <w:pPr>
        <w:pStyle w:val="FootnoteText"/>
        <w:rPr>
          <w:sz w:val="24"/>
          <w:szCs w:val="24"/>
        </w:rPr>
      </w:pPr>
    </w:p>
    <w:p w:rsidR="009C3237" w:rsidRPr="00565389" w:rsidP="009C3237" w14:paraId="074CEC88" w14:textId="77777777">
      <w:pPr>
        <w:pStyle w:val="FootnoteText"/>
        <w:rPr>
          <w:sz w:val="24"/>
          <w:szCs w:val="24"/>
        </w:rPr>
      </w:pPr>
    </w:p>
    <w:p w:rsidR="009C3237" w:rsidRPr="00565389" w:rsidP="009C3237" w14:paraId="2D1AD6BA" w14:textId="77777777">
      <w:pPr>
        <w:outlineLvl w:val="0"/>
        <w:rPr>
          <w:b/>
          <w:sz w:val="24"/>
        </w:rPr>
      </w:pPr>
      <w:r w:rsidRPr="00565389">
        <w:rPr>
          <w:b/>
          <w:sz w:val="24"/>
        </w:rPr>
        <w:t>B. COLLECTION OF INFORMATION EMPLOYING STATISTICAL METHODS</w:t>
      </w:r>
    </w:p>
    <w:p w:rsidR="009C3237" w:rsidRPr="00565389" w:rsidP="009C3237" w14:paraId="79AC75AF" w14:textId="77777777">
      <w:pPr>
        <w:rPr>
          <w:b/>
          <w:sz w:val="24"/>
        </w:rPr>
      </w:pPr>
    </w:p>
    <w:p w:rsidR="009C3237" w:rsidRPr="00565389" w:rsidP="009C3237" w14:paraId="682BABCA" w14:textId="77777777">
      <w:pPr>
        <w:pStyle w:val="FootnoteText"/>
        <w:rPr>
          <w:sz w:val="24"/>
          <w:szCs w:val="24"/>
        </w:rPr>
      </w:pPr>
      <w:r w:rsidRPr="00565389">
        <w:rPr>
          <w:sz w:val="24"/>
          <w:szCs w:val="24"/>
        </w:rPr>
        <w:t>The supporting statement does not contain any collection of information requirements that employ statistical methods.</w:t>
      </w:r>
    </w:p>
    <w:p w:rsidR="009C3237" w:rsidP="009C3237" w14:paraId="6E6A4FE7" w14:textId="77777777">
      <w:pPr>
        <w:pStyle w:val="FootnoteText"/>
        <w:rPr>
          <w:sz w:val="24"/>
          <w:szCs w:val="24"/>
        </w:rPr>
      </w:pPr>
    </w:p>
    <w:p w:rsidR="009C3237" w:rsidP="009C3237" w14:paraId="7F8843DB" w14:textId="77777777">
      <w:pPr>
        <w:pStyle w:val="FootnoteText"/>
        <w:rPr>
          <w:sz w:val="24"/>
          <w:szCs w:val="24"/>
        </w:rPr>
      </w:pPr>
    </w:p>
    <w:p w:rsidR="009C3237" w:rsidP="009C3237" w14:paraId="0E134EF3" w14:textId="77777777">
      <w:pPr>
        <w:pStyle w:val="FootnoteText"/>
        <w:rPr>
          <w:sz w:val="24"/>
          <w:szCs w:val="24"/>
        </w:rPr>
      </w:pPr>
    </w:p>
    <w:p w:rsidR="009C3237" w:rsidP="009C3237" w14:paraId="15C879E6" w14:textId="77777777">
      <w:pPr>
        <w:pStyle w:val="FootnoteText"/>
        <w:rPr>
          <w:sz w:val="24"/>
          <w:szCs w:val="24"/>
        </w:rPr>
      </w:pPr>
    </w:p>
    <w:p w:rsidR="009C3237" w:rsidP="009C3237" w14:paraId="46F93A2E" w14:textId="77777777">
      <w:pPr>
        <w:pStyle w:val="FootnoteText"/>
        <w:rPr>
          <w:sz w:val="24"/>
          <w:szCs w:val="24"/>
        </w:rPr>
      </w:pPr>
    </w:p>
    <w:p w:rsidR="009C3237" w:rsidP="009C3237" w14:paraId="6239D771" w14:textId="77777777">
      <w:pPr>
        <w:pStyle w:val="FootnoteText"/>
        <w:rPr>
          <w:sz w:val="24"/>
          <w:szCs w:val="24"/>
        </w:rPr>
      </w:pPr>
    </w:p>
    <w:p w:rsidR="00AE2B3F" w:rsidRPr="00AE2B3F" w:rsidP="00AE2B3F" w14:paraId="510FDA39" w14:textId="77777777">
      <w:pPr>
        <w:widowControl/>
        <w:tabs>
          <w:tab w:val="left" w:pos="360"/>
        </w:tabs>
        <w:ind w:left="720" w:hanging="630"/>
        <w:rPr>
          <w:b/>
          <w:bCs/>
          <w:sz w:val="24"/>
        </w:rPr>
      </w:pPr>
    </w:p>
    <w:p w:rsidR="00AE2B3F" w:rsidRPr="00AE2B3F" w:rsidP="00AE2B3F" w14:paraId="757E05DA" w14:textId="77777777">
      <w:pPr>
        <w:widowControl/>
        <w:rPr>
          <w:sz w:val="24"/>
        </w:rPr>
      </w:pPr>
    </w:p>
    <w:p w:rsidR="009C3237" w:rsidP="009C3237" w14:paraId="1BE04903" w14:textId="77777777">
      <w:pPr>
        <w:pStyle w:val="FootnoteText"/>
        <w:rPr>
          <w:sz w:val="24"/>
          <w:szCs w:val="24"/>
        </w:rPr>
      </w:pPr>
    </w:p>
    <w:p w:rsidR="009C3237" w:rsidP="009C3237" w14:paraId="065DB2C3" w14:textId="77777777">
      <w:pPr>
        <w:pStyle w:val="FootnoteText"/>
        <w:rPr>
          <w:sz w:val="24"/>
          <w:szCs w:val="24"/>
        </w:rPr>
      </w:pPr>
    </w:p>
    <w:p w:rsidR="009C3237" w:rsidP="009C3237" w14:paraId="539F9EEE" w14:textId="77777777">
      <w:pPr>
        <w:pStyle w:val="FootnoteText"/>
        <w:rPr>
          <w:sz w:val="24"/>
          <w:szCs w:val="24"/>
        </w:rPr>
      </w:pPr>
    </w:p>
    <w:p w:rsidR="009C3237" w:rsidP="009C3237" w14:paraId="2DA1043A" w14:textId="77777777">
      <w:pPr>
        <w:pStyle w:val="FootnoteText"/>
        <w:rPr>
          <w:sz w:val="24"/>
          <w:szCs w:val="24"/>
        </w:rPr>
      </w:pPr>
    </w:p>
    <w:p w:rsidR="009C3237" w:rsidP="009C3237" w14:paraId="152BF0E7" w14:textId="77777777">
      <w:pPr>
        <w:pStyle w:val="FootnoteText"/>
        <w:rPr>
          <w:sz w:val="24"/>
          <w:szCs w:val="24"/>
        </w:rPr>
      </w:pPr>
    </w:p>
    <w:p w:rsidR="009C3237" w:rsidP="009C3237" w14:paraId="51C57A80" w14:textId="77777777">
      <w:pPr>
        <w:pStyle w:val="FootnoteText"/>
        <w:rPr>
          <w:sz w:val="24"/>
          <w:szCs w:val="24"/>
        </w:rPr>
      </w:pPr>
    </w:p>
    <w:p w:rsidR="009C3237" w:rsidP="009C3237" w14:paraId="1FF95D43" w14:textId="77777777">
      <w:pPr>
        <w:pStyle w:val="FootnoteText"/>
        <w:rPr>
          <w:sz w:val="24"/>
          <w:szCs w:val="24"/>
        </w:rPr>
      </w:pPr>
    </w:p>
    <w:p w:rsidR="00E100F4" w14:paraId="3C7BA83C" w14:textId="77777777"/>
    <w:sectPr w:rsidSect="006A13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DFC" w:rsidP="00581375" w14:paraId="3D5D8C6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B840C7">
      <w:rPr>
        <w:rStyle w:val="PageNumber"/>
      </w:rPr>
      <w:fldChar w:fldCharType="separate"/>
    </w:r>
    <w:r>
      <w:rPr>
        <w:rStyle w:val="PageNumber"/>
      </w:rPr>
      <w:fldChar w:fldCharType="end"/>
    </w:r>
  </w:p>
  <w:p w:rsidR="00890DFC" w14:paraId="48E063F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DFC" w:rsidP="00581375" w14:paraId="2BC9BE2E" w14:textId="423783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10D0">
      <w:rPr>
        <w:rStyle w:val="PageNumber"/>
        <w:noProof/>
      </w:rPr>
      <w:t>- 30 -</w:t>
    </w:r>
    <w:r>
      <w:rPr>
        <w:rStyle w:val="PageNumber"/>
      </w:rPr>
      <w:fldChar w:fldCharType="end"/>
    </w:r>
  </w:p>
  <w:p w:rsidR="00890DFC" w:rsidP="00581375" w14:paraId="7591BF9A" w14:textId="77777777">
    <w:pPr>
      <w:pStyle w:val="Footer"/>
      <w:tabs>
        <w:tab w:val="left" w:pos="3075"/>
        <w:tab w:val="clear" w:pos="4320"/>
        <w:tab w:val="clear" w:pos="864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0143" w:rsidP="009C3237" w14:paraId="0C64E1AC" w14:textId="77777777">
      <w:r>
        <w:separator/>
      </w:r>
    </w:p>
  </w:footnote>
  <w:footnote w:type="continuationSeparator" w:id="1">
    <w:p w:rsidR="00E30143" w:rsidP="009C3237" w14:paraId="457895C0" w14:textId="77777777">
      <w:r>
        <w:continuationSeparator/>
      </w:r>
    </w:p>
  </w:footnote>
  <w:footnote w:type="continuationNotice" w:id="2">
    <w:p w:rsidR="00E30143" w14:paraId="66434320" w14:textId="77777777"/>
  </w:footnote>
  <w:footnote w:id="3">
    <w:p w:rsidR="00890DFC" w:rsidP="009C3237" w14:paraId="57F59006" w14:textId="2C899D1E">
      <w:pPr>
        <w:pStyle w:val="FootnoteText"/>
        <w:ind w:firstLine="720"/>
      </w:pPr>
      <w:r w:rsidRPr="001B2396">
        <w:rPr>
          <w:rStyle w:val="FootnoteReference"/>
          <w:vertAlign w:val="superscript"/>
        </w:rPr>
        <w:footnoteRef/>
      </w:r>
      <w:r w:rsidRPr="001B2396">
        <w:rPr>
          <w:vertAlign w:val="superscript"/>
        </w:rPr>
        <w:t xml:space="preserve"> </w:t>
      </w:r>
      <w:r>
        <w:t>The purpose of this supporting statement is to analyze and describe the burden hours and costs associated with provisions of the Standard that contain paperwork requirements</w:t>
      </w:r>
      <w:r w:rsidR="00440EE0">
        <w:t>. It</w:t>
      </w:r>
      <w:r>
        <w:t xml:space="preserve"> does not provide information or guidance on how to comply with or to enforce the Standard.</w:t>
      </w:r>
    </w:p>
    <w:p w:rsidR="00890DFC" w:rsidRPr="001B2396" w:rsidP="009C3237" w14:paraId="02A3126C" w14:textId="77777777">
      <w:pPr>
        <w:pStyle w:val="FootnoteText"/>
        <w:ind w:firstLine="720"/>
      </w:pPr>
    </w:p>
  </w:footnote>
  <w:footnote w:id="4">
    <w:p w:rsidR="00890DFC" w:rsidRPr="001B2396" w:rsidP="009C3237" w14:paraId="45065D5A" w14:textId="77777777">
      <w:pPr>
        <w:pStyle w:val="FootnoteText"/>
        <w:ind w:firstLine="720"/>
      </w:pPr>
      <w:r w:rsidRPr="001B2396">
        <w:rPr>
          <w:rStyle w:val="FootnoteReference"/>
          <w:vertAlign w:val="superscript"/>
        </w:rPr>
        <w:footnoteRef/>
      </w:r>
      <w:r w:rsidRPr="001B2396">
        <w:rPr>
          <w:vertAlign w:val="superscript"/>
        </w:rPr>
        <w:t xml:space="preserve"> </w:t>
      </w:r>
      <w:r>
        <w:t xml:space="preserve">The Construction and Shipyard Employment EtO Standards (29 CFR 1926.1147 and 29 CFR 1915.1047, respectively) incorporate 29 CFR 1910.1047 by reference.  </w:t>
      </w:r>
    </w:p>
  </w:footnote>
  <w:footnote w:id="5">
    <w:p w:rsidR="00890DFC" w:rsidP="009C3237" w14:paraId="20380E4E" w14:textId="77777777">
      <w:pPr>
        <w:pStyle w:val="FootnoteText"/>
      </w:pPr>
      <w:r>
        <w:rPr>
          <w:vertAlign w:val="superscript"/>
        </w:rPr>
        <w:tab/>
      </w:r>
      <w:r w:rsidRPr="001E38BB">
        <w:rPr>
          <w:rStyle w:val="FootnoteReference"/>
          <w:vertAlign w:val="superscript"/>
        </w:rPr>
        <w:footnoteRef/>
      </w:r>
      <w:r w:rsidRPr="001E38BB">
        <w:rPr>
          <w:vertAlign w:val="superscript"/>
        </w:rPr>
        <w:t xml:space="preserve"> </w:t>
      </w:r>
      <w:r>
        <w:t xml:space="preserve">As discussed above regarding </w:t>
      </w:r>
      <w:r w:rsidRPr="00D23257">
        <w:t>§</w:t>
      </w:r>
      <w:r>
        <w:t xml:space="preserve"> </w:t>
      </w:r>
      <w:r w:rsidRPr="00D23257">
        <w:t>1910.1047(f)(2)(iii)</w:t>
      </w:r>
      <w:r>
        <w:t>, OSHA</w:t>
      </w:r>
      <w:r w:rsidRPr="00653B9B">
        <w:t xml:space="preserve"> has determined that the requirement for employers to make </w:t>
      </w:r>
      <w:r>
        <w:t>information</w:t>
      </w:r>
      <w:r w:rsidRPr="00653B9B">
        <w:t xml:space="preserve"> available upon request to the Assistant Secretary is </w:t>
      </w:r>
      <w:r>
        <w:t xml:space="preserve">also </w:t>
      </w:r>
      <w:r w:rsidRPr="00653B9B">
        <w:t>no</w:t>
      </w:r>
      <w:r>
        <w:t>t</w:t>
      </w:r>
      <w:r w:rsidRPr="00653B9B">
        <w:t xml:space="preserve"> a collection of information</w:t>
      </w:r>
      <w:r>
        <w:t xml:space="preserve">; </w:t>
      </w:r>
      <w:r w:rsidRPr="00653B9B">
        <w:t>OSHA typically requests access to records during an inspection, and information collected by the Agency during the investigation is not subject to the PRA under 5 CFR 1320.4(a)(2).</w:t>
      </w:r>
      <w:r w:rsidRPr="00DA4665">
        <w:t xml:space="preserve"> </w:t>
      </w:r>
      <w:r w:rsidRPr="001E38BB">
        <w:t>While NIOSH may use records collected from employers for research purposes, the Agency does not anticipate NIOSH to request employers to make available records during the approval period.  Therefore, the burden for the employer to make this information available to NIOSH is zero.</w:t>
      </w:r>
    </w:p>
  </w:footnote>
  <w:footnote w:id="6">
    <w:p w:rsidR="00890DFC" w:rsidRPr="008E1EFA" w:rsidP="00732DE4" w14:paraId="21899131" w14:textId="77777777">
      <w:pPr>
        <w:pStyle w:val="FootnoteText"/>
        <w:ind w:firstLine="720"/>
        <w:rPr>
          <w:sz w:val="18"/>
          <w:szCs w:val="18"/>
        </w:rPr>
      </w:pPr>
      <w:r w:rsidRPr="008E1EFA">
        <w:rPr>
          <w:rStyle w:val="FootnoteReference"/>
          <w:sz w:val="18"/>
          <w:szCs w:val="18"/>
          <w:vertAlign w:val="superscript"/>
        </w:rPr>
        <w:footnoteRef/>
      </w:r>
      <w:r w:rsidRPr="008E1EFA">
        <w:rPr>
          <w:sz w:val="18"/>
          <w:szCs w:val="18"/>
        </w:rPr>
        <w:t xml:space="preserve"> "Regulatory Review of the Occupational Safety and Health Administration's Ethylene Oxide Standard," [29 CFR 1910.1047], OSHA, March 2005.</w:t>
      </w:r>
    </w:p>
    <w:p w:rsidR="00890DFC" w:rsidP="009C3237" w14:paraId="3593C9E3" w14:textId="77777777">
      <w:pPr>
        <w:pStyle w:val="FootnoteText"/>
        <w:ind w:firstLine="720"/>
      </w:pPr>
    </w:p>
  </w:footnote>
  <w:footnote w:id="7">
    <w:p w:rsidR="00890DFC" w:rsidP="00612D4D" w14:paraId="24C2F4F8" w14:textId="3749F348">
      <w:pPr>
        <w:pStyle w:val="FootnoteText"/>
        <w:ind w:firstLine="720"/>
      </w:pPr>
      <w:r w:rsidRPr="0046576C">
        <w:rPr>
          <w:rStyle w:val="FootnoteReference"/>
          <w:sz w:val="24"/>
          <w:vertAlign w:val="superscript"/>
        </w:rPr>
        <w:footnoteRef/>
      </w:r>
      <w:r w:rsidRPr="0046576C">
        <w:t>As stated in Table 3, each facility collects 6 samples in determining ELs.  In addition, OSHA assumes that employee exposures above the EL occur only in facilities that have EtO concentrations at or above the AL</w:t>
      </w:r>
      <w:r w:rsidR="00612D4D">
        <w:t>.</w:t>
      </w:r>
    </w:p>
    <w:p w:rsidR="00612D4D" w:rsidRPr="0046576C" w:rsidP="00612D4D" w14:paraId="06A2281E" w14:textId="77777777">
      <w:pPr>
        <w:pStyle w:val="FootnoteText"/>
        <w:ind w:firstLine="720"/>
        <w:rPr>
          <w:sz w:val="24"/>
          <w:vertAlign w:val="superscript"/>
        </w:rPr>
      </w:pPr>
    </w:p>
  </w:footnote>
  <w:footnote w:id="8">
    <w:p w:rsidR="00890DFC" w:rsidRPr="00C409E2" w:rsidP="00732DE4" w14:paraId="59682BA0" w14:textId="5899B8D7">
      <w:pPr>
        <w:pStyle w:val="FootnoteText"/>
        <w:ind w:firstLine="720"/>
      </w:pPr>
      <w:r w:rsidRPr="00C409E2">
        <w:rPr>
          <w:rStyle w:val="FootnoteReference"/>
          <w:vertAlign w:val="superscript"/>
        </w:rPr>
        <w:footnoteRef/>
      </w:r>
      <w:r w:rsidR="00554C82">
        <w:t xml:space="preserve"> </w:t>
      </w:r>
      <w:r>
        <w:t>Sum of total exposed employees multiplied by turnover rate multiplied by one minus the pre-standard compliance rate from each row of Table 5 Initial Exams.</w:t>
      </w:r>
    </w:p>
  </w:footnote>
  <w:footnote w:id="9">
    <w:p w:rsidR="00890DFC" w:rsidP="00732DE4" w14:paraId="1DCC46A6" w14:textId="1C5507B2">
      <w:pPr>
        <w:pStyle w:val="FootnoteText"/>
        <w:ind w:firstLine="720"/>
      </w:pPr>
      <w:r w:rsidRPr="006D215D">
        <w:rPr>
          <w:rStyle w:val="FootnoteReference"/>
          <w:vertAlign w:val="superscript"/>
        </w:rPr>
        <w:footnoteRef/>
      </w:r>
      <w:r w:rsidR="00554C82">
        <w:t xml:space="preserve"> </w:t>
      </w:r>
      <w:r>
        <w:t>Sum of total exposed employees multiplied by one minus the pre-standard compliance rate from each row of Table 6 Periodic Exams.</w:t>
      </w:r>
    </w:p>
  </w:footnote>
  <w:footnote w:id="10">
    <w:p w:rsidR="00890DFC" w:rsidRPr="00C409E2" w:rsidP="00732DE4" w14:paraId="40BF01EE" w14:textId="0514E73F">
      <w:pPr>
        <w:pStyle w:val="FootnoteText"/>
        <w:ind w:firstLine="720"/>
      </w:pPr>
      <w:r w:rsidRPr="00C409E2">
        <w:rPr>
          <w:rStyle w:val="FootnoteReference"/>
          <w:vertAlign w:val="superscript"/>
        </w:rPr>
        <w:footnoteRef/>
      </w:r>
      <w:r w:rsidR="00554C82">
        <w:t xml:space="preserve"> </w:t>
      </w:r>
      <w:r w:rsidRPr="00C409E2">
        <w:t>1% of total exposed employees from Table 5</w:t>
      </w:r>
      <w:r>
        <w:t xml:space="preserve"> Initial Exams</w:t>
      </w:r>
      <w:r w:rsidRPr="00C409E2">
        <w:t>.</w:t>
      </w:r>
    </w:p>
  </w:footnote>
  <w:footnote w:id="11">
    <w:p w:rsidR="00890DFC" w:rsidP="009C3237" w14:paraId="7AB9E711" w14:textId="520C1136">
      <w:pPr>
        <w:pStyle w:val="FootnoteText"/>
        <w:ind w:firstLine="720"/>
      </w:pPr>
      <w:r w:rsidRPr="005F7B83">
        <w:rPr>
          <w:rStyle w:val="FootnoteReference"/>
          <w:vertAlign w:val="superscript"/>
        </w:rPr>
        <w:footnoteRef/>
      </w:r>
      <w:r>
        <w:t xml:space="preserve"> </w:t>
      </w:r>
      <w:r w:rsidRPr="006D215D">
        <w:t>The total number of exposure monitoring records is based on the total number of samples taken by employers (see Table 3)</w:t>
      </w:r>
      <w:r w:rsidR="00610D33">
        <w:t>.</w:t>
      </w:r>
    </w:p>
    <w:p w:rsidR="00890DFC" w:rsidP="009C3237" w14:paraId="48E26EB0" w14:textId="77777777">
      <w:pPr>
        <w:pStyle w:val="FootnoteText"/>
        <w:ind w:firstLine="720"/>
      </w:pPr>
    </w:p>
  </w:footnote>
  <w:footnote w:id="12">
    <w:p w:rsidR="00890DFC" w:rsidRPr="000631E1" w:rsidP="009C3237" w14:paraId="31BD24FD" w14:textId="77777777">
      <w:pPr>
        <w:pStyle w:val="FootnoteText"/>
        <w:ind w:firstLine="720"/>
      </w:pPr>
      <w:r w:rsidRPr="00B766EF">
        <w:rPr>
          <w:rStyle w:val="FootnoteReference"/>
          <w:vertAlign w:val="superscript"/>
        </w:rPr>
        <w:footnoteRef/>
      </w:r>
      <w:r>
        <w:t xml:space="preserve"> </w:t>
      </w:r>
      <w:r w:rsidRPr="00716DDC">
        <w:rPr>
          <w:bCs/>
        </w:rPr>
        <w:t xml:space="preserve">The Agency has determined that the requirement for employers to make records available upon request to the Assistant Secretary is no longer considered a collection of information.  </w:t>
      </w:r>
      <w:r w:rsidRPr="00716DDC">
        <w:t>OSHA typically requests access to records during an inspection, and information collected by the Agency during the investigation is not subject to the PRA under 5 CFR 1320.4(a)(2).</w:t>
      </w:r>
    </w:p>
  </w:footnote>
  <w:footnote w:id="13">
    <w:p w:rsidR="00890DFC" w:rsidRPr="00BE597A" w:rsidP="009C3237" w14:paraId="4040C997" w14:textId="31932114">
      <w:pPr>
        <w:pStyle w:val="FootnoteText"/>
        <w:ind w:firstLine="720"/>
      </w:pPr>
      <w:r w:rsidRPr="006D215D">
        <w:rPr>
          <w:rStyle w:val="FootnoteReference"/>
          <w:sz w:val="22"/>
          <w:vertAlign w:val="superscript"/>
        </w:rPr>
        <w:footnoteRef/>
      </w:r>
      <w:r w:rsidRPr="00BE597A">
        <w:t xml:space="preserve">The Consumer Price Index (CPI) indicated a </w:t>
      </w:r>
      <w:r w:rsidR="00376930">
        <w:t>5</w:t>
      </w:r>
      <w:r w:rsidRPr="00BE597A">
        <w:t xml:space="preserve">% increase in the </w:t>
      </w:r>
      <w:r w:rsidR="00376930">
        <w:t xml:space="preserve">annual average </w:t>
      </w:r>
      <w:r w:rsidRPr="00BE597A">
        <w:t xml:space="preserve">price of professional medical services from </w:t>
      </w:r>
      <w:r w:rsidR="00376930">
        <w:t>2020</w:t>
      </w:r>
      <w:r w:rsidRPr="00BE597A">
        <w:t xml:space="preserve"> to 20</w:t>
      </w:r>
      <w:r>
        <w:t>2</w:t>
      </w:r>
      <w:r w:rsidR="00376930">
        <w:t>2</w:t>
      </w:r>
      <w:r w:rsidRPr="00BE597A">
        <w:t>; the cost of a</w:t>
      </w:r>
      <w:r>
        <w:t xml:space="preserve">n exposure monitoring sample </w:t>
      </w:r>
      <w:r w:rsidRPr="00BE597A">
        <w:t>was assumed to have increa</w:t>
      </w:r>
      <w:r>
        <w:t xml:space="preserve">sed by </w:t>
      </w:r>
      <w:r w:rsidR="00376930">
        <w:t>5</w:t>
      </w:r>
      <w:r>
        <w:t>% as well, from $</w:t>
      </w:r>
      <w:r w:rsidR="00376930">
        <w:t>72</w:t>
      </w:r>
      <w:r>
        <w:t xml:space="preserve"> to $</w:t>
      </w:r>
      <w:r w:rsidR="00376930">
        <w:t>76</w:t>
      </w:r>
      <w:r w:rsidRPr="00BE597A">
        <w:t>.</w:t>
      </w:r>
      <w:r w:rsidRPr="00327F33">
        <w:t xml:space="preserve"> </w:t>
      </w:r>
    </w:p>
    <w:p w:rsidR="00890DFC" w:rsidP="009C3237" w14:paraId="10826ADE" w14:textId="77777777">
      <w:pPr>
        <w:pStyle w:val="FootnoteText"/>
      </w:pPr>
    </w:p>
  </w:footnote>
  <w:footnote w:id="14">
    <w:p w:rsidR="00890DFC" w:rsidP="009C3237" w14:paraId="764A8549" w14:textId="13EDD28A">
      <w:pPr>
        <w:pStyle w:val="FootnoteText"/>
        <w:ind w:firstLine="720"/>
      </w:pPr>
      <w:r w:rsidRPr="00B42177">
        <w:rPr>
          <w:rStyle w:val="FootnoteReference"/>
          <w:vertAlign w:val="superscript"/>
        </w:rPr>
        <w:footnoteRef/>
      </w:r>
      <w:r>
        <w:t xml:space="preserve"> </w:t>
      </w:r>
      <w:r w:rsidRPr="00CD6A06">
        <w:t xml:space="preserve"> The Consumer Price Index (CPI) indicated an </w:t>
      </w:r>
      <w:r w:rsidR="00404D6D">
        <w:t>5</w:t>
      </w:r>
      <w:r w:rsidRPr="00CD6A06">
        <w:t xml:space="preserve">% increase in the </w:t>
      </w:r>
      <w:r w:rsidR="00404D6D">
        <w:t xml:space="preserve">annual average </w:t>
      </w:r>
      <w:r w:rsidRPr="00CD6A06">
        <w:t xml:space="preserve">price of professional medical services from </w:t>
      </w:r>
      <w:r w:rsidR="00404D6D">
        <w:t xml:space="preserve">2020 </w:t>
      </w:r>
      <w:r w:rsidRPr="00CD6A06">
        <w:t xml:space="preserve">to </w:t>
      </w:r>
      <w:r w:rsidR="00404D6D">
        <w:t>2022</w:t>
      </w:r>
      <w:r w:rsidRPr="00CD6A06">
        <w:t xml:space="preserve">; the cost of a medical examination was assumed to have increased by </w:t>
      </w:r>
      <w:r w:rsidR="00404D6D">
        <w:t>5%</w:t>
      </w:r>
      <w:r w:rsidRPr="00CD6A06">
        <w:t xml:space="preserve"> as   from $</w:t>
      </w:r>
      <w:r>
        <w:t>1</w:t>
      </w:r>
      <w:r w:rsidR="00404D6D">
        <w:t>92</w:t>
      </w:r>
      <w:r w:rsidRPr="00CD6A06">
        <w:t xml:space="preserve"> to $</w:t>
      </w:r>
      <w:r w:rsidR="00404D6D">
        <w:t>202</w:t>
      </w:r>
      <w:r w:rsidRPr="00CD6A0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DFC" w14:paraId="3E6566B7" w14:textId="5490181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3CA5">
      <w:rPr>
        <w:rStyle w:val="PageNumber"/>
        <w:noProof/>
      </w:rPr>
      <w:t>- 26 -</w:t>
    </w:r>
    <w:r>
      <w:rPr>
        <w:rStyle w:val="PageNumber"/>
      </w:rPr>
      <w:fldChar w:fldCharType="end"/>
    </w:r>
  </w:p>
  <w:p w:rsidR="00890DFC" w14:paraId="53224B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04E0" w:rsidP="008A4EC0" w14:paraId="2B46B5FF" w14:textId="77777777">
    <w:pPr>
      <w:tabs>
        <w:tab w:val="center" w:pos="4680"/>
        <w:tab w:val="right" w:pos="9360"/>
      </w:tabs>
      <w:rPr>
        <w:b/>
        <w:bCs/>
        <w:sz w:val="24"/>
      </w:rPr>
    </w:pPr>
    <w:r w:rsidRPr="00565389">
      <w:rPr>
        <w:b/>
        <w:bCs/>
        <w:sz w:val="24"/>
      </w:rPr>
      <w:t>THE ETHYLENE OXIDE (EtO) STANDARD (29 CFR 1910.1047)</w:t>
    </w:r>
  </w:p>
  <w:p w:rsidR="004904E0" w:rsidP="008A4EC0" w14:paraId="2D5BAE76" w14:textId="7E0FD43D">
    <w:pPr>
      <w:tabs>
        <w:tab w:val="center" w:pos="4680"/>
        <w:tab w:val="right" w:pos="9360"/>
      </w:tabs>
      <w:rPr>
        <w:b/>
        <w:bCs/>
        <w:sz w:val="24"/>
      </w:rPr>
    </w:pPr>
    <w:r>
      <w:rPr>
        <w:b/>
        <w:bCs/>
        <w:sz w:val="24"/>
      </w:rPr>
      <w:t>OMB Control Number</w:t>
    </w:r>
    <w:r w:rsidR="000E6FA7">
      <w:rPr>
        <w:b/>
        <w:bCs/>
        <w:sz w:val="24"/>
      </w:rPr>
      <w:t>:</w:t>
    </w:r>
    <w:r w:rsidR="001E3586">
      <w:rPr>
        <w:b/>
        <w:bCs/>
        <w:sz w:val="24"/>
      </w:rPr>
      <w:t xml:space="preserve"> </w:t>
    </w:r>
    <w:r>
      <w:rPr>
        <w:b/>
        <w:bCs/>
        <w:sz w:val="24"/>
      </w:rPr>
      <w:t>1218-0108</w:t>
    </w:r>
  </w:p>
  <w:p w:rsidR="004904E0" w:rsidP="008A4EC0" w14:paraId="7FEAD29A" w14:textId="16EB9A3F">
    <w:pPr>
      <w:tabs>
        <w:tab w:val="center" w:pos="4680"/>
        <w:tab w:val="right" w:pos="9360"/>
      </w:tabs>
      <w:rPr>
        <w:b/>
        <w:bCs/>
        <w:sz w:val="24"/>
      </w:rPr>
    </w:pPr>
    <w:r>
      <w:rPr>
        <w:b/>
        <w:bCs/>
        <w:sz w:val="24"/>
      </w:rPr>
      <w:t xml:space="preserve">Expiration Date: </w:t>
    </w:r>
    <w:r w:rsidR="001E1CDF">
      <w:rPr>
        <w:b/>
        <w:bCs/>
        <w:sz w:val="24"/>
      </w:rPr>
      <w:t xml:space="preserve"> </w:t>
    </w:r>
    <w:r>
      <w:rPr>
        <w:b/>
        <w:bCs/>
        <w:sz w:val="24"/>
      </w:rPr>
      <w:t>December 31,</w:t>
    </w:r>
    <w:r w:rsidR="00385FB0">
      <w:rPr>
        <w:b/>
        <w:bCs/>
        <w:sz w:val="24"/>
      </w:rPr>
      <w:t xml:space="preserve"> </w:t>
    </w:r>
    <w:r>
      <w:rPr>
        <w:b/>
        <w:bCs/>
        <w:sz w:val="24"/>
      </w:rPr>
      <w:t>2023</w:t>
    </w:r>
  </w:p>
  <w:p w:rsidR="008A4EC0" w:rsidRPr="008A4EC0" w:rsidP="008A4EC0" w14:paraId="6334A9EC" w14:textId="77777777">
    <w:pPr>
      <w:tabs>
        <w:tab w:val="center" w:pos="4680"/>
        <w:tab w:val="right" w:pos="9360"/>
      </w:tabs>
      <w:rPr>
        <w:b/>
        <w:i/>
        <w:iCs/>
        <w:color w:val="1F4E79" w:themeColor="accent1" w:themeShade="80"/>
        <w:szCs w:val="20"/>
      </w:rPr>
    </w:pPr>
  </w:p>
  <w:p w:rsidR="00AA0CBB" w:rsidRPr="00B112EE" w:rsidP="00581375" w14:paraId="085906E6" w14:textId="77777777">
    <w:pPr>
      <w:pStyle w:val="Header"/>
      <w:rPr>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DFC" w14:paraId="3B6FABCC" w14:textId="77777777">
    <w:pPr>
      <w:pStyle w:val="Header"/>
    </w:pPr>
    <w:r>
      <w:t>[Type text]</w:t>
    </w:r>
  </w:p>
  <w:p w:rsidR="00890DFC" w14:paraId="461E8D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86C6C22A"/>
    <w:lvl w:ilvl="0">
      <w:start w:val="0"/>
      <w:numFmt w:val="bullet"/>
      <w:lvlText w:val="*"/>
      <w:lvlJc w:val="left"/>
    </w:lvl>
  </w:abstractNum>
  <w:abstractNum w:abstractNumId="1">
    <w:nsid w:val="00015C81"/>
    <w:multiLevelType w:val="hybridMultilevel"/>
    <w:tmpl w:val="60AADD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F9061C"/>
    <w:multiLevelType w:val="hybridMultilevel"/>
    <w:tmpl w:val="70D0756E"/>
    <w:lvl w:ilvl="0">
      <w:start w:val="1"/>
      <w:numFmt w:val="upperLetter"/>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8234DC"/>
    <w:multiLevelType w:val="hybridMultilevel"/>
    <w:tmpl w:val="4E68570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793392"/>
    <w:multiLevelType w:val="hybridMultilevel"/>
    <w:tmpl w:val="7F74FDC8"/>
    <w:lvl w:ilvl="0">
      <w:start w:val="7"/>
      <w:numFmt w:val="decimal"/>
      <w:lvlText w:val="%1."/>
      <w:lvlJc w:val="left"/>
      <w:pPr>
        <w:tabs>
          <w:tab w:val="num" w:pos="405"/>
        </w:tabs>
        <w:ind w:left="405" w:hanging="360"/>
      </w:pPr>
      <w:rPr>
        <w:rFonts w:hint="default"/>
      </w:rPr>
    </w:lvl>
    <w:lvl w:ilvl="1" w:tentative="1">
      <w:start w:val="1"/>
      <w:numFmt w:val="lowerLetter"/>
      <w:lvlText w:val="%2."/>
      <w:lvlJc w:val="left"/>
      <w:pPr>
        <w:tabs>
          <w:tab w:val="num" w:pos="1125"/>
        </w:tabs>
        <w:ind w:left="1125" w:hanging="360"/>
      </w:pPr>
    </w:lvl>
    <w:lvl w:ilvl="2" w:tentative="1">
      <w:start w:val="1"/>
      <w:numFmt w:val="lowerRoman"/>
      <w:lvlText w:val="%3."/>
      <w:lvlJc w:val="right"/>
      <w:pPr>
        <w:tabs>
          <w:tab w:val="num" w:pos="1845"/>
        </w:tabs>
        <w:ind w:left="1845" w:hanging="180"/>
      </w:pPr>
    </w:lvl>
    <w:lvl w:ilvl="3" w:tentative="1">
      <w:start w:val="1"/>
      <w:numFmt w:val="decimal"/>
      <w:lvlText w:val="%4."/>
      <w:lvlJc w:val="left"/>
      <w:pPr>
        <w:tabs>
          <w:tab w:val="num" w:pos="2565"/>
        </w:tabs>
        <w:ind w:left="2565" w:hanging="360"/>
      </w:pPr>
    </w:lvl>
    <w:lvl w:ilvl="4" w:tentative="1">
      <w:start w:val="1"/>
      <w:numFmt w:val="lowerLetter"/>
      <w:lvlText w:val="%5."/>
      <w:lvlJc w:val="left"/>
      <w:pPr>
        <w:tabs>
          <w:tab w:val="num" w:pos="3285"/>
        </w:tabs>
        <w:ind w:left="3285" w:hanging="360"/>
      </w:pPr>
    </w:lvl>
    <w:lvl w:ilvl="5" w:tentative="1">
      <w:start w:val="1"/>
      <w:numFmt w:val="lowerRoman"/>
      <w:lvlText w:val="%6."/>
      <w:lvlJc w:val="right"/>
      <w:pPr>
        <w:tabs>
          <w:tab w:val="num" w:pos="4005"/>
        </w:tabs>
        <w:ind w:left="4005" w:hanging="180"/>
      </w:pPr>
    </w:lvl>
    <w:lvl w:ilvl="6" w:tentative="1">
      <w:start w:val="1"/>
      <w:numFmt w:val="decimal"/>
      <w:lvlText w:val="%7."/>
      <w:lvlJc w:val="left"/>
      <w:pPr>
        <w:tabs>
          <w:tab w:val="num" w:pos="4725"/>
        </w:tabs>
        <w:ind w:left="4725" w:hanging="360"/>
      </w:pPr>
    </w:lvl>
    <w:lvl w:ilvl="7" w:tentative="1">
      <w:start w:val="1"/>
      <w:numFmt w:val="lowerLetter"/>
      <w:lvlText w:val="%8."/>
      <w:lvlJc w:val="left"/>
      <w:pPr>
        <w:tabs>
          <w:tab w:val="num" w:pos="5445"/>
        </w:tabs>
        <w:ind w:left="5445" w:hanging="360"/>
      </w:pPr>
    </w:lvl>
    <w:lvl w:ilvl="8" w:tentative="1">
      <w:start w:val="1"/>
      <w:numFmt w:val="lowerRoman"/>
      <w:lvlText w:val="%9."/>
      <w:lvlJc w:val="right"/>
      <w:pPr>
        <w:tabs>
          <w:tab w:val="num" w:pos="6165"/>
        </w:tabs>
        <w:ind w:left="6165" w:hanging="180"/>
      </w:pPr>
    </w:lvl>
  </w:abstractNum>
  <w:abstractNum w:abstractNumId="5">
    <w:nsid w:val="1BDC06FC"/>
    <w:multiLevelType w:val="hybridMultilevel"/>
    <w:tmpl w:val="3E5EECC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29D174EF"/>
    <w:multiLevelType w:val="hybridMultilevel"/>
    <w:tmpl w:val="CA0CD79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9471DA"/>
    <w:multiLevelType w:val="hybridMultilevel"/>
    <w:tmpl w:val="38A461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7053E14"/>
    <w:multiLevelType w:val="hybridMultilevel"/>
    <w:tmpl w:val="7A5A746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4C7A2EB1"/>
    <w:multiLevelType w:val="hybridMultilevel"/>
    <w:tmpl w:val="059C8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5B742B"/>
    <w:multiLevelType w:val="hybridMultilevel"/>
    <w:tmpl w:val="5D061F52"/>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6C760B3"/>
    <w:multiLevelType w:val="hybridMultilevel"/>
    <w:tmpl w:val="84229AFA"/>
    <w:lvl w:ilvl="0">
      <w:start w:val="1"/>
      <w:numFmt w:val="decimal"/>
      <w:lvlText w:val="%1."/>
      <w:lvlJc w:val="left"/>
      <w:pPr>
        <w:ind w:left="270" w:hanging="360"/>
      </w:pPr>
      <w:rPr>
        <w:rFonts w:hint="default"/>
        <w:b/>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2">
    <w:nsid w:val="6661687F"/>
    <w:multiLevelType w:val="hybridMultilevel"/>
    <w:tmpl w:val="509622CA"/>
    <w:lvl w:ilvl="0">
      <w:start w:val="6"/>
      <w:numFmt w:val="decimal"/>
      <w:lvlText w:val="%1."/>
      <w:lvlJc w:val="left"/>
      <w:pPr>
        <w:ind w:left="27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3">
    <w:nsid w:val="75185D90"/>
    <w:multiLevelType w:val="hybridMultilevel"/>
    <w:tmpl w:val="BC4434FE"/>
    <w:lvl w:ilvl="0">
      <w:start w:val="7"/>
      <w:numFmt w:val="decimal"/>
      <w:lvlText w:val="%1."/>
      <w:lvlJc w:val="left"/>
      <w:pPr>
        <w:ind w:left="27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4">
    <w:nsid w:val="75575089"/>
    <w:multiLevelType w:val="hybridMultilevel"/>
    <w:tmpl w:val="1A7EAD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EA6D0A"/>
    <w:multiLevelType w:val="hybridMultilevel"/>
    <w:tmpl w:val="EDE876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86093873">
    <w:abstractNumId w:val="10"/>
  </w:num>
  <w:num w:numId="2" w16cid:durableId="1179730617">
    <w:abstractNumId w:val="4"/>
  </w:num>
  <w:num w:numId="3" w16cid:durableId="1301308239">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4" w16cid:durableId="1758482290">
    <w:abstractNumId w:val="6"/>
  </w:num>
  <w:num w:numId="5" w16cid:durableId="543567043">
    <w:abstractNumId w:val="9"/>
  </w:num>
  <w:num w:numId="6" w16cid:durableId="1373067815">
    <w:abstractNumId w:val="15"/>
  </w:num>
  <w:num w:numId="7" w16cid:durableId="337387192">
    <w:abstractNumId w:val="1"/>
  </w:num>
  <w:num w:numId="8" w16cid:durableId="919296872">
    <w:abstractNumId w:val="3"/>
  </w:num>
  <w:num w:numId="9" w16cid:durableId="1877230861">
    <w:abstractNumId w:val="14"/>
  </w:num>
  <w:num w:numId="10" w16cid:durableId="325482072">
    <w:abstractNumId w:val="11"/>
  </w:num>
  <w:num w:numId="11" w16cid:durableId="1635675794">
    <w:abstractNumId w:val="12"/>
  </w:num>
  <w:num w:numId="12" w16cid:durableId="833491466">
    <w:abstractNumId w:val="5"/>
  </w:num>
  <w:num w:numId="13" w16cid:durableId="130637218">
    <w:abstractNumId w:val="13"/>
  </w:num>
  <w:num w:numId="14" w16cid:durableId="2084715038">
    <w:abstractNumId w:val="8"/>
  </w:num>
  <w:num w:numId="15" w16cid:durableId="1924751853">
    <w:abstractNumId w:val="7"/>
  </w:num>
  <w:num w:numId="16" w16cid:durableId="676427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237"/>
    <w:rsid w:val="00000203"/>
    <w:rsid w:val="0000373B"/>
    <w:rsid w:val="00005A98"/>
    <w:rsid w:val="0000613A"/>
    <w:rsid w:val="00007D51"/>
    <w:rsid w:val="00024D2D"/>
    <w:rsid w:val="00025E33"/>
    <w:rsid w:val="00026699"/>
    <w:rsid w:val="0003221E"/>
    <w:rsid w:val="000332C1"/>
    <w:rsid w:val="00037087"/>
    <w:rsid w:val="00042FA7"/>
    <w:rsid w:val="00045C76"/>
    <w:rsid w:val="000561E4"/>
    <w:rsid w:val="000564CC"/>
    <w:rsid w:val="00057C6B"/>
    <w:rsid w:val="000631E1"/>
    <w:rsid w:val="00064D66"/>
    <w:rsid w:val="0006617D"/>
    <w:rsid w:val="000849FF"/>
    <w:rsid w:val="0008614B"/>
    <w:rsid w:val="00093FA2"/>
    <w:rsid w:val="00096E64"/>
    <w:rsid w:val="000A70AA"/>
    <w:rsid w:val="000C0F9E"/>
    <w:rsid w:val="000C1323"/>
    <w:rsid w:val="000C3DAF"/>
    <w:rsid w:val="000C5223"/>
    <w:rsid w:val="000D0769"/>
    <w:rsid w:val="000D2354"/>
    <w:rsid w:val="000D25F4"/>
    <w:rsid w:val="000E0FEC"/>
    <w:rsid w:val="000E1EC7"/>
    <w:rsid w:val="000E6FA7"/>
    <w:rsid w:val="0010497F"/>
    <w:rsid w:val="00113113"/>
    <w:rsid w:val="00120ACD"/>
    <w:rsid w:val="00137852"/>
    <w:rsid w:val="001410B8"/>
    <w:rsid w:val="001465F6"/>
    <w:rsid w:val="00146681"/>
    <w:rsid w:val="001513A1"/>
    <w:rsid w:val="0015483B"/>
    <w:rsid w:val="001673F1"/>
    <w:rsid w:val="00174375"/>
    <w:rsid w:val="0017563F"/>
    <w:rsid w:val="00181E57"/>
    <w:rsid w:val="00184D2C"/>
    <w:rsid w:val="001937B8"/>
    <w:rsid w:val="001A076D"/>
    <w:rsid w:val="001A6922"/>
    <w:rsid w:val="001B2396"/>
    <w:rsid w:val="001B798B"/>
    <w:rsid w:val="001C09C3"/>
    <w:rsid w:val="001C4D1D"/>
    <w:rsid w:val="001D7BB6"/>
    <w:rsid w:val="001E1CDF"/>
    <w:rsid w:val="001E3542"/>
    <w:rsid w:val="001E3586"/>
    <w:rsid w:val="001E38BB"/>
    <w:rsid w:val="001F469B"/>
    <w:rsid w:val="002065B8"/>
    <w:rsid w:val="002227E5"/>
    <w:rsid w:val="002233DD"/>
    <w:rsid w:val="0023786F"/>
    <w:rsid w:val="002379DB"/>
    <w:rsid w:val="00244317"/>
    <w:rsid w:val="00244D2E"/>
    <w:rsid w:val="002555EA"/>
    <w:rsid w:val="00263774"/>
    <w:rsid w:val="00264559"/>
    <w:rsid w:val="00265E78"/>
    <w:rsid w:val="002666A2"/>
    <w:rsid w:val="002752F8"/>
    <w:rsid w:val="00286E3D"/>
    <w:rsid w:val="00287B6D"/>
    <w:rsid w:val="002912DF"/>
    <w:rsid w:val="00297D30"/>
    <w:rsid w:val="002A28B3"/>
    <w:rsid w:val="002A314E"/>
    <w:rsid w:val="002A7FD1"/>
    <w:rsid w:val="002B3233"/>
    <w:rsid w:val="002B47AC"/>
    <w:rsid w:val="002B6B61"/>
    <w:rsid w:val="002D0D04"/>
    <w:rsid w:val="002D694E"/>
    <w:rsid w:val="002E12FF"/>
    <w:rsid w:val="002E2E7D"/>
    <w:rsid w:val="002E473F"/>
    <w:rsid w:val="002F73B9"/>
    <w:rsid w:val="0031033A"/>
    <w:rsid w:val="00327384"/>
    <w:rsid w:val="00327F33"/>
    <w:rsid w:val="00334C3B"/>
    <w:rsid w:val="00335A5E"/>
    <w:rsid w:val="003445C7"/>
    <w:rsid w:val="00352CA0"/>
    <w:rsid w:val="003551B5"/>
    <w:rsid w:val="00363CD0"/>
    <w:rsid w:val="00366F4D"/>
    <w:rsid w:val="00376930"/>
    <w:rsid w:val="00385FB0"/>
    <w:rsid w:val="0039253D"/>
    <w:rsid w:val="00395D75"/>
    <w:rsid w:val="003A25E4"/>
    <w:rsid w:val="003A441D"/>
    <w:rsid w:val="003B6EBB"/>
    <w:rsid w:val="003C0E32"/>
    <w:rsid w:val="003C29B8"/>
    <w:rsid w:val="003C4533"/>
    <w:rsid w:val="003C797A"/>
    <w:rsid w:val="003D0578"/>
    <w:rsid w:val="003D060E"/>
    <w:rsid w:val="003D7A08"/>
    <w:rsid w:val="003E45CE"/>
    <w:rsid w:val="003F1A46"/>
    <w:rsid w:val="003F2018"/>
    <w:rsid w:val="003F4E40"/>
    <w:rsid w:val="003F5307"/>
    <w:rsid w:val="003F735C"/>
    <w:rsid w:val="00402237"/>
    <w:rsid w:val="00404D6D"/>
    <w:rsid w:val="00414068"/>
    <w:rsid w:val="004210D0"/>
    <w:rsid w:val="00421373"/>
    <w:rsid w:val="004272B0"/>
    <w:rsid w:val="00435972"/>
    <w:rsid w:val="0044024D"/>
    <w:rsid w:val="00440EE0"/>
    <w:rsid w:val="00443E4E"/>
    <w:rsid w:val="00451CD5"/>
    <w:rsid w:val="00461C3A"/>
    <w:rsid w:val="0046576C"/>
    <w:rsid w:val="004667CA"/>
    <w:rsid w:val="00471000"/>
    <w:rsid w:val="004714A1"/>
    <w:rsid w:val="00473086"/>
    <w:rsid w:val="00473169"/>
    <w:rsid w:val="00477FEF"/>
    <w:rsid w:val="004904E0"/>
    <w:rsid w:val="00490E2B"/>
    <w:rsid w:val="004960FC"/>
    <w:rsid w:val="0049750C"/>
    <w:rsid w:val="004A1B23"/>
    <w:rsid w:val="004B24A9"/>
    <w:rsid w:val="004B560C"/>
    <w:rsid w:val="004B5ECF"/>
    <w:rsid w:val="004C044A"/>
    <w:rsid w:val="004E0143"/>
    <w:rsid w:val="004F248F"/>
    <w:rsid w:val="004F44D9"/>
    <w:rsid w:val="00503144"/>
    <w:rsid w:val="00504EB5"/>
    <w:rsid w:val="00507EBE"/>
    <w:rsid w:val="0051088F"/>
    <w:rsid w:val="00515165"/>
    <w:rsid w:val="00517C73"/>
    <w:rsid w:val="00517C74"/>
    <w:rsid w:val="00527F90"/>
    <w:rsid w:val="005325DF"/>
    <w:rsid w:val="00532972"/>
    <w:rsid w:val="0053719C"/>
    <w:rsid w:val="00541DE5"/>
    <w:rsid w:val="00545950"/>
    <w:rsid w:val="00545D79"/>
    <w:rsid w:val="00550118"/>
    <w:rsid w:val="005518EC"/>
    <w:rsid w:val="00552D46"/>
    <w:rsid w:val="00554C82"/>
    <w:rsid w:val="00555C5C"/>
    <w:rsid w:val="0056485B"/>
    <w:rsid w:val="00565389"/>
    <w:rsid w:val="00565B7F"/>
    <w:rsid w:val="00567C02"/>
    <w:rsid w:val="0057190E"/>
    <w:rsid w:val="005753AB"/>
    <w:rsid w:val="00581375"/>
    <w:rsid w:val="0058593F"/>
    <w:rsid w:val="005A1097"/>
    <w:rsid w:val="005A4619"/>
    <w:rsid w:val="005A642D"/>
    <w:rsid w:val="005A75AB"/>
    <w:rsid w:val="005B6CF6"/>
    <w:rsid w:val="005B7D60"/>
    <w:rsid w:val="005B7F1C"/>
    <w:rsid w:val="005C0B88"/>
    <w:rsid w:val="005D1F13"/>
    <w:rsid w:val="005D5107"/>
    <w:rsid w:val="005D538B"/>
    <w:rsid w:val="005D68BB"/>
    <w:rsid w:val="005D77BD"/>
    <w:rsid w:val="005E13B2"/>
    <w:rsid w:val="005E3014"/>
    <w:rsid w:val="005E3FFA"/>
    <w:rsid w:val="0060062C"/>
    <w:rsid w:val="006030A1"/>
    <w:rsid w:val="00604CBD"/>
    <w:rsid w:val="0060500F"/>
    <w:rsid w:val="00610D33"/>
    <w:rsid w:val="00612D4D"/>
    <w:rsid w:val="00613E5F"/>
    <w:rsid w:val="006168A6"/>
    <w:rsid w:val="00617F25"/>
    <w:rsid w:val="00620B64"/>
    <w:rsid w:val="006218D0"/>
    <w:rsid w:val="0062322A"/>
    <w:rsid w:val="006239BC"/>
    <w:rsid w:val="0062799D"/>
    <w:rsid w:val="00641B00"/>
    <w:rsid w:val="00642AF0"/>
    <w:rsid w:val="0064699C"/>
    <w:rsid w:val="006475D2"/>
    <w:rsid w:val="00653B9B"/>
    <w:rsid w:val="00661EC2"/>
    <w:rsid w:val="00664B5C"/>
    <w:rsid w:val="00666644"/>
    <w:rsid w:val="00666D96"/>
    <w:rsid w:val="00674162"/>
    <w:rsid w:val="00674959"/>
    <w:rsid w:val="006762BC"/>
    <w:rsid w:val="006860CA"/>
    <w:rsid w:val="00687ECA"/>
    <w:rsid w:val="00696231"/>
    <w:rsid w:val="006A1310"/>
    <w:rsid w:val="006A22ED"/>
    <w:rsid w:val="006A3B57"/>
    <w:rsid w:val="006A7352"/>
    <w:rsid w:val="006C208D"/>
    <w:rsid w:val="006C5270"/>
    <w:rsid w:val="006C5457"/>
    <w:rsid w:val="006D215D"/>
    <w:rsid w:val="006D675C"/>
    <w:rsid w:val="006E1D75"/>
    <w:rsid w:val="006E395C"/>
    <w:rsid w:val="006F4C3F"/>
    <w:rsid w:val="006F6DF3"/>
    <w:rsid w:val="0070260D"/>
    <w:rsid w:val="00707560"/>
    <w:rsid w:val="00710393"/>
    <w:rsid w:val="00710C21"/>
    <w:rsid w:val="00713CA5"/>
    <w:rsid w:val="00716DDC"/>
    <w:rsid w:val="00722BF2"/>
    <w:rsid w:val="00725B82"/>
    <w:rsid w:val="00725F63"/>
    <w:rsid w:val="00732DE4"/>
    <w:rsid w:val="00733210"/>
    <w:rsid w:val="00736021"/>
    <w:rsid w:val="00736777"/>
    <w:rsid w:val="0074017F"/>
    <w:rsid w:val="00743F31"/>
    <w:rsid w:val="00747D8E"/>
    <w:rsid w:val="00752BEB"/>
    <w:rsid w:val="007560F2"/>
    <w:rsid w:val="00765935"/>
    <w:rsid w:val="007677F2"/>
    <w:rsid w:val="00767E74"/>
    <w:rsid w:val="00770C63"/>
    <w:rsid w:val="00774A86"/>
    <w:rsid w:val="007758AC"/>
    <w:rsid w:val="00777FD8"/>
    <w:rsid w:val="007A0CB2"/>
    <w:rsid w:val="007A1B11"/>
    <w:rsid w:val="007A36C0"/>
    <w:rsid w:val="007A45D8"/>
    <w:rsid w:val="007B1EDB"/>
    <w:rsid w:val="007B7C0B"/>
    <w:rsid w:val="007C0B04"/>
    <w:rsid w:val="007C3487"/>
    <w:rsid w:val="007D1A3D"/>
    <w:rsid w:val="00802CC9"/>
    <w:rsid w:val="00805DC5"/>
    <w:rsid w:val="00805E9D"/>
    <w:rsid w:val="008117EC"/>
    <w:rsid w:val="00814263"/>
    <w:rsid w:val="008176B0"/>
    <w:rsid w:val="0082103F"/>
    <w:rsid w:val="00822D50"/>
    <w:rsid w:val="00823A6A"/>
    <w:rsid w:val="00855934"/>
    <w:rsid w:val="00857EFB"/>
    <w:rsid w:val="00876169"/>
    <w:rsid w:val="008766C2"/>
    <w:rsid w:val="00877743"/>
    <w:rsid w:val="00880804"/>
    <w:rsid w:val="00880C4C"/>
    <w:rsid w:val="00881CC5"/>
    <w:rsid w:val="00890DFC"/>
    <w:rsid w:val="00895E2D"/>
    <w:rsid w:val="00896F95"/>
    <w:rsid w:val="008A2659"/>
    <w:rsid w:val="008A4EC0"/>
    <w:rsid w:val="008A7CC8"/>
    <w:rsid w:val="008B1620"/>
    <w:rsid w:val="008B6D19"/>
    <w:rsid w:val="008C0AE4"/>
    <w:rsid w:val="008C129A"/>
    <w:rsid w:val="008C628F"/>
    <w:rsid w:val="008C6F52"/>
    <w:rsid w:val="008E0617"/>
    <w:rsid w:val="008E1B2F"/>
    <w:rsid w:val="008E1EFA"/>
    <w:rsid w:val="008E55F9"/>
    <w:rsid w:val="008F3F52"/>
    <w:rsid w:val="008F6961"/>
    <w:rsid w:val="00902053"/>
    <w:rsid w:val="009037BB"/>
    <w:rsid w:val="00904551"/>
    <w:rsid w:val="0090651E"/>
    <w:rsid w:val="00906F78"/>
    <w:rsid w:val="009237EB"/>
    <w:rsid w:val="00927119"/>
    <w:rsid w:val="00931EC2"/>
    <w:rsid w:val="00933ADA"/>
    <w:rsid w:val="00933EFF"/>
    <w:rsid w:val="00936154"/>
    <w:rsid w:val="00942BB8"/>
    <w:rsid w:val="0094623F"/>
    <w:rsid w:val="00950661"/>
    <w:rsid w:val="00954446"/>
    <w:rsid w:val="009546F9"/>
    <w:rsid w:val="009730E1"/>
    <w:rsid w:val="00973F73"/>
    <w:rsid w:val="009802E5"/>
    <w:rsid w:val="009826AC"/>
    <w:rsid w:val="0099106F"/>
    <w:rsid w:val="00994DC9"/>
    <w:rsid w:val="009A45E6"/>
    <w:rsid w:val="009B53AE"/>
    <w:rsid w:val="009C3237"/>
    <w:rsid w:val="009C6919"/>
    <w:rsid w:val="009C6CA2"/>
    <w:rsid w:val="009D2B29"/>
    <w:rsid w:val="009D3AE4"/>
    <w:rsid w:val="009D4513"/>
    <w:rsid w:val="009D479B"/>
    <w:rsid w:val="009E457A"/>
    <w:rsid w:val="009E70F9"/>
    <w:rsid w:val="009E7F60"/>
    <w:rsid w:val="009F1B7B"/>
    <w:rsid w:val="009F5F11"/>
    <w:rsid w:val="00A0093A"/>
    <w:rsid w:val="00A01DAC"/>
    <w:rsid w:val="00A0366C"/>
    <w:rsid w:val="00A10DB2"/>
    <w:rsid w:val="00A118CF"/>
    <w:rsid w:val="00A2435C"/>
    <w:rsid w:val="00A31331"/>
    <w:rsid w:val="00A51703"/>
    <w:rsid w:val="00A5314B"/>
    <w:rsid w:val="00A612FE"/>
    <w:rsid w:val="00A619D5"/>
    <w:rsid w:val="00A653CF"/>
    <w:rsid w:val="00A71C2E"/>
    <w:rsid w:val="00A7385C"/>
    <w:rsid w:val="00A81889"/>
    <w:rsid w:val="00A823C3"/>
    <w:rsid w:val="00A91B58"/>
    <w:rsid w:val="00A95EBF"/>
    <w:rsid w:val="00AA0CBB"/>
    <w:rsid w:val="00AB22A1"/>
    <w:rsid w:val="00AC0224"/>
    <w:rsid w:val="00AC0688"/>
    <w:rsid w:val="00AC596B"/>
    <w:rsid w:val="00AC6605"/>
    <w:rsid w:val="00AD0148"/>
    <w:rsid w:val="00AE2B3F"/>
    <w:rsid w:val="00AF0CD1"/>
    <w:rsid w:val="00AF40F5"/>
    <w:rsid w:val="00B074D9"/>
    <w:rsid w:val="00B112EE"/>
    <w:rsid w:val="00B121B1"/>
    <w:rsid w:val="00B21C70"/>
    <w:rsid w:val="00B22C05"/>
    <w:rsid w:val="00B24B7D"/>
    <w:rsid w:val="00B27E27"/>
    <w:rsid w:val="00B37943"/>
    <w:rsid w:val="00B450EB"/>
    <w:rsid w:val="00B53D5F"/>
    <w:rsid w:val="00B603CB"/>
    <w:rsid w:val="00B6485A"/>
    <w:rsid w:val="00B664A7"/>
    <w:rsid w:val="00B840C7"/>
    <w:rsid w:val="00B84BAD"/>
    <w:rsid w:val="00B87DD3"/>
    <w:rsid w:val="00B92D78"/>
    <w:rsid w:val="00B9543F"/>
    <w:rsid w:val="00BA167E"/>
    <w:rsid w:val="00BB3529"/>
    <w:rsid w:val="00BB696A"/>
    <w:rsid w:val="00BB7B75"/>
    <w:rsid w:val="00BC6E8B"/>
    <w:rsid w:val="00BE0316"/>
    <w:rsid w:val="00BE1CAF"/>
    <w:rsid w:val="00BE557B"/>
    <w:rsid w:val="00BE597A"/>
    <w:rsid w:val="00BE7E91"/>
    <w:rsid w:val="00BF5E08"/>
    <w:rsid w:val="00BF7163"/>
    <w:rsid w:val="00C00803"/>
    <w:rsid w:val="00C010EF"/>
    <w:rsid w:val="00C10957"/>
    <w:rsid w:val="00C223A0"/>
    <w:rsid w:val="00C37175"/>
    <w:rsid w:val="00C409E2"/>
    <w:rsid w:val="00C41508"/>
    <w:rsid w:val="00C5107A"/>
    <w:rsid w:val="00C56856"/>
    <w:rsid w:val="00C60450"/>
    <w:rsid w:val="00C60D47"/>
    <w:rsid w:val="00C76709"/>
    <w:rsid w:val="00C84F5A"/>
    <w:rsid w:val="00C86E4B"/>
    <w:rsid w:val="00C917C3"/>
    <w:rsid w:val="00CA62E1"/>
    <w:rsid w:val="00CB0353"/>
    <w:rsid w:val="00CB606E"/>
    <w:rsid w:val="00CB7765"/>
    <w:rsid w:val="00CC3FA2"/>
    <w:rsid w:val="00CC408E"/>
    <w:rsid w:val="00CD5413"/>
    <w:rsid w:val="00CD6A06"/>
    <w:rsid w:val="00CD7F25"/>
    <w:rsid w:val="00CE2B90"/>
    <w:rsid w:val="00CE4F4B"/>
    <w:rsid w:val="00CF0139"/>
    <w:rsid w:val="00CF0E00"/>
    <w:rsid w:val="00CF7360"/>
    <w:rsid w:val="00D04BC3"/>
    <w:rsid w:val="00D056C6"/>
    <w:rsid w:val="00D06217"/>
    <w:rsid w:val="00D1278E"/>
    <w:rsid w:val="00D12CAE"/>
    <w:rsid w:val="00D216B1"/>
    <w:rsid w:val="00D23257"/>
    <w:rsid w:val="00D33E5C"/>
    <w:rsid w:val="00D36596"/>
    <w:rsid w:val="00D42231"/>
    <w:rsid w:val="00D43E2E"/>
    <w:rsid w:val="00D53EE5"/>
    <w:rsid w:val="00D71277"/>
    <w:rsid w:val="00D7169C"/>
    <w:rsid w:val="00D75D1C"/>
    <w:rsid w:val="00D77353"/>
    <w:rsid w:val="00D8094A"/>
    <w:rsid w:val="00D8141D"/>
    <w:rsid w:val="00D83B9A"/>
    <w:rsid w:val="00D855C7"/>
    <w:rsid w:val="00D86570"/>
    <w:rsid w:val="00D937FC"/>
    <w:rsid w:val="00D9724A"/>
    <w:rsid w:val="00DA4665"/>
    <w:rsid w:val="00DB44DA"/>
    <w:rsid w:val="00DC0366"/>
    <w:rsid w:val="00DC41FF"/>
    <w:rsid w:val="00DD07D0"/>
    <w:rsid w:val="00DD2C92"/>
    <w:rsid w:val="00DD2E9D"/>
    <w:rsid w:val="00DD324F"/>
    <w:rsid w:val="00DD6395"/>
    <w:rsid w:val="00DE323D"/>
    <w:rsid w:val="00DE5B43"/>
    <w:rsid w:val="00DF3580"/>
    <w:rsid w:val="00E00AF7"/>
    <w:rsid w:val="00E00FDB"/>
    <w:rsid w:val="00E100F4"/>
    <w:rsid w:val="00E116C8"/>
    <w:rsid w:val="00E14E72"/>
    <w:rsid w:val="00E205E0"/>
    <w:rsid w:val="00E21F8A"/>
    <w:rsid w:val="00E23B11"/>
    <w:rsid w:val="00E24FAA"/>
    <w:rsid w:val="00E30143"/>
    <w:rsid w:val="00E33791"/>
    <w:rsid w:val="00E443EF"/>
    <w:rsid w:val="00E45B2E"/>
    <w:rsid w:val="00E5180B"/>
    <w:rsid w:val="00E55C96"/>
    <w:rsid w:val="00E61C7F"/>
    <w:rsid w:val="00E66A3E"/>
    <w:rsid w:val="00E93263"/>
    <w:rsid w:val="00E942C1"/>
    <w:rsid w:val="00E95A4D"/>
    <w:rsid w:val="00EA2C39"/>
    <w:rsid w:val="00EA38B1"/>
    <w:rsid w:val="00EA3E2D"/>
    <w:rsid w:val="00EA5A23"/>
    <w:rsid w:val="00EA7D27"/>
    <w:rsid w:val="00EB1AD6"/>
    <w:rsid w:val="00EB4F91"/>
    <w:rsid w:val="00EB62D6"/>
    <w:rsid w:val="00EC07D9"/>
    <w:rsid w:val="00EC1D24"/>
    <w:rsid w:val="00F13DDC"/>
    <w:rsid w:val="00F14727"/>
    <w:rsid w:val="00F17F2E"/>
    <w:rsid w:val="00F20E0B"/>
    <w:rsid w:val="00F26030"/>
    <w:rsid w:val="00F27173"/>
    <w:rsid w:val="00F27C93"/>
    <w:rsid w:val="00F34CBB"/>
    <w:rsid w:val="00F41D6F"/>
    <w:rsid w:val="00F422A8"/>
    <w:rsid w:val="00F50547"/>
    <w:rsid w:val="00F53081"/>
    <w:rsid w:val="00F5428D"/>
    <w:rsid w:val="00F55061"/>
    <w:rsid w:val="00F6173E"/>
    <w:rsid w:val="00F63E60"/>
    <w:rsid w:val="00F64B00"/>
    <w:rsid w:val="00F74577"/>
    <w:rsid w:val="00F74BF7"/>
    <w:rsid w:val="00F75EF0"/>
    <w:rsid w:val="00F76FBF"/>
    <w:rsid w:val="00F77407"/>
    <w:rsid w:val="00F8079E"/>
    <w:rsid w:val="00F95FB7"/>
    <w:rsid w:val="00FA02AA"/>
    <w:rsid w:val="00FB2C11"/>
    <w:rsid w:val="00FB3F88"/>
    <w:rsid w:val="00FB672B"/>
    <w:rsid w:val="00FC2EDF"/>
    <w:rsid w:val="00FC5955"/>
    <w:rsid w:val="00FC620F"/>
    <w:rsid w:val="00FC68CF"/>
    <w:rsid w:val="00FD29C4"/>
    <w:rsid w:val="00FD48C6"/>
    <w:rsid w:val="00FD6056"/>
    <w:rsid w:val="00FE070F"/>
    <w:rsid w:val="00FF2E3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903E687"/>
  <w15:docId w15:val="{DAB2BBBE-2560-499A-9DB2-4253407D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237"/>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C3237"/>
  </w:style>
  <w:style w:type="paragraph" w:styleId="Header">
    <w:name w:val="header"/>
    <w:basedOn w:val="Normal"/>
    <w:link w:val="HeaderChar"/>
    <w:uiPriority w:val="99"/>
    <w:rsid w:val="009C3237"/>
    <w:pPr>
      <w:tabs>
        <w:tab w:val="center" w:pos="4320"/>
        <w:tab w:val="right" w:pos="8640"/>
      </w:tabs>
    </w:pPr>
  </w:style>
  <w:style w:type="character" w:customStyle="1" w:styleId="HeaderChar">
    <w:name w:val="Header Char"/>
    <w:basedOn w:val="DefaultParagraphFont"/>
    <w:link w:val="Header"/>
    <w:uiPriority w:val="99"/>
    <w:rsid w:val="009C3237"/>
    <w:rPr>
      <w:rFonts w:ascii="Times New Roman" w:eastAsia="Times New Roman" w:hAnsi="Times New Roman" w:cs="Times New Roman"/>
      <w:sz w:val="20"/>
      <w:szCs w:val="24"/>
    </w:rPr>
  </w:style>
  <w:style w:type="paragraph" w:styleId="Footer">
    <w:name w:val="footer"/>
    <w:basedOn w:val="Normal"/>
    <w:link w:val="FooterChar"/>
    <w:rsid w:val="009C3237"/>
    <w:pPr>
      <w:tabs>
        <w:tab w:val="center" w:pos="4320"/>
        <w:tab w:val="right" w:pos="8640"/>
      </w:tabs>
    </w:pPr>
  </w:style>
  <w:style w:type="character" w:customStyle="1" w:styleId="FooterChar">
    <w:name w:val="Footer Char"/>
    <w:basedOn w:val="DefaultParagraphFont"/>
    <w:link w:val="Footer"/>
    <w:rsid w:val="009C3237"/>
    <w:rPr>
      <w:rFonts w:ascii="Times New Roman" w:eastAsia="Times New Roman" w:hAnsi="Times New Roman" w:cs="Times New Roman"/>
      <w:sz w:val="20"/>
      <w:szCs w:val="24"/>
    </w:rPr>
  </w:style>
  <w:style w:type="paragraph" w:styleId="FootnoteText">
    <w:name w:val="footnote text"/>
    <w:basedOn w:val="Normal"/>
    <w:link w:val="FootnoteTextChar"/>
    <w:uiPriority w:val="99"/>
    <w:rsid w:val="009C3237"/>
    <w:rPr>
      <w:szCs w:val="20"/>
    </w:rPr>
  </w:style>
  <w:style w:type="character" w:customStyle="1" w:styleId="FootnoteTextChar">
    <w:name w:val="Footnote Text Char"/>
    <w:basedOn w:val="DefaultParagraphFont"/>
    <w:link w:val="FootnoteText"/>
    <w:uiPriority w:val="99"/>
    <w:rsid w:val="009C3237"/>
    <w:rPr>
      <w:rFonts w:ascii="Times New Roman" w:eastAsia="Times New Roman" w:hAnsi="Times New Roman" w:cs="Times New Roman"/>
      <w:sz w:val="20"/>
      <w:szCs w:val="20"/>
    </w:rPr>
  </w:style>
  <w:style w:type="character" w:styleId="PageNumber">
    <w:name w:val="page number"/>
    <w:basedOn w:val="DefaultParagraphFont"/>
    <w:rsid w:val="009C3237"/>
  </w:style>
  <w:style w:type="character" w:customStyle="1" w:styleId="blueten1">
    <w:name w:val="blueten1"/>
    <w:rsid w:val="009C3237"/>
    <w:rPr>
      <w:rFonts w:ascii="Verdana" w:hAnsi="Verdana" w:hint="default"/>
      <w:color w:val="003399"/>
      <w:sz w:val="19"/>
      <w:szCs w:val="19"/>
    </w:rPr>
  </w:style>
  <w:style w:type="character" w:styleId="Hyperlink">
    <w:name w:val="Hyperlink"/>
    <w:rsid w:val="009C3237"/>
    <w:rPr>
      <w:color w:val="003399"/>
      <w:u w:val="single"/>
    </w:rPr>
  </w:style>
  <w:style w:type="paragraph" w:styleId="BodyText">
    <w:name w:val="Body Text"/>
    <w:basedOn w:val="Normal"/>
    <w:link w:val="BodyTextChar"/>
    <w:rsid w:val="009C3237"/>
    <w:rPr>
      <w:sz w:val="24"/>
    </w:rPr>
  </w:style>
  <w:style w:type="character" w:customStyle="1" w:styleId="BodyTextChar">
    <w:name w:val="Body Text Char"/>
    <w:basedOn w:val="DefaultParagraphFont"/>
    <w:link w:val="BodyText"/>
    <w:rsid w:val="009C3237"/>
    <w:rPr>
      <w:rFonts w:ascii="Times New Roman" w:eastAsia="Times New Roman" w:hAnsi="Times New Roman" w:cs="Times New Roman"/>
      <w:sz w:val="24"/>
      <w:szCs w:val="24"/>
    </w:rPr>
  </w:style>
  <w:style w:type="table" w:styleId="TableGrid">
    <w:name w:val="Table Grid"/>
    <w:basedOn w:val="TableNormal"/>
    <w:rsid w:val="009C323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9C3237"/>
    <w:pPr>
      <w:ind w:left="360" w:hanging="360"/>
    </w:pPr>
    <w:rPr>
      <w:sz w:val="24"/>
    </w:rPr>
  </w:style>
  <w:style w:type="character" w:styleId="CommentReference">
    <w:name w:val="annotation reference"/>
    <w:rsid w:val="009C3237"/>
    <w:rPr>
      <w:sz w:val="16"/>
      <w:szCs w:val="16"/>
    </w:rPr>
  </w:style>
  <w:style w:type="paragraph" w:styleId="CommentText">
    <w:name w:val="annotation text"/>
    <w:basedOn w:val="Normal"/>
    <w:link w:val="CommentTextChar"/>
    <w:rsid w:val="009C3237"/>
    <w:pPr>
      <w:widowControl/>
      <w:autoSpaceDE/>
      <w:autoSpaceDN/>
      <w:adjustRightInd/>
    </w:pPr>
    <w:rPr>
      <w:szCs w:val="20"/>
    </w:rPr>
  </w:style>
  <w:style w:type="character" w:customStyle="1" w:styleId="CommentTextChar">
    <w:name w:val="Comment Text Char"/>
    <w:basedOn w:val="DefaultParagraphFont"/>
    <w:link w:val="CommentText"/>
    <w:rsid w:val="009C3237"/>
    <w:rPr>
      <w:rFonts w:ascii="Times New Roman" w:eastAsia="Times New Roman" w:hAnsi="Times New Roman" w:cs="Times New Roman"/>
      <w:sz w:val="20"/>
      <w:szCs w:val="20"/>
    </w:rPr>
  </w:style>
  <w:style w:type="paragraph" w:styleId="BalloonText">
    <w:name w:val="Balloon Text"/>
    <w:basedOn w:val="Normal"/>
    <w:link w:val="BalloonTextChar"/>
    <w:semiHidden/>
    <w:rsid w:val="009C3237"/>
    <w:rPr>
      <w:rFonts w:ascii="Tahoma" w:hAnsi="Tahoma" w:cs="Tahoma"/>
      <w:sz w:val="16"/>
      <w:szCs w:val="16"/>
    </w:rPr>
  </w:style>
  <w:style w:type="character" w:customStyle="1" w:styleId="BalloonTextChar">
    <w:name w:val="Balloon Text Char"/>
    <w:basedOn w:val="DefaultParagraphFont"/>
    <w:link w:val="BalloonText"/>
    <w:semiHidden/>
    <w:rsid w:val="009C3237"/>
    <w:rPr>
      <w:rFonts w:ascii="Tahoma" w:eastAsia="Times New Roman" w:hAnsi="Tahoma" w:cs="Tahoma"/>
      <w:sz w:val="16"/>
      <w:szCs w:val="16"/>
    </w:rPr>
  </w:style>
  <w:style w:type="paragraph" w:styleId="PlainText">
    <w:name w:val="Plain Text"/>
    <w:basedOn w:val="Normal"/>
    <w:link w:val="PlainTextChar"/>
    <w:uiPriority w:val="99"/>
    <w:unhideWhenUsed/>
    <w:rsid w:val="009C3237"/>
    <w:pPr>
      <w:widowControl/>
      <w:autoSpaceDE/>
      <w:autoSpaceDN/>
      <w:adjustRightInd/>
    </w:pPr>
    <w:rPr>
      <w:rFonts w:ascii="Calibri" w:eastAsia="Calibri" w:hAnsi="Calibri"/>
      <w:sz w:val="22"/>
      <w:szCs w:val="21"/>
    </w:rPr>
  </w:style>
  <w:style w:type="character" w:customStyle="1" w:styleId="PlainTextChar">
    <w:name w:val="Plain Text Char"/>
    <w:basedOn w:val="DefaultParagraphFont"/>
    <w:link w:val="PlainText"/>
    <w:uiPriority w:val="99"/>
    <w:rsid w:val="009C3237"/>
    <w:rPr>
      <w:rFonts w:ascii="Calibri" w:eastAsia="Calibri" w:hAnsi="Calibri" w:cs="Times New Roman"/>
      <w:szCs w:val="21"/>
    </w:rPr>
  </w:style>
  <w:style w:type="paragraph" w:styleId="CommentSubject">
    <w:name w:val="annotation subject"/>
    <w:basedOn w:val="CommentText"/>
    <w:next w:val="CommentText"/>
    <w:link w:val="CommentSubjectChar"/>
    <w:rsid w:val="009C3237"/>
    <w:pPr>
      <w:widowControl w:val="0"/>
      <w:autoSpaceDE w:val="0"/>
      <w:autoSpaceDN w:val="0"/>
      <w:adjustRightInd w:val="0"/>
    </w:pPr>
    <w:rPr>
      <w:b/>
      <w:bCs/>
    </w:rPr>
  </w:style>
  <w:style w:type="character" w:customStyle="1" w:styleId="CommentSubjectChar">
    <w:name w:val="Comment Subject Char"/>
    <w:basedOn w:val="CommentTextChar"/>
    <w:link w:val="CommentSubject"/>
    <w:rsid w:val="009C3237"/>
    <w:rPr>
      <w:rFonts w:ascii="Times New Roman" w:eastAsia="Times New Roman" w:hAnsi="Times New Roman" w:cs="Times New Roman"/>
      <w:b/>
      <w:bCs/>
      <w:sz w:val="20"/>
      <w:szCs w:val="20"/>
    </w:rPr>
  </w:style>
  <w:style w:type="paragraph" w:styleId="NormalWeb">
    <w:name w:val="Normal (Web)"/>
    <w:basedOn w:val="Normal"/>
    <w:uiPriority w:val="99"/>
    <w:unhideWhenUsed/>
    <w:rsid w:val="009C3237"/>
    <w:pPr>
      <w:widowControl/>
      <w:autoSpaceDE/>
      <w:autoSpaceDN/>
      <w:adjustRightInd/>
    </w:pPr>
    <w:rPr>
      <w:rFonts w:eastAsia="Calibri"/>
      <w:sz w:val="24"/>
    </w:rPr>
  </w:style>
  <w:style w:type="paragraph" w:styleId="Revision">
    <w:name w:val="Revision"/>
    <w:hidden/>
    <w:uiPriority w:val="99"/>
    <w:semiHidden/>
    <w:rsid w:val="009C3237"/>
    <w:pPr>
      <w:spacing w:after="0" w:line="240" w:lineRule="auto"/>
    </w:pPr>
    <w:rPr>
      <w:rFonts w:ascii="Times New Roman" w:eastAsia="Times New Roman" w:hAnsi="Times New Roman" w:cs="Times New Roman"/>
      <w:sz w:val="20"/>
      <w:szCs w:val="24"/>
    </w:rPr>
  </w:style>
  <w:style w:type="character" w:styleId="FollowedHyperlink">
    <w:name w:val="FollowedHyperlink"/>
    <w:rsid w:val="009C3237"/>
    <w:rPr>
      <w:color w:val="800080"/>
      <w:u w:val="single"/>
    </w:rPr>
  </w:style>
  <w:style w:type="paragraph" w:customStyle="1" w:styleId="Default">
    <w:name w:val="Default"/>
    <w:rsid w:val="009C3237"/>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ListParagraph">
    <w:name w:val="List Paragraph"/>
    <w:basedOn w:val="Normal"/>
    <w:uiPriority w:val="34"/>
    <w:qFormat/>
    <w:rsid w:val="009C3237"/>
    <w:pPr>
      <w:ind w:left="720"/>
      <w:contextualSpacing/>
    </w:pPr>
  </w:style>
  <w:style w:type="character" w:styleId="UnresolvedMention">
    <w:name w:val="Unresolved Mention"/>
    <w:basedOn w:val="DefaultParagraphFont"/>
    <w:uiPriority w:val="99"/>
    <w:semiHidden/>
    <w:unhideWhenUsed/>
    <w:rsid w:val="009E7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osha.gov/pls/oshaweb/owalink.query_links?src_doc_type=STANDARDS&amp;src_unique_file=1910_1047&amp;src_anchor_name=1910.1047(h)(1)" TargetMode="External" /><Relationship Id="rId11" Type="http://schemas.openxmlformats.org/officeDocument/2006/relationships/hyperlink" Target="http://www.osha.gov/pls/oshaweb/owalink.query_links?src_doc_type=STANDARDS&amp;src_unique_file=1910_1047&amp;src_anchor_name=1910.1047(h)(1)(iii)" TargetMode="External" /><Relationship Id="rId12" Type="http://schemas.openxmlformats.org/officeDocument/2006/relationships/hyperlink" Target="https://www.thomasnet.com" TargetMode="External" /><Relationship Id="rId13" Type="http://schemas.openxmlformats.org/officeDocument/2006/relationships/hyperlink" Target="https://www.reginfo.gov/public/Forward?SearchTarget=PRA&amp;textfield=201606-2060-010" TargetMode="External" /><Relationship Id="rId14" Type="http://schemas.openxmlformats.org/officeDocument/2006/relationships/hyperlink" Target="https://www.bls.gov/oes/current/oes_stru.htm" TargetMode="External" /><Relationship Id="rId15" Type="http://schemas.openxmlformats.org/officeDocument/2006/relationships/hyperlink" Target="https://www.bls.gov/news.release/pdf/ecec.pdf"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header" Target="head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osha.gov/pls/oshaweb/owalink.query_links?src_doc_type=STANDARDS&amp;src_unique_file=1910_1047&amp;src_anchor_name=1910.1047(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3" ma:contentTypeDescription="Create a new document." ma:contentTypeScope="" ma:versionID="cbda8884b33e6b0ecd68286d317a4d02">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8f74c4b6f07cb521caf1d2b54d8ec8e1"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7D79E-2845-4B71-8EF4-D4F353D5B78E}">
  <ds:schemaRefs>
    <ds:schemaRef ds:uri="http://schemas.openxmlformats.org/officeDocument/2006/bibliography"/>
  </ds:schemaRefs>
</ds:datastoreItem>
</file>

<file path=customXml/itemProps2.xml><?xml version="1.0" encoding="utf-8"?>
<ds:datastoreItem xmlns:ds="http://schemas.openxmlformats.org/officeDocument/2006/customXml" ds:itemID="{C7F801F3-2C1B-4E6C-BDC2-842CE2ECA882}">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3.xml><?xml version="1.0" encoding="utf-8"?>
<ds:datastoreItem xmlns:ds="http://schemas.openxmlformats.org/officeDocument/2006/customXml" ds:itemID="{65DF0317-EC54-4CBC-BE74-5D740CAB5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D79780-0830-46E2-B055-4B1979DF9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14142</Words>
  <Characters>80612</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94565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Perryman, Seleda M - OSHA</cp:lastModifiedBy>
  <cp:revision>2</cp:revision>
  <dcterms:created xsi:type="dcterms:W3CDTF">2023-12-07T23:03:00Z</dcterms:created>
  <dcterms:modified xsi:type="dcterms:W3CDTF">2023-12-07T23:03:00Z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