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03C6" w:rsidRPr="00F579D2" w:rsidP="00AB03C6" w14:paraId="4396D77A" w14:textId="77777777">
      <w:pPr>
        <w:widowControl/>
        <w:jc w:val="center"/>
        <w:rPr>
          <w:b/>
          <w:bCs/>
        </w:rPr>
      </w:pPr>
      <w:r w:rsidRPr="00F579D2">
        <w:rPr>
          <w:b/>
          <w:bCs/>
        </w:rPr>
        <w:t>SUPPORTING STATEMENT FOR THE</w:t>
      </w:r>
    </w:p>
    <w:p w:rsidR="00AB03C6" w:rsidRPr="00F579D2" w:rsidP="00AB03C6" w14:paraId="0CD5421C" w14:textId="77777777">
      <w:pPr>
        <w:widowControl/>
        <w:jc w:val="center"/>
        <w:rPr>
          <w:b/>
          <w:bCs/>
        </w:rPr>
      </w:pPr>
      <w:r w:rsidRPr="00F579D2">
        <w:rPr>
          <w:b/>
          <w:bCs/>
        </w:rPr>
        <w:t>INFORMATION COLLECTION REQUIREMENTS OF THE</w:t>
      </w:r>
    </w:p>
    <w:p w:rsidR="00AB03C6" w:rsidRPr="00F579D2" w:rsidP="00AB03C6" w14:paraId="6C55D707" w14:textId="77777777">
      <w:pPr>
        <w:widowControl/>
        <w:jc w:val="center"/>
        <w:rPr>
          <w:b/>
          <w:bCs/>
        </w:rPr>
      </w:pPr>
      <w:r w:rsidRPr="00F579D2">
        <w:rPr>
          <w:b/>
          <w:bCs/>
        </w:rPr>
        <w:t>STANDARD ON THE STORAGE AND HANDLING</w:t>
      </w:r>
    </w:p>
    <w:p w:rsidR="00AB03C6" w:rsidRPr="00F579D2" w:rsidP="00AB03C6" w14:paraId="342723DA" w14:textId="77777777">
      <w:pPr>
        <w:widowControl/>
        <w:jc w:val="center"/>
      </w:pPr>
      <w:r w:rsidRPr="00F579D2">
        <w:rPr>
          <w:b/>
          <w:bCs/>
        </w:rPr>
        <w:t>OF ANHYDROUS AMMONIA (29 CFR 1910.111)</w:t>
      </w:r>
      <w:r>
        <w:rPr>
          <w:rStyle w:val="FootnoteReference"/>
          <w:vertAlign w:val="superscript"/>
        </w:rPr>
        <w:footnoteReference w:id="3"/>
      </w:r>
    </w:p>
    <w:p w:rsidR="00AB03C6" w:rsidRPr="00F579D2" w:rsidP="00AB03C6" w14:paraId="5C9722DB" w14:textId="77777777">
      <w:pPr>
        <w:widowControl/>
        <w:jc w:val="center"/>
        <w:rPr>
          <w:b/>
          <w:bCs/>
        </w:rPr>
      </w:pPr>
      <w:r w:rsidRPr="00F579D2">
        <w:rPr>
          <w:b/>
          <w:bCs/>
        </w:rPr>
        <w:t>OFFICE OF MANAGEMENT AND BUDGET</w:t>
      </w:r>
    </w:p>
    <w:p w:rsidR="00AB03C6" w:rsidRPr="00B808A9" w:rsidP="00AB03C6" w14:paraId="2D212265" w14:textId="6B73FF10">
      <w:pPr>
        <w:widowControl/>
        <w:jc w:val="center"/>
      </w:pPr>
      <w:r w:rsidRPr="00B808A9">
        <w:rPr>
          <w:b/>
          <w:bCs/>
        </w:rPr>
        <w:t xml:space="preserve">(OMB) CONTROL NO. 1218-0208 </w:t>
      </w:r>
    </w:p>
    <w:p w:rsidR="00AB03C6" w:rsidRPr="00B808A9" w:rsidP="00AB03C6" w14:paraId="6B3159AD" w14:textId="77777777">
      <w:pPr>
        <w:widowControl/>
        <w:jc w:val="center"/>
      </w:pPr>
      <w:r w:rsidRPr="00B808A9">
        <w:t xml:space="preserve"> </w:t>
      </w:r>
    </w:p>
    <w:p w:rsidR="00AB03C6" w:rsidRPr="00B62FCC" w:rsidP="00AB03C6" w14:paraId="5F4A2BA5" w14:textId="6A0BDE3C">
      <w:pPr>
        <w:widowControl/>
        <w:rPr>
          <w:u w:val="single"/>
        </w:rPr>
      </w:pPr>
      <w:r>
        <w:rPr>
          <w:u w:val="single"/>
        </w:rPr>
        <w:t>Th</w:t>
      </w:r>
      <w:r w:rsidR="006934EC">
        <w:rPr>
          <w:u w:val="single"/>
        </w:rPr>
        <w:t>e</w:t>
      </w:r>
      <w:r w:rsidR="000C1C45">
        <w:rPr>
          <w:u w:val="single"/>
        </w:rPr>
        <w:t xml:space="preserve"> </w:t>
      </w:r>
      <w:r w:rsidR="00542156">
        <w:rPr>
          <w:u w:val="single"/>
        </w:rPr>
        <w:t>agency</w:t>
      </w:r>
      <w:r>
        <w:rPr>
          <w:u w:val="single"/>
        </w:rPr>
        <w:t xml:space="preserve"> is requesting </w:t>
      </w:r>
      <w:r w:rsidR="00FF468F">
        <w:rPr>
          <w:u w:val="single"/>
        </w:rPr>
        <w:t>a revision</w:t>
      </w:r>
      <w:r w:rsidR="008B6031">
        <w:rPr>
          <w:u w:val="single"/>
        </w:rPr>
        <w:t xml:space="preserve"> </w:t>
      </w:r>
      <w:r>
        <w:rPr>
          <w:u w:val="single"/>
        </w:rPr>
        <w:t>of a currently approved data collection.</w:t>
      </w:r>
    </w:p>
    <w:p w:rsidR="00AB03C6" w:rsidRPr="00B808A9" w:rsidP="00AB03C6" w14:paraId="3B794510" w14:textId="77777777">
      <w:pPr>
        <w:widowControl/>
      </w:pPr>
    </w:p>
    <w:p w:rsidR="00AB03C6" w:rsidRPr="00B808A9" w:rsidP="00AB03C6" w14:paraId="365B54C6" w14:textId="77777777">
      <w:pPr>
        <w:widowControl/>
      </w:pPr>
      <w:r w:rsidRPr="00B808A9">
        <w:rPr>
          <w:b/>
          <w:bCs/>
        </w:rPr>
        <w:t>A. JUSTIFICATION</w:t>
      </w:r>
    </w:p>
    <w:p w:rsidR="00AB03C6" w:rsidRPr="00B808A9" w:rsidP="00AB03C6" w14:paraId="68D0013A" w14:textId="77777777">
      <w:pPr>
        <w:widowControl/>
      </w:pPr>
    </w:p>
    <w:p w:rsidR="00AB03C6" w:rsidRPr="00F579D2" w:rsidP="00AB03C6" w14:paraId="0ECBEAFC" w14:textId="77777777">
      <w:pPr>
        <w:widowControl/>
        <w:tabs>
          <w:tab w:val="left" w:pos="0"/>
        </w:tabs>
        <w:ind w:hanging="360"/>
        <w:rPr>
          <w:b/>
          <w:bCs/>
        </w:rPr>
      </w:pPr>
      <w:r w:rsidRPr="00B808A9">
        <w:rPr>
          <w:b/>
          <w:bCs/>
        </w:rPr>
        <w:tab/>
        <w:t xml:space="preserve"> 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B03C6" w:rsidRPr="00F579D2" w:rsidP="00AB03C6" w14:paraId="40028204" w14:textId="77777777">
      <w:pPr>
        <w:widowControl/>
      </w:pPr>
    </w:p>
    <w:p w:rsidR="00AB03C6" w:rsidRPr="00B808A9" w:rsidP="00AB03C6" w14:paraId="3B429D55" w14:textId="77777777">
      <w:pPr>
        <w:widowControl/>
      </w:pPr>
      <w:r w:rsidRPr="00B808A9">
        <w:t>The main purpose of the Occupational Safety and Health Act (OSH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  In addition, the OSH Act specifies that “[e]ach employer shall make, keep and preserve, and make available to the S</w:t>
      </w:r>
      <w:r w:rsidRPr="00B808A9">
        <w:t>ecretary . . . such records . . . as the Secretary . . . may prescribe by regulation as necessary or appropriate for the enforcement of this Act . . .” (29 U.S.C. 657).</w:t>
      </w:r>
    </w:p>
    <w:p w:rsidR="00AB03C6" w:rsidRPr="00B808A9" w:rsidP="00AB03C6" w14:paraId="059AA378" w14:textId="77777777">
      <w:pPr>
        <w:widowControl/>
      </w:pPr>
    </w:p>
    <w:p w:rsidR="00AB03C6" w:rsidRPr="00B808A9" w:rsidP="00AB03C6" w14:paraId="187DE10D" w14:textId="734CFF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08A9">
        <w:t xml:space="preserve">Section 6(b)(7) of the Act specifies that [a]ny standard promulgated under this subsection shall prescribe the use of labels or other appropriate forms of warning as are necessary to </w:t>
      </w:r>
      <w:r w:rsidR="008F7A21">
        <w:t>e</w:t>
      </w:r>
      <w:r w:rsidRPr="00B808A9">
        <w:t xml:space="preserve">nsure that workers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 promulgated pursuant to section 553 of title 5, United States Code, make appropriate modifications in the foregoing requirements relating to the use of labels or other forms of warning . </w:t>
      </w:r>
      <w:r w:rsidRPr="00B808A9">
        <w:t>. . as may be warranted by experience, information, or medical or technological developments acquired subsequent to the promulgation of the relevant standard” (29 U.S.C. 655).</w:t>
      </w:r>
    </w:p>
    <w:p w:rsidR="00AB03C6" w:rsidRPr="00B808A9" w:rsidP="00AB03C6" w14:paraId="302F7AE1" w14:textId="77777777">
      <w:pPr>
        <w:widowControl/>
      </w:pPr>
    </w:p>
    <w:p w:rsidR="00AB03C6" w:rsidRPr="00B808A9" w:rsidP="00AB03C6" w14:paraId="2889C455" w14:textId="1D354EE3">
      <w:pPr>
        <w:widowControl/>
      </w:pPr>
      <w:r w:rsidRPr="00B808A9">
        <w:t xml:space="preserve">Under the authority granted by the OSH Act, the Occupational Safety and Health Administration (“OSHA” or “the </w:t>
      </w:r>
      <w:r w:rsidR="009A6E9D">
        <w:t>a</w:t>
      </w:r>
      <w:r w:rsidRPr="00B808A9">
        <w:t xml:space="preserve">gency”) published the Anhydrous Ammonia Standard (the “Standard”; 29 CFR 1910.111).  </w:t>
      </w:r>
      <w:bookmarkStart w:id="0" w:name="OLE_LINK1"/>
      <w:bookmarkStart w:id="1" w:name="OLE_LINK2"/>
      <w:r w:rsidRPr="00B808A9">
        <w:t>Paragraphs (b)(3) and (b)(4) of the Standard have paperwork requirements that apply to non</w:t>
      </w:r>
      <w:r w:rsidR="00E91CFC">
        <w:t>-</w:t>
      </w:r>
      <w:r w:rsidRPr="00B808A9">
        <w:t xml:space="preserve">refrigerated containers and systems, and refrigerated containers, respectively; </w:t>
      </w:r>
      <w:r w:rsidRPr="00B808A9">
        <w:t>employers use these containers and systems to store and transfer anhydrous ammonia in the workplace</w:t>
      </w:r>
      <w:bookmarkEnd w:id="0"/>
      <w:bookmarkEnd w:id="1"/>
      <w:r w:rsidRPr="00B808A9">
        <w:t>.</w:t>
      </w:r>
    </w:p>
    <w:p w:rsidR="00AB03C6" w:rsidRPr="00B808A9" w:rsidP="00AB03C6" w14:paraId="483DCC5E" w14:textId="77777777">
      <w:pPr>
        <w:widowControl/>
      </w:pPr>
    </w:p>
    <w:p w:rsidR="00AB03C6" w:rsidRPr="00F579D2" w:rsidP="00AB03C6" w14:paraId="05D603AD" w14:textId="77777777">
      <w:pPr>
        <w:widowControl/>
        <w:rPr>
          <w:b/>
          <w:bCs/>
        </w:rPr>
      </w:pPr>
      <w:r w:rsidRPr="00B808A9">
        <w:rPr>
          <w:b/>
          <w:bCs/>
        </w:rPr>
        <w:t xml:space="preserve"> 2.  Indicate how, by whom, and for what purpose the information is to be used.  Except for a new collection, indicate the actual use the Agency has made of the information received from the current collection.</w:t>
      </w:r>
    </w:p>
    <w:p w:rsidR="00AB03C6" w:rsidRPr="00F579D2" w:rsidP="00AB03C6" w14:paraId="7E57A8EF" w14:textId="77777777">
      <w:pPr>
        <w:widowControl/>
      </w:pPr>
    </w:p>
    <w:p w:rsidR="00931259" w:rsidRPr="00DD62DE" w:rsidP="000D3BDC" w14:paraId="67BF7BDF" w14:textId="5A4BB10E">
      <w:pPr>
        <w:widowControl/>
        <w:rPr>
          <w:rFonts w:cs="Courier New"/>
          <w:b/>
          <w:color w:val="000000"/>
        </w:rPr>
      </w:pPr>
      <w:r w:rsidRPr="00A65476">
        <w:rPr>
          <w:lang w:val="x-none"/>
        </w:rPr>
        <w:t>Th</w:t>
      </w:r>
      <w:r w:rsidRPr="00A65476">
        <w:t>e following paragraphs</w:t>
      </w:r>
      <w:r w:rsidRPr="00A65476">
        <w:rPr>
          <w:color w:val="000000"/>
        </w:rPr>
        <w:t xml:space="preserve"> identify the paperwork requirements contained in the</w:t>
      </w:r>
      <w:r w:rsidRPr="00A65476" w:rsidR="001408C4">
        <w:rPr>
          <w:color w:val="000000"/>
        </w:rPr>
        <w:t xml:space="preserve"> Standard</w:t>
      </w:r>
      <w:r w:rsidRPr="00A65476">
        <w:rPr>
          <w:color w:val="000000"/>
        </w:rPr>
        <w:t>.  The estimated burden hours and costs determinations are discussed under Item 12.</w:t>
      </w:r>
    </w:p>
    <w:p w:rsidR="00931259" w:rsidRPr="00B808A9" w:rsidP="00AB03C6" w14:paraId="55C57940" w14:textId="77777777">
      <w:pPr>
        <w:widowControl/>
      </w:pPr>
    </w:p>
    <w:p w:rsidR="0092337F" w:rsidRPr="000D3BDC" w:rsidP="00AB03C6" w14:paraId="78F4AB7B" w14:textId="24D45F19">
      <w:pPr>
        <w:widowControl/>
        <w:rPr>
          <w:u w:val="single"/>
        </w:rPr>
      </w:pPr>
      <w:r>
        <w:rPr>
          <w:u w:val="single"/>
        </w:rPr>
        <w:t>§</w:t>
      </w:r>
      <w:r w:rsidR="00C61469">
        <w:rPr>
          <w:u w:val="single"/>
        </w:rPr>
        <w:t>1910.111</w:t>
      </w:r>
      <w:r w:rsidRPr="000D3BDC" w:rsidR="009563DE">
        <w:rPr>
          <w:u w:val="single"/>
        </w:rPr>
        <w:t xml:space="preserve"> (b)(1)(iv)</w:t>
      </w:r>
    </w:p>
    <w:p w:rsidR="009563DE" w:rsidP="00AB03C6" w14:paraId="1DE166A1" w14:textId="77777777">
      <w:pPr>
        <w:widowControl/>
      </w:pPr>
    </w:p>
    <w:p w:rsidR="00C56FAB" w:rsidP="00AB03C6" w14:paraId="3D333AC1" w14:textId="025102F9">
      <w:pPr>
        <w:widowControl/>
      </w:pPr>
      <w:r>
        <w:t>(</w:t>
      </w:r>
      <w:r w:rsidR="00ED6B4D">
        <w:t xml:space="preserve">iv) </w:t>
      </w:r>
      <w:r>
        <w:t>It is a custom-designed and custom-built unit, which no nationally recognized testing laboratory, or Federal, State, municipal or local authority responsible for the enforcement of a Federal, State, municipal, or local law, code or regulation pertaining to the storage, transportation and use of anhydrous ammonia is willing to undertake to accept, certify, list, label or determine to be safe, and the employer has on file a document attesting to its safe condition following the conduct of appropriate test</w:t>
      </w:r>
      <w:r>
        <w:t>s. The document shall be signed by a registered professional engineer or other person having special training or experience sufficient to permit him to form an opinion as to safety of the unit involved. The document shall set forth the test bases, test data and results, and also the qualifications of the certifying person.</w:t>
      </w:r>
    </w:p>
    <w:p w:rsidR="000E26BE" w:rsidP="00AB03C6" w14:paraId="5FF32D78" w14:textId="77777777">
      <w:pPr>
        <w:widowControl/>
        <w:rPr>
          <w:u w:val="single"/>
        </w:rPr>
      </w:pPr>
    </w:p>
    <w:p w:rsidR="00C37C92" w:rsidP="00AB03C6" w14:paraId="6254858E" w14:textId="66E7E3BB">
      <w:pPr>
        <w:widowControl/>
        <w:rPr>
          <w:u w:val="single"/>
        </w:rPr>
      </w:pPr>
      <w:r>
        <w:rPr>
          <w:u w:val="single"/>
        </w:rPr>
        <w:t>Purpose</w:t>
      </w:r>
      <w:r w:rsidRPr="000D3BDC">
        <w:t>:</w:t>
      </w:r>
      <w:r w:rsidRPr="000D3BDC" w:rsidR="00600358">
        <w:t xml:space="preserve"> </w:t>
      </w:r>
      <w:r w:rsidRPr="000D3BDC" w:rsidR="008B7F83">
        <w:t>Where equipment</w:t>
      </w:r>
      <w:r w:rsidRPr="000D3BDC" w:rsidR="00B62690">
        <w:t xml:space="preserve"> is custom</w:t>
      </w:r>
      <w:r w:rsidRPr="000D3BDC" w:rsidR="000811DB">
        <w:t>-d</w:t>
      </w:r>
      <w:r w:rsidRPr="000D3BDC" w:rsidR="00672A9D">
        <w:t>esigned and bui</w:t>
      </w:r>
      <w:r w:rsidRPr="000D3BDC" w:rsidR="004525D9">
        <w:t>l</w:t>
      </w:r>
      <w:r w:rsidRPr="000D3BDC" w:rsidR="00BC0685">
        <w:t>t</w:t>
      </w:r>
      <w:r w:rsidRPr="000D3BDC" w:rsidR="000F16F7">
        <w:t xml:space="preserve"> unit</w:t>
      </w:r>
      <w:r w:rsidRPr="000D3BDC" w:rsidR="00D85D5D">
        <w:t xml:space="preserve"> and there are no</w:t>
      </w:r>
      <w:r w:rsidRPr="00E4751F" w:rsidR="00E4751F">
        <w:t xml:space="preserve"> </w:t>
      </w:r>
      <w:r w:rsidR="00E4751F">
        <w:t>nationally recognized testing laboratory, or Federal, State, municipal or local authority responsible for the enforcement of a Federal, State, municipal, or local law, code or regulation pertaining to the storage, transportation and use of anhydrous ammonia</w:t>
      </w:r>
      <w:r w:rsidR="00F71E90">
        <w:t>, the equipment must</w:t>
      </w:r>
      <w:r w:rsidR="005E4DF5">
        <w:t xml:space="preserve"> be documented and test</w:t>
      </w:r>
      <w:r w:rsidR="00B42984">
        <w:t>ed and registered professional engineer</w:t>
      </w:r>
      <w:r w:rsidR="00B64716">
        <w:t xml:space="preserve"> or a person that have the skills and knowledge of the </w:t>
      </w:r>
      <w:r w:rsidR="007A037C">
        <w:t>customized equipment.</w:t>
      </w:r>
      <w:r w:rsidR="00F2137D">
        <w:t xml:space="preserve"> The qualified person must sign-off</w:t>
      </w:r>
      <w:r w:rsidR="002D5CBD">
        <w:t xml:space="preserve"> on the equipment to deem that it is safe for use.</w:t>
      </w:r>
      <w:r w:rsidR="00155CF2">
        <w:t xml:space="preserve"> This documentation must be ma</w:t>
      </w:r>
      <w:r w:rsidR="00B44A07">
        <w:t xml:space="preserve">intained by the employer and therefore, this is </w:t>
      </w:r>
      <w:r w:rsidR="00674A9B">
        <w:t>a burden.</w:t>
      </w:r>
    </w:p>
    <w:p w:rsidR="002F4AF7" w:rsidP="00AB03C6" w14:paraId="732B2A7B" w14:textId="77777777">
      <w:pPr>
        <w:widowControl/>
        <w:rPr>
          <w:u w:val="single"/>
        </w:rPr>
      </w:pPr>
    </w:p>
    <w:p w:rsidR="00C56FAB" w:rsidRPr="000D3BDC" w:rsidP="00AB03C6" w14:paraId="4A72D6EA" w14:textId="78EBC978">
      <w:pPr>
        <w:widowControl/>
        <w:rPr>
          <w:u w:val="single"/>
        </w:rPr>
      </w:pPr>
      <w:r>
        <w:rPr>
          <w:u w:val="single"/>
        </w:rPr>
        <w:t>§1910.111</w:t>
      </w:r>
      <w:r w:rsidRPr="00C61469">
        <w:rPr>
          <w:u w:val="single"/>
        </w:rPr>
        <w:t xml:space="preserve"> </w:t>
      </w:r>
      <w:r w:rsidRPr="000D3BDC">
        <w:rPr>
          <w:u w:val="single"/>
        </w:rPr>
        <w:t>(b)(3)</w:t>
      </w:r>
    </w:p>
    <w:p w:rsidR="000F0EF5" w:rsidP="000D3BDC" w14:paraId="3D25DF1A" w14:textId="089CF796">
      <w:pPr>
        <w:pStyle w:val="indent-2"/>
      </w:pPr>
      <w:r w:rsidRPr="000D3BDC">
        <w:rPr>
          <w:rStyle w:val="Emphasis"/>
          <w:i w:val="0"/>
          <w:iCs w:val="0"/>
        </w:rPr>
        <w:t>(3)</w:t>
      </w:r>
      <w:r>
        <w:rPr>
          <w:rStyle w:val="Emphasis"/>
          <w:b/>
          <w:bCs/>
        </w:rPr>
        <w:t xml:space="preserve"> Marking nonrefrigerated containers.</w:t>
      </w:r>
      <w:r>
        <w:t xml:space="preserve"> </w:t>
      </w:r>
    </w:p>
    <w:p w:rsidR="000F0EF5" w:rsidP="000F0EF5" w14:paraId="70ECBFF5" w14:textId="77777777">
      <w:pPr>
        <w:pStyle w:val="indent-3"/>
        <w:ind w:left="540"/>
      </w:pPr>
      <w:r>
        <w:rPr>
          <w:rStyle w:val="paren"/>
        </w:rPr>
        <w:t>(</w:t>
      </w:r>
      <w:r>
        <w:rPr>
          <w:rStyle w:val="paragraph-hierarchy"/>
        </w:rPr>
        <w:t>i</w:t>
      </w:r>
      <w:r>
        <w:rPr>
          <w:rStyle w:val="paren"/>
        </w:rPr>
        <w:t>)</w:t>
      </w:r>
      <w:r>
        <w:t xml:space="preserve"> System nameplates, when required, shall be permanently attached to the system so as to be readily accessible for inspection and shall include markings as prescribed in subdivision (ii) of this subparagraph. </w:t>
      </w:r>
    </w:p>
    <w:p w:rsidR="000F0EF5" w:rsidP="004804A5" w14:paraId="458D2033" w14:textId="77777777">
      <w:pPr>
        <w:pStyle w:val="indent-3"/>
        <w:ind w:left="540"/>
      </w:pPr>
      <w:r>
        <w:rPr>
          <w:rStyle w:val="paren"/>
        </w:rPr>
        <w:t>(</w:t>
      </w:r>
      <w:r>
        <w:rPr>
          <w:rStyle w:val="paragraph-hierarchy"/>
        </w:rPr>
        <w:t>ii</w:t>
      </w:r>
      <w:r>
        <w:rPr>
          <w:rStyle w:val="paren"/>
        </w:rPr>
        <w:t>)</w:t>
      </w:r>
      <w:r>
        <w:t xml:space="preserve"> Each container or system covered in </w:t>
      </w:r>
      <w:hyperlink r:id="rId9" w:anchor="p-1910.111(c)" w:history="1">
        <w:r>
          <w:rPr>
            <w:rStyle w:val="Hyperlink"/>
          </w:rPr>
          <w:t>paragraphs (c)</w:t>
        </w:r>
      </w:hyperlink>
      <w:r>
        <w:t xml:space="preserve">, </w:t>
      </w:r>
      <w:hyperlink r:id="rId9" w:anchor="p-1910.111(f)" w:history="1">
        <w:r>
          <w:rPr>
            <w:rStyle w:val="Hyperlink"/>
          </w:rPr>
          <w:t>(f)</w:t>
        </w:r>
      </w:hyperlink>
      <w:r>
        <w:t xml:space="preserve">, </w:t>
      </w:r>
      <w:hyperlink r:id="rId9" w:anchor="p-1910.111(g)" w:history="1">
        <w:r>
          <w:rPr>
            <w:rStyle w:val="Hyperlink"/>
          </w:rPr>
          <w:t>(g)</w:t>
        </w:r>
      </w:hyperlink>
      <w:r>
        <w:t xml:space="preserve">, and </w:t>
      </w:r>
      <w:hyperlink r:id="rId9" w:anchor="p-1910.111(h)" w:history="1">
        <w:r>
          <w:rPr>
            <w:rStyle w:val="Hyperlink"/>
          </w:rPr>
          <w:t>(h)</w:t>
        </w:r>
      </w:hyperlink>
      <w:r>
        <w:t xml:space="preserve"> of this section shall be marked as specified in the following: </w:t>
      </w:r>
    </w:p>
    <w:p w:rsidR="000F0EF5" w:rsidP="004804A5" w14:paraId="52192AA7" w14:textId="77777777">
      <w:pPr>
        <w:pStyle w:val="indent-4"/>
        <w:ind w:left="720"/>
      </w:pPr>
      <w:r>
        <w:rPr>
          <w:rStyle w:val="paren"/>
        </w:rPr>
        <w:t>(</w:t>
      </w:r>
      <w:r>
        <w:rPr>
          <w:rStyle w:val="Emphasis"/>
        </w:rPr>
        <w:t>a</w:t>
      </w:r>
      <w:r>
        <w:rPr>
          <w:rStyle w:val="paren"/>
        </w:rPr>
        <w:t>)</w:t>
      </w:r>
      <w:r>
        <w:t xml:space="preserve"> With a notation “Anhydrous Ammonia.” </w:t>
      </w:r>
    </w:p>
    <w:p w:rsidR="000F0EF5" w:rsidP="004804A5" w14:paraId="2A86389D" w14:textId="77777777">
      <w:pPr>
        <w:pStyle w:val="indent-4"/>
        <w:ind w:left="720"/>
      </w:pPr>
      <w:r>
        <w:rPr>
          <w:rStyle w:val="paren"/>
        </w:rPr>
        <w:t>(</w:t>
      </w:r>
      <w:r>
        <w:rPr>
          <w:rStyle w:val="Emphasis"/>
        </w:rPr>
        <w:t>b</w:t>
      </w:r>
      <w:r>
        <w:rPr>
          <w:rStyle w:val="paren"/>
        </w:rPr>
        <w:t>)</w:t>
      </w:r>
      <w:r>
        <w:t xml:space="preserve"> With a marking identifying compliance with the rules of the Code under which the container is constructed. </w:t>
      </w:r>
    </w:p>
    <w:p w:rsidR="000F0EF5" w:rsidP="004804A5" w14:paraId="7A36A0BE" w14:textId="77777777">
      <w:pPr>
        <w:pStyle w:val="flush-paragraph-1"/>
      </w:pPr>
      <w:r>
        <w:t xml:space="preserve">Under ground: Container and system nameplate. </w:t>
      </w:r>
    </w:p>
    <w:p w:rsidR="000F0EF5" w:rsidP="004804A5" w14:paraId="1CC1A4B1" w14:textId="77777777">
      <w:pPr>
        <w:pStyle w:val="flush-paragraph-1"/>
      </w:pPr>
      <w:r>
        <w:t>Above ground: Container.</w:t>
      </w:r>
    </w:p>
    <w:p w:rsidR="000F0EF5" w:rsidP="004804A5" w14:paraId="4BD7E3F4" w14:textId="77777777">
      <w:pPr>
        <w:pStyle w:val="indent-4"/>
        <w:ind w:left="720"/>
      </w:pPr>
      <w:r>
        <w:rPr>
          <w:rStyle w:val="paren"/>
        </w:rPr>
        <w:t>(</w:t>
      </w:r>
      <w:r>
        <w:rPr>
          <w:rStyle w:val="Emphasis"/>
        </w:rPr>
        <w:t>c</w:t>
      </w:r>
      <w:r>
        <w:rPr>
          <w:rStyle w:val="paren"/>
        </w:rPr>
        <w:t>)</w:t>
      </w:r>
      <w:r>
        <w:t xml:space="preserve"> With a notation whether the system is designed for underground or aboveground installation or both. </w:t>
      </w:r>
    </w:p>
    <w:p w:rsidR="000F0EF5" w:rsidP="004804A5" w14:paraId="3450F6AF" w14:textId="77777777">
      <w:pPr>
        <w:pStyle w:val="indent-4"/>
        <w:ind w:left="720"/>
      </w:pPr>
      <w:r>
        <w:rPr>
          <w:rStyle w:val="paren"/>
        </w:rPr>
        <w:t>(</w:t>
      </w:r>
      <w:r>
        <w:rPr>
          <w:rStyle w:val="Emphasis"/>
        </w:rPr>
        <w:t>d</w:t>
      </w:r>
      <w:r>
        <w:rPr>
          <w:rStyle w:val="paren"/>
        </w:rPr>
        <w:t>)</w:t>
      </w:r>
      <w:r>
        <w:t xml:space="preserve"> With the name and address of the supplier of the system or the trade name of the system and with the date of fabrication. </w:t>
      </w:r>
    </w:p>
    <w:p w:rsidR="000F0EF5" w:rsidP="004804A5" w14:paraId="211478C2" w14:textId="77777777">
      <w:pPr>
        <w:pStyle w:val="flush-paragraph-1"/>
      </w:pPr>
      <w:r>
        <w:t>Under ground and above ground: System nameplate.</w:t>
      </w:r>
    </w:p>
    <w:p w:rsidR="000F0EF5" w:rsidP="004804A5" w14:paraId="29697482" w14:textId="77777777">
      <w:pPr>
        <w:pStyle w:val="indent-4"/>
        <w:ind w:left="720"/>
      </w:pPr>
      <w:r>
        <w:rPr>
          <w:rStyle w:val="paren"/>
        </w:rPr>
        <w:t>(</w:t>
      </w:r>
      <w:r>
        <w:rPr>
          <w:rStyle w:val="Emphasis"/>
        </w:rPr>
        <w:t>e</w:t>
      </w:r>
      <w:r>
        <w:rPr>
          <w:rStyle w:val="paren"/>
        </w:rPr>
        <w:t>)</w:t>
      </w:r>
      <w:r>
        <w:t xml:space="preserve"> With the water capacity of the container in pounds at 60 °F. or gallons, U.S. Standard. </w:t>
      </w:r>
    </w:p>
    <w:p w:rsidR="000F0EF5" w:rsidP="004804A5" w14:paraId="4DA76463" w14:textId="77777777">
      <w:pPr>
        <w:pStyle w:val="flush-paragraph-1"/>
      </w:pPr>
      <w:r>
        <w:t xml:space="preserve">Under ground: Container and system nameplate. </w:t>
      </w:r>
    </w:p>
    <w:p w:rsidR="000F0EF5" w:rsidP="004804A5" w14:paraId="29C2F68B" w14:textId="77777777">
      <w:pPr>
        <w:pStyle w:val="flush-paragraph-1"/>
      </w:pPr>
      <w:r>
        <w:t>Above ground: Container.</w:t>
      </w:r>
    </w:p>
    <w:p w:rsidR="000F0EF5" w:rsidP="004804A5" w14:paraId="3778FE66" w14:textId="77777777">
      <w:pPr>
        <w:pStyle w:val="indent-4"/>
        <w:ind w:left="720"/>
      </w:pPr>
      <w:r>
        <w:rPr>
          <w:rStyle w:val="paren"/>
        </w:rPr>
        <w:t>(</w:t>
      </w:r>
      <w:r>
        <w:rPr>
          <w:rStyle w:val="Emphasis"/>
        </w:rPr>
        <w:t>f</w:t>
      </w:r>
      <w:r>
        <w:rPr>
          <w:rStyle w:val="paren"/>
        </w:rPr>
        <w:t>)</w:t>
      </w:r>
      <w:r>
        <w:t xml:space="preserve"> With the design pressure in pounds per square inch. </w:t>
      </w:r>
    </w:p>
    <w:p w:rsidR="000F0EF5" w:rsidP="004804A5" w14:paraId="37C468F8" w14:textId="77777777">
      <w:pPr>
        <w:pStyle w:val="flush-paragraph-1"/>
      </w:pPr>
      <w:r>
        <w:t xml:space="preserve">Under ground: Container and system nameplate. </w:t>
      </w:r>
    </w:p>
    <w:p w:rsidR="000F0EF5" w:rsidP="004804A5" w14:paraId="04FBCABD" w14:textId="77777777">
      <w:pPr>
        <w:pStyle w:val="flush-paragraph-1"/>
      </w:pPr>
      <w:r>
        <w:t>Above ground: Container.</w:t>
      </w:r>
    </w:p>
    <w:p w:rsidR="000F0EF5" w:rsidP="004804A5" w14:paraId="4A9D6391" w14:textId="77777777">
      <w:pPr>
        <w:pStyle w:val="indent-4"/>
        <w:ind w:left="720"/>
      </w:pPr>
      <w:r>
        <w:rPr>
          <w:rStyle w:val="paren"/>
        </w:rPr>
        <w:t>(</w:t>
      </w:r>
      <w:r>
        <w:rPr>
          <w:rStyle w:val="Emphasis"/>
        </w:rPr>
        <w:t>g</w:t>
      </w:r>
      <w:r>
        <w:rPr>
          <w:rStyle w:val="paren"/>
        </w:rPr>
        <w:t>)</w:t>
      </w:r>
      <w:r>
        <w:t xml:space="preserve"> With the wall thickness of the shell and heads. </w:t>
      </w:r>
    </w:p>
    <w:p w:rsidR="000F0EF5" w:rsidP="004804A5" w14:paraId="13018047" w14:textId="77777777">
      <w:pPr>
        <w:pStyle w:val="flush-paragraph-1"/>
      </w:pPr>
      <w:r>
        <w:t xml:space="preserve">Under ground: Container and system nameplate. </w:t>
      </w:r>
    </w:p>
    <w:p w:rsidR="000F0EF5" w:rsidP="004804A5" w14:paraId="3BA2EC06" w14:textId="77777777">
      <w:pPr>
        <w:pStyle w:val="flush-paragraph-1"/>
      </w:pPr>
      <w:r>
        <w:t>Above ground: Container.</w:t>
      </w:r>
    </w:p>
    <w:p w:rsidR="000F0EF5" w:rsidP="004804A5" w14:paraId="74457FEA" w14:textId="77777777">
      <w:pPr>
        <w:pStyle w:val="indent-4"/>
        <w:ind w:left="720"/>
      </w:pPr>
      <w:r>
        <w:rPr>
          <w:rStyle w:val="paren"/>
        </w:rPr>
        <w:t>(</w:t>
      </w:r>
      <w:r>
        <w:rPr>
          <w:rStyle w:val="Emphasis"/>
        </w:rPr>
        <w:t>h</w:t>
      </w:r>
      <w:r>
        <w:rPr>
          <w:rStyle w:val="paren"/>
        </w:rPr>
        <w:t>)</w:t>
      </w:r>
      <w:r>
        <w:t xml:space="preserve"> With marking indicating the maximum level to which the container may be filled with liquid anhydrous ammonia at temperatures between 20 °F. and 130 °F. except on containers provided with fixed level indicators, such as fixed length dip tubes, or containers that are filled with weight. Markings shall be in increments of not more than 20 °F. </w:t>
      </w:r>
    </w:p>
    <w:p w:rsidR="000F0EF5" w:rsidP="004804A5" w14:paraId="294916C4" w14:textId="08D2EAC5">
      <w:pPr>
        <w:pStyle w:val="flush-paragraph-1"/>
      </w:pPr>
      <w:r>
        <w:t xml:space="preserve">Above ground and </w:t>
      </w:r>
      <w:r w:rsidR="004E5C58">
        <w:t>underground</w:t>
      </w:r>
      <w:r>
        <w:t>: System nameplate or on liquid-level gaging device.</w:t>
      </w:r>
    </w:p>
    <w:p w:rsidR="000F0EF5" w:rsidP="004804A5" w14:paraId="73FB2043" w14:textId="77777777">
      <w:pPr>
        <w:pStyle w:val="indent-4"/>
        <w:ind w:left="720"/>
      </w:pPr>
      <w:r>
        <w:rPr>
          <w:rStyle w:val="paren"/>
        </w:rPr>
        <w:t>(</w:t>
      </w:r>
      <w:r>
        <w:rPr>
          <w:rStyle w:val="Emphasis"/>
        </w:rPr>
        <w:t>i</w:t>
      </w:r>
      <w:r>
        <w:rPr>
          <w:rStyle w:val="paren"/>
        </w:rPr>
        <w:t>)</w:t>
      </w:r>
      <w:r>
        <w:t xml:space="preserve"> With the total outside surface area of the container in square feet. </w:t>
      </w:r>
    </w:p>
    <w:p w:rsidR="000F0EF5" w:rsidP="004804A5" w14:paraId="041199FD" w14:textId="77777777">
      <w:pPr>
        <w:pStyle w:val="flush-paragraph-1"/>
      </w:pPr>
      <w:r>
        <w:t xml:space="preserve">Under ground: System nameplate. </w:t>
      </w:r>
    </w:p>
    <w:p w:rsidR="000F0EF5" w:rsidP="000F0EF5" w14:paraId="324D24E6" w14:textId="77777777">
      <w:pPr>
        <w:pStyle w:val="flush-paragraph-1"/>
      </w:pPr>
      <w:r>
        <w:t>Above ground: No requirement.</w:t>
      </w:r>
    </w:p>
    <w:p w:rsidR="000F0EF5" w:rsidP="000F0EF5" w14:paraId="548D68EA" w14:textId="77777777">
      <w:pPr>
        <w:pStyle w:val="indent-4"/>
        <w:ind w:left="720"/>
      </w:pPr>
      <w:r>
        <w:rPr>
          <w:rStyle w:val="paren"/>
        </w:rPr>
        <w:t>(</w:t>
      </w:r>
      <w:r>
        <w:rPr>
          <w:rStyle w:val="Emphasis"/>
        </w:rPr>
        <w:t>j</w:t>
      </w:r>
      <w:r>
        <w:rPr>
          <w:rStyle w:val="paren"/>
        </w:rPr>
        <w:t>)</w:t>
      </w:r>
      <w:r>
        <w:t xml:space="preserve"> Marking specified on the container shall be on the container itself or on a nameplate permanently attached to it.</w:t>
      </w:r>
    </w:p>
    <w:p w:rsidR="009E1908" w:rsidRPr="000D3BDC" w:rsidP="00AB03C6" w14:paraId="3BF43E5B" w14:textId="1E8540AA">
      <w:pPr>
        <w:widowControl/>
        <w:rPr>
          <w:u w:val="single"/>
        </w:rPr>
      </w:pPr>
      <w:r w:rsidRPr="00206801">
        <w:rPr>
          <w:u w:val="single"/>
        </w:rPr>
        <w:t>§1910.111</w:t>
      </w:r>
      <w:r w:rsidRPr="000D3BDC" w:rsidR="000F0EF5">
        <w:rPr>
          <w:u w:val="single"/>
        </w:rPr>
        <w:t xml:space="preserve"> (b)(4)</w:t>
      </w:r>
    </w:p>
    <w:p w:rsidR="00895F4C" w:rsidP="000D3BDC" w14:paraId="033D525B" w14:textId="0FFB9FE2">
      <w:pPr>
        <w:pStyle w:val="indent-2"/>
      </w:pPr>
      <w:r w:rsidRPr="000D3BDC">
        <w:rPr>
          <w:rStyle w:val="Emphasis"/>
          <w:i w:val="0"/>
          <w:iCs w:val="0"/>
        </w:rPr>
        <w:t>(4)</w:t>
      </w:r>
      <w:r>
        <w:rPr>
          <w:rStyle w:val="Emphasis"/>
          <w:b/>
          <w:bCs/>
          <w:i w:val="0"/>
          <w:iCs w:val="0"/>
        </w:rPr>
        <w:t xml:space="preserve"> </w:t>
      </w:r>
      <w:r>
        <w:rPr>
          <w:rStyle w:val="Emphasis"/>
          <w:b/>
          <w:bCs/>
        </w:rPr>
        <w:t>Marking refrigerated containers.</w:t>
      </w:r>
      <w:r>
        <w:t xml:space="preserve"> Each refrigerated container shall be marked with nameplate on the outer covering in an accessible place as specified in the following: </w:t>
      </w:r>
    </w:p>
    <w:p w:rsidR="00895F4C" w:rsidP="00895F4C" w14:paraId="628D24BB" w14:textId="77777777">
      <w:pPr>
        <w:pStyle w:val="indent-3"/>
        <w:ind w:left="540"/>
      </w:pPr>
      <w:r>
        <w:rPr>
          <w:rStyle w:val="paren"/>
        </w:rPr>
        <w:t>(</w:t>
      </w:r>
      <w:r>
        <w:rPr>
          <w:rStyle w:val="paragraph-hierarchy"/>
        </w:rPr>
        <w:t>i</w:t>
      </w:r>
      <w:r>
        <w:rPr>
          <w:rStyle w:val="paren"/>
        </w:rPr>
        <w:t>)</w:t>
      </w:r>
      <w:r>
        <w:t xml:space="preserve"> With the notation, “Anhydrous Ammonia.” </w:t>
      </w:r>
    </w:p>
    <w:p w:rsidR="00895F4C" w:rsidP="00895F4C" w14:paraId="5BC6F233" w14:textId="77777777">
      <w:pPr>
        <w:pStyle w:val="indent-3"/>
        <w:ind w:left="540"/>
      </w:pPr>
      <w:r>
        <w:rPr>
          <w:rStyle w:val="paren"/>
        </w:rPr>
        <w:t>(</w:t>
      </w:r>
      <w:r>
        <w:rPr>
          <w:rStyle w:val="paragraph-hierarchy"/>
        </w:rPr>
        <w:t>ii</w:t>
      </w:r>
      <w:r>
        <w:rPr>
          <w:rStyle w:val="paren"/>
        </w:rPr>
        <w:t>)</w:t>
      </w:r>
      <w:r>
        <w:t xml:space="preserve"> With the name and address of the builder and the date of fabrication. </w:t>
      </w:r>
    </w:p>
    <w:p w:rsidR="00895F4C" w:rsidP="00895F4C" w14:paraId="7A467E51" w14:textId="77777777">
      <w:pPr>
        <w:pStyle w:val="indent-3"/>
        <w:ind w:left="540"/>
      </w:pPr>
      <w:r>
        <w:rPr>
          <w:rStyle w:val="paren"/>
        </w:rPr>
        <w:t>(</w:t>
      </w:r>
      <w:r>
        <w:rPr>
          <w:rStyle w:val="paragraph-hierarchy"/>
        </w:rPr>
        <w:t>iii</w:t>
      </w:r>
      <w:r>
        <w:rPr>
          <w:rStyle w:val="paren"/>
        </w:rPr>
        <w:t>)</w:t>
      </w:r>
      <w:r>
        <w:t xml:space="preserve"> With the water capacity of the container in gallons, U.S. Standard. </w:t>
      </w:r>
    </w:p>
    <w:p w:rsidR="00895F4C" w:rsidP="00895F4C" w14:paraId="7D68E9ED" w14:textId="77777777">
      <w:pPr>
        <w:pStyle w:val="indent-3"/>
        <w:ind w:left="540"/>
      </w:pPr>
      <w:r>
        <w:rPr>
          <w:rStyle w:val="paren"/>
        </w:rPr>
        <w:t>(</w:t>
      </w:r>
      <w:r>
        <w:rPr>
          <w:rStyle w:val="paragraph-hierarchy"/>
        </w:rPr>
        <w:t>iv</w:t>
      </w:r>
      <w:r>
        <w:rPr>
          <w:rStyle w:val="paren"/>
        </w:rPr>
        <w:t>)</w:t>
      </w:r>
      <w:r>
        <w:t xml:space="preserve"> With the design pressure. </w:t>
      </w:r>
    </w:p>
    <w:p w:rsidR="00895F4C" w:rsidP="00895F4C" w14:paraId="3CE316B8" w14:textId="77777777">
      <w:pPr>
        <w:pStyle w:val="indent-3"/>
        <w:ind w:left="540"/>
      </w:pPr>
      <w:r>
        <w:rPr>
          <w:rStyle w:val="paren"/>
        </w:rPr>
        <w:t>(</w:t>
      </w:r>
      <w:r>
        <w:rPr>
          <w:rStyle w:val="paragraph-hierarchy"/>
        </w:rPr>
        <w:t>v</w:t>
      </w:r>
      <w:r>
        <w:rPr>
          <w:rStyle w:val="paren"/>
        </w:rPr>
        <w:t>)</w:t>
      </w:r>
      <w:r>
        <w:t xml:space="preserve"> With the minimum temperature in degrees Fahrenheit for which the container was designed. </w:t>
      </w:r>
    </w:p>
    <w:p w:rsidR="00895F4C" w:rsidP="00895F4C" w14:paraId="6EEB60CA" w14:textId="77777777">
      <w:pPr>
        <w:pStyle w:val="indent-3"/>
        <w:ind w:left="540"/>
      </w:pPr>
      <w:r>
        <w:rPr>
          <w:rStyle w:val="paren"/>
        </w:rPr>
        <w:t>(</w:t>
      </w:r>
      <w:r>
        <w:rPr>
          <w:rStyle w:val="paragraph-hierarchy"/>
        </w:rPr>
        <w:t>vi</w:t>
      </w:r>
      <w:r>
        <w:rPr>
          <w:rStyle w:val="paren"/>
        </w:rPr>
        <w:t>)</w:t>
      </w:r>
      <w:r>
        <w:t xml:space="preserve"> The maximum allowable water level to which the container may be filled for test purposes. </w:t>
      </w:r>
    </w:p>
    <w:p w:rsidR="00895F4C" w:rsidP="00895F4C" w14:paraId="56ED1E51" w14:textId="77777777">
      <w:pPr>
        <w:pStyle w:val="indent-3"/>
        <w:ind w:left="540"/>
      </w:pPr>
      <w:r>
        <w:rPr>
          <w:rStyle w:val="paren"/>
        </w:rPr>
        <w:t>(</w:t>
      </w:r>
      <w:r>
        <w:rPr>
          <w:rStyle w:val="paragraph-hierarchy"/>
        </w:rPr>
        <w:t>vii</w:t>
      </w:r>
      <w:r>
        <w:rPr>
          <w:rStyle w:val="paren"/>
        </w:rPr>
        <w:t>)</w:t>
      </w:r>
      <w:r>
        <w:t xml:space="preserve"> With the density of the product in pounds per cubic foot for which the container was designed. </w:t>
      </w:r>
    </w:p>
    <w:p w:rsidR="00895F4C" w:rsidP="00895F4C" w14:paraId="61B0E9DB" w14:textId="77777777">
      <w:pPr>
        <w:pStyle w:val="indent-3"/>
        <w:ind w:left="540"/>
      </w:pPr>
      <w:r>
        <w:rPr>
          <w:rStyle w:val="paren"/>
        </w:rPr>
        <w:t>(</w:t>
      </w:r>
      <w:r>
        <w:rPr>
          <w:rStyle w:val="paragraph-hierarchy"/>
        </w:rPr>
        <w:t>viii</w:t>
      </w:r>
      <w:r>
        <w:rPr>
          <w:rStyle w:val="paren"/>
        </w:rPr>
        <w:t>)</w:t>
      </w:r>
      <w:r>
        <w:t xml:space="preserve"> With the maximum level to which the container may be filled with liquid anhydrous ammonia.</w:t>
      </w:r>
    </w:p>
    <w:p w:rsidR="00A24514" w:rsidP="00A24514" w14:paraId="19A47529" w14:textId="22FD5BEA">
      <w:pPr>
        <w:widowControl/>
      </w:pPr>
      <w:r>
        <w:rPr>
          <w:u w:val="single"/>
        </w:rPr>
        <w:t>Purpose</w:t>
      </w:r>
      <w:r w:rsidRPr="006F59D1">
        <w:t>:</w:t>
      </w:r>
      <w:r>
        <w:t xml:space="preserve"> </w:t>
      </w:r>
      <w:r w:rsidRPr="000D3BDC">
        <w:t>The required markings ensure that employers use only properly designed and tested containers and systems to store anhydrous ammonia, thereby, preventing accidental release of, and exposure of workers to, this highly toxic and corrosive substance.</w:t>
      </w:r>
      <w:r w:rsidR="004546B8">
        <w:t xml:space="preserve"> Therefore, </w:t>
      </w:r>
      <w:r w:rsidR="00323971">
        <w:t>these requirements (b)</w:t>
      </w:r>
      <w:r w:rsidR="00B600A6">
        <w:t xml:space="preserve">(3) and (b)(4) </w:t>
      </w:r>
      <w:r w:rsidR="00323971">
        <w:t>impose a burden on the employer.</w:t>
      </w:r>
    </w:p>
    <w:p w:rsidR="00323971" w:rsidP="00AB03C6" w14:paraId="1827F35C" w14:textId="77777777">
      <w:pPr>
        <w:widowControl/>
        <w:rPr>
          <w:u w:val="single"/>
        </w:rPr>
      </w:pPr>
    </w:p>
    <w:p w:rsidR="000F0EF5" w:rsidRPr="000D3BDC" w:rsidP="00AB03C6" w14:paraId="69F52898" w14:textId="669A07E7">
      <w:pPr>
        <w:widowControl/>
        <w:rPr>
          <w:u w:val="single"/>
        </w:rPr>
      </w:pPr>
      <w:r>
        <w:rPr>
          <w:u w:val="single"/>
        </w:rPr>
        <w:t>§1910.111</w:t>
      </w:r>
      <w:r w:rsidRPr="000B20E5">
        <w:rPr>
          <w:u w:val="single"/>
        </w:rPr>
        <w:t xml:space="preserve"> </w:t>
      </w:r>
      <w:r w:rsidRPr="000D3BDC" w:rsidR="00895F4C">
        <w:rPr>
          <w:u w:val="single"/>
        </w:rPr>
        <w:t>(b)(8)(v)</w:t>
      </w:r>
    </w:p>
    <w:p w:rsidR="00564F33" w:rsidP="000D3BDC" w14:paraId="3871810E" w14:textId="5BD530CC">
      <w:pPr>
        <w:pStyle w:val="indent-3"/>
      </w:pPr>
      <w:r>
        <w:t xml:space="preserve">(v) On all hose one-half inch outside diameter and larger, used for the transfer of anhydrous ammonia liquid or vapor, there shall be etched, cast, or impressed at 5-foot intervals the following information. </w:t>
      </w:r>
    </w:p>
    <w:p w:rsidR="00564F33" w:rsidP="00564F33" w14:paraId="7570CD60" w14:textId="77777777">
      <w:pPr>
        <w:pStyle w:val="flush-paragraph-2"/>
      </w:pPr>
      <w:r>
        <w:t>“Anhydrous Ammonia” xxx p.s.i.g. (maximum working pressure), manufacturer's name or trademark, year of manufacture.</w:t>
      </w:r>
    </w:p>
    <w:p w:rsidR="00564F33" w:rsidP="00DC2299" w14:paraId="0383CD2C" w14:textId="77777777">
      <w:pPr>
        <w:pStyle w:val="flush-paragraph"/>
      </w:pPr>
      <w:r>
        <w:t>In lieu of this requirement the same information may be contained on a nameplate permanently attached to the hose.</w:t>
      </w:r>
    </w:p>
    <w:p w:rsidR="007A74DF" w:rsidRPr="009269AB" w:rsidP="000D3BDC" w14:paraId="793A944B" w14:textId="3CBE8148">
      <w:pPr>
        <w:pStyle w:val="flush-paragraph"/>
      </w:pPr>
      <w:r>
        <w:rPr>
          <w:u w:val="single"/>
        </w:rPr>
        <w:t>Purpose</w:t>
      </w:r>
      <w:r w:rsidR="009269AB">
        <w:t xml:space="preserve">: </w:t>
      </w:r>
      <w:r w:rsidR="007328C7">
        <w:t>T</w:t>
      </w:r>
      <w:r w:rsidR="00DF4898">
        <w:t xml:space="preserve">hese marking </w:t>
      </w:r>
      <w:r w:rsidR="009B2EA9">
        <w:t>requirement</w:t>
      </w:r>
      <w:r w:rsidR="001E1545">
        <w:t>s</w:t>
      </w:r>
      <w:r w:rsidR="009B2EA9">
        <w:t xml:space="preserve"> </w:t>
      </w:r>
      <w:r w:rsidR="00F84D71">
        <w:t>provide</w:t>
      </w:r>
      <w:r w:rsidR="001E1545">
        <w:t xml:space="preserve"> </w:t>
      </w:r>
      <w:r w:rsidR="00AF0F66">
        <w:t>safe</w:t>
      </w:r>
      <w:r w:rsidR="00CA43B4">
        <w:t xml:space="preserve"> work practices when</w:t>
      </w:r>
      <w:r w:rsidR="00B24B66">
        <w:t xml:space="preserve"> working in and around these chemicals</w:t>
      </w:r>
      <w:r w:rsidR="003B3041">
        <w:t>.</w:t>
      </w:r>
      <w:r w:rsidR="00E572C3">
        <w:t xml:space="preserve"> </w:t>
      </w:r>
      <w:r w:rsidR="006B714C">
        <w:t>OSHA is ta</w:t>
      </w:r>
      <w:r w:rsidR="002A62AF">
        <w:t>king a z</w:t>
      </w:r>
      <w:r w:rsidR="00FC5E04">
        <w:t>ero burden for this requirement</w:t>
      </w:r>
      <w:r w:rsidR="004514AC">
        <w:t xml:space="preserve"> because the </w:t>
      </w:r>
      <w:r w:rsidR="00600C71">
        <w:t>manufacturer</w:t>
      </w:r>
      <w:r w:rsidR="004514AC">
        <w:t xml:space="preserve"> is providing </w:t>
      </w:r>
      <w:r w:rsidR="00950E79">
        <w:t>the</w:t>
      </w:r>
      <w:r w:rsidR="002A4D6E">
        <w:t xml:space="preserve"> language on the nameplate.</w:t>
      </w:r>
      <w:r w:rsidR="00950E79">
        <w:t xml:space="preserve"> </w:t>
      </w:r>
    </w:p>
    <w:p w:rsidR="00564F33" w:rsidRPr="000D3BDC" w:rsidP="000D3BDC" w14:paraId="02509B10" w14:textId="3E2E138B">
      <w:pPr>
        <w:pStyle w:val="flush-paragraph"/>
        <w:rPr>
          <w:u w:val="single"/>
        </w:rPr>
      </w:pPr>
      <w:r>
        <w:rPr>
          <w:u w:val="single"/>
        </w:rPr>
        <w:t>§1910.111</w:t>
      </w:r>
      <w:r w:rsidRPr="000B20E5">
        <w:rPr>
          <w:u w:val="single"/>
        </w:rPr>
        <w:t xml:space="preserve"> </w:t>
      </w:r>
      <w:r w:rsidRPr="000D3BDC" w:rsidR="00F67A6A">
        <w:rPr>
          <w:u w:val="single"/>
        </w:rPr>
        <w:t>(b)(9)(vii)</w:t>
      </w:r>
    </w:p>
    <w:p w:rsidR="00060D67" w:rsidP="00DC2299" w14:paraId="3BD24C0E" w14:textId="3E1FA552">
      <w:pPr>
        <w:pStyle w:val="flush-paragraph"/>
      </w:pPr>
      <w:r>
        <w:t>(</w:t>
      </w:r>
      <w:r w:rsidR="009F6FD5">
        <w:t xml:space="preserve">vii) </w:t>
      </w:r>
      <w:r w:rsidR="00193792">
        <w:t xml:space="preserve">Each container safety-relief valve used with systems covered by </w:t>
      </w:r>
      <w:hyperlink r:id="rId9" w:anchor="p-1910.111(c)" w:history="1">
        <w:r w:rsidR="00193792">
          <w:rPr>
            <w:rStyle w:val="Hyperlink"/>
          </w:rPr>
          <w:t>paragraphs (c)</w:t>
        </w:r>
      </w:hyperlink>
      <w:r w:rsidR="00193792">
        <w:t xml:space="preserve">, </w:t>
      </w:r>
      <w:hyperlink r:id="rId9" w:anchor="p-1910.111(f)" w:history="1">
        <w:r w:rsidR="00193792">
          <w:rPr>
            <w:rStyle w:val="Hyperlink"/>
          </w:rPr>
          <w:t>(f)</w:t>
        </w:r>
      </w:hyperlink>
      <w:r w:rsidR="00193792">
        <w:t xml:space="preserve">, </w:t>
      </w:r>
      <w:hyperlink r:id="rId9" w:anchor="p-1910.111(g)" w:history="1">
        <w:r w:rsidR="00193792">
          <w:rPr>
            <w:rStyle w:val="Hyperlink"/>
          </w:rPr>
          <w:t>(g)</w:t>
        </w:r>
      </w:hyperlink>
      <w:r w:rsidR="00193792">
        <w:t xml:space="preserve">, and </w:t>
      </w:r>
      <w:hyperlink r:id="rId9" w:anchor="p-1910.111(h)" w:history="1">
        <w:r w:rsidR="00193792">
          <w:rPr>
            <w:rStyle w:val="Hyperlink"/>
          </w:rPr>
          <w:t>(h)</w:t>
        </w:r>
      </w:hyperlink>
      <w:r w:rsidR="00193792">
        <w:t xml:space="preserve"> of this section shall be plainly and permanently marked with the symbol “NH</w:t>
      </w:r>
      <w:r w:rsidR="00193792">
        <w:rPr>
          <w:vertAlign w:val="subscript"/>
        </w:rPr>
        <w:t>3</w:t>
      </w:r>
      <w:r w:rsidR="00193792">
        <w:t>” or “AA”; with the pressure in pounds-per-square-inch gage at which the valve is set to start-to-discharge; with the actual rate of discharge of the valve at its full open position in cubic feet per minute of air at 60 °F. and atmospheric pressure; and with the manufacturer's name and catalog number. Example: “NH</w:t>
      </w:r>
      <w:r w:rsidR="00193792">
        <w:rPr>
          <w:vertAlign w:val="subscript"/>
        </w:rPr>
        <w:t>3</w:t>
      </w:r>
      <w:r w:rsidR="00193792">
        <w:t xml:space="preserve"> 250–4050 Air” indicates that the valve is suitable for use on an anhydrous ammonia container, is set to start-to-discharge at a pressure of 250 p.s.i.g., and that its rate of discharge at full open position (subdivisions (ii) and (iii) of this subparagraph) is 4,050 cubic feet per minute of air.</w:t>
      </w:r>
    </w:p>
    <w:p w:rsidR="00AE296D" w:rsidP="000D3BDC" w14:paraId="338B7995" w14:textId="37FF3BAA">
      <w:pPr>
        <w:pStyle w:val="flush-paragraph"/>
      </w:pPr>
      <w:r>
        <w:rPr>
          <w:u w:val="single"/>
        </w:rPr>
        <w:t>Purpose</w:t>
      </w:r>
      <w:r w:rsidRPr="006F59D1">
        <w:t>:</w:t>
      </w:r>
      <w:r w:rsidR="00193156">
        <w:t xml:space="preserve"> </w:t>
      </w:r>
      <w:r w:rsidRPr="006F59D1" w:rsidR="00193156">
        <w:t>The required markings ensure that employers use only properly designed and tested containers and systems to store anhydrous ammonia, thereby, preventing accidental release of, and exposure of workers to, this highly toxic and corrosive substance.</w:t>
      </w:r>
      <w:r w:rsidR="00193156">
        <w:t xml:space="preserve"> </w:t>
      </w:r>
      <w:r w:rsidR="00281121">
        <w:t>The burden for these markings are tak</w:t>
      </w:r>
      <w:r w:rsidR="00CD2EBE">
        <w:t>en under paragraphs (b)(3) and (b)(4)</w:t>
      </w:r>
      <w:r w:rsidR="00525D01">
        <w:t>.</w:t>
      </w:r>
    </w:p>
    <w:p w:rsidR="00F67A6A" w:rsidRPr="000D3BDC" w:rsidP="00644A52" w14:paraId="44BA2004" w14:textId="08B0812F">
      <w:pPr>
        <w:pStyle w:val="flush-paragraph"/>
        <w:ind w:left="540" w:hanging="540"/>
        <w:rPr>
          <w:u w:val="single"/>
        </w:rPr>
      </w:pPr>
      <w:r>
        <w:rPr>
          <w:u w:val="single"/>
        </w:rPr>
        <w:t>§1910.111</w:t>
      </w:r>
      <w:r w:rsidRPr="000D3BDC" w:rsidR="00193792">
        <w:rPr>
          <w:u w:val="single"/>
        </w:rPr>
        <w:t xml:space="preserve"> (b)(13)(iii)</w:t>
      </w:r>
    </w:p>
    <w:p w:rsidR="00193792" w:rsidP="000D3BDC" w14:paraId="674224AC" w14:textId="74C5C863">
      <w:pPr>
        <w:pStyle w:val="flush-paragraph"/>
      </w:pPr>
      <w:r>
        <w:t xml:space="preserve">(iii) </w:t>
      </w:r>
      <w:r w:rsidR="00DA2917">
        <w:t>Caution signs shall be so placed on the track or car as to give necessary warning to persons approaching the car from open end or ends of siding and shall be left up until after the car is unloaded and disconnected from discharge connections. Signs shall be of metal or other suitable material, at least 12 by 15 inches in size and bear the words “STOP—Tank Car Connected” or “STOP—Men at Work” the word, “STOP,” being in letters at least 4 inches high and the other words in letters at least 2 inches high.</w:t>
      </w:r>
    </w:p>
    <w:p w:rsidR="000F0EF5" w:rsidRPr="00B808A9" w:rsidP="000D3BDC" w14:paraId="25CBF48C" w14:textId="3FE706CF">
      <w:pPr>
        <w:pStyle w:val="flush-paragraph"/>
        <w:ind w:left="540" w:hanging="540"/>
      </w:pPr>
      <w:r>
        <w:rPr>
          <w:u w:val="single"/>
        </w:rPr>
        <w:t>§1910.111</w:t>
      </w:r>
      <w:r w:rsidRPr="000D3BDC" w:rsidR="00DA2917">
        <w:rPr>
          <w:u w:val="single"/>
        </w:rPr>
        <w:t xml:space="preserve"> (f)(6</w:t>
      </w:r>
      <w:r w:rsidRPr="000D3BDC" w:rsidR="004B5F8D">
        <w:rPr>
          <w:u w:val="single"/>
        </w:rPr>
        <w:t>)(iv)</w:t>
      </w:r>
    </w:p>
    <w:p w:rsidR="004B5F8D" w:rsidP="00AB03C6" w14:paraId="309E6F42" w14:textId="5D798CA9">
      <w:pPr>
        <w:widowControl/>
      </w:pPr>
      <w:r>
        <w:t>(iv)</w:t>
      </w:r>
      <w:r w:rsidR="009F6FD5">
        <w:t xml:space="preserve"> </w:t>
      </w:r>
      <w:r w:rsidR="00644A52">
        <w:t>Valve functions shall be clearly and legibly identified by metal tags or nameplates permanently affixed to each valve.</w:t>
      </w:r>
    </w:p>
    <w:p w:rsidR="00644A52" w:rsidP="00AB03C6" w14:paraId="47C9BAED" w14:textId="77777777">
      <w:pPr>
        <w:widowControl/>
      </w:pPr>
    </w:p>
    <w:p w:rsidR="004B5F8D" w:rsidRPr="000D3BDC" w:rsidP="00AB03C6" w14:paraId="5F8033C3" w14:textId="1CFD0FBD">
      <w:pPr>
        <w:widowControl/>
        <w:rPr>
          <w:u w:val="single"/>
        </w:rPr>
      </w:pPr>
      <w:r>
        <w:rPr>
          <w:u w:val="single"/>
        </w:rPr>
        <w:t>§1910.111</w:t>
      </w:r>
      <w:r w:rsidRPr="000D3BDC" w:rsidR="00644A52">
        <w:rPr>
          <w:u w:val="single"/>
        </w:rPr>
        <w:t xml:space="preserve"> </w:t>
      </w:r>
      <w:r w:rsidRPr="000D3BDC" w:rsidR="006362EC">
        <w:rPr>
          <w:u w:val="single"/>
        </w:rPr>
        <w:t>(g)(5)</w:t>
      </w:r>
    </w:p>
    <w:p w:rsidR="006362EC" w:rsidP="00AB03C6" w14:paraId="20B4B33F" w14:textId="77777777">
      <w:pPr>
        <w:widowControl/>
      </w:pPr>
    </w:p>
    <w:p w:rsidR="004B5F8D" w:rsidRPr="00B808A9" w:rsidP="00AB03C6" w14:paraId="73FA7AD5" w14:textId="4AFF232D">
      <w:pPr>
        <w:widowControl/>
      </w:pPr>
      <w:r w:rsidRPr="000D3BDC">
        <w:rPr>
          <w:rStyle w:val="Emphasis"/>
          <w:i w:val="0"/>
          <w:iCs w:val="0"/>
        </w:rPr>
        <w:t>(5)</w:t>
      </w:r>
      <w:r w:rsidR="009F6FD5">
        <w:rPr>
          <w:rStyle w:val="Emphasis"/>
          <w:b/>
          <w:bCs/>
          <w:i w:val="0"/>
          <w:iCs w:val="0"/>
        </w:rPr>
        <w:t xml:space="preserve"> </w:t>
      </w:r>
      <w:r w:rsidR="001A0031">
        <w:rPr>
          <w:rStyle w:val="Emphasis"/>
          <w:b/>
          <w:bCs/>
        </w:rPr>
        <w:t>Marking the container.</w:t>
      </w:r>
      <w:r w:rsidR="001A0031">
        <w:t xml:space="preserve"> There shall appear on each side and on the rear end of the container in letters at least 4 inches high, the words, “Caution—Ammonia” or the container shall be marked in accordance with DOT regulations.</w:t>
      </w:r>
    </w:p>
    <w:p w:rsidR="006362EC" w:rsidP="00AB03C6" w14:paraId="7765700C" w14:textId="77777777">
      <w:pPr>
        <w:widowControl/>
      </w:pPr>
    </w:p>
    <w:p w:rsidR="00BC7813" w:rsidRPr="009269AB" w:rsidP="00BC7813" w14:paraId="58A0DBCF" w14:textId="35DDE7CD">
      <w:pPr>
        <w:pStyle w:val="flush-paragraph"/>
      </w:pPr>
      <w:r>
        <w:rPr>
          <w:u w:val="single"/>
        </w:rPr>
        <w:t>Purpose</w:t>
      </w:r>
      <w:r>
        <w:t xml:space="preserve">: These marking requirements provide safe work practices when working in and around these chemicals. OSHA is taking a zero burden </w:t>
      </w:r>
      <w:r w:rsidR="006753A2">
        <w:t xml:space="preserve">under </w:t>
      </w:r>
      <w:r w:rsidR="00B51877">
        <w:t>paragraphs</w:t>
      </w:r>
      <w:r w:rsidR="006753A2">
        <w:t xml:space="preserve"> </w:t>
      </w:r>
      <w:r w:rsidR="00C04E92">
        <w:t>(b)(13)(iii),</w:t>
      </w:r>
      <w:r w:rsidR="00BA6EFB">
        <w:t xml:space="preserve"> (f)</w:t>
      </w:r>
      <w:r w:rsidR="00636B36">
        <w:t>(</w:t>
      </w:r>
      <w:r w:rsidR="0050269C">
        <w:t>6)(</w:t>
      </w:r>
      <w:r w:rsidR="00C75501">
        <w:t>iv)</w:t>
      </w:r>
      <w:r w:rsidR="00753478">
        <w:t xml:space="preserve">, and </w:t>
      </w:r>
      <w:r w:rsidR="00180680">
        <w:t>(g)(5)</w:t>
      </w:r>
      <w:r>
        <w:t xml:space="preserve"> because the </w:t>
      </w:r>
      <w:r w:rsidR="000E5567">
        <w:t>language</w:t>
      </w:r>
      <w:r>
        <w:t xml:space="preserve"> is provid</w:t>
      </w:r>
      <w:r w:rsidR="0021515D">
        <w:t>ed</w:t>
      </w:r>
      <w:r>
        <w:t xml:space="preserve"> on the </w:t>
      </w:r>
      <w:r w:rsidR="009A1E48">
        <w:t xml:space="preserve">nameplate </w:t>
      </w:r>
      <w:r w:rsidR="00E66C48">
        <w:t xml:space="preserve">and/or </w:t>
      </w:r>
      <w:r w:rsidR="008E3934">
        <w:t>container</w:t>
      </w:r>
      <w:r w:rsidR="00C3279C">
        <w:t>s</w:t>
      </w:r>
      <w:r>
        <w:t xml:space="preserve">. </w:t>
      </w:r>
    </w:p>
    <w:p w:rsidR="006362EC" w:rsidRPr="00B808A9" w:rsidP="00AB03C6" w14:paraId="78AE7DAE" w14:textId="77777777">
      <w:pPr>
        <w:widowControl/>
      </w:pPr>
    </w:p>
    <w:p w:rsidR="00AB03C6" w:rsidRPr="00F579D2" w:rsidP="00AB03C6" w14:paraId="2687D2F5" w14:textId="77777777">
      <w:pPr>
        <w:widowControl/>
        <w:tabs>
          <w:tab w:val="decimal" w:pos="0"/>
        </w:tabs>
        <w:ind w:hanging="270"/>
      </w:pPr>
      <w:r w:rsidRPr="00B808A9">
        <w:rPr>
          <w:b/>
          <w:bCs/>
        </w:rPr>
        <w:tab/>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B03C6" w:rsidRPr="00B808A9" w:rsidP="00AB03C6" w14:paraId="43B4C437" w14:textId="77777777">
      <w:pPr>
        <w:widowControl/>
      </w:pPr>
    </w:p>
    <w:p w:rsidR="00AB03C6" w:rsidRPr="00F579D2" w:rsidP="00AB03C6" w14:paraId="08D84933" w14:textId="77777777">
      <w:pPr>
        <w:widowControl/>
      </w:pPr>
      <w:r w:rsidRPr="00F579D2">
        <w:t>Employers may use any available technology to provide the required information.</w:t>
      </w:r>
    </w:p>
    <w:p w:rsidR="00AB03C6" w:rsidRPr="00F579D2" w:rsidP="00AB03C6" w14:paraId="6C7CED7C" w14:textId="77777777">
      <w:pPr>
        <w:widowControl/>
      </w:pPr>
    </w:p>
    <w:p w:rsidR="00AB03C6" w:rsidRPr="00F579D2" w:rsidP="00AB03C6" w14:paraId="0FAFA496" w14:textId="77777777">
      <w:pPr>
        <w:widowControl/>
      </w:pPr>
      <w:r w:rsidRPr="00B808A9">
        <w:rPr>
          <w:b/>
          <w:bCs/>
        </w:rPr>
        <w:t xml:space="preserve"> 4.  Describe efforts to identify duplication.  Show specifically why any similar information already available cannot be used or modified for use for the purposes described in Item A.2 above.</w:t>
      </w:r>
    </w:p>
    <w:p w:rsidR="00AB03C6" w:rsidRPr="00F579D2" w:rsidP="00AB03C6" w14:paraId="6049CFC1" w14:textId="77777777">
      <w:pPr>
        <w:widowControl/>
      </w:pPr>
    </w:p>
    <w:p w:rsidR="00AB03C6" w:rsidRPr="00B808A9" w:rsidP="00AB03C6" w14:paraId="0AB400F9" w14:textId="77777777">
      <w:pPr>
        <w:widowControl/>
      </w:pPr>
      <w:r w:rsidRPr="00B808A9">
        <w:t>The information collection requirements in the Standard are specific to each employer involved and no other source or agency duplicates these requirements or can make the required information available to OSHA (i.e., the required information is available only from employers).</w:t>
      </w:r>
    </w:p>
    <w:p w:rsidR="00AB03C6" w:rsidRPr="00B808A9" w:rsidP="00AB03C6" w14:paraId="36960C7A" w14:textId="77777777">
      <w:pPr>
        <w:widowControl/>
      </w:pPr>
    </w:p>
    <w:p w:rsidR="00AB03C6" w:rsidRPr="00F579D2" w:rsidP="00AB03C6" w14:paraId="35696AC1" w14:textId="77777777">
      <w:pPr>
        <w:widowControl/>
        <w:tabs>
          <w:tab w:val="decimal" w:pos="0"/>
        </w:tabs>
        <w:ind w:hanging="270"/>
      </w:pPr>
      <w:r w:rsidRPr="00B808A9">
        <w:rPr>
          <w:b/>
          <w:bCs/>
        </w:rPr>
        <w:tab/>
      </w:r>
      <w:r w:rsidRPr="00B808A9">
        <w:rPr>
          <w:b/>
          <w:bCs/>
        </w:rPr>
        <w:t xml:space="preserve">      5.  If the collection of information impacts small businesses or other small entities, describe any methods used to minimize burden.</w:t>
      </w:r>
    </w:p>
    <w:p w:rsidR="00AB03C6" w:rsidRPr="00F579D2" w:rsidP="00AB03C6" w14:paraId="28313E10" w14:textId="77777777">
      <w:pPr>
        <w:widowControl/>
      </w:pPr>
    </w:p>
    <w:p w:rsidR="00AB03C6" w:rsidRPr="00B808A9" w:rsidP="00AB03C6" w14:paraId="0426BE63" w14:textId="77777777">
      <w:pPr>
        <w:widowControl/>
      </w:pPr>
      <w:r w:rsidRPr="00B808A9">
        <w:t>The information collection requirements specified by the Standard do not have a significant impact on a substantial number of small entities.</w:t>
      </w:r>
    </w:p>
    <w:p w:rsidR="00AB03C6" w:rsidRPr="00B808A9" w:rsidP="00AB03C6" w14:paraId="5D6295E2" w14:textId="77777777">
      <w:pPr>
        <w:widowControl/>
      </w:pPr>
    </w:p>
    <w:p w:rsidR="00AB03C6" w:rsidRPr="00F579D2" w:rsidP="00AB03C6" w14:paraId="2A1CE89A" w14:textId="77777777">
      <w:pPr>
        <w:widowControl/>
      </w:pPr>
      <w:r w:rsidRPr="00B808A9">
        <w:rPr>
          <w:b/>
          <w:bCs/>
        </w:rPr>
        <w:t xml:space="preserve"> 6.  Describe the consequence to Federal program or policy activities if the collection is not conducted or is conducted less frequently, as well as any technical or legal obstacles to reducing burden.</w:t>
      </w:r>
    </w:p>
    <w:p w:rsidR="00AB03C6" w:rsidRPr="00F579D2" w:rsidP="00AB03C6" w14:paraId="32142C32" w14:textId="77777777">
      <w:pPr>
        <w:widowControl/>
      </w:pPr>
    </w:p>
    <w:p w:rsidR="00AB03C6" w:rsidRPr="00B808A9" w:rsidP="00AB03C6" w14:paraId="4AF0423F" w14:textId="77777777">
      <w:pPr>
        <w:widowControl/>
      </w:pPr>
      <w:r w:rsidRPr="00B808A9">
        <w:t>Employers need to collect the required information only if it becomes unreadable because of equipment damage or use, or because it no longer represents the operational characteristics of the equipment.  Any reduction in frequency would eliminate the requirements entirely.</w:t>
      </w:r>
    </w:p>
    <w:p w:rsidR="00AB03C6" w:rsidRPr="00B808A9" w:rsidP="00AB03C6" w14:paraId="7E2A3AAF" w14:textId="77777777">
      <w:pPr>
        <w:widowControl/>
      </w:pPr>
    </w:p>
    <w:p w:rsidR="00AB03C6" w:rsidRPr="00B808A9" w:rsidP="00AB03C6" w14:paraId="351A36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808A9">
        <w:rPr>
          <w:b/>
          <w:bCs/>
        </w:rPr>
        <w:t xml:space="preserve">  7.  Explain any special circumstances that would cause an information collection to be conducted in a manner:</w:t>
      </w:r>
    </w:p>
    <w:p w:rsidR="00AB03C6" w:rsidRPr="00B808A9" w:rsidP="00AB03C6" w14:paraId="49AC67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B03C6" w:rsidRPr="00B808A9" w:rsidP="00AB03C6" w14:paraId="760DE80F" w14:textId="77777777">
      <w:pPr>
        <w:widowControl/>
        <w:numPr>
          <w:ilvl w:val="0"/>
          <w:numId w:val="2"/>
        </w:numPr>
        <w:tabs>
          <w:tab w:val="left" w:pos="-1080"/>
          <w:tab w:val="left" w:pos="-720"/>
          <w:tab w:val="left" w:pos="0"/>
          <w:tab w:val="left" w:pos="990"/>
          <w:tab w:val="left" w:pos="2160"/>
        </w:tabs>
        <w:rPr>
          <w:b/>
          <w:bCs/>
        </w:rPr>
      </w:pPr>
      <w:r w:rsidRPr="00B808A9">
        <w:rPr>
          <w:b/>
          <w:bCs/>
        </w:rPr>
        <w:t>Requiring respondents to report information to the agency more often than quarterly;</w:t>
      </w:r>
    </w:p>
    <w:p w:rsidR="00AB03C6" w:rsidRPr="00B808A9" w:rsidP="00AB03C6" w14:paraId="0E8C851B" w14:textId="77777777">
      <w:pPr>
        <w:widowControl/>
        <w:tabs>
          <w:tab w:val="left" w:pos="-1080"/>
          <w:tab w:val="left" w:pos="-720"/>
          <w:tab w:val="left" w:pos="0"/>
          <w:tab w:val="left" w:pos="720"/>
          <w:tab w:val="left" w:pos="990"/>
          <w:tab w:val="left" w:pos="2160"/>
        </w:tabs>
        <w:rPr>
          <w:b/>
          <w:bCs/>
        </w:rPr>
      </w:pPr>
    </w:p>
    <w:p w:rsidR="00AB03C6" w:rsidRPr="00B808A9" w:rsidP="00AB03C6" w14:paraId="3FDB27D0" w14:textId="77777777">
      <w:pPr>
        <w:pStyle w:val="Level1"/>
        <w:widowControl/>
        <w:numPr>
          <w:ilvl w:val="0"/>
          <w:numId w:val="2"/>
        </w:numPr>
        <w:tabs>
          <w:tab w:val="left" w:pos="-1080"/>
          <w:tab w:val="left" w:pos="-720"/>
          <w:tab w:val="left" w:pos="0"/>
          <w:tab w:val="left" w:pos="990"/>
          <w:tab w:val="left" w:pos="2160"/>
        </w:tabs>
        <w:outlineLvl w:val="9"/>
        <w:rPr>
          <w:b/>
          <w:bCs/>
        </w:rPr>
      </w:pPr>
      <w:r w:rsidRPr="00B808A9">
        <w:rPr>
          <w:b/>
          <w:bCs/>
        </w:rPr>
        <w:t>Requiring respondents to prepare a written response to a collection of information in fewer than 30 days after receipt of it;</w:t>
      </w:r>
    </w:p>
    <w:p w:rsidR="00AB03C6" w:rsidRPr="00B808A9" w:rsidP="00AB03C6" w14:paraId="55932995" w14:textId="77777777">
      <w:pPr>
        <w:widowControl/>
        <w:tabs>
          <w:tab w:val="left" w:pos="-1080"/>
          <w:tab w:val="left" w:pos="-720"/>
          <w:tab w:val="left" w:pos="0"/>
          <w:tab w:val="left" w:pos="720"/>
          <w:tab w:val="left" w:pos="990"/>
          <w:tab w:val="left" w:pos="2160"/>
        </w:tabs>
        <w:rPr>
          <w:b/>
          <w:bCs/>
        </w:rPr>
      </w:pPr>
    </w:p>
    <w:p w:rsidR="00AB03C6" w:rsidRPr="00B808A9" w:rsidP="00AB03C6" w14:paraId="09AF1CDD" w14:textId="77777777">
      <w:pPr>
        <w:pStyle w:val="Level1"/>
        <w:widowControl/>
        <w:numPr>
          <w:ilvl w:val="0"/>
          <w:numId w:val="2"/>
        </w:numPr>
        <w:tabs>
          <w:tab w:val="left" w:pos="-1080"/>
          <w:tab w:val="left" w:pos="-720"/>
          <w:tab w:val="left" w:pos="0"/>
          <w:tab w:val="left" w:pos="990"/>
          <w:tab w:val="left" w:pos="2160"/>
        </w:tabs>
        <w:outlineLvl w:val="9"/>
        <w:rPr>
          <w:b/>
          <w:bCs/>
        </w:rPr>
      </w:pPr>
      <w:r w:rsidRPr="00B808A9">
        <w:rPr>
          <w:b/>
          <w:bCs/>
        </w:rPr>
        <w:t>Requiring respondents to submit more than an original and two copies of any document;</w:t>
      </w:r>
    </w:p>
    <w:p w:rsidR="00AB03C6" w:rsidRPr="00B808A9" w:rsidP="00AB03C6" w14:paraId="1DF2F4B2" w14:textId="77777777">
      <w:pPr>
        <w:widowControl/>
        <w:tabs>
          <w:tab w:val="left" w:pos="-1080"/>
          <w:tab w:val="left" w:pos="-720"/>
          <w:tab w:val="left" w:pos="0"/>
          <w:tab w:val="left" w:pos="720"/>
          <w:tab w:val="left" w:pos="990"/>
          <w:tab w:val="left" w:pos="2160"/>
        </w:tabs>
        <w:rPr>
          <w:b/>
          <w:bCs/>
        </w:rPr>
      </w:pPr>
    </w:p>
    <w:p w:rsidR="00AB03C6" w:rsidRPr="00B808A9" w:rsidP="00AB03C6" w14:paraId="0CA2232A" w14:textId="77777777">
      <w:pPr>
        <w:pStyle w:val="Level1"/>
        <w:widowControl/>
        <w:numPr>
          <w:ilvl w:val="0"/>
          <w:numId w:val="2"/>
        </w:numPr>
        <w:tabs>
          <w:tab w:val="left" w:pos="-1080"/>
          <w:tab w:val="left" w:pos="-720"/>
          <w:tab w:val="left" w:pos="0"/>
          <w:tab w:val="left" w:pos="990"/>
          <w:tab w:val="left" w:pos="2160"/>
        </w:tabs>
        <w:outlineLvl w:val="9"/>
        <w:rPr>
          <w:b/>
          <w:bCs/>
        </w:rPr>
      </w:pPr>
      <w:r w:rsidRPr="00B808A9">
        <w:rPr>
          <w:b/>
          <w:bCs/>
        </w:rPr>
        <w:t>Requiring respondents to retain records, other than health, medical, government contract, grant-in-aid, or tax records for more than three years;</w:t>
      </w:r>
    </w:p>
    <w:p w:rsidR="00AB03C6" w:rsidRPr="00B808A9" w:rsidP="00AB03C6" w14:paraId="432BB536" w14:textId="77777777">
      <w:pPr>
        <w:widowControl/>
        <w:tabs>
          <w:tab w:val="left" w:pos="-1080"/>
          <w:tab w:val="left" w:pos="-720"/>
          <w:tab w:val="left" w:pos="0"/>
          <w:tab w:val="left" w:pos="720"/>
          <w:tab w:val="left" w:pos="990"/>
          <w:tab w:val="left" w:pos="2160"/>
        </w:tabs>
        <w:rPr>
          <w:b/>
          <w:bCs/>
        </w:rPr>
      </w:pPr>
    </w:p>
    <w:p w:rsidR="00AB03C6" w:rsidRPr="00B808A9" w:rsidP="00AB03C6" w14:paraId="7ED39FDF" w14:textId="77777777">
      <w:pPr>
        <w:pStyle w:val="Level1"/>
        <w:widowControl/>
        <w:numPr>
          <w:ilvl w:val="0"/>
          <w:numId w:val="2"/>
        </w:numPr>
        <w:tabs>
          <w:tab w:val="left" w:pos="-1080"/>
          <w:tab w:val="left" w:pos="-720"/>
          <w:tab w:val="left" w:pos="0"/>
          <w:tab w:val="left" w:pos="990"/>
          <w:tab w:val="left" w:pos="2160"/>
        </w:tabs>
        <w:outlineLvl w:val="9"/>
        <w:rPr>
          <w:b/>
          <w:bCs/>
        </w:rPr>
      </w:pPr>
      <w:r w:rsidRPr="00B808A9">
        <w:rPr>
          <w:b/>
          <w:bCs/>
        </w:rPr>
        <w:t>In connection with a statistical survey that is not designed to produce valid and reliable results that can be generalized to the universe of study;</w:t>
      </w:r>
    </w:p>
    <w:p w:rsidR="00AB03C6" w:rsidRPr="00B808A9" w:rsidP="00AB03C6" w14:paraId="17A92440" w14:textId="77777777">
      <w:pPr>
        <w:widowControl/>
        <w:tabs>
          <w:tab w:val="left" w:pos="-1080"/>
          <w:tab w:val="left" w:pos="-720"/>
          <w:tab w:val="left" w:pos="0"/>
          <w:tab w:val="left" w:pos="720"/>
          <w:tab w:val="left" w:pos="990"/>
          <w:tab w:val="left" w:pos="2160"/>
        </w:tabs>
        <w:rPr>
          <w:b/>
          <w:bCs/>
        </w:rPr>
      </w:pPr>
    </w:p>
    <w:p w:rsidR="00AB03C6" w:rsidRPr="00B808A9" w:rsidP="00AB03C6" w14:paraId="4EE07700" w14:textId="77777777">
      <w:pPr>
        <w:pStyle w:val="Level1"/>
        <w:widowControl/>
        <w:numPr>
          <w:ilvl w:val="0"/>
          <w:numId w:val="2"/>
        </w:numPr>
        <w:tabs>
          <w:tab w:val="left" w:pos="-1080"/>
          <w:tab w:val="left" w:pos="-720"/>
          <w:tab w:val="left" w:pos="0"/>
          <w:tab w:val="left" w:pos="990"/>
          <w:tab w:val="left" w:pos="2160"/>
        </w:tabs>
        <w:outlineLvl w:val="9"/>
        <w:rPr>
          <w:b/>
          <w:bCs/>
        </w:rPr>
      </w:pPr>
      <w:r w:rsidRPr="00B808A9">
        <w:rPr>
          <w:b/>
          <w:bCs/>
        </w:rPr>
        <w:t>Requiring the use of statistical data classification that has not been reviewed and approved by OMB;</w:t>
      </w:r>
    </w:p>
    <w:p w:rsidR="00AB03C6" w:rsidRPr="00B808A9" w:rsidP="00AB03C6" w14:paraId="14422D58" w14:textId="77777777">
      <w:pPr>
        <w:widowControl/>
        <w:tabs>
          <w:tab w:val="left" w:pos="-1080"/>
          <w:tab w:val="left" w:pos="-720"/>
          <w:tab w:val="left" w:pos="0"/>
          <w:tab w:val="left" w:pos="720"/>
          <w:tab w:val="left" w:pos="990"/>
          <w:tab w:val="left" w:pos="2160"/>
        </w:tabs>
        <w:rPr>
          <w:b/>
          <w:bCs/>
        </w:rPr>
      </w:pPr>
    </w:p>
    <w:p w:rsidR="00AB03C6" w:rsidRPr="00B808A9" w:rsidP="00AB03C6" w14:paraId="49D2437D" w14:textId="77777777">
      <w:pPr>
        <w:pStyle w:val="Level1"/>
        <w:widowControl/>
        <w:numPr>
          <w:ilvl w:val="0"/>
          <w:numId w:val="2"/>
        </w:numPr>
        <w:tabs>
          <w:tab w:val="left" w:pos="-1080"/>
          <w:tab w:val="left" w:pos="-720"/>
          <w:tab w:val="left" w:pos="0"/>
          <w:tab w:val="left" w:pos="990"/>
          <w:tab w:val="left" w:pos="2160"/>
        </w:tabs>
        <w:outlineLvl w:val="9"/>
        <w:rPr>
          <w:b/>
          <w:bCs/>
        </w:rPr>
      </w:pPr>
      <w:r w:rsidRPr="00B808A9">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B03C6" w:rsidRPr="00B808A9" w:rsidP="00AB03C6" w14:paraId="2273E6EE" w14:textId="77777777">
      <w:pPr>
        <w:widowControl/>
        <w:tabs>
          <w:tab w:val="left" w:pos="-1080"/>
          <w:tab w:val="left" w:pos="-720"/>
          <w:tab w:val="left" w:pos="0"/>
          <w:tab w:val="left" w:pos="720"/>
          <w:tab w:val="left" w:pos="990"/>
          <w:tab w:val="left" w:pos="2160"/>
        </w:tabs>
        <w:rPr>
          <w:b/>
          <w:bCs/>
        </w:rPr>
      </w:pPr>
    </w:p>
    <w:p w:rsidR="00AB03C6" w:rsidRPr="00B808A9" w:rsidP="00AB03C6" w14:paraId="536F0E1A" w14:textId="77777777">
      <w:pPr>
        <w:pStyle w:val="Level1"/>
        <w:widowControl/>
        <w:numPr>
          <w:ilvl w:val="0"/>
          <w:numId w:val="2"/>
        </w:numPr>
        <w:tabs>
          <w:tab w:val="left" w:pos="-1080"/>
          <w:tab w:val="left" w:pos="-720"/>
          <w:tab w:val="left" w:pos="0"/>
          <w:tab w:val="left" w:pos="990"/>
          <w:tab w:val="left" w:pos="2160"/>
        </w:tabs>
        <w:outlineLvl w:val="9"/>
      </w:pPr>
      <w:r w:rsidRPr="00B808A9">
        <w:rPr>
          <w:b/>
          <w:bCs/>
        </w:rPr>
        <w:t>Requiring respondents to submit proprietary trade secret, or other confidential information unless the agency can prove that it has instituted procedures to protect the information's confidentially to the extent permitted by law.</w:t>
      </w:r>
    </w:p>
    <w:p w:rsidR="00AB03C6" w:rsidRPr="00B808A9" w:rsidP="00AB03C6" w14:paraId="667CECE2" w14:textId="77777777">
      <w:pPr>
        <w:widowControl/>
        <w:tabs>
          <w:tab w:val="left" w:pos="-1080"/>
          <w:tab w:val="left" w:pos="-720"/>
          <w:tab w:val="left" w:pos="0"/>
          <w:tab w:val="left" w:pos="720"/>
          <w:tab w:val="left" w:pos="990"/>
          <w:tab w:val="left" w:pos="2160"/>
        </w:tabs>
      </w:pPr>
    </w:p>
    <w:p w:rsidR="00AB03C6" w:rsidRPr="00F579D2" w:rsidP="00AB03C6" w14:paraId="61989A74" w14:textId="77777777">
      <w:pPr>
        <w:widowControl/>
        <w:tabs>
          <w:tab w:val="left" w:pos="-1080"/>
          <w:tab w:val="left" w:pos="-720"/>
          <w:tab w:val="left" w:pos="0"/>
          <w:tab w:val="left" w:pos="720"/>
          <w:tab w:val="left" w:pos="990"/>
          <w:tab w:val="left" w:pos="2160"/>
        </w:tabs>
      </w:pPr>
      <w:r w:rsidRPr="00F579D2">
        <w:t>No special circumstances exist that require employers to collect information using the procedures specified by this item.  The requirements are within the guidelines set forth in 5 CFR 1320.5.</w:t>
      </w:r>
    </w:p>
    <w:p w:rsidR="00AB03C6" w:rsidRPr="00B808A9" w:rsidP="00AB03C6" w14:paraId="366A33C0" w14:textId="77777777">
      <w:pPr>
        <w:widowControl/>
        <w:tabs>
          <w:tab w:val="left" w:pos="-1080"/>
          <w:tab w:val="left" w:pos="-720"/>
          <w:tab w:val="left" w:pos="0"/>
          <w:tab w:val="left" w:pos="720"/>
          <w:tab w:val="left" w:pos="990"/>
          <w:tab w:val="left" w:pos="2160"/>
        </w:tabs>
      </w:pPr>
    </w:p>
    <w:p w:rsidR="00AB03C6" w:rsidRPr="00B808A9" w:rsidP="00AB03C6" w14:paraId="23501DE6" w14:textId="77777777">
      <w:pPr>
        <w:widowControl/>
        <w:tabs>
          <w:tab w:val="left" w:pos="-1080"/>
          <w:tab w:val="left" w:pos="-720"/>
          <w:tab w:val="left" w:pos="0"/>
          <w:tab w:val="left" w:pos="720"/>
          <w:tab w:val="left" w:pos="990"/>
          <w:tab w:val="left" w:pos="2160"/>
        </w:tabs>
        <w:rPr>
          <w:b/>
          <w:bCs/>
        </w:rPr>
      </w:pPr>
      <w:r w:rsidRPr="00B808A9">
        <w:rPr>
          <w:b/>
          <w:bCs/>
        </w:rPr>
        <w:t xml:space="preserve"> 8.  If applicable, provide a copy and identify the date and page number of publication in the Federal Register of the agency's notice, required by 5 CFR 1320.8(d), soliciting comments on the information collection before submission to OMB.  Summarize public comments received in response to that notice and describe actions taken by the agency in response to those comments.  Specifically, address comments received on cost and hour burdens.</w:t>
      </w:r>
    </w:p>
    <w:p w:rsidR="00AB03C6" w:rsidRPr="00B808A9" w:rsidP="00AB03C6" w14:paraId="5397CF87" w14:textId="77777777">
      <w:pPr>
        <w:widowControl/>
        <w:tabs>
          <w:tab w:val="left" w:pos="-1080"/>
          <w:tab w:val="left" w:pos="-720"/>
          <w:tab w:val="left" w:pos="0"/>
          <w:tab w:val="left" w:pos="720"/>
          <w:tab w:val="left" w:pos="990"/>
          <w:tab w:val="left" w:pos="2160"/>
        </w:tabs>
        <w:ind w:left="720"/>
        <w:rPr>
          <w:b/>
          <w:bCs/>
        </w:rPr>
      </w:pPr>
    </w:p>
    <w:p w:rsidR="00AB03C6" w:rsidRPr="00B808A9" w:rsidP="00AB03C6" w14:paraId="0201591F" w14:textId="77777777">
      <w:pPr>
        <w:widowControl/>
        <w:tabs>
          <w:tab w:val="left" w:pos="-1080"/>
          <w:tab w:val="left" w:pos="-720"/>
          <w:tab w:val="left" w:pos="0"/>
          <w:tab w:val="left" w:pos="720"/>
          <w:tab w:val="left" w:pos="990"/>
          <w:tab w:val="left" w:pos="2160"/>
        </w:tabs>
        <w:rPr>
          <w:b/>
          <w:bCs/>
        </w:rPr>
      </w:pPr>
      <w:r w:rsidRPr="00B808A9">
        <w:rPr>
          <w:b/>
          <w:bCs/>
        </w:rPr>
        <w:t>Describe efforts to consult with persons outside the agency to obtain their views on the availability of data, frequency of collection, the clarity of instructions and recordkeeping, disclosure, or reporting format (if any), and on the data elements to be recorded, revealed, or reported.</w:t>
      </w:r>
    </w:p>
    <w:p w:rsidR="00AB03C6" w:rsidRPr="00B808A9" w:rsidP="00AB03C6" w14:paraId="08C49D08" w14:textId="77777777">
      <w:pPr>
        <w:widowControl/>
        <w:tabs>
          <w:tab w:val="left" w:pos="-1080"/>
          <w:tab w:val="left" w:pos="-720"/>
          <w:tab w:val="left" w:pos="0"/>
          <w:tab w:val="left" w:pos="720"/>
          <w:tab w:val="left" w:pos="990"/>
          <w:tab w:val="left" w:pos="2160"/>
        </w:tabs>
        <w:rPr>
          <w:b/>
          <w:bCs/>
        </w:rPr>
      </w:pPr>
    </w:p>
    <w:p w:rsidR="00AB03C6" w:rsidRPr="00B808A9" w:rsidP="00AB03C6" w14:paraId="79C8FA2C" w14:textId="77777777">
      <w:pPr>
        <w:widowControl/>
        <w:tabs>
          <w:tab w:val="left" w:pos="-1080"/>
          <w:tab w:val="left" w:pos="-720"/>
          <w:tab w:val="left" w:pos="0"/>
          <w:tab w:val="left" w:pos="720"/>
          <w:tab w:val="left" w:pos="990"/>
          <w:tab w:val="left" w:pos="2160"/>
        </w:tabs>
        <w:rPr>
          <w:b/>
          <w:bCs/>
        </w:rPr>
      </w:pPr>
      <w:r w:rsidRPr="00B808A9">
        <w:rPr>
          <w:b/>
          <w:bCs/>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mitigate against consultation in a specific situation.  These circumstances should be explained.</w:t>
      </w:r>
    </w:p>
    <w:p w:rsidR="00E91CFC" w:rsidP="00695B91" w14:paraId="2E3258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640314" w:rsidP="009A25D9" w14:paraId="67BB71E5" w14:textId="77777777">
      <w:pPr>
        <w:widowControl/>
        <w:autoSpaceDE/>
        <w:autoSpaceDN/>
        <w:adjustRightInd/>
        <w:spacing w:after="200"/>
        <w:rPr>
          <w:rFonts w:eastAsia="Batang"/>
        </w:rPr>
      </w:pPr>
    </w:p>
    <w:p w:rsidR="00640314" w:rsidRPr="009A25D9" w:rsidP="009A25D9" w14:paraId="231F2F0F" w14:textId="1792E89B">
      <w:pPr>
        <w:widowControl/>
        <w:autoSpaceDE/>
        <w:autoSpaceDN/>
        <w:adjustRightInd/>
        <w:spacing w:after="200"/>
        <w:rPr>
          <w:rFonts w:eastAsia="Batang"/>
        </w:rPr>
      </w:pPr>
      <w:r w:rsidRPr="00651B9B">
        <w:rPr>
          <w:rStyle w:val="normaltextrun"/>
          <w:color w:val="000000"/>
          <w:shd w:val="clear" w:color="auto" w:fill="FFFFFF"/>
        </w:rPr>
        <w:t xml:space="preserve">As required by the Paperwork Reduction Act of 1995 (44 U.S.C. 506(c)(2)(A)), OSHA </w:t>
      </w:r>
      <w:r w:rsidRPr="00651B9B">
        <w:rPr>
          <w:rStyle w:val="normaltextrun"/>
          <w:color w:val="000000"/>
          <w:shd w:val="clear" w:color="auto" w:fill="FFFFFF"/>
        </w:rPr>
        <w:t>published a notice in the Federal Register October 10, 2023 (88 FR 73877) soliciting comments on its proposal to extend the Office of Management and Budget’s (OMB) approval of the information collection requirements specified in the Storage and Handling of Anhydrous Ammonia Standard under Docket No. OSHA-2010-0050. This notice was part of a preclearance consultation program that provides interested parties the opportunity to comment on OSHA’s request for an extension by OMB of a previous approval of the inf</w:t>
      </w:r>
      <w:r w:rsidRPr="00651B9B">
        <w:rPr>
          <w:rStyle w:val="normaltextrun"/>
          <w:color w:val="000000"/>
          <w:shd w:val="clear" w:color="auto" w:fill="FFFFFF"/>
        </w:rPr>
        <w:t>ormation collection requirements found in the above Standard. The agency did not receive any public comments submitted in response to this notice.</w:t>
      </w:r>
    </w:p>
    <w:p w:rsidR="00AB03C6" w:rsidRPr="00F579D2" w:rsidP="00AB03C6" w14:paraId="237B90D5" w14:textId="77777777">
      <w:pPr>
        <w:widowControl/>
        <w:tabs>
          <w:tab w:val="left" w:pos="90"/>
        </w:tabs>
        <w:ind w:hanging="90"/>
      </w:pPr>
      <w:r w:rsidRPr="00B808A9">
        <w:rPr>
          <w:b/>
          <w:bCs/>
        </w:rPr>
        <w:t xml:space="preserve">  9.  Explain any decision to provide any payment or gift to respondents, other than </w:t>
      </w:r>
      <w:r w:rsidRPr="00B808A9" w:rsidR="00AE2F75">
        <w:rPr>
          <w:b/>
          <w:bCs/>
        </w:rPr>
        <w:t>remuneration</w:t>
      </w:r>
      <w:r w:rsidRPr="00B808A9">
        <w:rPr>
          <w:b/>
          <w:bCs/>
        </w:rPr>
        <w:t xml:space="preserve"> of contractors or grantees.</w:t>
      </w:r>
    </w:p>
    <w:p w:rsidR="00AB03C6" w:rsidRPr="00F579D2" w:rsidP="00AB03C6" w14:paraId="566FF73F" w14:textId="77777777">
      <w:pPr>
        <w:widowControl/>
        <w:ind w:left="-90"/>
      </w:pPr>
    </w:p>
    <w:p w:rsidR="00AB03C6" w:rsidRPr="00B808A9" w:rsidP="00AB03C6" w14:paraId="206D0AC0" w14:textId="77777777">
      <w:pPr>
        <w:widowControl/>
      </w:pPr>
      <w:r w:rsidRPr="00B808A9">
        <w:t xml:space="preserve">The Agency will </w:t>
      </w:r>
      <w:r w:rsidRPr="00B808A9">
        <w:rPr>
          <w:u w:val="single"/>
        </w:rPr>
        <w:t>not</w:t>
      </w:r>
      <w:r w:rsidRPr="00B808A9">
        <w:t xml:space="preserve"> provide payments or gifts to the respondents.</w:t>
      </w:r>
    </w:p>
    <w:p w:rsidR="00AB03C6" w:rsidRPr="00B808A9" w:rsidP="00AB03C6" w14:paraId="12421995" w14:textId="77777777">
      <w:pPr>
        <w:widowControl/>
        <w:ind w:left="360" w:hanging="360"/>
        <w:rPr>
          <w:b/>
          <w:bCs/>
        </w:rPr>
      </w:pPr>
    </w:p>
    <w:p w:rsidR="00AB03C6" w:rsidRPr="00F579D2" w:rsidP="00AB03C6" w14:paraId="0CDC1497" w14:textId="77777777">
      <w:pPr>
        <w:widowControl/>
        <w:ind w:hanging="90"/>
      </w:pPr>
      <w:r w:rsidRPr="00B808A9">
        <w:rPr>
          <w:b/>
          <w:bCs/>
        </w:rPr>
        <w:t xml:space="preserve"> 10.  Describe any assurance of confidentiality provided to respondents and the basis for the assurance in statute, regulation, or agency policy.</w:t>
      </w:r>
    </w:p>
    <w:p w:rsidR="00AB03C6" w:rsidRPr="00F579D2" w:rsidP="00AB03C6" w14:paraId="720EA5D1" w14:textId="77777777">
      <w:pPr>
        <w:widowControl/>
      </w:pPr>
    </w:p>
    <w:p w:rsidR="00AB03C6" w:rsidRPr="00B808A9" w:rsidP="00AB03C6" w14:paraId="36FC2F46" w14:textId="77777777">
      <w:pPr>
        <w:widowControl/>
      </w:pPr>
      <w:r w:rsidRPr="00B808A9">
        <w:t>The paperwork requirements specified by the Standard do not involve confidential information.</w:t>
      </w:r>
    </w:p>
    <w:p w:rsidR="00AB03C6" w:rsidRPr="00B808A9" w:rsidP="00AB03C6" w14:paraId="03AE5D16" w14:textId="77777777">
      <w:pPr>
        <w:widowControl/>
      </w:pPr>
    </w:p>
    <w:p w:rsidR="00AB03C6" w:rsidRPr="00F579D2" w:rsidP="00AB03C6" w14:paraId="5335C180" w14:textId="77777777">
      <w:pPr>
        <w:widowControl/>
      </w:pPr>
      <w:r w:rsidRPr="00B808A9">
        <w:rPr>
          <w:b/>
          <w:bCs/>
        </w:rPr>
        <w:t>11.  Provide additional justification for any questions of a sensitive nature, such as sexual behavior and attitudes, religious beliefs, and other matters that are commonly considered private.  This justification should include the reason why the agency considers the questions necessary, the specific uses to be made of the information, the explanation to be given to persons from whom the information is requested, and any steps to be taken to obtain their consent.</w:t>
      </w:r>
    </w:p>
    <w:p w:rsidR="00AB03C6" w:rsidRPr="00F579D2" w:rsidP="00AB03C6" w14:paraId="504D214B" w14:textId="77777777">
      <w:pPr>
        <w:widowControl/>
      </w:pPr>
    </w:p>
    <w:p w:rsidR="00AB03C6" w:rsidRPr="00B808A9" w:rsidP="00AB03C6" w14:paraId="3A031343" w14:textId="77777777">
      <w:pPr>
        <w:widowControl/>
      </w:pPr>
      <w:r w:rsidRPr="00B808A9">
        <w:t>The paperwork requirements specified by the Standard do not involve sensitive information.</w:t>
      </w:r>
    </w:p>
    <w:p w:rsidR="00AB03C6" w:rsidRPr="00B808A9" w:rsidP="00AB03C6" w14:paraId="2306C317" w14:textId="77777777">
      <w:pPr>
        <w:widowControl/>
      </w:pPr>
    </w:p>
    <w:p w:rsidR="00AB03C6" w:rsidRPr="00B808A9" w:rsidP="00AB03C6" w14:paraId="55770359" w14:textId="77777777">
      <w:pPr>
        <w:widowControl/>
        <w:rPr>
          <w:b/>
          <w:bCs/>
        </w:rPr>
      </w:pPr>
      <w:r w:rsidRPr="00B808A9">
        <w:rPr>
          <w:b/>
          <w:bCs/>
        </w:rPr>
        <w:t>12.  Provide estimates of the hour burden of the collection of information.  The statement should:</w:t>
      </w:r>
    </w:p>
    <w:p w:rsidR="00AB03C6" w:rsidRPr="00B808A9" w:rsidP="00AB03C6" w14:paraId="51C85DCC" w14:textId="77777777">
      <w:pPr>
        <w:widowControl/>
        <w:rPr>
          <w:b/>
          <w:bCs/>
        </w:rPr>
      </w:pPr>
    </w:p>
    <w:p w:rsidR="00AB03C6" w:rsidRPr="00B808A9" w:rsidP="00AB03C6" w14:paraId="0EC34D9A" w14:textId="77777777">
      <w:pPr>
        <w:widowControl/>
        <w:ind w:left="450" w:hanging="450"/>
        <w:rPr>
          <w:b/>
          <w:bCs/>
        </w:rPr>
      </w:pPr>
      <w:r w:rsidRPr="00B808A9">
        <w:rPr>
          <w:b/>
          <w:bCs/>
        </w:rPr>
        <w:t xml:space="preserve">     ·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w:t>
      </w:r>
      <w:r w:rsidRPr="00B808A9">
        <w:rPr>
          <w:b/>
          <w:bCs/>
        </w:rPr>
        <w:t>n, and explain the reasons for the variance.  Generally, estimates should not include burden hours for customary and usual business practices.</w:t>
      </w:r>
    </w:p>
    <w:p w:rsidR="00AB03C6" w:rsidRPr="00B808A9" w:rsidP="00AB03C6" w14:paraId="7584D566" w14:textId="77777777">
      <w:pPr>
        <w:widowControl/>
        <w:rPr>
          <w:b/>
          <w:bCs/>
        </w:rPr>
      </w:pPr>
    </w:p>
    <w:p w:rsidR="00AB03C6" w:rsidRPr="00B808A9" w:rsidP="00AB03C6" w14:paraId="03FB9CB3" w14:textId="77777777">
      <w:pPr>
        <w:widowControl/>
        <w:ind w:left="450" w:hanging="450"/>
        <w:rPr>
          <w:b/>
          <w:bCs/>
        </w:rPr>
      </w:pPr>
      <w:r w:rsidRPr="00B808A9">
        <w:rPr>
          <w:b/>
          <w:bCs/>
        </w:rPr>
        <w:t xml:space="preserve">     ·  If this request for approval covers more than one form, provide separate hour burden estimates for each form and aggregate the hour burdens.</w:t>
      </w:r>
    </w:p>
    <w:p w:rsidR="00AB03C6" w:rsidRPr="00B808A9" w:rsidP="00AB03C6" w14:paraId="66B72F34" w14:textId="77777777">
      <w:pPr>
        <w:widowControl/>
        <w:rPr>
          <w:b/>
          <w:bCs/>
        </w:rPr>
      </w:pPr>
    </w:p>
    <w:p w:rsidR="00AB03C6" w:rsidRPr="00B808A9" w:rsidP="00AB03C6" w14:paraId="1C9AD63A" w14:textId="77777777">
      <w:pPr>
        <w:widowControl/>
        <w:ind w:left="360" w:hanging="360"/>
        <w:rPr>
          <w:b/>
          <w:bCs/>
        </w:rPr>
      </w:pPr>
      <w:r w:rsidRPr="00B808A9">
        <w:rPr>
          <w:b/>
          <w:bCs/>
        </w:rPr>
        <w:t xml:space="preserve">     ·  Provide estimates of annualized cost to respondents for the hour burdens for collections of information, identifying and using appropriate wage-rate categories.</w:t>
      </w:r>
    </w:p>
    <w:p w:rsidR="00AB03C6" w:rsidRPr="00F579D2" w:rsidP="00AB03C6" w14:paraId="7B193DF7" w14:textId="77777777">
      <w:pPr>
        <w:widowControl/>
        <w:ind w:left="360" w:hanging="360"/>
      </w:pPr>
    </w:p>
    <w:p w:rsidR="006B7763" w:rsidRPr="00F579D2" w:rsidP="006B7763" w14:paraId="126B3733" w14:textId="77777777">
      <w:pPr>
        <w:rPr>
          <w:b/>
        </w:rPr>
      </w:pPr>
      <w:r w:rsidRPr="00F579D2">
        <w:rPr>
          <w:b/>
        </w:rPr>
        <w:t>Burden-Hour and Cost Determination</w:t>
      </w:r>
    </w:p>
    <w:p w:rsidR="006B7763" w:rsidRPr="00B808A9" w:rsidP="00AB03C6" w14:paraId="36316CC8" w14:textId="77777777">
      <w:pPr>
        <w:widowControl/>
        <w:rPr>
          <w:color w:val="000000"/>
        </w:rPr>
      </w:pPr>
    </w:p>
    <w:p w:rsidR="00FA2C0C" w:rsidP="009B0CE1" w14:paraId="46A76BF6" w14:textId="20094326">
      <w:pPr>
        <w:rPr>
          <w:rFonts w:eastAsia="Calibri"/>
        </w:rPr>
      </w:pPr>
      <w:r w:rsidRPr="00B808A9">
        <w:rPr>
          <w:rFonts w:eastAsia="Calibri"/>
        </w:rPr>
        <w:t xml:space="preserve">The </w:t>
      </w:r>
      <w:r w:rsidR="004048E3">
        <w:rPr>
          <w:rFonts w:eastAsia="Calibri"/>
        </w:rPr>
        <w:t>a</w:t>
      </w:r>
      <w:r w:rsidRPr="00B808A9">
        <w:rPr>
          <w:rFonts w:eastAsia="Calibri"/>
        </w:rPr>
        <w:t xml:space="preserve">gency determined the wage rate from mean hourly wage earnings to represent the cost of employee time. </w:t>
      </w:r>
      <w:r w:rsidRPr="00B808A9">
        <w:t xml:space="preserve">The following hourly wage rates for the relevant occupational categories have been derived from the </w:t>
      </w:r>
      <w:r w:rsidRPr="00B808A9">
        <w:rPr>
          <w:i/>
        </w:rPr>
        <w:t>National Occupational Employment and Wage Estimates United States, May 20</w:t>
      </w:r>
      <w:r w:rsidR="00CB4EAC">
        <w:rPr>
          <w:i/>
        </w:rPr>
        <w:t>22</w:t>
      </w:r>
      <w:r w:rsidRPr="00B808A9">
        <w:t>, published by the Bureau of Labor Statistics.</w:t>
      </w:r>
      <w:r w:rsidRPr="00B808A9">
        <w:rPr>
          <w:color w:val="000000"/>
        </w:rPr>
        <w:t xml:space="preserve"> </w:t>
      </w:r>
      <w:r w:rsidRPr="00B808A9">
        <w:rPr>
          <w:rFonts w:eastAsia="Calibri"/>
        </w:rPr>
        <w:t xml:space="preserve"> For the relevant standard occupational classification category, </w:t>
      </w:r>
      <w:r w:rsidRPr="006646CC">
        <w:t xml:space="preserve">OSHA used the wage rates reported in the Bureau of Labor Statistics, U.S. Department of Labor, </w:t>
      </w:r>
      <w:r w:rsidRPr="006646CC">
        <w:rPr>
          <w:bCs/>
          <w:i/>
        </w:rPr>
        <w:t>Occupational Employment and</w:t>
      </w:r>
      <w:r w:rsidRPr="006646CC">
        <w:rPr>
          <w:bCs/>
          <w:i/>
        </w:rPr>
        <w:t xml:space="preserve"> Wage Statistics (OEWS), May 202</w:t>
      </w:r>
      <w:r w:rsidR="00AA07FB">
        <w:rPr>
          <w:bCs/>
          <w:i/>
        </w:rPr>
        <w:t>2</w:t>
      </w:r>
      <w:r w:rsidRPr="006646CC">
        <w:rPr>
          <w:bCs/>
        </w:rPr>
        <w:t xml:space="preserve"> [date accessed: </w:t>
      </w:r>
      <w:r w:rsidR="00AA07FB">
        <w:rPr>
          <w:bCs/>
        </w:rPr>
        <w:t>June 5</w:t>
      </w:r>
      <w:r w:rsidRPr="006646CC">
        <w:rPr>
          <w:bCs/>
        </w:rPr>
        <w:t>, 202</w:t>
      </w:r>
      <w:r w:rsidR="00AA07FB">
        <w:rPr>
          <w:bCs/>
        </w:rPr>
        <w:t>3</w:t>
      </w:r>
      <w:r w:rsidRPr="006646CC">
        <w:rPr>
          <w:bCs/>
        </w:rPr>
        <w:t xml:space="preserve">]. (OEWS data is available at </w:t>
      </w:r>
      <w:hyperlink r:id="rId10" w:history="1">
        <w:r w:rsidRPr="006646CC">
          <w:rPr>
            <w:rStyle w:val="Hyperlink"/>
          </w:rPr>
          <w:t>https://www.bls.gov/oes/tables.htm</w:t>
        </w:r>
      </w:hyperlink>
      <w:r w:rsidRPr="006646CC">
        <w:t>.</w:t>
      </w:r>
    </w:p>
    <w:p w:rsidR="009B0CE1" w:rsidRPr="00F579D2" w:rsidP="009B0CE1" w14:paraId="2126F28D" w14:textId="2DEDFD7D">
      <w:pPr>
        <w:rPr>
          <w:rFonts w:eastAsia="Calibri"/>
        </w:rPr>
      </w:pPr>
      <w:r w:rsidRPr="00F579D2">
        <w:rPr>
          <w:rFonts w:eastAsia="Calibri"/>
        </w:rPr>
        <w:t>To access a wage rate, select the year, “Occupation Profiles,” and the Standard Occupational Classification (SOC) code.)</w:t>
      </w:r>
    </w:p>
    <w:p w:rsidR="009B0CE1" w:rsidRPr="00F579D2" w:rsidP="009B0CE1" w14:paraId="6E33C00B" w14:textId="77777777">
      <w:pPr>
        <w:rPr>
          <w:rFonts w:eastAsia="Calibri"/>
        </w:rPr>
      </w:pPr>
    </w:p>
    <w:p w:rsidR="00FA2C0C" w:rsidP="009B0CE1" w14:paraId="5B176A8A" w14:textId="2B53DBD8">
      <w:pPr>
        <w:rPr>
          <w:rFonts w:eastAsia="Calibri"/>
        </w:rPr>
      </w:pPr>
      <w:r w:rsidRPr="00B808A9">
        <w:rPr>
          <w:rFonts w:eastAsia="Calibri"/>
        </w:rPr>
        <w:t>To account for fringe benefits, the Agency used the Bureau of La</w:t>
      </w:r>
      <w:r w:rsidR="00833E92">
        <w:rPr>
          <w:rFonts w:eastAsia="Calibri"/>
        </w:rPr>
        <w:t xml:space="preserve">bor Statistics’ (BLS) </w:t>
      </w:r>
      <w:r w:rsidR="00CB4EAC">
        <w:rPr>
          <w:rFonts w:eastAsia="Calibri"/>
        </w:rPr>
        <w:t>December 2022</w:t>
      </w:r>
      <w:r w:rsidRPr="00B808A9">
        <w:rPr>
          <w:rFonts w:eastAsia="Calibri"/>
        </w:rPr>
        <w:t xml:space="preserve"> National Compensation Survey</w:t>
      </w:r>
      <w:r w:rsidRPr="00B808A9">
        <w:rPr>
          <w:rFonts w:eastAsia="Calibri"/>
          <w:i/>
        </w:rPr>
        <w:t xml:space="preserve">. </w:t>
      </w:r>
      <w:r w:rsidRPr="00B808A9">
        <w:rPr>
          <w:rFonts w:eastAsia="Calibri"/>
        </w:rPr>
        <w:t xml:space="preserve"> Fringe markup is from the following BLS release: </w:t>
      </w:r>
      <w:r w:rsidRPr="006646CC">
        <w:rPr>
          <w:i/>
        </w:rPr>
        <w:t>Employer Costs for Compensation</w:t>
      </w:r>
      <w:r w:rsidRPr="006646CC">
        <w:t xml:space="preserve"> news release text released 10:00 AM (EDT), </w:t>
      </w:r>
      <w:r w:rsidRPr="00B808A9" w:rsidR="00CB4EAC">
        <w:rPr>
          <w:rFonts w:eastAsia="Calibri"/>
        </w:rPr>
        <w:t>(</w:t>
      </w:r>
      <w:hyperlink r:id="rId11" w:history="1">
        <w:r w:rsidRPr="00F579D2" w:rsidR="00CB4EAC">
          <w:rPr>
            <w:rStyle w:val="Hyperlink"/>
            <w:rFonts w:eastAsia="Calibri"/>
          </w:rPr>
          <w:t>https://www.bls.gov/news.release/pdf/ecec.pdf</w:t>
        </w:r>
      </w:hyperlink>
      <w:r w:rsidRPr="00F579D2" w:rsidR="00CB4EAC">
        <w:rPr>
          <w:rFonts w:eastAsia="Calibri"/>
        </w:rPr>
        <w:t xml:space="preserve">). </w:t>
      </w:r>
      <w:r w:rsidRPr="006646CC">
        <w:t xml:space="preserve">[date accessed: </w:t>
      </w:r>
      <w:r w:rsidR="00CB4EAC">
        <w:t>June 5</w:t>
      </w:r>
      <w:r w:rsidRPr="006646CC">
        <w:t>, 202</w:t>
      </w:r>
      <w:r w:rsidR="00CB4EAC">
        <w:t>3</w:t>
      </w:r>
      <w:r w:rsidRPr="006646CC">
        <w:t xml:space="preserve">].  </w:t>
      </w:r>
    </w:p>
    <w:p w:rsidR="009B0CE1" w:rsidRPr="00B808A9" w:rsidP="009B0CE1" w14:paraId="525B685F" w14:textId="69795A73">
      <w:pPr>
        <w:rPr>
          <w:rFonts w:eastAsia="Calibri"/>
        </w:rPr>
      </w:pPr>
      <w:r w:rsidRPr="00B808A9">
        <w:rPr>
          <w:rFonts w:eastAsia="Calibri"/>
        </w:rPr>
        <w:t xml:space="preserve"> </w:t>
      </w:r>
      <w:r w:rsidRPr="00F579D2">
        <w:rPr>
          <w:rFonts w:eastAsia="Calibri"/>
        </w:rPr>
        <w:t xml:space="preserve">BLS reported that for civilian workers, fringe benefits accounted for </w:t>
      </w:r>
      <w:r w:rsidR="00CB4EAC">
        <w:rPr>
          <w:rFonts w:eastAsia="Calibri"/>
        </w:rPr>
        <w:t>31</w:t>
      </w:r>
      <w:r w:rsidRPr="00F579D2">
        <w:rPr>
          <w:rFonts w:eastAsia="Calibri"/>
        </w:rPr>
        <w:t xml:space="preserve"> percent of total compensation and wages accounted for the remaining </w:t>
      </w:r>
      <w:r w:rsidR="00CB4EAC">
        <w:rPr>
          <w:rFonts w:eastAsia="Calibri"/>
        </w:rPr>
        <w:t>69</w:t>
      </w:r>
      <w:r w:rsidRPr="00F579D2">
        <w:rPr>
          <w:rFonts w:eastAsia="Calibri"/>
        </w:rPr>
        <w:t xml:space="preserve"> </w:t>
      </w:r>
      <w:r w:rsidRPr="00B808A9">
        <w:rPr>
          <w:rFonts w:eastAsia="Calibri"/>
        </w:rPr>
        <w:t>percent.  To calculate the loaded hourly wage for each occupation, the Agency divided the mean hourly wage by</w:t>
      </w:r>
      <w:r w:rsidRPr="00B808A9">
        <w:t xml:space="preserve"> 1 minus the fringe benefits</w:t>
      </w:r>
      <w:r w:rsidRPr="00B808A9">
        <w:rPr>
          <w:rFonts w:eastAsia="Calibri"/>
        </w:rPr>
        <w:t>.</w:t>
      </w:r>
    </w:p>
    <w:p w:rsidR="009B0CE1" w:rsidRPr="00B808A9" w:rsidP="009B0CE1" w14:paraId="17BFE074" w14:textId="77777777"/>
    <w:p w:rsidR="009B0CE1" w:rsidRPr="00B808A9" w:rsidP="009B0CE1" w14:paraId="371270BF"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5"/>
        <w:gridCol w:w="1620"/>
        <w:gridCol w:w="1440"/>
        <w:gridCol w:w="1620"/>
        <w:gridCol w:w="1885"/>
      </w:tblGrid>
      <w:tr w14:paraId="0B29A90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9350" w:type="dxa"/>
            <w:gridSpan w:val="5"/>
            <w:shd w:val="clear" w:color="auto" w:fill="EBF1DD" w:themeFill="accent3" w:themeFillTint="33"/>
          </w:tcPr>
          <w:p w:rsidR="009B0CE1" w:rsidRPr="00B808A9" w14:paraId="597C287A" w14:textId="77777777">
            <w:pPr>
              <w:keepLines/>
              <w:jc w:val="center"/>
              <w:rPr>
                <w:rFonts w:eastAsia="Calibri"/>
                <w:b/>
              </w:rPr>
            </w:pPr>
            <w:r w:rsidRPr="00B808A9">
              <w:rPr>
                <w:rFonts w:eastAsia="Calibri"/>
                <w:b/>
              </w:rPr>
              <w:t>Table 1 -- WAGE HOUR ESTIMATES</w:t>
            </w:r>
          </w:p>
        </w:tc>
      </w:tr>
      <w:tr w14:paraId="5F72A7EC" w14:textId="77777777" w:rsidTr="004F5A84">
        <w:tblPrEx>
          <w:tblW w:w="0" w:type="auto"/>
          <w:tblLook w:val="04A0"/>
        </w:tblPrEx>
        <w:trPr>
          <w:tblHeader/>
        </w:trPr>
        <w:tc>
          <w:tcPr>
            <w:tcW w:w="2785" w:type="dxa"/>
            <w:shd w:val="clear" w:color="auto" w:fill="EBF1DD" w:themeFill="accent3" w:themeFillTint="33"/>
          </w:tcPr>
          <w:p w:rsidR="009B0CE1" w:rsidRPr="00B808A9" w14:paraId="58469A81" w14:textId="77777777">
            <w:pPr>
              <w:keepLines/>
              <w:rPr>
                <w:rFonts w:eastAsia="Calibri"/>
                <w:b/>
              </w:rPr>
            </w:pPr>
            <w:r w:rsidRPr="00B808A9">
              <w:rPr>
                <w:rFonts w:eastAsia="Calibri"/>
                <w:b/>
              </w:rPr>
              <w:t>Occupational Title</w:t>
            </w:r>
          </w:p>
        </w:tc>
        <w:tc>
          <w:tcPr>
            <w:tcW w:w="1620" w:type="dxa"/>
            <w:shd w:val="clear" w:color="auto" w:fill="EBF1DD" w:themeFill="accent3" w:themeFillTint="33"/>
          </w:tcPr>
          <w:p w:rsidR="009B0CE1" w:rsidRPr="00B808A9" w14:paraId="27A237B5" w14:textId="7B907F5B">
            <w:pPr>
              <w:keepLines/>
              <w:rPr>
                <w:rFonts w:eastAsia="Calibri"/>
                <w:b/>
              </w:rPr>
            </w:pPr>
            <w:r w:rsidRPr="00B808A9">
              <w:rPr>
                <w:rFonts w:eastAsia="Calibri"/>
                <w:b/>
              </w:rPr>
              <w:t>Standard Occupation Code</w:t>
            </w:r>
            <w:r w:rsidR="00A5548A">
              <w:rPr>
                <w:rFonts w:eastAsia="Calibri"/>
                <w:b/>
              </w:rPr>
              <w:t xml:space="preserve"> (SOC)</w:t>
            </w:r>
          </w:p>
        </w:tc>
        <w:tc>
          <w:tcPr>
            <w:tcW w:w="1440" w:type="dxa"/>
            <w:shd w:val="clear" w:color="auto" w:fill="EBF1DD" w:themeFill="accent3" w:themeFillTint="33"/>
          </w:tcPr>
          <w:p w:rsidR="00A5548A" w14:paraId="6CD4146B" w14:textId="77777777">
            <w:pPr>
              <w:keepLines/>
              <w:rPr>
                <w:rFonts w:eastAsia="Calibri"/>
                <w:b/>
              </w:rPr>
            </w:pPr>
            <w:r w:rsidRPr="00B808A9">
              <w:rPr>
                <w:rFonts w:eastAsia="Calibri"/>
                <w:b/>
              </w:rPr>
              <w:t>Mean Hour Wage Rate</w:t>
            </w:r>
          </w:p>
          <w:p w:rsidR="009B0CE1" w:rsidRPr="00B808A9" w14:paraId="153FE35D" w14:textId="1E61C7E6">
            <w:pPr>
              <w:keepLines/>
              <w:rPr>
                <w:rFonts w:eastAsia="Calibri"/>
                <w:b/>
              </w:rPr>
            </w:pPr>
            <w:r>
              <w:rPr>
                <w:rFonts w:eastAsia="Calibri"/>
                <w:b/>
              </w:rPr>
              <w:t>(</w:t>
            </w:r>
            <w:r w:rsidR="004B4F61">
              <w:rPr>
                <w:rFonts w:eastAsia="Calibri"/>
                <w:b/>
              </w:rPr>
              <w:t>A</w:t>
            </w:r>
            <w:r>
              <w:rPr>
                <w:rFonts w:eastAsia="Calibri"/>
                <w:b/>
              </w:rPr>
              <w:t>)</w:t>
            </w:r>
            <w:r w:rsidRPr="00B808A9">
              <w:rPr>
                <w:rFonts w:eastAsia="Calibri"/>
                <w:b/>
              </w:rPr>
              <w:t xml:space="preserve"> </w:t>
            </w:r>
          </w:p>
        </w:tc>
        <w:tc>
          <w:tcPr>
            <w:tcW w:w="1620" w:type="dxa"/>
            <w:shd w:val="clear" w:color="auto" w:fill="EBF1DD" w:themeFill="accent3" w:themeFillTint="33"/>
          </w:tcPr>
          <w:p w:rsidR="009B0CE1" w:rsidRPr="00F579D2" w14:paraId="4F021AA3" w14:textId="31277A21">
            <w:pPr>
              <w:rPr>
                <w:rFonts w:eastAsia="Calibri"/>
                <w:b/>
              </w:rPr>
            </w:pPr>
            <w:r w:rsidRPr="00B808A9">
              <w:rPr>
                <w:rFonts w:eastAsia="Calibri"/>
                <w:b/>
              </w:rPr>
              <w:t>Fringe Benefits</w:t>
            </w:r>
          </w:p>
          <w:p w:rsidR="009B0CE1" w:rsidRPr="00F579D2" w14:paraId="1EC4AD5E" w14:textId="283E73C9">
            <w:pPr>
              <w:rPr>
                <w:rFonts w:eastAsia="Calibri"/>
                <w:b/>
              </w:rPr>
            </w:pPr>
            <w:r>
              <w:rPr>
                <w:rFonts w:eastAsia="Calibri"/>
                <w:b/>
              </w:rPr>
              <w:t>(</w:t>
            </w:r>
            <w:r w:rsidR="004B4F61">
              <w:rPr>
                <w:rFonts w:eastAsia="Calibri"/>
                <w:b/>
              </w:rPr>
              <w:t>B</w:t>
            </w:r>
            <w:r>
              <w:rPr>
                <w:rFonts w:eastAsia="Calibri"/>
                <w:b/>
              </w:rPr>
              <w:t>)</w:t>
            </w:r>
          </w:p>
        </w:tc>
        <w:tc>
          <w:tcPr>
            <w:tcW w:w="1885" w:type="dxa"/>
            <w:shd w:val="clear" w:color="auto" w:fill="EBF1DD" w:themeFill="accent3" w:themeFillTint="33"/>
          </w:tcPr>
          <w:p w:rsidR="009B0CE1" w:rsidRPr="00B808A9" w14:paraId="7A3BB3EE" w14:textId="314263C0">
            <w:pPr>
              <w:keepLines/>
              <w:rPr>
                <w:rFonts w:eastAsia="Calibri"/>
                <w:b/>
              </w:rPr>
            </w:pPr>
            <w:r w:rsidRPr="00B808A9">
              <w:rPr>
                <w:rFonts w:eastAsia="Calibri"/>
                <w:b/>
              </w:rPr>
              <w:t>Loaded Hourly Wage Rate</w:t>
            </w:r>
            <w:r w:rsidR="00291761">
              <w:rPr>
                <w:rFonts w:eastAsia="Calibri"/>
                <w:b/>
              </w:rPr>
              <w:t xml:space="preserve"> (</w:t>
            </w:r>
            <w:r w:rsidR="004B4F61">
              <w:rPr>
                <w:rFonts w:eastAsia="Calibri"/>
                <w:b/>
              </w:rPr>
              <w:t>C</w:t>
            </w:r>
            <w:r w:rsidR="00291761">
              <w:rPr>
                <w:rFonts w:eastAsia="Calibri"/>
                <w:b/>
              </w:rPr>
              <w:t>)=(</w:t>
            </w:r>
            <w:r w:rsidR="004B4F61">
              <w:rPr>
                <w:rFonts w:eastAsia="Calibri"/>
                <w:b/>
              </w:rPr>
              <w:t>A</w:t>
            </w:r>
            <w:r w:rsidR="00291761">
              <w:rPr>
                <w:rFonts w:eastAsia="Calibri"/>
                <w:b/>
              </w:rPr>
              <w:t>)/1-(</w:t>
            </w:r>
            <w:r w:rsidR="00D86762">
              <w:rPr>
                <w:rFonts w:eastAsia="Calibri"/>
                <w:b/>
              </w:rPr>
              <w:t>B</w:t>
            </w:r>
            <w:r w:rsidR="00291761">
              <w:rPr>
                <w:rFonts w:eastAsia="Calibri"/>
                <w:b/>
              </w:rPr>
              <w:t>)</w:t>
            </w:r>
          </w:p>
        </w:tc>
      </w:tr>
      <w:tr w14:paraId="7B79AB67" w14:textId="77777777" w:rsidTr="004F5A84">
        <w:tblPrEx>
          <w:tblW w:w="0" w:type="auto"/>
          <w:tblLook w:val="04A0"/>
        </w:tblPrEx>
        <w:trPr>
          <w:trHeight w:val="962"/>
        </w:trPr>
        <w:tc>
          <w:tcPr>
            <w:tcW w:w="2785" w:type="dxa"/>
            <w:shd w:val="clear" w:color="auto" w:fill="auto"/>
            <w:vAlign w:val="bottom"/>
          </w:tcPr>
          <w:p w:rsidR="009B0CE1" w:rsidRPr="00B808A9" w14:paraId="4CA0E951" w14:textId="77777777">
            <w:pPr>
              <w:keepLines/>
              <w:rPr>
                <w:rFonts w:eastAsia="Calibri"/>
              </w:rPr>
            </w:pPr>
            <w:r w:rsidRPr="00B808A9">
              <w:t>Manufacturing Worker (Production Occupation)</w:t>
            </w:r>
          </w:p>
        </w:tc>
        <w:tc>
          <w:tcPr>
            <w:tcW w:w="1620" w:type="dxa"/>
            <w:shd w:val="clear" w:color="auto" w:fill="auto"/>
            <w:vAlign w:val="bottom"/>
          </w:tcPr>
          <w:p w:rsidR="009B0CE1" w:rsidRPr="00B808A9" w14:paraId="5423A76F" w14:textId="77777777">
            <w:pPr>
              <w:keepLines/>
              <w:rPr>
                <w:rFonts w:eastAsia="Calibri"/>
              </w:rPr>
            </w:pPr>
          </w:p>
          <w:p w:rsidR="009B0CE1" w:rsidRPr="00B808A9" w14:paraId="76DB3373" w14:textId="77777777">
            <w:pPr>
              <w:keepLines/>
              <w:rPr>
                <w:rFonts w:eastAsia="Calibri"/>
              </w:rPr>
            </w:pPr>
          </w:p>
          <w:p w:rsidR="009B0CE1" w:rsidRPr="00B808A9" w14:paraId="5251B2B8" w14:textId="77777777">
            <w:pPr>
              <w:keepLines/>
              <w:rPr>
                <w:rFonts w:eastAsia="Calibri"/>
              </w:rPr>
            </w:pPr>
            <w:r w:rsidRPr="00B808A9">
              <w:rPr>
                <w:rFonts w:eastAsia="Calibri"/>
              </w:rPr>
              <w:t>51</w:t>
            </w:r>
            <w:r w:rsidRPr="00B808A9" w:rsidR="00D86453">
              <w:rPr>
                <w:rFonts w:eastAsia="Calibri"/>
              </w:rPr>
              <w:t>-0000</w:t>
            </w:r>
          </w:p>
        </w:tc>
        <w:tc>
          <w:tcPr>
            <w:tcW w:w="1440" w:type="dxa"/>
            <w:shd w:val="clear" w:color="auto" w:fill="auto"/>
            <w:vAlign w:val="bottom"/>
          </w:tcPr>
          <w:p w:rsidR="009B0CE1" w:rsidRPr="00B808A9" w14:paraId="23422512" w14:textId="77777777">
            <w:pPr>
              <w:keepLines/>
              <w:rPr>
                <w:rFonts w:eastAsia="Calibri"/>
              </w:rPr>
            </w:pPr>
          </w:p>
          <w:p w:rsidR="009B0CE1" w:rsidRPr="00B808A9" w14:paraId="3B94F06B" w14:textId="77777777">
            <w:pPr>
              <w:keepLines/>
              <w:rPr>
                <w:rFonts w:eastAsia="Calibri"/>
              </w:rPr>
            </w:pPr>
          </w:p>
          <w:p w:rsidR="009B0CE1" w:rsidRPr="00B808A9" w14:paraId="5BD7FA48" w14:textId="25CC065A">
            <w:pPr>
              <w:keepLines/>
              <w:rPr>
                <w:rFonts w:eastAsia="Calibri"/>
              </w:rPr>
            </w:pPr>
            <w:r>
              <w:rPr>
                <w:rFonts w:eastAsia="Calibri"/>
              </w:rPr>
              <w:t>$</w:t>
            </w:r>
            <w:r w:rsidR="00CB4EAC">
              <w:rPr>
                <w:rFonts w:eastAsia="Calibri"/>
              </w:rPr>
              <w:t>21</w:t>
            </w:r>
            <w:r>
              <w:rPr>
                <w:rFonts w:eastAsia="Calibri"/>
              </w:rPr>
              <w:t>.</w:t>
            </w:r>
            <w:r w:rsidR="00CB4EAC">
              <w:rPr>
                <w:rFonts w:eastAsia="Calibri"/>
              </w:rPr>
              <w:t>81</w:t>
            </w:r>
          </w:p>
        </w:tc>
        <w:tc>
          <w:tcPr>
            <w:tcW w:w="1620" w:type="dxa"/>
            <w:shd w:val="clear" w:color="auto" w:fill="auto"/>
            <w:vAlign w:val="bottom"/>
          </w:tcPr>
          <w:p w:rsidR="009B0CE1" w:rsidRPr="00B808A9" w14:paraId="07A98BF4" w14:textId="77777777">
            <w:pPr>
              <w:keepLines/>
            </w:pPr>
          </w:p>
          <w:p w:rsidR="009B0CE1" w:rsidRPr="00B808A9" w14:paraId="0E6AC36B" w14:textId="77777777">
            <w:pPr>
              <w:keepLines/>
            </w:pPr>
          </w:p>
          <w:p w:rsidR="009B0CE1" w:rsidRPr="00B808A9" w14:paraId="30D7A70E" w14:textId="5AF98607">
            <w:pPr>
              <w:keepLines/>
              <w:rPr>
                <w:rFonts w:eastAsia="Calibri"/>
              </w:rPr>
            </w:pPr>
            <w:r>
              <w:t>0.</w:t>
            </w:r>
            <w:r w:rsidR="003B1ADB">
              <w:t>31</w:t>
            </w:r>
          </w:p>
        </w:tc>
        <w:tc>
          <w:tcPr>
            <w:tcW w:w="1885" w:type="dxa"/>
            <w:shd w:val="clear" w:color="auto" w:fill="auto"/>
            <w:vAlign w:val="bottom"/>
          </w:tcPr>
          <w:p w:rsidR="009B0CE1" w:rsidRPr="00B808A9" w14:paraId="5C308CFD" w14:textId="77777777">
            <w:pPr>
              <w:keepLines/>
              <w:rPr>
                <w:rFonts w:eastAsia="Calibri"/>
              </w:rPr>
            </w:pPr>
          </w:p>
          <w:p w:rsidR="009B0CE1" w:rsidRPr="00B808A9" w14:paraId="4D9DBBFF" w14:textId="77777777">
            <w:pPr>
              <w:keepLines/>
              <w:rPr>
                <w:rFonts w:eastAsia="Calibri"/>
              </w:rPr>
            </w:pPr>
          </w:p>
          <w:p w:rsidR="009B0CE1" w:rsidRPr="00B808A9" w14:paraId="374209AB" w14:textId="00F6D4AA">
            <w:pPr>
              <w:keepLines/>
              <w:rPr>
                <w:rFonts w:eastAsia="Calibri"/>
              </w:rPr>
            </w:pPr>
            <w:r>
              <w:rPr>
                <w:rFonts w:eastAsia="Calibri"/>
              </w:rPr>
              <w:t>$</w:t>
            </w:r>
            <w:r w:rsidR="00EE1D04">
              <w:rPr>
                <w:rFonts w:eastAsia="Calibri"/>
              </w:rPr>
              <w:t>31.61</w:t>
            </w:r>
          </w:p>
        </w:tc>
      </w:tr>
      <w:tr w14:paraId="3051E0F3" w14:textId="77777777" w:rsidTr="004F5A84">
        <w:tblPrEx>
          <w:tblW w:w="0" w:type="auto"/>
          <w:tblLook w:val="04A0"/>
        </w:tblPrEx>
        <w:trPr>
          <w:trHeight w:val="962"/>
        </w:trPr>
        <w:tc>
          <w:tcPr>
            <w:tcW w:w="2785" w:type="dxa"/>
            <w:shd w:val="clear" w:color="auto" w:fill="auto"/>
            <w:vAlign w:val="bottom"/>
          </w:tcPr>
          <w:p w:rsidR="00532C4E" w:rsidRPr="00B808A9" w14:paraId="007B2CF4" w14:textId="6C3E809B">
            <w:pPr>
              <w:keepLines/>
            </w:pPr>
            <w:r>
              <w:t>Professional Engineer</w:t>
            </w:r>
          </w:p>
        </w:tc>
        <w:tc>
          <w:tcPr>
            <w:tcW w:w="1620" w:type="dxa"/>
            <w:shd w:val="clear" w:color="auto" w:fill="auto"/>
            <w:vAlign w:val="bottom"/>
          </w:tcPr>
          <w:p w:rsidR="00532C4E" w:rsidRPr="00B808A9" w14:paraId="10784690" w14:textId="17F16352">
            <w:pPr>
              <w:keepLines/>
              <w:rPr>
                <w:rFonts w:eastAsia="Calibri"/>
              </w:rPr>
            </w:pPr>
            <w:r>
              <w:rPr>
                <w:rFonts w:eastAsia="Calibri"/>
              </w:rPr>
              <w:t>17-0000</w:t>
            </w:r>
          </w:p>
        </w:tc>
        <w:tc>
          <w:tcPr>
            <w:tcW w:w="1440" w:type="dxa"/>
            <w:shd w:val="clear" w:color="auto" w:fill="auto"/>
            <w:vAlign w:val="bottom"/>
          </w:tcPr>
          <w:p w:rsidR="00532C4E" w:rsidRPr="00B808A9" w14:paraId="7137C572" w14:textId="00EDD912">
            <w:pPr>
              <w:keepLines/>
              <w:rPr>
                <w:rFonts w:eastAsia="Calibri"/>
              </w:rPr>
            </w:pPr>
            <w:r>
              <w:rPr>
                <w:rFonts w:eastAsia="Calibri"/>
              </w:rPr>
              <w:t>$45.52</w:t>
            </w:r>
          </w:p>
        </w:tc>
        <w:tc>
          <w:tcPr>
            <w:tcW w:w="1620" w:type="dxa"/>
            <w:shd w:val="clear" w:color="auto" w:fill="auto"/>
            <w:vAlign w:val="bottom"/>
          </w:tcPr>
          <w:p w:rsidR="00532C4E" w:rsidRPr="00B808A9" w14:paraId="039EA888" w14:textId="3197AD1C">
            <w:pPr>
              <w:keepLines/>
            </w:pPr>
            <w:r>
              <w:t>0.</w:t>
            </w:r>
            <w:r w:rsidR="003B1ADB">
              <w:t>31</w:t>
            </w:r>
          </w:p>
        </w:tc>
        <w:tc>
          <w:tcPr>
            <w:tcW w:w="1885" w:type="dxa"/>
            <w:shd w:val="clear" w:color="auto" w:fill="auto"/>
            <w:vAlign w:val="bottom"/>
          </w:tcPr>
          <w:p w:rsidR="00532C4E" w:rsidRPr="00B808A9" w14:paraId="78B419E2" w14:textId="5B74A37C">
            <w:pPr>
              <w:keepLines/>
              <w:rPr>
                <w:rFonts w:eastAsia="Calibri"/>
              </w:rPr>
            </w:pPr>
            <w:r>
              <w:rPr>
                <w:rFonts w:eastAsia="Calibri"/>
              </w:rPr>
              <w:t>$</w:t>
            </w:r>
            <w:r w:rsidR="00615258">
              <w:rPr>
                <w:rFonts w:eastAsia="Calibri"/>
              </w:rPr>
              <w:t>65.</w:t>
            </w:r>
            <w:r>
              <w:rPr>
                <w:rFonts w:eastAsia="Calibri"/>
              </w:rPr>
              <w:t>97</w:t>
            </w:r>
          </w:p>
        </w:tc>
      </w:tr>
    </w:tbl>
    <w:p w:rsidR="009B0CE1" w:rsidRPr="00B808A9" w:rsidP="00AB03C6" w14:paraId="05B176CC" w14:textId="77777777">
      <w:pPr>
        <w:widowControl/>
        <w:rPr>
          <w:color w:val="000000"/>
        </w:rPr>
      </w:pPr>
    </w:p>
    <w:p w:rsidR="008E0DD9" w:rsidRPr="000D3BDC" w:rsidP="00D25ED6" w14:paraId="3A987484" w14:textId="6D33C75D">
      <w:pPr>
        <w:widowControl/>
        <w:rPr>
          <w:b/>
          <w:bCs/>
        </w:rPr>
      </w:pPr>
      <w:r w:rsidRPr="000D3BDC">
        <w:rPr>
          <w:b/>
          <w:bCs/>
        </w:rPr>
        <w:t>1</w:t>
      </w:r>
      <w:r w:rsidRPr="000D3BDC" w:rsidR="00EC0842">
        <w:rPr>
          <w:b/>
          <w:bCs/>
        </w:rPr>
        <w:t xml:space="preserve">. </w:t>
      </w:r>
      <w:r w:rsidRPr="000D3BDC" w:rsidR="00503F1C">
        <w:rPr>
          <w:b/>
          <w:bCs/>
        </w:rPr>
        <w:t>Approval of Equipment Systems</w:t>
      </w:r>
    </w:p>
    <w:p w:rsidR="00EC0842" w:rsidRPr="000D3BDC" w:rsidP="00D25ED6" w14:paraId="22EEE596" w14:textId="77777777">
      <w:pPr>
        <w:widowControl/>
        <w:rPr>
          <w:b/>
          <w:bCs/>
        </w:rPr>
      </w:pPr>
    </w:p>
    <w:p w:rsidR="00EF68FF" w:rsidRPr="000D3BDC" w:rsidP="00EF68FF" w14:paraId="3D004A26" w14:textId="12FECDD4">
      <w:pPr>
        <w:widowControl/>
        <w:rPr>
          <w:b/>
          <w:bCs/>
        </w:rPr>
      </w:pPr>
      <w:r w:rsidRPr="000D3BDC">
        <w:rPr>
          <w:b/>
          <w:bCs/>
        </w:rPr>
        <w:t>§1910.111(b)(</w:t>
      </w:r>
      <w:r w:rsidRPr="000D3BDC" w:rsidR="00496256">
        <w:rPr>
          <w:b/>
          <w:bCs/>
        </w:rPr>
        <w:t>1</w:t>
      </w:r>
      <w:r w:rsidRPr="000D3BDC" w:rsidR="00A63E07">
        <w:rPr>
          <w:b/>
          <w:bCs/>
        </w:rPr>
        <w:t>)</w:t>
      </w:r>
      <w:r w:rsidRPr="000D3BDC">
        <w:rPr>
          <w:b/>
          <w:bCs/>
        </w:rPr>
        <w:t>(</w:t>
      </w:r>
      <w:r w:rsidRPr="000D3BDC" w:rsidR="00A63E07">
        <w:rPr>
          <w:b/>
          <w:bCs/>
        </w:rPr>
        <w:t>iv</w:t>
      </w:r>
      <w:r w:rsidRPr="000D3BDC">
        <w:rPr>
          <w:b/>
          <w:bCs/>
        </w:rPr>
        <w:t>).</w:t>
      </w:r>
    </w:p>
    <w:p w:rsidR="00EC0842" w:rsidP="00D25ED6" w14:paraId="226BFFE3" w14:textId="77777777">
      <w:pPr>
        <w:widowControl/>
      </w:pPr>
    </w:p>
    <w:p w:rsidR="002E62C5" w:rsidP="00D25ED6" w14:paraId="696C7767" w14:textId="22D8DA99">
      <w:pPr>
        <w:widowControl/>
      </w:pPr>
      <w:r>
        <w:t xml:space="preserve">It is a custom-designed and custom-built unit, which no nationally recognized testing laboratory, or Federal, State, municipal or local authority responsible for the enforcement of a Federal, State, municipal, or local law, code or regulation pertaining to the storage, transportation and use of anhydrous ammonia is willing to undertake to accept, certify, list, label or determine to be safe, </w:t>
      </w:r>
      <w:r>
        <w:t xml:space="preserve">and the employer has on file a document attesting to its safe condition following the conduct of appropriate tests. The document shall be signed by a registered professional engineer or other person </w:t>
      </w:r>
      <w:r w:rsidR="00A5548A">
        <w:t>with special training or experience sufficient to permit him to form an opinion on the</w:t>
      </w:r>
      <w:r>
        <w:t xml:space="preserve"> safety of the unit involved. The document shall set forth the test bases, test data and results, and also the qualifications of the certifying person.</w:t>
      </w:r>
      <w:r w:rsidR="00E700BC">
        <w:t xml:space="preserve"> Th</w:t>
      </w:r>
      <w:r w:rsidR="006E10FB">
        <w:t>is</w:t>
      </w:r>
      <w:r w:rsidR="00E700BC">
        <w:t xml:space="preserve"> documentation must be maintained by the employer</w:t>
      </w:r>
      <w:r w:rsidR="003C3C4E">
        <w:t>.</w:t>
      </w:r>
    </w:p>
    <w:p w:rsidR="002E62C5" w:rsidP="00D25ED6" w14:paraId="01EA91B9" w14:textId="77777777">
      <w:pPr>
        <w:widowControl/>
      </w:pPr>
    </w:p>
    <w:p w:rsidR="008800C4" w:rsidP="008800C4" w14:paraId="43C761F1" w14:textId="281C4A9A">
      <w:pPr>
        <w:widowControl/>
      </w:pPr>
      <w:r>
        <w:t xml:space="preserve">OSHA estimates </w:t>
      </w:r>
      <w:r w:rsidR="00FB18C2">
        <w:t xml:space="preserve">that it will take </w:t>
      </w:r>
      <w:r w:rsidR="00BD0027">
        <w:t>5 minute</w:t>
      </w:r>
      <w:r w:rsidR="00D0120A">
        <w:t>s</w:t>
      </w:r>
      <w:r w:rsidR="00BD0027">
        <w:t xml:space="preserve"> of </w:t>
      </w:r>
      <w:r w:rsidR="00EF0D7D">
        <w:t>registered professional engineer or other person having special training or experience sufficient to</w:t>
      </w:r>
      <w:r>
        <w:t xml:space="preserve"> permit him to form an opinion as to safety of the unit involved. The document shall set forth the test bases, test data and results, and also the qualifications of the certifying person.</w:t>
      </w:r>
      <w:r w:rsidR="00982761">
        <w:t xml:space="preserve"> Also, </w:t>
      </w:r>
      <w:r w:rsidR="00431592">
        <w:t>the ag</w:t>
      </w:r>
      <w:r w:rsidR="00EB12A6">
        <w:t xml:space="preserve">ency </w:t>
      </w:r>
      <w:r w:rsidR="007D6017">
        <w:t>estimates</w:t>
      </w:r>
      <w:r w:rsidR="00BC3049">
        <w:t xml:space="preserve"> that there are </w:t>
      </w:r>
      <w:r w:rsidR="00FC7E1F">
        <w:t>2,500</w:t>
      </w:r>
      <w:r w:rsidR="00BC3049">
        <w:t xml:space="preserve"> employers</w:t>
      </w:r>
      <w:r>
        <w:rPr>
          <w:rStyle w:val="FootnoteReference"/>
          <w:vertAlign w:val="superscript"/>
        </w:rPr>
        <w:footnoteReference w:id="4"/>
      </w:r>
      <w:r w:rsidR="00BC3049">
        <w:t xml:space="preserve"> and</w:t>
      </w:r>
      <w:r w:rsidR="00EB12A6">
        <w:t xml:space="preserve"> </w:t>
      </w:r>
      <w:r w:rsidR="008159A0">
        <w:t>that</w:t>
      </w:r>
      <w:r w:rsidR="005C0908">
        <w:t xml:space="preserve"> </w:t>
      </w:r>
      <w:r w:rsidR="00A93F28">
        <w:t>0.</w:t>
      </w:r>
      <w:r w:rsidR="005B4128">
        <w:t>00</w:t>
      </w:r>
      <w:r w:rsidR="00A93F28">
        <w:t>5</w:t>
      </w:r>
      <w:r w:rsidR="00115493">
        <w:t xml:space="preserve"> percent of employers will need to maintain</w:t>
      </w:r>
      <w:r w:rsidR="000D2D04">
        <w:t xml:space="preserve"> documentation of</w:t>
      </w:r>
      <w:r w:rsidR="004402EB">
        <w:t xml:space="preserve"> equipment</w:t>
      </w:r>
      <w:r w:rsidR="00A97A2F">
        <w:t xml:space="preserve"> that is </w:t>
      </w:r>
      <w:r w:rsidR="001C3A6F">
        <w:t>a custom-designed and custom-built unit</w:t>
      </w:r>
      <w:r w:rsidR="003A0ADB">
        <w:t>.</w:t>
      </w:r>
    </w:p>
    <w:p w:rsidR="002E62C5" w:rsidP="00D25ED6" w14:paraId="5956F748" w14:textId="5305245B">
      <w:pPr>
        <w:widowControl/>
      </w:pPr>
    </w:p>
    <w:p w:rsidR="00A623D2" w:rsidRPr="00B808A9" w:rsidP="00A623D2" w14:paraId="5FA0A553" w14:textId="4FA0F0E6">
      <w:pPr>
        <w:widowControl/>
        <w:ind w:left="720" w:firstLine="720"/>
      </w:pPr>
      <w:r w:rsidRPr="00B808A9">
        <w:rPr>
          <w:b/>
          <w:bCs/>
        </w:rPr>
        <w:t>Burden hours</w:t>
      </w:r>
      <w:r w:rsidRPr="00B808A9">
        <w:t xml:space="preserve">:  </w:t>
      </w:r>
      <w:r w:rsidR="00E56F65">
        <w:t xml:space="preserve">2,500 </w:t>
      </w:r>
      <w:r w:rsidR="009011AA">
        <w:t>employers</w:t>
      </w:r>
      <w:r w:rsidR="00754969">
        <w:t xml:space="preserve"> x 0.0</w:t>
      </w:r>
      <w:r w:rsidR="005B1F77">
        <w:t>05</w:t>
      </w:r>
      <w:r w:rsidR="00723A32">
        <w:t xml:space="preserve"> x 5/60 = </w:t>
      </w:r>
      <w:r w:rsidR="00416FCE">
        <w:t>1</w:t>
      </w:r>
      <w:r w:rsidR="005D59E1">
        <w:t xml:space="preserve"> hour</w:t>
      </w:r>
    </w:p>
    <w:p w:rsidR="00A623D2" w:rsidRPr="00B808A9" w:rsidP="00A623D2" w14:paraId="30F33D17" w14:textId="524DC6AF">
      <w:pPr>
        <w:widowControl/>
        <w:ind w:left="1440" w:firstLine="720"/>
      </w:pPr>
      <w:r w:rsidRPr="00B808A9">
        <w:rPr>
          <w:b/>
          <w:bCs/>
        </w:rPr>
        <w:t xml:space="preserve">    Cost</w:t>
      </w:r>
      <w:r w:rsidRPr="00B808A9">
        <w:t xml:space="preserve">:  </w:t>
      </w:r>
      <w:r w:rsidR="00416FCE">
        <w:t>1</w:t>
      </w:r>
      <w:r w:rsidR="0086076A">
        <w:t xml:space="preserve"> </w:t>
      </w:r>
      <w:r w:rsidR="00FD09FF">
        <w:t xml:space="preserve">hour x </w:t>
      </w:r>
      <w:r w:rsidR="00001585">
        <w:t>65.97</w:t>
      </w:r>
      <w:r w:rsidR="00693380">
        <w:t xml:space="preserve"> </w:t>
      </w:r>
      <w:r w:rsidR="005951FB">
        <w:t>=</w:t>
      </w:r>
      <w:r w:rsidR="00693380">
        <w:t xml:space="preserve"> </w:t>
      </w:r>
      <w:r w:rsidR="003C266C">
        <w:t>$</w:t>
      </w:r>
      <w:r w:rsidR="00881BB4">
        <w:t>6</w:t>
      </w:r>
      <w:r w:rsidR="00CF2385">
        <w:t>6</w:t>
      </w:r>
      <w:r w:rsidR="00090883">
        <w:t xml:space="preserve"> (rounded)</w:t>
      </w:r>
    </w:p>
    <w:p w:rsidR="00A623D2" w:rsidP="000D3BDC" w14:paraId="50700017" w14:textId="77777777">
      <w:pPr>
        <w:widowControl/>
      </w:pPr>
    </w:p>
    <w:p w:rsidR="006C7780" w:rsidP="006C7780" w14:paraId="03AE4442" w14:textId="77777777">
      <w:pPr>
        <w:widowControl/>
        <w:ind w:left="360"/>
      </w:pPr>
    </w:p>
    <w:p w:rsidR="00251643" w:rsidRPr="000D3BDC" w:rsidP="00E00F65" w14:paraId="70AB4A9E" w14:textId="75B86D36">
      <w:pPr>
        <w:widowControl/>
        <w:rPr>
          <w:b/>
          <w:bCs/>
        </w:rPr>
      </w:pPr>
      <w:r w:rsidRPr="000D3BDC">
        <w:rPr>
          <w:b/>
          <w:bCs/>
        </w:rPr>
        <w:t xml:space="preserve">2. </w:t>
      </w:r>
      <w:r w:rsidRPr="000D3BDC" w:rsidR="003F3283">
        <w:rPr>
          <w:b/>
          <w:bCs/>
        </w:rPr>
        <w:t>Marking of Equipment</w:t>
      </w:r>
      <w:r w:rsidRPr="000D3BDC">
        <w:rPr>
          <w:b/>
          <w:bCs/>
        </w:rPr>
        <w:t>.</w:t>
      </w:r>
    </w:p>
    <w:p w:rsidR="00251643" w:rsidRPr="000D3BDC" w:rsidP="000D3BDC" w14:paraId="765A8136" w14:textId="77777777">
      <w:pPr>
        <w:pStyle w:val="ListParagraph"/>
        <w:rPr>
          <w:b/>
          <w:bCs/>
        </w:rPr>
      </w:pPr>
    </w:p>
    <w:p w:rsidR="00E00F65" w:rsidRPr="000D3BDC" w:rsidP="00B612C6" w14:paraId="2A49861B" w14:textId="5CB72B67">
      <w:pPr>
        <w:widowControl/>
        <w:rPr>
          <w:b/>
          <w:bCs/>
        </w:rPr>
      </w:pPr>
      <w:r w:rsidRPr="000D3BDC">
        <w:rPr>
          <w:b/>
          <w:bCs/>
        </w:rPr>
        <w:t>§</w:t>
      </w:r>
      <w:r w:rsidRPr="000D3BDC" w:rsidR="008E14DB">
        <w:rPr>
          <w:b/>
          <w:bCs/>
        </w:rPr>
        <w:t>19</w:t>
      </w:r>
      <w:r w:rsidRPr="000D3BDC" w:rsidR="001B5323">
        <w:rPr>
          <w:b/>
          <w:bCs/>
        </w:rPr>
        <w:t>10.111</w:t>
      </w:r>
      <w:r w:rsidRPr="000D3BDC" w:rsidR="00CE2FAD">
        <w:rPr>
          <w:b/>
          <w:bCs/>
        </w:rPr>
        <w:t>(</w:t>
      </w:r>
      <w:r w:rsidRPr="000D3BDC" w:rsidR="0068282A">
        <w:rPr>
          <w:b/>
          <w:bCs/>
        </w:rPr>
        <w:t>b)(</w:t>
      </w:r>
      <w:r w:rsidRPr="000D3BDC">
        <w:rPr>
          <w:b/>
          <w:bCs/>
        </w:rPr>
        <w:t>3)</w:t>
      </w:r>
      <w:r w:rsidRPr="000D3BDC" w:rsidR="0068282A">
        <w:rPr>
          <w:b/>
          <w:bCs/>
        </w:rPr>
        <w:t>&amp;(</w:t>
      </w:r>
      <w:r w:rsidRPr="000D3BDC" w:rsidR="004B4BE9">
        <w:rPr>
          <w:b/>
          <w:bCs/>
        </w:rPr>
        <w:t>4)</w:t>
      </w:r>
      <w:r w:rsidRPr="000D3BDC">
        <w:rPr>
          <w:b/>
          <w:bCs/>
        </w:rPr>
        <w:t>.</w:t>
      </w:r>
    </w:p>
    <w:p w:rsidR="00E00F65" w:rsidP="00B612C6" w14:paraId="0AB1932F" w14:textId="77777777">
      <w:pPr>
        <w:widowControl/>
      </w:pPr>
    </w:p>
    <w:p w:rsidR="00AB03C6" w:rsidRPr="00B808A9" w:rsidP="00B612C6" w14:paraId="042724A3" w14:textId="58CC0607">
      <w:pPr>
        <w:widowControl/>
      </w:pPr>
      <w:r w:rsidRPr="00B808A9">
        <w:t xml:space="preserve">The </w:t>
      </w:r>
      <w:r w:rsidR="000A0AEC">
        <w:t>a</w:t>
      </w:r>
      <w:r w:rsidRPr="00B808A9" w:rsidR="000A0AEC">
        <w:t xml:space="preserve">gency </w:t>
      </w:r>
      <w:r w:rsidRPr="00B808A9">
        <w:t xml:space="preserve">estimates that there are approximately </w:t>
      </w:r>
      <w:r w:rsidRPr="007E0968" w:rsidR="00553A3E">
        <w:t>201,300</w:t>
      </w:r>
      <w:r w:rsidRPr="007E0968">
        <w:t xml:space="preserve"> refrigerated and non-refrigerated anhydrous ammonia containers covered by the Standard.</w:t>
      </w:r>
      <w:r w:rsidRPr="00B808A9">
        <w:t xml:space="preserve">  </w:t>
      </w:r>
      <w:r w:rsidRPr="00B808A9" w:rsidR="00206F9A">
        <w:t>In the previous ICR</w:t>
      </w:r>
      <w:r w:rsidR="004C2E2A">
        <w:t xml:space="preserve"> package</w:t>
      </w:r>
      <w:r w:rsidRPr="00B808A9" w:rsidR="00206F9A">
        <w:t>, OSHA had d</w:t>
      </w:r>
      <w:r w:rsidRPr="00B808A9">
        <w:t xml:space="preserve">iscussions with a representative of the Fertilizer Institute (a leading manufacturer of this equipment) informed the </w:t>
      </w:r>
      <w:r w:rsidR="00E63B94">
        <w:t>a</w:t>
      </w:r>
      <w:r w:rsidRPr="00B808A9" w:rsidR="00E63B94">
        <w:t xml:space="preserve">gency </w:t>
      </w:r>
      <w:r w:rsidRPr="00B808A9">
        <w:t xml:space="preserve">that employers place about 1,100 units into service each year, and that manufacturers and suppliers of this equipment provide the markings required by paragraphs (b)(3) and (b)(4) of the Standard.  </w:t>
      </w:r>
      <w:r w:rsidRPr="007E0968">
        <w:t>Accordin</w:t>
      </w:r>
      <w:r w:rsidRPr="007E0968">
        <w:t xml:space="preserve">gly, during the three-year period covered by this Supporting Statement, employers would place about (3,300 = 1,100 x 3) new containers into service, for a total of </w:t>
      </w:r>
      <w:r w:rsidRPr="007E0968" w:rsidR="00553A3E">
        <w:t>204,600</w:t>
      </w:r>
      <w:r w:rsidRPr="007E0968">
        <w:t xml:space="preserve"> containers</w:t>
      </w:r>
      <w:r w:rsidRPr="00B808A9">
        <w:t xml:space="preserve">.  OSHA notes that the </w:t>
      </w:r>
      <w:r w:rsidRPr="00B808A9">
        <w:t>20</w:t>
      </w:r>
      <w:r w:rsidRPr="00B808A9" w:rsidR="00553A3E">
        <w:t>4</w:t>
      </w:r>
      <w:r w:rsidRPr="00B808A9">
        <w:t>,</w:t>
      </w:r>
      <w:r w:rsidRPr="00B808A9" w:rsidR="00553A3E">
        <w:t>6</w:t>
      </w:r>
      <w:r w:rsidRPr="00B808A9">
        <w:t xml:space="preserve">00 estimate is likely an overestimate since it does not take into account tanks going out of service. </w:t>
      </w:r>
    </w:p>
    <w:p w:rsidR="00AB03C6" w:rsidRPr="00B808A9" w:rsidP="00AB03C6" w14:paraId="6CB5415A" w14:textId="77777777">
      <w:pPr>
        <w:widowControl/>
      </w:pPr>
    </w:p>
    <w:p w:rsidR="00AB03C6" w:rsidRPr="00B808A9" w:rsidP="00AB03C6" w14:paraId="0099061F" w14:textId="53355666">
      <w:pPr>
        <w:pStyle w:val="NormalWeb"/>
        <w:spacing w:before="2" w:after="2"/>
        <w:rPr>
          <w:color w:val="000000"/>
        </w:rPr>
      </w:pPr>
      <w:r w:rsidRPr="00B808A9">
        <w:t>While manufacturers and suppliers of this equipment provide the markings initially, employers must subsequently replace or revise some of these markings because they become unreadable due to equipment damage or use, or because they no longer represent the operational characteristics of the equipment.  OSHA believes it very unlikely that new tanks would need to have replacement markings since the “new” tanks have the markings securely affixed.  In th</w:t>
      </w:r>
      <w:r w:rsidR="00B808A9">
        <w:t xml:space="preserve">is </w:t>
      </w:r>
      <w:r w:rsidRPr="00B808A9">
        <w:t xml:space="preserve">regard, OSHA assumes no burden for the 3,300 new tanks; however, the Agency estimates that each year employers will replace or revise 1 percent of the markings on the current </w:t>
      </w:r>
      <w:r w:rsidRPr="00B808A9" w:rsidR="00553A3E">
        <w:t>20</w:t>
      </w:r>
      <w:r w:rsidR="00E62D40">
        <w:t>4</w:t>
      </w:r>
      <w:r w:rsidRPr="00B808A9" w:rsidR="00553A3E">
        <w:t>,</w:t>
      </w:r>
      <w:r w:rsidR="00E62D40">
        <w:t>6</w:t>
      </w:r>
      <w:r w:rsidRPr="00B808A9" w:rsidR="00553A3E">
        <w:t xml:space="preserve">00 </w:t>
      </w:r>
      <w:r w:rsidRPr="00B808A9">
        <w:t>anhydrous ammonia containers or systems and that it will take a manufacturing worker, at a wage rate of $</w:t>
      </w:r>
      <w:r w:rsidR="00797FA2">
        <w:t>31.61</w:t>
      </w:r>
      <w:r w:rsidRPr="00F579D2">
        <w:t xml:space="preserve"> an hour, 10 minutes (</w:t>
      </w:r>
      <w:r w:rsidRPr="00F579D2" w:rsidR="00D76B85">
        <w:t>10/60</w:t>
      </w:r>
      <w:r w:rsidRPr="00F579D2">
        <w:t xml:space="preserve"> hour</w:t>
      </w:r>
      <w:r w:rsidR="003E4782">
        <w:t>s</w:t>
      </w:r>
      <w:r w:rsidRPr="00F579D2">
        <w:t xml:space="preserve">) to perform this task on each container or system.  </w:t>
      </w:r>
    </w:p>
    <w:p w:rsidR="00AB03C6" w:rsidRPr="00F579D2" w:rsidP="00AB03C6" w14:paraId="098C8072" w14:textId="77777777">
      <w:pPr>
        <w:pStyle w:val="NormalWeb"/>
      </w:pPr>
    </w:p>
    <w:p w:rsidR="00AB03C6" w:rsidRPr="00F579D2" w:rsidP="00AB03C6" w14:paraId="6E285D32" w14:textId="77777777">
      <w:pPr>
        <w:pStyle w:val="NormalWeb"/>
      </w:pPr>
      <w:r w:rsidRPr="00F579D2">
        <w:t>The estimated burden hours and cost associated with this provision are:</w:t>
      </w:r>
    </w:p>
    <w:p w:rsidR="00AB03C6" w:rsidRPr="00B808A9" w:rsidP="00AB03C6" w14:paraId="1D8C2CF5" w14:textId="77777777">
      <w:pPr>
        <w:widowControl/>
      </w:pPr>
    </w:p>
    <w:p w:rsidR="00AB03C6" w:rsidRPr="00B808A9" w:rsidP="00AB03C6" w14:paraId="25A57086" w14:textId="13292025">
      <w:pPr>
        <w:widowControl/>
        <w:ind w:left="720" w:firstLine="720"/>
      </w:pPr>
      <w:r w:rsidRPr="00B808A9">
        <w:rPr>
          <w:b/>
          <w:bCs/>
        </w:rPr>
        <w:t>Burden hours</w:t>
      </w:r>
      <w:r w:rsidRPr="00B808A9">
        <w:t xml:space="preserve">:  </w:t>
      </w:r>
      <w:r w:rsidRPr="00B808A9" w:rsidR="00553A3E">
        <w:t>20</w:t>
      </w:r>
      <w:r w:rsidR="009D445A">
        <w:t>4</w:t>
      </w:r>
      <w:r w:rsidRPr="00B808A9" w:rsidR="00553A3E">
        <w:t>,</w:t>
      </w:r>
      <w:r w:rsidR="009D445A">
        <w:t>6</w:t>
      </w:r>
      <w:r w:rsidRPr="00B808A9" w:rsidR="00553A3E">
        <w:t xml:space="preserve">00 </w:t>
      </w:r>
      <w:r w:rsidRPr="00B808A9">
        <w:t>containers x</w:t>
      </w:r>
      <w:r w:rsidR="00833E92">
        <w:t xml:space="preserve"> </w:t>
      </w:r>
      <w:r w:rsidRPr="00B808A9">
        <w:t xml:space="preserve">.01 x </w:t>
      </w:r>
      <w:r w:rsidRPr="00B808A9" w:rsidR="00553A3E">
        <w:t>10/60</w:t>
      </w:r>
      <w:r w:rsidRPr="00B808A9">
        <w:t xml:space="preserve"> hours = </w:t>
      </w:r>
      <w:r w:rsidRPr="00B808A9" w:rsidR="00553A3E">
        <w:t>3</w:t>
      </w:r>
      <w:r w:rsidR="00B32C33">
        <w:t>41</w:t>
      </w:r>
      <w:r w:rsidRPr="00B808A9">
        <w:t xml:space="preserve"> hours</w:t>
      </w:r>
    </w:p>
    <w:p w:rsidR="00F579D2" w:rsidRPr="00B808A9" w:rsidP="00AB03C6" w14:paraId="16FB3FCD" w14:textId="3831538B">
      <w:pPr>
        <w:widowControl/>
        <w:ind w:left="1440" w:firstLine="720"/>
      </w:pPr>
      <w:r w:rsidRPr="00B808A9">
        <w:rPr>
          <w:b/>
          <w:bCs/>
        </w:rPr>
        <w:t xml:space="preserve">    Cost</w:t>
      </w:r>
      <w:r w:rsidRPr="00B808A9">
        <w:t>:  3</w:t>
      </w:r>
      <w:r w:rsidR="00B73FAC">
        <w:t>41</w:t>
      </w:r>
      <w:r w:rsidRPr="00B808A9">
        <w:t xml:space="preserve"> hours x $</w:t>
      </w:r>
      <w:r w:rsidR="00A92AA4">
        <w:t>31.61</w:t>
      </w:r>
      <w:r w:rsidRPr="00B808A9">
        <w:t>= $</w:t>
      </w:r>
      <w:r w:rsidR="00A92AA4">
        <w:t>10,</w:t>
      </w:r>
      <w:r w:rsidR="000D3BDC">
        <w:t>779</w:t>
      </w:r>
      <w:r w:rsidR="003171D1">
        <w:t xml:space="preserve"> </w:t>
      </w:r>
      <w:r w:rsidR="00A92AA4">
        <w:t>(rounded)</w:t>
      </w:r>
    </w:p>
    <w:p w:rsidR="00F579D2" w:rsidRPr="00B808A9" w:rsidP="00AB03C6" w14:paraId="3FCB4F2C" w14:textId="77777777">
      <w:pPr>
        <w:widowControl/>
        <w:ind w:left="1440" w:firstLine="720"/>
      </w:pPr>
    </w:p>
    <w:p w:rsidR="00F579D2" w:rsidRPr="00B808A9" w:rsidP="00F579D2" w14:paraId="75A9318F" w14:textId="77777777">
      <w:r w:rsidRPr="00B808A9">
        <w:t xml:space="preserve">The following table summarizes the burden hours and costs associated with each provision of the Standard that contains a </w:t>
      </w:r>
      <w:r w:rsidRPr="00B808A9">
        <w:t>collection of information:</w:t>
      </w:r>
    </w:p>
    <w:p w:rsidR="00F579D2" w:rsidRPr="00B808A9" w:rsidP="00AB03C6" w14:paraId="76DF2E56" w14:textId="77777777">
      <w:pPr>
        <w:widowControl/>
        <w:ind w:left="1440" w:firstLine="720"/>
      </w:pPr>
    </w:p>
    <w:tbl>
      <w:tblPr>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1530"/>
        <w:gridCol w:w="1530"/>
        <w:gridCol w:w="1440"/>
        <w:gridCol w:w="1350"/>
        <w:gridCol w:w="1260"/>
        <w:gridCol w:w="1170"/>
        <w:gridCol w:w="1260"/>
        <w:gridCol w:w="990"/>
        <w:gridCol w:w="1170"/>
      </w:tblGrid>
      <w:tr w14:paraId="6FEE28A2" w14:textId="77777777" w:rsidTr="004F5A84">
        <w:tblPrEx>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trHeight w:val="620"/>
          <w:tblHeader/>
        </w:trPr>
        <w:tc>
          <w:tcPr>
            <w:tcW w:w="11700" w:type="dxa"/>
            <w:gridSpan w:val="9"/>
            <w:shd w:val="clear" w:color="auto" w:fill="DEEAF6"/>
          </w:tcPr>
          <w:p w:rsidR="00F579D2" w:rsidRPr="00196DB0" w14:paraId="35D60E44" w14:textId="3EC0C953">
            <w:pPr>
              <w:rPr>
                <w:b/>
                <w:sz w:val="22"/>
                <w:szCs w:val="22"/>
              </w:rPr>
            </w:pPr>
            <w:r w:rsidRPr="00196DB0">
              <w:rPr>
                <w:b/>
                <w:sz w:val="22"/>
                <w:szCs w:val="22"/>
              </w:rPr>
              <w:t>TABLE 2</w:t>
            </w:r>
            <w:r w:rsidR="00FC6655">
              <w:rPr>
                <w:b/>
                <w:sz w:val="22"/>
                <w:szCs w:val="22"/>
              </w:rPr>
              <w:t>—</w:t>
            </w:r>
            <w:r w:rsidR="00393B38">
              <w:rPr>
                <w:b/>
                <w:sz w:val="22"/>
                <w:szCs w:val="22"/>
              </w:rPr>
              <w:t xml:space="preserve">ESTIMATED </w:t>
            </w:r>
            <w:r w:rsidR="001E018F">
              <w:rPr>
                <w:b/>
                <w:sz w:val="22"/>
                <w:szCs w:val="22"/>
              </w:rPr>
              <w:t>ANNUALIZ</w:t>
            </w:r>
            <w:r w:rsidR="00393B38">
              <w:rPr>
                <w:b/>
                <w:sz w:val="22"/>
                <w:szCs w:val="22"/>
              </w:rPr>
              <w:t>ED</w:t>
            </w:r>
            <w:r w:rsidR="00151723">
              <w:rPr>
                <w:b/>
                <w:sz w:val="22"/>
                <w:szCs w:val="22"/>
              </w:rPr>
              <w:t xml:space="preserve"> </w:t>
            </w:r>
            <w:r w:rsidR="00E41B04">
              <w:rPr>
                <w:b/>
                <w:sz w:val="22"/>
                <w:szCs w:val="22"/>
              </w:rPr>
              <w:t xml:space="preserve">RESPONDENT </w:t>
            </w:r>
            <w:r w:rsidRPr="00196DB0">
              <w:rPr>
                <w:b/>
                <w:sz w:val="22"/>
                <w:szCs w:val="22"/>
              </w:rPr>
              <w:t xml:space="preserve">BURDEN HOURS AND COST </w:t>
            </w:r>
            <w:r w:rsidR="00640314">
              <w:rPr>
                <w:b/>
                <w:sz w:val="22"/>
                <w:szCs w:val="22"/>
              </w:rPr>
              <w:t>TABLE</w:t>
            </w:r>
            <w:r w:rsidR="00EA5C9B">
              <w:rPr>
                <w:b/>
                <w:sz w:val="22"/>
                <w:szCs w:val="22"/>
              </w:rPr>
              <w:t>*</w:t>
            </w:r>
          </w:p>
        </w:tc>
      </w:tr>
      <w:tr w14:paraId="3DABF077" w14:textId="77777777" w:rsidTr="000D4C6B">
        <w:tblPrEx>
          <w:tblW w:w="11700" w:type="dxa"/>
          <w:tblInd w:w="-1175" w:type="dxa"/>
          <w:tblLayout w:type="fixed"/>
          <w:tblCellMar>
            <w:left w:w="115" w:type="dxa"/>
            <w:right w:w="115" w:type="dxa"/>
          </w:tblCellMar>
          <w:tblLook w:val="04A0"/>
        </w:tblPrEx>
        <w:trPr>
          <w:trHeight w:val="1385"/>
          <w:tblHeader/>
        </w:trPr>
        <w:tc>
          <w:tcPr>
            <w:tcW w:w="1530" w:type="dxa"/>
            <w:shd w:val="clear" w:color="auto" w:fill="DEEAF6"/>
            <w:hideMark/>
          </w:tcPr>
          <w:p w:rsidR="00F579D2" w:rsidRPr="00196DB0" w14:paraId="1E99B834" w14:textId="77777777">
            <w:pPr>
              <w:rPr>
                <w:b/>
                <w:sz w:val="22"/>
                <w:szCs w:val="22"/>
              </w:rPr>
            </w:pPr>
            <w:r w:rsidRPr="00196DB0">
              <w:rPr>
                <w:b/>
                <w:sz w:val="22"/>
                <w:szCs w:val="22"/>
              </w:rPr>
              <w:t xml:space="preserve">Information Collection Requirement </w:t>
            </w:r>
          </w:p>
          <w:p w:rsidR="00F579D2" w:rsidRPr="00196DB0" w14:paraId="0A3C655B" w14:textId="77777777">
            <w:pPr>
              <w:rPr>
                <w:b/>
                <w:sz w:val="22"/>
                <w:szCs w:val="22"/>
              </w:rPr>
            </w:pPr>
          </w:p>
        </w:tc>
        <w:tc>
          <w:tcPr>
            <w:tcW w:w="1530" w:type="dxa"/>
            <w:shd w:val="clear" w:color="auto" w:fill="DEEAF6"/>
            <w:hideMark/>
          </w:tcPr>
          <w:p w:rsidR="00F579D2" w:rsidRPr="00196DB0" w14:paraId="4A090BF4" w14:textId="7A3BC9BD">
            <w:pPr>
              <w:rPr>
                <w:b/>
                <w:sz w:val="22"/>
                <w:szCs w:val="22"/>
              </w:rPr>
            </w:pPr>
            <w:r w:rsidRPr="00196DB0">
              <w:rPr>
                <w:b/>
                <w:sz w:val="22"/>
                <w:szCs w:val="22"/>
              </w:rPr>
              <w:t>Type of Respondent</w:t>
            </w:r>
          </w:p>
        </w:tc>
        <w:tc>
          <w:tcPr>
            <w:tcW w:w="1440" w:type="dxa"/>
            <w:shd w:val="clear" w:color="auto" w:fill="DEEAF6"/>
            <w:hideMark/>
          </w:tcPr>
          <w:p w:rsidR="00F579D2" w:rsidRPr="00196DB0" w14:paraId="581C7CCF" w14:textId="77777777">
            <w:pPr>
              <w:rPr>
                <w:b/>
                <w:sz w:val="22"/>
                <w:szCs w:val="22"/>
              </w:rPr>
            </w:pPr>
            <w:r w:rsidRPr="00196DB0">
              <w:rPr>
                <w:b/>
                <w:sz w:val="22"/>
                <w:szCs w:val="22"/>
              </w:rPr>
              <w:t xml:space="preserve">No. of </w:t>
            </w:r>
          </w:p>
          <w:p w:rsidR="00F579D2" w:rsidRPr="00196DB0" w14:paraId="57ED03FD" w14:textId="77777777">
            <w:pPr>
              <w:rPr>
                <w:b/>
                <w:sz w:val="22"/>
                <w:szCs w:val="22"/>
              </w:rPr>
            </w:pPr>
            <w:r w:rsidRPr="00196DB0">
              <w:rPr>
                <w:b/>
                <w:sz w:val="22"/>
                <w:szCs w:val="22"/>
              </w:rPr>
              <w:t>Respondents</w:t>
            </w:r>
          </w:p>
        </w:tc>
        <w:tc>
          <w:tcPr>
            <w:tcW w:w="1350" w:type="dxa"/>
            <w:shd w:val="clear" w:color="auto" w:fill="DEEAF6"/>
            <w:hideMark/>
          </w:tcPr>
          <w:p w:rsidR="00F579D2" w:rsidRPr="00196DB0" w14:paraId="3ABEE53D" w14:textId="77777777">
            <w:pPr>
              <w:rPr>
                <w:b/>
                <w:sz w:val="22"/>
                <w:szCs w:val="22"/>
              </w:rPr>
            </w:pPr>
            <w:r w:rsidRPr="00196DB0">
              <w:rPr>
                <w:b/>
                <w:sz w:val="22"/>
                <w:szCs w:val="22"/>
              </w:rPr>
              <w:t>No. of Responses per Respondent</w:t>
            </w:r>
          </w:p>
        </w:tc>
        <w:tc>
          <w:tcPr>
            <w:tcW w:w="1260" w:type="dxa"/>
            <w:shd w:val="clear" w:color="auto" w:fill="DEEAF6"/>
            <w:hideMark/>
          </w:tcPr>
          <w:p w:rsidR="00F579D2" w:rsidRPr="00196DB0" w14:paraId="486D3751" w14:textId="77777777">
            <w:pPr>
              <w:rPr>
                <w:b/>
                <w:sz w:val="22"/>
                <w:szCs w:val="22"/>
              </w:rPr>
            </w:pPr>
            <w:r w:rsidRPr="00196DB0">
              <w:rPr>
                <w:b/>
                <w:sz w:val="22"/>
                <w:szCs w:val="22"/>
              </w:rPr>
              <w:t>Total No.  of Responses</w:t>
            </w:r>
          </w:p>
        </w:tc>
        <w:tc>
          <w:tcPr>
            <w:tcW w:w="1170" w:type="dxa"/>
            <w:shd w:val="clear" w:color="auto" w:fill="DEEAF6"/>
            <w:hideMark/>
          </w:tcPr>
          <w:p w:rsidR="00F579D2" w:rsidRPr="00196DB0" w14:paraId="30C95DBD" w14:textId="77777777">
            <w:pPr>
              <w:rPr>
                <w:b/>
                <w:sz w:val="22"/>
                <w:szCs w:val="22"/>
              </w:rPr>
            </w:pPr>
            <w:r w:rsidRPr="00196DB0">
              <w:rPr>
                <w:b/>
                <w:sz w:val="22"/>
                <w:szCs w:val="22"/>
              </w:rPr>
              <w:t xml:space="preserve">Burden per Response </w:t>
            </w:r>
            <w:r w:rsidRPr="000D4C6B">
              <w:rPr>
                <w:b/>
                <w:sz w:val="20"/>
                <w:szCs w:val="20"/>
              </w:rPr>
              <w:t>(In Hrs.)</w:t>
            </w:r>
          </w:p>
        </w:tc>
        <w:tc>
          <w:tcPr>
            <w:tcW w:w="1260" w:type="dxa"/>
            <w:shd w:val="clear" w:color="auto" w:fill="DEEAF6"/>
            <w:hideMark/>
          </w:tcPr>
          <w:p w:rsidR="00F579D2" w:rsidRPr="00196DB0" w14:paraId="381DED1C" w14:textId="77777777">
            <w:pPr>
              <w:rPr>
                <w:b/>
                <w:sz w:val="22"/>
                <w:szCs w:val="22"/>
              </w:rPr>
            </w:pPr>
            <w:r w:rsidRPr="00196DB0">
              <w:rPr>
                <w:b/>
                <w:sz w:val="22"/>
                <w:szCs w:val="22"/>
              </w:rPr>
              <w:t xml:space="preserve">Total Burden Hours </w:t>
            </w:r>
            <w:r w:rsidRPr="000D4C6B">
              <w:rPr>
                <w:b/>
                <w:sz w:val="20"/>
                <w:szCs w:val="20"/>
              </w:rPr>
              <w:t>(rounded)</w:t>
            </w:r>
          </w:p>
        </w:tc>
        <w:tc>
          <w:tcPr>
            <w:tcW w:w="990" w:type="dxa"/>
            <w:shd w:val="clear" w:color="auto" w:fill="DEEAF6"/>
            <w:hideMark/>
          </w:tcPr>
          <w:p w:rsidR="00F579D2" w:rsidRPr="00196DB0" w14:paraId="6F1E0FA7" w14:textId="63E53B2C">
            <w:pPr>
              <w:rPr>
                <w:b/>
                <w:sz w:val="22"/>
                <w:szCs w:val="22"/>
              </w:rPr>
            </w:pPr>
            <w:r>
              <w:rPr>
                <w:b/>
                <w:sz w:val="22"/>
                <w:szCs w:val="22"/>
              </w:rPr>
              <w:t>Loaded</w:t>
            </w:r>
            <w:r w:rsidRPr="00196DB0">
              <w:rPr>
                <w:b/>
                <w:sz w:val="22"/>
                <w:szCs w:val="22"/>
              </w:rPr>
              <w:t xml:space="preserve">  Hourly Wage Rate</w:t>
            </w:r>
          </w:p>
        </w:tc>
        <w:tc>
          <w:tcPr>
            <w:tcW w:w="1170" w:type="dxa"/>
            <w:shd w:val="clear" w:color="auto" w:fill="DEEAF6"/>
            <w:hideMark/>
          </w:tcPr>
          <w:p w:rsidR="00F579D2" w:rsidRPr="00196DB0" w14:paraId="6F4B7A9E" w14:textId="77777777">
            <w:pPr>
              <w:rPr>
                <w:b/>
                <w:sz w:val="22"/>
                <w:szCs w:val="22"/>
              </w:rPr>
            </w:pPr>
            <w:r w:rsidRPr="00196DB0">
              <w:rPr>
                <w:b/>
                <w:sz w:val="22"/>
                <w:szCs w:val="22"/>
              </w:rPr>
              <w:t xml:space="preserve">Total Burden Costs </w:t>
            </w:r>
            <w:r w:rsidRPr="000D4C6B">
              <w:rPr>
                <w:b/>
                <w:sz w:val="20"/>
                <w:szCs w:val="20"/>
              </w:rPr>
              <w:t>(rounded)</w:t>
            </w:r>
          </w:p>
        </w:tc>
      </w:tr>
      <w:tr w14:paraId="1653DA70" w14:textId="77777777" w:rsidTr="000D4C6B">
        <w:tblPrEx>
          <w:tblW w:w="11700" w:type="dxa"/>
          <w:tblInd w:w="-1175" w:type="dxa"/>
          <w:tblLayout w:type="fixed"/>
          <w:tblCellMar>
            <w:left w:w="115" w:type="dxa"/>
            <w:right w:w="115" w:type="dxa"/>
          </w:tblCellMar>
          <w:tblLook w:val="04A0"/>
        </w:tblPrEx>
        <w:trPr>
          <w:trHeight w:val="940"/>
        </w:trPr>
        <w:tc>
          <w:tcPr>
            <w:tcW w:w="1530" w:type="dxa"/>
            <w:shd w:val="clear" w:color="auto" w:fill="auto"/>
          </w:tcPr>
          <w:p w:rsidR="00FD32F1" w:rsidP="00FD32F1" w14:paraId="4B2D5E8C" w14:textId="640A8F2E">
            <w:pPr>
              <w:rPr>
                <w:bCs/>
                <w:color w:val="000000"/>
                <w:sz w:val="22"/>
                <w:szCs w:val="22"/>
              </w:rPr>
            </w:pPr>
            <w:r>
              <w:rPr>
                <w:bCs/>
                <w:color w:val="000000"/>
                <w:sz w:val="22"/>
                <w:szCs w:val="22"/>
              </w:rPr>
              <w:t xml:space="preserve">1. Approval of Equipment Systems </w:t>
            </w:r>
          </w:p>
        </w:tc>
        <w:tc>
          <w:tcPr>
            <w:tcW w:w="1530" w:type="dxa"/>
            <w:shd w:val="clear" w:color="auto" w:fill="auto"/>
            <w:noWrap/>
          </w:tcPr>
          <w:p w:rsidR="00FD32F1" w:rsidRPr="00196DB0" w:rsidP="00FD32F1" w14:paraId="26910E2E" w14:textId="61150A1F">
            <w:pPr>
              <w:rPr>
                <w:sz w:val="22"/>
                <w:szCs w:val="22"/>
              </w:rPr>
            </w:pPr>
            <w:r>
              <w:rPr>
                <w:sz w:val="22"/>
                <w:szCs w:val="22"/>
              </w:rPr>
              <w:t>Professional Engineer</w:t>
            </w:r>
          </w:p>
        </w:tc>
        <w:tc>
          <w:tcPr>
            <w:tcW w:w="1440" w:type="dxa"/>
            <w:shd w:val="clear" w:color="auto" w:fill="auto"/>
            <w:noWrap/>
          </w:tcPr>
          <w:p w:rsidR="00FD32F1" w:rsidRPr="00B808A9" w:rsidP="00FD32F1" w14:paraId="25D9D514" w14:textId="7F32297D">
            <w:r>
              <w:t>2,500</w:t>
            </w:r>
          </w:p>
        </w:tc>
        <w:tc>
          <w:tcPr>
            <w:tcW w:w="1350" w:type="dxa"/>
            <w:shd w:val="clear" w:color="auto" w:fill="auto"/>
            <w:noWrap/>
          </w:tcPr>
          <w:p w:rsidR="00FD32F1" w:rsidRPr="00B808A9" w:rsidP="00FD32F1" w14:paraId="30D015FE" w14:textId="426EA5A2">
            <w:r>
              <w:t>0.005</w:t>
            </w:r>
          </w:p>
        </w:tc>
        <w:tc>
          <w:tcPr>
            <w:tcW w:w="1260" w:type="dxa"/>
            <w:shd w:val="clear" w:color="auto" w:fill="auto"/>
            <w:noWrap/>
          </w:tcPr>
          <w:p w:rsidR="00FD32F1" w:rsidRPr="00B808A9" w:rsidP="00FD32F1" w14:paraId="39E86DD1" w14:textId="1A378D63">
            <w:r>
              <w:t>1</w:t>
            </w:r>
            <w:r w:rsidR="00BC5ADD">
              <w:t>3</w:t>
            </w:r>
          </w:p>
        </w:tc>
        <w:tc>
          <w:tcPr>
            <w:tcW w:w="1170" w:type="dxa"/>
            <w:shd w:val="clear" w:color="auto" w:fill="auto"/>
            <w:noWrap/>
          </w:tcPr>
          <w:p w:rsidR="00FD32F1" w:rsidRPr="00B808A9" w:rsidP="00FD32F1" w14:paraId="24C9BBC7" w14:textId="6DDB078F">
            <w:r>
              <w:t>5/60</w:t>
            </w:r>
          </w:p>
        </w:tc>
        <w:tc>
          <w:tcPr>
            <w:tcW w:w="1260" w:type="dxa"/>
            <w:shd w:val="clear" w:color="auto" w:fill="auto"/>
            <w:noWrap/>
          </w:tcPr>
          <w:p w:rsidR="00FD32F1" w:rsidRPr="00B808A9" w:rsidP="00FD32F1" w14:paraId="6A357464" w14:textId="41E83F81">
            <w:r>
              <w:t>1</w:t>
            </w:r>
          </w:p>
        </w:tc>
        <w:tc>
          <w:tcPr>
            <w:tcW w:w="990" w:type="dxa"/>
            <w:shd w:val="clear" w:color="auto" w:fill="auto"/>
            <w:noWrap/>
          </w:tcPr>
          <w:p w:rsidR="00FD32F1" w:rsidRPr="00B808A9" w:rsidP="00FD32F1" w14:paraId="1FBF1BE3" w14:textId="3C159814">
            <w:r>
              <w:t>65.97</w:t>
            </w:r>
          </w:p>
        </w:tc>
        <w:tc>
          <w:tcPr>
            <w:tcW w:w="1170" w:type="dxa"/>
            <w:shd w:val="clear" w:color="auto" w:fill="auto"/>
            <w:noWrap/>
          </w:tcPr>
          <w:p w:rsidR="00FD32F1" w:rsidRPr="00B808A9" w:rsidP="00FD32F1" w14:paraId="019D9B1A" w14:textId="701E675D">
            <w:r>
              <w:t>$</w:t>
            </w:r>
            <w:r w:rsidR="007B3314">
              <w:t>6</w:t>
            </w:r>
            <w:r w:rsidR="00CF2385">
              <w:t>6</w:t>
            </w:r>
          </w:p>
        </w:tc>
      </w:tr>
      <w:tr w14:paraId="347BA5B1" w14:textId="77777777" w:rsidTr="000D4C6B">
        <w:tblPrEx>
          <w:tblW w:w="11700" w:type="dxa"/>
          <w:tblInd w:w="-1175" w:type="dxa"/>
          <w:tblLayout w:type="fixed"/>
          <w:tblCellMar>
            <w:left w:w="115" w:type="dxa"/>
            <w:right w:w="115" w:type="dxa"/>
          </w:tblCellMar>
          <w:tblLook w:val="04A0"/>
        </w:tblPrEx>
        <w:trPr>
          <w:trHeight w:val="940"/>
        </w:trPr>
        <w:tc>
          <w:tcPr>
            <w:tcW w:w="1530" w:type="dxa"/>
            <w:shd w:val="clear" w:color="auto" w:fill="auto"/>
          </w:tcPr>
          <w:p w:rsidR="00F579D2" w:rsidRPr="00196DB0" w14:paraId="0834E2D2" w14:textId="2AAA665D">
            <w:pPr>
              <w:rPr>
                <w:bCs/>
                <w:color w:val="000000"/>
                <w:sz w:val="22"/>
                <w:szCs w:val="22"/>
              </w:rPr>
            </w:pPr>
            <w:r>
              <w:rPr>
                <w:bCs/>
                <w:color w:val="000000"/>
                <w:sz w:val="22"/>
                <w:szCs w:val="22"/>
              </w:rPr>
              <w:t xml:space="preserve">2. </w:t>
            </w:r>
            <w:r w:rsidR="00BC44F5">
              <w:rPr>
                <w:bCs/>
                <w:color w:val="000000"/>
                <w:sz w:val="22"/>
                <w:szCs w:val="22"/>
              </w:rPr>
              <w:t>Marking of Equipment</w:t>
            </w:r>
          </w:p>
          <w:p w:rsidR="00F579D2" w:rsidRPr="00196DB0" w14:paraId="6FEE40BE" w14:textId="77777777">
            <w:pPr>
              <w:rPr>
                <w:bCs/>
                <w:color w:val="000000"/>
                <w:sz w:val="22"/>
                <w:szCs w:val="22"/>
              </w:rPr>
            </w:pPr>
          </w:p>
        </w:tc>
        <w:tc>
          <w:tcPr>
            <w:tcW w:w="1530" w:type="dxa"/>
            <w:shd w:val="clear" w:color="auto" w:fill="auto"/>
            <w:noWrap/>
          </w:tcPr>
          <w:p w:rsidR="00F579D2" w:rsidRPr="00196DB0" w14:paraId="2236AA8B" w14:textId="77777777">
            <w:pPr>
              <w:rPr>
                <w:sz w:val="22"/>
                <w:szCs w:val="22"/>
              </w:rPr>
            </w:pPr>
            <w:r w:rsidRPr="00196DB0">
              <w:rPr>
                <w:sz w:val="22"/>
                <w:szCs w:val="22"/>
              </w:rPr>
              <w:t>Manufacturer Worker</w:t>
            </w:r>
          </w:p>
        </w:tc>
        <w:tc>
          <w:tcPr>
            <w:tcW w:w="1440" w:type="dxa"/>
            <w:shd w:val="clear" w:color="auto" w:fill="auto"/>
            <w:noWrap/>
          </w:tcPr>
          <w:p w:rsidR="00F579D2" w:rsidRPr="00B808A9" w14:paraId="2639512B" w14:textId="4FD48016">
            <w:r w:rsidRPr="00B808A9">
              <w:t>20</w:t>
            </w:r>
            <w:r w:rsidR="00690210">
              <w:t>4</w:t>
            </w:r>
            <w:r w:rsidRPr="00B808A9">
              <w:t>,</w:t>
            </w:r>
            <w:r w:rsidR="00690210">
              <w:t>6</w:t>
            </w:r>
            <w:r w:rsidRPr="00B808A9">
              <w:t>00</w:t>
            </w:r>
          </w:p>
        </w:tc>
        <w:tc>
          <w:tcPr>
            <w:tcW w:w="1350" w:type="dxa"/>
            <w:shd w:val="clear" w:color="auto" w:fill="auto"/>
            <w:noWrap/>
          </w:tcPr>
          <w:p w:rsidR="00F579D2" w:rsidRPr="00B808A9" w14:paraId="7FEB9AB6" w14:textId="5A1033CB">
            <w:r>
              <w:t>0</w:t>
            </w:r>
            <w:r w:rsidRPr="00B808A9">
              <w:t>.01</w:t>
            </w:r>
          </w:p>
        </w:tc>
        <w:tc>
          <w:tcPr>
            <w:tcW w:w="1260" w:type="dxa"/>
            <w:shd w:val="clear" w:color="auto" w:fill="auto"/>
            <w:noWrap/>
          </w:tcPr>
          <w:p w:rsidR="00F579D2" w:rsidRPr="00B808A9" w14:paraId="0C9B2BE3" w14:textId="2642BBF0">
            <w:r w:rsidRPr="00B808A9">
              <w:t>2,0</w:t>
            </w:r>
            <w:r w:rsidR="00280A30">
              <w:t>46</w:t>
            </w:r>
          </w:p>
        </w:tc>
        <w:tc>
          <w:tcPr>
            <w:tcW w:w="1170" w:type="dxa"/>
            <w:shd w:val="clear" w:color="auto" w:fill="auto"/>
            <w:noWrap/>
          </w:tcPr>
          <w:p w:rsidR="00F579D2" w:rsidRPr="00B808A9" w14:paraId="37EF4901" w14:textId="77777777">
            <w:r w:rsidRPr="00B808A9">
              <w:t>10/60</w:t>
            </w:r>
          </w:p>
        </w:tc>
        <w:tc>
          <w:tcPr>
            <w:tcW w:w="1260" w:type="dxa"/>
            <w:shd w:val="clear" w:color="auto" w:fill="auto"/>
            <w:noWrap/>
          </w:tcPr>
          <w:p w:rsidR="00F579D2" w:rsidRPr="00B808A9" w14:paraId="71D08546" w14:textId="6930A7E6">
            <w:r w:rsidRPr="00B808A9">
              <w:t>3</w:t>
            </w:r>
            <w:r w:rsidR="00806794">
              <w:t>4</w:t>
            </w:r>
            <w:r w:rsidR="00A60E3C">
              <w:t>1</w:t>
            </w:r>
          </w:p>
        </w:tc>
        <w:tc>
          <w:tcPr>
            <w:tcW w:w="990" w:type="dxa"/>
            <w:shd w:val="clear" w:color="auto" w:fill="auto"/>
            <w:noWrap/>
          </w:tcPr>
          <w:p w:rsidR="00F579D2" w:rsidRPr="00B808A9" w:rsidP="004C7081" w14:paraId="6795CD6E" w14:textId="006B50E4">
            <w:r w:rsidRPr="00B808A9">
              <w:t>$</w:t>
            </w:r>
            <w:r w:rsidR="00A92AA4">
              <w:t>31.61</w:t>
            </w:r>
          </w:p>
        </w:tc>
        <w:tc>
          <w:tcPr>
            <w:tcW w:w="1170" w:type="dxa"/>
            <w:shd w:val="clear" w:color="auto" w:fill="auto"/>
            <w:noWrap/>
          </w:tcPr>
          <w:p w:rsidR="00F579D2" w:rsidRPr="00B808A9" w14:paraId="78F6F0AA" w14:textId="7F66EDE8">
            <w:r w:rsidRPr="00B808A9">
              <w:t>$</w:t>
            </w:r>
            <w:r w:rsidR="00A92AA4">
              <w:t>10,</w:t>
            </w:r>
            <w:r w:rsidR="000D3BDC">
              <w:t>779</w:t>
            </w:r>
          </w:p>
        </w:tc>
      </w:tr>
      <w:tr w14:paraId="59B72AAD" w14:textId="77777777" w:rsidTr="00D56019">
        <w:tblPrEx>
          <w:tblW w:w="11700" w:type="dxa"/>
          <w:tblInd w:w="-1175" w:type="dxa"/>
          <w:tblLayout w:type="fixed"/>
          <w:tblCellMar>
            <w:left w:w="115" w:type="dxa"/>
            <w:right w:w="115" w:type="dxa"/>
          </w:tblCellMar>
          <w:tblLook w:val="04A0"/>
        </w:tblPrEx>
        <w:trPr>
          <w:trHeight w:val="940"/>
        </w:trPr>
        <w:tc>
          <w:tcPr>
            <w:tcW w:w="1530" w:type="dxa"/>
            <w:shd w:val="clear" w:color="auto" w:fill="auto"/>
          </w:tcPr>
          <w:p w:rsidR="009F5850" w:rsidRPr="000D3BDC" w:rsidP="009F5850" w14:paraId="10670099" w14:textId="08FC8FF6">
            <w:pPr>
              <w:rPr>
                <w:b/>
                <w:color w:val="000000"/>
                <w:sz w:val="22"/>
                <w:szCs w:val="22"/>
              </w:rPr>
            </w:pPr>
            <w:r w:rsidRPr="000D3BDC">
              <w:rPr>
                <w:b/>
                <w:color w:val="000000"/>
                <w:sz w:val="22"/>
                <w:szCs w:val="22"/>
              </w:rPr>
              <w:t>Total</w:t>
            </w:r>
          </w:p>
        </w:tc>
        <w:tc>
          <w:tcPr>
            <w:tcW w:w="1530" w:type="dxa"/>
            <w:shd w:val="clear" w:color="auto" w:fill="000000" w:themeFill="text1"/>
            <w:noWrap/>
          </w:tcPr>
          <w:p w:rsidR="009F5850" w:rsidRPr="000D3BDC" w:rsidP="009F5850" w14:paraId="5A8E9CA3" w14:textId="5C2B9526">
            <w:pPr>
              <w:rPr>
                <w:b/>
                <w:sz w:val="22"/>
                <w:szCs w:val="22"/>
              </w:rPr>
            </w:pPr>
          </w:p>
        </w:tc>
        <w:tc>
          <w:tcPr>
            <w:tcW w:w="1440" w:type="dxa"/>
            <w:shd w:val="clear" w:color="auto" w:fill="auto"/>
            <w:noWrap/>
          </w:tcPr>
          <w:p w:rsidR="009F5850" w:rsidRPr="000D3BDC" w:rsidP="009F5850" w14:paraId="2C1BF5C1" w14:textId="3F12872E">
            <w:pPr>
              <w:rPr>
                <w:b/>
              </w:rPr>
            </w:pPr>
            <w:r>
              <w:rPr>
                <w:b/>
              </w:rPr>
              <w:t>2,500*</w:t>
            </w:r>
          </w:p>
        </w:tc>
        <w:tc>
          <w:tcPr>
            <w:tcW w:w="1350" w:type="dxa"/>
            <w:shd w:val="clear" w:color="auto" w:fill="000000" w:themeFill="text1"/>
            <w:noWrap/>
          </w:tcPr>
          <w:p w:rsidR="009F5850" w:rsidRPr="000D3BDC" w:rsidP="009F5850" w14:paraId="47AFAD1A" w14:textId="0409305C">
            <w:pPr>
              <w:rPr>
                <w:b/>
              </w:rPr>
            </w:pPr>
          </w:p>
        </w:tc>
        <w:tc>
          <w:tcPr>
            <w:tcW w:w="1260" w:type="dxa"/>
            <w:shd w:val="clear" w:color="auto" w:fill="auto"/>
            <w:noWrap/>
          </w:tcPr>
          <w:p w:rsidR="009F5850" w:rsidRPr="000D3BDC" w:rsidP="009F5850" w14:paraId="39909CEE" w14:textId="19A2FFA4">
            <w:pPr>
              <w:rPr>
                <w:b/>
              </w:rPr>
            </w:pPr>
            <w:r w:rsidRPr="000D3BDC">
              <w:rPr>
                <w:b/>
              </w:rPr>
              <w:t>2,0</w:t>
            </w:r>
            <w:r w:rsidR="00A414F6">
              <w:rPr>
                <w:b/>
              </w:rPr>
              <w:t>59</w:t>
            </w:r>
          </w:p>
        </w:tc>
        <w:tc>
          <w:tcPr>
            <w:tcW w:w="1170" w:type="dxa"/>
            <w:shd w:val="clear" w:color="auto" w:fill="000000" w:themeFill="text1"/>
            <w:noWrap/>
          </w:tcPr>
          <w:p w:rsidR="009F5850" w:rsidRPr="000D3BDC" w:rsidP="009F5850" w14:paraId="7BE1322B" w14:textId="1D3601CF">
            <w:pPr>
              <w:rPr>
                <w:b/>
              </w:rPr>
            </w:pPr>
          </w:p>
        </w:tc>
        <w:tc>
          <w:tcPr>
            <w:tcW w:w="1260" w:type="dxa"/>
            <w:shd w:val="clear" w:color="auto" w:fill="auto"/>
            <w:noWrap/>
          </w:tcPr>
          <w:p w:rsidR="009F5850" w:rsidRPr="000D3BDC" w:rsidP="009F5850" w14:paraId="094EA86A" w14:textId="2E1F0E27">
            <w:pPr>
              <w:rPr>
                <w:b/>
              </w:rPr>
            </w:pPr>
            <w:r w:rsidRPr="000D3BDC">
              <w:rPr>
                <w:b/>
              </w:rPr>
              <w:t>3</w:t>
            </w:r>
            <w:r w:rsidR="00E23CD2">
              <w:rPr>
                <w:b/>
              </w:rPr>
              <w:t>42</w:t>
            </w:r>
          </w:p>
        </w:tc>
        <w:tc>
          <w:tcPr>
            <w:tcW w:w="990" w:type="dxa"/>
            <w:shd w:val="clear" w:color="auto" w:fill="000000" w:themeFill="text1"/>
            <w:noWrap/>
          </w:tcPr>
          <w:p w:rsidR="009F5850" w:rsidRPr="000D3BDC" w:rsidP="009F5850" w14:paraId="299FA9AD" w14:textId="786EB619">
            <w:pPr>
              <w:rPr>
                <w:b/>
              </w:rPr>
            </w:pPr>
          </w:p>
        </w:tc>
        <w:tc>
          <w:tcPr>
            <w:tcW w:w="1170" w:type="dxa"/>
            <w:shd w:val="clear" w:color="auto" w:fill="auto"/>
            <w:noWrap/>
          </w:tcPr>
          <w:p w:rsidR="009F5850" w:rsidRPr="000D3BDC" w:rsidP="009F5850" w14:paraId="6D3D0A0B" w14:textId="7F696C2F">
            <w:pPr>
              <w:rPr>
                <w:b/>
              </w:rPr>
            </w:pPr>
            <w:r w:rsidRPr="000D3BDC">
              <w:rPr>
                <w:b/>
              </w:rPr>
              <w:t>$</w:t>
            </w:r>
            <w:r w:rsidR="008E6B5A">
              <w:rPr>
                <w:b/>
              </w:rPr>
              <w:t>10,</w:t>
            </w:r>
            <w:r w:rsidR="00FA776A">
              <w:rPr>
                <w:b/>
              </w:rPr>
              <w:t>8</w:t>
            </w:r>
            <w:r w:rsidR="000D3BDC">
              <w:rPr>
                <w:b/>
              </w:rPr>
              <w:t>4</w:t>
            </w:r>
            <w:r w:rsidR="0043634B">
              <w:rPr>
                <w:b/>
              </w:rPr>
              <w:t>5</w:t>
            </w:r>
          </w:p>
        </w:tc>
      </w:tr>
    </w:tbl>
    <w:p w:rsidR="00AB03C6" w:rsidRPr="007E0968" w:rsidP="007E0968" w14:paraId="37B0B5A1" w14:textId="7770BD8B">
      <w:pPr>
        <w:widowControl/>
      </w:pPr>
      <w:r>
        <w:t>*=</w:t>
      </w:r>
      <w:r w:rsidRPr="007E0968" w:rsidR="00597579">
        <w:t xml:space="preserve">The total number of </w:t>
      </w:r>
      <w:r w:rsidR="008329F5">
        <w:t xml:space="preserve">non-cumulative </w:t>
      </w:r>
      <w:r w:rsidRPr="007E0968" w:rsidR="00597579">
        <w:t>respondents is 2,500.</w:t>
      </w:r>
    </w:p>
    <w:p w:rsidR="007E0968" w:rsidRPr="00B808A9" w:rsidP="00AB03C6" w14:paraId="770F903B" w14:textId="77777777">
      <w:pPr>
        <w:widowControl/>
        <w:ind w:left="1440" w:firstLine="720"/>
        <w:rPr>
          <w:b/>
          <w:bCs/>
        </w:rPr>
      </w:pPr>
    </w:p>
    <w:p w:rsidR="00AB03C6" w:rsidRPr="00F579D2" w:rsidP="00AB03C6" w14:paraId="1134B6E9" w14:textId="77777777">
      <w:pPr>
        <w:widowControl/>
      </w:pPr>
      <w:r w:rsidRPr="00B808A9">
        <w:rPr>
          <w:b/>
          <w:bCs/>
        </w:rPr>
        <w:t>13.  Provide an estimate of the total annual cost burden to respondents or record</w:t>
      </w:r>
      <w:r w:rsidRPr="00B808A9" w:rsidR="003B203A">
        <w:rPr>
          <w:b/>
          <w:bCs/>
        </w:rPr>
        <w:t>-</w:t>
      </w:r>
      <w:r w:rsidRPr="00B808A9">
        <w:rPr>
          <w:b/>
          <w:bCs/>
        </w:rPr>
        <w:t xml:space="preserve">keepers resulting from the collection of </w:t>
      </w:r>
      <w:r w:rsidRPr="00B808A9">
        <w:rPr>
          <w:b/>
          <w:bCs/>
        </w:rPr>
        <w:t>information.  (Do not include the cost of any hour burden shown in Items 12 and 14.)</w:t>
      </w:r>
    </w:p>
    <w:p w:rsidR="00AB03C6" w:rsidRPr="00F579D2" w:rsidP="00AB03C6" w14:paraId="2E59BED2" w14:textId="77777777">
      <w:pPr>
        <w:widowControl/>
      </w:pPr>
    </w:p>
    <w:p w:rsidR="00AB03C6" w:rsidRPr="00B808A9" w:rsidP="00AB03C6" w14:paraId="43FA3E47" w14:textId="77777777">
      <w:pPr>
        <w:widowControl/>
      </w:pPr>
      <w:r w:rsidRPr="00B808A9">
        <w:t>There are no additional costs to the respondents other than their time.</w:t>
      </w:r>
    </w:p>
    <w:p w:rsidR="006B7763" w:rsidRPr="00B808A9" w:rsidP="00AB03C6" w14:paraId="72340846" w14:textId="77777777">
      <w:pPr>
        <w:widowControl/>
      </w:pPr>
    </w:p>
    <w:p w:rsidR="00AB03C6" w:rsidRPr="00F579D2" w:rsidP="00AB03C6" w14:paraId="512E6781" w14:textId="77777777">
      <w:pPr>
        <w:widowControl/>
      </w:pPr>
      <w:r w:rsidRPr="00B808A9">
        <w:rPr>
          <w:b/>
          <w:b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B03C6" w:rsidRPr="00F579D2" w:rsidP="00AB03C6" w14:paraId="7C45A649" w14:textId="77777777">
      <w:pPr>
        <w:widowControl/>
      </w:pPr>
    </w:p>
    <w:p w:rsidR="00AB03C6" w:rsidRPr="00B808A9" w:rsidP="00AB03C6" w14:paraId="17094A57" w14:textId="77777777">
      <w:pPr>
        <w:tabs>
          <w:tab w:val="left" w:pos="0"/>
        </w:tabs>
        <w:jc w:val="both"/>
        <w:rPr>
          <w:bCs/>
        </w:rPr>
      </w:pPr>
      <w:r w:rsidRPr="00B808A9">
        <w:rPr>
          <w:bCs/>
        </w:rPr>
        <w:t>There is no cost to the Federal Government.</w:t>
      </w:r>
    </w:p>
    <w:p w:rsidR="00AB03C6" w:rsidRPr="00B808A9" w:rsidP="00AB03C6" w14:paraId="5A759CFB" w14:textId="77777777">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rPr>
          <w:b/>
          <w:bCs/>
        </w:rPr>
      </w:pPr>
    </w:p>
    <w:p w:rsidR="00AB03C6" w:rsidRPr="00F579D2" w:rsidP="00AB03C6" w14:paraId="6D143DEB" w14:textId="77777777">
      <w:pPr>
        <w:widowControl/>
      </w:pPr>
      <w:r w:rsidRPr="00B808A9">
        <w:rPr>
          <w:b/>
          <w:bCs/>
        </w:rPr>
        <w:t>15.  Explain the reasons for any program changes or adjustments.</w:t>
      </w:r>
    </w:p>
    <w:p w:rsidR="00AB03C6" w:rsidRPr="00F579D2" w:rsidP="00AB03C6" w14:paraId="3C98606D" w14:textId="77777777">
      <w:pPr>
        <w:widowControl/>
      </w:pPr>
    </w:p>
    <w:p w:rsidR="00AB03C6" w:rsidRPr="00B808A9" w:rsidP="00AB03C6" w14:paraId="3CB7F969" w14:textId="2CCA4976">
      <w:pPr>
        <w:widowControl/>
      </w:pPr>
      <w:r>
        <w:t>Upon further rev</w:t>
      </w:r>
      <w:r w:rsidR="006E07C6">
        <w:t>iew, the ag</w:t>
      </w:r>
      <w:r w:rsidR="0084737D">
        <w:t>ency</w:t>
      </w:r>
      <w:r w:rsidR="005D6E45">
        <w:t xml:space="preserve"> determined that the </w:t>
      </w:r>
      <w:r w:rsidR="00BC7107">
        <w:t xml:space="preserve">documentation </w:t>
      </w:r>
      <w:r w:rsidR="00CC1501">
        <w:t>to certify</w:t>
      </w:r>
      <w:r w:rsidR="00624A3D">
        <w:t xml:space="preserve"> </w:t>
      </w:r>
      <w:r w:rsidR="000F1D47">
        <w:t>custom</w:t>
      </w:r>
      <w:r w:rsidR="005A2FB7">
        <w:t>-</w:t>
      </w:r>
      <w:r w:rsidR="000F1D47">
        <w:t xml:space="preserve">made and </w:t>
      </w:r>
      <w:r w:rsidR="00CB633F">
        <w:t>custom-built</w:t>
      </w:r>
      <w:r w:rsidR="00C155D5">
        <w:t xml:space="preserve"> unit</w:t>
      </w:r>
      <w:r w:rsidR="007E0968">
        <w:t>s</w:t>
      </w:r>
      <w:r w:rsidR="005605B3">
        <w:t xml:space="preserve"> </w:t>
      </w:r>
      <w:r w:rsidR="005E2DB5">
        <w:t>by a</w:t>
      </w:r>
      <w:r w:rsidR="00925697">
        <w:t xml:space="preserve"> registered professional engineer or other person having special training or experience </w:t>
      </w:r>
      <w:r w:rsidR="006117BD">
        <w:t>is a collection of information</w:t>
      </w:r>
      <w:r w:rsidR="003C6068">
        <w:t xml:space="preserve">. </w:t>
      </w:r>
      <w:r w:rsidR="00C30B13">
        <w:t>The</w:t>
      </w:r>
      <w:r w:rsidR="007344C7">
        <w:t>refore</w:t>
      </w:r>
      <w:r w:rsidR="00EB77A7">
        <w:t xml:space="preserve">, </w:t>
      </w:r>
      <w:r w:rsidR="00557D52">
        <w:t>OSHA</w:t>
      </w:r>
      <w:r w:rsidRPr="00B808A9" w:rsidR="00510BB1">
        <w:t xml:space="preserve"> is requesting</w:t>
      </w:r>
      <w:r w:rsidR="00510BB1">
        <w:t xml:space="preserve"> a program change</w:t>
      </w:r>
      <w:r w:rsidRPr="00B808A9" w:rsidR="00510BB1">
        <w:t xml:space="preserve"> of </w:t>
      </w:r>
      <w:r w:rsidR="00A064DF">
        <w:t>one</w:t>
      </w:r>
      <w:r w:rsidR="00510BB1">
        <w:t xml:space="preserve"> </w:t>
      </w:r>
      <w:r w:rsidRPr="00B808A9" w:rsidR="00510BB1">
        <w:t>burden hour</w:t>
      </w:r>
      <w:r w:rsidR="006012FA">
        <w:t xml:space="preserve"> and an adjustment of 5 burden hour</w:t>
      </w:r>
      <w:r w:rsidR="008478ED">
        <w:t>s</w:t>
      </w:r>
      <w:r w:rsidRPr="00B808A9" w:rsidR="00510BB1">
        <w:t xml:space="preserve"> (from 336</w:t>
      </w:r>
      <w:r w:rsidR="00510BB1">
        <w:t xml:space="preserve"> hours to 3</w:t>
      </w:r>
      <w:r w:rsidR="00367200">
        <w:t>42</w:t>
      </w:r>
      <w:r w:rsidRPr="00B808A9" w:rsidR="00510BB1">
        <w:t xml:space="preserve"> hours)</w:t>
      </w:r>
      <w:r w:rsidR="00B421AB">
        <w:t>, a total difference of 6 burden hours</w:t>
      </w:r>
      <w:r w:rsidR="00510BB1">
        <w:t>.</w:t>
      </w:r>
      <w:r w:rsidR="00F85B17">
        <w:t xml:space="preserve"> </w:t>
      </w:r>
    </w:p>
    <w:p w:rsidR="005774F5" w:rsidRPr="00B808A9" w:rsidP="00AB03C6" w14:paraId="69A1A6C4" w14:textId="77777777">
      <w:pPr>
        <w:widowControl/>
      </w:pPr>
    </w:p>
    <w:p w:rsidR="00AB03C6" w:rsidRPr="00B808A9" w:rsidP="00AB03C6" w14:paraId="78E7F361" w14:textId="77777777">
      <w:pPr>
        <w:widowControl/>
      </w:pPr>
      <w:r w:rsidRPr="00B808A9">
        <w:t xml:space="preserve"> </w:t>
      </w:r>
    </w:p>
    <w:p w:rsidR="00AB03C6" w:rsidRPr="00F579D2" w:rsidP="00AB03C6" w14:paraId="7570BFF4" w14:textId="77777777">
      <w:pPr>
        <w:widowControl/>
      </w:pPr>
      <w:r w:rsidRPr="00B808A9">
        <w:rPr>
          <w:b/>
          <w:bCs/>
        </w:rPr>
        <w:t xml:space="preserve">16.  For collections of information whose results will be published, outline plans for tabulation, and publication.  Address any </w:t>
      </w:r>
      <w:r w:rsidRPr="00B808A9">
        <w:rPr>
          <w:b/>
          <w:bCs/>
        </w:rPr>
        <w:t>complex analytical techniques that will be used.  Provide the time schedule for the entire project, including beginning and ending dates of the collection information, completion of report, publication dates, and other actions.</w:t>
      </w:r>
    </w:p>
    <w:p w:rsidR="00AB03C6" w:rsidRPr="00F579D2" w:rsidP="00AB03C6" w14:paraId="0180ED41" w14:textId="77777777">
      <w:pPr>
        <w:widowControl/>
      </w:pPr>
    </w:p>
    <w:p w:rsidR="00AB03C6" w:rsidRPr="00B808A9" w:rsidP="00AB03C6" w14:paraId="4A1A8299" w14:textId="77777777">
      <w:pPr>
        <w:widowControl/>
      </w:pPr>
      <w:r w:rsidRPr="00B808A9">
        <w:t>OSHA will not publish the information collected under 29 CFR 1910.111.</w:t>
      </w:r>
    </w:p>
    <w:p w:rsidR="00AB03C6" w:rsidRPr="00B808A9" w:rsidP="00AB03C6" w14:paraId="7610F2F5" w14:textId="77777777">
      <w:pPr>
        <w:widowControl/>
      </w:pPr>
    </w:p>
    <w:p w:rsidR="00AB03C6" w:rsidRPr="00F579D2" w:rsidP="00AB03C6" w14:paraId="0345A256" w14:textId="7A583E31">
      <w:pPr>
        <w:widowControl/>
      </w:pPr>
      <w:r w:rsidRPr="00B808A9">
        <w:rPr>
          <w:b/>
          <w:bCs/>
        </w:rPr>
        <w:t xml:space="preserve">17.  If seeking approval to not display the expiration date for OMB approval of the information collection, explain the reasons that display would be </w:t>
      </w:r>
      <w:r w:rsidR="00EA5C9B">
        <w:rPr>
          <w:b/>
          <w:bCs/>
        </w:rPr>
        <w:t>in</w:t>
      </w:r>
      <w:r w:rsidRPr="00B808A9">
        <w:rPr>
          <w:b/>
          <w:bCs/>
        </w:rPr>
        <w:t>appropriate.</w:t>
      </w:r>
    </w:p>
    <w:p w:rsidR="00AB03C6" w:rsidRPr="00F579D2" w:rsidP="00AB03C6" w14:paraId="21715E23" w14:textId="77777777">
      <w:pPr>
        <w:widowControl/>
        <w:autoSpaceDE/>
        <w:autoSpaceDN/>
        <w:adjustRightInd/>
        <w:rPr>
          <w:rFonts w:eastAsia="Calibri"/>
        </w:rPr>
      </w:pPr>
    </w:p>
    <w:p w:rsidR="00AB03C6" w:rsidRPr="00B808A9" w:rsidP="00AB03C6" w14:paraId="15353498" w14:textId="77777777">
      <w:pPr>
        <w:widowControl/>
        <w:autoSpaceDE/>
        <w:autoSpaceDN/>
        <w:adjustRightInd/>
        <w:rPr>
          <w:rFonts w:eastAsia="Calibri"/>
        </w:rPr>
      </w:pPr>
      <w:r w:rsidRPr="00B808A9">
        <w:rPr>
          <w:rFonts w:eastAsia="Calibri"/>
        </w:rPr>
        <w:t>OSHA lists current valid control numbers in §§1910.8, 1915.8, 1917.4, 1918.4, and 1926.5 and publishes the expiration date in the Federal Register notice announcing OMB approval of the information collection requirements. (See 5 CFR 1320.3(f)(3).) OSHA believes that this is the most appropriate and accurate mechanism to inform interested parties of these expiration dates.</w:t>
      </w:r>
    </w:p>
    <w:p w:rsidR="00AB03C6" w:rsidRPr="00B808A9" w:rsidP="00AB03C6" w14:paraId="352F6776" w14:textId="77777777">
      <w:pPr>
        <w:widowControl/>
      </w:pPr>
    </w:p>
    <w:p w:rsidR="00AB03C6" w:rsidRPr="00F579D2" w:rsidP="00AB03C6" w14:paraId="76A0F534" w14:textId="77777777">
      <w:pPr>
        <w:widowControl/>
      </w:pPr>
      <w:r w:rsidRPr="00B808A9">
        <w:rPr>
          <w:b/>
          <w:bCs/>
        </w:rPr>
        <w:t>18.  Explain each exception to the certification statement.</w:t>
      </w:r>
    </w:p>
    <w:p w:rsidR="00AB03C6" w:rsidRPr="00F579D2" w:rsidP="00AB03C6" w14:paraId="17EBB5D8" w14:textId="77777777">
      <w:pPr>
        <w:widowControl/>
      </w:pPr>
    </w:p>
    <w:p w:rsidR="00AB03C6" w:rsidRPr="00B808A9" w:rsidP="00AB03C6" w14:paraId="48ABCCF3" w14:textId="77777777">
      <w:pPr>
        <w:widowControl/>
      </w:pPr>
      <w:r w:rsidRPr="00B808A9">
        <w:t>OSHA is not requesting an exception to the certification statement.</w:t>
      </w:r>
    </w:p>
    <w:p w:rsidR="00AB03C6" w:rsidRPr="00B808A9" w:rsidP="00AB03C6" w14:paraId="01E269F0" w14:textId="77777777">
      <w:pPr>
        <w:widowControl/>
      </w:pPr>
    </w:p>
    <w:p w:rsidR="00AB03C6" w:rsidRPr="00B808A9" w:rsidP="00AB03C6" w14:paraId="6606BF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B808A9">
        <w:rPr>
          <w:b/>
        </w:rPr>
        <w:t xml:space="preserve">B. COLLECTION OF INFORMATION EMPLOYING </w:t>
      </w:r>
      <w:r w:rsidRPr="00B808A9">
        <w:rPr>
          <w:b/>
        </w:rPr>
        <w:t>STATISTICAL METHODS</w:t>
      </w:r>
    </w:p>
    <w:p w:rsidR="00AB03C6" w:rsidRPr="00B808A9" w:rsidP="00AB03C6" w14:paraId="2BF25A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C9420C" w:rsidRPr="00F579D2" w:rsidP="00196DB0" w14:paraId="0B77AD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808A9">
        <w:t>This Supporting Statement does not contain any collection of information requirements that employ statistical methods.</w:t>
      </w: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0361796"/>
      <w:docPartObj>
        <w:docPartGallery w:val="Page Numbers (Bottom of Page)"/>
        <w:docPartUnique/>
      </w:docPartObj>
    </w:sdtPr>
    <w:sdtEndPr>
      <w:rPr>
        <w:noProof/>
      </w:rPr>
    </w:sdtEndPr>
    <w:sdtContent>
      <w:p w:rsidR="00377626" w14:paraId="5FDF6E25" w14:textId="2B9E65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602C5" w14:paraId="5015609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35BEC" w:rsidP="00AB03C6" w14:paraId="35A944F4" w14:textId="77777777">
      <w:r>
        <w:separator/>
      </w:r>
    </w:p>
  </w:footnote>
  <w:footnote w:type="continuationSeparator" w:id="1">
    <w:p w:rsidR="00D35BEC" w:rsidP="00AB03C6" w14:paraId="249BE0DF" w14:textId="77777777">
      <w:r>
        <w:continuationSeparator/>
      </w:r>
    </w:p>
  </w:footnote>
  <w:footnote w:type="continuationNotice" w:id="2">
    <w:p w:rsidR="00D35BEC" w14:paraId="4625B26F" w14:textId="77777777"/>
  </w:footnote>
  <w:footnote w:id="3">
    <w:p w:rsidR="00AB03C6" w:rsidRPr="00D43CD6" w:rsidP="00AB03C6" w14:paraId="47BF259D" w14:textId="77777777">
      <w:pPr>
        <w:tabs>
          <w:tab w:val="left" w:pos="0"/>
          <w:tab w:val="center" w:pos="4680"/>
          <w:tab w:val="left" w:pos="5040"/>
          <w:tab w:val="left" w:pos="5760"/>
          <w:tab w:val="left" w:pos="6480"/>
          <w:tab w:val="left" w:pos="7200"/>
          <w:tab w:val="left" w:pos="7920"/>
          <w:tab w:val="left" w:pos="8640"/>
          <w:tab w:val="left" w:pos="9360"/>
        </w:tabs>
        <w:spacing w:after="200"/>
        <w:ind w:firstLine="720"/>
        <w:rPr>
          <w:rFonts w:cs="Shruti"/>
          <w:sz w:val="20"/>
          <w:szCs w:val="20"/>
        </w:rPr>
      </w:pPr>
      <w:r w:rsidRPr="00EB40B2">
        <w:rPr>
          <w:rFonts w:cs="Shruti"/>
          <w:vertAlign w:val="superscript"/>
        </w:rPr>
        <w:t>1</w:t>
      </w:r>
      <w:r w:rsidRPr="00D43CD6">
        <w:rPr>
          <w:rFonts w:cs="Shruti"/>
          <w:sz w:val="20"/>
          <w:szCs w:val="20"/>
        </w:rPr>
        <w:t xml:space="preserve">The purpose of this Supporting Statement is to analyze and describe the burden hours and costs associated with provisions of this standard that contain paperwork </w:t>
      </w:r>
      <w:r w:rsidRPr="00D43CD6">
        <w:rPr>
          <w:rFonts w:cs="Shruti"/>
          <w:sz w:val="20"/>
          <w:szCs w:val="20"/>
        </w:rPr>
        <w:t>requirements; this Supporting Statement does not provide information or guidance on how to comply with, or how to enforce, the standard.</w:t>
      </w:r>
    </w:p>
  </w:footnote>
  <w:footnote w:id="4">
    <w:p w:rsidR="003C2437" w:rsidRPr="003C2437" w14:paraId="29789A98" w14:textId="21071180">
      <w:pPr>
        <w:pStyle w:val="FootnoteText"/>
      </w:pPr>
      <w:r w:rsidRPr="000D3BDC">
        <w:rPr>
          <w:rStyle w:val="FootnoteReference"/>
          <w:vertAlign w:val="superscript"/>
        </w:rPr>
        <w:footnoteRef/>
      </w:r>
      <w:r>
        <w:t xml:space="preserve"> </w:t>
      </w:r>
      <w:r w:rsidR="00065838">
        <w:t>Source:  ERG 1985 Final Report entitled “Support Analysis for Economic Impact Study of the Final Rule on Equipment Testing or Certification</w:t>
      </w:r>
      <w:r w:rsidR="009000E9">
        <w:t>”</w:t>
      </w:r>
      <w:r w:rsidR="00065838">
        <w:t xml:space="preserve"> </w:t>
      </w:r>
      <w:r w:rsidR="00967F6A">
        <w:t xml:space="preserve">as referenced in </w:t>
      </w:r>
      <w:r w:rsidR="00491D17">
        <w:t>(</w:t>
      </w:r>
      <w:r w:rsidR="007869EB">
        <w:t>53 FR 12118</w:t>
      </w:r>
      <w:r w:rsidR="00246AE5">
        <w:t>)</w:t>
      </w:r>
      <w:r w:rsidR="009000E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79D2" w14:paraId="7F128F83" w14:textId="5D9B2A47">
    <w:pPr>
      <w:pStyle w:val="Header"/>
      <w:rPr>
        <w:sz w:val="20"/>
        <w:szCs w:val="20"/>
      </w:rPr>
    </w:pPr>
    <w:r>
      <w:rPr>
        <w:sz w:val="20"/>
        <w:szCs w:val="20"/>
      </w:rPr>
      <w:t>Storage and Handling of Anhydrous Ammonia Standard (29 CFR 1910.111</w:t>
    </w:r>
    <w:r w:rsidRPr="00EA5C9B" w:rsidR="00EA5C9B">
      <w:rPr>
        <w:sz w:val="20"/>
        <w:szCs w:val="20"/>
      </w:rPr>
      <w:t>)</w:t>
    </w:r>
  </w:p>
  <w:p w:rsidR="00593A0C" w14:paraId="2A0216C9" w14:textId="2823A1DA">
    <w:pPr>
      <w:pStyle w:val="Header"/>
      <w:rPr>
        <w:sz w:val="20"/>
        <w:szCs w:val="20"/>
      </w:rPr>
    </w:pPr>
    <w:r>
      <w:rPr>
        <w:sz w:val="20"/>
        <w:szCs w:val="20"/>
      </w:rPr>
      <w:t>OMB Control Number</w:t>
    </w:r>
    <w:r w:rsidR="00EA5C9B">
      <w:rPr>
        <w:sz w:val="20"/>
        <w:szCs w:val="20"/>
      </w:rPr>
      <w:t>:</w:t>
    </w:r>
    <w:r>
      <w:rPr>
        <w:sz w:val="20"/>
        <w:szCs w:val="20"/>
      </w:rPr>
      <w:t xml:space="preserve"> 1218-0208</w:t>
    </w:r>
  </w:p>
  <w:p w:rsidR="00593A0C" w14:paraId="4B74D8DE" w14:textId="7CF55969">
    <w:pPr>
      <w:pStyle w:val="Header"/>
      <w:rPr>
        <w:sz w:val="20"/>
        <w:szCs w:val="20"/>
      </w:rPr>
    </w:pPr>
    <w:r>
      <w:rPr>
        <w:sz w:val="20"/>
        <w:szCs w:val="20"/>
      </w:rPr>
      <w:t xml:space="preserve">OMB </w:t>
    </w:r>
    <w:r>
      <w:rPr>
        <w:sz w:val="20"/>
        <w:szCs w:val="20"/>
      </w:rPr>
      <w:t>Expiration Date:  March 31, 2024</w:t>
    </w:r>
  </w:p>
  <w:p w:rsidR="00F579D2" w:rsidRPr="00B62FCC" w14:paraId="06189013" w14:textId="23807BE1">
    <w:pPr>
      <w:pStyle w:val="Header"/>
      <w:rPr>
        <w:sz w:val="20"/>
        <w:szCs w:val="20"/>
      </w:rPr>
    </w:pPr>
  </w:p>
  <w:p w:rsidR="00C2776C" w14:paraId="1C1C302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9"/>
    <w:multiLevelType w:val="multilevel"/>
    <w:tmpl w:val="00000000"/>
    <w:lvl w:ilvl="0">
      <w:start w:val="1"/>
      <w:numFmt w:val="decimal"/>
      <w:pStyle w:val="Level1"/>
      <w:lvlText w:val="(%1)"/>
      <w:lvlJc w:val="left"/>
      <w:pPr>
        <w:tabs>
          <w:tab w:val="num" w:pos="720"/>
        </w:tabs>
        <w:ind w:left="90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597285D"/>
    <w:multiLevelType w:val="hybridMultilevel"/>
    <w:tmpl w:val="65444A42"/>
    <w:lvl w:ilvl="0">
      <w:start w:val="11"/>
      <w:numFmt w:val="decimal"/>
      <w:lvlText w:val="%1."/>
      <w:lvlJc w:val="left"/>
      <w:pPr>
        <w:tabs>
          <w:tab w:val="num" w:pos="630"/>
        </w:tabs>
        <w:ind w:left="630" w:hanging="360"/>
      </w:pPr>
      <w:rPr>
        <w:rFonts w:hint="default"/>
      </w:rPr>
    </w:lvl>
    <w:lvl w:ilvl="1" w:tentative="1">
      <w:start w:val="1"/>
      <w:numFmt w:val="lowerLetter"/>
      <w:lvlText w:val="%2."/>
      <w:lvlJc w:val="left"/>
      <w:pPr>
        <w:tabs>
          <w:tab w:val="num" w:pos="1350"/>
        </w:tabs>
        <w:ind w:left="1350" w:hanging="360"/>
      </w:p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2">
    <w:nsid w:val="5E3C6C14"/>
    <w:multiLevelType w:val="hybridMultilevel"/>
    <w:tmpl w:val="D01667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17014C7"/>
    <w:multiLevelType w:val="hybridMultilevel"/>
    <w:tmpl w:val="2252F6A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8647244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154368157">
    <w:abstractNumId w:val="3"/>
  </w:num>
  <w:num w:numId="3" w16cid:durableId="388113635">
    <w:abstractNumId w:val="1"/>
  </w:num>
  <w:num w:numId="4" w16cid:durableId="661157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C6"/>
    <w:rsid w:val="000004C7"/>
    <w:rsid w:val="00001585"/>
    <w:rsid w:val="0000332D"/>
    <w:rsid w:val="000044E0"/>
    <w:rsid w:val="00005248"/>
    <w:rsid w:val="00010609"/>
    <w:rsid w:val="00011CF3"/>
    <w:rsid w:val="00015E37"/>
    <w:rsid w:val="00020CE2"/>
    <w:rsid w:val="00023D65"/>
    <w:rsid w:val="00027CB7"/>
    <w:rsid w:val="00030DE7"/>
    <w:rsid w:val="0003430E"/>
    <w:rsid w:val="00035921"/>
    <w:rsid w:val="0003758B"/>
    <w:rsid w:val="000407F8"/>
    <w:rsid w:val="00041CDF"/>
    <w:rsid w:val="00042421"/>
    <w:rsid w:val="0005169D"/>
    <w:rsid w:val="00056AE4"/>
    <w:rsid w:val="00060D67"/>
    <w:rsid w:val="000624C5"/>
    <w:rsid w:val="00062C27"/>
    <w:rsid w:val="00063C31"/>
    <w:rsid w:val="00063C96"/>
    <w:rsid w:val="00065838"/>
    <w:rsid w:val="0006611D"/>
    <w:rsid w:val="00066A45"/>
    <w:rsid w:val="00066D58"/>
    <w:rsid w:val="00073C7D"/>
    <w:rsid w:val="00073EA2"/>
    <w:rsid w:val="000811DB"/>
    <w:rsid w:val="00087A40"/>
    <w:rsid w:val="00090883"/>
    <w:rsid w:val="00090FE4"/>
    <w:rsid w:val="00093DBB"/>
    <w:rsid w:val="0009536C"/>
    <w:rsid w:val="00097046"/>
    <w:rsid w:val="000A0AEC"/>
    <w:rsid w:val="000A41AB"/>
    <w:rsid w:val="000A640D"/>
    <w:rsid w:val="000B1ACE"/>
    <w:rsid w:val="000B1F59"/>
    <w:rsid w:val="000B20E5"/>
    <w:rsid w:val="000B2652"/>
    <w:rsid w:val="000B5A7F"/>
    <w:rsid w:val="000C0C40"/>
    <w:rsid w:val="000C1C45"/>
    <w:rsid w:val="000C3D8E"/>
    <w:rsid w:val="000C5492"/>
    <w:rsid w:val="000C69C9"/>
    <w:rsid w:val="000D1DE9"/>
    <w:rsid w:val="000D2D04"/>
    <w:rsid w:val="000D3BDC"/>
    <w:rsid w:val="000D4C6B"/>
    <w:rsid w:val="000E26BE"/>
    <w:rsid w:val="000E2959"/>
    <w:rsid w:val="000E5567"/>
    <w:rsid w:val="000E6468"/>
    <w:rsid w:val="000E6C10"/>
    <w:rsid w:val="000F0EF5"/>
    <w:rsid w:val="000F16F7"/>
    <w:rsid w:val="000F1D47"/>
    <w:rsid w:val="000F50A2"/>
    <w:rsid w:val="000F5884"/>
    <w:rsid w:val="000F5FDE"/>
    <w:rsid w:val="00101826"/>
    <w:rsid w:val="0010256D"/>
    <w:rsid w:val="00102570"/>
    <w:rsid w:val="0010330D"/>
    <w:rsid w:val="001071DB"/>
    <w:rsid w:val="001104FC"/>
    <w:rsid w:val="00110F92"/>
    <w:rsid w:val="001113B5"/>
    <w:rsid w:val="00115493"/>
    <w:rsid w:val="0012609B"/>
    <w:rsid w:val="0013430B"/>
    <w:rsid w:val="00136917"/>
    <w:rsid w:val="001408C4"/>
    <w:rsid w:val="00141072"/>
    <w:rsid w:val="00145FC5"/>
    <w:rsid w:val="001468FD"/>
    <w:rsid w:val="00150A0A"/>
    <w:rsid w:val="00151723"/>
    <w:rsid w:val="00155C38"/>
    <w:rsid w:val="00155CF2"/>
    <w:rsid w:val="00164CB7"/>
    <w:rsid w:val="00164D23"/>
    <w:rsid w:val="0016532F"/>
    <w:rsid w:val="0017241D"/>
    <w:rsid w:val="0017523A"/>
    <w:rsid w:val="001760DE"/>
    <w:rsid w:val="00177B38"/>
    <w:rsid w:val="00180680"/>
    <w:rsid w:val="0018319C"/>
    <w:rsid w:val="001855F0"/>
    <w:rsid w:val="00186068"/>
    <w:rsid w:val="00193156"/>
    <w:rsid w:val="00193792"/>
    <w:rsid w:val="00196DB0"/>
    <w:rsid w:val="001A0031"/>
    <w:rsid w:val="001A14AD"/>
    <w:rsid w:val="001A2673"/>
    <w:rsid w:val="001A272C"/>
    <w:rsid w:val="001A2A61"/>
    <w:rsid w:val="001A5B69"/>
    <w:rsid w:val="001B112E"/>
    <w:rsid w:val="001B327F"/>
    <w:rsid w:val="001B3CE5"/>
    <w:rsid w:val="001B4B52"/>
    <w:rsid w:val="001B4D40"/>
    <w:rsid w:val="001B5323"/>
    <w:rsid w:val="001C172F"/>
    <w:rsid w:val="001C286F"/>
    <w:rsid w:val="001C29EC"/>
    <w:rsid w:val="001C2F51"/>
    <w:rsid w:val="001C3A6F"/>
    <w:rsid w:val="001C4C40"/>
    <w:rsid w:val="001D1C8C"/>
    <w:rsid w:val="001D33EF"/>
    <w:rsid w:val="001D60AA"/>
    <w:rsid w:val="001E018F"/>
    <w:rsid w:val="001E0CCE"/>
    <w:rsid w:val="001E1545"/>
    <w:rsid w:val="001F110E"/>
    <w:rsid w:val="001F1E51"/>
    <w:rsid w:val="001F5510"/>
    <w:rsid w:val="001F7D79"/>
    <w:rsid w:val="00201341"/>
    <w:rsid w:val="00206801"/>
    <w:rsid w:val="00206F9A"/>
    <w:rsid w:val="00211948"/>
    <w:rsid w:val="0021515D"/>
    <w:rsid w:val="002157BB"/>
    <w:rsid w:val="0021622A"/>
    <w:rsid w:val="002222CE"/>
    <w:rsid w:val="0022600F"/>
    <w:rsid w:val="00226A19"/>
    <w:rsid w:val="002329CE"/>
    <w:rsid w:val="002341E0"/>
    <w:rsid w:val="00241B1B"/>
    <w:rsid w:val="002433BD"/>
    <w:rsid w:val="00246AE5"/>
    <w:rsid w:val="00247101"/>
    <w:rsid w:val="00251643"/>
    <w:rsid w:val="00256F1D"/>
    <w:rsid w:val="002602C5"/>
    <w:rsid w:val="00264EE5"/>
    <w:rsid w:val="0026591F"/>
    <w:rsid w:val="00276694"/>
    <w:rsid w:val="00277C09"/>
    <w:rsid w:val="00277E44"/>
    <w:rsid w:val="00280A30"/>
    <w:rsid w:val="00281121"/>
    <w:rsid w:val="00291761"/>
    <w:rsid w:val="002A0869"/>
    <w:rsid w:val="002A2C72"/>
    <w:rsid w:val="002A4D6E"/>
    <w:rsid w:val="002A5EF0"/>
    <w:rsid w:val="002A62AF"/>
    <w:rsid w:val="002B0610"/>
    <w:rsid w:val="002B3008"/>
    <w:rsid w:val="002C0034"/>
    <w:rsid w:val="002C0F05"/>
    <w:rsid w:val="002C441E"/>
    <w:rsid w:val="002D0EF7"/>
    <w:rsid w:val="002D14DB"/>
    <w:rsid w:val="002D5CBD"/>
    <w:rsid w:val="002D74C1"/>
    <w:rsid w:val="002E62C5"/>
    <w:rsid w:val="002E761D"/>
    <w:rsid w:val="002F0080"/>
    <w:rsid w:val="002F4AF7"/>
    <w:rsid w:val="002F5F95"/>
    <w:rsid w:val="002F6436"/>
    <w:rsid w:val="002F7C9D"/>
    <w:rsid w:val="002F7DAA"/>
    <w:rsid w:val="00303A3F"/>
    <w:rsid w:val="00303FF8"/>
    <w:rsid w:val="00304E36"/>
    <w:rsid w:val="003079A1"/>
    <w:rsid w:val="0031128C"/>
    <w:rsid w:val="0031164A"/>
    <w:rsid w:val="00312700"/>
    <w:rsid w:val="003171D1"/>
    <w:rsid w:val="00322C61"/>
    <w:rsid w:val="00323971"/>
    <w:rsid w:val="00325AE7"/>
    <w:rsid w:val="003277A5"/>
    <w:rsid w:val="00327DFE"/>
    <w:rsid w:val="00332357"/>
    <w:rsid w:val="00332A32"/>
    <w:rsid w:val="0033346F"/>
    <w:rsid w:val="0033356B"/>
    <w:rsid w:val="00334445"/>
    <w:rsid w:val="00334E8C"/>
    <w:rsid w:val="003356DA"/>
    <w:rsid w:val="0034125F"/>
    <w:rsid w:val="003417B4"/>
    <w:rsid w:val="003428AA"/>
    <w:rsid w:val="003453DA"/>
    <w:rsid w:val="003517A0"/>
    <w:rsid w:val="00353398"/>
    <w:rsid w:val="0035348D"/>
    <w:rsid w:val="00357B8F"/>
    <w:rsid w:val="00360406"/>
    <w:rsid w:val="003642F9"/>
    <w:rsid w:val="00367200"/>
    <w:rsid w:val="00377626"/>
    <w:rsid w:val="00393B38"/>
    <w:rsid w:val="003957E5"/>
    <w:rsid w:val="00396514"/>
    <w:rsid w:val="0039753A"/>
    <w:rsid w:val="003A0AC8"/>
    <w:rsid w:val="003A0ADB"/>
    <w:rsid w:val="003A1A99"/>
    <w:rsid w:val="003A1D84"/>
    <w:rsid w:val="003A386D"/>
    <w:rsid w:val="003A479B"/>
    <w:rsid w:val="003A65D0"/>
    <w:rsid w:val="003B1ADB"/>
    <w:rsid w:val="003B203A"/>
    <w:rsid w:val="003B22D2"/>
    <w:rsid w:val="003B3041"/>
    <w:rsid w:val="003B41B0"/>
    <w:rsid w:val="003C2437"/>
    <w:rsid w:val="003C266C"/>
    <w:rsid w:val="003C3C4E"/>
    <w:rsid w:val="003C4EA1"/>
    <w:rsid w:val="003C6068"/>
    <w:rsid w:val="003D0FDE"/>
    <w:rsid w:val="003D2253"/>
    <w:rsid w:val="003E4782"/>
    <w:rsid w:val="003F0C35"/>
    <w:rsid w:val="003F109C"/>
    <w:rsid w:val="003F3283"/>
    <w:rsid w:val="003F390F"/>
    <w:rsid w:val="003F7A17"/>
    <w:rsid w:val="004030FE"/>
    <w:rsid w:val="004048E3"/>
    <w:rsid w:val="00407548"/>
    <w:rsid w:val="004132E8"/>
    <w:rsid w:val="00414F3E"/>
    <w:rsid w:val="00416F12"/>
    <w:rsid w:val="00416FCE"/>
    <w:rsid w:val="004204D9"/>
    <w:rsid w:val="00426CA2"/>
    <w:rsid w:val="00431592"/>
    <w:rsid w:val="00434EB6"/>
    <w:rsid w:val="00435208"/>
    <w:rsid w:val="0043634B"/>
    <w:rsid w:val="004402EB"/>
    <w:rsid w:val="00440F83"/>
    <w:rsid w:val="00447702"/>
    <w:rsid w:val="0045062B"/>
    <w:rsid w:val="004514AC"/>
    <w:rsid w:val="004525D9"/>
    <w:rsid w:val="00454625"/>
    <w:rsid w:val="004546B8"/>
    <w:rsid w:val="004569EB"/>
    <w:rsid w:val="004727BB"/>
    <w:rsid w:val="004804A5"/>
    <w:rsid w:val="00481465"/>
    <w:rsid w:val="00482A53"/>
    <w:rsid w:val="00491D17"/>
    <w:rsid w:val="00491F9C"/>
    <w:rsid w:val="00496256"/>
    <w:rsid w:val="004A1B6B"/>
    <w:rsid w:val="004A3F0D"/>
    <w:rsid w:val="004A4795"/>
    <w:rsid w:val="004A5F2B"/>
    <w:rsid w:val="004B30FC"/>
    <w:rsid w:val="004B4BE9"/>
    <w:rsid w:val="004B4F61"/>
    <w:rsid w:val="004B52ED"/>
    <w:rsid w:val="004B5F8D"/>
    <w:rsid w:val="004C2E2A"/>
    <w:rsid w:val="004C42ED"/>
    <w:rsid w:val="004C6FC4"/>
    <w:rsid w:val="004C7081"/>
    <w:rsid w:val="004D0318"/>
    <w:rsid w:val="004D0505"/>
    <w:rsid w:val="004D16E5"/>
    <w:rsid w:val="004D2939"/>
    <w:rsid w:val="004D33D6"/>
    <w:rsid w:val="004E5C58"/>
    <w:rsid w:val="004E683A"/>
    <w:rsid w:val="004F0D8B"/>
    <w:rsid w:val="004F0E36"/>
    <w:rsid w:val="004F5A84"/>
    <w:rsid w:val="004F6E27"/>
    <w:rsid w:val="004F7F24"/>
    <w:rsid w:val="00501CF6"/>
    <w:rsid w:val="005022FD"/>
    <w:rsid w:val="0050269C"/>
    <w:rsid w:val="00503856"/>
    <w:rsid w:val="00503F1C"/>
    <w:rsid w:val="00507401"/>
    <w:rsid w:val="00510BB1"/>
    <w:rsid w:val="005177DE"/>
    <w:rsid w:val="00520075"/>
    <w:rsid w:val="005226A1"/>
    <w:rsid w:val="00522764"/>
    <w:rsid w:val="0052302E"/>
    <w:rsid w:val="00524635"/>
    <w:rsid w:val="00525D01"/>
    <w:rsid w:val="005279BA"/>
    <w:rsid w:val="0053050B"/>
    <w:rsid w:val="00532C4E"/>
    <w:rsid w:val="00533842"/>
    <w:rsid w:val="00535A57"/>
    <w:rsid w:val="00542156"/>
    <w:rsid w:val="0054272A"/>
    <w:rsid w:val="00543BE1"/>
    <w:rsid w:val="00543DF9"/>
    <w:rsid w:val="00546E30"/>
    <w:rsid w:val="005523D5"/>
    <w:rsid w:val="00553A3E"/>
    <w:rsid w:val="00557D52"/>
    <w:rsid w:val="005605B3"/>
    <w:rsid w:val="00560AAC"/>
    <w:rsid w:val="00561826"/>
    <w:rsid w:val="005649D7"/>
    <w:rsid w:val="00564F33"/>
    <w:rsid w:val="00565389"/>
    <w:rsid w:val="005660AE"/>
    <w:rsid w:val="005731B6"/>
    <w:rsid w:val="00575D3E"/>
    <w:rsid w:val="00576319"/>
    <w:rsid w:val="005774F5"/>
    <w:rsid w:val="00580C20"/>
    <w:rsid w:val="00580CF7"/>
    <w:rsid w:val="0058106C"/>
    <w:rsid w:val="00586117"/>
    <w:rsid w:val="00590178"/>
    <w:rsid w:val="00593A0C"/>
    <w:rsid w:val="005951FB"/>
    <w:rsid w:val="00597579"/>
    <w:rsid w:val="005A0C0B"/>
    <w:rsid w:val="005A2FB7"/>
    <w:rsid w:val="005A42E9"/>
    <w:rsid w:val="005B0DA6"/>
    <w:rsid w:val="005B1F77"/>
    <w:rsid w:val="005B27E9"/>
    <w:rsid w:val="005B35C3"/>
    <w:rsid w:val="005B4128"/>
    <w:rsid w:val="005B5AD9"/>
    <w:rsid w:val="005C08F7"/>
    <w:rsid w:val="005C0908"/>
    <w:rsid w:val="005C0DC3"/>
    <w:rsid w:val="005C56B1"/>
    <w:rsid w:val="005D59E1"/>
    <w:rsid w:val="005D6E45"/>
    <w:rsid w:val="005E2DB5"/>
    <w:rsid w:val="005E4DF5"/>
    <w:rsid w:val="005E4F02"/>
    <w:rsid w:val="005E7539"/>
    <w:rsid w:val="005E7B00"/>
    <w:rsid w:val="005F057A"/>
    <w:rsid w:val="005F5296"/>
    <w:rsid w:val="005F5453"/>
    <w:rsid w:val="005F68E1"/>
    <w:rsid w:val="00600358"/>
    <w:rsid w:val="00600C71"/>
    <w:rsid w:val="006012FA"/>
    <w:rsid w:val="00602CF2"/>
    <w:rsid w:val="006058F2"/>
    <w:rsid w:val="00610D20"/>
    <w:rsid w:val="006117BD"/>
    <w:rsid w:val="0061347E"/>
    <w:rsid w:val="00614828"/>
    <w:rsid w:val="00615258"/>
    <w:rsid w:val="006239DB"/>
    <w:rsid w:val="00624A3D"/>
    <w:rsid w:val="006312C6"/>
    <w:rsid w:val="0063330A"/>
    <w:rsid w:val="0063575C"/>
    <w:rsid w:val="006362EC"/>
    <w:rsid w:val="00636B36"/>
    <w:rsid w:val="00640314"/>
    <w:rsid w:val="00640984"/>
    <w:rsid w:val="00641DDC"/>
    <w:rsid w:val="00642C3B"/>
    <w:rsid w:val="00642CDF"/>
    <w:rsid w:val="00644A52"/>
    <w:rsid w:val="00644AD0"/>
    <w:rsid w:val="00645F71"/>
    <w:rsid w:val="006460D4"/>
    <w:rsid w:val="00651B9B"/>
    <w:rsid w:val="006616EB"/>
    <w:rsid w:val="00661B70"/>
    <w:rsid w:val="006646CC"/>
    <w:rsid w:val="006716D4"/>
    <w:rsid w:val="00672A9D"/>
    <w:rsid w:val="00673841"/>
    <w:rsid w:val="00674715"/>
    <w:rsid w:val="00674A9B"/>
    <w:rsid w:val="006753A2"/>
    <w:rsid w:val="0068282A"/>
    <w:rsid w:val="00686274"/>
    <w:rsid w:val="00690210"/>
    <w:rsid w:val="00691314"/>
    <w:rsid w:val="00693380"/>
    <w:rsid w:val="006934EC"/>
    <w:rsid w:val="00695B91"/>
    <w:rsid w:val="006A2281"/>
    <w:rsid w:val="006B4128"/>
    <w:rsid w:val="006B6707"/>
    <w:rsid w:val="006B6BAF"/>
    <w:rsid w:val="006B714C"/>
    <w:rsid w:val="006B7763"/>
    <w:rsid w:val="006B79AC"/>
    <w:rsid w:val="006C1940"/>
    <w:rsid w:val="006C7780"/>
    <w:rsid w:val="006D0276"/>
    <w:rsid w:val="006D15D1"/>
    <w:rsid w:val="006D6766"/>
    <w:rsid w:val="006D720B"/>
    <w:rsid w:val="006E07C6"/>
    <w:rsid w:val="006E10FB"/>
    <w:rsid w:val="006E499D"/>
    <w:rsid w:val="006E6D3D"/>
    <w:rsid w:val="006F30B2"/>
    <w:rsid w:val="006F45D5"/>
    <w:rsid w:val="006F59D1"/>
    <w:rsid w:val="00702A6F"/>
    <w:rsid w:val="00707625"/>
    <w:rsid w:val="0071743C"/>
    <w:rsid w:val="00722B63"/>
    <w:rsid w:val="00723A32"/>
    <w:rsid w:val="007328C7"/>
    <w:rsid w:val="0073434C"/>
    <w:rsid w:val="007344C7"/>
    <w:rsid w:val="007356E8"/>
    <w:rsid w:val="00736B42"/>
    <w:rsid w:val="007452C3"/>
    <w:rsid w:val="00746565"/>
    <w:rsid w:val="0075040E"/>
    <w:rsid w:val="00750F28"/>
    <w:rsid w:val="00752269"/>
    <w:rsid w:val="007528FD"/>
    <w:rsid w:val="00753478"/>
    <w:rsid w:val="00754969"/>
    <w:rsid w:val="00764AC4"/>
    <w:rsid w:val="00764BC5"/>
    <w:rsid w:val="00767FA1"/>
    <w:rsid w:val="00771126"/>
    <w:rsid w:val="00772A60"/>
    <w:rsid w:val="00773169"/>
    <w:rsid w:val="00773D47"/>
    <w:rsid w:val="00777C35"/>
    <w:rsid w:val="00780A1D"/>
    <w:rsid w:val="00781D80"/>
    <w:rsid w:val="007830E8"/>
    <w:rsid w:val="00785D8C"/>
    <w:rsid w:val="007869EB"/>
    <w:rsid w:val="00787740"/>
    <w:rsid w:val="00794FCD"/>
    <w:rsid w:val="00796632"/>
    <w:rsid w:val="00797FA2"/>
    <w:rsid w:val="007A037C"/>
    <w:rsid w:val="007A369E"/>
    <w:rsid w:val="007A74DF"/>
    <w:rsid w:val="007B07A4"/>
    <w:rsid w:val="007B3314"/>
    <w:rsid w:val="007B5C33"/>
    <w:rsid w:val="007C3A9E"/>
    <w:rsid w:val="007D1B7C"/>
    <w:rsid w:val="007D3228"/>
    <w:rsid w:val="007D3420"/>
    <w:rsid w:val="007D6017"/>
    <w:rsid w:val="007E0774"/>
    <w:rsid w:val="007E0910"/>
    <w:rsid w:val="007E0968"/>
    <w:rsid w:val="007E2F21"/>
    <w:rsid w:val="007F07E1"/>
    <w:rsid w:val="007F75F8"/>
    <w:rsid w:val="007F7C97"/>
    <w:rsid w:val="00804DC4"/>
    <w:rsid w:val="008058FE"/>
    <w:rsid w:val="00806794"/>
    <w:rsid w:val="0080763B"/>
    <w:rsid w:val="008159A0"/>
    <w:rsid w:val="00817B2B"/>
    <w:rsid w:val="00825B6C"/>
    <w:rsid w:val="00827A43"/>
    <w:rsid w:val="00831513"/>
    <w:rsid w:val="008329F5"/>
    <w:rsid w:val="00833E92"/>
    <w:rsid w:val="008344E1"/>
    <w:rsid w:val="008438F4"/>
    <w:rsid w:val="00844BF2"/>
    <w:rsid w:val="00845CC9"/>
    <w:rsid w:val="00845EE0"/>
    <w:rsid w:val="008468E2"/>
    <w:rsid w:val="0084737D"/>
    <w:rsid w:val="008478ED"/>
    <w:rsid w:val="00853207"/>
    <w:rsid w:val="00857041"/>
    <w:rsid w:val="0086076A"/>
    <w:rsid w:val="008672C0"/>
    <w:rsid w:val="008707DC"/>
    <w:rsid w:val="00873F61"/>
    <w:rsid w:val="00877205"/>
    <w:rsid w:val="008800C4"/>
    <w:rsid w:val="00881BB4"/>
    <w:rsid w:val="00881F88"/>
    <w:rsid w:val="008861A3"/>
    <w:rsid w:val="0088756D"/>
    <w:rsid w:val="00895F4C"/>
    <w:rsid w:val="008A08EC"/>
    <w:rsid w:val="008A143D"/>
    <w:rsid w:val="008A318C"/>
    <w:rsid w:val="008A679C"/>
    <w:rsid w:val="008A6AA5"/>
    <w:rsid w:val="008B5337"/>
    <w:rsid w:val="008B6031"/>
    <w:rsid w:val="008B7F83"/>
    <w:rsid w:val="008C525A"/>
    <w:rsid w:val="008C70CE"/>
    <w:rsid w:val="008D092D"/>
    <w:rsid w:val="008D17CE"/>
    <w:rsid w:val="008D2F06"/>
    <w:rsid w:val="008D3973"/>
    <w:rsid w:val="008E0DD9"/>
    <w:rsid w:val="008E14DB"/>
    <w:rsid w:val="008E3934"/>
    <w:rsid w:val="008E5855"/>
    <w:rsid w:val="008E6B5A"/>
    <w:rsid w:val="008F6205"/>
    <w:rsid w:val="008F70D2"/>
    <w:rsid w:val="008F7A21"/>
    <w:rsid w:val="009000E9"/>
    <w:rsid w:val="009011AA"/>
    <w:rsid w:val="009048EF"/>
    <w:rsid w:val="009078E7"/>
    <w:rsid w:val="00912C74"/>
    <w:rsid w:val="00914442"/>
    <w:rsid w:val="00917A28"/>
    <w:rsid w:val="00920DBF"/>
    <w:rsid w:val="0092205C"/>
    <w:rsid w:val="0092337F"/>
    <w:rsid w:val="009248F1"/>
    <w:rsid w:val="00925697"/>
    <w:rsid w:val="009269AB"/>
    <w:rsid w:val="00931259"/>
    <w:rsid w:val="009404D7"/>
    <w:rsid w:val="00941F83"/>
    <w:rsid w:val="00943AE5"/>
    <w:rsid w:val="00944B4F"/>
    <w:rsid w:val="00950700"/>
    <w:rsid w:val="00950E79"/>
    <w:rsid w:val="009558DA"/>
    <w:rsid w:val="00955BB8"/>
    <w:rsid w:val="009563DE"/>
    <w:rsid w:val="00960736"/>
    <w:rsid w:val="00967F6A"/>
    <w:rsid w:val="00972E20"/>
    <w:rsid w:val="00982761"/>
    <w:rsid w:val="009876E8"/>
    <w:rsid w:val="00996469"/>
    <w:rsid w:val="00997548"/>
    <w:rsid w:val="009A1800"/>
    <w:rsid w:val="009A1E48"/>
    <w:rsid w:val="009A2235"/>
    <w:rsid w:val="009A25D9"/>
    <w:rsid w:val="009A34B7"/>
    <w:rsid w:val="009A3B98"/>
    <w:rsid w:val="009A6E9D"/>
    <w:rsid w:val="009A7903"/>
    <w:rsid w:val="009B0CE1"/>
    <w:rsid w:val="009B12C0"/>
    <w:rsid w:val="009B19E6"/>
    <w:rsid w:val="009B2CAD"/>
    <w:rsid w:val="009B2EA9"/>
    <w:rsid w:val="009B6264"/>
    <w:rsid w:val="009D1A20"/>
    <w:rsid w:val="009D1FC5"/>
    <w:rsid w:val="009D36EC"/>
    <w:rsid w:val="009D445A"/>
    <w:rsid w:val="009D673F"/>
    <w:rsid w:val="009E0EDA"/>
    <w:rsid w:val="009E18BE"/>
    <w:rsid w:val="009E1908"/>
    <w:rsid w:val="009E2FD0"/>
    <w:rsid w:val="009E7116"/>
    <w:rsid w:val="009F08D3"/>
    <w:rsid w:val="009F5850"/>
    <w:rsid w:val="009F5B1A"/>
    <w:rsid w:val="009F6FD5"/>
    <w:rsid w:val="00A046A6"/>
    <w:rsid w:val="00A05653"/>
    <w:rsid w:val="00A05E75"/>
    <w:rsid w:val="00A064DF"/>
    <w:rsid w:val="00A07B2B"/>
    <w:rsid w:val="00A11DB3"/>
    <w:rsid w:val="00A13C78"/>
    <w:rsid w:val="00A14E98"/>
    <w:rsid w:val="00A24514"/>
    <w:rsid w:val="00A26291"/>
    <w:rsid w:val="00A414F6"/>
    <w:rsid w:val="00A46101"/>
    <w:rsid w:val="00A511A3"/>
    <w:rsid w:val="00A522DD"/>
    <w:rsid w:val="00A53D4C"/>
    <w:rsid w:val="00A55290"/>
    <w:rsid w:val="00A5548A"/>
    <w:rsid w:val="00A56794"/>
    <w:rsid w:val="00A60E3C"/>
    <w:rsid w:val="00A61C0A"/>
    <w:rsid w:val="00A623D2"/>
    <w:rsid w:val="00A63206"/>
    <w:rsid w:val="00A63E07"/>
    <w:rsid w:val="00A65476"/>
    <w:rsid w:val="00A662C4"/>
    <w:rsid w:val="00A669F6"/>
    <w:rsid w:val="00A72F03"/>
    <w:rsid w:val="00A73A8D"/>
    <w:rsid w:val="00A80FA1"/>
    <w:rsid w:val="00A82FE0"/>
    <w:rsid w:val="00A83FE8"/>
    <w:rsid w:val="00A92AA4"/>
    <w:rsid w:val="00A93F28"/>
    <w:rsid w:val="00A9508B"/>
    <w:rsid w:val="00A96991"/>
    <w:rsid w:val="00A97A2F"/>
    <w:rsid w:val="00AA07FB"/>
    <w:rsid w:val="00AA43B8"/>
    <w:rsid w:val="00AA4D0D"/>
    <w:rsid w:val="00AA5D06"/>
    <w:rsid w:val="00AB03C6"/>
    <w:rsid w:val="00AB0F11"/>
    <w:rsid w:val="00AB130A"/>
    <w:rsid w:val="00AB35A8"/>
    <w:rsid w:val="00AB50AF"/>
    <w:rsid w:val="00AC1565"/>
    <w:rsid w:val="00AC1C5A"/>
    <w:rsid w:val="00AC3387"/>
    <w:rsid w:val="00AC4382"/>
    <w:rsid w:val="00AC6F6B"/>
    <w:rsid w:val="00AD0797"/>
    <w:rsid w:val="00AD2AA1"/>
    <w:rsid w:val="00AD36C1"/>
    <w:rsid w:val="00AE120F"/>
    <w:rsid w:val="00AE296D"/>
    <w:rsid w:val="00AE2F75"/>
    <w:rsid w:val="00AE4BBB"/>
    <w:rsid w:val="00AF09C9"/>
    <w:rsid w:val="00AF0F66"/>
    <w:rsid w:val="00B0008D"/>
    <w:rsid w:val="00B05EE4"/>
    <w:rsid w:val="00B074CF"/>
    <w:rsid w:val="00B10D3D"/>
    <w:rsid w:val="00B24B66"/>
    <w:rsid w:val="00B26056"/>
    <w:rsid w:val="00B32C33"/>
    <w:rsid w:val="00B348FE"/>
    <w:rsid w:val="00B352D8"/>
    <w:rsid w:val="00B35F2E"/>
    <w:rsid w:val="00B36793"/>
    <w:rsid w:val="00B421AB"/>
    <w:rsid w:val="00B42984"/>
    <w:rsid w:val="00B44A07"/>
    <w:rsid w:val="00B44E63"/>
    <w:rsid w:val="00B45486"/>
    <w:rsid w:val="00B509EA"/>
    <w:rsid w:val="00B51877"/>
    <w:rsid w:val="00B600A6"/>
    <w:rsid w:val="00B612C6"/>
    <w:rsid w:val="00B613EA"/>
    <w:rsid w:val="00B61F6D"/>
    <w:rsid w:val="00B62690"/>
    <w:rsid w:val="00B62FCC"/>
    <w:rsid w:val="00B63786"/>
    <w:rsid w:val="00B64716"/>
    <w:rsid w:val="00B67439"/>
    <w:rsid w:val="00B707F0"/>
    <w:rsid w:val="00B70B87"/>
    <w:rsid w:val="00B71714"/>
    <w:rsid w:val="00B73FAC"/>
    <w:rsid w:val="00B74470"/>
    <w:rsid w:val="00B808A9"/>
    <w:rsid w:val="00B84019"/>
    <w:rsid w:val="00B91310"/>
    <w:rsid w:val="00B973F1"/>
    <w:rsid w:val="00BA0FF6"/>
    <w:rsid w:val="00BA5A97"/>
    <w:rsid w:val="00BA5F97"/>
    <w:rsid w:val="00BA6EFB"/>
    <w:rsid w:val="00BB07DB"/>
    <w:rsid w:val="00BB2E9C"/>
    <w:rsid w:val="00BB4EF7"/>
    <w:rsid w:val="00BB5551"/>
    <w:rsid w:val="00BB5C22"/>
    <w:rsid w:val="00BB5E22"/>
    <w:rsid w:val="00BB6247"/>
    <w:rsid w:val="00BB7ADB"/>
    <w:rsid w:val="00BC0685"/>
    <w:rsid w:val="00BC0ED5"/>
    <w:rsid w:val="00BC3049"/>
    <w:rsid w:val="00BC44F5"/>
    <w:rsid w:val="00BC475E"/>
    <w:rsid w:val="00BC5ADD"/>
    <w:rsid w:val="00BC6EDE"/>
    <w:rsid w:val="00BC7107"/>
    <w:rsid w:val="00BC77ED"/>
    <w:rsid w:val="00BC7813"/>
    <w:rsid w:val="00BD0027"/>
    <w:rsid w:val="00BE31A2"/>
    <w:rsid w:val="00BE3F20"/>
    <w:rsid w:val="00BE4279"/>
    <w:rsid w:val="00BE6103"/>
    <w:rsid w:val="00BF0F47"/>
    <w:rsid w:val="00BF1A40"/>
    <w:rsid w:val="00BF2090"/>
    <w:rsid w:val="00BF49F8"/>
    <w:rsid w:val="00BF598A"/>
    <w:rsid w:val="00BF7459"/>
    <w:rsid w:val="00C016E5"/>
    <w:rsid w:val="00C03006"/>
    <w:rsid w:val="00C04E92"/>
    <w:rsid w:val="00C13F71"/>
    <w:rsid w:val="00C146EE"/>
    <w:rsid w:val="00C155D5"/>
    <w:rsid w:val="00C2041E"/>
    <w:rsid w:val="00C20AE9"/>
    <w:rsid w:val="00C2681E"/>
    <w:rsid w:val="00C2776C"/>
    <w:rsid w:val="00C30B13"/>
    <w:rsid w:val="00C317F0"/>
    <w:rsid w:val="00C31E24"/>
    <w:rsid w:val="00C3279C"/>
    <w:rsid w:val="00C36BC2"/>
    <w:rsid w:val="00C37C92"/>
    <w:rsid w:val="00C4015E"/>
    <w:rsid w:val="00C4479F"/>
    <w:rsid w:val="00C465FF"/>
    <w:rsid w:val="00C47FE0"/>
    <w:rsid w:val="00C50078"/>
    <w:rsid w:val="00C53604"/>
    <w:rsid w:val="00C56FAB"/>
    <w:rsid w:val="00C57706"/>
    <w:rsid w:val="00C61469"/>
    <w:rsid w:val="00C6751B"/>
    <w:rsid w:val="00C74FC3"/>
    <w:rsid w:val="00C75501"/>
    <w:rsid w:val="00C77FBE"/>
    <w:rsid w:val="00C80C0E"/>
    <w:rsid w:val="00C830ED"/>
    <w:rsid w:val="00C85644"/>
    <w:rsid w:val="00C8599E"/>
    <w:rsid w:val="00C9244B"/>
    <w:rsid w:val="00C9420C"/>
    <w:rsid w:val="00C94690"/>
    <w:rsid w:val="00CA43B4"/>
    <w:rsid w:val="00CA751A"/>
    <w:rsid w:val="00CB155C"/>
    <w:rsid w:val="00CB2030"/>
    <w:rsid w:val="00CB38EA"/>
    <w:rsid w:val="00CB4E1A"/>
    <w:rsid w:val="00CB4EAC"/>
    <w:rsid w:val="00CB5C8A"/>
    <w:rsid w:val="00CB633F"/>
    <w:rsid w:val="00CC1501"/>
    <w:rsid w:val="00CC5170"/>
    <w:rsid w:val="00CC5BEF"/>
    <w:rsid w:val="00CC6329"/>
    <w:rsid w:val="00CC65BE"/>
    <w:rsid w:val="00CC6FC0"/>
    <w:rsid w:val="00CD2EBE"/>
    <w:rsid w:val="00CD3E86"/>
    <w:rsid w:val="00CD7539"/>
    <w:rsid w:val="00CE0AB9"/>
    <w:rsid w:val="00CE2FAD"/>
    <w:rsid w:val="00CE5285"/>
    <w:rsid w:val="00CF2385"/>
    <w:rsid w:val="00CF48A2"/>
    <w:rsid w:val="00CF56F7"/>
    <w:rsid w:val="00CF6668"/>
    <w:rsid w:val="00D005B9"/>
    <w:rsid w:val="00D0120A"/>
    <w:rsid w:val="00D03764"/>
    <w:rsid w:val="00D0449C"/>
    <w:rsid w:val="00D06E39"/>
    <w:rsid w:val="00D10099"/>
    <w:rsid w:val="00D14FC0"/>
    <w:rsid w:val="00D16407"/>
    <w:rsid w:val="00D16841"/>
    <w:rsid w:val="00D20E92"/>
    <w:rsid w:val="00D2287E"/>
    <w:rsid w:val="00D25ED6"/>
    <w:rsid w:val="00D261D2"/>
    <w:rsid w:val="00D35BEC"/>
    <w:rsid w:val="00D3608A"/>
    <w:rsid w:val="00D43CD6"/>
    <w:rsid w:val="00D43FEF"/>
    <w:rsid w:val="00D45843"/>
    <w:rsid w:val="00D546B0"/>
    <w:rsid w:val="00D559D8"/>
    <w:rsid w:val="00D56019"/>
    <w:rsid w:val="00D648B8"/>
    <w:rsid w:val="00D654D1"/>
    <w:rsid w:val="00D72460"/>
    <w:rsid w:val="00D74700"/>
    <w:rsid w:val="00D764F3"/>
    <w:rsid w:val="00D76777"/>
    <w:rsid w:val="00D76B85"/>
    <w:rsid w:val="00D77875"/>
    <w:rsid w:val="00D85D5D"/>
    <w:rsid w:val="00D86397"/>
    <w:rsid w:val="00D86453"/>
    <w:rsid w:val="00D86762"/>
    <w:rsid w:val="00D869C2"/>
    <w:rsid w:val="00D9022D"/>
    <w:rsid w:val="00D948B5"/>
    <w:rsid w:val="00DA0A30"/>
    <w:rsid w:val="00DA2416"/>
    <w:rsid w:val="00DA287C"/>
    <w:rsid w:val="00DA2917"/>
    <w:rsid w:val="00DA3FB5"/>
    <w:rsid w:val="00DC1A06"/>
    <w:rsid w:val="00DC2299"/>
    <w:rsid w:val="00DC2F45"/>
    <w:rsid w:val="00DC4F21"/>
    <w:rsid w:val="00DC75E2"/>
    <w:rsid w:val="00DC79D8"/>
    <w:rsid w:val="00DD0B74"/>
    <w:rsid w:val="00DD135E"/>
    <w:rsid w:val="00DD5C2C"/>
    <w:rsid w:val="00DD62DE"/>
    <w:rsid w:val="00DE2CFB"/>
    <w:rsid w:val="00DE5678"/>
    <w:rsid w:val="00DE5C2D"/>
    <w:rsid w:val="00DE5E01"/>
    <w:rsid w:val="00DF3921"/>
    <w:rsid w:val="00DF4898"/>
    <w:rsid w:val="00E00F65"/>
    <w:rsid w:val="00E013AD"/>
    <w:rsid w:val="00E02A5E"/>
    <w:rsid w:val="00E0487B"/>
    <w:rsid w:val="00E06039"/>
    <w:rsid w:val="00E114E5"/>
    <w:rsid w:val="00E12574"/>
    <w:rsid w:val="00E12C71"/>
    <w:rsid w:val="00E12CEF"/>
    <w:rsid w:val="00E134CE"/>
    <w:rsid w:val="00E1366C"/>
    <w:rsid w:val="00E1547B"/>
    <w:rsid w:val="00E20545"/>
    <w:rsid w:val="00E20C65"/>
    <w:rsid w:val="00E23CD2"/>
    <w:rsid w:val="00E25FDA"/>
    <w:rsid w:val="00E40907"/>
    <w:rsid w:val="00E41B04"/>
    <w:rsid w:val="00E4294F"/>
    <w:rsid w:val="00E471C7"/>
    <w:rsid w:val="00E4751F"/>
    <w:rsid w:val="00E50227"/>
    <w:rsid w:val="00E523F5"/>
    <w:rsid w:val="00E52D8C"/>
    <w:rsid w:val="00E56F65"/>
    <w:rsid w:val="00E572C3"/>
    <w:rsid w:val="00E5762A"/>
    <w:rsid w:val="00E625B1"/>
    <w:rsid w:val="00E62D40"/>
    <w:rsid w:val="00E63B94"/>
    <w:rsid w:val="00E656EF"/>
    <w:rsid w:val="00E66C48"/>
    <w:rsid w:val="00E700BC"/>
    <w:rsid w:val="00E72243"/>
    <w:rsid w:val="00E80C2F"/>
    <w:rsid w:val="00E84B4B"/>
    <w:rsid w:val="00E91CFC"/>
    <w:rsid w:val="00E937CE"/>
    <w:rsid w:val="00E97C2E"/>
    <w:rsid w:val="00EA3C17"/>
    <w:rsid w:val="00EA556E"/>
    <w:rsid w:val="00EA5C9B"/>
    <w:rsid w:val="00EA73A5"/>
    <w:rsid w:val="00EB12A6"/>
    <w:rsid w:val="00EB40B2"/>
    <w:rsid w:val="00EB77A7"/>
    <w:rsid w:val="00EC0842"/>
    <w:rsid w:val="00EC1DAB"/>
    <w:rsid w:val="00EC37CA"/>
    <w:rsid w:val="00ED464C"/>
    <w:rsid w:val="00ED4DF2"/>
    <w:rsid w:val="00ED6B4D"/>
    <w:rsid w:val="00EE1D04"/>
    <w:rsid w:val="00EE2E31"/>
    <w:rsid w:val="00EE47F0"/>
    <w:rsid w:val="00EF0D7D"/>
    <w:rsid w:val="00EF3403"/>
    <w:rsid w:val="00EF3BA9"/>
    <w:rsid w:val="00EF3FB6"/>
    <w:rsid w:val="00EF68FF"/>
    <w:rsid w:val="00EF73A1"/>
    <w:rsid w:val="00F01EBE"/>
    <w:rsid w:val="00F0333F"/>
    <w:rsid w:val="00F0405B"/>
    <w:rsid w:val="00F10FFA"/>
    <w:rsid w:val="00F16034"/>
    <w:rsid w:val="00F17E4F"/>
    <w:rsid w:val="00F2137D"/>
    <w:rsid w:val="00F24257"/>
    <w:rsid w:val="00F25206"/>
    <w:rsid w:val="00F36285"/>
    <w:rsid w:val="00F405A0"/>
    <w:rsid w:val="00F41D08"/>
    <w:rsid w:val="00F42C03"/>
    <w:rsid w:val="00F43FFC"/>
    <w:rsid w:val="00F4667A"/>
    <w:rsid w:val="00F524FC"/>
    <w:rsid w:val="00F579D2"/>
    <w:rsid w:val="00F63529"/>
    <w:rsid w:val="00F63F15"/>
    <w:rsid w:val="00F65AE4"/>
    <w:rsid w:val="00F65DDA"/>
    <w:rsid w:val="00F66CEE"/>
    <w:rsid w:val="00F67A6A"/>
    <w:rsid w:val="00F71E90"/>
    <w:rsid w:val="00F80E63"/>
    <w:rsid w:val="00F838AE"/>
    <w:rsid w:val="00F840BD"/>
    <w:rsid w:val="00F84D71"/>
    <w:rsid w:val="00F85B17"/>
    <w:rsid w:val="00F9247A"/>
    <w:rsid w:val="00F95A57"/>
    <w:rsid w:val="00F9625A"/>
    <w:rsid w:val="00FA2C0C"/>
    <w:rsid w:val="00FA5A56"/>
    <w:rsid w:val="00FA776A"/>
    <w:rsid w:val="00FB18C2"/>
    <w:rsid w:val="00FB26C6"/>
    <w:rsid w:val="00FB3E6A"/>
    <w:rsid w:val="00FB4C1A"/>
    <w:rsid w:val="00FC040F"/>
    <w:rsid w:val="00FC1E71"/>
    <w:rsid w:val="00FC5E04"/>
    <w:rsid w:val="00FC6655"/>
    <w:rsid w:val="00FC6992"/>
    <w:rsid w:val="00FC6AB3"/>
    <w:rsid w:val="00FC7E1F"/>
    <w:rsid w:val="00FD09FF"/>
    <w:rsid w:val="00FD2D42"/>
    <w:rsid w:val="00FD32F1"/>
    <w:rsid w:val="00FD599C"/>
    <w:rsid w:val="00FD74B9"/>
    <w:rsid w:val="00FE3041"/>
    <w:rsid w:val="00FE79F8"/>
    <w:rsid w:val="00FF3A0F"/>
    <w:rsid w:val="00FF468F"/>
    <w:rsid w:val="00FF56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57B521"/>
  <w15:docId w15:val="{E0257158-721F-4D8E-8009-9166B9E7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03C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AB03C6"/>
  </w:style>
  <w:style w:type="paragraph" w:customStyle="1" w:styleId="Level1">
    <w:name w:val="Level 1"/>
    <w:basedOn w:val="Normal"/>
    <w:rsid w:val="00AB03C6"/>
    <w:pPr>
      <w:numPr>
        <w:numId w:val="1"/>
      </w:numPr>
      <w:ind w:left="990" w:hanging="270"/>
      <w:outlineLvl w:val="0"/>
    </w:pPr>
  </w:style>
  <w:style w:type="paragraph" w:styleId="FootnoteText">
    <w:name w:val="footnote text"/>
    <w:basedOn w:val="Normal"/>
    <w:link w:val="FootnoteTextChar"/>
    <w:rsid w:val="00AB03C6"/>
    <w:rPr>
      <w:sz w:val="20"/>
      <w:szCs w:val="20"/>
    </w:rPr>
  </w:style>
  <w:style w:type="character" w:customStyle="1" w:styleId="FootnoteTextChar">
    <w:name w:val="Footnote Text Char"/>
    <w:basedOn w:val="DefaultParagraphFont"/>
    <w:link w:val="FootnoteText"/>
    <w:rsid w:val="00AB03C6"/>
    <w:rPr>
      <w:rFonts w:ascii="Times New Roman" w:eastAsia="Times New Roman" w:hAnsi="Times New Roman" w:cs="Times New Roman"/>
      <w:sz w:val="20"/>
      <w:szCs w:val="20"/>
    </w:rPr>
  </w:style>
  <w:style w:type="paragraph" w:styleId="NormalWeb">
    <w:name w:val="Normal (Web)"/>
    <w:basedOn w:val="Normal"/>
    <w:uiPriority w:val="99"/>
    <w:unhideWhenUsed/>
    <w:rsid w:val="00AB03C6"/>
    <w:pPr>
      <w:widowControl/>
      <w:autoSpaceDE/>
      <w:autoSpaceDN/>
      <w:adjustRightInd/>
    </w:pPr>
    <w:rPr>
      <w:rFonts w:eastAsia="Calibri"/>
    </w:rPr>
  </w:style>
  <w:style w:type="character" w:styleId="Hyperlink">
    <w:name w:val="Hyperlink"/>
    <w:unhideWhenUsed/>
    <w:rsid w:val="00AB03C6"/>
    <w:rPr>
      <w:color w:val="003399"/>
      <w:u w:val="single"/>
    </w:rPr>
  </w:style>
  <w:style w:type="paragraph" w:styleId="Header">
    <w:name w:val="header"/>
    <w:basedOn w:val="Normal"/>
    <w:link w:val="HeaderChar"/>
    <w:uiPriority w:val="99"/>
    <w:unhideWhenUsed/>
    <w:rsid w:val="00C2776C"/>
    <w:pPr>
      <w:tabs>
        <w:tab w:val="center" w:pos="4680"/>
        <w:tab w:val="right" w:pos="9360"/>
      </w:tabs>
    </w:pPr>
  </w:style>
  <w:style w:type="character" w:customStyle="1" w:styleId="HeaderChar">
    <w:name w:val="Header Char"/>
    <w:basedOn w:val="DefaultParagraphFont"/>
    <w:link w:val="Header"/>
    <w:uiPriority w:val="99"/>
    <w:rsid w:val="00C277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2776C"/>
    <w:pPr>
      <w:tabs>
        <w:tab w:val="center" w:pos="4680"/>
        <w:tab w:val="right" w:pos="9360"/>
      </w:tabs>
    </w:pPr>
  </w:style>
  <w:style w:type="character" w:customStyle="1" w:styleId="FooterChar">
    <w:name w:val="Footer Char"/>
    <w:basedOn w:val="DefaultParagraphFont"/>
    <w:link w:val="Footer"/>
    <w:uiPriority w:val="99"/>
    <w:rsid w:val="00C2776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2776C"/>
    <w:rPr>
      <w:rFonts w:ascii="Tahoma" w:hAnsi="Tahoma" w:cs="Tahoma"/>
      <w:sz w:val="16"/>
      <w:szCs w:val="16"/>
    </w:rPr>
  </w:style>
  <w:style w:type="character" w:customStyle="1" w:styleId="BalloonTextChar">
    <w:name w:val="Balloon Text Char"/>
    <w:basedOn w:val="DefaultParagraphFont"/>
    <w:link w:val="BalloonText"/>
    <w:uiPriority w:val="99"/>
    <w:semiHidden/>
    <w:rsid w:val="00C2776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855F0"/>
    <w:rPr>
      <w:sz w:val="16"/>
      <w:szCs w:val="16"/>
    </w:rPr>
  </w:style>
  <w:style w:type="paragraph" w:styleId="CommentText">
    <w:name w:val="annotation text"/>
    <w:basedOn w:val="Normal"/>
    <w:link w:val="CommentTextChar"/>
    <w:uiPriority w:val="99"/>
    <w:unhideWhenUsed/>
    <w:rsid w:val="001855F0"/>
    <w:rPr>
      <w:sz w:val="20"/>
      <w:szCs w:val="20"/>
    </w:rPr>
  </w:style>
  <w:style w:type="character" w:customStyle="1" w:styleId="CommentTextChar">
    <w:name w:val="Comment Text Char"/>
    <w:basedOn w:val="DefaultParagraphFont"/>
    <w:link w:val="CommentText"/>
    <w:uiPriority w:val="99"/>
    <w:rsid w:val="001855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55F0"/>
    <w:rPr>
      <w:b/>
      <w:bCs/>
    </w:rPr>
  </w:style>
  <w:style w:type="character" w:customStyle="1" w:styleId="CommentSubjectChar">
    <w:name w:val="Comment Subject Char"/>
    <w:basedOn w:val="CommentTextChar"/>
    <w:link w:val="CommentSubject"/>
    <w:uiPriority w:val="99"/>
    <w:semiHidden/>
    <w:rsid w:val="001855F0"/>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AA07FB"/>
    <w:rPr>
      <w:color w:val="800080" w:themeColor="followedHyperlink"/>
      <w:u w:val="single"/>
    </w:rPr>
  </w:style>
  <w:style w:type="paragraph" w:styleId="Revision">
    <w:name w:val="Revision"/>
    <w:hidden/>
    <w:uiPriority w:val="99"/>
    <w:semiHidden/>
    <w:rsid w:val="001B4B52"/>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03F1C"/>
    <w:pPr>
      <w:ind w:left="720"/>
      <w:contextualSpacing/>
    </w:pPr>
  </w:style>
  <w:style w:type="character" w:styleId="UnresolvedMention">
    <w:name w:val="Unresolved Mention"/>
    <w:basedOn w:val="DefaultParagraphFont"/>
    <w:uiPriority w:val="99"/>
    <w:semiHidden/>
    <w:unhideWhenUsed/>
    <w:rsid w:val="00955BB8"/>
    <w:rPr>
      <w:color w:val="605E5C"/>
      <w:shd w:val="clear" w:color="auto" w:fill="E1DFDD"/>
    </w:rPr>
  </w:style>
  <w:style w:type="paragraph" w:customStyle="1" w:styleId="indent-2">
    <w:name w:val="indent-2"/>
    <w:basedOn w:val="Normal"/>
    <w:rsid w:val="001760DE"/>
    <w:pPr>
      <w:widowControl/>
      <w:autoSpaceDE/>
      <w:autoSpaceDN/>
      <w:adjustRightInd/>
      <w:spacing w:before="100" w:beforeAutospacing="1" w:after="100" w:afterAutospacing="1"/>
    </w:pPr>
  </w:style>
  <w:style w:type="character" w:styleId="Emphasis">
    <w:name w:val="Emphasis"/>
    <w:basedOn w:val="DefaultParagraphFont"/>
    <w:uiPriority w:val="20"/>
    <w:qFormat/>
    <w:rsid w:val="001760DE"/>
    <w:rPr>
      <w:i/>
      <w:iCs/>
    </w:rPr>
  </w:style>
  <w:style w:type="paragraph" w:customStyle="1" w:styleId="indent-3">
    <w:name w:val="indent-3"/>
    <w:basedOn w:val="Normal"/>
    <w:rsid w:val="001760DE"/>
    <w:pPr>
      <w:widowControl/>
      <w:autoSpaceDE/>
      <w:autoSpaceDN/>
      <w:adjustRightInd/>
      <w:spacing w:before="100" w:beforeAutospacing="1" w:after="100" w:afterAutospacing="1"/>
    </w:pPr>
  </w:style>
  <w:style w:type="character" w:customStyle="1" w:styleId="paragraph-hierarchy">
    <w:name w:val="paragraph-hierarchy"/>
    <w:basedOn w:val="DefaultParagraphFont"/>
    <w:rsid w:val="001760DE"/>
  </w:style>
  <w:style w:type="character" w:customStyle="1" w:styleId="paren">
    <w:name w:val="paren"/>
    <w:basedOn w:val="DefaultParagraphFont"/>
    <w:rsid w:val="001760DE"/>
  </w:style>
  <w:style w:type="paragraph" w:customStyle="1" w:styleId="indent-4">
    <w:name w:val="indent-4"/>
    <w:basedOn w:val="Normal"/>
    <w:rsid w:val="001760DE"/>
    <w:pPr>
      <w:widowControl/>
      <w:autoSpaceDE/>
      <w:autoSpaceDN/>
      <w:adjustRightInd/>
      <w:spacing w:before="100" w:beforeAutospacing="1" w:after="100" w:afterAutospacing="1"/>
    </w:pPr>
  </w:style>
  <w:style w:type="paragraph" w:customStyle="1" w:styleId="flush-paragraph-1">
    <w:name w:val="flush-paragraph-1"/>
    <w:basedOn w:val="Normal"/>
    <w:rsid w:val="001760DE"/>
    <w:pPr>
      <w:widowControl/>
      <w:autoSpaceDE/>
      <w:autoSpaceDN/>
      <w:adjustRightInd/>
      <w:spacing w:before="100" w:beforeAutospacing="1" w:after="100" w:afterAutospacing="1"/>
    </w:pPr>
  </w:style>
  <w:style w:type="paragraph" w:customStyle="1" w:styleId="flush-paragraph-2">
    <w:name w:val="flush-paragraph-2"/>
    <w:basedOn w:val="Normal"/>
    <w:rsid w:val="00F41D08"/>
    <w:pPr>
      <w:widowControl/>
      <w:autoSpaceDE/>
      <w:autoSpaceDN/>
      <w:adjustRightInd/>
      <w:spacing w:before="100" w:beforeAutospacing="1" w:after="100" w:afterAutospacing="1"/>
    </w:pPr>
  </w:style>
  <w:style w:type="paragraph" w:customStyle="1" w:styleId="flush-paragraph">
    <w:name w:val="flush-paragraph"/>
    <w:basedOn w:val="Normal"/>
    <w:rsid w:val="00F41D08"/>
    <w:pPr>
      <w:widowControl/>
      <w:autoSpaceDE/>
      <w:autoSpaceDN/>
      <w:adjustRightInd/>
      <w:spacing w:before="100" w:beforeAutospacing="1" w:after="100" w:afterAutospacing="1"/>
    </w:pPr>
  </w:style>
  <w:style w:type="character" w:customStyle="1" w:styleId="normaltextrun">
    <w:name w:val="normaltextrun"/>
    <w:basedOn w:val="DefaultParagraphFont"/>
    <w:rsid w:val="00640314"/>
  </w:style>
  <w:style w:type="character" w:customStyle="1" w:styleId="eop">
    <w:name w:val="eop"/>
    <w:basedOn w:val="DefaultParagraphFont"/>
    <w:rsid w:val="00640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tables.htm" TargetMode="External" /><Relationship Id="rId11" Type="http://schemas.openxmlformats.org/officeDocument/2006/relationships/hyperlink" Target="https://www.bls.gov/news.release/pdf/ecec.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ecfr.gov/current/title-29/section-1910.1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ff4c704-432d-4070-8c1d-cb7493b0e4f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97D14C0D875843B0DB02E8B4BD4F3E" ma:contentTypeVersion="11" ma:contentTypeDescription="Create a new document." ma:contentTypeScope="" ma:versionID="cbcb5157bd915e501f79a08dca1a5799">
  <xsd:schema xmlns:xsd="http://www.w3.org/2001/XMLSchema" xmlns:xs="http://www.w3.org/2001/XMLSchema" xmlns:p="http://schemas.microsoft.com/office/2006/metadata/properties" xmlns:ns3="bff4c704-432d-4070-8c1d-cb7493b0e4fc" targetNamespace="http://schemas.microsoft.com/office/2006/metadata/properties" ma:root="true" ma:fieldsID="2e7fe311def8c16134ae089a2feff3d7" ns3:_="">
    <xsd:import namespace="bff4c704-432d-4070-8c1d-cb7493b0e4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4c704-432d-4070-8c1d-cb7493b0e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63D5E0-21B1-4AF3-8F8B-AAD228346E2F}">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 ds:uri="bff4c704-432d-4070-8c1d-cb7493b0e4fc"/>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2A1F5F5-0A38-45AC-ADE2-9DA81E7FD4F0}">
  <ds:schemaRefs>
    <ds:schemaRef ds:uri="http://schemas.openxmlformats.org/officeDocument/2006/bibliography"/>
  </ds:schemaRefs>
</ds:datastoreItem>
</file>

<file path=customXml/itemProps3.xml><?xml version="1.0" encoding="utf-8"?>
<ds:datastoreItem xmlns:ds="http://schemas.openxmlformats.org/officeDocument/2006/customXml" ds:itemID="{55D8C58F-B3E9-4283-BE15-B38EA79A018E}">
  <ds:schemaRefs>
    <ds:schemaRef ds:uri="http://schemas.microsoft.com/sharepoint/v3/contenttype/forms"/>
  </ds:schemaRefs>
</ds:datastoreItem>
</file>

<file path=customXml/itemProps4.xml><?xml version="1.0" encoding="utf-8"?>
<ds:datastoreItem xmlns:ds="http://schemas.openxmlformats.org/officeDocument/2006/customXml" ds:itemID="{9DD8EF6B-20EC-47AC-8742-311914FF4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4c704-432d-4070-8c1d-cb7493b0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4066</Words>
  <Characters>23179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Bouchet, Nicole - OASAM OCIO</cp:lastModifiedBy>
  <cp:revision>8</cp:revision>
  <dcterms:created xsi:type="dcterms:W3CDTF">2024-02-28T00:43:00Z</dcterms:created>
  <dcterms:modified xsi:type="dcterms:W3CDTF">2024-02-28T00:47:00Z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0x010100C597D14C0D875843B0DB02E8B4BD4F3E</vt:lpwstr>
  </property>
  <property fmtid="{D5CDD505-2E9C-101B-9397-08002B2CF9AE}" pid="3" name="GrammarlyDocumentId">
    <vt:lpwstr>ad0919a7bc045b84798f973d81dda30d1ff93dacfc7baa3d12d726cba169faf2</vt:lpwstr>
  </property>
  <property fmtid="{D5CDD505-2E9C-101B-9397-08002B2CF9AE}" pid="4" name="MediaServiceImageTags">
    <vt:lpwstr/>
  </property>
</Properties>
</file>