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E762E" w:rsidRPr="000E762E" w:rsidP="000E762E" w14:paraId="4291466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</w:t>
      </w:r>
      <w:bookmarkStart w:id="0" w:name="49"/>
      <w:bookmarkEnd w:id="0"/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>Sec. 8149. Regulations</w:t>
      </w:r>
    </w:p>
    <w:p w:rsidR="000E762E" w:rsidRPr="000E762E" w:rsidP="000E762E" w14:paraId="5A4768C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</w:p>
    <w:p w:rsidR="000E762E" w:rsidRPr="000E762E" w:rsidP="000E762E" w14:paraId="008ADE48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</w:p>
    <w:p w:rsidR="000E762E" w:rsidRPr="000E762E" w:rsidP="000E762E" w14:paraId="6A7E10A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  The Secretary of Labor may prescribe rules and regulations</w:t>
      </w:r>
    </w:p>
    <w:p w:rsidR="000E762E" w:rsidRPr="000E762E" w:rsidP="000E762E" w14:paraId="01529040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necessary for the administration and enforcement of this subchapter</w:t>
      </w:r>
    </w:p>
    <w:p w:rsidR="000E762E" w:rsidRPr="000E762E" w:rsidP="000E762E" w14:paraId="5774863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including rules and regulations for the conduct of hearings under</w:t>
      </w:r>
    </w:p>
    <w:p w:rsidR="000E762E" w:rsidRPr="000E762E" w:rsidP="000E762E" w14:paraId="2C4D06A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section 8124 of this title. The rules and regulations shall provide</w:t>
      </w:r>
    </w:p>
    <w:p w:rsidR="000E762E" w:rsidRPr="000E762E" w:rsidP="000E762E" w14:paraId="2206105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for an Employee's Compensation Appeals Board of three individuals</w:t>
      </w:r>
    </w:p>
    <w:p w:rsidR="000E762E" w:rsidRPr="000E762E" w:rsidP="000E762E" w14:paraId="5DAD85E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designated or appointed by the Secretary with authority to </w:t>
      </w: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>hear</w:t>
      </w:r>
    </w:p>
    <w:p w:rsidR="000E762E" w:rsidRPr="000E762E" w:rsidP="000E762E" w14:paraId="64F63CB7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and, subject to applicable law and the rules and regulations of the</w:t>
      </w:r>
    </w:p>
    <w:p w:rsidR="000E762E" w:rsidRPr="000E762E" w:rsidP="000E762E" w14:paraId="55841DD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Secretary, make final decisions on appeals taken from</w:t>
      </w:r>
    </w:p>
    <w:p w:rsidR="000E762E" w:rsidRPr="000E762E" w:rsidP="000E762E" w14:paraId="487A518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determinations and awards with respect to claims of employees. In</w:t>
      </w:r>
    </w:p>
    <w:p w:rsidR="000E762E" w:rsidRPr="000E762E" w:rsidP="000E762E" w14:paraId="17972C6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adjudicating claims under section 8146 of this title, the Secretary</w:t>
      </w:r>
    </w:p>
    <w:p w:rsidR="000E762E" w:rsidRPr="000E762E" w:rsidP="000E762E" w14:paraId="1D8FE66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may determine the nature and extent of the proof and </w:t>
      </w: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>evidence</w:t>
      </w:r>
    </w:p>
    <w:p w:rsidR="000E762E" w:rsidRPr="000E762E" w:rsidP="000E762E" w14:paraId="3487D078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required to establish the right to benefits under this </w:t>
      </w: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>subchapter</w:t>
      </w:r>
    </w:p>
    <w:p w:rsidR="0040451C" w:rsidRPr="000E762E" w:rsidP="000E762E" w14:paraId="5955628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</w:pPr>
      <w:r w:rsidRPr="000E762E"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   without regard to the date of injury or death for which claim is</w:t>
      </w:r>
      <w:r>
        <w:rPr>
          <w:rFonts w:ascii="Courier New" w:eastAsia="Times New Roman" w:hAnsi="Courier New" w:cs="Courier New"/>
          <w:color w:val="424F58"/>
          <w:sz w:val="20"/>
          <w:szCs w:val="20"/>
          <w:lang w:val="en"/>
        </w:rPr>
        <w:t xml:space="preserve"> made.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2E"/>
    <w:rsid w:val="000E762E"/>
    <w:rsid w:val="0040451C"/>
    <w:rsid w:val="00BF71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8BF4AC"/>
  <w15:chartTrackingRefBased/>
  <w15:docId w15:val="{AEF4AB37-3F0F-490A-8C7D-3CF1DAD4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5" ma:contentTypeDescription="Create a new document." ma:contentTypeScope="" ma:versionID="c48e790a133fd6919eaafce77e5e6498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d43d9ca049d4a4a95320ff961f59d6cf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EAC63-1AAC-4DD2-B65E-99DEC47BE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D85F8-133C-4353-8FED-BB632CC59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5F4DB-DA94-4EAA-A191-5B7A58828092}">
  <ds:schemaRefs>
    <ds:schemaRef ds:uri="http://purl.org/dc/elements/1.1/"/>
    <ds:schemaRef ds:uri="http://schemas.microsoft.com/office/2006/metadata/properties"/>
    <ds:schemaRef ds:uri="2b487234-2a61-45b0-86e3-998bf12a0e9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a1ba486-ff2f-4459-80ac-1ab5aa17f82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Price, Susan - OWCP</dc:creator>
  <cp:lastModifiedBy>Hamai, Pamela A - OWCP</cp:lastModifiedBy>
  <cp:revision>2</cp:revision>
  <dcterms:created xsi:type="dcterms:W3CDTF">2023-10-06T16:20:00Z</dcterms:created>
  <dcterms:modified xsi:type="dcterms:W3CDTF">2023-10-06T16:20:00Z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