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r w:rsidRPr="00EF7FF5">
        <w:rPr>
          <w:rFonts w:ascii="Times New Roman" w:hAnsi="Times New Roman"/>
          <w:sz w:val="24"/>
          <w:szCs w:val="24"/>
        </w:rPr>
        <w:t>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r w:rsidRPr="00572524">
        <w:rPr>
          <w:rFonts w:ascii="Times New Roman" w:hAnsi="Times New Roman"/>
          <w:b/>
          <w:szCs w:val="24"/>
        </w:rPr>
        <w:t>sections</w:t>
      </w:r>
      <w:r w:rsidRPr="00572524">
        <w:rPr>
          <w:rFonts w:ascii="Times New Roman" w:hAnsi="Times New Roman"/>
          <w:b/>
          <w:szCs w:val="24"/>
        </w:rPr>
        <w:t xml:space="preserve"> or changed sections, if applicable.</w:t>
      </w:r>
    </w:p>
    <w:p w:rsidR="00CB0C21" w:rsidRPr="00CB0C21" w:rsidP="00CB0C21" w14:paraId="5359A573" w14:textId="77777777"/>
    <w:p w:rsidR="00287BEA" w:rsidP="00CB0C21"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29B9922C" w14:textId="77777777">
      <w:pPr>
        <w:pStyle w:val="BodyText"/>
        <w:ind w:left="720"/>
        <w:rPr>
          <w:b w:val="0"/>
          <w:sz w:val="24"/>
          <w:szCs w:val="24"/>
        </w:rPr>
      </w:pPr>
    </w:p>
    <w:p w:rsidR="00CB0C21" w:rsidP="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0374F6DE" w14:textId="77777777">
      <w:pPr>
        <w:pStyle w:val="BodyText"/>
        <w:ind w:left="720"/>
        <w:rPr>
          <w:b w:val="0"/>
          <w:sz w:val="24"/>
          <w:szCs w:val="24"/>
        </w:rPr>
      </w:pPr>
    </w:p>
    <w:p w:rsidR="00BD1E9D" w:rsidP="00BD1E9D" w14:paraId="392F4471" w14:textId="4221EA32">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w:t>
      </w:r>
      <w:r w:rsidR="00AA7E38">
        <w:rPr>
          <w:b w:val="0"/>
          <w:sz w:val="24"/>
          <w:szCs w:val="24"/>
        </w:rPr>
        <w:t>“</w:t>
      </w:r>
      <w:r w:rsidRPr="00CB0C21">
        <w:rPr>
          <w:b w:val="0"/>
          <w:sz w:val="24"/>
          <w:szCs w:val="24"/>
        </w:rPr>
        <w:t>excellent service</w:t>
      </w:r>
      <w:r w:rsidR="00AA7E38">
        <w:rPr>
          <w:b w:val="0"/>
          <w:sz w:val="24"/>
          <w:szCs w:val="24"/>
        </w:rPr>
        <w:t>”</w:t>
      </w:r>
      <w:r w:rsidRPr="00CB0C21">
        <w:rPr>
          <w:b w:val="0"/>
          <w:sz w:val="24"/>
          <w:szCs w:val="24"/>
        </w:rPr>
        <w:t xml:space="preserv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14:paraId="656179D1" w14:textId="77777777">
      <w:pPr>
        <w:pStyle w:val="BodyText"/>
        <w:ind w:left="720"/>
        <w:rPr>
          <w:b w:val="0"/>
          <w:sz w:val="24"/>
          <w:szCs w:val="24"/>
        </w:rPr>
      </w:pPr>
    </w:p>
    <w:p w:rsidR="00751AB3" w:rsidP="00BD1E9D" w14:paraId="678B2DCD" w14:textId="41843C7D">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w:t>
      </w:r>
      <w:r w:rsidR="0040774D">
        <w:rPr>
          <w:b w:val="0"/>
          <w:sz w:val="24"/>
          <w:szCs w:val="24"/>
        </w:rPr>
        <w:t xml:space="preserve">extension </w:t>
      </w:r>
      <w:r>
        <w:rPr>
          <w:b w:val="0"/>
          <w:sz w:val="24"/>
          <w:szCs w:val="24"/>
        </w:rPr>
        <w:t xml:space="preserve">request will enable </w:t>
      </w:r>
      <w:r w:rsidR="007D2DB5">
        <w:rPr>
          <w:b w:val="0"/>
          <w:sz w:val="24"/>
          <w:szCs w:val="24"/>
        </w:rPr>
        <w:t xml:space="preserve">the </w:t>
      </w:r>
      <w:r w:rsidR="008F733F">
        <w:rPr>
          <w:b w:val="0"/>
          <w:sz w:val="24"/>
          <w:szCs w:val="24"/>
        </w:rPr>
        <w:t>Department of State</w:t>
      </w:r>
      <w:r w:rsidRPr="00C25189" w:rsidR="00C25189">
        <w:rPr>
          <w:b w:val="0"/>
          <w:sz w:val="24"/>
          <w:szCs w:val="24"/>
        </w:rPr>
        <w:t xml:space="preserve"> </w:t>
      </w:r>
      <w:r>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w:t>
      </w:r>
      <w:r w:rsidR="00C25189">
        <w:rPr>
          <w:b w:val="0"/>
          <w:sz w:val="24"/>
          <w:szCs w:val="24"/>
        </w:rPr>
        <w:t>delivery, and</w:t>
      </w:r>
      <w:r w:rsidR="00C25189">
        <w:rPr>
          <w:b w:val="0"/>
          <w:sz w:val="24"/>
          <w:szCs w:val="24"/>
        </w:rPr>
        <w:t xml:space="preserve">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5900C220">
      <w:pPr>
        <w:pStyle w:val="BodyText"/>
        <w:ind w:left="720"/>
        <w:rPr>
          <w:b w:val="0"/>
          <w:sz w:val="24"/>
          <w:szCs w:val="24"/>
        </w:rPr>
      </w:pPr>
      <w:r w:rsidRPr="00C25189">
        <w:rPr>
          <w:b w:val="0"/>
          <w:sz w:val="24"/>
          <w:szCs w:val="24"/>
        </w:rPr>
        <w:t xml:space="preserve">The </w:t>
      </w:r>
      <w:r w:rsidR="0024403C">
        <w:rPr>
          <w:b w:val="0"/>
          <w:sz w:val="24"/>
          <w:szCs w:val="24"/>
        </w:rPr>
        <w:t>Department of State (the Department)</w:t>
      </w:r>
      <w:r w:rsidRPr="00C25189" w:rsidR="0024403C">
        <w:rPr>
          <w:b w:val="0"/>
          <w:sz w:val="24"/>
          <w:szCs w:val="24"/>
        </w:rPr>
        <w:t xml:space="preserve"> </w:t>
      </w:r>
      <w:r w:rsidRPr="00C25189">
        <w:rPr>
          <w:b w:val="0"/>
          <w:sz w:val="24"/>
          <w:szCs w:val="24"/>
        </w:rPr>
        <w:t>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0D243AAB">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w:t>
      </w:r>
      <w:r w:rsidR="0024403C">
        <w:rPr>
          <w:b w:val="0"/>
          <w:sz w:val="24"/>
          <w:szCs w:val="24"/>
        </w:rPr>
        <w:t>the Department</w:t>
      </w:r>
      <w:r w:rsidRPr="006F2BFD">
        <w:rPr>
          <w:b w:val="0"/>
          <w:sz w:val="24"/>
          <w:szCs w:val="24"/>
        </w:rPr>
        <w:t xml:space="preserve">, either directly or via a </w:t>
      </w:r>
      <w:r w:rsidRPr="006F2BFD">
        <w:rPr>
          <w:b w:val="0"/>
          <w:sz w:val="24"/>
          <w:szCs w:val="24"/>
        </w:rPr>
        <w:t>Federal</w:t>
      </w:r>
      <w:r w:rsidRPr="006F2BFD">
        <w:rPr>
          <w:b w:val="0"/>
          <w:sz w:val="24"/>
          <w:szCs w:val="24"/>
        </w:rPr>
        <w:t xml:space="preserve"> contractor.</w:t>
      </w:r>
    </w:p>
    <w:p w:rsidR="006F2BFD" w:rsidP="006F2BFD" w14:paraId="00672BDF" w14:textId="77777777">
      <w:pPr>
        <w:pStyle w:val="BodyText"/>
        <w:ind w:left="720"/>
        <w:rPr>
          <w:b w:val="0"/>
          <w:sz w:val="24"/>
          <w:szCs w:val="24"/>
        </w:rPr>
      </w:pPr>
    </w:p>
    <w:p w:rsidR="006F2BFD" w:rsidP="006F2BFD" w14:paraId="110AAA9C" w14:textId="41EB71F6">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0024403C">
        <w:rPr>
          <w:b w:val="0"/>
          <w:sz w:val="24"/>
          <w:szCs w:val="24"/>
        </w:rPr>
        <w:t>the Department</w:t>
      </w:r>
      <w:r w:rsidRPr="006F2BFD">
        <w:rPr>
          <w:b w:val="0"/>
          <w:sz w:val="24"/>
          <w:szCs w:val="24"/>
        </w:rPr>
        <w:t xml:space="preserve">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55844B6D">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w:t>
      </w:r>
      <w:r w:rsidR="0024403C">
        <w:rPr>
          <w:b w:val="0"/>
          <w:sz w:val="24"/>
          <w:szCs w:val="24"/>
        </w:rPr>
        <w:t>Department</w:t>
      </w:r>
      <w:r w:rsidRPr="006A7CA8" w:rsidR="0024403C">
        <w:rPr>
          <w:b w:val="0"/>
          <w:sz w:val="24"/>
          <w:szCs w:val="24"/>
        </w:rPr>
        <w:t xml:space="preserve"> </w:t>
      </w:r>
      <w:r w:rsidRPr="006A7CA8">
        <w:rPr>
          <w:b w:val="0"/>
          <w:sz w:val="24"/>
          <w:szCs w:val="24"/>
        </w:rPr>
        <w:t xml:space="preserve">to </w:t>
      </w:r>
      <w:r w:rsidR="00657299">
        <w:rPr>
          <w:b w:val="0"/>
          <w:sz w:val="24"/>
          <w:szCs w:val="24"/>
        </w:rPr>
        <w:t>more deeply understand the customer segments</w:t>
      </w:r>
      <w:r w:rsidR="00657299">
        <w:rPr>
          <w:b w:val="0"/>
          <w:sz w:val="24"/>
          <w:szCs w:val="24"/>
        </w:rPr>
        <w:t xml:space="preserve"> </w:t>
      </w:r>
      <w:r w:rsidR="0024403C">
        <w:rPr>
          <w:b w:val="0"/>
          <w:sz w:val="24"/>
          <w:szCs w:val="24"/>
        </w:rPr>
        <w:t xml:space="preserve">it </w:t>
      </w:r>
      <w:r w:rsidR="00657299">
        <w:rPr>
          <w:b w:val="0"/>
          <w:sz w:val="24"/>
          <w:szCs w:val="24"/>
        </w:rPr>
        <w:t>serve</w:t>
      </w:r>
      <w:r w:rsidR="0024403C">
        <w:rPr>
          <w:b w:val="0"/>
          <w:sz w:val="24"/>
          <w:szCs w:val="24"/>
        </w:rPr>
        <w:t>s</w:t>
      </w:r>
      <w:r w:rsidR="00657299">
        <w:rPr>
          <w:b w:val="0"/>
          <w:sz w:val="24"/>
          <w:szCs w:val="24"/>
        </w:rPr>
        <w:t xml:space="pre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w:t>
      </w:r>
      <w:r w:rsidR="0024403C">
        <w:rPr>
          <w:b w:val="0"/>
          <w:sz w:val="24"/>
          <w:szCs w:val="24"/>
        </w:rPr>
        <w:t>Department</w:t>
      </w:r>
      <w:r w:rsidRPr="006A7CA8">
        <w:rPr>
          <w:b w:val="0"/>
          <w:sz w:val="24"/>
          <w:szCs w:val="24"/>
        </w:rPr>
        <w:t xml:space="preserve">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w:t>
      </w:r>
      <w:r w:rsidR="0024403C">
        <w:rPr>
          <w:b w:val="0"/>
          <w:sz w:val="24"/>
          <w:szCs w:val="24"/>
        </w:rPr>
        <w:t xml:space="preserve">Department’s </w:t>
      </w:r>
      <w:r>
        <w:rPr>
          <w:b w:val="0"/>
          <w:sz w:val="24"/>
          <w:szCs w:val="24"/>
        </w:rPr>
        <w:t>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sidR="0024403C">
        <w:rPr>
          <w:b w:val="0"/>
          <w:sz w:val="24"/>
          <w:szCs w:val="24"/>
        </w:rPr>
        <w:t>Department</w:t>
      </w:r>
      <w:r w:rsidR="0024403C">
        <w:rPr>
          <w:b w:val="0"/>
          <w:sz w:val="24"/>
          <w:szCs w:val="24"/>
        </w:rPr>
        <w:t xml:space="preserve"> </w:t>
      </w:r>
      <w:r>
        <w:rPr>
          <w:b w:val="0"/>
          <w:sz w:val="24"/>
          <w:szCs w:val="24"/>
        </w:rPr>
        <w:t xml:space="preserve">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040095C0">
      <w:pPr>
        <w:pStyle w:val="BodyText"/>
        <w:ind w:left="720"/>
        <w:rPr>
          <w:b w:val="0"/>
          <w:sz w:val="24"/>
          <w:szCs w:val="24"/>
        </w:rPr>
      </w:pPr>
      <w:r w:rsidRPr="0000550E">
        <w:rPr>
          <w:b w:val="0"/>
          <w:sz w:val="24"/>
          <w:szCs w:val="24"/>
        </w:rPr>
        <w:t xml:space="preserve">Regardless of the format, the </w:t>
      </w:r>
      <w:r w:rsidR="0024403C">
        <w:rPr>
          <w:b w:val="0"/>
          <w:sz w:val="24"/>
          <w:szCs w:val="24"/>
        </w:rPr>
        <w:t xml:space="preserve">Department </w:t>
      </w:r>
      <w:r w:rsidRPr="0000550E">
        <w:rPr>
          <w:b w:val="0"/>
          <w:sz w:val="24"/>
          <w:szCs w:val="24"/>
        </w:rPr>
        <w:t xml:space="preserve">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w:t>
      </w:r>
      <w:r w:rsidR="002B1C9B">
        <w:rPr>
          <w:b w:val="0"/>
          <w:sz w:val="24"/>
          <w:szCs w:val="24"/>
        </w:rPr>
        <w:t>is</w:t>
      </w:r>
      <w:r w:rsidR="00271C21">
        <w:rPr>
          <w:b w:val="0"/>
          <w:sz w:val="24"/>
          <w:szCs w:val="24"/>
        </w:rPr>
        <w:t xml:space="preserve"> package.</w:t>
      </w:r>
    </w:p>
    <w:p w:rsidR="0039757D" w:rsidP="006A7CA8" w14:paraId="2363C0F4" w14:textId="77777777">
      <w:pPr>
        <w:pStyle w:val="BodyText"/>
        <w:ind w:left="720"/>
        <w:rPr>
          <w:b w:val="0"/>
          <w:sz w:val="24"/>
          <w:szCs w:val="24"/>
        </w:rPr>
      </w:pPr>
    </w:p>
    <w:p w:rsidR="00C25189" w:rsidP="006A7CA8" w14:paraId="44EE1786" w14:textId="09115A49">
      <w:pPr>
        <w:pStyle w:val="BodyText"/>
        <w:ind w:left="720"/>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 xml:space="preserve">the </w:t>
      </w:r>
      <w:r w:rsidR="0024403C">
        <w:rPr>
          <w:b w:val="0"/>
          <w:sz w:val="24"/>
          <w:szCs w:val="24"/>
        </w:rPr>
        <w:t>Department</w:t>
      </w:r>
      <w:r>
        <w:rPr>
          <w:b w:val="0"/>
          <w:sz w:val="24"/>
          <w:szCs w:val="24"/>
        </w:rPr>
        <w:t xml:space="preserve">, </w:t>
      </w:r>
      <w:r w:rsidR="0039757D">
        <w:rPr>
          <w:b w:val="0"/>
          <w:sz w:val="24"/>
          <w:szCs w:val="24"/>
        </w:rPr>
        <w:t xml:space="preserve">other Federal, </w:t>
      </w:r>
      <w:r w:rsidR="0024403C">
        <w:rPr>
          <w:b w:val="0"/>
          <w:sz w:val="24"/>
          <w:szCs w:val="24"/>
        </w:rPr>
        <w:t>s</w:t>
      </w:r>
      <w:r w:rsidR="0039757D">
        <w:rPr>
          <w:b w:val="0"/>
          <w:sz w:val="24"/>
          <w:szCs w:val="24"/>
        </w:rPr>
        <w:t xml:space="preserve">tate, </w:t>
      </w:r>
      <w:r w:rsidR="0024403C">
        <w:rPr>
          <w:b w:val="0"/>
          <w:sz w:val="24"/>
          <w:szCs w:val="24"/>
        </w:rPr>
        <w:t xml:space="preserve">Tribal, </w:t>
      </w:r>
      <w:r w:rsidR="0039757D">
        <w:rPr>
          <w:b w:val="0"/>
          <w:sz w:val="24"/>
          <w:szCs w:val="24"/>
        </w:rPr>
        <w:t xml:space="preserve">and </w:t>
      </w:r>
      <w:r w:rsidR="0024403C">
        <w:rPr>
          <w:b w:val="0"/>
          <w:sz w:val="24"/>
          <w:szCs w:val="24"/>
        </w:rPr>
        <w:t>l</w:t>
      </w:r>
      <w:r w:rsidR="0039757D">
        <w:rPr>
          <w:b w:val="0"/>
          <w:sz w:val="24"/>
          <w:szCs w:val="24"/>
        </w:rPr>
        <w:t xml:space="preserve">ocal government stakeholders </w:t>
      </w:r>
      <w:r>
        <w:rPr>
          <w:b w:val="0"/>
          <w:sz w:val="24"/>
          <w:szCs w:val="24"/>
        </w:rPr>
        <w:t xml:space="preserve">and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22957D8C" w14:textId="77777777">
      <w:pPr>
        <w:pStyle w:val="BodyText"/>
        <w:ind w:left="720"/>
        <w:rPr>
          <w:b w:val="0"/>
          <w:sz w:val="24"/>
          <w:szCs w:val="24"/>
        </w:rPr>
      </w:pPr>
    </w:p>
    <w:p w:rsidR="0077440A" w:rsidP="0077440A" w14:paraId="5BFE372E" w14:textId="205ED9DF">
      <w:pPr>
        <w:pStyle w:val="BodyText"/>
        <w:ind w:left="720"/>
        <w:rPr>
          <w:b w:val="0"/>
          <w:sz w:val="24"/>
          <w:szCs w:val="24"/>
        </w:rPr>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Pr>
          <w:b w:val="0"/>
          <w:sz w:val="24"/>
          <w:szCs w:val="24"/>
        </w:rPr>
        <w:t xml:space="preserve"> These feedback surveys include:</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1839A4" w:rsidP="0077440A" w14:paraId="0FF82F55" w14:textId="6C32F514">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w:t>
      </w:r>
      <w:r w:rsidR="0024403C">
        <w:rPr>
          <w:rFonts w:ascii="Times New Roman" w:hAnsi="Times New Roman"/>
        </w:rPr>
        <w:t xml:space="preserve">. The Department will </w:t>
      </w:r>
      <w:r w:rsidRPr="001839A4">
        <w:rPr>
          <w:rFonts w:ascii="Times New Roman" w:hAnsi="Times New Roman"/>
        </w:rPr>
        <w:t xml:space="preserve">use the statements below as a sentence base and make only minor edits. Any requested modification to the wording of these statements </w:t>
      </w:r>
      <w:r w:rsidR="0024403C">
        <w:rPr>
          <w:rFonts w:ascii="Times New Roman" w:hAnsi="Times New Roman"/>
        </w:rPr>
        <w:t>will</w:t>
      </w:r>
      <w:r w:rsidRPr="001839A4" w:rsidR="0024403C">
        <w:rPr>
          <w:rFonts w:ascii="Times New Roman" w:hAnsi="Times New Roman"/>
        </w:rPr>
        <w:t xml:space="preserve"> </w:t>
      </w:r>
      <w:r w:rsidRPr="001839A4">
        <w:rPr>
          <w:rFonts w:ascii="Times New Roman" w:hAnsi="Times New Roman"/>
        </w:rPr>
        <w:t xml:space="preserve">first be discussed with OMB prior to implementation in order to maintain reporting comparability </w:t>
      </w:r>
      <w:r w:rsidRPr="001839A4">
        <w:rPr>
          <w:rFonts w:ascii="Times New Roman" w:hAnsi="Times New Roman"/>
        </w:rPr>
        <w:t>government-wide</w:t>
      </w:r>
      <w:r w:rsidRPr="001839A4">
        <w:rPr>
          <w:rFonts w:ascii="Times New Roman" w:hAnsi="Times New Roman"/>
        </w:rPr>
        <w:t>.</w:t>
      </w:r>
    </w:p>
    <w:p w:rsidR="0077440A" w:rsidRPr="00EE088E" w:rsidP="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14:paraId="0E9F3636" w14:textId="79F0E1D2">
      <w:pPr>
        <w:pStyle w:val="ListParagraph"/>
        <w:numPr>
          <w:ilvl w:val="2"/>
          <w:numId w:val="18"/>
        </w:numPr>
        <w:jc w:val="both"/>
        <w:rPr>
          <w:rFonts w:ascii="Times New Roman" w:hAnsi="Times New Roman"/>
          <w:i/>
        </w:rPr>
      </w:pPr>
      <w:r w:rsidRPr="00EE088E">
        <w:rPr>
          <w:rFonts w:ascii="Times New Roman" w:hAnsi="Times New Roman"/>
          <w:i/>
        </w:rPr>
        <w:t>I trust [</w:t>
      </w:r>
      <w:r w:rsidR="0024403C">
        <w:rPr>
          <w:rFonts w:ascii="Times New Roman" w:hAnsi="Times New Roman"/>
          <w:i/>
        </w:rPr>
        <w:t>Department of State</w:t>
      </w:r>
      <w:r w:rsidRPr="00EE088E">
        <w:rPr>
          <w:rFonts w:ascii="Times New Roman" w:hAnsi="Times New Roman"/>
          <w:i/>
        </w:rPr>
        <w:t>/Program/Service name] to fulfill our country’s commitment to [relevant population].</w:t>
      </w:r>
    </w:p>
    <w:p w:rsidR="0077440A" w:rsidP="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0077440A" w:rsidRPr="00EE088E" w:rsidP="0077440A" w14:paraId="55D683F4" w14:textId="1ACB8EAB">
      <w:pPr>
        <w:pStyle w:val="ListParagraph"/>
        <w:numPr>
          <w:ilvl w:val="1"/>
          <w:numId w:val="18"/>
        </w:numPr>
        <w:rPr>
          <w:rFonts w:ascii="Times New Roman" w:hAnsi="Times New Roman"/>
        </w:rPr>
      </w:pPr>
      <w:r>
        <w:rPr>
          <w:rFonts w:ascii="Times New Roman" w:hAnsi="Times New Roman"/>
        </w:rPr>
        <w:t xml:space="preserve">The Department will </w:t>
      </w:r>
      <w:r w:rsidRPr="00EE088E">
        <w:rPr>
          <w:rFonts w:ascii="Times New Roman" w:hAnsi="Times New Roman"/>
        </w:rPr>
        <w:t xml:space="preserve">the statements below as a sentence base and make only minor edits, using a 5-point Likert scale. Any requested modification to the </w:t>
      </w:r>
      <w:r w:rsidRPr="00EE088E">
        <w:rPr>
          <w:rFonts w:ascii="Times New Roman" w:hAnsi="Times New Roman"/>
        </w:rPr>
        <w:t xml:space="preserve">wording of these statements </w:t>
      </w:r>
      <w:r>
        <w:rPr>
          <w:rFonts w:ascii="Times New Roman" w:hAnsi="Times New Roman"/>
        </w:rPr>
        <w:t xml:space="preserve">will </w:t>
      </w:r>
      <w:r w:rsidRPr="00EE088E">
        <w:rPr>
          <w:rFonts w:ascii="Times New Roman" w:hAnsi="Times New Roman"/>
        </w:rPr>
        <w:t xml:space="preserve">first be discussed with OMB prior to implementation in order to maintain reporting comparability </w:t>
      </w:r>
      <w:r w:rsidRPr="00EE088E">
        <w:rPr>
          <w:rFonts w:ascii="Times New Roman" w:hAnsi="Times New Roman"/>
        </w:rPr>
        <w:t>government-wide</w:t>
      </w:r>
      <w:r w:rsidRPr="00EE088E">
        <w:rPr>
          <w:rFonts w:ascii="Times New Roman" w:hAnsi="Times New Roman"/>
        </w:rPr>
        <w:t>.</w:t>
      </w:r>
    </w:p>
    <w:p w:rsidR="0077440A" w:rsidP="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r>
        <w:rPr>
          <w:rFonts w:ascii="Times New Roman" w:hAnsi="Times New Roman"/>
          <w:i/>
        </w:rPr>
        <w:t>5 star</w:t>
      </w:r>
      <w:r>
        <w:rPr>
          <w:rFonts w:ascii="Times New Roman" w:hAnsi="Times New Roman"/>
          <w:i/>
        </w:rPr>
        <w:t xml:space="preserve"> option]</w:t>
      </w:r>
      <w:r w:rsidRPr="00EE088E">
        <w:rPr>
          <w:rFonts w:ascii="Times New Roman" w:hAnsi="Times New Roman"/>
          <w:i/>
        </w:rPr>
        <w:t>.</w:t>
      </w:r>
    </w:p>
    <w:p w:rsidR="0077440A" w:rsidRPr="00AE792F" w:rsidP="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0077440A" w:rsidRPr="00EE088E" w:rsidP="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0077440A" w:rsidRPr="00EE088E" w:rsidP="0077440A" w14:paraId="36FA521A" w14:textId="0E2CED0C">
      <w:pPr>
        <w:pStyle w:val="ListParagraph"/>
        <w:numPr>
          <w:ilvl w:val="0"/>
          <w:numId w:val="18"/>
        </w:numPr>
        <w:jc w:val="both"/>
        <w:rPr>
          <w:rFonts w:ascii="Times New Roman" w:hAnsi="Times New Roman"/>
        </w:rPr>
      </w:pPr>
      <w:r>
        <w:rPr>
          <w:rFonts w:ascii="Times New Roman" w:hAnsi="Times New Roman"/>
        </w:rPr>
        <w:t>One</w:t>
      </w:r>
      <w:r w:rsidRPr="00EE088E">
        <w:rPr>
          <w:rFonts w:ascii="Times New Roman" w:hAnsi="Times New Roman"/>
        </w:rPr>
        <w:t xml:space="preserve"> question allowing but not requiring free </w:t>
      </w:r>
      <w:r w:rsidRPr="00EE088E">
        <w:rPr>
          <w:rFonts w:ascii="Times New Roman" w:hAnsi="Times New Roman"/>
        </w:rPr>
        <w:t>response</w:t>
      </w:r>
    </w:p>
    <w:p w:rsidR="0077440A" w:rsidRPr="00EE088E" w:rsidP="0077440A" w14:paraId="3C2C7308" w14:textId="6C8E9E4D">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w:t>
      </w:r>
      <w:r w:rsidR="0024403C">
        <w:rPr>
          <w:rFonts w:ascii="Times New Roman" w:hAnsi="Times New Roman"/>
        </w:rPr>
        <w:t>Department</w:t>
      </w:r>
      <w:r w:rsidRPr="00EE088E" w:rsidR="0024403C">
        <w:rPr>
          <w:rFonts w:ascii="Times New Roman" w:hAnsi="Times New Roman"/>
        </w:rPr>
        <w:t xml:space="preserve"> </w:t>
      </w:r>
      <w:r w:rsidRPr="00EE088E">
        <w:rPr>
          <w:rFonts w:ascii="Times New Roman" w:hAnsi="Times New Roman"/>
        </w:rPr>
        <w:t xml:space="preserve">to make use of the data, such as a question regarding the purpose of a visit or call, for a total </w:t>
      </w:r>
      <w:r>
        <w:rPr>
          <w:rFonts w:ascii="Times New Roman" w:hAnsi="Times New Roman"/>
        </w:rPr>
        <w:t xml:space="preserve">survey length of no more than 15 </w:t>
      </w:r>
      <w:r>
        <w:rPr>
          <w:rFonts w:ascii="Times New Roman" w:hAnsi="Times New Roman"/>
        </w:rPr>
        <w:t>questions</w:t>
      </w:r>
    </w:p>
    <w:p w:rsidR="0077440A" w:rsidRPr="00EE088E" w:rsidP="0077440A" w14:paraId="1045CD9B" w14:textId="77777777">
      <w:pPr>
        <w:jc w:val="both"/>
        <w:rPr>
          <w:rFonts w:ascii="Times New Roman" w:hAnsi="Times New Roman"/>
        </w:rPr>
      </w:pPr>
    </w:p>
    <w:p w:rsidR="0077440A" w:rsidRPr="00EE088E" w:rsidP="0077440A" w14:paraId="60ED62A9" w14:textId="445AE977">
      <w:pPr>
        <w:jc w:val="both"/>
        <w:rPr>
          <w:rFonts w:ascii="Times New Roman" w:hAnsi="Times New Roman"/>
        </w:rPr>
      </w:pPr>
      <w:r>
        <w:rPr>
          <w:rFonts w:ascii="Times New Roman" w:hAnsi="Times New Roman"/>
        </w:rPr>
        <w:t>The Department will</w:t>
      </w:r>
      <w:r w:rsidRPr="00EE088E">
        <w:rPr>
          <w:rFonts w:ascii="Times New Roman" w:hAnsi="Times New Roman"/>
        </w:rPr>
        <w:t xml:space="preserve"> submit these surveys for approval under the OMB A-11 Section 280 Umbrella Clearance</w:t>
      </w:r>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w:t>
      </w:r>
      <w:r w:rsidRPr="00EE088E">
        <w:rPr>
          <w:rFonts w:ascii="Times New Roman" w:hAnsi="Times New Roman"/>
        </w:rPr>
        <w:t>in an effort to</w:t>
      </w:r>
      <w:r w:rsidRPr="00EE088E">
        <w:rPr>
          <w:rFonts w:ascii="Times New Roman" w:hAnsi="Times New Roman"/>
        </w:rPr>
        <w:t xml:space="preserve"> further streamline the review of these types of collections. </w:t>
      </w:r>
    </w:p>
    <w:p w:rsidR="0077440A" w:rsidRPr="00EE088E" w:rsidP="0077440A" w14:paraId="0DEEE5CF" w14:textId="77777777">
      <w:pPr>
        <w:jc w:val="both"/>
        <w:rPr>
          <w:rFonts w:ascii="Times New Roman" w:hAnsi="Times New Roman"/>
        </w:rPr>
      </w:pPr>
    </w:p>
    <w:p w:rsidR="0077440A" w:rsidRPr="00EE088E" w:rsidP="0077440A" w14:paraId="20F2E5B5" w14:textId="79C151F2">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 xml:space="preserve">the </w:t>
      </w:r>
      <w:r w:rsidR="0024403C">
        <w:rPr>
          <w:rFonts w:ascii="Times New Roman" w:hAnsi="Times New Roman"/>
        </w:rPr>
        <w:t>Department</w:t>
      </w:r>
      <w:r w:rsidRPr="00EE088E" w:rsidR="0024403C">
        <w:rPr>
          <w:rFonts w:ascii="Times New Roman" w:hAnsi="Times New Roman"/>
        </w:rPr>
        <w:t xml:space="preserve"> </w:t>
      </w:r>
      <w:r w:rsidRPr="00EE088E">
        <w:rPr>
          <w:rFonts w:ascii="Times New Roman" w:hAnsi="Times New Roman"/>
        </w:rPr>
        <w:t xml:space="preserve">may </w:t>
      </w:r>
      <w:r w:rsidRPr="00EE088E">
        <w:rPr>
          <w:rFonts w:ascii="Times New Roman" w:hAnsi="Times New Roman"/>
        </w:rPr>
        <w:t>make adjustments to</w:t>
      </w:r>
      <w:r w:rsidRPr="00EE088E">
        <w:rPr>
          <w:rFonts w:ascii="Times New Roman" w:hAnsi="Times New Roman"/>
        </w:rPr>
        <w:t xml:space="preserve"> the wording as necessary for mission and circumstance-specific customization based on the type of service (see </w:t>
      </w:r>
      <w:r w:rsidR="00653F9A">
        <w:rPr>
          <w:rFonts w:ascii="Times New Roman" w:hAnsi="Times New Roman"/>
        </w:rPr>
        <w:t xml:space="preserve">Section </w:t>
      </w:r>
      <w:r w:rsidRPr="00EE088E">
        <w:rPr>
          <w:rFonts w:ascii="Times New Roman" w:hAnsi="Times New Roman"/>
          <w:color w:val="0000FF"/>
          <w:u w:val="single"/>
        </w:rPr>
        <w:t>280.4</w:t>
      </w:r>
      <w:r w:rsidR="00653F9A">
        <w:rPr>
          <w:rFonts w:ascii="Times New Roman" w:hAnsi="Times New Roman"/>
        </w:rPr>
        <w:t xml:space="preserve"> of OMB Circular A-11)</w:t>
      </w:r>
      <w:r w:rsidRPr="00EE088E">
        <w:rPr>
          <w:rFonts w:ascii="Times New Roman" w:hAnsi="Times New Roman"/>
        </w:rPr>
        <w:t xml:space="preserve"> or transaction type (for example, it may not involve an interaction with an employee). It is important that whenever possible, </w:t>
      </w:r>
      <w:r w:rsidR="0024403C">
        <w:rPr>
          <w:rFonts w:ascii="Times New Roman" w:hAnsi="Times New Roman"/>
        </w:rPr>
        <w:t>the Department will as</w:t>
      </w:r>
      <w:r w:rsidRPr="00EE088E">
        <w:rPr>
          <w:rFonts w:ascii="Times New Roman" w:hAnsi="Times New Roman"/>
        </w:rPr>
        <w:t>k the fewest number of questions, and map each question to one of the categories below, so that we might identify at a government-wide level which elements are most impactful on satisfaction and trust within different types of Federal services.</w:t>
      </w:r>
    </w:p>
    <w:p w:rsidR="0077440A" w:rsidRPr="00EE088E" w:rsidP="0077440A" w14:paraId="21630A60" w14:textId="77777777">
      <w:pPr>
        <w:jc w:val="both"/>
        <w:rPr>
          <w:rFonts w:ascii="Times New Roman" w:hAnsi="Times New Roman"/>
        </w:rPr>
      </w:pPr>
    </w:p>
    <w:tbl>
      <w:tblPr>
        <w:tblStyle w:val="TableGrid"/>
        <w:tblW w:w="0" w:type="auto"/>
        <w:tblLook w:val="04A0"/>
      </w:tblPr>
      <w:tblGrid>
        <w:gridCol w:w="3235"/>
        <w:gridCol w:w="6115"/>
      </w:tblGrid>
      <w:tr w14:paraId="277D1975" w14:textId="77777777" w:rsidTr="00382804">
        <w:tblPrEx>
          <w:tblW w:w="0" w:type="auto"/>
          <w:tblLook w:val="04A0"/>
        </w:tblPrEx>
        <w:tc>
          <w:tcPr>
            <w:tcW w:w="3235" w:type="dxa"/>
            <w:shd w:val="clear" w:color="auto" w:fill="7F7F7F" w:themeFill="text1" w:themeFillTint="80"/>
          </w:tcPr>
          <w:p w:rsidR="0077440A" w:rsidRPr="00EE088E" w:rsidP="00382804"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0077440A" w:rsidRPr="00EE088E" w:rsidP="00382804"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14:paraId="08873EE1" w14:textId="77777777" w:rsidTr="0077440A">
        <w:tblPrEx>
          <w:tblW w:w="0" w:type="auto"/>
          <w:tblLook w:val="04A0"/>
        </w:tblPrEx>
        <w:tc>
          <w:tcPr>
            <w:tcW w:w="3235" w:type="dxa"/>
            <w:vMerge w:val="restart"/>
            <w:vAlign w:val="center"/>
          </w:tcPr>
          <w:p w:rsidR="0077440A" w:rsidRPr="00EE088E" w:rsidP="00382804"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0077440A" w:rsidRPr="00EE088E" w:rsidP="00382804"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14:paraId="14CE3777" w14:textId="77777777" w:rsidTr="00382804">
        <w:tblPrEx>
          <w:tblW w:w="0" w:type="auto"/>
          <w:tblLook w:val="04A0"/>
        </w:tblPrEx>
        <w:tc>
          <w:tcPr>
            <w:tcW w:w="3235" w:type="dxa"/>
            <w:vMerge/>
            <w:vAlign w:val="center"/>
          </w:tcPr>
          <w:p w:rsidR="0077440A" w:rsidRPr="00EE088E" w:rsidP="00382804" w14:paraId="4783F64F" w14:textId="77777777">
            <w:pPr>
              <w:jc w:val="center"/>
              <w:rPr>
                <w:rFonts w:ascii="Times New Roman" w:hAnsi="Times New Roman"/>
                <w:b/>
              </w:rPr>
            </w:pPr>
          </w:p>
        </w:tc>
        <w:tc>
          <w:tcPr>
            <w:tcW w:w="6115" w:type="dxa"/>
            <w:vAlign w:val="center"/>
          </w:tcPr>
          <w:p w:rsidR="0077440A" w:rsidRPr="00EE088E" w:rsidP="00382804"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0077440A" w:rsidRPr="00EE088E" w:rsidP="00382804"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14:paraId="32C8511F" w14:textId="77777777" w:rsidTr="00382804">
        <w:tblPrEx>
          <w:tblW w:w="0" w:type="auto"/>
          <w:tblLook w:val="04A0"/>
        </w:tblPrEx>
        <w:tc>
          <w:tcPr>
            <w:tcW w:w="3235" w:type="dxa"/>
            <w:vMerge w:val="restart"/>
            <w:vAlign w:val="center"/>
          </w:tcPr>
          <w:p w:rsidR="0077440A" w:rsidRPr="00EE088E" w:rsidP="00382804"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0077440A" w:rsidRPr="00EE088E" w:rsidP="00382804" w14:paraId="1D326E90" w14:textId="77777777">
            <w:pPr>
              <w:jc w:val="center"/>
              <w:rPr>
                <w:rFonts w:ascii="Times New Roman" w:hAnsi="Times New Roman"/>
                <w:b/>
              </w:rPr>
            </w:pPr>
            <w:r w:rsidRPr="00EE088E">
              <w:rPr>
                <w:rFonts w:ascii="Times New Roman" w:hAnsi="Times New Roman"/>
                <w:b/>
              </w:rPr>
              <w:t>Ease / Simplicity</w:t>
            </w:r>
          </w:p>
        </w:tc>
      </w:tr>
      <w:tr w14:paraId="630413D0" w14:textId="77777777" w:rsidTr="00382804">
        <w:tblPrEx>
          <w:tblW w:w="0" w:type="auto"/>
          <w:tblLook w:val="04A0"/>
        </w:tblPrEx>
        <w:tc>
          <w:tcPr>
            <w:tcW w:w="3235" w:type="dxa"/>
            <w:vMerge/>
            <w:vAlign w:val="center"/>
          </w:tcPr>
          <w:p w:rsidR="0077440A" w:rsidRPr="00EE088E" w:rsidP="00382804" w14:paraId="49DCDEB0" w14:textId="77777777">
            <w:pPr>
              <w:jc w:val="center"/>
              <w:rPr>
                <w:rFonts w:ascii="Times New Roman" w:hAnsi="Times New Roman"/>
                <w:b/>
              </w:rPr>
            </w:pPr>
          </w:p>
        </w:tc>
        <w:tc>
          <w:tcPr>
            <w:tcW w:w="6115" w:type="dxa"/>
            <w:vAlign w:val="center"/>
          </w:tcPr>
          <w:p w:rsidR="0077440A" w:rsidRPr="00EE088E" w:rsidP="00382804"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0077440A" w:rsidRPr="00EE088E" w:rsidP="00382804" w14:paraId="7CC314DB" w14:textId="77777777">
            <w:pPr>
              <w:jc w:val="center"/>
              <w:rPr>
                <w:rFonts w:ascii="Times New Roman" w:hAnsi="Times New Roman"/>
                <w:b/>
              </w:rPr>
            </w:pPr>
            <w:r w:rsidRPr="00EE088E">
              <w:rPr>
                <w:rFonts w:ascii="Times New Roman" w:hAnsi="Times New Roman"/>
              </w:rPr>
              <w:t>It was easy to find what I needed.</w:t>
            </w:r>
          </w:p>
        </w:tc>
      </w:tr>
      <w:tr w14:paraId="22814508" w14:textId="77777777" w:rsidTr="00382804">
        <w:tblPrEx>
          <w:tblW w:w="0" w:type="auto"/>
          <w:tblLook w:val="04A0"/>
        </w:tblPrEx>
        <w:tc>
          <w:tcPr>
            <w:tcW w:w="3235" w:type="dxa"/>
            <w:vMerge/>
          </w:tcPr>
          <w:p w:rsidR="0077440A" w:rsidRPr="00EE088E" w:rsidP="00382804" w14:paraId="2E78EEF3" w14:textId="77777777">
            <w:pPr>
              <w:rPr>
                <w:rFonts w:ascii="Times New Roman" w:hAnsi="Times New Roman"/>
                <w:i/>
              </w:rPr>
            </w:pPr>
          </w:p>
        </w:tc>
        <w:tc>
          <w:tcPr>
            <w:tcW w:w="6115" w:type="dxa"/>
            <w:shd w:val="clear" w:color="auto" w:fill="EEECE1" w:themeFill="background2"/>
            <w:vAlign w:val="center"/>
          </w:tcPr>
          <w:p w:rsidR="0077440A" w:rsidRPr="00EE088E" w:rsidP="00382804" w14:paraId="7073B8B1" w14:textId="77777777">
            <w:pPr>
              <w:jc w:val="center"/>
              <w:rPr>
                <w:rFonts w:ascii="Times New Roman" w:hAnsi="Times New Roman"/>
                <w:b/>
              </w:rPr>
            </w:pPr>
            <w:r w:rsidRPr="00EE088E">
              <w:rPr>
                <w:rFonts w:ascii="Times New Roman" w:hAnsi="Times New Roman"/>
                <w:b/>
              </w:rPr>
              <w:t>Efficiency / Speed</w:t>
            </w:r>
          </w:p>
        </w:tc>
      </w:tr>
      <w:tr w14:paraId="11C7C113" w14:textId="77777777" w:rsidTr="00382804">
        <w:tblPrEx>
          <w:tblW w:w="0" w:type="auto"/>
          <w:tblLook w:val="04A0"/>
        </w:tblPrEx>
        <w:tc>
          <w:tcPr>
            <w:tcW w:w="3235" w:type="dxa"/>
            <w:vMerge/>
          </w:tcPr>
          <w:p w:rsidR="0077440A" w:rsidRPr="00EE088E" w:rsidP="00382804" w14:paraId="5441F894" w14:textId="77777777">
            <w:pPr>
              <w:jc w:val="center"/>
              <w:rPr>
                <w:rFonts w:ascii="Times New Roman" w:hAnsi="Times New Roman"/>
                <w:b/>
              </w:rPr>
            </w:pPr>
          </w:p>
        </w:tc>
        <w:tc>
          <w:tcPr>
            <w:tcW w:w="6115" w:type="dxa"/>
            <w:vAlign w:val="center"/>
          </w:tcPr>
          <w:p w:rsidR="0077440A" w:rsidRPr="00EE088E" w:rsidP="00382804"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14:paraId="608C9988" w14:textId="77777777" w:rsidTr="00382804">
        <w:tblPrEx>
          <w:tblW w:w="0" w:type="auto"/>
          <w:tblLook w:val="04A0"/>
        </w:tblPrEx>
        <w:tc>
          <w:tcPr>
            <w:tcW w:w="3235" w:type="dxa"/>
            <w:vMerge/>
          </w:tcPr>
          <w:p w:rsidR="0077440A" w:rsidRPr="00EE088E" w:rsidP="00382804" w14:paraId="3746A3C3" w14:textId="77777777">
            <w:pPr>
              <w:rPr>
                <w:rFonts w:ascii="Times New Roman" w:hAnsi="Times New Roman"/>
                <w:i/>
              </w:rPr>
            </w:pPr>
          </w:p>
        </w:tc>
        <w:tc>
          <w:tcPr>
            <w:tcW w:w="6115" w:type="dxa"/>
            <w:shd w:val="clear" w:color="auto" w:fill="EEECE1" w:themeFill="background2"/>
          </w:tcPr>
          <w:p w:rsidR="0077440A" w:rsidRPr="00EE088E" w:rsidP="00382804" w14:paraId="2C05409D" w14:textId="77777777">
            <w:pPr>
              <w:jc w:val="center"/>
              <w:rPr>
                <w:rFonts w:ascii="Times New Roman" w:hAnsi="Times New Roman"/>
                <w:b/>
              </w:rPr>
            </w:pPr>
            <w:r w:rsidRPr="00EE088E">
              <w:rPr>
                <w:rFonts w:ascii="Times New Roman" w:hAnsi="Times New Roman"/>
                <w:b/>
              </w:rPr>
              <w:t>Equity / Transparency</w:t>
            </w:r>
          </w:p>
        </w:tc>
      </w:tr>
      <w:tr w14:paraId="6C04AC1A" w14:textId="77777777" w:rsidTr="00382804">
        <w:tblPrEx>
          <w:tblW w:w="0" w:type="auto"/>
          <w:tblLook w:val="04A0"/>
        </w:tblPrEx>
        <w:tc>
          <w:tcPr>
            <w:tcW w:w="3235" w:type="dxa"/>
            <w:vMerge/>
          </w:tcPr>
          <w:p w:rsidR="0077440A" w:rsidRPr="00EE088E" w:rsidP="00382804" w14:paraId="0CEACFB9" w14:textId="77777777">
            <w:pPr>
              <w:jc w:val="center"/>
              <w:rPr>
                <w:rFonts w:ascii="Times New Roman" w:hAnsi="Times New Roman"/>
                <w:b/>
              </w:rPr>
            </w:pPr>
          </w:p>
        </w:tc>
        <w:tc>
          <w:tcPr>
            <w:tcW w:w="6115" w:type="dxa"/>
          </w:tcPr>
          <w:p w:rsidR="0077440A" w:rsidRPr="00EE088E" w:rsidP="00382804"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14:paraId="2D64B735" w14:textId="77777777" w:rsidTr="00382804">
        <w:tblPrEx>
          <w:tblW w:w="0" w:type="auto"/>
          <w:tblLook w:val="04A0"/>
        </w:tblPrEx>
        <w:tc>
          <w:tcPr>
            <w:tcW w:w="3235" w:type="dxa"/>
            <w:vMerge w:val="restart"/>
            <w:vAlign w:val="center"/>
          </w:tcPr>
          <w:p w:rsidR="0077440A" w:rsidRPr="00EE088E" w:rsidP="00382804" w14:paraId="0A4B536A" w14:textId="77777777">
            <w:pPr>
              <w:jc w:val="center"/>
              <w:rPr>
                <w:rFonts w:ascii="Times New Roman" w:hAnsi="Times New Roman"/>
                <w:b/>
              </w:rPr>
            </w:pPr>
            <w:r w:rsidRPr="00EE088E">
              <w:rPr>
                <w:rFonts w:ascii="Times New Roman" w:hAnsi="Times New Roman"/>
                <w:b/>
              </w:rPr>
              <w:t>People</w:t>
            </w:r>
          </w:p>
          <w:p w:rsidR="0077440A" w:rsidRPr="00EE088E" w:rsidP="00382804"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0077440A" w:rsidRPr="00EE088E" w:rsidP="00382804"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14:paraId="5EC41704" w14:textId="77777777" w:rsidTr="00382804">
        <w:tblPrEx>
          <w:tblW w:w="0" w:type="auto"/>
          <w:tblLook w:val="04A0"/>
        </w:tblPrEx>
        <w:tc>
          <w:tcPr>
            <w:tcW w:w="3235" w:type="dxa"/>
            <w:vMerge/>
          </w:tcPr>
          <w:p w:rsidR="0077440A" w:rsidRPr="00EE088E" w:rsidP="00382804" w14:paraId="0BD54951" w14:textId="77777777">
            <w:pPr>
              <w:rPr>
                <w:rFonts w:ascii="Times New Roman" w:hAnsi="Times New Roman"/>
                <w:i/>
              </w:rPr>
            </w:pPr>
          </w:p>
        </w:tc>
        <w:tc>
          <w:tcPr>
            <w:tcW w:w="6115" w:type="dxa"/>
          </w:tcPr>
          <w:p w:rsidR="0077440A" w:rsidRPr="00EE088E" w:rsidP="00382804"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0077440A" w:rsidRPr="00EE088E" w:rsidP="0077440A" w14:paraId="23B3D2CA" w14:textId="77777777">
      <w:pPr>
        <w:jc w:val="both"/>
        <w:rPr>
          <w:rFonts w:ascii="Times New Roman" w:hAnsi="Times New Roman"/>
        </w:rPr>
      </w:pPr>
    </w:p>
    <w:p w:rsidR="0077440A" w:rsidRPr="00EE088E" w:rsidP="0077440A" w14:paraId="56C4B633" w14:textId="77777777">
      <w:pPr>
        <w:jc w:val="both"/>
        <w:rPr>
          <w:rFonts w:ascii="Times New Roman" w:hAnsi="Times New Roman"/>
        </w:rPr>
      </w:pPr>
    </w:p>
    <w:p w:rsidR="0077440A" w:rsidRPr="00EE088E" w:rsidP="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0077440A" w:rsidRPr="00EE088E" w:rsidP="0077440A" w14:paraId="22B26112" w14:textId="77777777">
      <w:pPr>
        <w:pStyle w:val="ListParagraph"/>
        <w:numPr>
          <w:ilvl w:val="0"/>
          <w:numId w:val="19"/>
        </w:numPr>
        <w:jc w:val="both"/>
        <w:rPr>
          <w:rFonts w:ascii="Times New Roman" w:hAnsi="Times New Roman"/>
        </w:rPr>
      </w:pPr>
      <w:r w:rsidRPr="00EE088E">
        <w:rPr>
          <w:rFonts w:ascii="Times New Roman" w:hAnsi="Times New Roman"/>
        </w:rPr>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0077440A" w:rsidRPr="00EE088E" w:rsidP="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r w:rsidRPr="00EE088E">
        <w:rPr>
          <w:rFonts w:ascii="Times New Roman" w:hAnsi="Times New Roman"/>
        </w:rPr>
        <w:t>multiple choice</w:t>
      </w:r>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0077440A" w:rsidRPr="00EE088E" w:rsidP="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 xml:space="preserve">rivers had a positive impact and one for those that had a negative </w:t>
      </w:r>
      <w:r w:rsidRPr="00EE088E">
        <w:rPr>
          <w:rFonts w:ascii="Times New Roman" w:hAnsi="Times New Roman"/>
        </w:rPr>
        <w:t>impact</w:t>
      </w:r>
    </w:p>
    <w:p w:rsidR="0077440A" w:rsidP="0077440A" w14:paraId="27E89B7C" w14:textId="77777777">
      <w:pPr>
        <w:pStyle w:val="BodyText"/>
        <w:ind w:left="720"/>
        <w:rPr>
          <w:b w:val="0"/>
          <w:sz w:val="24"/>
          <w:szCs w:val="24"/>
        </w:rPr>
      </w:pPr>
    </w:p>
    <w:p w:rsidR="00E15CE1" w:rsidP="00E15CE1" w14:paraId="315042B9" w14:textId="1DD4F189">
      <w:pPr>
        <w:pStyle w:val="BodyText"/>
        <w:ind w:left="720"/>
        <w:rPr>
          <w:b w:val="0"/>
          <w:sz w:val="24"/>
          <w:szCs w:val="24"/>
        </w:rPr>
      </w:pPr>
      <w:r>
        <w:rPr>
          <w:b w:val="0"/>
          <w:sz w:val="24"/>
          <w:szCs w:val="24"/>
        </w:rPr>
        <w:t xml:space="preserve">The </w:t>
      </w:r>
      <w:r w:rsidR="0024403C">
        <w:rPr>
          <w:b w:val="0"/>
          <w:sz w:val="24"/>
          <w:szCs w:val="24"/>
        </w:rPr>
        <w:t xml:space="preserve">Department </w:t>
      </w:r>
      <w:r>
        <w:rPr>
          <w:b w:val="0"/>
          <w:sz w:val="24"/>
          <w:szCs w:val="24"/>
        </w:rPr>
        <w:t xml:space="preserve">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6F1C749E" w14:textId="3617FA63">
      <w:pPr>
        <w:pStyle w:val="BodyText"/>
        <w:ind w:left="720"/>
        <w:rPr>
          <w:b w:val="0"/>
          <w:sz w:val="24"/>
          <w:szCs w:val="24"/>
        </w:rPr>
      </w:pPr>
    </w:p>
    <w:p w:rsidR="00E03202" w:rsidP="00E03202" w14:paraId="50ED66E7" w14:textId="0D42E22D">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w:t>
      </w:r>
      <w:r w:rsidR="006C6686">
        <w:rPr>
          <w:b w:val="0"/>
          <w:sz w:val="24"/>
          <w:szCs w:val="24"/>
        </w:rPr>
        <w:t xml:space="preserve">Department </w:t>
      </w:r>
      <w:r>
        <w:rPr>
          <w:b w:val="0"/>
          <w:sz w:val="24"/>
          <w:szCs w:val="24"/>
        </w:rPr>
        <w:t xml:space="preserve">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3A466782">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6C6686">
        <w:rPr>
          <w:b w:val="0"/>
          <w:sz w:val="24"/>
          <w:szCs w:val="24"/>
        </w:rPr>
        <w:t>The Department will</w:t>
      </w:r>
      <w:r w:rsidR="00271C21">
        <w:rPr>
          <w:b w:val="0"/>
          <w:sz w:val="24"/>
          <w:szCs w:val="24"/>
        </w:rPr>
        <w:t xml:space="preserve">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xml:space="preserve">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39FDC2FD">
      <w:pPr>
        <w:pStyle w:val="BodyText"/>
        <w:ind w:left="720"/>
        <w:rPr>
          <w:b w:val="0"/>
          <w:sz w:val="24"/>
          <w:szCs w:val="24"/>
        </w:rPr>
      </w:pPr>
      <w:r w:rsidRPr="00A22BD9">
        <w:rPr>
          <w:b w:val="0"/>
          <w:sz w:val="24"/>
          <w:szCs w:val="24"/>
        </w:rPr>
        <w:t xml:space="preserve">The </w:t>
      </w:r>
      <w:r w:rsidR="006C6686">
        <w:rPr>
          <w:b w:val="0"/>
          <w:sz w:val="24"/>
          <w:szCs w:val="24"/>
        </w:rPr>
        <w:t>Department</w:t>
      </w:r>
      <w:r w:rsidRPr="00A22BD9" w:rsidR="006C6686">
        <w:rPr>
          <w:b w:val="0"/>
          <w:sz w:val="24"/>
          <w:szCs w:val="24"/>
        </w:rPr>
        <w:t xml:space="preserve"> </w:t>
      </w:r>
      <w:r w:rsidRPr="00A22BD9">
        <w:rPr>
          <w:b w:val="0"/>
          <w:sz w:val="24"/>
          <w:szCs w:val="24"/>
        </w:rPr>
        <w:t xml:space="preserve">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Pr>
          <w:rFonts w:ascii="Times New Roman" w:hAnsi="Times New Roman"/>
          <w:szCs w:val="24"/>
        </w:rPr>
        <w:t>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Information gathered is intended to be used for general service improvement and program management </w:t>
      </w:r>
      <w:r w:rsidRPr="00FC38C8">
        <w:rPr>
          <w:rFonts w:ascii="Times New Roman" w:hAnsi="Times New Roman"/>
          <w:szCs w:val="24"/>
        </w:rPr>
        <w:t>purposes</w:t>
      </w:r>
    </w:p>
    <w:p w:rsidR="00FC38C8" w:rsidRPr="00FC38C8" w:rsidP="00FC38C8" w14:paraId="067C45B6" w14:textId="572E38CE">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w:t>
      </w:r>
      <w:r w:rsidR="006C6686">
        <w:rPr>
          <w:rFonts w:ascii="Times New Roman" w:hAnsi="Times New Roman"/>
          <w:szCs w:val="24"/>
        </w:rPr>
        <w:t>Department</w:t>
      </w:r>
      <w:r w:rsidRPr="00FC38C8" w:rsidR="006C6686">
        <w:rPr>
          <w:rFonts w:ascii="Times New Roman" w:hAnsi="Times New Roman"/>
          <w:szCs w:val="24"/>
        </w:rPr>
        <w:t xml:space="preserve"> </w:t>
      </w:r>
      <w:r w:rsidRPr="00FC38C8">
        <w:rPr>
          <w:rFonts w:ascii="Times New Roman" w:hAnsi="Times New Roman"/>
          <w:szCs w:val="24"/>
        </w:rPr>
        <w:t>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00FC38C8" w:rsidRPr="00FC38C8" w:rsidP="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00BD1E9D" w:rsidRPr="00EF7FF5" w14:paraId="39E46305" w14:textId="77777777">
      <w:pPr>
        <w:tabs>
          <w:tab w:val="left" w:pos="-720"/>
        </w:tabs>
        <w:suppressAutoHyphens/>
        <w:rPr>
          <w:rFonts w:ascii="Times New Roman" w:hAnsi="Times New Roman"/>
          <w:szCs w:val="24"/>
        </w:rPr>
      </w:pPr>
    </w:p>
    <w:p w:rsidR="00751AE8" w:rsidP="00B927B8" w14:paraId="09B79C7F" w14:textId="16A6DFEF">
      <w:pPr>
        <w:ind w:left="720"/>
        <w:rPr>
          <w:rFonts w:ascii="Times New Roman" w:hAnsi="Times New Roman"/>
        </w:rPr>
      </w:pPr>
      <w:r>
        <w:rPr>
          <w:rFonts w:ascii="Times New Roman" w:hAnsi="Times New Roman"/>
        </w:rPr>
        <w:t xml:space="preserve">This clearance will help the </w:t>
      </w:r>
      <w:r w:rsidR="006C6686">
        <w:rPr>
          <w:rFonts w:ascii="Times New Roman" w:hAnsi="Times New Roman"/>
        </w:rPr>
        <w:t xml:space="preserve">Department </w:t>
      </w:r>
      <w:r>
        <w:rPr>
          <w:rFonts w:ascii="Times New Roman" w:hAnsi="Times New Roman"/>
        </w:rPr>
        <w:t>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 xml:space="preserve">the </w:t>
      </w:r>
      <w:r w:rsidR="006C6686">
        <w:rPr>
          <w:rFonts w:ascii="Times New Roman" w:hAnsi="Times New Roman"/>
        </w:rPr>
        <w:t>Department</w:t>
      </w:r>
      <w:r w:rsidRPr="0083061C" w:rsidR="006C6686">
        <w:rPr>
          <w:rFonts w:ascii="Times New Roman" w:hAnsi="Times New Roman"/>
        </w:rPr>
        <w:t xml:space="preserve"> </w:t>
      </w:r>
      <w:r w:rsidRPr="0083061C" w:rsidR="00B927B8">
        <w:rPr>
          <w:rFonts w:ascii="Times New Roman" w:hAnsi="Times New Roman"/>
        </w:rPr>
        <w:t xml:space="preserve">in the planning and decision-making processes to improve the quality of </w:t>
      </w:r>
      <w:r>
        <w:rPr>
          <w:rFonts w:ascii="Times New Roman" w:hAnsi="Times New Roman"/>
        </w:rPr>
        <w:t xml:space="preserve">the </w:t>
      </w:r>
      <w:r w:rsidR="006C6686">
        <w:rPr>
          <w:rFonts w:ascii="Times New Roman" w:hAnsi="Times New Roman"/>
        </w:rPr>
        <w:t>Department’s</w:t>
      </w:r>
      <w:r w:rsidRPr="0083061C" w:rsidR="006C6686">
        <w:rPr>
          <w:rFonts w:ascii="Times New Roman" w:hAnsi="Times New Roman"/>
        </w:rPr>
        <w:t xml:space="preserve"> </w:t>
      </w:r>
      <w:r w:rsidRPr="0083061C" w:rsidR="00B927B8">
        <w:rPr>
          <w:rFonts w:ascii="Times New Roman" w:hAnsi="Times New Roman"/>
        </w:rPr>
        <w:t xml:space="preserve">products and services.  </w:t>
      </w:r>
    </w:p>
    <w:p w:rsidR="00751AE8" w:rsidP="00B927B8" w14:paraId="63FB7A45" w14:textId="77777777">
      <w:pPr>
        <w:ind w:left="720"/>
        <w:rPr>
          <w:rFonts w:ascii="Times New Roman" w:hAnsi="Times New Roman"/>
        </w:rPr>
      </w:pPr>
    </w:p>
    <w:p w:rsidR="00B927B8" w:rsidP="00B927B8" w14:paraId="418E8381" w14:textId="0BBEE93C">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 xml:space="preserve">the </w:t>
      </w:r>
      <w:r w:rsidR="006C6686">
        <w:rPr>
          <w:rFonts w:ascii="Times New Roman" w:hAnsi="Times New Roman"/>
        </w:rPr>
        <w:t>Department’s</w:t>
      </w:r>
      <w:r w:rsidRPr="0083061C" w:rsidR="006C6686">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3.  Describe whether, and to what extent, the collection of information involves the use of automated, electronic, mechanical, or other technological collection techniques or forms of information technology, </w:t>
      </w:r>
      <w:r w:rsidRPr="00572524">
        <w:rPr>
          <w:rFonts w:ascii="Times New Roman" w:hAnsi="Times New Roman"/>
          <w:b/>
          <w:szCs w:val="24"/>
        </w:rPr>
        <w:t>e.g.</w:t>
      </w:r>
      <w:r w:rsidRPr="00572524">
        <w:rPr>
          <w:rFonts w:ascii="Times New Roman" w:hAnsi="Times New Roman"/>
          <w:b/>
          <w:szCs w:val="24"/>
        </w:rPr>
        <w:t xml:space="preserve">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51FAEC2E">
      <w:pPr>
        <w:pStyle w:val="BodyTextIndent"/>
        <w:ind w:left="720"/>
        <w:rPr>
          <w:rFonts w:ascii="Times New Roman" w:hAnsi="Times New Roman"/>
        </w:rPr>
      </w:pPr>
      <w:r w:rsidRPr="00CD40F8">
        <w:rPr>
          <w:rFonts w:ascii="Times New Roman" w:hAnsi="Times New Roman"/>
        </w:rPr>
        <w:t xml:space="preserve">The </w:t>
      </w:r>
      <w:r w:rsidR="006C6686">
        <w:rPr>
          <w:rFonts w:ascii="Times New Roman" w:hAnsi="Times New Roman"/>
        </w:rPr>
        <w:t xml:space="preserve">Department </w:t>
      </w:r>
      <w:r w:rsidRPr="00CD40F8">
        <w:rPr>
          <w:rFonts w:ascii="Times New Roman" w:hAnsi="Times New Roman"/>
        </w:rPr>
        <w:t>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w:t>
      </w:r>
      <w:r w:rsidR="006C6686">
        <w:rPr>
          <w:rFonts w:ascii="Times New Roman" w:hAnsi="Times New Roman"/>
        </w:rPr>
        <w:t xml:space="preserve">Department </w:t>
      </w:r>
      <w:r>
        <w:rPr>
          <w:rFonts w:ascii="Times New Roman" w:hAnsi="Times New Roman"/>
        </w:rPr>
        <w:t xml:space="preserve">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sidR="006C6686">
        <w:rPr>
          <w:rFonts w:ascii="Times New Roman" w:hAnsi="Times New Roman"/>
        </w:rPr>
        <w:t>Department</w:t>
      </w:r>
      <w:r w:rsidRPr="00CD40F8">
        <w:rPr>
          <w:rFonts w:ascii="Times New Roman" w:hAnsi="Times New Roman"/>
        </w:rPr>
        <w:t xml:space="preserve">-wide customer program.  </w:t>
      </w:r>
      <w:r w:rsidRPr="0083061C">
        <w:rPr>
          <w:rFonts w:ascii="Times New Roman" w:hAnsi="Times New Roman"/>
        </w:rPr>
        <w:t xml:space="preserve">The </w:t>
      </w:r>
      <w:r w:rsidRPr="0083061C">
        <w:rPr>
          <w:rFonts w:ascii="Times New Roman" w:hAnsi="Times New Roman"/>
        </w:rPr>
        <w:t>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3E1F8743">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 xml:space="preserve">customer experience with the </w:t>
      </w:r>
      <w:r w:rsidR="006C6686">
        <w:rPr>
          <w:rFonts w:ascii="Times New Roman" w:hAnsi="Times New Roman"/>
        </w:rPr>
        <w:t>Department’s</w:t>
      </w:r>
      <w:r w:rsidRPr="0083061C" w:rsidR="006C6686">
        <w:rPr>
          <w:rFonts w:ascii="Times New Roman" w:hAnsi="Times New Roman"/>
        </w:rPr>
        <w:t xml:space="preserve"> </w:t>
      </w:r>
      <w:r w:rsidRPr="0083061C">
        <w:rPr>
          <w:rFonts w:ascii="Times New Roman" w:hAnsi="Times New Roman"/>
        </w:rPr>
        <w:t>programs and processes</w:t>
      </w:r>
      <w:r w:rsidR="00F30CEE">
        <w:rPr>
          <w:rFonts w:ascii="Times New Roman" w:hAnsi="Times New Roman"/>
        </w:rPr>
        <w:t>. The</w:t>
      </w:r>
      <w:r w:rsidRPr="00F30CEE" w:rsidR="00F30CEE">
        <w:rPr>
          <w:rFonts w:ascii="Times New Roman" w:hAnsi="Times New Roman"/>
        </w:rPr>
        <w:t xml:space="preserve"> </w:t>
      </w:r>
      <w:r w:rsidR="006C6686">
        <w:rPr>
          <w:rFonts w:ascii="Times New Roman" w:hAnsi="Times New Roman"/>
        </w:rPr>
        <w:t xml:space="preserve">Department </w:t>
      </w:r>
      <w:r w:rsidRPr="00F30CEE" w:rsidR="00F30CEE">
        <w:rPr>
          <w:rFonts w:ascii="Times New Roman" w:hAnsi="Times New Roman"/>
        </w:rPr>
        <w:t xml:space="preserve">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1C5E23C5">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 xml:space="preserve">the </w:t>
      </w:r>
      <w:r w:rsidR="006C6686">
        <w:rPr>
          <w:rFonts w:ascii="Times New Roman" w:hAnsi="Times New Roman"/>
        </w:rPr>
        <w:t xml:space="preserve">Department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Pr>
          <w:rFonts w:ascii="Times New Roman" w:hAnsi="Times New Roman"/>
          <w:b/>
          <w:szCs w:val="24"/>
        </w:rPr>
        <w:t>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r w:rsidRPr="0027712F">
        <w:rPr>
          <w:rFonts w:ascii="Times New Roman" w:hAnsi="Times New Roman"/>
          <w:b/>
          <w:szCs w:val="24"/>
        </w:rPr>
        <w:t>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Pr>
          <w:rFonts w:ascii="Times New Roman" w:hAnsi="Times New Roman"/>
          <w:b/>
          <w:szCs w:val="24"/>
        </w:rPr>
        <w:t>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Pr>
          <w:rFonts w:ascii="Times New Roman" w:hAnsi="Times New Roman"/>
          <w:b/>
          <w:szCs w:val="24"/>
        </w:rPr>
        <w:t>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Pr>
          <w:rFonts w:ascii="Times New Roman" w:hAnsi="Times New Roman"/>
          <w:b/>
          <w:szCs w:val="24"/>
        </w:rPr>
        <w:t>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Pr>
          <w:rFonts w:ascii="Times New Roman" w:hAnsi="Times New Roman"/>
          <w:b/>
          <w:szCs w:val="24"/>
        </w:rPr>
        <w:t>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that includes a pledge of confidentiality that is not supported by authority established in statute or regulation, that is not supported by disclosure and data </w:t>
      </w:r>
      <w:r w:rsidRPr="0027712F">
        <w:rPr>
          <w:rFonts w:ascii="Times New Roman" w:hAnsi="Times New Roman"/>
          <w:b/>
          <w:szCs w:val="24"/>
        </w:rPr>
        <w:t>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422526" w:rsidRPr="0083061C" w:rsidP="00422526" w14:paraId="03C7A7B6" w14:textId="200BEE23">
      <w:pPr>
        <w:pStyle w:val="BodyTextIndent"/>
        <w:ind w:left="720"/>
        <w:rPr>
          <w:rFonts w:ascii="Times New Roman" w:hAnsi="Times New Roman"/>
        </w:rPr>
      </w:pPr>
      <w:r w:rsidRPr="0083061C">
        <w:rPr>
          <w:rFonts w:ascii="Times New Roman" w:hAnsi="Times New Roman"/>
        </w:rPr>
        <w:t xml:space="preserve">These surveys will be consistent with all </w:t>
      </w:r>
      <w:r>
        <w:rPr>
          <w:rFonts w:ascii="Times New Roman" w:hAnsi="Times New Roman"/>
        </w:rPr>
        <w:t>the guidelines in 5 CFR 1320</w:t>
      </w:r>
      <w:r w:rsidRPr="0083061C">
        <w:rPr>
          <w:rFonts w:ascii="Times New Roman" w:hAnsi="Times New Roman"/>
        </w:rPr>
        <w:t>.  There are no</w:t>
      </w:r>
      <w:r>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Pr>
          <w:rFonts w:ascii="Times New Roman" w:hAnsi="Times New Roman"/>
        </w:rPr>
        <w:t xml:space="preserve">the </w:t>
      </w:r>
      <w:r w:rsidR="006C6686">
        <w:rPr>
          <w:rFonts w:ascii="Times New Roman" w:hAnsi="Times New Roman"/>
        </w:rPr>
        <w:t>Department</w:t>
      </w:r>
      <w:r w:rsidRPr="0083061C" w:rsidR="006C6686">
        <w:rPr>
          <w:rFonts w:ascii="Times New Roman" w:hAnsi="Times New Roman"/>
        </w:rPr>
        <w:t xml:space="preserve"> </w:t>
      </w:r>
      <w:r w:rsidRPr="0083061C">
        <w:rPr>
          <w:rFonts w:ascii="Times New Roman" w:hAnsi="Times New Roman"/>
        </w:rPr>
        <w:t>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F5E88" w14:paraId="285A8B0C" w14:textId="77777777">
      <w:pPr>
        <w:tabs>
          <w:tab w:val="left" w:pos="-720"/>
        </w:tabs>
        <w:suppressAutoHyphens/>
        <w:rPr>
          <w:rStyle w:val="a"/>
          <w:rFonts w:ascii="Times New Roman" w:hAnsi="Times New Roman"/>
          <w:b/>
          <w:bCs/>
          <w:szCs w:val="24"/>
        </w:rPr>
      </w:pPr>
    </w:p>
    <w:p w:rsidR="00386054" w:rsidRPr="005F5E88" w:rsidP="003C29C2" w14:paraId="34951F81" w14:textId="77777777">
      <w:pPr>
        <w:tabs>
          <w:tab w:val="left" w:pos="-720"/>
        </w:tabs>
        <w:suppressAutoHyphens/>
        <w:ind w:left="360"/>
        <w:rPr>
          <w:rStyle w:val="a"/>
          <w:rFonts w:ascii="Times New Roman" w:hAnsi="Times New Roman"/>
          <w:b/>
          <w:bCs/>
          <w:szCs w:val="24"/>
        </w:rPr>
      </w:pPr>
      <w:r w:rsidRPr="005F5E88">
        <w:rPr>
          <w:rStyle w:val="a"/>
          <w:rFonts w:ascii="Times New Roman" w:hAnsi="Times New Roman"/>
          <w:b/>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5F5E88" w14:paraId="57E67107" w14:textId="77777777">
      <w:pPr>
        <w:tabs>
          <w:tab w:val="left" w:pos="-720"/>
        </w:tabs>
        <w:suppressAutoHyphens/>
        <w:rPr>
          <w:rStyle w:val="a"/>
          <w:rFonts w:ascii="Times New Roman" w:hAnsi="Times New Roman"/>
          <w:b/>
          <w:bCs/>
          <w:szCs w:val="24"/>
        </w:rPr>
      </w:pPr>
    </w:p>
    <w:p w:rsidR="00386054" w:rsidRPr="005F5E88" w:rsidP="003C29C2" w14:paraId="3E8AF93A" w14:textId="77777777">
      <w:pPr>
        <w:tabs>
          <w:tab w:val="left" w:pos="-720"/>
        </w:tabs>
        <w:suppressAutoHyphens/>
        <w:ind w:left="360"/>
        <w:rPr>
          <w:rFonts w:ascii="Times New Roman" w:hAnsi="Times New Roman"/>
          <w:b/>
          <w:bCs/>
          <w:szCs w:val="24"/>
        </w:rPr>
      </w:pPr>
      <w:r w:rsidRPr="005F5E88">
        <w:rPr>
          <w:rStyle w:val="a"/>
          <w:rFonts w:ascii="Times New Roman" w:hAnsi="Times New Roman"/>
          <w:b/>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864453" w14:paraId="7487FE2F" w14:textId="77777777">
      <w:pPr>
        <w:tabs>
          <w:tab w:val="left" w:pos="-720"/>
        </w:tabs>
        <w:suppressAutoHyphens/>
        <w:rPr>
          <w:rFonts w:ascii="Times New Roman" w:hAnsi="Times New Roman"/>
          <w:szCs w:val="24"/>
        </w:rPr>
      </w:pPr>
    </w:p>
    <w:p w:rsidR="00AC1FA8" w:rsidP="00297C42" w14:paraId="1AC60B54" w14:textId="4B10D6EB">
      <w:pPr>
        <w:ind w:left="720"/>
        <w:rPr>
          <w:rFonts w:ascii="Times New Roman" w:hAnsi="Times New Roman"/>
          <w:szCs w:val="24"/>
        </w:rPr>
      </w:pPr>
      <w:r>
        <w:rPr>
          <w:rFonts w:ascii="Times New Roman" w:hAnsi="Times New Roman"/>
          <w:szCs w:val="24"/>
        </w:rPr>
        <w:t>On July 23, 2023, t</w:t>
      </w:r>
      <w:r w:rsidRPr="00864453">
        <w:rPr>
          <w:rFonts w:ascii="Times New Roman" w:hAnsi="Times New Roman"/>
          <w:szCs w:val="24"/>
        </w:rPr>
        <w:t xml:space="preserve">he Department published a 60-day notice in the Federal </w:t>
      </w:r>
      <w:r>
        <w:rPr>
          <w:rFonts w:ascii="Times New Roman" w:hAnsi="Times New Roman"/>
          <w:szCs w:val="24"/>
        </w:rPr>
        <w:t xml:space="preserve">Register </w:t>
      </w:r>
      <w:r w:rsidRPr="00864453">
        <w:rPr>
          <w:rFonts w:ascii="Times New Roman" w:hAnsi="Times New Roman"/>
          <w:szCs w:val="24"/>
        </w:rPr>
        <w:t>soliciting public comment</w:t>
      </w:r>
      <w:r>
        <w:rPr>
          <w:rFonts w:ascii="Times New Roman" w:hAnsi="Times New Roman"/>
          <w:szCs w:val="24"/>
        </w:rPr>
        <w:t>s</w:t>
      </w:r>
      <w:r w:rsidRPr="00864453">
        <w:rPr>
          <w:rFonts w:ascii="Times New Roman" w:hAnsi="Times New Roman"/>
          <w:szCs w:val="24"/>
        </w:rPr>
        <w:t>. No comments were received.</w:t>
      </w:r>
      <w:r>
        <w:rPr>
          <w:rFonts w:ascii="Times New Roman" w:hAnsi="Times New Roman"/>
          <w:szCs w:val="24"/>
        </w:rPr>
        <w:t xml:space="preserve"> </w:t>
      </w:r>
    </w:p>
    <w:p w:rsidR="00864453" w:rsidRPr="00864453" w:rsidP="00297C42" w14:paraId="406FD35A" w14:textId="77777777">
      <w:pPr>
        <w:ind w:left="720"/>
        <w:rPr>
          <w:rFonts w:ascii="Times New Roman" w:hAnsi="Times New Roman"/>
          <w:szCs w:val="24"/>
        </w:rPr>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BCFD81B">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 xml:space="preserve">the </w:t>
      </w:r>
      <w:r w:rsidR="003D3187">
        <w:rPr>
          <w:b w:val="0"/>
          <w:sz w:val="24"/>
          <w:szCs w:val="24"/>
        </w:rPr>
        <w:t xml:space="preserve">Department </w:t>
      </w:r>
      <w:r w:rsidRPr="003D5D70">
        <w:rPr>
          <w:b w:val="0"/>
          <w:sz w:val="24"/>
          <w:szCs w:val="24"/>
        </w:rPr>
        <w:t xml:space="preserve">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297C42" w:rsidRPr="0083061C" w:rsidP="003D5D70" w14:paraId="01184935"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386054"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7314D987" w14:textId="77777777">
      <w:pPr>
        <w:tabs>
          <w:tab w:val="left" w:pos="-720"/>
        </w:tabs>
        <w:suppressAutoHyphens/>
        <w:rPr>
          <w:rFonts w:ascii="Times New Roman" w:hAnsi="Times New Roman"/>
          <w:szCs w:val="24"/>
        </w:rPr>
      </w:pP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22BD9"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055D2563" w14:textId="3A210F87">
      <w:pPr>
        <w:pStyle w:val="BodyTextIndent"/>
        <w:ind w:left="720"/>
        <w:rPr>
          <w:rFonts w:ascii="Times New Roman" w:hAnsi="Times New Roman"/>
        </w:rPr>
      </w:pPr>
      <w:r w:rsidRPr="00913D44">
        <w:rPr>
          <w:rFonts w:ascii="Times New Roman" w:hAnsi="Times New Roman"/>
        </w:rPr>
        <w:t xml:space="preserve">The </w:t>
      </w:r>
      <w:r w:rsidR="003D3187">
        <w:rPr>
          <w:rFonts w:ascii="Times New Roman" w:hAnsi="Times New Roman"/>
        </w:rPr>
        <w:t>Department</w:t>
      </w:r>
      <w:r w:rsidRPr="00913D44" w:rsidR="003D3187">
        <w:rPr>
          <w:rFonts w:ascii="Times New Roman" w:hAnsi="Times New Roman"/>
        </w:rPr>
        <w:t xml:space="preserve"> </w:t>
      </w:r>
      <w:r w:rsidRPr="00913D44">
        <w:rPr>
          <w:rFonts w:ascii="Times New Roman" w:hAnsi="Times New Roman"/>
        </w:rPr>
        <w:t xml:space="preserve">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617001EF" w14:textId="215D801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w:t>
      </w:r>
      <w:r w:rsidR="003D3187">
        <w:rPr>
          <w:rFonts w:ascii="Times New Roman" w:hAnsi="Times New Roman"/>
        </w:rPr>
        <w:t xml:space="preserve">Department </w:t>
      </w:r>
      <w:r w:rsidRPr="00913D44">
        <w:rPr>
          <w:rFonts w:ascii="Times New Roman" w:hAnsi="Times New Roman"/>
        </w:rPr>
        <w:t xml:space="preserve">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550D5A35" w14:textId="1B07C83A">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 xml:space="preserve">Industry best practice is to present every customer the opportunity to provide feedback at each instrumented touchpoint/transaction in a customer journey (ex. After </w:t>
      </w:r>
      <w:r w:rsidRPr="00913D44">
        <w:rPr>
          <w:rFonts w:ascii="Times New Roman" w:hAnsi="Times New Roman"/>
        </w:rPr>
        <w:t>submitting an application</w:t>
      </w:r>
      <w:r w:rsidRPr="00913D44">
        <w:rPr>
          <w:rFonts w:ascii="Times New Roman" w:hAnsi="Times New Roman"/>
        </w:rPr>
        <w:t>,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w:t>
      </w:r>
      <w:r w:rsidR="003D3187">
        <w:rPr>
          <w:rFonts w:ascii="Times New Roman" w:hAnsi="Times New Roman"/>
        </w:rPr>
        <w:t>Department</w:t>
      </w:r>
      <w:r w:rsidRPr="00913D44" w:rsidR="003D3187">
        <w:rPr>
          <w:rFonts w:ascii="Times New Roman" w:hAnsi="Times New Roman"/>
        </w:rPr>
        <w:t xml:space="preserve"> </w:t>
      </w:r>
      <w:r w:rsidRPr="00913D44">
        <w:rPr>
          <w:rFonts w:ascii="Times New Roman" w:hAnsi="Times New Roman"/>
        </w:rPr>
        <w:t xml:space="preserve">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2C86D66D" w14:textId="5E69EB2F">
      <w:pPr>
        <w:ind w:left="720"/>
        <w:rPr>
          <w:rFonts w:ascii="Times New Roman" w:hAnsi="Times New Roman"/>
          <w:b/>
        </w:rPr>
      </w:pPr>
    </w:p>
    <w:p w:rsidR="0035309F" w:rsidRPr="00913D44" w:rsidP="0035309F" w14:paraId="20705779" w14:textId="4F6EDDED">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w:t>
      </w:r>
      <w:r w:rsidR="003D3187">
        <w:rPr>
          <w:rFonts w:ascii="Times New Roman" w:hAnsi="Times New Roman"/>
        </w:rPr>
        <w:t>Department</w:t>
      </w:r>
      <w:r w:rsidRPr="00913D44" w:rsidR="003D3187">
        <w:rPr>
          <w:rFonts w:ascii="Times New Roman" w:hAnsi="Times New Roman"/>
        </w:rPr>
        <w:t xml:space="preserve"> </w:t>
      </w:r>
      <w:r w:rsidRPr="00913D44" w:rsidR="0002637C">
        <w:rPr>
          <w:rFonts w:ascii="Times New Roman" w:hAnsi="Times New Roman"/>
        </w:rPr>
        <w:t>(ex.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1F1E4C57" w14:textId="5E5B215D">
      <w:pPr>
        <w:ind w:left="720"/>
        <w:rPr>
          <w:rFonts w:ascii="Times New Roman" w:hAnsi="Times New Roman"/>
          <w:b/>
        </w:rPr>
      </w:pPr>
    </w:p>
    <w:p w:rsidR="0002637C" w:rsidRPr="00913D44" w:rsidP="0035309F" w14:paraId="691BD250" w14:textId="6B44ADD4">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w:t>
      </w:r>
      <w:r w:rsidR="003D3187">
        <w:rPr>
          <w:rFonts w:ascii="Times New Roman" w:hAnsi="Times New Roman"/>
        </w:rPr>
        <w:t>Department</w:t>
      </w:r>
      <w:r w:rsidRPr="00913D44" w:rsidR="00443178">
        <w:rPr>
          <w:rFonts w:ascii="Times New Roman" w:hAnsi="Times New Roman"/>
        </w:rPr>
        <w:t xml:space="preserve">,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2DD26FF7" w14:textId="77777777">
      <w:pPr>
        <w:ind w:left="720"/>
        <w:rPr>
          <w:rFonts w:ascii="Times New Roman" w:hAnsi="Times New Roman"/>
          <w:b/>
        </w:rPr>
      </w:pPr>
    </w:p>
    <w:p w:rsidR="00E809A4" w:rsidRPr="00913D44" w:rsidP="00BB63CD" w14:paraId="7FB1EE42" w14:textId="1C58DD68">
      <w:pPr>
        <w:ind w:left="720"/>
        <w:rPr>
          <w:b/>
          <w:szCs w:val="24"/>
        </w:rPr>
      </w:pPr>
      <w:r w:rsidRPr="00913D44">
        <w:rPr>
          <w:rFonts w:ascii="Times New Roman" w:hAnsi="Times New Roman"/>
        </w:rPr>
        <w:t xml:space="preserve">The </w:t>
      </w:r>
      <w:r w:rsidR="003D3187">
        <w:rPr>
          <w:rFonts w:ascii="Times New Roman" w:hAnsi="Times New Roman"/>
        </w:rPr>
        <w:t>Department</w:t>
      </w:r>
      <w:r w:rsidRPr="00913D44" w:rsidR="003D3187">
        <w:rPr>
          <w:rFonts w:ascii="Times New Roman" w:hAnsi="Times New Roman"/>
        </w:rPr>
        <w:t xml:space="preserve"> </w:t>
      </w:r>
      <w:r w:rsidRPr="00913D44" w:rsidR="008A3D41">
        <w:rPr>
          <w:rFonts w:ascii="Times New Roman" w:hAnsi="Times New Roman"/>
        </w:rPr>
        <w:t xml:space="preserve">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r w:rsidRPr="00913D44" w:rsidR="008A3D41">
        <w:rPr>
          <w:rFonts w:ascii="Times New Roman" w:hAnsi="Times New Roman"/>
        </w:rPr>
        <w:t>in orde</w:t>
      </w:r>
      <w:r w:rsidRPr="00913D44" w:rsidR="0035309F">
        <w:rPr>
          <w:rFonts w:ascii="Times New Roman" w:hAnsi="Times New Roman"/>
        </w:rPr>
        <w:t>r to</w:t>
      </w:r>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FC0F8D" w:rsidRPr="00913D44" w14:paraId="0EED9583" w14:textId="4DDBA0E0">
      <w:pPr>
        <w:rPr>
          <w:rFonts w:ascii="Times New Roman" w:hAnsi="Times New Roman"/>
        </w:rPr>
      </w:pPr>
      <w:r w:rsidRPr="00913D44">
        <w:rPr>
          <w:rFonts w:ascii="Times New Roman" w:hAnsi="Times New Roman"/>
        </w:rPr>
        <w:br w:type="page"/>
      </w:r>
    </w:p>
    <w:p w:rsidR="00BB63CD" w:rsidRPr="00913D44" w:rsidP="003D5D70"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0"/>
        <w:gridCol w:w="1523"/>
        <w:gridCol w:w="1435"/>
        <w:gridCol w:w="1070"/>
        <w:gridCol w:w="996"/>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913D44" w:rsidP="00EA5328"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77C6B7AA" w14:textId="08B20BFD">
            <w:pPr>
              <w:jc w:val="center"/>
              <w:rPr>
                <w:rFonts w:ascii="Times New Roman" w:hAnsi="Times New Roman"/>
                <w:szCs w:val="24"/>
              </w:rPr>
            </w:pPr>
            <w:r w:rsidRPr="00913D44">
              <w:rPr>
                <w:rFonts w:ascii="Times New Roman" w:hAnsi="Times New Roman"/>
                <w:szCs w:val="24"/>
              </w:rPr>
              <w:t>30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539ED05" w14:textId="710067AA">
            <w:pPr>
              <w:jc w:val="center"/>
              <w:rPr>
                <w:rFonts w:ascii="Times New Roman" w:hAnsi="Times New Roman"/>
                <w:szCs w:val="24"/>
              </w:rPr>
            </w:pPr>
            <w:r w:rsidRPr="00913D44">
              <w:rPr>
                <w:rFonts w:ascii="Times New Roman" w:hAnsi="Times New Roman"/>
                <w:szCs w:val="24"/>
              </w:rPr>
              <w:t>90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1F217A" w14:textId="183290B0">
            <w:pPr>
              <w:jc w:val="right"/>
              <w:rPr>
                <w:rFonts w:ascii="Times New Roman" w:hAnsi="Times New Roman"/>
                <w:szCs w:val="24"/>
              </w:rPr>
            </w:pPr>
            <w:r>
              <w:rPr>
                <w:rFonts w:ascii="Times New Roman" w:hAnsi="Times New Roman"/>
                <w:szCs w:val="24"/>
              </w:rPr>
              <w:t>1</w:t>
            </w:r>
            <w:r w:rsidRPr="00913D44" w:rsidR="00E7107B">
              <w:rPr>
                <w:rFonts w:ascii="Times New Roman" w:hAnsi="Times New Roman"/>
                <w:szCs w:val="24"/>
              </w:rPr>
              <w:t>,000,000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1401E7F" w14:textId="0A05E587">
            <w:pPr>
              <w:jc w:val="center"/>
              <w:rPr>
                <w:rFonts w:ascii="Times New Roman" w:hAnsi="Times New Roman"/>
                <w:szCs w:val="24"/>
              </w:rPr>
            </w:pPr>
            <w:r w:rsidRPr="00913D44">
              <w:rPr>
                <w:rFonts w:ascii="Times New Roman" w:hAnsi="Times New Roman"/>
                <w:szCs w:val="24"/>
              </w:rPr>
              <w:t>3</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6D515AC1" w14:textId="51E4C1D6">
            <w:pPr>
              <w:jc w:val="center"/>
              <w:rPr>
                <w:rFonts w:ascii="Times New Roman" w:hAnsi="Times New Roman"/>
                <w:szCs w:val="24"/>
              </w:rPr>
            </w:pPr>
            <w:r w:rsidRPr="00913D44">
              <w:rPr>
                <w:rFonts w:ascii="Times New Roman" w:hAnsi="Times New Roman"/>
                <w:szCs w:val="24"/>
              </w:rPr>
              <w:t>15</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913D44" w:rsidP="0002637C"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913D44" w:rsidP="00EA5328" w14:paraId="61316F91" w14:textId="5AB38397">
            <w:pPr>
              <w:jc w:val="center"/>
              <w:rPr>
                <w:rFonts w:ascii="Times New Roman" w:hAnsi="Times New Roman"/>
                <w:bCs/>
                <w:szCs w:val="24"/>
              </w:rPr>
            </w:pPr>
            <w:r w:rsidRPr="00913D44">
              <w:rPr>
                <w:rFonts w:ascii="Times New Roman" w:hAnsi="Times New Roman"/>
                <w:bCs/>
                <w:szCs w:val="24"/>
              </w:rPr>
              <w:t>30</w:t>
            </w:r>
            <w:r w:rsidRPr="00913D44">
              <w:rPr>
                <w:rFonts w:ascii="Times New Roman" w:hAnsi="Times New Roman"/>
                <w:bCs/>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913D44" w:rsidP="00EA5328"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443178" w14:paraId="5244FC4C" w14:textId="66E5625D">
            <w:pPr>
              <w:jc w:val="right"/>
              <w:rPr>
                <w:rFonts w:ascii="Times New Roman" w:hAnsi="Times New Roman"/>
                <w:szCs w:val="24"/>
              </w:rPr>
            </w:pPr>
            <w:r>
              <w:rPr>
                <w:rFonts w:ascii="Times New Roman" w:hAnsi="Times New Roman"/>
                <w:szCs w:val="24"/>
              </w:rPr>
              <w:t>1</w:t>
            </w:r>
            <w:r w:rsidRPr="00913D44" w:rsidR="00E7107B">
              <w:rPr>
                <w:rFonts w:ascii="Times New Roman" w:hAnsi="Times New Roman"/>
                <w:szCs w:val="24"/>
              </w:rPr>
              <w:t>,001,550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913D44" w:rsidP="00EA5328"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D241A" w:rsidP="00443178"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5290B">
        <w:rPr>
          <w:rFonts w:ascii="Times New Roman" w:hAnsi="Times New Roman"/>
          <w:b/>
          <w:szCs w:val="24"/>
        </w:rPr>
        <w:t>time period</w:t>
      </w:r>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D5290B">
        <w:rPr>
          <w:rFonts w:ascii="Times New Roman" w:hAnsi="Times New Roman"/>
          <w:b/>
          <w:szCs w:val="24"/>
        </w:rPr>
        <w:t>drilling</w:t>
      </w:r>
      <w:r w:rsidRPr="00D5290B">
        <w:rPr>
          <w:rFonts w:ascii="Times New Roman" w:hAnsi="Times New Roman"/>
          <w:b/>
          <w:szCs w:val="24"/>
        </w:rPr>
        <w:t xml:space="preserve">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D5290B">
        <w:rPr>
          <w:rFonts w:ascii="Times New Roman" w:hAnsi="Times New Roman"/>
          <w:b/>
          <w:szCs w:val="24"/>
        </w:rPr>
        <w:t>process</w:t>
      </w:r>
      <w:r w:rsidRPr="00D5290B">
        <w:rPr>
          <w:rFonts w:ascii="Times New Roman" w:hAnsi="Times New Roman"/>
          <w:b/>
          <w:szCs w:val="24"/>
        </w:rPr>
        <w:t xml:space="preserve">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08FB6CFE">
      <w:pPr>
        <w:tabs>
          <w:tab w:val="left" w:pos="-720"/>
        </w:tabs>
        <w:suppressAutoHyphens/>
        <w:ind w:left="720"/>
        <w:rPr>
          <w:rFonts w:ascii="Times New Roman" w:hAnsi="Times New Roman"/>
        </w:rPr>
      </w:pPr>
      <w:r w:rsidRPr="00F45FED">
        <w:rPr>
          <w:rFonts w:ascii="Times New Roman" w:hAnsi="Times New Roman"/>
        </w:rPr>
        <w:t xml:space="preserve">The </w:t>
      </w:r>
      <w:r w:rsidR="003D3187">
        <w:rPr>
          <w:rFonts w:ascii="Times New Roman" w:hAnsi="Times New Roman"/>
        </w:rPr>
        <w:t xml:space="preserve">Department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xml:space="preserve">, </w:t>
      </w:r>
      <w:r w:rsidRPr="00F45FED" w:rsidR="002473CE">
        <w:rPr>
          <w:rFonts w:ascii="Times New Roman" w:hAnsi="Times New Roman"/>
          <w:b/>
          <w:szCs w:val="24"/>
        </w:rPr>
        <w:t>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309112A2">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w:t>
      </w:r>
      <w:r w:rsidR="003D3187">
        <w:rPr>
          <w:rFonts w:ascii="Times New Roman" w:hAnsi="Times New Roman"/>
        </w:rPr>
        <w:t xml:space="preserve">Department </w:t>
      </w:r>
      <w:r w:rsidR="00AC3176">
        <w:rPr>
          <w:rFonts w:ascii="Times New Roman" w:hAnsi="Times New Roman"/>
        </w:rPr>
        <w:t xml:space="preserve">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 xml:space="preserve">Journey maps are living documents—continually refined and revisited. There is </w:t>
      </w:r>
      <w:r w:rsidRPr="00D5290B">
        <w:rPr>
          <w:rFonts w:ascii="Times New Roman" w:hAnsi="Times New Roman"/>
          <w:i/>
        </w:rPr>
        <w:t>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w:t>
      </w:r>
      <w:r>
        <w:rPr>
          <w:rFonts w:ascii="Times New Roman" w:hAnsi="Times New Roman"/>
        </w:rPr>
        <w:t>administered</w:t>
      </w:r>
      <w:r>
        <w:rPr>
          <w:rFonts w:ascii="Times New Roman" w:hAnsi="Times New Roman"/>
        </w:rPr>
        <w:t xml:space="preserve">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 xml:space="preserve">Total volume of customers that interacted at this transaction point during the given </w:t>
      </w:r>
      <w:r>
        <w:rPr>
          <w:rFonts w:ascii="Times New Roman" w:hAnsi="Times New Roman"/>
        </w:rPr>
        <w:t>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 xml:space="preserve">Total volume of customers that were presented the </w:t>
      </w:r>
      <w:r>
        <w:rPr>
          <w:rFonts w:ascii="Times New Roman" w:hAnsi="Times New Roman"/>
        </w:rPr>
        <w:t>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 xml:space="preserve">Total number of customers who completed the </w:t>
      </w:r>
      <w:r>
        <w:rPr>
          <w:rFonts w:ascii="Times New Roman" w:hAnsi="Times New Roman"/>
        </w:rPr>
        <w:t>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r>
        <w:rPr>
          <w:rFonts w:ascii="Times New Roman" w:hAnsi="Times New Roman"/>
        </w:rPr>
        <w:t>5 point</w:t>
      </w:r>
      <w:r>
        <w:rPr>
          <w:rFonts w:ascii="Times New Roman" w:hAnsi="Times New Roman"/>
        </w:rPr>
        <w:t xml:space="preserve"> Likert scale for each of the standard questions</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220E5713">
      <w:pPr>
        <w:pStyle w:val="BodyTextIndent"/>
        <w:ind w:left="720"/>
        <w:rPr>
          <w:rFonts w:ascii="Times New Roman" w:hAnsi="Times New Roman"/>
        </w:rPr>
      </w:pPr>
      <w:r>
        <w:rPr>
          <w:rFonts w:ascii="Times New Roman" w:hAnsi="Times New Roman"/>
        </w:rPr>
        <w:t xml:space="preserve">The </w:t>
      </w:r>
      <w:r w:rsidR="003D3187">
        <w:rPr>
          <w:rFonts w:ascii="Times New Roman" w:hAnsi="Times New Roman"/>
        </w:rPr>
        <w:t xml:space="preserve">Department </w:t>
      </w:r>
      <w:r w:rsidR="006A530B">
        <w:rPr>
          <w:rFonts w:ascii="Times New Roman" w:hAnsi="Times New Roman"/>
        </w:rPr>
        <w:t xml:space="preserve">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2893962E">
      <w:pPr>
        <w:pStyle w:val="BodyTextIndent"/>
        <w:ind w:left="720"/>
        <w:rPr>
          <w:rFonts w:ascii="Times New Roman" w:hAnsi="Times New Roman"/>
        </w:rPr>
      </w:pPr>
      <w:r>
        <w:rPr>
          <w:rFonts w:ascii="Times New Roman" w:hAnsi="Times New Roman"/>
        </w:rPr>
        <w:t xml:space="preserve">The </w:t>
      </w:r>
      <w:r w:rsidR="003D3187">
        <w:rPr>
          <w:rFonts w:ascii="Times New Roman" w:hAnsi="Times New Roman"/>
        </w:rPr>
        <w:t>Department i</w:t>
      </w:r>
      <w:r w:rsidR="006A530B">
        <w:rPr>
          <w:rFonts w:ascii="Times New Roman" w:hAnsi="Times New Roman"/>
        </w:rPr>
        <w:t>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027F62" w14:paraId="46F92D7E" w14:textId="4BBB1093">
      <w:pPr>
        <w:rPr>
          <w:rFonts w:ascii="Times New Roman" w:hAnsi="Times New Roman"/>
          <w:szCs w:val="24"/>
        </w:rPr>
      </w:pPr>
      <w:r>
        <w:rPr>
          <w:rFonts w:ascii="Times New Roman" w:hAnsi="Times New Roman"/>
          <w:szCs w:val="24"/>
        </w:rPr>
        <w:br w:type="page"/>
      </w:r>
    </w:p>
    <w:p w:rsidR="00B81EAB" w:rsidRPr="00EF7FF5" w:rsidP="00027F62" w14:paraId="6277B18A" w14:textId="05D69BDE">
      <w:pPr>
        <w:tabs>
          <w:tab w:val="left" w:pos="-720"/>
        </w:tabs>
        <w:suppressAutoHyphens/>
        <w:rPr>
          <w:rFonts w:ascii="Times New Roman" w:hAnsi="Times New Roman"/>
          <w:szCs w:val="24"/>
        </w:rPr>
      </w:pPr>
    </w:p>
    <w:sectPr w:rsidSect="00E0729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0178" w14:paraId="6A6B25AE" w14:textId="77777777">
      <w:pPr>
        <w:spacing w:line="20" w:lineRule="exact"/>
      </w:pPr>
    </w:p>
  </w:endnote>
  <w:endnote w:type="continuationSeparator" w:id="1">
    <w:p w:rsidR="00A00178" w14:paraId="05784BE1" w14:textId="77777777">
      <w:r>
        <w:t xml:space="preserve"> </w:t>
      </w:r>
    </w:p>
  </w:endnote>
  <w:endnote w:type="continuationNotice" w:id="2">
    <w:p w:rsidR="00A00178" w14:paraId="6C8F29B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33F" w14:paraId="69A37B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46B9745C">
                          <w:pPr>
                            <w:tabs>
                              <w:tab w:val="center" w:pos="4650"/>
                            </w:tabs>
                            <w:suppressAutoHyphens/>
                            <w:jc w:val="both"/>
                          </w:pPr>
                          <w:r>
                            <w:tab/>
                          </w:r>
                          <w:r w:rsidR="00095AA3">
                            <w:fldChar w:fldCharType="begin"/>
                          </w:r>
                          <w:r w:rsidR="00095AA3">
                            <w:instrText>page \* arabic</w:instrText>
                          </w:r>
                          <w:r w:rsidR="00095AA3">
                            <w:fldChar w:fldCharType="separate"/>
                          </w:r>
                          <w:r w:rsidR="00422526">
                            <w:rPr>
                              <w:noProof/>
                            </w:rPr>
                            <w:t>15</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46B9745C">
                    <w:pPr>
                      <w:tabs>
                        <w:tab w:val="center" w:pos="4650"/>
                      </w:tabs>
                      <w:suppressAutoHyphens/>
                      <w:jc w:val="both"/>
                    </w:pPr>
                    <w:r>
                      <w:tab/>
                    </w:r>
                    <w:r w:rsidR="00095AA3">
                      <w:fldChar w:fldCharType="begin"/>
                    </w:r>
                    <w:r w:rsidR="00095AA3">
                      <w:instrText>page \* arabic</w:instrText>
                    </w:r>
                    <w:r w:rsidR="00095AA3">
                      <w:fldChar w:fldCharType="separate"/>
                    </w:r>
                    <w:r w:rsidR="00422526">
                      <w:rPr>
                        <w:noProof/>
                      </w:rPr>
                      <w:t>15</w:t>
                    </w:r>
                    <w:r w:rsidR="00095AA3">
                      <w:rPr>
                        <w:noProof/>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33F" w14:paraId="4A9384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0178" w14:paraId="09528BA0" w14:textId="77777777">
      <w:r>
        <w:separator/>
      </w:r>
    </w:p>
  </w:footnote>
  <w:footnote w:type="continuationSeparator" w:id="1">
    <w:p w:rsidR="00A00178" w14:paraId="5EA1A37E"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33F" w14:paraId="0404E9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8F733F" w:rsidP="008F733F" w14:paraId="477A66BB" w14:textId="3260E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733F" w14:paraId="2C7C27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1465882">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941140911">
    <w:abstractNumId w:val="9"/>
  </w:num>
  <w:num w:numId="3" w16cid:durableId="1924530909">
    <w:abstractNumId w:val="6"/>
  </w:num>
  <w:num w:numId="4" w16cid:durableId="223831065">
    <w:abstractNumId w:val="15"/>
  </w:num>
  <w:num w:numId="5" w16cid:durableId="1847478292">
    <w:abstractNumId w:val="1"/>
  </w:num>
  <w:num w:numId="6" w16cid:durableId="918518614">
    <w:abstractNumId w:val="3"/>
  </w:num>
  <w:num w:numId="7" w16cid:durableId="1592395788">
    <w:abstractNumId w:val="11"/>
  </w:num>
  <w:num w:numId="8" w16cid:durableId="1487547571">
    <w:abstractNumId w:val="10"/>
  </w:num>
  <w:num w:numId="9" w16cid:durableId="651563099">
    <w:abstractNumId w:val="13"/>
  </w:num>
  <w:num w:numId="10" w16cid:durableId="75134185">
    <w:abstractNumId w:val="17"/>
  </w:num>
  <w:num w:numId="11" w16cid:durableId="1180318347">
    <w:abstractNumId w:val="7"/>
  </w:num>
  <w:num w:numId="12" w16cid:durableId="1728995978">
    <w:abstractNumId w:val="14"/>
  </w:num>
  <w:num w:numId="13" w16cid:durableId="1951861971">
    <w:abstractNumId w:val="5"/>
  </w:num>
  <w:num w:numId="14" w16cid:durableId="2015451580">
    <w:abstractNumId w:val="4"/>
  </w:num>
  <w:num w:numId="15" w16cid:durableId="2045053109">
    <w:abstractNumId w:val="8"/>
  </w:num>
  <w:num w:numId="16" w16cid:durableId="1755592478">
    <w:abstractNumId w:val="16"/>
  </w:num>
  <w:num w:numId="17" w16cid:durableId="1424641393">
    <w:abstractNumId w:val="18"/>
  </w:num>
  <w:num w:numId="18" w16cid:durableId="709840469">
    <w:abstractNumId w:val="12"/>
  </w:num>
  <w:num w:numId="19" w16cid:durableId="23327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27F62"/>
    <w:rsid w:val="00050CBE"/>
    <w:rsid w:val="00053043"/>
    <w:rsid w:val="000909E0"/>
    <w:rsid w:val="00095AA3"/>
    <w:rsid w:val="00095CDC"/>
    <w:rsid w:val="000B14D8"/>
    <w:rsid w:val="000B3DEB"/>
    <w:rsid w:val="000E592D"/>
    <w:rsid w:val="000F175B"/>
    <w:rsid w:val="001172C5"/>
    <w:rsid w:val="0014500F"/>
    <w:rsid w:val="00152287"/>
    <w:rsid w:val="00153F20"/>
    <w:rsid w:val="001743A5"/>
    <w:rsid w:val="0018279C"/>
    <w:rsid w:val="001839A4"/>
    <w:rsid w:val="00184F57"/>
    <w:rsid w:val="0019742E"/>
    <w:rsid w:val="001D7524"/>
    <w:rsid w:val="001E634F"/>
    <w:rsid w:val="001F54C1"/>
    <w:rsid w:val="002130F6"/>
    <w:rsid w:val="00232212"/>
    <w:rsid w:val="00237C58"/>
    <w:rsid w:val="0024181C"/>
    <w:rsid w:val="0024403C"/>
    <w:rsid w:val="002473CE"/>
    <w:rsid w:val="00260B5F"/>
    <w:rsid w:val="0027077A"/>
    <w:rsid w:val="00271C21"/>
    <w:rsid w:val="0027712F"/>
    <w:rsid w:val="002819D8"/>
    <w:rsid w:val="00287BEA"/>
    <w:rsid w:val="00294CFE"/>
    <w:rsid w:val="00297C42"/>
    <w:rsid w:val="00297C5E"/>
    <w:rsid w:val="002B0412"/>
    <w:rsid w:val="002B0A95"/>
    <w:rsid w:val="002B1C9B"/>
    <w:rsid w:val="00311AA2"/>
    <w:rsid w:val="0032493C"/>
    <w:rsid w:val="00326C47"/>
    <w:rsid w:val="00335AF9"/>
    <w:rsid w:val="00344D9C"/>
    <w:rsid w:val="0035309F"/>
    <w:rsid w:val="00382804"/>
    <w:rsid w:val="00386054"/>
    <w:rsid w:val="0039757D"/>
    <w:rsid w:val="003A41F4"/>
    <w:rsid w:val="003B3FFA"/>
    <w:rsid w:val="003C29C2"/>
    <w:rsid w:val="003C7F70"/>
    <w:rsid w:val="003D3187"/>
    <w:rsid w:val="003D5D70"/>
    <w:rsid w:val="003E285A"/>
    <w:rsid w:val="003E3B05"/>
    <w:rsid w:val="0040774D"/>
    <w:rsid w:val="00422526"/>
    <w:rsid w:val="00425F9A"/>
    <w:rsid w:val="004312AA"/>
    <w:rsid w:val="00433146"/>
    <w:rsid w:val="00443178"/>
    <w:rsid w:val="004577EC"/>
    <w:rsid w:val="00484EA0"/>
    <w:rsid w:val="004A2DBB"/>
    <w:rsid w:val="004A2F21"/>
    <w:rsid w:val="004B090C"/>
    <w:rsid w:val="004E23D9"/>
    <w:rsid w:val="004F692A"/>
    <w:rsid w:val="004F78C6"/>
    <w:rsid w:val="00511091"/>
    <w:rsid w:val="00512598"/>
    <w:rsid w:val="00561272"/>
    <w:rsid w:val="00563CCF"/>
    <w:rsid w:val="00572524"/>
    <w:rsid w:val="0059392D"/>
    <w:rsid w:val="005A1566"/>
    <w:rsid w:val="005A1DFC"/>
    <w:rsid w:val="005A4185"/>
    <w:rsid w:val="005B14F9"/>
    <w:rsid w:val="005C2529"/>
    <w:rsid w:val="005D2B0F"/>
    <w:rsid w:val="005D2E7B"/>
    <w:rsid w:val="005D4609"/>
    <w:rsid w:val="005F5E88"/>
    <w:rsid w:val="00622ED0"/>
    <w:rsid w:val="00626BFD"/>
    <w:rsid w:val="006340E3"/>
    <w:rsid w:val="0063484C"/>
    <w:rsid w:val="00653F9A"/>
    <w:rsid w:val="00654305"/>
    <w:rsid w:val="00657299"/>
    <w:rsid w:val="006737C0"/>
    <w:rsid w:val="00677BC2"/>
    <w:rsid w:val="006960B2"/>
    <w:rsid w:val="006A3B5C"/>
    <w:rsid w:val="006A530B"/>
    <w:rsid w:val="006A7CA8"/>
    <w:rsid w:val="006B2A3E"/>
    <w:rsid w:val="006C01D0"/>
    <w:rsid w:val="006C6686"/>
    <w:rsid w:val="006E4747"/>
    <w:rsid w:val="006F2BFD"/>
    <w:rsid w:val="00747C54"/>
    <w:rsid w:val="00751216"/>
    <w:rsid w:val="00751AB3"/>
    <w:rsid w:val="00751AE8"/>
    <w:rsid w:val="007661D9"/>
    <w:rsid w:val="0077440A"/>
    <w:rsid w:val="00786680"/>
    <w:rsid w:val="007A6E6B"/>
    <w:rsid w:val="007B14E8"/>
    <w:rsid w:val="007C12B5"/>
    <w:rsid w:val="007D2DB5"/>
    <w:rsid w:val="007E6D44"/>
    <w:rsid w:val="007E77FA"/>
    <w:rsid w:val="007F4417"/>
    <w:rsid w:val="008011B6"/>
    <w:rsid w:val="0081784F"/>
    <w:rsid w:val="008211CF"/>
    <w:rsid w:val="00822C98"/>
    <w:rsid w:val="00823C86"/>
    <w:rsid w:val="0083061C"/>
    <w:rsid w:val="00831B18"/>
    <w:rsid w:val="00842A85"/>
    <w:rsid w:val="00850C4A"/>
    <w:rsid w:val="008552C9"/>
    <w:rsid w:val="00864453"/>
    <w:rsid w:val="008A348F"/>
    <w:rsid w:val="008A3D41"/>
    <w:rsid w:val="008F3062"/>
    <w:rsid w:val="008F733F"/>
    <w:rsid w:val="00905009"/>
    <w:rsid w:val="00913D44"/>
    <w:rsid w:val="009212F2"/>
    <w:rsid w:val="00921CB1"/>
    <w:rsid w:val="009275D0"/>
    <w:rsid w:val="009544A3"/>
    <w:rsid w:val="00985873"/>
    <w:rsid w:val="009949A8"/>
    <w:rsid w:val="009A1449"/>
    <w:rsid w:val="009F711A"/>
    <w:rsid w:val="00A00178"/>
    <w:rsid w:val="00A01331"/>
    <w:rsid w:val="00A22BD9"/>
    <w:rsid w:val="00A41F2C"/>
    <w:rsid w:val="00A5196C"/>
    <w:rsid w:val="00A82E61"/>
    <w:rsid w:val="00A87940"/>
    <w:rsid w:val="00A94CCB"/>
    <w:rsid w:val="00AA03C5"/>
    <w:rsid w:val="00AA5C59"/>
    <w:rsid w:val="00AA6D82"/>
    <w:rsid w:val="00AA7E38"/>
    <w:rsid w:val="00AB0D7D"/>
    <w:rsid w:val="00AC1FA8"/>
    <w:rsid w:val="00AC3176"/>
    <w:rsid w:val="00AE792F"/>
    <w:rsid w:val="00B1656C"/>
    <w:rsid w:val="00B16DB3"/>
    <w:rsid w:val="00B23EC0"/>
    <w:rsid w:val="00B413E9"/>
    <w:rsid w:val="00B81EAB"/>
    <w:rsid w:val="00B927B8"/>
    <w:rsid w:val="00BB63CD"/>
    <w:rsid w:val="00BB7BC0"/>
    <w:rsid w:val="00BC244F"/>
    <w:rsid w:val="00BD1325"/>
    <w:rsid w:val="00BD1E9D"/>
    <w:rsid w:val="00BF1E7E"/>
    <w:rsid w:val="00C25189"/>
    <w:rsid w:val="00C32E01"/>
    <w:rsid w:val="00C41A2A"/>
    <w:rsid w:val="00C4679F"/>
    <w:rsid w:val="00C641E9"/>
    <w:rsid w:val="00C723C2"/>
    <w:rsid w:val="00C84CFA"/>
    <w:rsid w:val="00CB0C21"/>
    <w:rsid w:val="00CC6F25"/>
    <w:rsid w:val="00CD40F8"/>
    <w:rsid w:val="00CE72AF"/>
    <w:rsid w:val="00D115BF"/>
    <w:rsid w:val="00D269C3"/>
    <w:rsid w:val="00D47479"/>
    <w:rsid w:val="00D52676"/>
    <w:rsid w:val="00D5290B"/>
    <w:rsid w:val="00D91910"/>
    <w:rsid w:val="00DB72AE"/>
    <w:rsid w:val="00DD2345"/>
    <w:rsid w:val="00DE7122"/>
    <w:rsid w:val="00DF5E68"/>
    <w:rsid w:val="00E023B7"/>
    <w:rsid w:val="00E03202"/>
    <w:rsid w:val="00E03EA0"/>
    <w:rsid w:val="00E07290"/>
    <w:rsid w:val="00E10433"/>
    <w:rsid w:val="00E141BC"/>
    <w:rsid w:val="00E15CE1"/>
    <w:rsid w:val="00E204FC"/>
    <w:rsid w:val="00E274C4"/>
    <w:rsid w:val="00E54EAB"/>
    <w:rsid w:val="00E7107B"/>
    <w:rsid w:val="00E809A4"/>
    <w:rsid w:val="00EA3C1F"/>
    <w:rsid w:val="00EA5328"/>
    <w:rsid w:val="00EB5166"/>
    <w:rsid w:val="00EC2CC4"/>
    <w:rsid w:val="00ED241A"/>
    <w:rsid w:val="00EE088E"/>
    <w:rsid w:val="00EF7FF5"/>
    <w:rsid w:val="00F10045"/>
    <w:rsid w:val="00F13131"/>
    <w:rsid w:val="00F30CEE"/>
    <w:rsid w:val="00F313DF"/>
    <w:rsid w:val="00F45FED"/>
    <w:rsid w:val="00F561B0"/>
    <w:rsid w:val="00F64EBF"/>
    <w:rsid w:val="00F77AF3"/>
    <w:rsid w:val="00F85AAD"/>
    <w:rsid w:val="00FA4F77"/>
    <w:rsid w:val="00FC0F8D"/>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40774D"/>
    <w:rPr>
      <w:rFonts w:ascii="Courier" w:hAnsi="Courier"/>
      <w:sz w:val="24"/>
      <w:szCs w:val="20"/>
    </w:rPr>
  </w:style>
  <w:style w:type="character" w:styleId="FollowedHyperlink">
    <w:name w:val="FollowedHyperlink"/>
    <w:basedOn w:val="DefaultParagraphFont"/>
    <w:uiPriority w:val="99"/>
    <w:semiHidden/>
    <w:unhideWhenUsed/>
    <w:rsid w:val="00AA6D82"/>
    <w:rPr>
      <w:color w:val="800080" w:themeColor="followedHyperlink"/>
      <w:u w:val="single"/>
    </w:rPr>
  </w:style>
  <w:style w:type="character" w:styleId="UnresolvedMention">
    <w:name w:val="Unresolved Mention"/>
    <w:basedOn w:val="DefaultParagraphFont"/>
    <w:uiPriority w:val="99"/>
    <w:semiHidden/>
    <w:unhideWhenUsed/>
    <w:rsid w:val="00821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93FA3-D517-480D-BADD-694DC42F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5489</Words>
  <Characters>31272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Douglas, Chantal D</cp:lastModifiedBy>
  <cp:revision>2</cp:revision>
  <cp:lastPrinted>2023-06-07T14:21:00Z</cp:lastPrinted>
  <dcterms:created xsi:type="dcterms:W3CDTF">2023-09-27T14:08:00Z</dcterms:created>
  <dcterms:modified xsi:type="dcterms:W3CDTF">2023-09-27T14:08:00Z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d8c8de15-7854-459e-a30b-19e72ccc8e36</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2023-04-13T17:46:30Z</vt:lpwstr>
  </property>
  <property fmtid="{D5CDD505-2E9C-101B-9397-08002B2CF9AE}" pid="8" name="MSIP_Label_1665d9ee-429a-4d5f-97cc-cfb56e044a6e_SiteId">
    <vt:lpwstr>66cf5074-5afe-48d1-a691-a12b2121f44b</vt:lpwstr>
  </property>
</Properties>
</file>