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D2D" w:rsidP="00E01404" w14:paraId="2FB9423E" w14:textId="05D7430E">
      <w:pPr>
        <w:widowControl/>
        <w:jc w:val="center"/>
        <w:rPr>
          <w:b/>
          <w:sz w:val="22"/>
          <w:szCs w:val="22"/>
        </w:rPr>
      </w:pPr>
      <w:r>
        <w:rPr>
          <w:b/>
          <w:sz w:val="22"/>
          <w:szCs w:val="22"/>
        </w:rPr>
        <w:t>D</w:t>
      </w:r>
      <w:r w:rsidRPr="00B743A7">
        <w:rPr>
          <w:b/>
          <w:sz w:val="22"/>
          <w:szCs w:val="22"/>
        </w:rPr>
        <w:t>EPARTMENT OF THE TREASURY</w:t>
      </w:r>
      <w:r w:rsidR="0025133D">
        <w:rPr>
          <w:b/>
          <w:sz w:val="22"/>
          <w:szCs w:val="22"/>
        </w:rPr>
        <w:t xml:space="preserve"> </w:t>
      </w:r>
    </w:p>
    <w:p w:rsidR="0025133D" w:rsidP="00E01404" w14:paraId="712F15F8" w14:textId="77777777">
      <w:pPr>
        <w:widowControl/>
        <w:jc w:val="center"/>
        <w:rPr>
          <w:b/>
          <w:sz w:val="22"/>
          <w:szCs w:val="22"/>
        </w:rPr>
      </w:pPr>
    </w:p>
    <w:p w:rsidR="00533D2D" w:rsidRPr="00B743A7" w:rsidP="00E01404" w14:paraId="366AB5F1" w14:textId="77777777">
      <w:pPr>
        <w:widowControl/>
        <w:jc w:val="center"/>
        <w:rPr>
          <w:b/>
          <w:sz w:val="22"/>
          <w:szCs w:val="22"/>
        </w:rPr>
      </w:pPr>
      <w:r w:rsidRPr="00B743A7">
        <w:rPr>
          <w:b/>
          <w:sz w:val="22"/>
          <w:szCs w:val="22"/>
        </w:rPr>
        <w:t>ALCOHOL AND TOBACCO TAX AND TRADE BUREAU</w:t>
      </w:r>
      <w:r w:rsidR="0025133D">
        <w:rPr>
          <w:b/>
          <w:sz w:val="22"/>
          <w:szCs w:val="22"/>
        </w:rPr>
        <w:t xml:space="preserve"> </w:t>
      </w:r>
    </w:p>
    <w:p w:rsidR="00533D2D" w:rsidRPr="002A600B" w:rsidP="00E01404" w14:paraId="36D2B94A" w14:textId="77777777">
      <w:pPr>
        <w:widowControl/>
        <w:jc w:val="center"/>
        <w:rPr>
          <w:b/>
          <w:sz w:val="28"/>
          <w:szCs w:val="28"/>
        </w:rPr>
      </w:pPr>
    </w:p>
    <w:p w:rsidR="00533D2D" w:rsidP="00E01404" w14:paraId="4D1B2473" w14:textId="77777777">
      <w:pPr>
        <w:widowControl/>
        <w:jc w:val="center"/>
        <w:rPr>
          <w:b/>
          <w:sz w:val="22"/>
          <w:szCs w:val="22"/>
        </w:rPr>
      </w:pPr>
      <w:r>
        <w:rPr>
          <w:b/>
          <w:sz w:val="22"/>
          <w:szCs w:val="22"/>
        </w:rPr>
        <w:t>Supporting Statement —</w:t>
      </w:r>
      <w:r w:rsidRPr="00B743A7">
        <w:rPr>
          <w:b/>
          <w:sz w:val="22"/>
          <w:szCs w:val="22"/>
        </w:rPr>
        <w:t xml:space="preserve"> Information Collection </w:t>
      </w:r>
      <w:r w:rsidR="00B743A7">
        <w:rPr>
          <w:b/>
          <w:sz w:val="22"/>
          <w:szCs w:val="22"/>
        </w:rPr>
        <w:t>Request</w:t>
      </w:r>
      <w:r>
        <w:rPr>
          <w:b/>
          <w:sz w:val="22"/>
          <w:szCs w:val="22"/>
        </w:rPr>
        <w:t xml:space="preserve"> </w:t>
      </w:r>
    </w:p>
    <w:p w:rsidR="00B743A7" w:rsidRPr="002A600B" w:rsidP="00E01404" w14:paraId="25521E14" w14:textId="77777777">
      <w:pPr>
        <w:widowControl/>
        <w:jc w:val="center"/>
        <w:rPr>
          <w:b/>
          <w:sz w:val="28"/>
          <w:szCs w:val="28"/>
        </w:rPr>
      </w:pPr>
    </w:p>
    <w:p w:rsidR="00533D2D" w:rsidP="00E01404" w14:paraId="5A58B7FC" w14:textId="79E6FF78">
      <w:pPr>
        <w:widowControl/>
        <w:jc w:val="center"/>
        <w:rPr>
          <w:b/>
          <w:sz w:val="22"/>
          <w:szCs w:val="22"/>
          <w:u w:val="single"/>
        </w:rPr>
      </w:pPr>
      <w:r w:rsidRPr="002A600B">
        <w:rPr>
          <w:b/>
          <w:sz w:val="22"/>
          <w:szCs w:val="22"/>
          <w:u w:val="single"/>
        </w:rPr>
        <w:t xml:space="preserve">OMB Control Number </w:t>
      </w:r>
      <w:r w:rsidRPr="002A600B" w:rsidR="0025133D">
        <w:rPr>
          <w:b/>
          <w:sz w:val="22"/>
          <w:szCs w:val="22"/>
          <w:u w:val="single"/>
        </w:rPr>
        <w:t>1513–</w:t>
      </w:r>
      <w:r w:rsidR="00E10B01">
        <w:rPr>
          <w:b/>
          <w:sz w:val="22"/>
          <w:szCs w:val="22"/>
          <w:u w:val="single"/>
        </w:rPr>
        <w:t>NEW</w:t>
      </w:r>
      <w:r w:rsidRPr="002A600B" w:rsidR="0025133D">
        <w:rPr>
          <w:b/>
          <w:sz w:val="22"/>
          <w:szCs w:val="22"/>
          <w:u w:val="single"/>
        </w:rPr>
        <w:t xml:space="preserve"> </w:t>
      </w:r>
    </w:p>
    <w:p w:rsidR="002A600B" w:rsidRPr="002A600B" w:rsidP="00E01404" w14:paraId="2FEC665B" w14:textId="77777777">
      <w:pPr>
        <w:widowControl/>
        <w:jc w:val="center"/>
        <w:rPr>
          <w:b/>
          <w:sz w:val="28"/>
          <w:szCs w:val="28"/>
          <w:u w:val="single"/>
        </w:rPr>
      </w:pPr>
    </w:p>
    <w:p w:rsidR="002107F9" w:rsidRPr="002A600B" w:rsidP="002A600B" w14:paraId="1ADC44C4" w14:textId="4E4F3193">
      <w:pPr>
        <w:widowControl/>
        <w:suppressAutoHyphens/>
        <w:jc w:val="center"/>
        <w:rPr>
          <w:b/>
          <w:sz w:val="22"/>
          <w:szCs w:val="22"/>
        </w:rPr>
      </w:pPr>
      <w:r w:rsidRPr="00645E4B">
        <w:rPr>
          <w:b/>
          <w:sz w:val="22"/>
          <w:szCs w:val="22"/>
        </w:rPr>
        <w:t>Combined Alcohol Excise Tax Return</w:t>
      </w:r>
      <w:r>
        <w:rPr>
          <w:b/>
          <w:sz w:val="22"/>
          <w:szCs w:val="22"/>
        </w:rPr>
        <w:t>s</w:t>
      </w:r>
      <w:r w:rsidRPr="00645E4B">
        <w:rPr>
          <w:b/>
          <w:sz w:val="22"/>
          <w:szCs w:val="22"/>
        </w:rPr>
        <w:t xml:space="preserve"> and Operations Report</w:t>
      </w:r>
      <w:r>
        <w:rPr>
          <w:b/>
          <w:sz w:val="22"/>
          <w:szCs w:val="22"/>
        </w:rPr>
        <w:t>s</w:t>
      </w:r>
      <w:r w:rsidRPr="00645E4B">
        <w:rPr>
          <w:b/>
          <w:sz w:val="22"/>
          <w:szCs w:val="22"/>
        </w:rPr>
        <w:t xml:space="preserve">—Pilot Test </w:t>
      </w:r>
    </w:p>
    <w:p w:rsidR="00E10B01" w:rsidRPr="00BF3FEA" w:rsidP="00E01404" w14:paraId="7B890F5D" w14:textId="77777777">
      <w:pPr>
        <w:widowControl/>
        <w:rPr>
          <w:sz w:val="28"/>
          <w:szCs w:val="28"/>
        </w:rPr>
      </w:pPr>
    </w:p>
    <w:p w:rsidR="000759D5" w:rsidRPr="000759D5" w:rsidP="000759D5" w14:paraId="390976EB" w14:textId="77777777">
      <w:pPr>
        <w:widowControl/>
        <w:autoSpaceDE/>
        <w:autoSpaceDN/>
        <w:adjustRightInd/>
        <w:rPr>
          <w:b/>
          <w:sz w:val="22"/>
          <w:szCs w:val="22"/>
          <w:u w:val="single"/>
        </w:rPr>
      </w:pPr>
      <w:r w:rsidRPr="000759D5">
        <w:rPr>
          <w:b/>
          <w:sz w:val="22"/>
          <w:szCs w:val="22"/>
          <w:u w:val="single"/>
        </w:rPr>
        <w:t xml:space="preserve">Changes Since Last Approval </w:t>
      </w:r>
    </w:p>
    <w:p w:rsidR="000759D5" w:rsidRPr="000759D5" w:rsidP="000759D5" w14:paraId="3B23ECBD" w14:textId="77777777">
      <w:pPr>
        <w:widowControl/>
        <w:autoSpaceDE/>
        <w:autoSpaceDN/>
        <w:adjustRightInd/>
        <w:rPr>
          <w:sz w:val="22"/>
          <w:szCs w:val="22"/>
        </w:rPr>
      </w:pPr>
    </w:p>
    <w:p w:rsidR="000759D5" w:rsidP="00E10B01" w14:paraId="0FCDC3F1" w14:textId="5C18067D">
      <w:pPr>
        <w:widowControl/>
        <w:autoSpaceDE/>
        <w:autoSpaceDN/>
        <w:adjustRightInd/>
        <w:spacing w:after="120"/>
        <w:ind w:left="360"/>
        <w:rPr>
          <w:sz w:val="22"/>
          <w:szCs w:val="22"/>
        </w:rPr>
      </w:pPr>
      <w:r>
        <w:rPr>
          <w:sz w:val="22"/>
          <w:szCs w:val="22"/>
        </w:rPr>
        <w:t>This is a new information collect request</w:t>
      </w:r>
      <w:r w:rsidR="00E10B01">
        <w:rPr>
          <w:sz w:val="22"/>
          <w:szCs w:val="22"/>
        </w:rPr>
        <w:t xml:space="preserve"> and, </w:t>
      </w:r>
      <w:r>
        <w:rPr>
          <w:sz w:val="22"/>
          <w:szCs w:val="22"/>
        </w:rPr>
        <w:t xml:space="preserve">as such, </w:t>
      </w:r>
      <w:r w:rsidR="00E10B01">
        <w:rPr>
          <w:sz w:val="22"/>
          <w:szCs w:val="22"/>
        </w:rPr>
        <w:t>it has n</w:t>
      </w:r>
      <w:r>
        <w:rPr>
          <w:sz w:val="22"/>
          <w:szCs w:val="22"/>
        </w:rPr>
        <w:t>o previous approval</w:t>
      </w:r>
      <w:r w:rsidR="00E10B01">
        <w:rPr>
          <w:sz w:val="22"/>
          <w:szCs w:val="22"/>
        </w:rPr>
        <w:t xml:space="preserve">. </w:t>
      </w:r>
    </w:p>
    <w:p w:rsidR="00E10B01" w:rsidRPr="00E10B01" w:rsidP="00E01404" w14:paraId="6A59BA64" w14:textId="77777777">
      <w:pPr>
        <w:widowControl/>
        <w:rPr>
          <w:sz w:val="28"/>
          <w:szCs w:val="28"/>
        </w:rPr>
      </w:pPr>
    </w:p>
    <w:p w:rsidR="00533D2D" w:rsidRPr="00B743A7" w:rsidP="00E01404" w14:paraId="24E54964" w14:textId="77777777">
      <w:pPr>
        <w:widowControl/>
        <w:numPr>
          <w:ilvl w:val="0"/>
          <w:numId w:val="1"/>
        </w:numPr>
        <w:tabs>
          <w:tab w:val="left" w:pos="540"/>
        </w:tabs>
        <w:ind w:left="540" w:hanging="540"/>
        <w:rPr>
          <w:b/>
          <w:sz w:val="22"/>
          <w:szCs w:val="22"/>
          <w:u w:val="single"/>
        </w:rPr>
      </w:pPr>
      <w:r w:rsidRPr="00B743A7">
        <w:rPr>
          <w:b/>
          <w:sz w:val="22"/>
          <w:szCs w:val="22"/>
          <w:u w:val="single"/>
        </w:rPr>
        <w:t xml:space="preserve">Justification </w:t>
      </w:r>
    </w:p>
    <w:p w:rsidR="00533D2D" w:rsidRPr="00645E4B" w:rsidP="00E01404" w14:paraId="0B3D4332" w14:textId="77777777">
      <w:pPr>
        <w:widowControl/>
        <w:tabs>
          <w:tab w:val="left" w:pos="540"/>
        </w:tabs>
        <w:ind w:left="540" w:hanging="540"/>
        <w:rPr>
          <w:sz w:val="24"/>
          <w:szCs w:val="24"/>
          <w:u w:val="single"/>
        </w:rPr>
      </w:pPr>
    </w:p>
    <w:p w:rsidR="00B743A7" w:rsidRPr="007A5D4B" w:rsidP="00E01404" w14:paraId="48477BAD" w14:textId="77777777">
      <w:pPr>
        <w:widowControl/>
        <w:tabs>
          <w:tab w:val="left" w:pos="360"/>
        </w:tabs>
        <w:suppressAutoHyphens/>
        <w:rPr>
          <w:i/>
          <w:sz w:val="22"/>
          <w:szCs w:val="22"/>
        </w:rPr>
      </w:pPr>
      <w:r w:rsidRPr="007A5D4B">
        <w:rPr>
          <w:i/>
          <w:sz w:val="22"/>
          <w:szCs w:val="22"/>
        </w:rPr>
        <w:t>1.  What are the circumstances that make this collection of information necessary, and what legal or administrative require</w:t>
      </w:r>
      <w:r w:rsidRPr="007A5D4B">
        <w:rPr>
          <w:i/>
          <w:sz w:val="22"/>
          <w:szCs w:val="22"/>
        </w:rPr>
        <w:t xml:space="preserve">ments necessitate the collection?  Also align the information collection to TTB’s Line of Business/Sub-function and IT Investment, if one is used. </w:t>
      </w:r>
    </w:p>
    <w:p w:rsidR="00533D2D" w:rsidP="00E01404" w14:paraId="7960839F" w14:textId="77777777">
      <w:pPr>
        <w:widowControl/>
        <w:ind w:left="360"/>
        <w:rPr>
          <w:sz w:val="22"/>
          <w:szCs w:val="22"/>
        </w:rPr>
      </w:pPr>
    </w:p>
    <w:p w:rsidR="002A10C5" w:rsidRPr="002A10C5" w:rsidP="00E01404" w14:paraId="06A65A8F" w14:textId="6A9E6A08">
      <w:pPr>
        <w:widowControl/>
        <w:ind w:left="360"/>
        <w:rPr>
          <w:sz w:val="22"/>
          <w:szCs w:val="22"/>
        </w:rPr>
      </w:pPr>
      <w:r w:rsidRPr="002A10C5">
        <w:rPr>
          <w:sz w:val="22"/>
          <w:szCs w:val="22"/>
        </w:rPr>
        <w:t>The Alcohol and Tobacco Tax and Trade Bureau (TTB) administers chapter 51 (distilled spirits, wine</w:t>
      </w:r>
      <w:r w:rsidR="00BF3FEA">
        <w:rPr>
          <w:sz w:val="22"/>
          <w:szCs w:val="22"/>
        </w:rPr>
        <w:t>,</w:t>
      </w:r>
      <w:r w:rsidRPr="002A10C5">
        <w:rPr>
          <w:sz w:val="22"/>
          <w:szCs w:val="22"/>
        </w:rPr>
        <w:t xml:space="preserve"> and beer), chapter 52 (tobacco products</w:t>
      </w:r>
      <w:r w:rsidR="002A600B">
        <w:rPr>
          <w:sz w:val="22"/>
          <w:szCs w:val="22"/>
        </w:rPr>
        <w:t>, processed tobacco,</w:t>
      </w:r>
      <w:r w:rsidRPr="002A10C5">
        <w:rPr>
          <w:sz w:val="22"/>
          <w:szCs w:val="22"/>
        </w:rPr>
        <w:t xml:space="preserve"> and cigarette papers and tubes), and sections 4181–4182 (firearms and ammunition excise taxes) of the Internal Revenue Code of 1986, as amended, (IRC, 26 U.S.C.)</w:t>
      </w:r>
      <w:r w:rsidR="00BF3FEA">
        <w:rPr>
          <w:sz w:val="22"/>
          <w:szCs w:val="22"/>
        </w:rPr>
        <w:t>.  TTB administers those statutes</w:t>
      </w:r>
      <w:r w:rsidRPr="002A10C5">
        <w:rPr>
          <w:sz w:val="22"/>
          <w:szCs w:val="22"/>
        </w:rPr>
        <w:t xml:space="preserve"> </w:t>
      </w:r>
      <w:r w:rsidRPr="002A10C5">
        <w:rPr>
          <w:sz w:val="22"/>
          <w:szCs w:val="22"/>
        </w:rPr>
        <w:t>pursuant to section 1111(d) of the Homeland Securit</w:t>
      </w:r>
      <w:r w:rsidR="00325AB0">
        <w:rPr>
          <w:sz w:val="22"/>
          <w:szCs w:val="22"/>
        </w:rPr>
        <w:t>y Act of 2002, as codified at 6 </w:t>
      </w:r>
      <w:r w:rsidRPr="002A10C5">
        <w:rPr>
          <w:sz w:val="22"/>
          <w:szCs w:val="22"/>
        </w:rPr>
        <w:t xml:space="preserve">U.S.C. 531(d).  In addition, the Secretary of the Treasury </w:t>
      </w:r>
      <w:r w:rsidR="002A600B">
        <w:rPr>
          <w:sz w:val="22"/>
          <w:szCs w:val="22"/>
        </w:rPr>
        <w:t xml:space="preserve">(the Secretary) </w:t>
      </w:r>
      <w:r w:rsidRPr="002A10C5">
        <w:rPr>
          <w:sz w:val="22"/>
          <w:szCs w:val="22"/>
        </w:rPr>
        <w:t>has delegated certain IRC administrative and enforcement authorities to TTB through Treasury Depar</w:t>
      </w:r>
      <w:r w:rsidRPr="002A10C5">
        <w:rPr>
          <w:sz w:val="22"/>
          <w:szCs w:val="22"/>
        </w:rPr>
        <w:t xml:space="preserve">tment Order 120–01. </w:t>
      </w:r>
    </w:p>
    <w:p w:rsidR="00A81C18" w:rsidRPr="002A10C5" w:rsidP="00E01404" w14:paraId="36ECD3BA" w14:textId="77777777">
      <w:pPr>
        <w:widowControl/>
        <w:ind w:left="360"/>
        <w:rPr>
          <w:sz w:val="22"/>
          <w:szCs w:val="22"/>
        </w:rPr>
      </w:pPr>
    </w:p>
    <w:p w:rsidR="00BF3FEA" w:rsidRPr="00BF3FEA" w:rsidP="00065515" w14:paraId="6E252174" w14:textId="0CFEF2A3">
      <w:pPr>
        <w:widowControl/>
        <w:ind w:left="360"/>
        <w:rPr>
          <w:sz w:val="22"/>
          <w:szCs w:val="22"/>
        </w:rPr>
      </w:pPr>
      <w:r>
        <w:rPr>
          <w:sz w:val="22"/>
          <w:szCs w:val="22"/>
        </w:rPr>
        <w:t xml:space="preserve">Chapter 51 </w:t>
      </w:r>
      <w:r w:rsidR="00645E4B">
        <w:rPr>
          <w:sz w:val="22"/>
          <w:szCs w:val="22"/>
        </w:rPr>
        <w:t>o</w:t>
      </w:r>
      <w:r>
        <w:rPr>
          <w:sz w:val="22"/>
          <w:szCs w:val="22"/>
        </w:rPr>
        <w:t>f the IRC</w:t>
      </w:r>
      <w:r w:rsidR="00704D3D">
        <w:rPr>
          <w:sz w:val="22"/>
          <w:szCs w:val="22"/>
        </w:rPr>
        <w:t xml:space="preserve"> (26 U.S.C.) impose</w:t>
      </w:r>
      <w:r w:rsidR="00645E4B">
        <w:rPr>
          <w:sz w:val="22"/>
          <w:szCs w:val="22"/>
        </w:rPr>
        <w:t>s</w:t>
      </w:r>
      <w:r w:rsidR="00704D3D">
        <w:rPr>
          <w:sz w:val="22"/>
          <w:szCs w:val="22"/>
        </w:rPr>
        <w:t xml:space="preserve"> Federal excise taxes on alcohol products</w:t>
      </w:r>
      <w:r w:rsidR="00645E4B">
        <w:rPr>
          <w:sz w:val="22"/>
          <w:szCs w:val="22"/>
        </w:rPr>
        <w:t xml:space="preserve">, requires collection of those taxes via a return, and </w:t>
      </w:r>
      <w:r w:rsidR="000759D5">
        <w:rPr>
          <w:sz w:val="22"/>
          <w:szCs w:val="22"/>
        </w:rPr>
        <w:t>mandates that a</w:t>
      </w:r>
      <w:r w:rsidR="00645E4B">
        <w:rPr>
          <w:sz w:val="22"/>
          <w:szCs w:val="22"/>
        </w:rPr>
        <w:t xml:space="preserve">lcohol producers file </w:t>
      </w:r>
      <w:r w:rsidR="000759D5">
        <w:rPr>
          <w:sz w:val="22"/>
          <w:szCs w:val="22"/>
        </w:rPr>
        <w:t xml:space="preserve">reports of operations, all as the Secretary </w:t>
      </w:r>
      <w:r w:rsidR="009C1449">
        <w:rPr>
          <w:sz w:val="22"/>
          <w:szCs w:val="22"/>
        </w:rPr>
        <w:t xml:space="preserve">prescribes </w:t>
      </w:r>
      <w:r w:rsidR="000759D5">
        <w:rPr>
          <w:sz w:val="22"/>
          <w:szCs w:val="22"/>
        </w:rPr>
        <w:t>by regulation.  Specifically, IRC sections 5001, 5041, and 5051</w:t>
      </w:r>
      <w:r w:rsidR="009C1449">
        <w:rPr>
          <w:sz w:val="22"/>
          <w:szCs w:val="22"/>
        </w:rPr>
        <w:t xml:space="preserve"> </w:t>
      </w:r>
      <w:r w:rsidR="000759D5">
        <w:rPr>
          <w:sz w:val="22"/>
          <w:szCs w:val="22"/>
        </w:rPr>
        <w:t>impose excise taxes on distilled spirits, wine, and beer</w:t>
      </w:r>
      <w:r w:rsidR="009C1449">
        <w:rPr>
          <w:sz w:val="22"/>
          <w:szCs w:val="22"/>
        </w:rPr>
        <w:t xml:space="preserve">, respectively. </w:t>
      </w:r>
      <w:r w:rsidR="000759D5">
        <w:rPr>
          <w:sz w:val="22"/>
          <w:szCs w:val="22"/>
        </w:rPr>
        <w:t xml:space="preserve"> IRC </w:t>
      </w:r>
      <w:r w:rsidR="00065515">
        <w:rPr>
          <w:sz w:val="22"/>
          <w:szCs w:val="22"/>
        </w:rPr>
        <w:t xml:space="preserve">section 5061(a) </w:t>
      </w:r>
      <w:r w:rsidR="00855F18">
        <w:rPr>
          <w:sz w:val="22"/>
          <w:szCs w:val="22"/>
        </w:rPr>
        <w:t xml:space="preserve">requires </w:t>
      </w:r>
      <w:r w:rsidR="00CE40EA">
        <w:rPr>
          <w:sz w:val="22"/>
          <w:szCs w:val="22"/>
        </w:rPr>
        <w:t xml:space="preserve">collection of those taxes </w:t>
      </w:r>
      <w:r w:rsidR="00EE505C">
        <w:rPr>
          <w:sz w:val="22"/>
          <w:szCs w:val="22"/>
        </w:rPr>
        <w:t>on the basis of a return</w:t>
      </w:r>
      <w:r w:rsidR="00065515">
        <w:rPr>
          <w:sz w:val="22"/>
          <w:szCs w:val="22"/>
        </w:rPr>
        <w:t xml:space="preserve">, </w:t>
      </w:r>
      <w:r w:rsidR="000759D5">
        <w:rPr>
          <w:sz w:val="22"/>
          <w:szCs w:val="22"/>
        </w:rPr>
        <w:t xml:space="preserve">while </w:t>
      </w:r>
      <w:r w:rsidR="00855F18">
        <w:rPr>
          <w:sz w:val="22"/>
          <w:szCs w:val="22"/>
        </w:rPr>
        <w:t xml:space="preserve">section </w:t>
      </w:r>
      <w:r w:rsidR="002B5317">
        <w:rPr>
          <w:sz w:val="22"/>
          <w:szCs w:val="22"/>
        </w:rPr>
        <w:t>5061(d)(1)</w:t>
      </w:r>
      <w:r w:rsidR="00EE505C">
        <w:rPr>
          <w:sz w:val="22"/>
          <w:szCs w:val="22"/>
        </w:rPr>
        <w:t xml:space="preserve"> </w:t>
      </w:r>
      <w:r w:rsidR="00E01404">
        <w:rPr>
          <w:sz w:val="22"/>
          <w:szCs w:val="22"/>
        </w:rPr>
        <w:t>require</w:t>
      </w:r>
      <w:r w:rsidR="001156D5">
        <w:rPr>
          <w:sz w:val="22"/>
          <w:szCs w:val="22"/>
        </w:rPr>
        <w:t>s</w:t>
      </w:r>
      <w:r w:rsidR="00E01404">
        <w:rPr>
          <w:sz w:val="22"/>
          <w:szCs w:val="22"/>
        </w:rPr>
        <w:t xml:space="preserve"> </w:t>
      </w:r>
      <w:r w:rsidR="009C1449">
        <w:rPr>
          <w:sz w:val="22"/>
          <w:szCs w:val="22"/>
        </w:rPr>
        <w:t xml:space="preserve">filing of tax returns and payment </w:t>
      </w:r>
      <w:r w:rsidR="00CE40EA">
        <w:rPr>
          <w:sz w:val="22"/>
          <w:szCs w:val="22"/>
        </w:rPr>
        <w:t>on</w:t>
      </w:r>
      <w:r w:rsidR="00E01404">
        <w:rPr>
          <w:sz w:val="22"/>
          <w:szCs w:val="22"/>
        </w:rPr>
        <w:t xml:space="preserve"> </w:t>
      </w:r>
      <w:r w:rsidR="002B5317">
        <w:rPr>
          <w:sz w:val="22"/>
          <w:szCs w:val="22"/>
        </w:rPr>
        <w:t>a semi-monthly basis</w:t>
      </w:r>
      <w:r w:rsidR="00E01404">
        <w:rPr>
          <w:sz w:val="22"/>
          <w:szCs w:val="22"/>
        </w:rPr>
        <w:t xml:space="preserve">, </w:t>
      </w:r>
      <w:r w:rsidR="00704D3D">
        <w:rPr>
          <w:sz w:val="22"/>
          <w:szCs w:val="22"/>
        </w:rPr>
        <w:t>except for September</w:t>
      </w:r>
      <w:r w:rsidR="00A22743">
        <w:rPr>
          <w:sz w:val="22"/>
          <w:szCs w:val="22"/>
        </w:rPr>
        <w:t>,</w:t>
      </w:r>
      <w:r w:rsidR="00704D3D">
        <w:rPr>
          <w:sz w:val="22"/>
          <w:szCs w:val="22"/>
        </w:rPr>
        <w:t xml:space="preserve"> which </w:t>
      </w:r>
      <w:r w:rsidR="00855F18">
        <w:rPr>
          <w:sz w:val="22"/>
          <w:szCs w:val="22"/>
        </w:rPr>
        <w:t xml:space="preserve">has </w:t>
      </w:r>
      <w:r w:rsidR="00704D3D">
        <w:rPr>
          <w:sz w:val="22"/>
          <w:szCs w:val="22"/>
        </w:rPr>
        <w:t>three filing and payment periods. However, u</w:t>
      </w:r>
      <w:r w:rsidRPr="002E00FC" w:rsidR="002B5317">
        <w:rPr>
          <w:sz w:val="22"/>
          <w:szCs w:val="22"/>
        </w:rPr>
        <w:t xml:space="preserve">nder </w:t>
      </w:r>
      <w:r w:rsidR="00065515">
        <w:rPr>
          <w:sz w:val="22"/>
          <w:szCs w:val="22"/>
        </w:rPr>
        <w:t xml:space="preserve">section </w:t>
      </w:r>
      <w:r w:rsidRPr="002E00FC" w:rsidR="002B5317">
        <w:rPr>
          <w:sz w:val="22"/>
          <w:szCs w:val="22"/>
        </w:rPr>
        <w:t xml:space="preserve">5061(d)(4), certain small alcohol excise taxpayers may pay tax and file returns on a quarterly </w:t>
      </w:r>
      <w:r w:rsidR="002A600B">
        <w:rPr>
          <w:sz w:val="22"/>
          <w:szCs w:val="22"/>
        </w:rPr>
        <w:t xml:space="preserve">or annual </w:t>
      </w:r>
      <w:r w:rsidRPr="002E00FC" w:rsidR="002B5317">
        <w:rPr>
          <w:sz w:val="22"/>
          <w:szCs w:val="22"/>
        </w:rPr>
        <w:t>basis</w:t>
      </w:r>
      <w:r w:rsidR="002B5317">
        <w:rPr>
          <w:sz w:val="22"/>
          <w:szCs w:val="22"/>
        </w:rPr>
        <w:t>.</w:t>
      </w:r>
      <w:r>
        <w:rPr>
          <w:rStyle w:val="FootnoteReference"/>
          <w:sz w:val="22"/>
          <w:szCs w:val="22"/>
        </w:rPr>
        <w:footnoteReference w:id="2"/>
      </w:r>
      <w:r w:rsidR="002A600B">
        <w:rPr>
          <w:sz w:val="22"/>
          <w:szCs w:val="22"/>
        </w:rPr>
        <w:t xml:space="preserve"> </w:t>
      </w:r>
      <w:r w:rsidR="00E10B01">
        <w:rPr>
          <w:sz w:val="22"/>
          <w:szCs w:val="22"/>
        </w:rPr>
        <w:t xml:space="preserve"> </w:t>
      </w:r>
      <w:r w:rsidRPr="00E10B01" w:rsidR="00E10B01">
        <w:rPr>
          <w:sz w:val="22"/>
          <w:szCs w:val="22"/>
        </w:rPr>
        <w:t>In addition, under the IRC at 26 U.S.C. 5207, 5367, and 5415</w:t>
      </w:r>
      <w:r w:rsidR="009C1449">
        <w:rPr>
          <w:sz w:val="22"/>
          <w:szCs w:val="22"/>
        </w:rPr>
        <w:t xml:space="preserve"> </w:t>
      </w:r>
      <w:r w:rsidRPr="00E10B01" w:rsidR="00E10B01">
        <w:rPr>
          <w:sz w:val="22"/>
          <w:szCs w:val="22"/>
        </w:rPr>
        <w:t>distilled spirits</w:t>
      </w:r>
      <w:r w:rsidR="009C1449">
        <w:rPr>
          <w:sz w:val="22"/>
          <w:szCs w:val="22"/>
        </w:rPr>
        <w:t xml:space="preserve"> plant (DSP) proprietors, wine premises operators, and brewers, respectively, </w:t>
      </w:r>
      <w:r w:rsidRPr="00E10B01" w:rsidR="00E10B01">
        <w:rPr>
          <w:sz w:val="22"/>
          <w:szCs w:val="22"/>
        </w:rPr>
        <w:t xml:space="preserve">must furnish </w:t>
      </w:r>
      <w:r w:rsidRPr="00BF3FEA" w:rsidR="00E10B01">
        <w:rPr>
          <w:sz w:val="22"/>
          <w:szCs w:val="22"/>
        </w:rPr>
        <w:t xml:space="preserve">reports of </w:t>
      </w:r>
      <w:r w:rsidR="009C1449">
        <w:rPr>
          <w:sz w:val="22"/>
          <w:szCs w:val="22"/>
        </w:rPr>
        <w:t xml:space="preserve">their </w:t>
      </w:r>
      <w:r w:rsidRPr="00BF3FEA" w:rsidR="00E10B01">
        <w:rPr>
          <w:sz w:val="22"/>
          <w:szCs w:val="22"/>
        </w:rPr>
        <w:t>operations and transactions</w:t>
      </w:r>
      <w:r w:rsidR="009C1449">
        <w:rPr>
          <w:sz w:val="22"/>
          <w:szCs w:val="22"/>
        </w:rPr>
        <w:t>.</w:t>
      </w:r>
      <w:r>
        <w:rPr>
          <w:rStyle w:val="FootnoteReference"/>
          <w:sz w:val="22"/>
          <w:szCs w:val="22"/>
        </w:rPr>
        <w:footnoteReference w:id="3"/>
      </w:r>
      <w:r w:rsidRPr="00BF3FEA" w:rsidR="00E10B01">
        <w:rPr>
          <w:sz w:val="22"/>
          <w:szCs w:val="22"/>
        </w:rPr>
        <w:t xml:space="preserve"> </w:t>
      </w:r>
      <w:r w:rsidRPr="00BF3FEA">
        <w:rPr>
          <w:sz w:val="22"/>
          <w:szCs w:val="22"/>
        </w:rPr>
        <w:t xml:space="preserve">  Finally, under 26 U.S.C. 5555, any person liable for tax under chapter 51 of the IRC must keep records, provide </w:t>
      </w:r>
      <w:r w:rsidR="009C1449">
        <w:rPr>
          <w:sz w:val="22"/>
          <w:szCs w:val="22"/>
        </w:rPr>
        <w:t xml:space="preserve">reports, </w:t>
      </w:r>
      <w:r w:rsidRPr="00BF3FEA">
        <w:rPr>
          <w:sz w:val="22"/>
          <w:szCs w:val="22"/>
        </w:rPr>
        <w:t xml:space="preserve">and make returns as prescribed by regulation. </w:t>
      </w:r>
    </w:p>
    <w:p w:rsidR="00BF3FEA" w:rsidRPr="00412645" w:rsidP="00065515" w14:paraId="7987380F" w14:textId="537E7F00">
      <w:pPr>
        <w:widowControl/>
        <w:ind w:left="360"/>
        <w:rPr>
          <w:sz w:val="22"/>
          <w:szCs w:val="22"/>
        </w:rPr>
      </w:pPr>
    </w:p>
    <w:p w:rsidR="00C23BB6" w:rsidP="00855327" w14:paraId="3CA40BA8" w14:textId="77777777">
      <w:pPr>
        <w:widowControl/>
        <w:ind w:left="360"/>
        <w:rPr>
          <w:sz w:val="22"/>
          <w:szCs w:val="22"/>
        </w:rPr>
      </w:pPr>
      <w:r w:rsidRPr="005C0194">
        <w:rPr>
          <w:sz w:val="22"/>
          <w:szCs w:val="22"/>
          <w:u w:val="single"/>
        </w:rPr>
        <w:t>Current TTB Regulatory Requirements:</w:t>
      </w:r>
      <w:r w:rsidRPr="005C0194">
        <w:rPr>
          <w:sz w:val="22"/>
          <w:szCs w:val="22"/>
        </w:rPr>
        <w:t xml:space="preserve">  </w:t>
      </w:r>
    </w:p>
    <w:p w:rsidR="00C23BB6" w:rsidP="00855327" w14:paraId="0AF64BE0" w14:textId="77777777">
      <w:pPr>
        <w:widowControl/>
        <w:ind w:left="360"/>
        <w:rPr>
          <w:sz w:val="22"/>
          <w:szCs w:val="22"/>
        </w:rPr>
      </w:pPr>
    </w:p>
    <w:p w:rsidR="00855327" w:rsidRPr="005C0194" w:rsidP="00855327" w14:paraId="1D1C5DDD" w14:textId="7C6006EA">
      <w:pPr>
        <w:widowControl/>
        <w:ind w:left="360"/>
        <w:rPr>
          <w:sz w:val="22"/>
          <w:szCs w:val="22"/>
        </w:rPr>
      </w:pPr>
      <w:r w:rsidRPr="005C0194">
        <w:rPr>
          <w:sz w:val="22"/>
          <w:szCs w:val="22"/>
        </w:rPr>
        <w:t>U</w:t>
      </w:r>
      <w:r w:rsidRPr="005C0194" w:rsidR="00645E4B">
        <w:rPr>
          <w:sz w:val="22"/>
          <w:szCs w:val="22"/>
        </w:rPr>
        <w:t>nder th</w:t>
      </w:r>
      <w:r w:rsidRPr="005C0194">
        <w:rPr>
          <w:sz w:val="22"/>
          <w:szCs w:val="22"/>
        </w:rPr>
        <w:t>e</w:t>
      </w:r>
      <w:r w:rsidRPr="005C0194" w:rsidR="00645E4B">
        <w:rPr>
          <w:sz w:val="22"/>
          <w:szCs w:val="22"/>
        </w:rPr>
        <w:t xml:space="preserve"> IRC authorities</w:t>
      </w:r>
      <w:r w:rsidRPr="005C0194">
        <w:rPr>
          <w:sz w:val="22"/>
          <w:szCs w:val="22"/>
        </w:rPr>
        <w:t xml:space="preserve"> noted above, the T</w:t>
      </w:r>
      <w:r w:rsidRPr="005C0194" w:rsidR="00645E4B">
        <w:rPr>
          <w:sz w:val="22"/>
          <w:szCs w:val="22"/>
        </w:rPr>
        <w:t>TB regulations in 27 CFR chapter</w:t>
      </w:r>
      <w:r w:rsidRPr="005C0194">
        <w:rPr>
          <w:sz w:val="22"/>
          <w:szCs w:val="22"/>
        </w:rPr>
        <w:t> </w:t>
      </w:r>
      <w:r w:rsidRPr="005C0194" w:rsidR="00645E4B">
        <w:rPr>
          <w:sz w:val="22"/>
          <w:szCs w:val="22"/>
        </w:rPr>
        <w:t xml:space="preserve">I require alcohol </w:t>
      </w:r>
      <w:r w:rsidR="00412645">
        <w:rPr>
          <w:sz w:val="22"/>
          <w:szCs w:val="22"/>
        </w:rPr>
        <w:t xml:space="preserve">and tobacco </w:t>
      </w:r>
      <w:r w:rsidRPr="005C0194" w:rsidR="00645E4B">
        <w:rPr>
          <w:sz w:val="22"/>
          <w:szCs w:val="22"/>
        </w:rPr>
        <w:t>excise taxpayers to report their excise tax liability using form TTB F</w:t>
      </w:r>
      <w:r w:rsidRPr="005C0194">
        <w:rPr>
          <w:sz w:val="22"/>
          <w:szCs w:val="22"/>
        </w:rPr>
        <w:t> </w:t>
      </w:r>
      <w:r w:rsidRPr="005C0194" w:rsidR="00645E4B">
        <w:rPr>
          <w:sz w:val="22"/>
          <w:szCs w:val="22"/>
        </w:rPr>
        <w:t>5000.24, Excise Tax Return</w:t>
      </w:r>
      <w:r w:rsidRPr="005C0194">
        <w:rPr>
          <w:sz w:val="22"/>
          <w:szCs w:val="22"/>
        </w:rPr>
        <w:t xml:space="preserve"> (a</w:t>
      </w:r>
      <w:r w:rsidRPr="005C0194" w:rsidR="00645E4B">
        <w:rPr>
          <w:sz w:val="22"/>
          <w:szCs w:val="22"/>
        </w:rPr>
        <w:t>pproved under OMB No. 1513–0083</w:t>
      </w:r>
      <w:r w:rsidRPr="005C0194">
        <w:rPr>
          <w:sz w:val="22"/>
          <w:szCs w:val="22"/>
        </w:rPr>
        <w:t>)</w:t>
      </w:r>
      <w:r w:rsidRPr="005C0194" w:rsidR="00645E4B">
        <w:rPr>
          <w:sz w:val="22"/>
          <w:szCs w:val="22"/>
        </w:rPr>
        <w:t xml:space="preserve">.  </w:t>
      </w:r>
      <w:r w:rsidRPr="005C0194">
        <w:rPr>
          <w:sz w:val="22"/>
          <w:szCs w:val="22"/>
        </w:rPr>
        <w:t>The following regulat</w:t>
      </w:r>
      <w:r w:rsidR="00CB51D0">
        <w:rPr>
          <w:sz w:val="22"/>
          <w:szCs w:val="22"/>
        </w:rPr>
        <w:t xml:space="preserve">ions </w:t>
      </w:r>
      <w:r w:rsidRPr="005C0194">
        <w:rPr>
          <w:sz w:val="22"/>
          <w:szCs w:val="22"/>
        </w:rPr>
        <w:t>prescribe the use o</w:t>
      </w:r>
      <w:r w:rsidR="00CB51D0">
        <w:rPr>
          <w:sz w:val="22"/>
          <w:szCs w:val="22"/>
        </w:rPr>
        <w:t xml:space="preserve">f that form </w:t>
      </w:r>
      <w:r w:rsidRPr="005C0194">
        <w:rPr>
          <w:sz w:val="22"/>
          <w:szCs w:val="22"/>
        </w:rPr>
        <w:t xml:space="preserve">by </w:t>
      </w:r>
      <w:r w:rsidR="00412645">
        <w:rPr>
          <w:sz w:val="22"/>
          <w:szCs w:val="22"/>
        </w:rPr>
        <w:t xml:space="preserve">alcohol excise </w:t>
      </w:r>
      <w:r w:rsidRPr="005C0194">
        <w:rPr>
          <w:sz w:val="22"/>
          <w:szCs w:val="22"/>
        </w:rPr>
        <w:t xml:space="preserve">taxpayers: </w:t>
      </w:r>
    </w:p>
    <w:p w:rsidR="00855327" w:rsidRPr="005C0194" w:rsidP="00855327" w14:paraId="6449A3AD" w14:textId="77777777">
      <w:pPr>
        <w:widowControl/>
        <w:ind w:left="360"/>
        <w:rPr>
          <w:sz w:val="22"/>
          <w:szCs w:val="22"/>
        </w:rPr>
      </w:pPr>
    </w:p>
    <w:p w:rsidR="00855327" w:rsidRPr="005C0194" w:rsidP="000B5090" w14:paraId="78190D1E" w14:textId="77777777">
      <w:pPr>
        <w:pStyle w:val="ListParagraph"/>
        <w:widowControl/>
        <w:numPr>
          <w:ilvl w:val="0"/>
          <w:numId w:val="9"/>
        </w:numPr>
        <w:spacing w:after="120"/>
        <w:ind w:left="810" w:hanging="270"/>
        <w:contextualSpacing w:val="0"/>
        <w:rPr>
          <w:sz w:val="22"/>
          <w:szCs w:val="22"/>
        </w:rPr>
      </w:pPr>
      <w:r w:rsidRPr="005C0194">
        <w:rPr>
          <w:i/>
          <w:iCs/>
          <w:sz w:val="22"/>
          <w:szCs w:val="22"/>
        </w:rPr>
        <w:t>For distilled spirits excise taxes:</w:t>
      </w:r>
      <w:r w:rsidRPr="005C0194">
        <w:rPr>
          <w:sz w:val="22"/>
          <w:szCs w:val="22"/>
        </w:rPr>
        <w:t xml:space="preserve">  27 CFR 19.230, 19.233 through 19.240, 19.242, 19.436, and 19.465. </w:t>
      </w:r>
    </w:p>
    <w:p w:rsidR="00855327" w:rsidRPr="005C0194" w:rsidP="000B5090" w14:paraId="07B7E18B" w14:textId="77777777">
      <w:pPr>
        <w:pStyle w:val="ListParagraph"/>
        <w:widowControl/>
        <w:numPr>
          <w:ilvl w:val="0"/>
          <w:numId w:val="9"/>
        </w:numPr>
        <w:spacing w:after="120"/>
        <w:ind w:left="810" w:hanging="270"/>
        <w:contextualSpacing w:val="0"/>
        <w:rPr>
          <w:sz w:val="22"/>
          <w:szCs w:val="22"/>
        </w:rPr>
      </w:pPr>
      <w:r w:rsidRPr="005C0194">
        <w:rPr>
          <w:i/>
          <w:iCs/>
          <w:sz w:val="22"/>
          <w:szCs w:val="22"/>
        </w:rPr>
        <w:t>For wine excise taxes:</w:t>
      </w:r>
      <w:r w:rsidRPr="005C0194">
        <w:rPr>
          <w:sz w:val="22"/>
          <w:szCs w:val="22"/>
        </w:rPr>
        <w:t xml:space="preserve">  27 CFR 24.271, 24.275, 24.277, 24.278, 24.279, and 24.323. </w:t>
      </w:r>
    </w:p>
    <w:p w:rsidR="00855327" w:rsidRPr="005C0194" w:rsidP="000B5090" w14:paraId="1E3D6946" w14:textId="77777777">
      <w:pPr>
        <w:pStyle w:val="ListParagraph"/>
        <w:widowControl/>
        <w:numPr>
          <w:ilvl w:val="0"/>
          <w:numId w:val="9"/>
        </w:numPr>
        <w:ind w:left="810" w:hanging="270"/>
        <w:rPr>
          <w:sz w:val="22"/>
          <w:szCs w:val="22"/>
        </w:rPr>
      </w:pPr>
      <w:r w:rsidRPr="005C0194">
        <w:rPr>
          <w:i/>
          <w:iCs/>
          <w:sz w:val="22"/>
          <w:szCs w:val="22"/>
        </w:rPr>
        <w:t>For beer excise taxes:</w:t>
      </w:r>
      <w:r w:rsidRPr="005C0194">
        <w:rPr>
          <w:sz w:val="22"/>
          <w:szCs w:val="22"/>
        </w:rPr>
        <w:t xml:space="preserve">  27 CFR 25.160, 25.163, 25.164, 25.164a, 25.165, 25.166, 25.168, 25.175, 25.224,</w:t>
      </w:r>
      <w:r w:rsidRPr="005C0194">
        <w:rPr>
          <w:sz w:val="22"/>
          <w:szCs w:val="22"/>
        </w:rPr>
        <w:t xml:space="preserve"> 25.284, and 25.298. </w:t>
      </w:r>
    </w:p>
    <w:p w:rsidR="00855327" w:rsidRPr="00122B26" w:rsidP="00645E4B" w14:paraId="38CA3145" w14:textId="77777777">
      <w:pPr>
        <w:widowControl/>
        <w:ind w:left="360"/>
        <w:rPr>
          <w:sz w:val="22"/>
          <w:szCs w:val="22"/>
        </w:rPr>
      </w:pPr>
    </w:p>
    <w:p w:rsidR="00645E4B" w:rsidRPr="00122B26" w:rsidP="00645E4B" w14:paraId="0E73C796" w14:textId="2BAF17CE">
      <w:pPr>
        <w:widowControl/>
        <w:ind w:left="360"/>
        <w:rPr>
          <w:sz w:val="22"/>
          <w:szCs w:val="22"/>
        </w:rPr>
      </w:pPr>
      <w:r w:rsidRPr="00122B26">
        <w:rPr>
          <w:sz w:val="22"/>
          <w:szCs w:val="22"/>
        </w:rPr>
        <w:t xml:space="preserve">In addition, </w:t>
      </w:r>
      <w:r w:rsidRPr="00122B26" w:rsidR="00E34F09">
        <w:rPr>
          <w:sz w:val="22"/>
          <w:szCs w:val="22"/>
        </w:rPr>
        <w:t xml:space="preserve">the TTB regulations require </w:t>
      </w:r>
      <w:r w:rsidRPr="00122B26" w:rsidR="00412645">
        <w:rPr>
          <w:sz w:val="22"/>
          <w:szCs w:val="22"/>
        </w:rPr>
        <w:t>alcohol producers to</w:t>
      </w:r>
      <w:r w:rsidRPr="00122B26" w:rsidR="00E34F09">
        <w:rPr>
          <w:sz w:val="22"/>
          <w:szCs w:val="22"/>
        </w:rPr>
        <w:t xml:space="preserve"> </w:t>
      </w:r>
      <w:r w:rsidRPr="00122B26">
        <w:rPr>
          <w:sz w:val="22"/>
          <w:szCs w:val="22"/>
        </w:rPr>
        <w:t xml:space="preserve">file operations reports accounting for their </w:t>
      </w:r>
      <w:r w:rsidRPr="00122B26" w:rsidR="005C0194">
        <w:rPr>
          <w:sz w:val="22"/>
          <w:szCs w:val="22"/>
        </w:rPr>
        <w:t xml:space="preserve">alcohol </w:t>
      </w:r>
      <w:r w:rsidRPr="00122B26">
        <w:rPr>
          <w:sz w:val="22"/>
          <w:szCs w:val="22"/>
        </w:rPr>
        <w:t xml:space="preserve">production, removals, losses, and certain other matters that </w:t>
      </w:r>
      <w:r w:rsidR="00C92A32">
        <w:rPr>
          <w:sz w:val="22"/>
          <w:szCs w:val="22"/>
        </w:rPr>
        <w:t>a</w:t>
      </w:r>
      <w:r w:rsidRPr="00122B26">
        <w:rPr>
          <w:sz w:val="22"/>
          <w:szCs w:val="22"/>
        </w:rPr>
        <w:t>ffect their excise tax liability.  D</w:t>
      </w:r>
      <w:r w:rsidRPr="00122B26" w:rsidR="00412645">
        <w:rPr>
          <w:sz w:val="22"/>
          <w:szCs w:val="22"/>
        </w:rPr>
        <w:t xml:space="preserve">SP </w:t>
      </w:r>
      <w:r w:rsidRPr="00122B26">
        <w:rPr>
          <w:sz w:val="22"/>
          <w:szCs w:val="22"/>
        </w:rPr>
        <w:t>plant proprietors</w:t>
      </w:r>
      <w:r w:rsidRPr="00122B26">
        <w:rPr>
          <w:sz w:val="22"/>
          <w:szCs w:val="22"/>
        </w:rPr>
        <w:t xml:space="preserve"> file up to four separate </w:t>
      </w:r>
      <w:r w:rsidRPr="00122B26" w:rsidR="005C0194">
        <w:rPr>
          <w:sz w:val="22"/>
          <w:szCs w:val="22"/>
        </w:rPr>
        <w:t xml:space="preserve">monthly </w:t>
      </w:r>
      <w:r w:rsidRPr="00122B26">
        <w:rPr>
          <w:sz w:val="22"/>
          <w:szCs w:val="22"/>
        </w:rPr>
        <w:t xml:space="preserve">operations reports </w:t>
      </w:r>
      <w:r w:rsidRPr="00122B26" w:rsidR="00E10B01">
        <w:rPr>
          <w:sz w:val="22"/>
          <w:szCs w:val="22"/>
        </w:rPr>
        <w:t xml:space="preserve">regarding their storage, processing, production, and denaturing activities using, respectively, </w:t>
      </w:r>
      <w:r w:rsidRPr="00122B26" w:rsidR="005C0194">
        <w:rPr>
          <w:sz w:val="22"/>
          <w:szCs w:val="22"/>
        </w:rPr>
        <w:t xml:space="preserve">forms </w:t>
      </w:r>
      <w:r w:rsidRPr="00122B26">
        <w:rPr>
          <w:sz w:val="22"/>
          <w:szCs w:val="22"/>
        </w:rPr>
        <w:t>TTB F</w:t>
      </w:r>
      <w:r w:rsidRPr="00122B26" w:rsidR="00E10B01">
        <w:rPr>
          <w:sz w:val="22"/>
          <w:szCs w:val="22"/>
        </w:rPr>
        <w:t> </w:t>
      </w:r>
      <w:r w:rsidRPr="00122B26">
        <w:rPr>
          <w:sz w:val="22"/>
          <w:szCs w:val="22"/>
        </w:rPr>
        <w:t>5110.11, TTB F</w:t>
      </w:r>
      <w:r w:rsidRPr="00122B26" w:rsidR="00E10B01">
        <w:rPr>
          <w:sz w:val="22"/>
          <w:szCs w:val="22"/>
        </w:rPr>
        <w:t> </w:t>
      </w:r>
      <w:r w:rsidRPr="00122B26">
        <w:rPr>
          <w:sz w:val="22"/>
          <w:szCs w:val="22"/>
        </w:rPr>
        <w:t>5110.28, TTB F</w:t>
      </w:r>
      <w:r w:rsidRPr="00122B26" w:rsidR="00E10B01">
        <w:rPr>
          <w:sz w:val="22"/>
          <w:szCs w:val="22"/>
        </w:rPr>
        <w:t> </w:t>
      </w:r>
      <w:r w:rsidRPr="00122B26">
        <w:rPr>
          <w:sz w:val="22"/>
          <w:szCs w:val="22"/>
        </w:rPr>
        <w:t>5110.40, and TTB F</w:t>
      </w:r>
      <w:r w:rsidRPr="00122B26" w:rsidR="00E10B01">
        <w:rPr>
          <w:sz w:val="22"/>
          <w:szCs w:val="22"/>
        </w:rPr>
        <w:t> </w:t>
      </w:r>
      <w:r w:rsidRPr="00122B26">
        <w:rPr>
          <w:sz w:val="22"/>
          <w:szCs w:val="22"/>
        </w:rPr>
        <w:t>5110.43</w:t>
      </w:r>
      <w:r w:rsidRPr="00122B26" w:rsidR="00E10B01">
        <w:rPr>
          <w:sz w:val="22"/>
          <w:szCs w:val="22"/>
        </w:rPr>
        <w:t xml:space="preserve"> (</w:t>
      </w:r>
      <w:r w:rsidRPr="00122B26" w:rsidR="00855327">
        <w:rPr>
          <w:sz w:val="22"/>
          <w:szCs w:val="22"/>
        </w:rPr>
        <w:t xml:space="preserve">approved under </w:t>
      </w:r>
      <w:r w:rsidRPr="00122B26">
        <w:rPr>
          <w:sz w:val="22"/>
          <w:szCs w:val="22"/>
        </w:rPr>
        <w:t>OMB Nos. 1513–0039, 15</w:t>
      </w:r>
      <w:r w:rsidRPr="00122B26">
        <w:rPr>
          <w:sz w:val="22"/>
          <w:szCs w:val="22"/>
        </w:rPr>
        <w:t>13–0041, 1513–0047, and 1513–0049</w:t>
      </w:r>
      <w:r w:rsidRPr="00122B26" w:rsidR="00C23BB6">
        <w:rPr>
          <w:sz w:val="22"/>
          <w:szCs w:val="22"/>
        </w:rPr>
        <w:t>, respectively</w:t>
      </w:r>
      <w:r w:rsidRPr="00122B26" w:rsidR="00E10B01">
        <w:rPr>
          <w:sz w:val="22"/>
          <w:szCs w:val="22"/>
        </w:rPr>
        <w:t xml:space="preserve">).  </w:t>
      </w:r>
      <w:r w:rsidRPr="00122B26">
        <w:rPr>
          <w:sz w:val="22"/>
          <w:szCs w:val="22"/>
        </w:rPr>
        <w:t xml:space="preserve">Wine premises </w:t>
      </w:r>
      <w:r w:rsidRPr="00122B26" w:rsidR="00C23BB6">
        <w:rPr>
          <w:sz w:val="22"/>
          <w:szCs w:val="22"/>
        </w:rPr>
        <w:t>operators</w:t>
      </w:r>
      <w:r w:rsidRPr="00122B26" w:rsidR="00412645">
        <w:rPr>
          <w:sz w:val="22"/>
          <w:szCs w:val="22"/>
        </w:rPr>
        <w:t>, depending on their annual tax liability,</w:t>
      </w:r>
      <w:r w:rsidRPr="00122B26">
        <w:rPr>
          <w:sz w:val="22"/>
          <w:szCs w:val="22"/>
        </w:rPr>
        <w:t xml:space="preserve"> file operations reports </w:t>
      </w:r>
      <w:r w:rsidRPr="00122B26" w:rsidR="00412645">
        <w:rPr>
          <w:sz w:val="22"/>
          <w:szCs w:val="22"/>
        </w:rPr>
        <w:t xml:space="preserve">on a monthly, quarterly, or annual basis </w:t>
      </w:r>
      <w:r w:rsidRPr="00122B26" w:rsidR="00855327">
        <w:rPr>
          <w:sz w:val="22"/>
          <w:szCs w:val="22"/>
        </w:rPr>
        <w:t xml:space="preserve">using </w:t>
      </w:r>
      <w:r w:rsidRPr="00122B26">
        <w:rPr>
          <w:sz w:val="22"/>
          <w:szCs w:val="22"/>
        </w:rPr>
        <w:t>TTB F</w:t>
      </w:r>
      <w:r w:rsidRPr="00122B26" w:rsidR="00E10B01">
        <w:rPr>
          <w:sz w:val="22"/>
          <w:szCs w:val="22"/>
        </w:rPr>
        <w:t> </w:t>
      </w:r>
      <w:r w:rsidRPr="00122B26">
        <w:rPr>
          <w:sz w:val="22"/>
          <w:szCs w:val="22"/>
        </w:rPr>
        <w:t>5120.17</w:t>
      </w:r>
      <w:r w:rsidRPr="00122B26" w:rsidR="00E10B01">
        <w:rPr>
          <w:sz w:val="22"/>
          <w:szCs w:val="22"/>
        </w:rPr>
        <w:t xml:space="preserve"> (ap</w:t>
      </w:r>
      <w:r w:rsidRPr="00122B26">
        <w:rPr>
          <w:sz w:val="22"/>
          <w:szCs w:val="22"/>
        </w:rPr>
        <w:t>proved under OMB No. 1513–0053</w:t>
      </w:r>
      <w:r w:rsidRPr="00122B26" w:rsidR="00E10B01">
        <w:rPr>
          <w:sz w:val="22"/>
          <w:szCs w:val="22"/>
        </w:rPr>
        <w:t>)</w:t>
      </w:r>
      <w:r w:rsidRPr="00122B26">
        <w:rPr>
          <w:sz w:val="22"/>
          <w:szCs w:val="22"/>
        </w:rPr>
        <w:t xml:space="preserve">.  Brewers, depending on their annual tax liability, file </w:t>
      </w:r>
      <w:r w:rsidRPr="00122B26" w:rsidR="00855327">
        <w:rPr>
          <w:sz w:val="22"/>
          <w:szCs w:val="22"/>
        </w:rPr>
        <w:t xml:space="preserve">monthly </w:t>
      </w:r>
      <w:r w:rsidRPr="00122B26">
        <w:rPr>
          <w:sz w:val="22"/>
          <w:szCs w:val="22"/>
        </w:rPr>
        <w:t xml:space="preserve">operations reports </w:t>
      </w:r>
      <w:r w:rsidRPr="00122B26" w:rsidR="00855327">
        <w:rPr>
          <w:sz w:val="22"/>
          <w:szCs w:val="22"/>
        </w:rPr>
        <w:t xml:space="preserve">using </w:t>
      </w:r>
      <w:r w:rsidRPr="00122B26">
        <w:rPr>
          <w:sz w:val="22"/>
          <w:szCs w:val="22"/>
        </w:rPr>
        <w:t>TTB F</w:t>
      </w:r>
      <w:r w:rsidRPr="00122B26" w:rsidR="00855327">
        <w:rPr>
          <w:sz w:val="22"/>
          <w:szCs w:val="22"/>
        </w:rPr>
        <w:t> </w:t>
      </w:r>
      <w:r w:rsidRPr="00122B26">
        <w:rPr>
          <w:sz w:val="22"/>
          <w:szCs w:val="22"/>
        </w:rPr>
        <w:t>5130.9</w:t>
      </w:r>
      <w:r w:rsidRPr="00122B26" w:rsidR="00122B26">
        <w:rPr>
          <w:sz w:val="22"/>
          <w:szCs w:val="22"/>
        </w:rPr>
        <w:t>,</w:t>
      </w:r>
      <w:r w:rsidRPr="00122B26">
        <w:rPr>
          <w:sz w:val="22"/>
          <w:szCs w:val="22"/>
        </w:rPr>
        <w:t xml:space="preserve"> or </w:t>
      </w:r>
      <w:r w:rsidRPr="00122B26" w:rsidR="00122B26">
        <w:rPr>
          <w:sz w:val="22"/>
          <w:szCs w:val="22"/>
        </w:rPr>
        <w:t xml:space="preserve">file </w:t>
      </w:r>
      <w:r w:rsidRPr="00122B26">
        <w:rPr>
          <w:sz w:val="22"/>
          <w:szCs w:val="22"/>
        </w:rPr>
        <w:t xml:space="preserve">quarterly </w:t>
      </w:r>
      <w:r w:rsidRPr="00122B26" w:rsidR="005C0194">
        <w:rPr>
          <w:sz w:val="22"/>
          <w:szCs w:val="22"/>
        </w:rPr>
        <w:t xml:space="preserve">reports </w:t>
      </w:r>
      <w:r w:rsidRPr="00122B26">
        <w:rPr>
          <w:sz w:val="22"/>
          <w:szCs w:val="22"/>
        </w:rPr>
        <w:t>using TTB F</w:t>
      </w:r>
      <w:r w:rsidRPr="00122B26" w:rsidR="00855327">
        <w:rPr>
          <w:sz w:val="22"/>
          <w:szCs w:val="22"/>
        </w:rPr>
        <w:t> </w:t>
      </w:r>
      <w:r w:rsidRPr="00122B26">
        <w:rPr>
          <w:sz w:val="22"/>
          <w:szCs w:val="22"/>
        </w:rPr>
        <w:t xml:space="preserve">5130.9 or </w:t>
      </w:r>
      <w:r w:rsidRPr="00122B26" w:rsidR="00122B26">
        <w:rPr>
          <w:sz w:val="22"/>
          <w:szCs w:val="22"/>
        </w:rPr>
        <w:t xml:space="preserve">the simplified </w:t>
      </w:r>
      <w:r w:rsidRPr="00122B26">
        <w:rPr>
          <w:sz w:val="22"/>
          <w:szCs w:val="22"/>
        </w:rPr>
        <w:t>TTB F</w:t>
      </w:r>
      <w:r w:rsidRPr="00122B26" w:rsidR="00855327">
        <w:rPr>
          <w:sz w:val="22"/>
          <w:szCs w:val="22"/>
        </w:rPr>
        <w:t> </w:t>
      </w:r>
      <w:r w:rsidRPr="00122B26">
        <w:rPr>
          <w:sz w:val="22"/>
          <w:szCs w:val="22"/>
        </w:rPr>
        <w:t>5130.26</w:t>
      </w:r>
      <w:r w:rsidRPr="00122B26" w:rsidR="00855327">
        <w:rPr>
          <w:sz w:val="22"/>
          <w:szCs w:val="22"/>
        </w:rPr>
        <w:t xml:space="preserve"> (</w:t>
      </w:r>
      <w:r w:rsidRPr="00122B26">
        <w:rPr>
          <w:sz w:val="22"/>
          <w:szCs w:val="22"/>
        </w:rPr>
        <w:t>both approved under OMB No. 1513–0007</w:t>
      </w:r>
      <w:r w:rsidRPr="00122B26" w:rsidR="00855327">
        <w:rPr>
          <w:sz w:val="22"/>
          <w:szCs w:val="22"/>
        </w:rPr>
        <w:t>)</w:t>
      </w:r>
      <w:r w:rsidRPr="00122B26">
        <w:rPr>
          <w:sz w:val="22"/>
          <w:szCs w:val="22"/>
        </w:rPr>
        <w:t xml:space="preserve">. </w:t>
      </w:r>
      <w:r w:rsidRPr="00122B26" w:rsidR="00E34F09">
        <w:rPr>
          <w:sz w:val="22"/>
          <w:szCs w:val="22"/>
        </w:rPr>
        <w:t xml:space="preserve"> The following regulations require submission of operations reports</w:t>
      </w:r>
      <w:r w:rsidRPr="00122B26" w:rsidR="00C71D74">
        <w:rPr>
          <w:sz w:val="22"/>
          <w:szCs w:val="22"/>
        </w:rPr>
        <w:t xml:space="preserve"> to TTB</w:t>
      </w:r>
      <w:r w:rsidRPr="00122B26" w:rsidR="00E34F09">
        <w:rPr>
          <w:sz w:val="22"/>
          <w:szCs w:val="22"/>
        </w:rPr>
        <w:t xml:space="preserve">: </w:t>
      </w:r>
    </w:p>
    <w:p w:rsidR="00E34F09" w:rsidRPr="00122B26" w:rsidP="00645E4B" w14:paraId="03E82DA7" w14:textId="7D2C1E74">
      <w:pPr>
        <w:widowControl/>
        <w:ind w:left="360"/>
        <w:rPr>
          <w:sz w:val="22"/>
          <w:szCs w:val="22"/>
        </w:rPr>
      </w:pPr>
    </w:p>
    <w:p w:rsidR="00E34F09" w:rsidRPr="00122B26" w:rsidP="000B5090" w14:paraId="20995096" w14:textId="4C9CF686">
      <w:pPr>
        <w:pStyle w:val="ListParagraph"/>
        <w:widowControl/>
        <w:numPr>
          <w:ilvl w:val="0"/>
          <w:numId w:val="10"/>
        </w:numPr>
        <w:spacing w:after="120"/>
        <w:ind w:left="810" w:hanging="270"/>
        <w:contextualSpacing w:val="0"/>
        <w:rPr>
          <w:sz w:val="22"/>
          <w:szCs w:val="22"/>
        </w:rPr>
      </w:pPr>
      <w:r w:rsidRPr="00122B26">
        <w:rPr>
          <w:i/>
          <w:iCs/>
          <w:sz w:val="22"/>
          <w:szCs w:val="22"/>
        </w:rPr>
        <w:t xml:space="preserve">For distilled spirits </w:t>
      </w:r>
      <w:r w:rsidRPr="00122B26" w:rsidR="00C71D74">
        <w:rPr>
          <w:i/>
          <w:iCs/>
          <w:sz w:val="22"/>
          <w:szCs w:val="22"/>
        </w:rPr>
        <w:t>plant</w:t>
      </w:r>
      <w:r w:rsidRPr="00122B26" w:rsidR="000B5090">
        <w:rPr>
          <w:i/>
          <w:iCs/>
          <w:sz w:val="22"/>
          <w:szCs w:val="22"/>
        </w:rPr>
        <w:t>s:</w:t>
      </w:r>
      <w:r w:rsidRPr="00122B26" w:rsidR="000B5090">
        <w:rPr>
          <w:sz w:val="22"/>
          <w:szCs w:val="22"/>
        </w:rPr>
        <w:t xml:space="preserve"> </w:t>
      </w:r>
      <w:r w:rsidRPr="00122B26">
        <w:rPr>
          <w:sz w:val="22"/>
          <w:szCs w:val="22"/>
        </w:rPr>
        <w:t xml:space="preserve"> </w:t>
      </w:r>
      <w:r w:rsidRPr="00122B26" w:rsidR="00C71D74">
        <w:rPr>
          <w:sz w:val="22"/>
          <w:szCs w:val="22"/>
        </w:rPr>
        <w:t>27 CFR 19.632 requires DSP proprietors to submit the four monthly operations reports, as appropriate, while § 19.634 allows DSP proprietors to sub</w:t>
      </w:r>
      <w:r w:rsidRPr="00122B26" w:rsidR="00412645">
        <w:rPr>
          <w:sz w:val="22"/>
          <w:szCs w:val="22"/>
        </w:rPr>
        <w:t xml:space="preserve">stitute </w:t>
      </w:r>
      <w:r w:rsidRPr="00122B26" w:rsidR="00C71D74">
        <w:rPr>
          <w:sz w:val="22"/>
          <w:szCs w:val="22"/>
        </w:rPr>
        <w:t xml:space="preserve">computer-generated monthly operations reports </w:t>
      </w:r>
      <w:r w:rsidRPr="00122B26" w:rsidR="00412645">
        <w:rPr>
          <w:sz w:val="22"/>
          <w:szCs w:val="22"/>
        </w:rPr>
        <w:t xml:space="preserve">under certain conditions. </w:t>
      </w:r>
    </w:p>
    <w:p w:rsidR="00CB51D0" w:rsidRPr="00122B26" w:rsidP="00D162F8" w14:paraId="7DC7AD86" w14:textId="3E5F7ADB">
      <w:pPr>
        <w:pStyle w:val="ListParagraph"/>
        <w:widowControl/>
        <w:numPr>
          <w:ilvl w:val="0"/>
          <w:numId w:val="10"/>
        </w:numPr>
        <w:spacing w:after="120"/>
        <w:ind w:left="810" w:hanging="270"/>
        <w:contextualSpacing w:val="0"/>
        <w:rPr>
          <w:sz w:val="22"/>
          <w:szCs w:val="22"/>
        </w:rPr>
      </w:pPr>
      <w:r w:rsidRPr="00122B26">
        <w:rPr>
          <w:i/>
          <w:iCs/>
          <w:sz w:val="22"/>
          <w:szCs w:val="22"/>
        </w:rPr>
        <w:t>For wine premise:</w:t>
      </w:r>
      <w:r w:rsidRPr="00122B26">
        <w:rPr>
          <w:sz w:val="22"/>
          <w:szCs w:val="22"/>
        </w:rPr>
        <w:t xml:space="preserve">  </w:t>
      </w:r>
      <w:r w:rsidRPr="00122B26" w:rsidR="00412645">
        <w:rPr>
          <w:sz w:val="22"/>
          <w:szCs w:val="22"/>
        </w:rPr>
        <w:t>27 CFR 24.300 requires wine premises proprietors to file operations reports on a monthly, quarterly, or annual basis, as appropriate, while §§ </w:t>
      </w:r>
      <w:r w:rsidRPr="00122B26">
        <w:rPr>
          <w:sz w:val="22"/>
          <w:szCs w:val="22"/>
        </w:rPr>
        <w:t xml:space="preserve">24.65, 24.75, </w:t>
      </w:r>
      <w:r w:rsidRPr="00122B26">
        <w:rPr>
          <w:sz w:val="22"/>
          <w:szCs w:val="22"/>
        </w:rPr>
        <w:t>24.136, 24.140, 24.176, 24.197, 24.237, 24.268, 24.292, 24.293, 24.294, 24.295, 24.303, 24.313, and 24.316</w:t>
      </w:r>
      <w:r w:rsidRPr="00122B26" w:rsidR="00C23BB6">
        <w:rPr>
          <w:sz w:val="22"/>
          <w:szCs w:val="22"/>
        </w:rPr>
        <w:t xml:space="preserve">, and 27 CFR 28.126 </w:t>
      </w:r>
      <w:r w:rsidRPr="00122B26" w:rsidR="00412645">
        <w:rPr>
          <w:sz w:val="22"/>
          <w:szCs w:val="22"/>
        </w:rPr>
        <w:t xml:space="preserve">require certain information to be included </w:t>
      </w:r>
      <w:r w:rsidRPr="00122B26" w:rsidR="00C23BB6">
        <w:rPr>
          <w:sz w:val="22"/>
          <w:szCs w:val="22"/>
        </w:rPr>
        <w:t>o</w:t>
      </w:r>
      <w:r w:rsidRPr="00122B26" w:rsidR="00412645">
        <w:rPr>
          <w:sz w:val="22"/>
          <w:szCs w:val="22"/>
        </w:rPr>
        <w:t>n those reports</w:t>
      </w:r>
      <w:r w:rsidRPr="00122B26">
        <w:rPr>
          <w:sz w:val="22"/>
          <w:szCs w:val="22"/>
        </w:rPr>
        <w:t xml:space="preserve">. </w:t>
      </w:r>
    </w:p>
    <w:p w:rsidR="00CB51D0" w:rsidRPr="00122B26" w:rsidP="00C23BB6" w14:paraId="23684159" w14:textId="72B5E105">
      <w:pPr>
        <w:pStyle w:val="ListParagraph"/>
        <w:widowControl/>
        <w:numPr>
          <w:ilvl w:val="0"/>
          <w:numId w:val="10"/>
        </w:numPr>
        <w:ind w:left="810" w:hanging="270"/>
        <w:contextualSpacing w:val="0"/>
        <w:rPr>
          <w:sz w:val="22"/>
          <w:szCs w:val="22"/>
        </w:rPr>
      </w:pPr>
      <w:r w:rsidRPr="00122B26">
        <w:rPr>
          <w:i/>
          <w:iCs/>
          <w:sz w:val="22"/>
          <w:szCs w:val="22"/>
        </w:rPr>
        <w:t>For breweries</w:t>
      </w:r>
      <w:r w:rsidRPr="00122B26" w:rsidR="00C23BB6">
        <w:rPr>
          <w:i/>
          <w:iCs/>
          <w:sz w:val="22"/>
          <w:szCs w:val="22"/>
        </w:rPr>
        <w:t>:</w:t>
      </w:r>
      <w:r w:rsidRPr="00122B26" w:rsidR="00C23BB6">
        <w:rPr>
          <w:sz w:val="22"/>
          <w:szCs w:val="22"/>
        </w:rPr>
        <w:t xml:space="preserve">  27 CFR 25.297 </w:t>
      </w:r>
      <w:r w:rsidRPr="00122B26">
        <w:rPr>
          <w:sz w:val="22"/>
          <w:szCs w:val="22"/>
        </w:rPr>
        <w:t>requires brewers to submit operations</w:t>
      </w:r>
      <w:r w:rsidRPr="00122B26" w:rsidR="00C23BB6">
        <w:rPr>
          <w:sz w:val="22"/>
          <w:szCs w:val="22"/>
        </w:rPr>
        <w:t xml:space="preserve"> </w:t>
      </w:r>
      <w:r w:rsidRPr="00122B26">
        <w:rPr>
          <w:sz w:val="22"/>
          <w:szCs w:val="22"/>
        </w:rPr>
        <w:t xml:space="preserve">reports </w:t>
      </w:r>
      <w:r w:rsidRPr="00122B26" w:rsidR="00C23BB6">
        <w:rPr>
          <w:sz w:val="22"/>
          <w:szCs w:val="22"/>
        </w:rPr>
        <w:t>on a monthly or quarterly basis, as appropriate, and explains whe</w:t>
      </w:r>
      <w:r w:rsidRPr="00122B26">
        <w:rPr>
          <w:sz w:val="22"/>
          <w:szCs w:val="22"/>
        </w:rPr>
        <w:t xml:space="preserve">n </w:t>
      </w:r>
      <w:r w:rsidRPr="00122B26" w:rsidR="00C23BB6">
        <w:rPr>
          <w:sz w:val="22"/>
          <w:szCs w:val="22"/>
        </w:rPr>
        <w:t xml:space="preserve">quarterly filers must </w:t>
      </w:r>
      <w:r w:rsidRPr="00122B26">
        <w:rPr>
          <w:sz w:val="22"/>
          <w:szCs w:val="22"/>
        </w:rPr>
        <w:t xml:space="preserve">begin to file monthly.  In addition, </w:t>
      </w:r>
      <w:r w:rsidRPr="00122B26" w:rsidR="00C23BB6">
        <w:rPr>
          <w:sz w:val="22"/>
          <w:szCs w:val="22"/>
        </w:rPr>
        <w:t xml:space="preserve">27 CFR </w:t>
      </w:r>
      <w:r w:rsidRPr="00122B26">
        <w:rPr>
          <w:sz w:val="22"/>
          <w:szCs w:val="22"/>
        </w:rPr>
        <w:t xml:space="preserve">28.148 requires brewers </w:t>
      </w:r>
      <w:r w:rsidRPr="00122B26" w:rsidR="00C23BB6">
        <w:rPr>
          <w:sz w:val="22"/>
          <w:szCs w:val="22"/>
        </w:rPr>
        <w:t xml:space="preserve">to include on their reports the </w:t>
      </w:r>
      <w:r w:rsidRPr="00122B26">
        <w:rPr>
          <w:sz w:val="22"/>
          <w:szCs w:val="22"/>
        </w:rPr>
        <w:t xml:space="preserve">amount of beer or beer concentrate removed without payment </w:t>
      </w:r>
      <w:r w:rsidRPr="00122B26">
        <w:rPr>
          <w:sz w:val="22"/>
          <w:szCs w:val="22"/>
        </w:rPr>
        <w:t>of tax for export, as well as such removals returned to the brewer.</w:t>
      </w:r>
      <w:r w:rsidRPr="00122B26" w:rsidR="00C23BB6">
        <w:rPr>
          <w:sz w:val="22"/>
          <w:szCs w:val="22"/>
        </w:rPr>
        <w:t xml:space="preserve"> </w:t>
      </w:r>
    </w:p>
    <w:p w:rsidR="00CB51D0" w:rsidRPr="00122B26" w:rsidP="00C23BB6" w14:paraId="19B46C7D" w14:textId="39B2B0E2">
      <w:pPr>
        <w:widowControl/>
        <w:ind w:left="360"/>
        <w:rPr>
          <w:sz w:val="22"/>
          <w:szCs w:val="22"/>
        </w:rPr>
      </w:pPr>
    </w:p>
    <w:p w:rsidR="00CB51D0" w:rsidRPr="00224692" w:rsidP="00645E4B" w14:paraId="17388DCB" w14:textId="0555996D">
      <w:pPr>
        <w:widowControl/>
        <w:ind w:left="360"/>
        <w:rPr>
          <w:sz w:val="22"/>
          <w:szCs w:val="22"/>
          <w:u w:val="single"/>
        </w:rPr>
      </w:pPr>
      <w:r w:rsidRPr="00224692">
        <w:rPr>
          <w:sz w:val="22"/>
          <w:szCs w:val="22"/>
          <w:u w:val="single"/>
        </w:rPr>
        <w:t xml:space="preserve">Pilot Test of Combined Alcohol Excise Tax Returns and Operations Reports: </w:t>
      </w:r>
    </w:p>
    <w:p w:rsidR="00CB51D0" w:rsidRPr="003127DD" w:rsidP="00645E4B" w14:paraId="111DFA42" w14:textId="4616748B">
      <w:pPr>
        <w:widowControl/>
        <w:ind w:left="360"/>
        <w:rPr>
          <w:sz w:val="22"/>
          <w:szCs w:val="22"/>
        </w:rPr>
      </w:pPr>
    </w:p>
    <w:p w:rsidR="006C65D6" w:rsidRPr="005E0E8D" w:rsidP="00645E4B" w14:paraId="5A971ED7" w14:textId="66733537">
      <w:pPr>
        <w:widowControl/>
        <w:ind w:left="360"/>
        <w:rPr>
          <w:sz w:val="22"/>
          <w:szCs w:val="22"/>
        </w:rPr>
      </w:pPr>
      <w:r w:rsidRPr="003127DD">
        <w:rPr>
          <w:sz w:val="22"/>
          <w:szCs w:val="22"/>
        </w:rPr>
        <w:t>As part of TTB’s efforts to lower respondent burden, the Bureau is developing combined a</w:t>
      </w:r>
      <w:r w:rsidRPr="003127DD" w:rsidR="00224692">
        <w:rPr>
          <w:sz w:val="22"/>
          <w:szCs w:val="22"/>
        </w:rPr>
        <w:t xml:space="preserve">lcohol </w:t>
      </w:r>
      <w:r w:rsidRPr="003127DD">
        <w:rPr>
          <w:sz w:val="22"/>
          <w:szCs w:val="22"/>
        </w:rPr>
        <w:t>e</w:t>
      </w:r>
      <w:r w:rsidRPr="003127DD" w:rsidR="00224692">
        <w:rPr>
          <w:sz w:val="22"/>
          <w:szCs w:val="22"/>
        </w:rPr>
        <w:t xml:space="preserve">xcise </w:t>
      </w:r>
      <w:r w:rsidRPr="003127DD">
        <w:rPr>
          <w:sz w:val="22"/>
          <w:szCs w:val="22"/>
        </w:rPr>
        <w:t>t</w:t>
      </w:r>
      <w:r w:rsidRPr="003127DD" w:rsidR="00224692">
        <w:rPr>
          <w:sz w:val="22"/>
          <w:szCs w:val="22"/>
        </w:rPr>
        <w:t xml:space="preserve">ax </w:t>
      </w:r>
      <w:r w:rsidRPr="003127DD">
        <w:rPr>
          <w:sz w:val="22"/>
          <w:szCs w:val="22"/>
        </w:rPr>
        <w:t>r</w:t>
      </w:r>
      <w:r w:rsidRPr="003127DD" w:rsidR="00224692">
        <w:rPr>
          <w:sz w:val="22"/>
          <w:szCs w:val="22"/>
        </w:rPr>
        <w:t xml:space="preserve">eturns and </w:t>
      </w:r>
      <w:r w:rsidRPr="003127DD" w:rsidR="000F461A">
        <w:rPr>
          <w:sz w:val="22"/>
          <w:szCs w:val="22"/>
        </w:rPr>
        <w:t xml:space="preserve">simplified </w:t>
      </w:r>
      <w:r w:rsidRPr="003127DD">
        <w:rPr>
          <w:sz w:val="22"/>
          <w:szCs w:val="22"/>
        </w:rPr>
        <w:t>o</w:t>
      </w:r>
      <w:r w:rsidRPr="003127DD" w:rsidR="00224692">
        <w:rPr>
          <w:sz w:val="22"/>
          <w:szCs w:val="22"/>
        </w:rPr>
        <w:t xml:space="preserve">perations </w:t>
      </w:r>
      <w:r w:rsidRPr="003127DD">
        <w:rPr>
          <w:sz w:val="22"/>
          <w:szCs w:val="22"/>
        </w:rPr>
        <w:t>r</w:t>
      </w:r>
      <w:r w:rsidRPr="003127DD" w:rsidR="00224692">
        <w:rPr>
          <w:sz w:val="22"/>
          <w:szCs w:val="22"/>
        </w:rPr>
        <w:t xml:space="preserve">eports for </w:t>
      </w:r>
      <w:r w:rsidRPr="003127DD">
        <w:rPr>
          <w:sz w:val="22"/>
          <w:szCs w:val="22"/>
        </w:rPr>
        <w:t xml:space="preserve">each alcohol commodity—beer, wine, and distilled spirits.  </w:t>
      </w:r>
      <w:r w:rsidRPr="003127DD" w:rsidR="00F9081A">
        <w:rPr>
          <w:sz w:val="22"/>
          <w:szCs w:val="22"/>
        </w:rPr>
        <w:t>To complete development of the combined forms and their electronic equivalents, TTB will pilot test t</w:t>
      </w:r>
      <w:r w:rsidR="006B344A">
        <w:rPr>
          <w:sz w:val="22"/>
          <w:szCs w:val="22"/>
        </w:rPr>
        <w:t xml:space="preserve">he new combined tax return and operations report forms </w:t>
      </w:r>
      <w:r w:rsidRPr="003127DD" w:rsidR="00F9081A">
        <w:rPr>
          <w:sz w:val="22"/>
          <w:szCs w:val="22"/>
        </w:rPr>
        <w:t xml:space="preserve">with a select number of alcohol excise taxpayers. </w:t>
      </w:r>
      <w:r w:rsidR="0039567E">
        <w:rPr>
          <w:sz w:val="22"/>
          <w:szCs w:val="22"/>
        </w:rPr>
        <w:t xml:space="preserve"> </w:t>
      </w:r>
      <w:r w:rsidRPr="003127DD" w:rsidR="001506DB">
        <w:rPr>
          <w:sz w:val="22"/>
          <w:szCs w:val="22"/>
        </w:rPr>
        <w:t xml:space="preserve">Compared to the current, separate </w:t>
      </w:r>
      <w:r w:rsidRPr="003127DD" w:rsidR="001506DB">
        <w:rPr>
          <w:sz w:val="22"/>
          <w:szCs w:val="22"/>
        </w:rPr>
        <w:t>excise return and operations report</w:t>
      </w:r>
      <w:r w:rsidRPr="003127DD" w:rsidR="00F9081A">
        <w:rPr>
          <w:sz w:val="22"/>
          <w:szCs w:val="22"/>
        </w:rPr>
        <w:t xml:space="preserve"> forms</w:t>
      </w:r>
      <w:r w:rsidRPr="003127DD" w:rsidR="000F461A">
        <w:rPr>
          <w:sz w:val="22"/>
          <w:szCs w:val="22"/>
        </w:rPr>
        <w:t xml:space="preserve"> for alcohol </w:t>
      </w:r>
      <w:r w:rsidRPr="003127DD" w:rsidR="00F9081A">
        <w:rPr>
          <w:sz w:val="22"/>
          <w:szCs w:val="22"/>
        </w:rPr>
        <w:t xml:space="preserve">excise taxpayers, </w:t>
      </w:r>
      <w:r w:rsidRPr="003127DD" w:rsidR="001506DB">
        <w:rPr>
          <w:sz w:val="22"/>
          <w:szCs w:val="22"/>
        </w:rPr>
        <w:t>the combined excise tax return</w:t>
      </w:r>
      <w:r w:rsidRPr="003127DD" w:rsidR="00EF7F06">
        <w:rPr>
          <w:sz w:val="22"/>
          <w:szCs w:val="22"/>
        </w:rPr>
        <w:t>s</w:t>
      </w:r>
      <w:r w:rsidRPr="003127DD" w:rsidR="001506DB">
        <w:rPr>
          <w:sz w:val="22"/>
          <w:szCs w:val="22"/>
        </w:rPr>
        <w:t xml:space="preserve"> and </w:t>
      </w:r>
      <w:r w:rsidRPr="003127DD" w:rsidR="00F9081A">
        <w:rPr>
          <w:sz w:val="22"/>
          <w:szCs w:val="22"/>
        </w:rPr>
        <w:t xml:space="preserve">simplified </w:t>
      </w:r>
      <w:r w:rsidRPr="003127DD" w:rsidR="001506DB">
        <w:rPr>
          <w:sz w:val="22"/>
          <w:szCs w:val="22"/>
        </w:rPr>
        <w:t xml:space="preserve">operation </w:t>
      </w:r>
      <w:r w:rsidRPr="003127DD" w:rsidR="00EF7F06">
        <w:rPr>
          <w:sz w:val="22"/>
          <w:szCs w:val="22"/>
        </w:rPr>
        <w:t xml:space="preserve">report </w:t>
      </w:r>
      <w:r w:rsidRPr="003127DD" w:rsidR="001506DB">
        <w:rPr>
          <w:sz w:val="22"/>
          <w:szCs w:val="22"/>
        </w:rPr>
        <w:t>forms includ</w:t>
      </w:r>
      <w:r w:rsidRPr="003127DD" w:rsidR="000F461A">
        <w:rPr>
          <w:sz w:val="22"/>
          <w:szCs w:val="22"/>
        </w:rPr>
        <w:t>ed</w:t>
      </w:r>
      <w:r w:rsidRPr="003127DD" w:rsidR="001506DB">
        <w:rPr>
          <w:sz w:val="22"/>
          <w:szCs w:val="22"/>
        </w:rPr>
        <w:t xml:space="preserve"> in th</w:t>
      </w:r>
      <w:r w:rsidR="006B344A">
        <w:rPr>
          <w:sz w:val="22"/>
          <w:szCs w:val="22"/>
        </w:rPr>
        <w:t>is</w:t>
      </w:r>
      <w:r w:rsidRPr="003127DD" w:rsidR="001506DB">
        <w:rPr>
          <w:sz w:val="22"/>
          <w:szCs w:val="22"/>
        </w:rPr>
        <w:t xml:space="preserve"> pilot test project</w:t>
      </w:r>
      <w:r w:rsidRPr="003127DD" w:rsidR="00F9081A">
        <w:rPr>
          <w:sz w:val="22"/>
          <w:szCs w:val="22"/>
        </w:rPr>
        <w:t xml:space="preserve"> </w:t>
      </w:r>
      <w:r w:rsidRPr="003127DD" w:rsidR="001506DB">
        <w:rPr>
          <w:sz w:val="22"/>
          <w:szCs w:val="22"/>
        </w:rPr>
        <w:t>are intended to lower the per-response</w:t>
      </w:r>
      <w:r w:rsidRPr="003127DD" w:rsidR="000F461A">
        <w:rPr>
          <w:sz w:val="22"/>
          <w:szCs w:val="22"/>
        </w:rPr>
        <w:t xml:space="preserve"> burden for providing </w:t>
      </w:r>
      <w:r w:rsidR="006B344A">
        <w:rPr>
          <w:sz w:val="22"/>
          <w:szCs w:val="22"/>
        </w:rPr>
        <w:t xml:space="preserve">the collected information </w:t>
      </w:r>
      <w:r w:rsidRPr="003127DD" w:rsidR="000F461A">
        <w:rPr>
          <w:sz w:val="22"/>
          <w:szCs w:val="22"/>
        </w:rPr>
        <w:t xml:space="preserve">to TTB.  </w:t>
      </w:r>
      <w:r w:rsidRPr="003127DD" w:rsidR="00EF7F06">
        <w:rPr>
          <w:sz w:val="22"/>
          <w:szCs w:val="22"/>
        </w:rPr>
        <w:t>In turn, this</w:t>
      </w:r>
      <w:r w:rsidRPr="003127DD" w:rsidR="000F461A">
        <w:rPr>
          <w:sz w:val="22"/>
          <w:szCs w:val="22"/>
        </w:rPr>
        <w:t xml:space="preserve"> will lower the </w:t>
      </w:r>
      <w:r w:rsidRPr="003127DD" w:rsidR="00EF7F06">
        <w:rPr>
          <w:sz w:val="22"/>
          <w:szCs w:val="22"/>
        </w:rPr>
        <w:t xml:space="preserve">total </w:t>
      </w:r>
      <w:r w:rsidRPr="003127DD" w:rsidR="000F461A">
        <w:rPr>
          <w:sz w:val="22"/>
          <w:szCs w:val="22"/>
        </w:rPr>
        <w:t xml:space="preserve">annual per-respondent </w:t>
      </w:r>
      <w:r w:rsidRPr="003127DD" w:rsidR="00F9081A">
        <w:rPr>
          <w:sz w:val="22"/>
          <w:szCs w:val="22"/>
        </w:rPr>
        <w:t xml:space="preserve">burden </w:t>
      </w:r>
      <w:r w:rsidRPr="003127DD" w:rsidR="000F461A">
        <w:rPr>
          <w:sz w:val="22"/>
          <w:szCs w:val="22"/>
        </w:rPr>
        <w:t xml:space="preserve">and </w:t>
      </w:r>
      <w:r w:rsidRPr="003127DD" w:rsidR="00EF7F06">
        <w:rPr>
          <w:sz w:val="22"/>
          <w:szCs w:val="22"/>
        </w:rPr>
        <w:t xml:space="preserve">overall </w:t>
      </w:r>
      <w:r w:rsidRPr="003127DD" w:rsidR="000F461A">
        <w:rPr>
          <w:sz w:val="22"/>
          <w:szCs w:val="22"/>
        </w:rPr>
        <w:t xml:space="preserve">total annual burden </w:t>
      </w:r>
      <w:r w:rsidRPr="003127DD" w:rsidR="00EF7F06">
        <w:rPr>
          <w:sz w:val="22"/>
          <w:szCs w:val="22"/>
        </w:rPr>
        <w:t xml:space="preserve">on alcohol excise taxpayers associated with </w:t>
      </w:r>
      <w:r w:rsidRPr="005E0E8D" w:rsidR="00F9081A">
        <w:rPr>
          <w:sz w:val="22"/>
          <w:szCs w:val="22"/>
        </w:rPr>
        <w:t>p</w:t>
      </w:r>
      <w:r w:rsidRPr="005E0E8D" w:rsidR="000F461A">
        <w:rPr>
          <w:sz w:val="22"/>
          <w:szCs w:val="22"/>
        </w:rPr>
        <w:t xml:space="preserve">roviding </w:t>
      </w:r>
      <w:r w:rsidRPr="005E0E8D" w:rsidR="006B344A">
        <w:rPr>
          <w:sz w:val="22"/>
          <w:szCs w:val="22"/>
        </w:rPr>
        <w:t xml:space="preserve">the required </w:t>
      </w:r>
      <w:r w:rsidRPr="005E0E8D" w:rsidR="000F461A">
        <w:rPr>
          <w:sz w:val="22"/>
          <w:szCs w:val="22"/>
        </w:rPr>
        <w:t xml:space="preserve">excise tax return and alcohol operations information to TTB. </w:t>
      </w:r>
    </w:p>
    <w:p w:rsidR="00F9081A" w:rsidRPr="005E0E8D" w:rsidP="00645E4B" w14:paraId="6B1EE1E7" w14:textId="1ACD43E5">
      <w:pPr>
        <w:widowControl/>
        <w:ind w:left="360"/>
        <w:rPr>
          <w:sz w:val="22"/>
          <w:szCs w:val="22"/>
        </w:rPr>
      </w:pPr>
    </w:p>
    <w:p w:rsidR="006B344A" w:rsidRPr="005E0E8D" w:rsidP="00645E4B" w14:paraId="1CB1107D" w14:textId="77310356">
      <w:pPr>
        <w:widowControl/>
        <w:ind w:left="360"/>
        <w:rPr>
          <w:sz w:val="22"/>
          <w:szCs w:val="22"/>
        </w:rPr>
      </w:pPr>
      <w:r w:rsidRPr="005E0E8D">
        <w:rPr>
          <w:sz w:val="22"/>
          <w:szCs w:val="22"/>
        </w:rPr>
        <w:t xml:space="preserve">To participate in the pilot test program, </w:t>
      </w:r>
      <w:r w:rsidRPr="005E0E8D" w:rsidR="00645E4B">
        <w:rPr>
          <w:sz w:val="22"/>
          <w:szCs w:val="22"/>
        </w:rPr>
        <w:t xml:space="preserve">alcohol excise taxpayers will submit a letterhead application </w:t>
      </w:r>
      <w:r w:rsidRPr="005E0E8D" w:rsidR="006C65D6">
        <w:rPr>
          <w:sz w:val="22"/>
          <w:szCs w:val="22"/>
        </w:rPr>
        <w:t xml:space="preserve">to TTB requesting </w:t>
      </w:r>
      <w:r w:rsidRPr="005E0E8D" w:rsidR="00645E4B">
        <w:rPr>
          <w:sz w:val="22"/>
          <w:szCs w:val="22"/>
        </w:rPr>
        <w:t xml:space="preserve">to </w:t>
      </w:r>
      <w:r w:rsidRPr="005E0E8D">
        <w:rPr>
          <w:sz w:val="22"/>
          <w:szCs w:val="22"/>
        </w:rPr>
        <w:t xml:space="preserve">use the combined tax return and </w:t>
      </w:r>
      <w:r w:rsidRPr="005E0E8D" w:rsidR="000F461A">
        <w:rPr>
          <w:sz w:val="22"/>
          <w:szCs w:val="22"/>
        </w:rPr>
        <w:t xml:space="preserve">simplified </w:t>
      </w:r>
      <w:r w:rsidRPr="005E0E8D">
        <w:rPr>
          <w:sz w:val="22"/>
          <w:szCs w:val="22"/>
        </w:rPr>
        <w:t xml:space="preserve">operations report as </w:t>
      </w:r>
      <w:r w:rsidRPr="005E0E8D" w:rsidR="00645E4B">
        <w:rPr>
          <w:sz w:val="22"/>
          <w:szCs w:val="22"/>
        </w:rPr>
        <w:t xml:space="preserve">an alternative method to filing the current </w:t>
      </w:r>
      <w:r w:rsidRPr="005E0E8D" w:rsidR="00224692">
        <w:rPr>
          <w:sz w:val="22"/>
          <w:szCs w:val="22"/>
        </w:rPr>
        <w:t xml:space="preserve">excise </w:t>
      </w:r>
      <w:r w:rsidRPr="005E0E8D" w:rsidR="00645E4B">
        <w:rPr>
          <w:sz w:val="22"/>
          <w:szCs w:val="22"/>
        </w:rPr>
        <w:t xml:space="preserve">tax return and operations report </w:t>
      </w:r>
      <w:r w:rsidRPr="005E0E8D" w:rsidR="000F461A">
        <w:rPr>
          <w:sz w:val="22"/>
          <w:szCs w:val="22"/>
        </w:rPr>
        <w:t xml:space="preserve">forms </w:t>
      </w:r>
      <w:r w:rsidRPr="005E0E8D" w:rsidR="00645E4B">
        <w:rPr>
          <w:sz w:val="22"/>
          <w:szCs w:val="22"/>
        </w:rPr>
        <w:t>under existing regulatory requirements</w:t>
      </w:r>
      <w:r w:rsidRPr="005E0E8D" w:rsidR="00C34C46">
        <w:rPr>
          <w:sz w:val="22"/>
          <w:szCs w:val="22"/>
        </w:rPr>
        <w:t xml:space="preserve">.  Alternate method </w:t>
      </w:r>
      <w:r w:rsidRPr="005E0E8D" w:rsidR="00307351">
        <w:rPr>
          <w:sz w:val="22"/>
          <w:szCs w:val="22"/>
        </w:rPr>
        <w:t xml:space="preserve">letterhead </w:t>
      </w:r>
      <w:r w:rsidRPr="005E0E8D" w:rsidR="00C34C46">
        <w:rPr>
          <w:sz w:val="22"/>
          <w:szCs w:val="22"/>
        </w:rPr>
        <w:t>applications are authorized at 27 CFR 25.52 for brewers</w:t>
      </w:r>
      <w:r w:rsidRPr="005E0E8D" w:rsidR="00307351">
        <w:rPr>
          <w:sz w:val="22"/>
          <w:szCs w:val="22"/>
        </w:rPr>
        <w:t xml:space="preserve">, </w:t>
      </w:r>
      <w:r w:rsidRPr="005E0E8D" w:rsidR="00C34C46">
        <w:rPr>
          <w:sz w:val="22"/>
          <w:szCs w:val="22"/>
        </w:rPr>
        <w:t>27 CFR 24.22 for wine premises operators</w:t>
      </w:r>
      <w:r w:rsidRPr="005E0E8D" w:rsidR="00307351">
        <w:rPr>
          <w:sz w:val="22"/>
          <w:szCs w:val="22"/>
        </w:rPr>
        <w:t>, and 27 C</w:t>
      </w:r>
      <w:r w:rsidRPr="005E0E8D" w:rsidR="00C34C46">
        <w:rPr>
          <w:sz w:val="22"/>
          <w:szCs w:val="22"/>
        </w:rPr>
        <w:t>FR 19.26 and 19.27 for D</w:t>
      </w:r>
      <w:r w:rsidR="00DF0863">
        <w:rPr>
          <w:sz w:val="22"/>
          <w:szCs w:val="22"/>
        </w:rPr>
        <w:t>S</w:t>
      </w:r>
      <w:r w:rsidRPr="005E0E8D" w:rsidR="00C34C46">
        <w:rPr>
          <w:sz w:val="22"/>
          <w:szCs w:val="22"/>
        </w:rPr>
        <w:t>P proprietor</w:t>
      </w:r>
      <w:r w:rsidRPr="005E0E8D" w:rsidR="00307351">
        <w:rPr>
          <w:sz w:val="22"/>
          <w:szCs w:val="22"/>
        </w:rPr>
        <w:t xml:space="preserve">s.  Such letterhead applications are approved under OMB Nos. </w:t>
      </w:r>
      <w:r w:rsidRPr="005E0E8D" w:rsidR="00C34C46">
        <w:rPr>
          <w:sz w:val="22"/>
          <w:szCs w:val="22"/>
        </w:rPr>
        <w:t>1513–00</w:t>
      </w:r>
      <w:r w:rsidRPr="005E0E8D" w:rsidR="00307351">
        <w:rPr>
          <w:sz w:val="22"/>
          <w:szCs w:val="22"/>
        </w:rPr>
        <w:t xml:space="preserve">05, 1513–0057, and 1513–0047, respectively. </w:t>
      </w:r>
      <w:r w:rsidRPr="005E0E8D">
        <w:rPr>
          <w:sz w:val="22"/>
          <w:szCs w:val="22"/>
        </w:rPr>
        <w:t xml:space="preserve"> </w:t>
      </w:r>
    </w:p>
    <w:p w:rsidR="006B344A" w:rsidRPr="005E0E8D" w:rsidP="00645E4B" w14:paraId="50E5AF13" w14:textId="77777777">
      <w:pPr>
        <w:widowControl/>
        <w:ind w:left="360"/>
        <w:rPr>
          <w:sz w:val="22"/>
          <w:szCs w:val="22"/>
        </w:rPr>
      </w:pPr>
    </w:p>
    <w:p w:rsidR="00122B26" w:rsidRPr="00901609" w:rsidP="00E01404" w14:paraId="4DA5F3EF" w14:textId="32719283">
      <w:pPr>
        <w:widowControl/>
        <w:ind w:left="360"/>
        <w:rPr>
          <w:sz w:val="22"/>
          <w:szCs w:val="22"/>
        </w:rPr>
      </w:pPr>
      <w:r w:rsidRPr="005E0E8D">
        <w:rPr>
          <w:sz w:val="22"/>
          <w:szCs w:val="22"/>
        </w:rPr>
        <w:t>Once approved</w:t>
      </w:r>
      <w:r w:rsidRPr="005E0E8D" w:rsidR="00224692">
        <w:rPr>
          <w:sz w:val="22"/>
          <w:szCs w:val="22"/>
        </w:rPr>
        <w:t xml:space="preserve">, alcohol excise </w:t>
      </w:r>
      <w:r w:rsidRPr="005E0E8D">
        <w:rPr>
          <w:sz w:val="22"/>
          <w:szCs w:val="22"/>
        </w:rPr>
        <w:t xml:space="preserve">taxpayers participating in the pilot </w:t>
      </w:r>
      <w:r w:rsidRPr="005E0E8D" w:rsidR="001506DB">
        <w:rPr>
          <w:sz w:val="22"/>
          <w:szCs w:val="22"/>
        </w:rPr>
        <w:t xml:space="preserve">test </w:t>
      </w:r>
      <w:r w:rsidRPr="005E0E8D">
        <w:rPr>
          <w:sz w:val="22"/>
          <w:szCs w:val="22"/>
        </w:rPr>
        <w:t>program will file the</w:t>
      </w:r>
      <w:r w:rsidRPr="005E0E8D" w:rsidR="006C65D6">
        <w:rPr>
          <w:sz w:val="22"/>
          <w:szCs w:val="22"/>
        </w:rPr>
        <w:t xml:space="preserve"> pilot test’s </w:t>
      </w:r>
      <w:r w:rsidRPr="005E0E8D">
        <w:rPr>
          <w:sz w:val="22"/>
          <w:szCs w:val="22"/>
        </w:rPr>
        <w:t xml:space="preserve">combined excise </w:t>
      </w:r>
      <w:r w:rsidRPr="005E0E8D" w:rsidR="006B344A">
        <w:rPr>
          <w:sz w:val="22"/>
          <w:szCs w:val="22"/>
        </w:rPr>
        <w:t xml:space="preserve">tax </w:t>
      </w:r>
      <w:r w:rsidRPr="005E0E8D">
        <w:rPr>
          <w:sz w:val="22"/>
          <w:szCs w:val="22"/>
        </w:rPr>
        <w:t>return</w:t>
      </w:r>
      <w:r w:rsidRPr="005E0E8D" w:rsidR="006C65D6">
        <w:rPr>
          <w:sz w:val="22"/>
          <w:szCs w:val="22"/>
        </w:rPr>
        <w:t>s</w:t>
      </w:r>
      <w:r w:rsidRPr="005E0E8D">
        <w:rPr>
          <w:sz w:val="22"/>
          <w:szCs w:val="22"/>
        </w:rPr>
        <w:t xml:space="preserve"> and </w:t>
      </w:r>
      <w:r w:rsidRPr="005E0E8D" w:rsidR="000F461A">
        <w:rPr>
          <w:sz w:val="22"/>
          <w:szCs w:val="22"/>
        </w:rPr>
        <w:t>simplif</w:t>
      </w:r>
      <w:r w:rsidRPr="005E0E8D">
        <w:rPr>
          <w:sz w:val="22"/>
          <w:szCs w:val="22"/>
        </w:rPr>
        <w:t>ied operations report</w:t>
      </w:r>
      <w:r w:rsidRPr="005E0E8D" w:rsidR="006C65D6">
        <w:rPr>
          <w:sz w:val="22"/>
          <w:szCs w:val="22"/>
        </w:rPr>
        <w:t>s</w:t>
      </w:r>
      <w:r w:rsidRPr="005E0E8D">
        <w:rPr>
          <w:sz w:val="22"/>
          <w:szCs w:val="22"/>
        </w:rPr>
        <w:t xml:space="preserve"> under the due dates currently applicable to their </w:t>
      </w:r>
      <w:r w:rsidRPr="005E0E8D" w:rsidR="006B344A">
        <w:rPr>
          <w:sz w:val="22"/>
          <w:szCs w:val="22"/>
        </w:rPr>
        <w:t xml:space="preserve">expected annual tax liability, </w:t>
      </w:r>
      <w:r w:rsidRPr="005E0E8D" w:rsidR="00224692">
        <w:rPr>
          <w:sz w:val="22"/>
          <w:szCs w:val="22"/>
        </w:rPr>
        <w:t>either semi-monthly, quarterly, or annually</w:t>
      </w:r>
      <w:r w:rsidR="0039567E">
        <w:rPr>
          <w:sz w:val="22"/>
          <w:szCs w:val="22"/>
        </w:rPr>
        <w:t xml:space="preserve">, as </w:t>
      </w:r>
      <w:r w:rsidRPr="005E0E8D" w:rsidR="006B344A">
        <w:rPr>
          <w:sz w:val="22"/>
          <w:szCs w:val="22"/>
        </w:rPr>
        <w:t xml:space="preserve">prescribed in the IRC at 26 U.S.C. 5061 (see footnote 1). </w:t>
      </w:r>
      <w:r w:rsidR="008510AD">
        <w:rPr>
          <w:sz w:val="22"/>
          <w:szCs w:val="22"/>
        </w:rPr>
        <w:t xml:space="preserve"> </w:t>
      </w:r>
      <w:r w:rsidRPr="005E0E8D" w:rsidR="006B344A">
        <w:rPr>
          <w:sz w:val="22"/>
          <w:szCs w:val="22"/>
        </w:rPr>
        <w:t xml:space="preserve">For large alcohol </w:t>
      </w:r>
      <w:r w:rsidR="008510AD">
        <w:rPr>
          <w:sz w:val="22"/>
          <w:szCs w:val="22"/>
        </w:rPr>
        <w:t xml:space="preserve">excise </w:t>
      </w:r>
      <w:r w:rsidRPr="005E0E8D" w:rsidR="006B344A">
        <w:rPr>
          <w:sz w:val="22"/>
          <w:szCs w:val="22"/>
        </w:rPr>
        <w:t xml:space="preserve">taxpayers required to pay </w:t>
      </w:r>
      <w:r w:rsidR="008510AD">
        <w:rPr>
          <w:sz w:val="22"/>
          <w:szCs w:val="22"/>
        </w:rPr>
        <w:t xml:space="preserve">that </w:t>
      </w:r>
      <w:r w:rsidRPr="005E0E8D" w:rsidR="006B344A">
        <w:rPr>
          <w:sz w:val="22"/>
          <w:szCs w:val="22"/>
        </w:rPr>
        <w:t xml:space="preserve">tax on a semi-monthly basis, this pilot </w:t>
      </w:r>
      <w:r w:rsidR="0039567E">
        <w:rPr>
          <w:sz w:val="22"/>
          <w:szCs w:val="22"/>
        </w:rPr>
        <w:t xml:space="preserve">test </w:t>
      </w:r>
      <w:r w:rsidRPr="005E0E8D" w:rsidR="006B344A">
        <w:rPr>
          <w:sz w:val="22"/>
          <w:szCs w:val="22"/>
        </w:rPr>
        <w:t>program</w:t>
      </w:r>
      <w:r w:rsidR="008510AD">
        <w:rPr>
          <w:sz w:val="22"/>
          <w:szCs w:val="22"/>
        </w:rPr>
        <w:t xml:space="preserve"> </w:t>
      </w:r>
      <w:r w:rsidRPr="005E0E8D" w:rsidR="006B344A">
        <w:rPr>
          <w:sz w:val="22"/>
          <w:szCs w:val="22"/>
        </w:rPr>
        <w:t>will include a short “A” form</w:t>
      </w:r>
      <w:r w:rsidR="008510AD">
        <w:rPr>
          <w:sz w:val="22"/>
          <w:szCs w:val="22"/>
        </w:rPr>
        <w:t xml:space="preserve"> </w:t>
      </w:r>
      <w:r w:rsidRPr="005E0E8D" w:rsidR="006B344A">
        <w:rPr>
          <w:sz w:val="22"/>
          <w:szCs w:val="22"/>
        </w:rPr>
        <w:t xml:space="preserve">covering the first semi-monthly taxpayment period and </w:t>
      </w:r>
      <w:r w:rsidRPr="005E0E8D" w:rsidR="005E0E8D">
        <w:rPr>
          <w:sz w:val="22"/>
          <w:szCs w:val="22"/>
        </w:rPr>
        <w:t xml:space="preserve">a </w:t>
      </w:r>
      <w:r w:rsidRPr="005E0E8D" w:rsidR="006B344A">
        <w:rPr>
          <w:sz w:val="22"/>
          <w:szCs w:val="22"/>
        </w:rPr>
        <w:t>long “B” form covering the second semi-monthly taxpayment period and the</w:t>
      </w:r>
      <w:r w:rsidR="0039567E">
        <w:rPr>
          <w:sz w:val="22"/>
          <w:szCs w:val="22"/>
        </w:rPr>
        <w:t xml:space="preserve"> respondent’s </w:t>
      </w:r>
      <w:r w:rsidRPr="005E0E8D" w:rsidR="006B344A">
        <w:rPr>
          <w:sz w:val="22"/>
          <w:szCs w:val="22"/>
        </w:rPr>
        <w:t xml:space="preserve">operations for the month in question.  Smaller alcohol excise taxpayers will </w:t>
      </w:r>
      <w:r w:rsidRPr="00901609" w:rsidR="006B344A">
        <w:rPr>
          <w:sz w:val="22"/>
          <w:szCs w:val="22"/>
        </w:rPr>
        <w:t xml:space="preserve">complete the long “B” form on a quarterly or annual basis, as appropriate for their </w:t>
      </w:r>
      <w:r w:rsidRPr="00901609" w:rsidR="0039567E">
        <w:rPr>
          <w:sz w:val="22"/>
          <w:szCs w:val="22"/>
        </w:rPr>
        <w:t xml:space="preserve">expected </w:t>
      </w:r>
      <w:r w:rsidRPr="00901609" w:rsidR="006B344A">
        <w:rPr>
          <w:sz w:val="22"/>
          <w:szCs w:val="22"/>
        </w:rPr>
        <w:t>annual tax liability</w:t>
      </w:r>
      <w:r w:rsidRPr="00901609" w:rsidR="005E0E8D">
        <w:rPr>
          <w:sz w:val="22"/>
          <w:szCs w:val="22"/>
        </w:rPr>
        <w:t xml:space="preserve">. </w:t>
      </w:r>
    </w:p>
    <w:p w:rsidR="0039567E" w:rsidRPr="00901609" w:rsidP="00E01404" w14:paraId="6A5F2982" w14:textId="5FC83F29">
      <w:pPr>
        <w:widowControl/>
        <w:ind w:left="360"/>
        <w:rPr>
          <w:sz w:val="22"/>
          <w:szCs w:val="22"/>
        </w:rPr>
      </w:pPr>
    </w:p>
    <w:p w:rsidR="0039567E" w:rsidRPr="00901609" w:rsidP="00E01404" w14:paraId="202BE70E" w14:textId="7290C85C">
      <w:pPr>
        <w:widowControl/>
        <w:ind w:left="360"/>
        <w:rPr>
          <w:sz w:val="22"/>
          <w:szCs w:val="22"/>
        </w:rPr>
      </w:pPr>
      <w:r w:rsidRPr="00901609">
        <w:rPr>
          <w:sz w:val="22"/>
          <w:szCs w:val="22"/>
        </w:rPr>
        <w:t>Under this pilot test program, TTB will first issue combined excise tax returns and simplified operations report forms for beer excise taxpayers, the short form TTB F 5130.Pilo</w:t>
      </w:r>
      <w:r w:rsidRPr="00901609">
        <w:rPr>
          <w:sz w:val="22"/>
          <w:szCs w:val="22"/>
        </w:rPr>
        <w:t xml:space="preserve">t-A and the long form TTB F 5130.Pilot-B.  TTB will issue similar pilot test forms for wine and distilled excise taxpayers at later dates. </w:t>
      </w:r>
    </w:p>
    <w:p w:rsidR="00645E4B" w:rsidRPr="00901609" w:rsidP="00E01404" w14:paraId="7CFB025A" w14:textId="449630E7">
      <w:pPr>
        <w:widowControl/>
        <w:ind w:left="360"/>
        <w:rPr>
          <w:sz w:val="22"/>
          <w:szCs w:val="22"/>
        </w:rPr>
      </w:pPr>
    </w:p>
    <w:p w:rsidR="00645E4B" w:rsidRPr="005E0E8D" w:rsidP="00E01404" w14:paraId="50DEF1A6" w14:textId="2E5A01B7">
      <w:pPr>
        <w:widowControl/>
        <w:ind w:left="360"/>
        <w:rPr>
          <w:sz w:val="22"/>
          <w:szCs w:val="22"/>
        </w:rPr>
      </w:pPr>
      <w:r w:rsidRPr="00901609">
        <w:rPr>
          <w:sz w:val="22"/>
          <w:szCs w:val="22"/>
        </w:rPr>
        <w:t>The collected information is necessary to protect the revenue and ensure compliance with the statutory requirements</w:t>
      </w:r>
      <w:r w:rsidRPr="00901609">
        <w:rPr>
          <w:sz w:val="22"/>
          <w:szCs w:val="22"/>
        </w:rPr>
        <w:t xml:space="preserve"> of the IRC and their related regulations.  As with the current, separate alcohol excise tax returns and operations reports, t</w:t>
      </w:r>
      <w:r w:rsidRPr="00901609" w:rsidR="006B344A">
        <w:rPr>
          <w:sz w:val="22"/>
          <w:szCs w:val="22"/>
        </w:rPr>
        <w:t xml:space="preserve">he </w:t>
      </w:r>
      <w:r w:rsidRPr="00901609">
        <w:rPr>
          <w:sz w:val="22"/>
          <w:szCs w:val="22"/>
        </w:rPr>
        <w:t>information collected on the pilot test tax return an</w:t>
      </w:r>
      <w:r w:rsidRPr="005E0E8D">
        <w:rPr>
          <w:sz w:val="22"/>
          <w:szCs w:val="22"/>
        </w:rPr>
        <w:t xml:space="preserve">d simplified operations report forms </w:t>
      </w:r>
      <w:r w:rsidRPr="005E0E8D" w:rsidR="006B344A">
        <w:rPr>
          <w:sz w:val="22"/>
          <w:szCs w:val="22"/>
        </w:rPr>
        <w:t xml:space="preserve">will allow TTB to identify the excise taxpayer, the amount of taxes due, and the amount of tax paid, and also will allow TTB to identify the amount of distilled spirits, wine, or beer the taxpayer produced, removed, transferred, and disposed of during the reporting period, which </w:t>
      </w:r>
      <w:r w:rsidR="00DB5EB5">
        <w:rPr>
          <w:sz w:val="22"/>
          <w:szCs w:val="22"/>
        </w:rPr>
        <w:t>a</w:t>
      </w:r>
      <w:r w:rsidRPr="005E0E8D" w:rsidR="006B344A">
        <w:rPr>
          <w:sz w:val="22"/>
          <w:szCs w:val="22"/>
        </w:rPr>
        <w:t>ffects the amount of alcohol excise tax due.</w:t>
      </w:r>
      <w:r w:rsidRPr="005E0E8D">
        <w:rPr>
          <w:sz w:val="22"/>
          <w:szCs w:val="22"/>
        </w:rPr>
        <w:t xml:space="preserve"> </w:t>
      </w:r>
    </w:p>
    <w:p w:rsidR="005949DD" w:rsidRPr="005E0E8D" w:rsidP="00961B34" w14:paraId="0AEBF6AD" w14:textId="77777777">
      <w:pPr>
        <w:widowControl/>
        <w:autoSpaceDE/>
        <w:autoSpaceDN/>
        <w:adjustRightInd/>
        <w:ind w:left="360"/>
        <w:rPr>
          <w:sz w:val="22"/>
          <w:szCs w:val="22"/>
        </w:rPr>
      </w:pPr>
    </w:p>
    <w:p w:rsidR="007434C4" w:rsidRPr="005E0E8D" w:rsidP="007F7D48" w14:paraId="485ADC0A" w14:textId="77777777">
      <w:pPr>
        <w:widowControl/>
        <w:suppressAutoHyphens/>
        <w:spacing w:after="120"/>
        <w:ind w:left="360"/>
        <w:rPr>
          <w:sz w:val="22"/>
          <w:szCs w:val="22"/>
        </w:rPr>
      </w:pPr>
      <w:r w:rsidRPr="005E0E8D">
        <w:rPr>
          <w:sz w:val="22"/>
          <w:szCs w:val="22"/>
        </w:rPr>
        <w:t xml:space="preserve">This information collection is aligned with –– </w:t>
      </w:r>
    </w:p>
    <w:p w:rsidR="007434C4" w:rsidRPr="005E0E8D" w:rsidP="007F7D48" w14:paraId="60B84B2A" w14:textId="77777777">
      <w:pPr>
        <w:widowControl/>
        <w:numPr>
          <w:ilvl w:val="0"/>
          <w:numId w:val="3"/>
        </w:numPr>
        <w:suppressAutoHyphens/>
        <w:autoSpaceDE/>
        <w:autoSpaceDN/>
        <w:adjustRightInd/>
        <w:spacing w:after="120"/>
        <w:ind w:left="1080"/>
        <w:rPr>
          <w:sz w:val="22"/>
          <w:szCs w:val="22"/>
        </w:rPr>
      </w:pPr>
      <w:r w:rsidRPr="005E0E8D">
        <w:rPr>
          <w:sz w:val="22"/>
          <w:szCs w:val="22"/>
          <w:u w:val="single"/>
        </w:rPr>
        <w:t>Line of Business/Sub-function:</w:t>
      </w:r>
      <w:r w:rsidRPr="005E0E8D">
        <w:rPr>
          <w:sz w:val="22"/>
          <w:szCs w:val="22"/>
        </w:rPr>
        <w:t xml:space="preserve">  </w:t>
      </w:r>
      <w:r w:rsidRPr="005E0E8D" w:rsidR="00545D85">
        <w:rPr>
          <w:sz w:val="22"/>
          <w:szCs w:val="22"/>
        </w:rPr>
        <w:t>General Government/Taxation Management</w:t>
      </w:r>
      <w:r w:rsidRPr="005E0E8D" w:rsidR="00F7115D">
        <w:rPr>
          <w:sz w:val="22"/>
          <w:szCs w:val="22"/>
        </w:rPr>
        <w:t>.</w:t>
      </w:r>
      <w:r w:rsidRPr="005E0E8D">
        <w:rPr>
          <w:sz w:val="22"/>
          <w:szCs w:val="22"/>
        </w:rPr>
        <w:t xml:space="preserve"> </w:t>
      </w:r>
    </w:p>
    <w:p w:rsidR="007434C4" w:rsidRPr="005E0E8D" w:rsidP="007F7D48" w14:paraId="19287ACE" w14:textId="4DCCAC1B">
      <w:pPr>
        <w:widowControl/>
        <w:numPr>
          <w:ilvl w:val="0"/>
          <w:numId w:val="3"/>
        </w:numPr>
        <w:suppressAutoHyphens/>
        <w:autoSpaceDE/>
        <w:autoSpaceDN/>
        <w:adjustRightInd/>
        <w:ind w:left="1080"/>
        <w:rPr>
          <w:sz w:val="22"/>
          <w:szCs w:val="22"/>
        </w:rPr>
      </w:pPr>
      <w:r w:rsidRPr="005E0E8D">
        <w:rPr>
          <w:sz w:val="22"/>
          <w:szCs w:val="22"/>
          <w:u w:val="single"/>
        </w:rPr>
        <w:t>IT Investment:</w:t>
      </w:r>
      <w:r w:rsidRPr="005E0E8D">
        <w:rPr>
          <w:sz w:val="22"/>
          <w:szCs w:val="22"/>
        </w:rPr>
        <w:t xml:space="preserve">  </w:t>
      </w:r>
      <w:r w:rsidRPr="00901609" w:rsidR="00901609">
        <w:rPr>
          <w:sz w:val="22"/>
          <w:szCs w:val="22"/>
        </w:rPr>
        <w:t>Integrated Revenue Information System</w:t>
      </w:r>
      <w:r w:rsidR="00901609">
        <w:rPr>
          <w:sz w:val="22"/>
          <w:szCs w:val="22"/>
        </w:rPr>
        <w:t>,</w:t>
      </w:r>
      <w:r w:rsidRPr="005E0E8D" w:rsidR="006544D7">
        <w:rPr>
          <w:sz w:val="22"/>
          <w:szCs w:val="22"/>
        </w:rPr>
        <w:t xml:space="preserve"> and Pay.gov</w:t>
      </w:r>
      <w:r w:rsidRPr="005E0E8D" w:rsidR="00F7115D">
        <w:rPr>
          <w:sz w:val="22"/>
          <w:szCs w:val="22"/>
        </w:rPr>
        <w:t>.</w:t>
      </w:r>
      <w:r w:rsidRPr="005E0E8D">
        <w:rPr>
          <w:sz w:val="22"/>
          <w:szCs w:val="22"/>
        </w:rPr>
        <w:t xml:space="preserve"> </w:t>
      </w:r>
    </w:p>
    <w:p w:rsidR="007434C4" w:rsidRPr="0037462A" w:rsidP="007F7D48" w14:paraId="40FBDD92" w14:textId="77777777">
      <w:pPr>
        <w:widowControl/>
        <w:tabs>
          <w:tab w:val="left" w:pos="540"/>
        </w:tabs>
        <w:ind w:left="540" w:hanging="540"/>
        <w:rPr>
          <w:sz w:val="28"/>
          <w:szCs w:val="28"/>
        </w:rPr>
      </w:pPr>
    </w:p>
    <w:p w:rsidR="00533D2D" w:rsidRPr="0037462A" w:rsidP="00E01404" w14:paraId="196FEE60" w14:textId="602C066D">
      <w:pPr>
        <w:widowControl/>
        <w:tabs>
          <w:tab w:val="left" w:pos="540"/>
        </w:tabs>
        <w:ind w:left="540" w:hanging="540"/>
        <w:rPr>
          <w:i/>
          <w:sz w:val="22"/>
          <w:szCs w:val="22"/>
        </w:rPr>
      </w:pPr>
      <w:r>
        <w:rPr>
          <w:i/>
          <w:sz w:val="22"/>
          <w:szCs w:val="22"/>
        </w:rPr>
        <w:t>2</w:t>
      </w:r>
      <w:r w:rsidRPr="0037462A" w:rsidR="00B743A7">
        <w:rPr>
          <w:i/>
          <w:sz w:val="22"/>
          <w:szCs w:val="22"/>
        </w:rPr>
        <w:t>.  H</w:t>
      </w:r>
      <w:r w:rsidRPr="0037462A">
        <w:rPr>
          <w:i/>
          <w:sz w:val="22"/>
          <w:szCs w:val="22"/>
        </w:rPr>
        <w:t xml:space="preserve">ow, by whom, and for </w:t>
      </w:r>
      <w:r w:rsidRPr="0037462A">
        <w:rPr>
          <w:i/>
          <w:sz w:val="22"/>
          <w:szCs w:val="22"/>
        </w:rPr>
        <w:t>what purpose is this information used?</w:t>
      </w:r>
      <w:r w:rsidRPr="0037462A" w:rsidR="00F7115D">
        <w:rPr>
          <w:i/>
          <w:sz w:val="22"/>
          <w:szCs w:val="22"/>
        </w:rPr>
        <w:t xml:space="preserve"> </w:t>
      </w:r>
    </w:p>
    <w:p w:rsidR="00533D2D" w:rsidRPr="0037462A" w:rsidP="00E01404" w14:paraId="7618A586" w14:textId="77777777">
      <w:pPr>
        <w:widowControl/>
        <w:ind w:left="360"/>
        <w:rPr>
          <w:sz w:val="22"/>
          <w:szCs w:val="22"/>
        </w:rPr>
      </w:pPr>
    </w:p>
    <w:p w:rsidR="005E0E8D" w:rsidRPr="005E0E8D" w:rsidP="003C4517" w14:paraId="6D72D76C" w14:textId="4E008C8A">
      <w:pPr>
        <w:widowControl/>
        <w:ind w:left="360"/>
        <w:rPr>
          <w:sz w:val="22"/>
          <w:szCs w:val="22"/>
        </w:rPr>
      </w:pPr>
      <w:r w:rsidRPr="0037462A">
        <w:rPr>
          <w:sz w:val="22"/>
          <w:szCs w:val="22"/>
        </w:rPr>
        <w:t xml:space="preserve">TTB uses the collected information to collect and protect the revenue and to ensure industry member compliance with the statutory requirements of the IRC and the related regulations.  The collected information </w:t>
      </w:r>
      <w:r w:rsidRPr="0037462A" w:rsidR="003C4517">
        <w:rPr>
          <w:sz w:val="22"/>
          <w:szCs w:val="22"/>
        </w:rPr>
        <w:t>allows</w:t>
      </w:r>
      <w:r w:rsidRPr="0037462A">
        <w:rPr>
          <w:sz w:val="22"/>
          <w:szCs w:val="22"/>
        </w:rPr>
        <w:t xml:space="preserve"> TTB to identify the alcohol excise taxpayer, </w:t>
      </w:r>
      <w:r w:rsidRPr="0037462A" w:rsidR="003C4517">
        <w:rPr>
          <w:sz w:val="22"/>
          <w:szCs w:val="22"/>
        </w:rPr>
        <w:t xml:space="preserve">determine </w:t>
      </w:r>
      <w:r w:rsidRPr="0037462A">
        <w:rPr>
          <w:sz w:val="22"/>
          <w:szCs w:val="22"/>
        </w:rPr>
        <w:t xml:space="preserve">the </w:t>
      </w:r>
      <w:r w:rsidRPr="0037462A">
        <w:rPr>
          <w:sz w:val="22"/>
          <w:szCs w:val="22"/>
        </w:rPr>
        <w:t xml:space="preserve">amount of excise taxes due and paid, and </w:t>
      </w:r>
      <w:r w:rsidRPr="0037462A" w:rsidR="003C4517">
        <w:rPr>
          <w:sz w:val="22"/>
          <w:szCs w:val="22"/>
        </w:rPr>
        <w:t xml:space="preserve">document </w:t>
      </w:r>
      <w:r w:rsidRPr="0037462A">
        <w:rPr>
          <w:sz w:val="22"/>
          <w:szCs w:val="22"/>
        </w:rPr>
        <w:t xml:space="preserve">the amount of alcohol produced, removed, transferred, and disposed of during the reporting period, which </w:t>
      </w:r>
      <w:r w:rsidR="004F310B">
        <w:rPr>
          <w:sz w:val="22"/>
          <w:szCs w:val="22"/>
        </w:rPr>
        <w:t>a</w:t>
      </w:r>
      <w:r w:rsidRPr="0037462A">
        <w:rPr>
          <w:sz w:val="22"/>
          <w:szCs w:val="22"/>
        </w:rPr>
        <w:t>ffects the amount of alcohol excise tax</w:t>
      </w:r>
      <w:r w:rsidRPr="0037462A">
        <w:rPr>
          <w:sz w:val="22"/>
          <w:szCs w:val="22"/>
        </w:rPr>
        <w:t xml:space="preserve">es due.  </w:t>
      </w:r>
      <w:r w:rsidRPr="0037462A" w:rsidR="0037462A">
        <w:rPr>
          <w:sz w:val="22"/>
          <w:szCs w:val="22"/>
        </w:rPr>
        <w:t xml:space="preserve">TTB examines the provided information to identify </w:t>
      </w:r>
      <w:r w:rsidRPr="0037462A" w:rsidR="003C4517">
        <w:rPr>
          <w:sz w:val="22"/>
          <w:szCs w:val="22"/>
        </w:rPr>
        <w:t xml:space="preserve">jeopardy to the revenue or lack of compliance with statutory and regulatory requirements, </w:t>
      </w:r>
      <w:r w:rsidRPr="0037462A" w:rsidR="0037462A">
        <w:rPr>
          <w:sz w:val="22"/>
          <w:szCs w:val="22"/>
        </w:rPr>
        <w:t xml:space="preserve">which allows TTB </w:t>
      </w:r>
      <w:r w:rsidRPr="0037462A" w:rsidR="003C4517">
        <w:rPr>
          <w:sz w:val="22"/>
          <w:szCs w:val="22"/>
        </w:rPr>
        <w:t xml:space="preserve">to focus its limited resources on problematic operations and perform audits and field inspections with minimal disruption to regulated industry members.  In addition, TTB uses the collected operational information to </w:t>
      </w:r>
      <w:r w:rsidRPr="0037462A">
        <w:rPr>
          <w:sz w:val="22"/>
          <w:szCs w:val="22"/>
        </w:rPr>
        <w:t xml:space="preserve">compile and publish </w:t>
      </w:r>
      <w:r w:rsidRPr="0037462A" w:rsidR="003C4517">
        <w:rPr>
          <w:sz w:val="22"/>
          <w:szCs w:val="22"/>
        </w:rPr>
        <w:t xml:space="preserve">generalized alcohol industry </w:t>
      </w:r>
      <w:r w:rsidRPr="0037462A">
        <w:rPr>
          <w:sz w:val="22"/>
          <w:szCs w:val="22"/>
        </w:rPr>
        <w:t>statistical reports</w:t>
      </w:r>
      <w:r w:rsidRPr="0037462A" w:rsidR="0037462A">
        <w:rPr>
          <w:sz w:val="22"/>
          <w:szCs w:val="22"/>
        </w:rPr>
        <w:t xml:space="preserve">, and to determine the amount of excise tax revenue </w:t>
      </w:r>
      <w:r w:rsidRPr="005E0E8D">
        <w:rPr>
          <w:sz w:val="22"/>
          <w:szCs w:val="22"/>
        </w:rPr>
        <w:t>generated by distilled spirits brought into the United States from Puerto Rico and the U.S. Virgin Islands to be transferred to their governments as prescribed by 26 U.S.C. 76</w:t>
      </w:r>
      <w:r w:rsidRPr="005E0E8D">
        <w:rPr>
          <w:sz w:val="22"/>
          <w:szCs w:val="22"/>
        </w:rPr>
        <w:t xml:space="preserve">52. </w:t>
      </w:r>
    </w:p>
    <w:p w:rsidR="005E0E8D" w:rsidRPr="005E0E8D" w:rsidP="005E0E8D" w14:paraId="69BF3920" w14:textId="77777777">
      <w:pPr>
        <w:widowControl/>
        <w:autoSpaceDE/>
        <w:autoSpaceDN/>
        <w:adjustRightInd/>
        <w:rPr>
          <w:sz w:val="28"/>
          <w:szCs w:val="28"/>
        </w:rPr>
      </w:pPr>
    </w:p>
    <w:p w:rsidR="008820FE" w:rsidRPr="001F34EF" w:rsidP="00E01404" w14:paraId="05246D4C" w14:textId="77777777">
      <w:pPr>
        <w:widowControl/>
        <w:suppressAutoHyphens/>
        <w:rPr>
          <w:i/>
          <w:sz w:val="22"/>
          <w:szCs w:val="22"/>
        </w:rPr>
      </w:pPr>
      <w:r w:rsidRPr="001F34EF">
        <w:rPr>
          <w:i/>
          <w:sz w:val="22"/>
          <w:szCs w:val="22"/>
        </w:rPr>
        <w:t>3.  To what extent does this collection of information involve the use of automated, electronic, mechanical, or other technological collection techniques or other forms of information technology?  What consideration is given to use information techno</w:t>
      </w:r>
      <w:r w:rsidRPr="001F34EF">
        <w:rPr>
          <w:i/>
          <w:sz w:val="22"/>
          <w:szCs w:val="22"/>
        </w:rPr>
        <w:t xml:space="preserve">logy to reduce burden? </w:t>
      </w:r>
    </w:p>
    <w:p w:rsidR="008820FE" w:rsidRPr="001F34EF" w:rsidP="00E01404" w14:paraId="6181BFAB" w14:textId="77777777">
      <w:pPr>
        <w:widowControl/>
        <w:suppressAutoHyphens/>
        <w:rPr>
          <w:sz w:val="22"/>
          <w:szCs w:val="22"/>
        </w:rPr>
      </w:pPr>
    </w:p>
    <w:p w:rsidR="00ED7A79" w:rsidRPr="001F34EF" w:rsidP="00ED7A79" w14:paraId="6C109CE2" w14:textId="06DBB845">
      <w:pPr>
        <w:widowControl/>
        <w:ind w:left="360"/>
        <w:rPr>
          <w:sz w:val="22"/>
          <w:szCs w:val="22"/>
        </w:rPr>
      </w:pPr>
      <w:r w:rsidRPr="001F34EF">
        <w:rPr>
          <w:sz w:val="22"/>
          <w:szCs w:val="22"/>
        </w:rPr>
        <w:t xml:space="preserve">Under the pilot test program, accepted beer excise taxpayers will be able to submit the combined </w:t>
      </w:r>
      <w:r w:rsidRPr="001F34EF" w:rsidR="000E59C2">
        <w:rPr>
          <w:sz w:val="22"/>
          <w:szCs w:val="22"/>
        </w:rPr>
        <w:t xml:space="preserve">beer </w:t>
      </w:r>
      <w:r w:rsidRPr="001F34EF">
        <w:rPr>
          <w:sz w:val="22"/>
          <w:szCs w:val="22"/>
        </w:rPr>
        <w:t xml:space="preserve">excise tax return and operations report forms using the Pay.gov website; see </w:t>
      </w:r>
      <w:r w:rsidRPr="001F34EF" w:rsidR="000E59C2">
        <w:rPr>
          <w:i/>
          <w:iCs/>
          <w:sz w:val="22"/>
          <w:szCs w:val="22"/>
        </w:rPr>
        <w:t>https://www.ttb.gov/epayment</w:t>
      </w:r>
      <w:r w:rsidRPr="001F34EF" w:rsidR="000E59C2">
        <w:rPr>
          <w:sz w:val="22"/>
          <w:szCs w:val="22"/>
        </w:rPr>
        <w:t xml:space="preserve"> and </w:t>
      </w:r>
      <w:r w:rsidRPr="001F34EF">
        <w:rPr>
          <w:i/>
          <w:iCs/>
          <w:sz w:val="22"/>
          <w:szCs w:val="22"/>
        </w:rPr>
        <w:t>https:</w:t>
      </w:r>
      <w:r w:rsidRPr="001F34EF" w:rsidR="006544D7">
        <w:rPr>
          <w:i/>
          <w:iCs/>
          <w:sz w:val="22"/>
          <w:szCs w:val="22"/>
        </w:rPr>
        <w:t>//</w:t>
      </w:r>
      <w:r w:rsidRPr="001F34EF" w:rsidR="006544D7">
        <w:rPr>
          <w:i/>
          <w:sz w:val="22"/>
          <w:szCs w:val="22"/>
        </w:rPr>
        <w:t>www.pay.gov/public/login</w:t>
      </w:r>
      <w:r w:rsidRPr="001F34EF" w:rsidR="006544D7">
        <w:rPr>
          <w:sz w:val="22"/>
          <w:szCs w:val="22"/>
        </w:rPr>
        <w:t>.</w:t>
      </w:r>
      <w:r w:rsidRPr="001F34EF" w:rsidR="007E2915">
        <w:rPr>
          <w:sz w:val="22"/>
          <w:szCs w:val="22"/>
        </w:rPr>
        <w:t xml:space="preserve"> </w:t>
      </w:r>
      <w:r w:rsidRPr="001F34EF">
        <w:rPr>
          <w:sz w:val="22"/>
          <w:szCs w:val="22"/>
        </w:rPr>
        <w:t xml:space="preserve"> </w:t>
      </w:r>
      <w:r w:rsidRPr="001F34EF" w:rsidR="0039567E">
        <w:rPr>
          <w:sz w:val="22"/>
          <w:szCs w:val="22"/>
        </w:rPr>
        <w:t xml:space="preserve">Also, </w:t>
      </w:r>
      <w:r w:rsidRPr="001F34EF" w:rsidR="000E59C2">
        <w:rPr>
          <w:sz w:val="22"/>
          <w:szCs w:val="22"/>
        </w:rPr>
        <w:t xml:space="preserve">the </w:t>
      </w:r>
      <w:r w:rsidRPr="001F34EF" w:rsidR="0039567E">
        <w:rPr>
          <w:sz w:val="22"/>
          <w:szCs w:val="22"/>
        </w:rPr>
        <w:t xml:space="preserve">combined </w:t>
      </w:r>
      <w:r w:rsidRPr="001F34EF" w:rsidR="000E59C2">
        <w:rPr>
          <w:sz w:val="22"/>
          <w:szCs w:val="22"/>
        </w:rPr>
        <w:t xml:space="preserve">beer excise </w:t>
      </w:r>
      <w:r w:rsidRPr="001F34EF" w:rsidR="0039567E">
        <w:rPr>
          <w:sz w:val="22"/>
          <w:szCs w:val="22"/>
        </w:rPr>
        <w:t xml:space="preserve">tax return and operations report forms and </w:t>
      </w:r>
      <w:r w:rsidRPr="001F34EF" w:rsidR="000E59C2">
        <w:rPr>
          <w:sz w:val="22"/>
          <w:szCs w:val="22"/>
        </w:rPr>
        <w:t xml:space="preserve">their </w:t>
      </w:r>
      <w:r w:rsidRPr="001F34EF" w:rsidR="0039567E">
        <w:rPr>
          <w:sz w:val="22"/>
          <w:szCs w:val="22"/>
        </w:rPr>
        <w:t>instructions are available for printing at no cost to respondents on the TTB website</w:t>
      </w:r>
      <w:r w:rsidRPr="001F34EF" w:rsidR="000E59C2">
        <w:rPr>
          <w:sz w:val="22"/>
          <w:szCs w:val="22"/>
        </w:rPr>
        <w:t xml:space="preserve"> at </w:t>
      </w:r>
      <w:r w:rsidRPr="001F34EF" w:rsidR="007F7D48">
        <w:rPr>
          <w:i/>
          <w:sz w:val="22"/>
          <w:szCs w:val="22"/>
        </w:rPr>
        <w:t>https://www.ttb.gov/forms</w:t>
      </w:r>
      <w:r w:rsidRPr="001F34EF" w:rsidR="007F7D48">
        <w:rPr>
          <w:sz w:val="22"/>
          <w:szCs w:val="22"/>
        </w:rPr>
        <w:t xml:space="preserve">.  </w:t>
      </w:r>
      <w:r w:rsidRPr="001F34EF" w:rsidR="000E59C2">
        <w:rPr>
          <w:sz w:val="22"/>
          <w:szCs w:val="22"/>
        </w:rPr>
        <w:t xml:space="preserve">(Electronic and paper availability for similar forms for wine and distilled spirits taxpayers will be determined when those forms are ready for pilot testing.) </w:t>
      </w:r>
    </w:p>
    <w:p w:rsidR="00533D2D" w:rsidRPr="001F34EF" w:rsidP="00E01404" w14:paraId="5A50A814" w14:textId="77777777">
      <w:pPr>
        <w:widowControl/>
        <w:tabs>
          <w:tab w:val="left" w:pos="540"/>
        </w:tabs>
        <w:ind w:left="540" w:hanging="540"/>
        <w:rPr>
          <w:sz w:val="28"/>
          <w:szCs w:val="28"/>
        </w:rPr>
      </w:pPr>
    </w:p>
    <w:p w:rsidR="008820FE" w:rsidRPr="001F34EF" w:rsidP="00E01404" w14:paraId="634CEC31" w14:textId="77777777">
      <w:pPr>
        <w:widowControl/>
        <w:suppressAutoHyphens/>
        <w:rPr>
          <w:i/>
          <w:sz w:val="22"/>
          <w:szCs w:val="22"/>
        </w:rPr>
      </w:pPr>
      <w:r w:rsidRPr="001F34EF">
        <w:rPr>
          <w:i/>
          <w:sz w:val="22"/>
          <w:szCs w:val="22"/>
        </w:rPr>
        <w:t xml:space="preserve">4.  What efforts are used to identify duplication?  Can similar information already available </w:t>
      </w:r>
      <w:r w:rsidRPr="001F34EF">
        <w:rPr>
          <w:i/>
          <w:sz w:val="22"/>
          <w:szCs w:val="22"/>
        </w:rPr>
        <w:t xml:space="preserve">be used or modified for use for the purposes described in Item 2 above? </w:t>
      </w:r>
    </w:p>
    <w:p w:rsidR="008820FE" w:rsidRPr="001F34EF" w:rsidP="00E01404" w14:paraId="190E0758" w14:textId="77777777">
      <w:pPr>
        <w:widowControl/>
        <w:suppressAutoHyphens/>
        <w:rPr>
          <w:sz w:val="22"/>
          <w:szCs w:val="22"/>
        </w:rPr>
      </w:pPr>
    </w:p>
    <w:p w:rsidR="00D81BDA" w:rsidRPr="001F34EF" w:rsidP="00E01404" w14:paraId="4A3C71E4" w14:textId="32476C5F">
      <w:pPr>
        <w:widowControl/>
        <w:suppressAutoHyphens/>
        <w:spacing w:line="240" w:lineRule="atLeast"/>
        <w:ind w:left="360"/>
        <w:rPr>
          <w:sz w:val="22"/>
          <w:szCs w:val="22"/>
        </w:rPr>
      </w:pPr>
      <w:r w:rsidRPr="001F34EF">
        <w:rPr>
          <w:sz w:val="22"/>
          <w:szCs w:val="22"/>
        </w:rPr>
        <w:t xml:space="preserve">The information collected on </w:t>
      </w:r>
      <w:r w:rsidRPr="001F34EF" w:rsidR="000E59C2">
        <w:rPr>
          <w:sz w:val="22"/>
          <w:szCs w:val="22"/>
        </w:rPr>
        <w:t xml:space="preserve">the combined alcohol excise tax return and operations report forms in this pilot test </w:t>
      </w:r>
      <w:r w:rsidRPr="001F34EF">
        <w:rPr>
          <w:sz w:val="22"/>
          <w:szCs w:val="22"/>
        </w:rPr>
        <w:t xml:space="preserve">is specific to each respondent and their </w:t>
      </w:r>
      <w:r w:rsidRPr="001F34EF" w:rsidR="000E59C2">
        <w:rPr>
          <w:sz w:val="22"/>
          <w:szCs w:val="22"/>
        </w:rPr>
        <w:t xml:space="preserve">Federal alcohol </w:t>
      </w:r>
      <w:r w:rsidRPr="001F34EF">
        <w:rPr>
          <w:sz w:val="22"/>
          <w:szCs w:val="22"/>
        </w:rPr>
        <w:t xml:space="preserve">excise tax liability </w:t>
      </w:r>
      <w:r w:rsidRPr="001F34EF" w:rsidR="000E59C2">
        <w:rPr>
          <w:sz w:val="22"/>
          <w:szCs w:val="22"/>
        </w:rPr>
        <w:t xml:space="preserve">and operational activities </w:t>
      </w:r>
      <w:r w:rsidRPr="001F34EF">
        <w:rPr>
          <w:sz w:val="22"/>
          <w:szCs w:val="22"/>
        </w:rPr>
        <w:t>for a particular time period.  TTB is the only agency that collec</w:t>
      </w:r>
      <w:r w:rsidRPr="001F34EF">
        <w:rPr>
          <w:sz w:val="22"/>
          <w:szCs w:val="22"/>
        </w:rPr>
        <w:t xml:space="preserve">ts </w:t>
      </w:r>
      <w:r w:rsidRPr="001F34EF" w:rsidR="000E59C2">
        <w:rPr>
          <w:sz w:val="22"/>
          <w:szCs w:val="22"/>
        </w:rPr>
        <w:t xml:space="preserve">these excise </w:t>
      </w:r>
      <w:r w:rsidRPr="001F34EF" w:rsidR="001156D5">
        <w:rPr>
          <w:sz w:val="22"/>
          <w:szCs w:val="22"/>
        </w:rPr>
        <w:t>taxes</w:t>
      </w:r>
      <w:r w:rsidRPr="001F34EF">
        <w:rPr>
          <w:sz w:val="22"/>
          <w:szCs w:val="22"/>
        </w:rPr>
        <w:t xml:space="preserve">, and the required information is not available from other sources. </w:t>
      </w:r>
    </w:p>
    <w:p w:rsidR="00533D2D" w:rsidRPr="001F34EF" w:rsidP="00E01404" w14:paraId="0BEA1724" w14:textId="77777777">
      <w:pPr>
        <w:widowControl/>
        <w:rPr>
          <w:sz w:val="28"/>
          <w:szCs w:val="28"/>
        </w:rPr>
      </w:pPr>
    </w:p>
    <w:p w:rsidR="008820FE" w:rsidRPr="001F34EF" w:rsidP="00E01404" w14:paraId="2E86755B" w14:textId="77777777">
      <w:pPr>
        <w:widowControl/>
        <w:suppressAutoHyphens/>
        <w:rPr>
          <w:i/>
          <w:sz w:val="22"/>
          <w:szCs w:val="22"/>
        </w:rPr>
      </w:pPr>
      <w:r w:rsidRPr="001F34EF">
        <w:rPr>
          <w:i/>
          <w:sz w:val="22"/>
          <w:szCs w:val="22"/>
        </w:rPr>
        <w:t xml:space="preserve">5.  If this collection of information impacts small businesses or other small entities, what methods are used to minimize burden? </w:t>
      </w:r>
    </w:p>
    <w:p w:rsidR="008820FE" w:rsidRPr="001F34EF" w:rsidP="00E01404" w14:paraId="7750DD27" w14:textId="77777777">
      <w:pPr>
        <w:widowControl/>
        <w:suppressAutoHyphens/>
        <w:ind w:left="480" w:hanging="480"/>
        <w:rPr>
          <w:sz w:val="22"/>
          <w:szCs w:val="22"/>
        </w:rPr>
      </w:pPr>
    </w:p>
    <w:p w:rsidR="001F34EF" w:rsidRPr="001F34EF" w:rsidP="0037759F" w14:paraId="07A8CC45" w14:textId="2B85467C">
      <w:pPr>
        <w:widowControl/>
        <w:ind w:left="360"/>
        <w:rPr>
          <w:sz w:val="22"/>
          <w:szCs w:val="22"/>
        </w:rPr>
      </w:pPr>
      <w:r w:rsidRPr="001F34EF">
        <w:rPr>
          <w:sz w:val="22"/>
          <w:szCs w:val="22"/>
        </w:rPr>
        <w:t>As explained above, all</w:t>
      </w:r>
      <w:r w:rsidRPr="001F34EF" w:rsidR="009C7F85">
        <w:rPr>
          <w:sz w:val="22"/>
          <w:szCs w:val="22"/>
        </w:rPr>
        <w:t xml:space="preserve"> </w:t>
      </w:r>
      <w:r w:rsidRPr="001F34EF" w:rsidR="002F5774">
        <w:rPr>
          <w:sz w:val="22"/>
          <w:szCs w:val="22"/>
        </w:rPr>
        <w:t>e</w:t>
      </w:r>
      <w:r w:rsidRPr="001F34EF" w:rsidR="00B77F09">
        <w:rPr>
          <w:sz w:val="22"/>
          <w:szCs w:val="22"/>
        </w:rPr>
        <w:t xml:space="preserve">ntities </w:t>
      </w:r>
      <w:r w:rsidRPr="001F34EF" w:rsidR="00AF4112">
        <w:rPr>
          <w:sz w:val="22"/>
          <w:szCs w:val="22"/>
        </w:rPr>
        <w:t xml:space="preserve">liable for </w:t>
      </w:r>
      <w:r w:rsidRPr="001F34EF" w:rsidR="009C7F85">
        <w:rPr>
          <w:sz w:val="22"/>
          <w:szCs w:val="22"/>
        </w:rPr>
        <w:t xml:space="preserve">Federal alcohol </w:t>
      </w:r>
      <w:r w:rsidRPr="001F34EF" w:rsidR="00897AF0">
        <w:rPr>
          <w:sz w:val="22"/>
          <w:szCs w:val="22"/>
        </w:rPr>
        <w:t xml:space="preserve">and tobacco </w:t>
      </w:r>
      <w:r w:rsidRPr="001F34EF" w:rsidR="00AF4112">
        <w:rPr>
          <w:sz w:val="22"/>
          <w:szCs w:val="22"/>
        </w:rPr>
        <w:t>excise tax</w:t>
      </w:r>
      <w:r w:rsidRPr="001F34EF" w:rsidR="002F5774">
        <w:rPr>
          <w:sz w:val="22"/>
          <w:szCs w:val="22"/>
        </w:rPr>
        <w:t>es</w:t>
      </w:r>
      <w:r w:rsidRPr="001F34EF" w:rsidR="00AF4112">
        <w:rPr>
          <w:sz w:val="22"/>
          <w:szCs w:val="22"/>
        </w:rPr>
        <w:t xml:space="preserve">, </w:t>
      </w:r>
      <w:r w:rsidRPr="001F34EF" w:rsidR="009C7F85">
        <w:rPr>
          <w:sz w:val="22"/>
          <w:szCs w:val="22"/>
        </w:rPr>
        <w:t xml:space="preserve">regardless of size, are required by </w:t>
      </w:r>
      <w:r w:rsidRPr="001F34EF" w:rsidR="00B470D0">
        <w:rPr>
          <w:sz w:val="22"/>
          <w:szCs w:val="22"/>
        </w:rPr>
        <w:t xml:space="preserve">statute </w:t>
      </w:r>
      <w:r w:rsidRPr="001F34EF" w:rsidR="000E4F00">
        <w:rPr>
          <w:sz w:val="22"/>
          <w:szCs w:val="22"/>
        </w:rPr>
        <w:t>at 26 U.S.C. 5061(</w:t>
      </w:r>
      <w:r w:rsidRPr="001F34EF" w:rsidR="00CC0F97">
        <w:rPr>
          <w:sz w:val="22"/>
          <w:szCs w:val="22"/>
        </w:rPr>
        <w:t>d)(1)</w:t>
      </w:r>
      <w:r w:rsidRPr="001F34EF" w:rsidR="000E4F00">
        <w:rPr>
          <w:sz w:val="22"/>
          <w:szCs w:val="22"/>
        </w:rPr>
        <w:t xml:space="preserve"> </w:t>
      </w:r>
      <w:r w:rsidRPr="001F34EF" w:rsidR="000E59C2">
        <w:rPr>
          <w:sz w:val="22"/>
          <w:szCs w:val="22"/>
        </w:rPr>
        <w:t>t</w:t>
      </w:r>
      <w:r w:rsidRPr="001F34EF" w:rsidR="009C7F85">
        <w:rPr>
          <w:sz w:val="22"/>
          <w:szCs w:val="22"/>
        </w:rPr>
        <w:t xml:space="preserve">o </w:t>
      </w:r>
      <w:r w:rsidRPr="001F34EF" w:rsidR="00AF4112">
        <w:rPr>
          <w:sz w:val="22"/>
          <w:szCs w:val="22"/>
        </w:rPr>
        <w:t>pay tax</w:t>
      </w:r>
      <w:r w:rsidRPr="001F34EF" w:rsidR="00280433">
        <w:rPr>
          <w:sz w:val="22"/>
          <w:szCs w:val="22"/>
        </w:rPr>
        <w:t xml:space="preserve"> and file returns</w:t>
      </w:r>
      <w:r w:rsidRPr="001F34EF" w:rsidR="00AF4112">
        <w:rPr>
          <w:sz w:val="22"/>
          <w:szCs w:val="22"/>
        </w:rPr>
        <w:t xml:space="preserve"> </w:t>
      </w:r>
      <w:r w:rsidRPr="001F34EF" w:rsidR="006D3CD1">
        <w:rPr>
          <w:sz w:val="22"/>
          <w:szCs w:val="22"/>
        </w:rPr>
        <w:t>on a semi-monthly basis</w:t>
      </w:r>
      <w:r w:rsidRPr="001F34EF">
        <w:rPr>
          <w:sz w:val="22"/>
          <w:szCs w:val="22"/>
        </w:rPr>
        <w:t xml:space="preserve"> unless otherwise exempted.  Un</w:t>
      </w:r>
      <w:r w:rsidRPr="001F34EF" w:rsidR="00AC7775">
        <w:rPr>
          <w:sz w:val="22"/>
          <w:szCs w:val="22"/>
        </w:rPr>
        <w:t>der 26 U.S.C. 5061(d)(4), certain small alcohol excise taxpayers may qualify to pay tax and file returns on a quarterly or annual basis</w:t>
      </w:r>
      <w:r w:rsidRPr="001F34EF">
        <w:rPr>
          <w:sz w:val="22"/>
          <w:szCs w:val="22"/>
        </w:rPr>
        <w:t>, based on their expected tax liability for a given year</w:t>
      </w:r>
      <w:r w:rsidRPr="001F34EF" w:rsidR="000E59C2">
        <w:rPr>
          <w:sz w:val="22"/>
          <w:szCs w:val="22"/>
        </w:rPr>
        <w:t xml:space="preserve">. </w:t>
      </w:r>
      <w:r w:rsidRPr="001F34EF" w:rsidR="00AC7775">
        <w:rPr>
          <w:sz w:val="22"/>
          <w:szCs w:val="22"/>
        </w:rPr>
        <w:t xml:space="preserve"> </w:t>
      </w:r>
      <w:r w:rsidRPr="001F34EF" w:rsidR="000E59C2">
        <w:rPr>
          <w:sz w:val="22"/>
          <w:szCs w:val="22"/>
        </w:rPr>
        <w:t xml:space="preserve">In addition, under the TTB regulations in 27 CFR parts 24 and 25, wine and beer taxpayers eligible to pay taxes on a quarterly or annual basis may file their operations reports on the same basis. </w:t>
      </w:r>
      <w:r w:rsidRPr="001F34EF">
        <w:rPr>
          <w:sz w:val="22"/>
          <w:szCs w:val="22"/>
        </w:rPr>
        <w:t xml:space="preserve"> Given those less burdensome filing options for small alcohol taxpayers, TTB believes the currently separate information collections for excise tax returns and al</w:t>
      </w:r>
      <w:r w:rsidRPr="001F34EF">
        <w:rPr>
          <w:sz w:val="22"/>
          <w:szCs w:val="22"/>
        </w:rPr>
        <w:t>cohol operations reports</w:t>
      </w:r>
      <w:r w:rsidR="0005682A">
        <w:rPr>
          <w:sz w:val="22"/>
          <w:szCs w:val="22"/>
        </w:rPr>
        <w:t xml:space="preserve"> minimize the burden on small entities</w:t>
      </w:r>
      <w:r w:rsidRPr="001F34EF">
        <w:rPr>
          <w:sz w:val="22"/>
          <w:szCs w:val="22"/>
        </w:rPr>
        <w:t xml:space="preserve">. </w:t>
      </w:r>
      <w:r w:rsidRPr="001F34EF">
        <w:rPr>
          <w:sz w:val="22"/>
          <w:szCs w:val="22"/>
        </w:rPr>
        <w:t xml:space="preserve">TTB </w:t>
      </w:r>
      <w:r>
        <w:rPr>
          <w:sz w:val="22"/>
          <w:szCs w:val="22"/>
        </w:rPr>
        <w:t xml:space="preserve">also </w:t>
      </w:r>
      <w:r w:rsidRPr="001F34EF">
        <w:rPr>
          <w:sz w:val="22"/>
          <w:szCs w:val="22"/>
        </w:rPr>
        <w:t xml:space="preserve">believes that the combined alcohol excise tax return and operations reports included in this pilot test will lower respondent burden, including that for small entities, even further. </w:t>
      </w:r>
    </w:p>
    <w:p w:rsidR="002B5ED1" w:rsidRPr="001F34EF" w:rsidP="00E01404" w14:paraId="617C50A4" w14:textId="77777777">
      <w:pPr>
        <w:widowControl/>
        <w:tabs>
          <w:tab w:val="left" w:pos="540"/>
        </w:tabs>
        <w:ind w:left="540" w:hanging="540"/>
        <w:rPr>
          <w:sz w:val="28"/>
          <w:szCs w:val="28"/>
        </w:rPr>
      </w:pPr>
    </w:p>
    <w:p w:rsidR="008820FE" w:rsidRPr="001F34EF" w:rsidP="00E01404" w14:paraId="792E99A9" w14:textId="0DF84A53">
      <w:pPr>
        <w:widowControl/>
        <w:suppressAutoHyphens/>
        <w:rPr>
          <w:i/>
          <w:sz w:val="22"/>
          <w:szCs w:val="22"/>
        </w:rPr>
      </w:pPr>
      <w:r w:rsidRPr="001F34EF">
        <w:rPr>
          <w:i/>
          <w:sz w:val="22"/>
          <w:szCs w:val="22"/>
        </w:rPr>
        <w:t>6.  What consequences to Federal pr</w:t>
      </w:r>
      <w:r w:rsidRPr="001F34EF">
        <w:rPr>
          <w:i/>
          <w:sz w:val="22"/>
          <w:szCs w:val="22"/>
        </w:rPr>
        <w:t xml:space="preserve">ogram or policy activities and what, if any, technical or legal obstacles to reducing burden will occur if this collection is not conducted or is conducted less frequently? </w:t>
      </w:r>
    </w:p>
    <w:p w:rsidR="008820FE" w:rsidRPr="009A3E9F" w:rsidP="00E01404" w14:paraId="0BC9F2CA" w14:textId="77777777">
      <w:pPr>
        <w:widowControl/>
        <w:suppressAutoHyphens/>
        <w:ind w:left="480" w:hanging="480"/>
        <w:rPr>
          <w:sz w:val="22"/>
          <w:szCs w:val="22"/>
        </w:rPr>
      </w:pPr>
    </w:p>
    <w:p w:rsidR="00557E93" w:rsidRPr="009A3E9F" w:rsidP="00E01404" w14:paraId="3B5B44AF" w14:textId="385B7B7B">
      <w:pPr>
        <w:widowControl/>
        <w:ind w:left="360"/>
        <w:rPr>
          <w:sz w:val="22"/>
          <w:szCs w:val="22"/>
        </w:rPr>
      </w:pPr>
      <w:r w:rsidRPr="009A3E9F">
        <w:rPr>
          <w:sz w:val="22"/>
          <w:szCs w:val="22"/>
        </w:rPr>
        <w:t xml:space="preserve">The information collected on alcohol excise tax returns and operations </w:t>
      </w:r>
      <w:r w:rsidRPr="009A3E9F">
        <w:rPr>
          <w:sz w:val="22"/>
          <w:szCs w:val="22"/>
        </w:rPr>
        <w:t>reports is essential to TTB's Federal tax collection responsibilities.  The absence of the required tax return and operations report information would seriously jeopardize TTB's collection of the revenue, which amount</w:t>
      </w:r>
      <w:r w:rsidRPr="009A3E9F" w:rsidR="001F34EF">
        <w:rPr>
          <w:sz w:val="22"/>
          <w:szCs w:val="22"/>
        </w:rPr>
        <w:t>ed</w:t>
      </w:r>
      <w:r w:rsidRPr="009A3E9F">
        <w:rPr>
          <w:sz w:val="22"/>
          <w:szCs w:val="22"/>
        </w:rPr>
        <w:t xml:space="preserve"> to approximately $</w:t>
      </w:r>
      <w:r w:rsidRPr="009A3E9F" w:rsidR="001F34EF">
        <w:rPr>
          <w:sz w:val="22"/>
          <w:szCs w:val="22"/>
        </w:rPr>
        <w:t>8.23</w:t>
      </w:r>
      <w:r w:rsidRPr="009A3E9F">
        <w:rPr>
          <w:sz w:val="22"/>
          <w:szCs w:val="22"/>
        </w:rPr>
        <w:t xml:space="preserve"> billion </w:t>
      </w:r>
      <w:r w:rsidRPr="009A3E9F" w:rsidR="001F34EF">
        <w:rPr>
          <w:sz w:val="22"/>
          <w:szCs w:val="22"/>
        </w:rPr>
        <w:t>in Fiscal Year 2022</w:t>
      </w:r>
      <w:r w:rsidRPr="009A3E9F">
        <w:rPr>
          <w:sz w:val="22"/>
          <w:szCs w:val="22"/>
        </w:rPr>
        <w:t>, as its ability to identify and account for alcohol excise tax payments would be significantly hindered.  In addition, collection of Federal alcohol excise taxes by the filing of a return is required by statute, as is the filing fre</w:t>
      </w:r>
      <w:r w:rsidRPr="009A3E9F" w:rsidR="001F34EF">
        <w:rPr>
          <w:sz w:val="22"/>
          <w:szCs w:val="22"/>
        </w:rPr>
        <w:t xml:space="preserve">quency </w:t>
      </w:r>
      <w:r w:rsidRPr="009A3E9F">
        <w:rPr>
          <w:sz w:val="22"/>
          <w:szCs w:val="22"/>
        </w:rPr>
        <w:t>fo</w:t>
      </w:r>
      <w:r w:rsidRPr="009A3E9F">
        <w:rPr>
          <w:sz w:val="22"/>
          <w:szCs w:val="22"/>
        </w:rPr>
        <w:t xml:space="preserve">r those returns (see the IRC at 26 U.S.C. 5061).  As such, TTB must conduct this information collection and cannot collect the requirement information less frequently. </w:t>
      </w:r>
    </w:p>
    <w:p w:rsidR="00533D2D" w:rsidRPr="009A3E9F" w:rsidP="00E01404" w14:paraId="44A74301" w14:textId="77777777">
      <w:pPr>
        <w:widowControl/>
        <w:tabs>
          <w:tab w:val="left" w:pos="540"/>
        </w:tabs>
        <w:ind w:left="540" w:hanging="540"/>
        <w:rPr>
          <w:sz w:val="28"/>
          <w:szCs w:val="28"/>
        </w:rPr>
      </w:pPr>
    </w:p>
    <w:p w:rsidR="002F5774" w:rsidRPr="009A3E9F" w:rsidP="002F5774" w14:paraId="1FEDF358" w14:textId="77777777">
      <w:pPr>
        <w:widowControl/>
        <w:suppressAutoHyphens/>
        <w:autoSpaceDE/>
        <w:autoSpaceDN/>
        <w:adjustRightInd/>
        <w:rPr>
          <w:i/>
          <w:sz w:val="22"/>
          <w:szCs w:val="22"/>
        </w:rPr>
      </w:pPr>
      <w:r w:rsidRPr="009A3E9F">
        <w:rPr>
          <w:i/>
          <w:sz w:val="22"/>
          <w:szCs w:val="22"/>
        </w:rPr>
        <w:t>7.  Are there any special circumstances associated with this information collection th</w:t>
      </w:r>
      <w:r w:rsidRPr="009A3E9F">
        <w:rPr>
          <w:i/>
          <w:sz w:val="22"/>
          <w:szCs w:val="22"/>
        </w:rPr>
        <w:t xml:space="preserve">at would require it to be conducted in a manner inconsistent with OMB guidelines?  (See 5 CFR 1320.5(d)(2).) </w:t>
      </w:r>
    </w:p>
    <w:p w:rsidR="008820FE" w:rsidRPr="009A3E9F" w:rsidP="00E01404" w14:paraId="3D1F7CFF" w14:textId="77777777">
      <w:pPr>
        <w:widowControl/>
        <w:rPr>
          <w:sz w:val="22"/>
          <w:szCs w:val="22"/>
        </w:rPr>
      </w:pPr>
    </w:p>
    <w:p w:rsidR="00A60D7F" w:rsidRPr="009A3E9F" w:rsidP="00FF6CB0" w14:paraId="7F038A06" w14:textId="02EE23FA">
      <w:pPr>
        <w:widowControl/>
        <w:ind w:left="360"/>
        <w:rPr>
          <w:sz w:val="22"/>
          <w:szCs w:val="22"/>
        </w:rPr>
      </w:pPr>
      <w:r w:rsidRPr="009A3E9F">
        <w:rPr>
          <w:sz w:val="22"/>
          <w:szCs w:val="22"/>
        </w:rPr>
        <w:t xml:space="preserve">Under </w:t>
      </w:r>
      <w:r w:rsidRPr="009A3E9F" w:rsidR="002F5774">
        <w:rPr>
          <w:sz w:val="22"/>
          <w:szCs w:val="22"/>
        </w:rPr>
        <w:t xml:space="preserve">the OMB regulations at </w:t>
      </w:r>
      <w:r w:rsidRPr="009A3E9F">
        <w:rPr>
          <w:sz w:val="22"/>
          <w:szCs w:val="22"/>
        </w:rPr>
        <w:t>5 CFR 1320.5(d)(2)(i), requiring respondents to report information to an agency more often than quarterly</w:t>
      </w:r>
      <w:r w:rsidRPr="009A3E9F" w:rsidR="00A92468">
        <w:rPr>
          <w:sz w:val="22"/>
          <w:szCs w:val="22"/>
        </w:rPr>
        <w:t xml:space="preserve"> is a special circumstance.  In the case of </w:t>
      </w:r>
      <w:r w:rsidRPr="009A3E9F" w:rsidR="002F5774">
        <w:rPr>
          <w:sz w:val="22"/>
          <w:szCs w:val="22"/>
        </w:rPr>
        <w:t xml:space="preserve">this information collection, </w:t>
      </w:r>
      <w:r w:rsidRPr="009A3E9F" w:rsidR="00FF6CB0">
        <w:rPr>
          <w:sz w:val="22"/>
          <w:szCs w:val="22"/>
        </w:rPr>
        <w:t xml:space="preserve">Federal law requires alcohol excise </w:t>
      </w:r>
      <w:r w:rsidRPr="009A3E9F" w:rsidR="002F5774">
        <w:rPr>
          <w:sz w:val="22"/>
          <w:szCs w:val="22"/>
        </w:rPr>
        <w:t xml:space="preserve">taxpayers </w:t>
      </w:r>
      <w:r w:rsidRPr="009A3E9F" w:rsidR="00A92468">
        <w:rPr>
          <w:sz w:val="22"/>
          <w:szCs w:val="22"/>
        </w:rPr>
        <w:t xml:space="preserve">to </w:t>
      </w:r>
      <w:r w:rsidRPr="009A3E9F" w:rsidR="00FF6CB0">
        <w:rPr>
          <w:sz w:val="22"/>
          <w:szCs w:val="22"/>
        </w:rPr>
        <w:t xml:space="preserve">file returns and </w:t>
      </w:r>
      <w:r w:rsidRPr="009A3E9F" w:rsidR="00A92468">
        <w:rPr>
          <w:sz w:val="22"/>
          <w:szCs w:val="22"/>
        </w:rPr>
        <w:t>pay tax on a semi-monthly basis, unless otherwise exempted.</w:t>
      </w:r>
      <w:r w:rsidRPr="009A3E9F" w:rsidR="00FF6CB0">
        <w:rPr>
          <w:sz w:val="22"/>
          <w:szCs w:val="22"/>
        </w:rPr>
        <w:t xml:space="preserve">  For </w:t>
      </w:r>
      <w:r w:rsidRPr="009A3E9F" w:rsidR="00DB2843">
        <w:rPr>
          <w:sz w:val="22"/>
          <w:szCs w:val="22"/>
        </w:rPr>
        <w:t xml:space="preserve">the semi-monthly </w:t>
      </w:r>
      <w:r w:rsidRPr="009A3E9F" w:rsidR="00FF6CB0">
        <w:rPr>
          <w:sz w:val="22"/>
          <w:szCs w:val="22"/>
        </w:rPr>
        <w:t xml:space="preserve">alcohol excise tax return </w:t>
      </w:r>
      <w:r w:rsidRPr="009A3E9F" w:rsidR="009A3E9F">
        <w:rPr>
          <w:sz w:val="22"/>
          <w:szCs w:val="22"/>
        </w:rPr>
        <w:t xml:space="preserve">filing </w:t>
      </w:r>
      <w:r w:rsidRPr="009A3E9F" w:rsidR="00FF6CB0">
        <w:rPr>
          <w:sz w:val="22"/>
          <w:szCs w:val="22"/>
        </w:rPr>
        <w:t>and payment period</w:t>
      </w:r>
      <w:r w:rsidRPr="009A3E9F" w:rsidR="00DB2843">
        <w:rPr>
          <w:sz w:val="22"/>
          <w:szCs w:val="22"/>
        </w:rPr>
        <w:t xml:space="preserve"> requirement</w:t>
      </w:r>
      <w:r w:rsidRPr="009A3E9F" w:rsidR="00FF6CB0">
        <w:rPr>
          <w:sz w:val="22"/>
          <w:szCs w:val="22"/>
        </w:rPr>
        <w:t xml:space="preserve">s, see the IRC at 26 U.S.C. </w:t>
      </w:r>
      <w:r w:rsidRPr="009A3E9F" w:rsidR="002F5774">
        <w:rPr>
          <w:sz w:val="22"/>
          <w:szCs w:val="22"/>
        </w:rPr>
        <w:t>5061(d)(1) and 5703(b)(2)</w:t>
      </w:r>
      <w:r w:rsidRPr="009A3E9F" w:rsidR="00FF6CB0">
        <w:rPr>
          <w:sz w:val="22"/>
          <w:szCs w:val="22"/>
        </w:rPr>
        <w:t xml:space="preserve">, respectively, and </w:t>
      </w:r>
      <w:r w:rsidRPr="009A3E9F">
        <w:rPr>
          <w:sz w:val="22"/>
          <w:szCs w:val="22"/>
        </w:rPr>
        <w:t xml:space="preserve">see </w:t>
      </w:r>
      <w:r w:rsidRPr="009A3E9F" w:rsidR="00FF6CB0">
        <w:rPr>
          <w:sz w:val="22"/>
          <w:szCs w:val="22"/>
        </w:rPr>
        <w:t xml:space="preserve">26 U.S.C. 5061(d)(4) for </w:t>
      </w:r>
      <w:r w:rsidRPr="009A3E9F">
        <w:rPr>
          <w:sz w:val="22"/>
          <w:szCs w:val="22"/>
        </w:rPr>
        <w:t xml:space="preserve">exemptions allowing certain small alcohol excise taxpayers to file returns and pay taxes on a quarterly or annual basis. </w:t>
      </w:r>
    </w:p>
    <w:p w:rsidR="00533D2D" w:rsidRPr="006F5AD4" w:rsidP="00E01404" w14:paraId="4E706719" w14:textId="77777777">
      <w:pPr>
        <w:widowControl/>
        <w:tabs>
          <w:tab w:val="left" w:pos="540"/>
        </w:tabs>
        <w:ind w:left="540" w:hanging="540"/>
        <w:rPr>
          <w:sz w:val="28"/>
          <w:szCs w:val="28"/>
        </w:rPr>
      </w:pPr>
    </w:p>
    <w:p w:rsidR="008820FE" w:rsidRPr="006F5AD4" w:rsidP="00E01404" w14:paraId="493016CE" w14:textId="77777777">
      <w:pPr>
        <w:widowControl/>
        <w:rPr>
          <w:i/>
          <w:sz w:val="22"/>
          <w:szCs w:val="22"/>
        </w:rPr>
      </w:pPr>
      <w:r w:rsidRPr="006F5AD4">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8820FE" w:rsidRPr="006F5AD4" w:rsidP="00E01404" w14:paraId="54E7A5D1" w14:textId="77777777">
      <w:pPr>
        <w:widowControl/>
        <w:suppressAutoHyphens/>
        <w:ind w:left="360"/>
        <w:rPr>
          <w:sz w:val="22"/>
          <w:szCs w:val="22"/>
        </w:rPr>
      </w:pPr>
    </w:p>
    <w:p w:rsidR="006D2E41" w:rsidRPr="006F5AD4" w:rsidP="00A60D7F" w14:paraId="69D1922C" w14:textId="7E68F7BB">
      <w:pPr>
        <w:widowControl/>
        <w:autoSpaceDE/>
        <w:autoSpaceDN/>
        <w:adjustRightInd/>
        <w:ind w:left="360"/>
        <w:rPr>
          <w:sz w:val="22"/>
          <w:szCs w:val="22"/>
        </w:rPr>
      </w:pPr>
      <w:r w:rsidRPr="006F5AD4">
        <w:rPr>
          <w:sz w:val="22"/>
          <w:szCs w:val="22"/>
        </w:rPr>
        <w:t xml:space="preserve">To solicit comments from the public, TTB published a </w:t>
      </w:r>
      <w:r w:rsidRPr="006F5AD4">
        <w:rPr>
          <w:sz w:val="22"/>
          <w:szCs w:val="22"/>
        </w:rPr>
        <w:t xml:space="preserve">notice for this information collection in the Federal Register on </w:t>
      </w:r>
      <w:r w:rsidRPr="006F5AD4" w:rsidR="00447A9C">
        <w:rPr>
          <w:sz w:val="22"/>
          <w:szCs w:val="22"/>
        </w:rPr>
        <w:t xml:space="preserve">April 3, 2023, at 88 FR 19711.  </w:t>
      </w:r>
      <w:r w:rsidRPr="006F5AD4">
        <w:rPr>
          <w:sz w:val="22"/>
          <w:szCs w:val="22"/>
        </w:rPr>
        <w:t>TTB received three comments in response that notice</w:t>
      </w:r>
      <w:r w:rsidR="0005682A">
        <w:rPr>
          <w:sz w:val="22"/>
          <w:szCs w:val="22"/>
        </w:rPr>
        <w:t xml:space="preserve"> during the 60-day comment period</w:t>
      </w:r>
      <w:r w:rsidRPr="006F5AD4">
        <w:rPr>
          <w:sz w:val="22"/>
          <w:szCs w:val="22"/>
        </w:rPr>
        <w:t xml:space="preserve">, all of which relate to the </w:t>
      </w:r>
      <w:r w:rsidRPr="006F5AD4">
        <w:rPr>
          <w:sz w:val="22"/>
          <w:szCs w:val="22"/>
        </w:rPr>
        <w:t>combined alcohol excise tax return and operation report pilot test.  Specifically:</w:t>
      </w:r>
      <w:r w:rsidRPr="006F5AD4" w:rsidR="006F5AD4">
        <w:rPr>
          <w:sz w:val="22"/>
          <w:szCs w:val="22"/>
        </w:rPr>
        <w:t xml:space="preserve"> </w:t>
      </w:r>
    </w:p>
    <w:p w:rsidR="006D2E41" w:rsidRPr="006F5AD4" w:rsidP="00A60D7F" w14:paraId="11C24F08" w14:textId="77777777">
      <w:pPr>
        <w:widowControl/>
        <w:autoSpaceDE/>
        <w:autoSpaceDN/>
        <w:adjustRightInd/>
        <w:ind w:left="360"/>
        <w:rPr>
          <w:sz w:val="22"/>
          <w:szCs w:val="22"/>
        </w:rPr>
      </w:pPr>
    </w:p>
    <w:p w:rsidR="00447A9C" w:rsidRPr="006F5AD4" w:rsidP="006F5AD4" w14:paraId="3024C755" w14:textId="3A2B6889">
      <w:pPr>
        <w:pStyle w:val="ListParagraph"/>
        <w:widowControl/>
        <w:numPr>
          <w:ilvl w:val="0"/>
          <w:numId w:val="11"/>
        </w:numPr>
        <w:autoSpaceDE/>
        <w:autoSpaceDN/>
        <w:adjustRightInd/>
        <w:spacing w:after="120"/>
        <w:ind w:left="821" w:hanging="274"/>
        <w:contextualSpacing w:val="0"/>
        <w:rPr>
          <w:sz w:val="22"/>
          <w:szCs w:val="22"/>
        </w:rPr>
      </w:pPr>
      <w:r w:rsidRPr="006F5AD4">
        <w:rPr>
          <w:sz w:val="22"/>
          <w:szCs w:val="22"/>
        </w:rPr>
        <w:t>In Comment 1, a wine industry member filing semi-monthly tax returns for several wineries supported “any simplifications or clarifications” for the tax return and operatio</w:t>
      </w:r>
      <w:r w:rsidRPr="006F5AD4">
        <w:rPr>
          <w:sz w:val="22"/>
          <w:szCs w:val="22"/>
        </w:rPr>
        <w:t xml:space="preserve">ns report.  The commenter also suggested focusing the excise tax return on a per-commodity basis and offered to participate in the pilot test. </w:t>
      </w:r>
    </w:p>
    <w:p w:rsidR="006D2E41" w:rsidRPr="006F5AD4" w:rsidP="006F5AD4" w14:paraId="25823CC0" w14:textId="2CFD006A">
      <w:pPr>
        <w:pStyle w:val="ListParagraph"/>
        <w:widowControl/>
        <w:numPr>
          <w:ilvl w:val="0"/>
          <w:numId w:val="11"/>
        </w:numPr>
        <w:autoSpaceDE/>
        <w:autoSpaceDN/>
        <w:adjustRightInd/>
        <w:spacing w:after="120"/>
        <w:ind w:left="821" w:hanging="274"/>
        <w:contextualSpacing w:val="0"/>
        <w:rPr>
          <w:sz w:val="22"/>
          <w:szCs w:val="22"/>
        </w:rPr>
      </w:pPr>
      <w:r w:rsidRPr="006F5AD4">
        <w:rPr>
          <w:sz w:val="22"/>
          <w:szCs w:val="22"/>
        </w:rPr>
        <w:t>In Comment 2, a craft distiller expressed support for TTB’s pilot test project as a “simplified reporting struct</w:t>
      </w:r>
      <w:r w:rsidRPr="006F5AD4">
        <w:rPr>
          <w:sz w:val="22"/>
          <w:szCs w:val="22"/>
        </w:rPr>
        <w:t xml:space="preserve">ure can enable me to simplify my own procedures[,]” and stated that the current complexity of the report requirements caused him to spend a considerable sum each month in software company fees to assist his company in tracking and completing the distilled </w:t>
      </w:r>
      <w:r w:rsidRPr="006F5AD4">
        <w:rPr>
          <w:sz w:val="22"/>
          <w:szCs w:val="22"/>
        </w:rPr>
        <w:t xml:space="preserve">spirits operations reports. </w:t>
      </w:r>
    </w:p>
    <w:p w:rsidR="006F5AD4" w:rsidRPr="006F5AD4" w:rsidP="006F5AD4" w14:paraId="0105ABCB" w14:textId="0BB36E0D">
      <w:pPr>
        <w:pStyle w:val="ListParagraph"/>
        <w:widowControl/>
        <w:numPr>
          <w:ilvl w:val="0"/>
          <w:numId w:val="11"/>
        </w:numPr>
        <w:autoSpaceDE/>
        <w:autoSpaceDN/>
        <w:adjustRightInd/>
        <w:ind w:left="821" w:hanging="274"/>
        <w:contextualSpacing w:val="0"/>
        <w:rPr>
          <w:sz w:val="22"/>
          <w:szCs w:val="22"/>
        </w:rPr>
      </w:pPr>
      <w:r w:rsidRPr="006F5AD4">
        <w:rPr>
          <w:sz w:val="22"/>
          <w:szCs w:val="22"/>
        </w:rPr>
        <w:t xml:space="preserve">In Comment 3, a craft distilling trade association expressed general concerns over TTB’s reporting requirements and requested that small distillers be allowed to report their operations at the same frequency as they file their </w:t>
      </w:r>
      <w:r w:rsidRPr="006F5AD4">
        <w:rPr>
          <w:sz w:val="22"/>
          <w:szCs w:val="22"/>
        </w:rPr>
        <w:t xml:space="preserve">tax returns, either quarterly or annually. </w:t>
      </w:r>
    </w:p>
    <w:p w:rsidR="006D2E41" w:rsidRPr="006F5AD4" w:rsidP="006F5AD4" w14:paraId="1300DF04" w14:textId="029A4DC9">
      <w:pPr>
        <w:widowControl/>
        <w:autoSpaceDE/>
        <w:autoSpaceDN/>
        <w:adjustRightInd/>
        <w:ind w:left="360"/>
        <w:rPr>
          <w:sz w:val="22"/>
          <w:szCs w:val="22"/>
        </w:rPr>
      </w:pPr>
    </w:p>
    <w:p w:rsidR="006F5AD4" w:rsidRPr="006F5AD4" w:rsidP="006F5AD4" w14:paraId="79DB5570" w14:textId="70C80941">
      <w:pPr>
        <w:widowControl/>
        <w:autoSpaceDE/>
        <w:autoSpaceDN/>
        <w:adjustRightInd/>
        <w:ind w:left="360"/>
        <w:rPr>
          <w:sz w:val="22"/>
          <w:szCs w:val="22"/>
        </w:rPr>
      </w:pPr>
      <w:r w:rsidRPr="008C0694">
        <w:rPr>
          <w:sz w:val="22"/>
          <w:szCs w:val="22"/>
          <w:u w:val="single"/>
        </w:rPr>
        <w:t>TTB response:</w:t>
      </w:r>
      <w:r w:rsidRPr="006F5AD4">
        <w:rPr>
          <w:sz w:val="22"/>
          <w:szCs w:val="22"/>
        </w:rPr>
        <w:t xml:space="preserve">  TTB is beginning its pilot test for combined alcohol excise tax and operations reports with forms for beer excise taxpayers.  TTB plans to develop and test </w:t>
      </w:r>
      <w:r w:rsidRPr="006F5AD4">
        <w:rPr>
          <w:sz w:val="22"/>
          <w:szCs w:val="22"/>
        </w:rPr>
        <w:t>combined excise tax returns and simplifi</w:t>
      </w:r>
      <w:r w:rsidRPr="006F5AD4">
        <w:rPr>
          <w:sz w:val="22"/>
          <w:szCs w:val="22"/>
        </w:rPr>
        <w:t>ed operations reports for wine and distilled excise taxpayers in the near future.  When those forms and their electronic equivalents are ready for pilot testing, TTB will announce expansions of this pilot test program to such taxpayers on its website, in i</w:t>
      </w:r>
      <w:r w:rsidRPr="006F5AD4">
        <w:rPr>
          <w:sz w:val="22"/>
          <w:szCs w:val="22"/>
        </w:rPr>
        <w:t xml:space="preserve">ts Newsletter, and at various industry conferences, and will invite wine and distilled spirits taxpayers to apply to participate in the pilot test program at that time. </w:t>
      </w:r>
    </w:p>
    <w:p w:rsidR="008646E8" w:rsidRPr="006F5AD4" w:rsidP="00E01404" w14:paraId="51D0A24E" w14:textId="77777777">
      <w:pPr>
        <w:widowControl/>
        <w:tabs>
          <w:tab w:val="left" w:pos="540"/>
        </w:tabs>
        <w:rPr>
          <w:sz w:val="28"/>
          <w:szCs w:val="28"/>
        </w:rPr>
      </w:pPr>
    </w:p>
    <w:p w:rsidR="008820FE" w:rsidRPr="006F5AD4" w:rsidP="00E01404" w14:paraId="4BEF775B" w14:textId="77777777">
      <w:pPr>
        <w:widowControl/>
        <w:suppressAutoHyphens/>
        <w:rPr>
          <w:i/>
          <w:sz w:val="22"/>
          <w:szCs w:val="22"/>
        </w:rPr>
      </w:pPr>
      <w:r w:rsidRPr="006F5AD4">
        <w:rPr>
          <w:i/>
          <w:sz w:val="22"/>
          <w:szCs w:val="22"/>
        </w:rPr>
        <w:t>9.  Was any payment or gift given to respondents, other than remuneration of contract</w:t>
      </w:r>
      <w:r w:rsidRPr="006F5AD4">
        <w:rPr>
          <w:i/>
          <w:sz w:val="22"/>
          <w:szCs w:val="22"/>
        </w:rPr>
        <w:t xml:space="preserve">ors or grantees?  If so, why? </w:t>
      </w:r>
    </w:p>
    <w:p w:rsidR="008820FE" w:rsidRPr="006F5AD4" w:rsidP="00E01404" w14:paraId="3CC2C2EA" w14:textId="77777777">
      <w:pPr>
        <w:widowControl/>
        <w:suppressAutoHyphens/>
        <w:ind w:left="360"/>
        <w:rPr>
          <w:sz w:val="22"/>
          <w:szCs w:val="22"/>
        </w:rPr>
      </w:pPr>
    </w:p>
    <w:p w:rsidR="00533D2D" w:rsidRPr="006F5AD4" w:rsidP="00E01404" w14:paraId="16BC5138" w14:textId="73D5F62B">
      <w:pPr>
        <w:widowControl/>
        <w:ind w:left="360"/>
        <w:rPr>
          <w:sz w:val="22"/>
          <w:szCs w:val="22"/>
        </w:rPr>
      </w:pPr>
      <w:r w:rsidRPr="006F5AD4">
        <w:rPr>
          <w:sz w:val="22"/>
          <w:szCs w:val="22"/>
        </w:rPr>
        <w:t xml:space="preserve">No payment or gift is associated with this </w:t>
      </w:r>
      <w:r w:rsidRPr="006F5AD4" w:rsidR="00A60D7F">
        <w:rPr>
          <w:sz w:val="22"/>
          <w:szCs w:val="22"/>
        </w:rPr>
        <w:t xml:space="preserve">information </w:t>
      </w:r>
      <w:r w:rsidRPr="006F5AD4">
        <w:rPr>
          <w:sz w:val="22"/>
          <w:szCs w:val="22"/>
        </w:rPr>
        <w:t>collection.</w:t>
      </w:r>
      <w:r w:rsidRPr="006F5AD4" w:rsidR="00CB2A70">
        <w:rPr>
          <w:sz w:val="22"/>
          <w:szCs w:val="22"/>
        </w:rPr>
        <w:t xml:space="preserve"> </w:t>
      </w:r>
    </w:p>
    <w:p w:rsidR="00533D2D" w:rsidRPr="00901609" w:rsidP="00E01404" w14:paraId="51848C63" w14:textId="77777777">
      <w:pPr>
        <w:widowControl/>
        <w:tabs>
          <w:tab w:val="left" w:pos="540"/>
        </w:tabs>
        <w:rPr>
          <w:sz w:val="28"/>
          <w:szCs w:val="28"/>
        </w:rPr>
      </w:pPr>
    </w:p>
    <w:p w:rsidR="008820FE" w:rsidRPr="00901609" w:rsidP="00E01404" w14:paraId="650A90E6" w14:textId="77777777">
      <w:pPr>
        <w:widowControl/>
        <w:suppressAutoHyphens/>
        <w:rPr>
          <w:i/>
          <w:sz w:val="22"/>
          <w:szCs w:val="22"/>
        </w:rPr>
      </w:pPr>
      <w:r w:rsidRPr="00901609">
        <w:rPr>
          <w:i/>
          <w:sz w:val="22"/>
          <w:szCs w:val="22"/>
        </w:rPr>
        <w:t xml:space="preserve">10.  What assurance of confidentiality was provided to respondents, and what was the basis for the assurance in statute, regulations, or agency policy? </w:t>
      </w:r>
    </w:p>
    <w:p w:rsidR="008820FE" w:rsidRPr="00901609" w:rsidP="00E01404" w14:paraId="6165A6B6" w14:textId="77777777">
      <w:pPr>
        <w:widowControl/>
        <w:ind w:left="360"/>
        <w:rPr>
          <w:sz w:val="22"/>
          <w:szCs w:val="22"/>
        </w:rPr>
      </w:pPr>
    </w:p>
    <w:p w:rsidR="006F5AD4" w:rsidRPr="00901609" w:rsidP="00E01404" w14:paraId="09DDC1C1" w14:textId="29915DDC">
      <w:pPr>
        <w:widowControl/>
        <w:ind w:left="360"/>
        <w:rPr>
          <w:sz w:val="22"/>
          <w:szCs w:val="22"/>
        </w:rPr>
      </w:pPr>
      <w:r w:rsidRPr="00901609">
        <w:rPr>
          <w:sz w:val="22"/>
          <w:szCs w:val="22"/>
        </w:rPr>
        <w:t>TTB provides n</w:t>
      </w:r>
      <w:r w:rsidRPr="00901609" w:rsidR="008A45CF">
        <w:rPr>
          <w:sz w:val="22"/>
          <w:szCs w:val="22"/>
        </w:rPr>
        <w:t xml:space="preserve">o specific assurance of confidentiality </w:t>
      </w:r>
      <w:r w:rsidRPr="00901609">
        <w:rPr>
          <w:sz w:val="22"/>
          <w:szCs w:val="22"/>
        </w:rPr>
        <w:t>for this information collection request.  However, Federal law at 5 U.S.C. 552 protects the confidentiality of proprietary information obtained by the Government from regulated businesses and individual</w:t>
      </w:r>
      <w:r w:rsidRPr="00901609">
        <w:rPr>
          <w:sz w:val="22"/>
          <w:szCs w:val="22"/>
        </w:rPr>
        <w:t xml:space="preserve">s, and 26 U.S.C. 6103 prohibits disclosure of tax returns and related information unless that IRC section specifically authorizes such action.  In addition, the instructions for the collection instruments contained in this pilot test </w:t>
      </w:r>
      <w:r w:rsidRPr="00901609" w:rsidR="00901609">
        <w:rPr>
          <w:sz w:val="22"/>
          <w:szCs w:val="22"/>
        </w:rPr>
        <w:t xml:space="preserve">include a general Privacy Act Statement explaining what TTB uses the requested information for and to whom and for what purposes the information may be disclosed, as well as a Privacy Act Statement regarding TTB’s use of information provided on a taxpayer’s check.  TTB maintains the collected information in secure, password protected computer systems and file rooms with controlled access. </w:t>
      </w:r>
    </w:p>
    <w:p w:rsidR="00533D2D" w:rsidRPr="001C4D7F" w:rsidP="00E01404" w14:paraId="3A1C2613" w14:textId="77777777">
      <w:pPr>
        <w:widowControl/>
        <w:rPr>
          <w:sz w:val="28"/>
          <w:szCs w:val="28"/>
        </w:rPr>
      </w:pPr>
    </w:p>
    <w:p w:rsidR="000112FC" w:rsidRPr="001C4D7F" w:rsidP="00E01404" w14:paraId="64ED8B3B" w14:textId="77777777">
      <w:pPr>
        <w:widowControl/>
        <w:rPr>
          <w:i/>
          <w:sz w:val="22"/>
          <w:szCs w:val="22"/>
        </w:rPr>
      </w:pPr>
      <w:r w:rsidRPr="001C4D7F">
        <w:rPr>
          <w:i/>
          <w:sz w:val="22"/>
          <w:szCs w:val="22"/>
        </w:rPr>
        <w:t>11.  What is the justification for questions of a sensitive nature?  If personally identifiable information (PII) is being collected in an electronic system, identify the Privacy Impact Assessment (PIA) that has been conducted for the information collected</w:t>
      </w:r>
      <w:r w:rsidRPr="001C4D7F">
        <w:rPr>
          <w:i/>
          <w:sz w:val="22"/>
          <w:szCs w:val="22"/>
        </w:rPr>
        <w:t xml:space="preserve"> under this request and/or the Privacy Act System of Records notice (SORN) issued for the electronic system in which the PII is being stored. </w:t>
      </w:r>
    </w:p>
    <w:p w:rsidR="000112FC" w:rsidRPr="001C4D7F" w:rsidP="000216BB" w14:paraId="08033898" w14:textId="77777777">
      <w:pPr>
        <w:widowControl/>
        <w:rPr>
          <w:sz w:val="22"/>
          <w:szCs w:val="22"/>
        </w:rPr>
      </w:pPr>
    </w:p>
    <w:p w:rsidR="001C4D7F" w:rsidRPr="00D56C9B" w:rsidP="00B56A0E" w14:paraId="4B2AAF45" w14:textId="77777777">
      <w:pPr>
        <w:widowControl/>
        <w:ind w:left="360"/>
        <w:rPr>
          <w:sz w:val="22"/>
          <w:szCs w:val="22"/>
        </w:rPr>
      </w:pPr>
      <w:r w:rsidRPr="001C4D7F">
        <w:rPr>
          <w:sz w:val="22"/>
          <w:szCs w:val="22"/>
        </w:rPr>
        <w:t>This information collection request contains no questions of a sensitive nature.  However, this collection reque</w:t>
      </w:r>
      <w:r w:rsidRPr="001C4D7F">
        <w:rPr>
          <w:sz w:val="22"/>
          <w:szCs w:val="22"/>
        </w:rPr>
        <w:t>st does collect personally identifiable information (PII) in an electronic system.  The collected PII is contained in TTB’s Integrated Revenue Information System, and TTB has conducted a Privacy Impact Assessment (PIA) for that system.  In addition, TTB ha</w:t>
      </w:r>
      <w:r w:rsidRPr="001C4D7F">
        <w:rPr>
          <w:sz w:val="22"/>
          <w:szCs w:val="22"/>
        </w:rPr>
        <w:t xml:space="preserve">s issued a system of records notice (SORN) for this collection under “Department of the Treasury, Alcohol and Tobacco Tax and Trade Bureau (TTB) .001—Regulatory Enforcement System of Records,” published in the Federal Register on October 11, 2022, at </w:t>
      </w:r>
      <w:r w:rsidRPr="00D56C9B">
        <w:rPr>
          <w:sz w:val="22"/>
          <w:szCs w:val="22"/>
        </w:rPr>
        <w:t>87 FR</w:t>
      </w:r>
      <w:r w:rsidRPr="00D56C9B">
        <w:rPr>
          <w:sz w:val="22"/>
          <w:szCs w:val="22"/>
        </w:rPr>
        <w:t xml:space="preserve"> 61435.  Links to TTB’s PIAs and its SORN may be found on the TTB website at </w:t>
      </w:r>
    </w:p>
    <w:p w:rsidR="001C4D7F" w:rsidRPr="00D56C9B" w:rsidP="00B56A0E" w14:paraId="7F18CE6E" w14:textId="377E6660">
      <w:pPr>
        <w:widowControl/>
        <w:ind w:left="360"/>
        <w:rPr>
          <w:sz w:val="22"/>
          <w:szCs w:val="22"/>
        </w:rPr>
      </w:pPr>
      <w:hyperlink r:id="rId6" w:history="1">
        <w:r w:rsidRPr="00D56C9B">
          <w:rPr>
            <w:rStyle w:val="Hyperlink"/>
            <w:i/>
            <w:iCs/>
            <w:color w:val="auto"/>
            <w:sz w:val="22"/>
            <w:szCs w:val="22"/>
            <w:u w:val="none"/>
          </w:rPr>
          <w:t>https://www.ttb.gov/foia</w:t>
        </w:r>
      </w:hyperlink>
      <w:r w:rsidRPr="00D56C9B">
        <w:rPr>
          <w:sz w:val="22"/>
          <w:szCs w:val="22"/>
        </w:rPr>
        <w:t xml:space="preserve">. </w:t>
      </w:r>
    </w:p>
    <w:p w:rsidR="00837B67" w:rsidRPr="00D56C9B" w:rsidP="00E01404" w14:paraId="0ED843CF" w14:textId="77777777">
      <w:pPr>
        <w:widowControl/>
        <w:rPr>
          <w:sz w:val="28"/>
          <w:szCs w:val="28"/>
        </w:rPr>
      </w:pPr>
    </w:p>
    <w:p w:rsidR="00DB0428" w:rsidRPr="00D56C9B" w:rsidP="00E01404" w14:paraId="19AE1094" w14:textId="249EED16">
      <w:pPr>
        <w:widowControl/>
        <w:suppressAutoHyphens/>
        <w:rPr>
          <w:i/>
          <w:sz w:val="22"/>
          <w:szCs w:val="22"/>
        </w:rPr>
      </w:pPr>
      <w:r w:rsidRPr="00D56C9B">
        <w:rPr>
          <w:i/>
          <w:sz w:val="22"/>
          <w:szCs w:val="22"/>
        </w:rPr>
        <w:t xml:space="preserve">12.  What is the estimated hour burden of this collection of information? </w:t>
      </w:r>
    </w:p>
    <w:p w:rsidR="00DB0428" w:rsidRPr="00D56C9B" w:rsidP="00E01404" w14:paraId="45BEAFF8" w14:textId="77777777">
      <w:pPr>
        <w:widowControl/>
        <w:suppressAutoHyphens/>
        <w:rPr>
          <w:sz w:val="22"/>
          <w:szCs w:val="22"/>
        </w:rPr>
      </w:pPr>
    </w:p>
    <w:p w:rsidR="006C05A0" w:rsidP="000216BB" w14:paraId="1DF4E3A7" w14:textId="35AB5618">
      <w:pPr>
        <w:widowControl/>
        <w:ind w:left="360"/>
        <w:rPr>
          <w:sz w:val="22"/>
          <w:szCs w:val="22"/>
        </w:rPr>
      </w:pPr>
      <w:r w:rsidRPr="00D56C9B">
        <w:rPr>
          <w:sz w:val="22"/>
          <w:szCs w:val="22"/>
          <w:u w:val="single"/>
        </w:rPr>
        <w:t>Estimated Respondent Burden:</w:t>
      </w:r>
      <w:r w:rsidRPr="00D56C9B">
        <w:rPr>
          <w:sz w:val="22"/>
          <w:szCs w:val="22"/>
        </w:rPr>
        <w:t xml:space="preserve">  At this time, TTB is issuing the Pilot Brewer Excise Tax Return and Report of Operations information collection and its related information collection instruments</w:t>
      </w:r>
      <w:r w:rsidRPr="00D56C9B" w:rsidR="00123976">
        <w:rPr>
          <w:sz w:val="22"/>
          <w:szCs w:val="22"/>
        </w:rPr>
        <w:t>, which are</w:t>
      </w:r>
      <w:r w:rsidRPr="00D56C9B" w:rsidR="00654B9E">
        <w:rPr>
          <w:sz w:val="22"/>
          <w:szCs w:val="22"/>
        </w:rPr>
        <w:t xml:space="preserve"> titled as follows:  </w:t>
      </w:r>
      <w:r w:rsidRPr="00D56C9B">
        <w:rPr>
          <w:sz w:val="22"/>
          <w:szCs w:val="22"/>
        </w:rPr>
        <w:t>(1)</w:t>
      </w:r>
      <w:r w:rsidRPr="00D56C9B" w:rsidR="00123976">
        <w:rPr>
          <w:sz w:val="22"/>
          <w:szCs w:val="22"/>
        </w:rPr>
        <w:t xml:space="preserve"> Pilot Brewer Excise Tax Return for First Semi-Monthly Period(s) (TTB F 5130.Pilot-A), and (2) Pilot Brewer Excise Tax Return and Report of Operations (TTB F 5130.Pilot-B).  The Pilot-A form is filed by brewers required to file tax returns and pay excise on a semi-monthly basis and is used for the first semi-monthly period each month.  For the second semi-monthly period, those brewers will file the Pilot-B form, as </w:t>
      </w:r>
      <w:r w:rsidRPr="00D56C9B" w:rsidR="00123976">
        <w:rPr>
          <w:sz w:val="22"/>
          <w:szCs w:val="22"/>
        </w:rPr>
        <w:t xml:space="preserve">will all brewers qualified to file tax returns and pay taxes on a quarterly or annual basis.  </w:t>
      </w:r>
      <w:r w:rsidRPr="00383DD8" w:rsidR="00383DD8">
        <w:rPr>
          <w:sz w:val="22"/>
          <w:szCs w:val="22"/>
        </w:rPr>
        <w:t xml:space="preserve">TTB will release the information collections and instruments related to wine and distilled spirits for pilot testing at a later date. </w:t>
      </w:r>
      <w:r w:rsidR="00383DD8">
        <w:rPr>
          <w:sz w:val="22"/>
          <w:szCs w:val="22"/>
        </w:rPr>
        <w:t xml:space="preserve"> A</w:t>
      </w:r>
      <w:r w:rsidRPr="00D56C9B" w:rsidR="00123976">
        <w:rPr>
          <w:sz w:val="22"/>
          <w:szCs w:val="22"/>
        </w:rPr>
        <w:t>s such, t</w:t>
      </w:r>
      <w:r w:rsidRPr="00D56C9B">
        <w:rPr>
          <w:sz w:val="22"/>
          <w:szCs w:val="22"/>
        </w:rPr>
        <w:t>he burden and respondent labor-costs cited below concern only brewers at this time</w:t>
      </w:r>
      <w:r w:rsidRPr="00D56C9B" w:rsidR="00123976">
        <w:rPr>
          <w:sz w:val="22"/>
          <w:szCs w:val="22"/>
        </w:rPr>
        <w:t>.  TTB estimates the burden and respondent labor costs of th</w:t>
      </w:r>
      <w:r w:rsidR="00383DD8">
        <w:rPr>
          <w:sz w:val="22"/>
          <w:szCs w:val="22"/>
        </w:rPr>
        <w:t>e</w:t>
      </w:r>
      <w:r w:rsidRPr="00D56C9B" w:rsidR="00123976">
        <w:rPr>
          <w:sz w:val="22"/>
          <w:szCs w:val="22"/>
        </w:rPr>
        <w:t xml:space="preserve"> pilot test for </w:t>
      </w:r>
      <w:r w:rsidR="00383DD8">
        <w:rPr>
          <w:sz w:val="22"/>
          <w:szCs w:val="22"/>
        </w:rPr>
        <w:t xml:space="preserve">the combined </w:t>
      </w:r>
      <w:r w:rsidRPr="00D56C9B" w:rsidR="00123976">
        <w:rPr>
          <w:sz w:val="22"/>
          <w:szCs w:val="22"/>
        </w:rPr>
        <w:t xml:space="preserve">brewers </w:t>
      </w:r>
      <w:r w:rsidR="00383DD8">
        <w:rPr>
          <w:sz w:val="22"/>
          <w:szCs w:val="22"/>
        </w:rPr>
        <w:t xml:space="preserve">excise tax return and operations report </w:t>
      </w:r>
      <w:r w:rsidRPr="00D56C9B" w:rsidR="00123976">
        <w:rPr>
          <w:sz w:val="22"/>
          <w:szCs w:val="22"/>
        </w:rPr>
        <w:t xml:space="preserve">as follows: </w:t>
      </w:r>
    </w:p>
    <w:p w:rsidR="00383DD8" w:rsidRPr="00D56C9B" w:rsidP="000216BB" w14:paraId="0912B7D4" w14:textId="77777777">
      <w:pPr>
        <w:widowControl/>
        <w:ind w:left="360"/>
        <w:rPr>
          <w:sz w:val="22"/>
          <w:szCs w:val="22"/>
        </w:rPr>
      </w:pPr>
    </w:p>
    <w:p w:rsidR="00123976" w:rsidRPr="00D56C9B" w:rsidP="00123976" w14:paraId="49602D66" w14:textId="7EF9A5C0">
      <w:pPr>
        <w:widowControl/>
        <w:spacing w:after="80"/>
        <w:ind w:left="360"/>
        <w:jc w:val="center"/>
        <w:rPr>
          <w:b/>
          <w:bCs/>
          <w:sz w:val="22"/>
          <w:szCs w:val="22"/>
        </w:rPr>
      </w:pPr>
      <w:r w:rsidRPr="00D56C9B">
        <w:rPr>
          <w:b/>
          <w:bCs/>
          <w:sz w:val="22"/>
          <w:szCs w:val="22"/>
        </w:rPr>
        <w:t xml:space="preserve">Estimated </w:t>
      </w:r>
      <w:r w:rsidRPr="00D56C9B" w:rsidR="00DB24FE">
        <w:rPr>
          <w:b/>
          <w:bCs/>
          <w:sz w:val="22"/>
          <w:szCs w:val="22"/>
        </w:rPr>
        <w:t xml:space="preserve">Annual </w:t>
      </w:r>
      <w:r w:rsidRPr="00D56C9B">
        <w:rPr>
          <w:b/>
          <w:bCs/>
          <w:sz w:val="22"/>
          <w:szCs w:val="22"/>
        </w:rPr>
        <w:t>Respondent Burden</w:t>
      </w:r>
      <w:r w:rsidR="008B4DB4">
        <w:rPr>
          <w:b/>
          <w:bCs/>
          <w:sz w:val="22"/>
          <w:szCs w:val="22"/>
        </w:rPr>
        <w:t>*</w:t>
      </w:r>
      <w:r w:rsidRPr="00D56C9B">
        <w:rPr>
          <w:b/>
          <w:bCs/>
          <w:sz w:val="22"/>
          <w:szCs w:val="22"/>
        </w:rPr>
        <w:t xml:space="preserve"> </w:t>
      </w:r>
    </w:p>
    <w:tbl>
      <w:tblPr>
        <w:tblStyle w:val="TableGrid"/>
        <w:tblW w:w="10075" w:type="dxa"/>
        <w:jc w:val="center"/>
        <w:tblLook w:val="04A0"/>
      </w:tblPr>
      <w:tblGrid>
        <w:gridCol w:w="1599"/>
        <w:gridCol w:w="1339"/>
        <w:gridCol w:w="1430"/>
        <w:gridCol w:w="1483"/>
        <w:gridCol w:w="1434"/>
        <w:gridCol w:w="1440"/>
        <w:gridCol w:w="1350"/>
      </w:tblGrid>
      <w:tr w14:paraId="6815F2AB" w14:textId="77777777" w:rsidTr="004E5039">
        <w:tblPrEx>
          <w:tblW w:w="10075" w:type="dxa"/>
          <w:jc w:val="center"/>
          <w:tblLook w:val="04A0"/>
        </w:tblPrEx>
        <w:trPr>
          <w:trHeight w:val="432"/>
          <w:jc w:val="center"/>
        </w:trPr>
        <w:tc>
          <w:tcPr>
            <w:tcW w:w="1599" w:type="dxa"/>
          </w:tcPr>
          <w:p w:rsidR="00AE7BF7" w:rsidRPr="00D56C9B" w:rsidP="001B45D6" w14:paraId="75A738F9" w14:textId="77777777">
            <w:pPr>
              <w:widowControl/>
              <w:jc w:val="center"/>
              <w:rPr>
                <w:b/>
                <w:bCs/>
              </w:rPr>
            </w:pPr>
          </w:p>
        </w:tc>
        <w:tc>
          <w:tcPr>
            <w:tcW w:w="8476" w:type="dxa"/>
            <w:gridSpan w:val="6"/>
            <w:vAlign w:val="center"/>
          </w:tcPr>
          <w:p w:rsidR="00AE7BF7" w:rsidRPr="00D56C9B" w:rsidP="001B45D6" w14:paraId="4C68B5DE" w14:textId="070C15A6">
            <w:pPr>
              <w:widowControl/>
              <w:jc w:val="center"/>
              <w:rPr>
                <w:b/>
                <w:bCs/>
              </w:rPr>
            </w:pPr>
            <w:r w:rsidRPr="00D56C9B">
              <w:rPr>
                <w:b/>
                <w:bCs/>
              </w:rPr>
              <w:t xml:space="preserve">Pilot Brewer Excise Tax Return and Report of Operations Information Collection </w:t>
            </w:r>
          </w:p>
        </w:tc>
      </w:tr>
      <w:tr w14:paraId="76E5C1B6" w14:textId="77777777" w:rsidTr="004E5039">
        <w:tblPrEx>
          <w:tblW w:w="10075" w:type="dxa"/>
          <w:jc w:val="center"/>
          <w:tblLook w:val="04A0"/>
        </w:tblPrEx>
        <w:trPr>
          <w:trHeight w:val="432"/>
          <w:jc w:val="center"/>
        </w:trPr>
        <w:tc>
          <w:tcPr>
            <w:tcW w:w="1599" w:type="dxa"/>
            <w:vAlign w:val="center"/>
          </w:tcPr>
          <w:p w:rsidR="004E5039" w:rsidRPr="00D56C9B" w:rsidP="004E5039" w14:paraId="2D0B6EFA" w14:textId="2926D256">
            <w:pPr>
              <w:widowControl/>
              <w:jc w:val="center"/>
              <w:rPr>
                <w:b/>
                <w:bCs/>
              </w:rPr>
            </w:pPr>
            <w:r w:rsidRPr="00D56C9B">
              <w:rPr>
                <w:b/>
                <w:bCs/>
              </w:rPr>
              <w:t>Collection Instrument</w:t>
            </w:r>
          </w:p>
        </w:tc>
        <w:tc>
          <w:tcPr>
            <w:tcW w:w="1339" w:type="dxa"/>
            <w:vAlign w:val="center"/>
          </w:tcPr>
          <w:p w:rsidR="004E5039" w:rsidRPr="00D56C9B" w:rsidP="004E5039" w14:paraId="2AAD3308" w14:textId="35ED08C6">
            <w:pPr>
              <w:widowControl/>
              <w:jc w:val="center"/>
              <w:rPr>
                <w:b/>
                <w:bCs/>
              </w:rPr>
            </w:pPr>
            <w:r w:rsidRPr="00D56C9B">
              <w:rPr>
                <w:b/>
                <w:bCs/>
              </w:rPr>
              <w:t>Burden per Response</w:t>
            </w:r>
          </w:p>
        </w:tc>
        <w:tc>
          <w:tcPr>
            <w:tcW w:w="1430" w:type="dxa"/>
            <w:vAlign w:val="center"/>
          </w:tcPr>
          <w:p w:rsidR="004E5039" w:rsidRPr="00D56C9B" w:rsidP="004E5039" w14:paraId="518B74F3" w14:textId="0DE483E2">
            <w:pPr>
              <w:widowControl/>
              <w:jc w:val="center"/>
              <w:rPr>
                <w:b/>
                <w:bCs/>
              </w:rPr>
            </w:pPr>
            <w:r w:rsidRPr="00D56C9B">
              <w:rPr>
                <w:b/>
                <w:bCs/>
              </w:rPr>
              <w:t>Number of Responses</w:t>
            </w:r>
          </w:p>
        </w:tc>
        <w:tc>
          <w:tcPr>
            <w:tcW w:w="1483" w:type="dxa"/>
            <w:vAlign w:val="center"/>
          </w:tcPr>
          <w:p w:rsidR="004E5039" w:rsidRPr="00D56C9B" w:rsidP="004E5039" w14:paraId="10B3CFEF" w14:textId="20B87283">
            <w:pPr>
              <w:widowControl/>
              <w:jc w:val="center"/>
              <w:rPr>
                <w:b/>
                <w:bCs/>
              </w:rPr>
            </w:pPr>
            <w:r>
              <w:rPr>
                <w:b/>
                <w:bCs/>
              </w:rPr>
              <w:t xml:space="preserve">Total Respondents </w:t>
            </w:r>
          </w:p>
        </w:tc>
        <w:tc>
          <w:tcPr>
            <w:tcW w:w="1434" w:type="dxa"/>
            <w:vAlign w:val="center"/>
          </w:tcPr>
          <w:p w:rsidR="004E5039" w:rsidRPr="00D56C9B" w:rsidP="004E5039" w14:paraId="6E126D36" w14:textId="72234406">
            <w:pPr>
              <w:widowControl/>
              <w:jc w:val="center"/>
              <w:rPr>
                <w:b/>
                <w:bCs/>
              </w:rPr>
            </w:pPr>
            <w:r>
              <w:rPr>
                <w:b/>
                <w:bCs/>
              </w:rPr>
              <w:t>Total Responses</w:t>
            </w:r>
          </w:p>
        </w:tc>
        <w:tc>
          <w:tcPr>
            <w:tcW w:w="1440" w:type="dxa"/>
            <w:vAlign w:val="center"/>
          </w:tcPr>
          <w:p w:rsidR="004E5039" w:rsidRPr="00D56C9B" w:rsidP="004E5039" w14:paraId="53F48FC6" w14:textId="5FA778F2">
            <w:pPr>
              <w:widowControl/>
              <w:jc w:val="center"/>
              <w:rPr>
                <w:b/>
                <w:bCs/>
              </w:rPr>
            </w:pPr>
            <w:r w:rsidRPr="00D56C9B">
              <w:rPr>
                <w:b/>
                <w:bCs/>
              </w:rPr>
              <w:t>Total per-Respondent Burden</w:t>
            </w:r>
          </w:p>
        </w:tc>
        <w:tc>
          <w:tcPr>
            <w:tcW w:w="1350" w:type="dxa"/>
            <w:vAlign w:val="center"/>
          </w:tcPr>
          <w:p w:rsidR="004E5039" w:rsidRPr="00D56C9B" w:rsidP="004E5039" w14:paraId="683C9324" w14:textId="0ECEA1A4">
            <w:pPr>
              <w:widowControl/>
              <w:jc w:val="center"/>
              <w:rPr>
                <w:b/>
                <w:bCs/>
              </w:rPr>
            </w:pPr>
            <w:r w:rsidRPr="00D56C9B">
              <w:rPr>
                <w:b/>
                <w:bCs/>
              </w:rPr>
              <w:t>Total Burden</w:t>
            </w:r>
            <w:r>
              <w:rPr>
                <w:b/>
                <w:bCs/>
              </w:rPr>
              <w:t xml:space="preserve"> Hours</w:t>
            </w:r>
          </w:p>
        </w:tc>
      </w:tr>
      <w:tr w14:paraId="21982C23" w14:textId="77777777" w:rsidTr="004E5039">
        <w:tblPrEx>
          <w:tblW w:w="10075" w:type="dxa"/>
          <w:jc w:val="center"/>
          <w:tblLook w:val="04A0"/>
        </w:tblPrEx>
        <w:trPr>
          <w:trHeight w:val="432"/>
          <w:jc w:val="center"/>
        </w:trPr>
        <w:tc>
          <w:tcPr>
            <w:tcW w:w="1599" w:type="dxa"/>
            <w:vAlign w:val="center"/>
          </w:tcPr>
          <w:p w:rsidR="004E5039" w:rsidRPr="00D56C9B" w:rsidP="004E5039" w14:paraId="67456A10" w14:textId="142889E4">
            <w:pPr>
              <w:widowControl/>
              <w:jc w:val="center"/>
              <w:rPr>
                <w:b/>
                <w:bCs/>
              </w:rPr>
            </w:pPr>
            <w:r w:rsidRPr="00D56C9B">
              <w:rPr>
                <w:b/>
                <w:bCs/>
              </w:rPr>
              <w:t>Semi-monthly Filers</w:t>
            </w:r>
          </w:p>
        </w:tc>
        <w:tc>
          <w:tcPr>
            <w:tcW w:w="1339" w:type="dxa"/>
            <w:vAlign w:val="center"/>
          </w:tcPr>
          <w:p w:rsidR="004E5039" w:rsidRPr="00D56C9B" w:rsidP="004E5039" w14:paraId="6D02C6E5" w14:textId="77777777">
            <w:pPr>
              <w:widowControl/>
              <w:jc w:val="center"/>
            </w:pPr>
          </w:p>
        </w:tc>
        <w:tc>
          <w:tcPr>
            <w:tcW w:w="1430" w:type="dxa"/>
            <w:vAlign w:val="center"/>
          </w:tcPr>
          <w:p w:rsidR="004E5039" w:rsidRPr="00D56C9B" w:rsidP="004E5039" w14:paraId="1E952C4A" w14:textId="77777777">
            <w:pPr>
              <w:widowControl/>
              <w:jc w:val="center"/>
            </w:pPr>
          </w:p>
        </w:tc>
        <w:tc>
          <w:tcPr>
            <w:tcW w:w="1483" w:type="dxa"/>
            <w:vAlign w:val="center"/>
          </w:tcPr>
          <w:p w:rsidR="004E5039" w:rsidRPr="00D56C9B" w:rsidP="004E5039" w14:paraId="00CECE6E" w14:textId="77777777">
            <w:pPr>
              <w:widowControl/>
              <w:jc w:val="center"/>
            </w:pPr>
          </w:p>
        </w:tc>
        <w:tc>
          <w:tcPr>
            <w:tcW w:w="1434" w:type="dxa"/>
            <w:vAlign w:val="center"/>
          </w:tcPr>
          <w:p w:rsidR="004E5039" w:rsidRPr="00D56C9B" w:rsidP="004E5039" w14:paraId="5BD0D857" w14:textId="5D3CCE9A">
            <w:pPr>
              <w:widowControl/>
              <w:jc w:val="center"/>
            </w:pPr>
          </w:p>
        </w:tc>
        <w:tc>
          <w:tcPr>
            <w:tcW w:w="1440" w:type="dxa"/>
            <w:vAlign w:val="center"/>
          </w:tcPr>
          <w:p w:rsidR="004E5039" w:rsidRPr="00D56C9B" w:rsidP="004E5039" w14:paraId="76086A0D" w14:textId="065B9E8D">
            <w:pPr>
              <w:widowControl/>
              <w:jc w:val="center"/>
            </w:pPr>
          </w:p>
        </w:tc>
        <w:tc>
          <w:tcPr>
            <w:tcW w:w="1350" w:type="dxa"/>
            <w:vAlign w:val="center"/>
          </w:tcPr>
          <w:p w:rsidR="004E5039" w:rsidRPr="00D56C9B" w:rsidP="004E5039" w14:paraId="3BD97CDE" w14:textId="77777777">
            <w:pPr>
              <w:widowControl/>
              <w:jc w:val="center"/>
            </w:pPr>
          </w:p>
        </w:tc>
      </w:tr>
      <w:tr w14:paraId="476118F8" w14:textId="77777777" w:rsidTr="004E5039">
        <w:tblPrEx>
          <w:tblW w:w="10075" w:type="dxa"/>
          <w:jc w:val="center"/>
          <w:tblLook w:val="04A0"/>
        </w:tblPrEx>
        <w:trPr>
          <w:trHeight w:val="432"/>
          <w:jc w:val="center"/>
        </w:trPr>
        <w:tc>
          <w:tcPr>
            <w:tcW w:w="1599" w:type="dxa"/>
            <w:vAlign w:val="center"/>
          </w:tcPr>
          <w:p w:rsidR="004E5039" w:rsidRPr="00D56C9B" w:rsidP="004E5039" w14:paraId="65E20C3C" w14:textId="0A2DF207">
            <w:pPr>
              <w:widowControl/>
              <w:jc w:val="center"/>
            </w:pPr>
            <w:r w:rsidRPr="00D56C9B">
              <w:t>F 5130.Pilot-A</w:t>
            </w:r>
          </w:p>
        </w:tc>
        <w:tc>
          <w:tcPr>
            <w:tcW w:w="1339" w:type="dxa"/>
            <w:vAlign w:val="center"/>
          </w:tcPr>
          <w:p w:rsidR="004E5039" w:rsidRPr="00D56C9B" w:rsidP="004E5039" w14:paraId="2BFC4B9D" w14:textId="4BA30B82">
            <w:pPr>
              <w:widowControl/>
              <w:jc w:val="center"/>
            </w:pPr>
            <w:r w:rsidRPr="00D56C9B">
              <w:t>15 min.</w:t>
            </w:r>
          </w:p>
        </w:tc>
        <w:tc>
          <w:tcPr>
            <w:tcW w:w="1430" w:type="dxa"/>
            <w:vAlign w:val="center"/>
          </w:tcPr>
          <w:p w:rsidR="004E5039" w:rsidRPr="00D56C9B" w:rsidP="004E5039" w14:paraId="08ED9C82" w14:textId="4A58B29B">
            <w:pPr>
              <w:widowControl/>
              <w:jc w:val="center"/>
            </w:pPr>
            <w:r w:rsidRPr="00D56C9B">
              <w:t>13*</w:t>
            </w:r>
            <w:r>
              <w:t>*</w:t>
            </w:r>
          </w:p>
        </w:tc>
        <w:tc>
          <w:tcPr>
            <w:tcW w:w="1483" w:type="dxa"/>
            <w:vMerge w:val="restart"/>
            <w:vAlign w:val="center"/>
          </w:tcPr>
          <w:p w:rsidR="004E5039" w:rsidRPr="00D56C9B" w:rsidP="004E5039" w14:paraId="49BD672A" w14:textId="06F478B1">
            <w:pPr>
              <w:widowControl/>
              <w:jc w:val="center"/>
            </w:pPr>
            <w:r w:rsidRPr="00D56C9B">
              <w:t>1,400</w:t>
            </w:r>
          </w:p>
        </w:tc>
        <w:tc>
          <w:tcPr>
            <w:tcW w:w="1434" w:type="dxa"/>
            <w:vAlign w:val="center"/>
          </w:tcPr>
          <w:p w:rsidR="004E5039" w:rsidRPr="00D56C9B" w:rsidP="004E5039" w14:paraId="1E99CBDE" w14:textId="3C5CDDF6">
            <w:pPr>
              <w:widowControl/>
              <w:jc w:val="center"/>
            </w:pPr>
            <w:r>
              <w:t>18,200</w:t>
            </w:r>
          </w:p>
        </w:tc>
        <w:tc>
          <w:tcPr>
            <w:tcW w:w="1440" w:type="dxa"/>
            <w:vAlign w:val="center"/>
          </w:tcPr>
          <w:p w:rsidR="004E5039" w:rsidRPr="00D56C9B" w:rsidP="004E5039" w14:paraId="36D7CD95" w14:textId="77777777">
            <w:pPr>
              <w:widowControl/>
              <w:jc w:val="center"/>
            </w:pPr>
            <w:r w:rsidRPr="00D56C9B">
              <w:t xml:space="preserve">3.25 hour. </w:t>
            </w:r>
          </w:p>
          <w:p w:rsidR="004E5039" w:rsidRPr="00D56C9B" w:rsidP="004E5039" w14:paraId="0D2ED6AC" w14:textId="0FF695AA">
            <w:pPr>
              <w:widowControl/>
              <w:jc w:val="center"/>
            </w:pPr>
            <w:r w:rsidRPr="00D56C9B">
              <w:t>(195 min.)</w:t>
            </w:r>
          </w:p>
        </w:tc>
        <w:tc>
          <w:tcPr>
            <w:tcW w:w="1350" w:type="dxa"/>
            <w:vAlign w:val="center"/>
          </w:tcPr>
          <w:p w:rsidR="004E5039" w:rsidRPr="00D56C9B" w:rsidP="004E5039" w14:paraId="58EE41D9" w14:textId="353B1C8C">
            <w:pPr>
              <w:widowControl/>
              <w:jc w:val="center"/>
            </w:pPr>
            <w:r w:rsidRPr="00D56C9B">
              <w:t xml:space="preserve">4,550 </w:t>
            </w:r>
          </w:p>
        </w:tc>
      </w:tr>
      <w:tr w14:paraId="2982E365" w14:textId="77777777" w:rsidTr="004E5039">
        <w:tblPrEx>
          <w:tblW w:w="10075" w:type="dxa"/>
          <w:jc w:val="center"/>
          <w:tblLook w:val="04A0"/>
        </w:tblPrEx>
        <w:trPr>
          <w:trHeight w:val="432"/>
          <w:jc w:val="center"/>
        </w:trPr>
        <w:tc>
          <w:tcPr>
            <w:tcW w:w="1599" w:type="dxa"/>
            <w:vAlign w:val="center"/>
          </w:tcPr>
          <w:p w:rsidR="004E5039" w:rsidRPr="00D56C9B" w:rsidP="004E5039" w14:paraId="7307B496" w14:textId="60A8FE28">
            <w:pPr>
              <w:widowControl/>
              <w:jc w:val="center"/>
            </w:pPr>
            <w:r w:rsidRPr="00D56C9B">
              <w:t>F 5130.Pilot-B</w:t>
            </w:r>
          </w:p>
        </w:tc>
        <w:tc>
          <w:tcPr>
            <w:tcW w:w="1339" w:type="dxa"/>
            <w:vAlign w:val="center"/>
          </w:tcPr>
          <w:p w:rsidR="004E5039" w:rsidRPr="00D56C9B" w:rsidP="004E5039" w14:paraId="09A7DE2C" w14:textId="6BDD0466">
            <w:pPr>
              <w:widowControl/>
              <w:jc w:val="center"/>
            </w:pPr>
            <w:r w:rsidRPr="00D56C9B">
              <w:t>40 min.</w:t>
            </w:r>
          </w:p>
        </w:tc>
        <w:tc>
          <w:tcPr>
            <w:tcW w:w="1430" w:type="dxa"/>
            <w:vAlign w:val="center"/>
          </w:tcPr>
          <w:p w:rsidR="004E5039" w:rsidRPr="00D56C9B" w:rsidP="004E5039" w14:paraId="0803053F" w14:textId="03C9FCF3">
            <w:pPr>
              <w:widowControl/>
              <w:jc w:val="center"/>
            </w:pPr>
            <w:r w:rsidRPr="00D56C9B">
              <w:t>12</w:t>
            </w:r>
          </w:p>
        </w:tc>
        <w:tc>
          <w:tcPr>
            <w:tcW w:w="1483" w:type="dxa"/>
            <w:vMerge/>
            <w:vAlign w:val="center"/>
          </w:tcPr>
          <w:p w:rsidR="004E5039" w:rsidRPr="00D56C9B" w:rsidP="004E5039" w14:paraId="5E78B74D" w14:textId="77777777">
            <w:pPr>
              <w:widowControl/>
              <w:jc w:val="center"/>
            </w:pPr>
          </w:p>
        </w:tc>
        <w:tc>
          <w:tcPr>
            <w:tcW w:w="1434" w:type="dxa"/>
            <w:vAlign w:val="center"/>
          </w:tcPr>
          <w:p w:rsidR="004E5039" w:rsidRPr="00D56C9B" w:rsidP="004E5039" w14:paraId="76ECEB65" w14:textId="29E22F97">
            <w:pPr>
              <w:widowControl/>
              <w:jc w:val="center"/>
            </w:pPr>
            <w:r>
              <w:t>16,800</w:t>
            </w:r>
          </w:p>
        </w:tc>
        <w:tc>
          <w:tcPr>
            <w:tcW w:w="1440" w:type="dxa"/>
            <w:vAlign w:val="center"/>
          </w:tcPr>
          <w:p w:rsidR="004E5039" w:rsidRPr="00D56C9B" w:rsidP="004E5039" w14:paraId="01D847A5" w14:textId="77777777">
            <w:pPr>
              <w:widowControl/>
              <w:jc w:val="center"/>
            </w:pPr>
            <w:r w:rsidRPr="00D56C9B">
              <w:t xml:space="preserve">8 hours </w:t>
            </w:r>
          </w:p>
          <w:p w:rsidR="004E5039" w:rsidRPr="00D56C9B" w:rsidP="004E5039" w14:paraId="7A0F73A7" w14:textId="614130D9">
            <w:pPr>
              <w:widowControl/>
              <w:jc w:val="center"/>
            </w:pPr>
            <w:r w:rsidRPr="00D56C9B">
              <w:t>(480 min).</w:t>
            </w:r>
          </w:p>
        </w:tc>
        <w:tc>
          <w:tcPr>
            <w:tcW w:w="1350" w:type="dxa"/>
            <w:vAlign w:val="center"/>
          </w:tcPr>
          <w:p w:rsidR="004E5039" w:rsidRPr="00D56C9B" w:rsidP="004E5039" w14:paraId="3DD4D883" w14:textId="5A2CC82F">
            <w:pPr>
              <w:widowControl/>
              <w:jc w:val="center"/>
            </w:pPr>
            <w:r w:rsidRPr="00D56C9B">
              <w:t xml:space="preserve">11,200 </w:t>
            </w:r>
          </w:p>
        </w:tc>
      </w:tr>
      <w:tr w14:paraId="44162E2C" w14:textId="77777777" w:rsidTr="004E5039">
        <w:tblPrEx>
          <w:tblW w:w="10075" w:type="dxa"/>
          <w:jc w:val="center"/>
          <w:tblLook w:val="04A0"/>
        </w:tblPrEx>
        <w:trPr>
          <w:trHeight w:val="432"/>
          <w:jc w:val="center"/>
        </w:trPr>
        <w:tc>
          <w:tcPr>
            <w:tcW w:w="1599" w:type="dxa"/>
            <w:vAlign w:val="center"/>
          </w:tcPr>
          <w:p w:rsidR="004E5039" w:rsidRPr="00D56C9B" w:rsidP="004E5039" w14:paraId="3F290F6F" w14:textId="386BEF1F">
            <w:pPr>
              <w:widowControl/>
              <w:jc w:val="center"/>
              <w:rPr>
                <w:i/>
                <w:iCs/>
              </w:rPr>
            </w:pPr>
            <w:r w:rsidRPr="00D56C9B">
              <w:rPr>
                <w:i/>
                <w:iCs/>
              </w:rPr>
              <w:t>Semi-monthly totals</w:t>
            </w:r>
          </w:p>
        </w:tc>
        <w:tc>
          <w:tcPr>
            <w:tcW w:w="1339" w:type="dxa"/>
            <w:vAlign w:val="center"/>
          </w:tcPr>
          <w:p w:rsidR="004E5039" w:rsidRPr="00D56C9B" w:rsidP="004E5039" w14:paraId="6CF973FD" w14:textId="77777777">
            <w:pPr>
              <w:widowControl/>
              <w:jc w:val="center"/>
              <w:rPr>
                <w:i/>
                <w:iCs/>
              </w:rPr>
            </w:pPr>
            <w:r w:rsidRPr="00D56C9B">
              <w:rPr>
                <w:i/>
                <w:iCs/>
              </w:rPr>
              <w:t xml:space="preserve">(avg. of </w:t>
            </w:r>
          </w:p>
          <w:p w:rsidR="004E5039" w:rsidRPr="00D56C9B" w:rsidP="004E5039" w14:paraId="2541DD08" w14:textId="0AADBA90">
            <w:pPr>
              <w:widowControl/>
              <w:jc w:val="center"/>
              <w:rPr>
                <w:i/>
                <w:iCs/>
              </w:rPr>
            </w:pPr>
            <w:r w:rsidRPr="00D56C9B">
              <w:rPr>
                <w:i/>
                <w:iCs/>
              </w:rPr>
              <w:t>27 min.)</w:t>
            </w:r>
          </w:p>
        </w:tc>
        <w:tc>
          <w:tcPr>
            <w:tcW w:w="1430" w:type="dxa"/>
            <w:vAlign w:val="center"/>
          </w:tcPr>
          <w:p w:rsidR="004E5039" w:rsidRPr="00D56C9B" w:rsidP="004E5039" w14:paraId="6AC94F39" w14:textId="53FC3DB3">
            <w:pPr>
              <w:widowControl/>
              <w:jc w:val="center"/>
              <w:rPr>
                <w:i/>
                <w:iCs/>
              </w:rPr>
            </w:pPr>
            <w:r w:rsidRPr="00D56C9B">
              <w:rPr>
                <w:i/>
                <w:iCs/>
              </w:rPr>
              <w:t>25</w:t>
            </w:r>
          </w:p>
        </w:tc>
        <w:tc>
          <w:tcPr>
            <w:tcW w:w="1483" w:type="dxa"/>
            <w:vAlign w:val="center"/>
          </w:tcPr>
          <w:p w:rsidR="004E5039" w:rsidRPr="00D56C9B" w:rsidP="004E5039" w14:paraId="6B2605FD" w14:textId="6BC6C5A3">
            <w:pPr>
              <w:widowControl/>
              <w:jc w:val="center"/>
              <w:rPr>
                <w:i/>
                <w:iCs/>
              </w:rPr>
            </w:pPr>
            <w:r w:rsidRPr="00D56C9B">
              <w:rPr>
                <w:i/>
                <w:iCs/>
              </w:rPr>
              <w:t>1,400</w:t>
            </w:r>
          </w:p>
        </w:tc>
        <w:tc>
          <w:tcPr>
            <w:tcW w:w="1434" w:type="dxa"/>
            <w:vAlign w:val="center"/>
          </w:tcPr>
          <w:p w:rsidR="004E5039" w:rsidRPr="00D56C9B" w:rsidP="004E5039" w14:paraId="47F13D4F" w14:textId="6FF26463">
            <w:pPr>
              <w:widowControl/>
              <w:jc w:val="center"/>
              <w:rPr>
                <w:i/>
                <w:iCs/>
              </w:rPr>
            </w:pPr>
            <w:r>
              <w:rPr>
                <w:i/>
                <w:iCs/>
              </w:rPr>
              <w:t>35,000</w:t>
            </w:r>
          </w:p>
        </w:tc>
        <w:tc>
          <w:tcPr>
            <w:tcW w:w="1440" w:type="dxa"/>
            <w:vAlign w:val="center"/>
          </w:tcPr>
          <w:p w:rsidR="004E5039" w:rsidRPr="00D56C9B" w:rsidP="004E5039" w14:paraId="3899BE90" w14:textId="1CFBDF9C">
            <w:pPr>
              <w:widowControl/>
              <w:jc w:val="center"/>
              <w:rPr>
                <w:i/>
                <w:iCs/>
              </w:rPr>
            </w:pPr>
            <w:r w:rsidRPr="00D56C9B">
              <w:rPr>
                <w:i/>
                <w:iCs/>
              </w:rPr>
              <w:t>11.25 hours</w:t>
            </w:r>
          </w:p>
        </w:tc>
        <w:tc>
          <w:tcPr>
            <w:tcW w:w="1350" w:type="dxa"/>
            <w:vAlign w:val="center"/>
          </w:tcPr>
          <w:p w:rsidR="004E5039" w:rsidRPr="00D56C9B" w:rsidP="004E5039" w14:paraId="7D30616B" w14:textId="78B449D1">
            <w:pPr>
              <w:widowControl/>
              <w:jc w:val="center"/>
              <w:rPr>
                <w:i/>
                <w:iCs/>
              </w:rPr>
            </w:pPr>
            <w:r w:rsidRPr="00D56C9B">
              <w:rPr>
                <w:i/>
                <w:iCs/>
              </w:rPr>
              <w:t xml:space="preserve">15,750 </w:t>
            </w:r>
          </w:p>
        </w:tc>
      </w:tr>
      <w:tr w14:paraId="417A6ECC" w14:textId="77777777" w:rsidTr="004E5039">
        <w:tblPrEx>
          <w:tblW w:w="10075" w:type="dxa"/>
          <w:jc w:val="center"/>
          <w:tblLook w:val="04A0"/>
        </w:tblPrEx>
        <w:trPr>
          <w:trHeight w:val="98"/>
          <w:jc w:val="center"/>
        </w:trPr>
        <w:tc>
          <w:tcPr>
            <w:tcW w:w="1599" w:type="dxa"/>
            <w:vAlign w:val="center"/>
          </w:tcPr>
          <w:p w:rsidR="004E5039" w:rsidRPr="00D56C9B" w:rsidP="004E5039" w14:paraId="44AEAADE" w14:textId="77777777">
            <w:pPr>
              <w:widowControl/>
              <w:jc w:val="center"/>
            </w:pPr>
            <w:bookmarkStart w:id="1" w:name="_Hlk147825352"/>
          </w:p>
        </w:tc>
        <w:tc>
          <w:tcPr>
            <w:tcW w:w="1339" w:type="dxa"/>
            <w:vAlign w:val="center"/>
          </w:tcPr>
          <w:p w:rsidR="004E5039" w:rsidRPr="00D56C9B" w:rsidP="004E5039" w14:paraId="7BDDEF2C" w14:textId="77777777">
            <w:pPr>
              <w:widowControl/>
              <w:jc w:val="center"/>
            </w:pPr>
          </w:p>
        </w:tc>
        <w:tc>
          <w:tcPr>
            <w:tcW w:w="1430" w:type="dxa"/>
            <w:vAlign w:val="center"/>
          </w:tcPr>
          <w:p w:rsidR="004E5039" w:rsidRPr="00D56C9B" w:rsidP="004E5039" w14:paraId="0C2D53BD" w14:textId="77777777">
            <w:pPr>
              <w:widowControl/>
              <w:jc w:val="center"/>
            </w:pPr>
          </w:p>
        </w:tc>
        <w:tc>
          <w:tcPr>
            <w:tcW w:w="1483" w:type="dxa"/>
            <w:vAlign w:val="center"/>
          </w:tcPr>
          <w:p w:rsidR="004E5039" w:rsidRPr="00D56C9B" w:rsidP="004E5039" w14:paraId="751FA403" w14:textId="77777777">
            <w:pPr>
              <w:widowControl/>
              <w:jc w:val="center"/>
            </w:pPr>
          </w:p>
        </w:tc>
        <w:tc>
          <w:tcPr>
            <w:tcW w:w="1434" w:type="dxa"/>
            <w:vAlign w:val="center"/>
          </w:tcPr>
          <w:p w:rsidR="004E5039" w:rsidRPr="00D56C9B" w:rsidP="004E5039" w14:paraId="41F22ABD" w14:textId="2CC0A250">
            <w:pPr>
              <w:widowControl/>
              <w:jc w:val="center"/>
            </w:pPr>
          </w:p>
        </w:tc>
        <w:tc>
          <w:tcPr>
            <w:tcW w:w="1440" w:type="dxa"/>
            <w:vAlign w:val="center"/>
          </w:tcPr>
          <w:p w:rsidR="004E5039" w:rsidRPr="00D56C9B" w:rsidP="004E5039" w14:paraId="025E6D87" w14:textId="40B0D0BF">
            <w:pPr>
              <w:widowControl/>
              <w:jc w:val="center"/>
            </w:pPr>
          </w:p>
        </w:tc>
        <w:tc>
          <w:tcPr>
            <w:tcW w:w="1350" w:type="dxa"/>
            <w:vAlign w:val="center"/>
          </w:tcPr>
          <w:p w:rsidR="004E5039" w:rsidRPr="00D56C9B" w:rsidP="004E5039" w14:paraId="7B9C97DA" w14:textId="77777777">
            <w:pPr>
              <w:widowControl/>
              <w:jc w:val="center"/>
            </w:pPr>
          </w:p>
        </w:tc>
      </w:tr>
      <w:bookmarkEnd w:id="1"/>
      <w:tr w14:paraId="2EF8F3C7" w14:textId="77777777" w:rsidTr="004E5039">
        <w:tblPrEx>
          <w:tblW w:w="10075" w:type="dxa"/>
          <w:jc w:val="center"/>
          <w:tblLook w:val="04A0"/>
        </w:tblPrEx>
        <w:trPr>
          <w:trHeight w:val="432"/>
          <w:jc w:val="center"/>
        </w:trPr>
        <w:tc>
          <w:tcPr>
            <w:tcW w:w="1599" w:type="dxa"/>
            <w:vAlign w:val="center"/>
          </w:tcPr>
          <w:p w:rsidR="004E5039" w:rsidRPr="00D56C9B" w:rsidP="004E5039" w14:paraId="1D5A7050" w14:textId="5AEC4123">
            <w:pPr>
              <w:widowControl/>
              <w:jc w:val="center"/>
              <w:rPr>
                <w:b/>
                <w:bCs/>
              </w:rPr>
            </w:pPr>
            <w:r w:rsidRPr="00D56C9B">
              <w:rPr>
                <w:b/>
                <w:bCs/>
              </w:rPr>
              <w:t>Quarterly Filers</w:t>
            </w:r>
          </w:p>
        </w:tc>
        <w:tc>
          <w:tcPr>
            <w:tcW w:w="1339" w:type="dxa"/>
            <w:vAlign w:val="center"/>
          </w:tcPr>
          <w:p w:rsidR="004E5039" w:rsidRPr="00D56C9B" w:rsidP="004E5039" w14:paraId="31935FA4" w14:textId="77777777">
            <w:pPr>
              <w:widowControl/>
              <w:jc w:val="center"/>
            </w:pPr>
          </w:p>
        </w:tc>
        <w:tc>
          <w:tcPr>
            <w:tcW w:w="1430" w:type="dxa"/>
            <w:vAlign w:val="center"/>
          </w:tcPr>
          <w:p w:rsidR="004E5039" w:rsidRPr="00D56C9B" w:rsidP="004E5039" w14:paraId="7DC8E15A" w14:textId="77777777">
            <w:pPr>
              <w:widowControl/>
              <w:jc w:val="center"/>
            </w:pPr>
          </w:p>
        </w:tc>
        <w:tc>
          <w:tcPr>
            <w:tcW w:w="1483" w:type="dxa"/>
            <w:vAlign w:val="center"/>
          </w:tcPr>
          <w:p w:rsidR="004E5039" w:rsidRPr="00D56C9B" w:rsidP="004E5039" w14:paraId="195AD834" w14:textId="77777777">
            <w:pPr>
              <w:widowControl/>
              <w:jc w:val="center"/>
            </w:pPr>
          </w:p>
        </w:tc>
        <w:tc>
          <w:tcPr>
            <w:tcW w:w="1434" w:type="dxa"/>
            <w:vAlign w:val="center"/>
          </w:tcPr>
          <w:p w:rsidR="004E5039" w:rsidRPr="00D56C9B" w:rsidP="004E5039" w14:paraId="1E7A448A" w14:textId="59E3F5D5">
            <w:pPr>
              <w:widowControl/>
              <w:jc w:val="center"/>
            </w:pPr>
          </w:p>
        </w:tc>
        <w:tc>
          <w:tcPr>
            <w:tcW w:w="1440" w:type="dxa"/>
            <w:vAlign w:val="center"/>
          </w:tcPr>
          <w:p w:rsidR="004E5039" w:rsidRPr="00D56C9B" w:rsidP="004E5039" w14:paraId="53A42BF0" w14:textId="26405F14">
            <w:pPr>
              <w:widowControl/>
              <w:jc w:val="center"/>
            </w:pPr>
          </w:p>
        </w:tc>
        <w:tc>
          <w:tcPr>
            <w:tcW w:w="1350" w:type="dxa"/>
            <w:vAlign w:val="center"/>
          </w:tcPr>
          <w:p w:rsidR="004E5039" w:rsidRPr="00D56C9B" w:rsidP="004E5039" w14:paraId="5C366CCE" w14:textId="77777777">
            <w:pPr>
              <w:widowControl/>
              <w:jc w:val="center"/>
            </w:pPr>
          </w:p>
        </w:tc>
      </w:tr>
      <w:tr w14:paraId="7643C1BB" w14:textId="77777777" w:rsidTr="004E5039">
        <w:tblPrEx>
          <w:tblW w:w="10075" w:type="dxa"/>
          <w:jc w:val="center"/>
          <w:tblLook w:val="04A0"/>
        </w:tblPrEx>
        <w:trPr>
          <w:trHeight w:val="432"/>
          <w:jc w:val="center"/>
        </w:trPr>
        <w:tc>
          <w:tcPr>
            <w:tcW w:w="1599" w:type="dxa"/>
            <w:vAlign w:val="center"/>
          </w:tcPr>
          <w:p w:rsidR="004E5039" w:rsidRPr="00D56C9B" w:rsidP="004E5039" w14:paraId="40B17E14" w14:textId="718FF9BA">
            <w:pPr>
              <w:widowControl/>
              <w:jc w:val="center"/>
            </w:pPr>
            <w:r w:rsidRPr="00D56C9B">
              <w:t>F 5130.Pilot-B</w:t>
            </w:r>
          </w:p>
        </w:tc>
        <w:tc>
          <w:tcPr>
            <w:tcW w:w="1339" w:type="dxa"/>
            <w:vAlign w:val="center"/>
          </w:tcPr>
          <w:p w:rsidR="004E5039" w:rsidRPr="00D56C9B" w:rsidP="004E5039" w14:paraId="743E8B9F" w14:textId="01C82351">
            <w:pPr>
              <w:widowControl/>
              <w:jc w:val="center"/>
            </w:pPr>
            <w:r w:rsidRPr="00D56C9B">
              <w:t>40 min.</w:t>
            </w:r>
          </w:p>
        </w:tc>
        <w:tc>
          <w:tcPr>
            <w:tcW w:w="1430" w:type="dxa"/>
            <w:vAlign w:val="center"/>
          </w:tcPr>
          <w:p w:rsidR="004E5039" w:rsidRPr="00D56C9B" w:rsidP="004E5039" w14:paraId="1E7F421C" w14:textId="22A86523">
            <w:pPr>
              <w:widowControl/>
              <w:jc w:val="center"/>
            </w:pPr>
            <w:r w:rsidRPr="00D56C9B">
              <w:t>4</w:t>
            </w:r>
          </w:p>
        </w:tc>
        <w:tc>
          <w:tcPr>
            <w:tcW w:w="1483" w:type="dxa"/>
            <w:vAlign w:val="center"/>
          </w:tcPr>
          <w:p w:rsidR="004E5039" w:rsidRPr="00D56C9B" w:rsidP="004E5039" w14:paraId="203CCC9B" w14:textId="4398E5EA">
            <w:pPr>
              <w:widowControl/>
              <w:jc w:val="center"/>
            </w:pPr>
            <w:r w:rsidRPr="00D56C9B">
              <w:t>6,300</w:t>
            </w:r>
          </w:p>
        </w:tc>
        <w:tc>
          <w:tcPr>
            <w:tcW w:w="1434" w:type="dxa"/>
            <w:vAlign w:val="center"/>
          </w:tcPr>
          <w:p w:rsidR="004E5039" w:rsidRPr="00D56C9B" w:rsidP="004E5039" w14:paraId="1317DCA7" w14:textId="5CA17411">
            <w:pPr>
              <w:widowControl/>
              <w:jc w:val="center"/>
            </w:pPr>
            <w:r>
              <w:t>25,200</w:t>
            </w:r>
          </w:p>
        </w:tc>
        <w:tc>
          <w:tcPr>
            <w:tcW w:w="1440" w:type="dxa"/>
            <w:vAlign w:val="center"/>
          </w:tcPr>
          <w:p w:rsidR="004E5039" w:rsidRPr="00D56C9B" w:rsidP="004E5039" w14:paraId="05BE27EF" w14:textId="77777777">
            <w:pPr>
              <w:widowControl/>
              <w:jc w:val="center"/>
            </w:pPr>
            <w:r w:rsidRPr="00D56C9B">
              <w:t>2.666</w:t>
            </w:r>
            <w:r>
              <w:t>7</w:t>
            </w:r>
            <w:r w:rsidRPr="00D56C9B">
              <w:t xml:space="preserve"> hours </w:t>
            </w:r>
          </w:p>
          <w:p w:rsidR="004E5039" w:rsidRPr="00D56C9B" w:rsidP="004E5039" w14:paraId="1578BA27" w14:textId="6B0EC181">
            <w:pPr>
              <w:widowControl/>
              <w:jc w:val="center"/>
            </w:pPr>
            <w:r w:rsidRPr="00D56C9B">
              <w:t>(160 min.)</w:t>
            </w:r>
          </w:p>
        </w:tc>
        <w:tc>
          <w:tcPr>
            <w:tcW w:w="1350" w:type="dxa"/>
            <w:vAlign w:val="center"/>
          </w:tcPr>
          <w:p w:rsidR="004E5039" w:rsidRPr="00D56C9B" w:rsidP="004E5039" w14:paraId="538A2895" w14:textId="5B5943B6">
            <w:pPr>
              <w:widowControl/>
              <w:jc w:val="center"/>
            </w:pPr>
            <w:r w:rsidRPr="00D56C9B">
              <w:t xml:space="preserve">16,800 </w:t>
            </w:r>
          </w:p>
        </w:tc>
      </w:tr>
      <w:tr w14:paraId="7E4192FC" w14:textId="77777777" w:rsidTr="004E5039">
        <w:tblPrEx>
          <w:tblW w:w="10075" w:type="dxa"/>
          <w:jc w:val="center"/>
          <w:tblLook w:val="04A0"/>
        </w:tblPrEx>
        <w:trPr>
          <w:trHeight w:val="70"/>
          <w:jc w:val="center"/>
        </w:trPr>
        <w:tc>
          <w:tcPr>
            <w:tcW w:w="1599" w:type="dxa"/>
            <w:vAlign w:val="center"/>
          </w:tcPr>
          <w:p w:rsidR="004E5039" w:rsidRPr="00D56C9B" w:rsidP="004E5039" w14:paraId="206C0877" w14:textId="77777777">
            <w:pPr>
              <w:widowControl/>
              <w:jc w:val="center"/>
            </w:pPr>
          </w:p>
        </w:tc>
        <w:tc>
          <w:tcPr>
            <w:tcW w:w="1339" w:type="dxa"/>
            <w:vAlign w:val="center"/>
          </w:tcPr>
          <w:p w:rsidR="004E5039" w:rsidRPr="00D56C9B" w:rsidP="004E5039" w14:paraId="6B8D7580" w14:textId="77777777">
            <w:pPr>
              <w:widowControl/>
              <w:jc w:val="center"/>
            </w:pPr>
          </w:p>
        </w:tc>
        <w:tc>
          <w:tcPr>
            <w:tcW w:w="1430" w:type="dxa"/>
            <w:vAlign w:val="center"/>
          </w:tcPr>
          <w:p w:rsidR="004E5039" w:rsidRPr="00D56C9B" w:rsidP="004E5039" w14:paraId="2CE19927" w14:textId="77777777">
            <w:pPr>
              <w:widowControl/>
              <w:jc w:val="center"/>
            </w:pPr>
          </w:p>
        </w:tc>
        <w:tc>
          <w:tcPr>
            <w:tcW w:w="1483" w:type="dxa"/>
            <w:vAlign w:val="center"/>
          </w:tcPr>
          <w:p w:rsidR="004E5039" w:rsidRPr="00D56C9B" w:rsidP="004E5039" w14:paraId="32FA92FA" w14:textId="77777777">
            <w:pPr>
              <w:widowControl/>
              <w:jc w:val="center"/>
            </w:pPr>
          </w:p>
        </w:tc>
        <w:tc>
          <w:tcPr>
            <w:tcW w:w="1434" w:type="dxa"/>
            <w:vAlign w:val="center"/>
          </w:tcPr>
          <w:p w:rsidR="004E5039" w:rsidRPr="00D56C9B" w:rsidP="004E5039" w14:paraId="65BD2523" w14:textId="57820B5B">
            <w:pPr>
              <w:widowControl/>
              <w:jc w:val="center"/>
            </w:pPr>
          </w:p>
        </w:tc>
        <w:tc>
          <w:tcPr>
            <w:tcW w:w="1440" w:type="dxa"/>
            <w:vAlign w:val="center"/>
          </w:tcPr>
          <w:p w:rsidR="004E5039" w:rsidRPr="00D56C9B" w:rsidP="004E5039" w14:paraId="2446A3DB" w14:textId="143B9A6F">
            <w:pPr>
              <w:widowControl/>
              <w:jc w:val="center"/>
            </w:pPr>
          </w:p>
        </w:tc>
        <w:tc>
          <w:tcPr>
            <w:tcW w:w="1350" w:type="dxa"/>
            <w:vAlign w:val="center"/>
          </w:tcPr>
          <w:p w:rsidR="004E5039" w:rsidRPr="00D56C9B" w:rsidP="004E5039" w14:paraId="4508D0DD" w14:textId="77777777">
            <w:pPr>
              <w:widowControl/>
              <w:jc w:val="center"/>
            </w:pPr>
          </w:p>
        </w:tc>
      </w:tr>
      <w:tr w14:paraId="71320D31" w14:textId="77777777" w:rsidTr="004E5039">
        <w:tblPrEx>
          <w:tblW w:w="10075" w:type="dxa"/>
          <w:jc w:val="center"/>
          <w:tblLook w:val="04A0"/>
        </w:tblPrEx>
        <w:trPr>
          <w:trHeight w:val="432"/>
          <w:jc w:val="center"/>
        </w:trPr>
        <w:tc>
          <w:tcPr>
            <w:tcW w:w="1599" w:type="dxa"/>
            <w:vAlign w:val="center"/>
          </w:tcPr>
          <w:p w:rsidR="004E5039" w:rsidRPr="00D56C9B" w:rsidP="004E5039" w14:paraId="34B0D28C" w14:textId="009FE50F">
            <w:pPr>
              <w:widowControl/>
              <w:jc w:val="center"/>
              <w:rPr>
                <w:b/>
                <w:bCs/>
              </w:rPr>
            </w:pPr>
            <w:r w:rsidRPr="00D56C9B">
              <w:rPr>
                <w:b/>
                <w:bCs/>
              </w:rPr>
              <w:t>Annual Filers</w:t>
            </w:r>
          </w:p>
        </w:tc>
        <w:tc>
          <w:tcPr>
            <w:tcW w:w="1339" w:type="dxa"/>
            <w:vAlign w:val="center"/>
          </w:tcPr>
          <w:p w:rsidR="004E5039" w:rsidRPr="00D56C9B" w:rsidP="004E5039" w14:paraId="7E8A0837" w14:textId="77777777">
            <w:pPr>
              <w:widowControl/>
              <w:jc w:val="center"/>
            </w:pPr>
          </w:p>
        </w:tc>
        <w:tc>
          <w:tcPr>
            <w:tcW w:w="1430" w:type="dxa"/>
            <w:vAlign w:val="center"/>
          </w:tcPr>
          <w:p w:rsidR="004E5039" w:rsidRPr="00D56C9B" w:rsidP="004E5039" w14:paraId="106A3180" w14:textId="77777777">
            <w:pPr>
              <w:widowControl/>
              <w:jc w:val="center"/>
            </w:pPr>
          </w:p>
        </w:tc>
        <w:tc>
          <w:tcPr>
            <w:tcW w:w="1483" w:type="dxa"/>
            <w:vAlign w:val="center"/>
          </w:tcPr>
          <w:p w:rsidR="004E5039" w:rsidRPr="00D56C9B" w:rsidP="004E5039" w14:paraId="654A08C8" w14:textId="77777777">
            <w:pPr>
              <w:widowControl/>
              <w:jc w:val="center"/>
            </w:pPr>
          </w:p>
        </w:tc>
        <w:tc>
          <w:tcPr>
            <w:tcW w:w="1434" w:type="dxa"/>
            <w:vAlign w:val="center"/>
          </w:tcPr>
          <w:p w:rsidR="004E5039" w:rsidRPr="00D56C9B" w:rsidP="004E5039" w14:paraId="54F9B75E" w14:textId="51E55065">
            <w:pPr>
              <w:widowControl/>
              <w:jc w:val="center"/>
            </w:pPr>
          </w:p>
        </w:tc>
        <w:tc>
          <w:tcPr>
            <w:tcW w:w="1440" w:type="dxa"/>
            <w:vAlign w:val="center"/>
          </w:tcPr>
          <w:p w:rsidR="004E5039" w:rsidRPr="00D56C9B" w:rsidP="004E5039" w14:paraId="0AFC7003" w14:textId="1B8D1704">
            <w:pPr>
              <w:widowControl/>
              <w:jc w:val="center"/>
            </w:pPr>
          </w:p>
        </w:tc>
        <w:tc>
          <w:tcPr>
            <w:tcW w:w="1350" w:type="dxa"/>
            <w:vAlign w:val="center"/>
          </w:tcPr>
          <w:p w:rsidR="004E5039" w:rsidRPr="00D56C9B" w:rsidP="004E5039" w14:paraId="1161D4EC" w14:textId="77777777">
            <w:pPr>
              <w:widowControl/>
              <w:jc w:val="center"/>
            </w:pPr>
          </w:p>
        </w:tc>
      </w:tr>
      <w:tr w14:paraId="7D9FFA2E" w14:textId="77777777" w:rsidTr="004E5039">
        <w:tblPrEx>
          <w:tblW w:w="10075" w:type="dxa"/>
          <w:jc w:val="center"/>
          <w:tblLook w:val="04A0"/>
        </w:tblPrEx>
        <w:trPr>
          <w:trHeight w:val="432"/>
          <w:jc w:val="center"/>
        </w:trPr>
        <w:tc>
          <w:tcPr>
            <w:tcW w:w="1599" w:type="dxa"/>
            <w:vAlign w:val="center"/>
          </w:tcPr>
          <w:p w:rsidR="004E5039" w:rsidRPr="00D56C9B" w:rsidP="004E5039" w14:paraId="48093160" w14:textId="73AD69B0">
            <w:pPr>
              <w:widowControl/>
              <w:jc w:val="center"/>
            </w:pPr>
            <w:r w:rsidRPr="00D56C9B">
              <w:t>F 5130.Pilot-B</w:t>
            </w:r>
          </w:p>
        </w:tc>
        <w:tc>
          <w:tcPr>
            <w:tcW w:w="1339" w:type="dxa"/>
            <w:vAlign w:val="center"/>
          </w:tcPr>
          <w:p w:rsidR="004E5039" w:rsidRPr="00D56C9B" w:rsidP="004E5039" w14:paraId="23B80DE9" w14:textId="61C6A780">
            <w:pPr>
              <w:widowControl/>
              <w:jc w:val="center"/>
            </w:pPr>
            <w:r w:rsidRPr="00D56C9B">
              <w:t>40 min.</w:t>
            </w:r>
          </w:p>
        </w:tc>
        <w:tc>
          <w:tcPr>
            <w:tcW w:w="1430" w:type="dxa"/>
            <w:vAlign w:val="center"/>
          </w:tcPr>
          <w:p w:rsidR="004E5039" w:rsidRPr="00D56C9B" w:rsidP="004E5039" w14:paraId="66FA7BE8" w14:textId="6A438546">
            <w:pPr>
              <w:widowControl/>
              <w:jc w:val="center"/>
            </w:pPr>
            <w:r w:rsidRPr="00D56C9B">
              <w:t>1</w:t>
            </w:r>
          </w:p>
        </w:tc>
        <w:tc>
          <w:tcPr>
            <w:tcW w:w="1483" w:type="dxa"/>
            <w:vAlign w:val="center"/>
          </w:tcPr>
          <w:p w:rsidR="004E5039" w:rsidRPr="00D56C9B" w:rsidP="004E5039" w14:paraId="7FF01D1E" w14:textId="5BB92AD5">
            <w:pPr>
              <w:widowControl/>
              <w:jc w:val="center"/>
            </w:pPr>
            <w:r w:rsidRPr="00D56C9B">
              <w:t>600</w:t>
            </w:r>
          </w:p>
        </w:tc>
        <w:tc>
          <w:tcPr>
            <w:tcW w:w="1434" w:type="dxa"/>
            <w:vAlign w:val="center"/>
          </w:tcPr>
          <w:p w:rsidR="004E5039" w:rsidRPr="00D56C9B" w:rsidP="004E5039" w14:paraId="32707270" w14:textId="6E89F662">
            <w:pPr>
              <w:widowControl/>
              <w:jc w:val="center"/>
            </w:pPr>
            <w:r>
              <w:t>600</w:t>
            </w:r>
          </w:p>
        </w:tc>
        <w:tc>
          <w:tcPr>
            <w:tcW w:w="1440" w:type="dxa"/>
            <w:vAlign w:val="center"/>
          </w:tcPr>
          <w:p w:rsidR="004E5039" w:rsidRPr="00D56C9B" w:rsidP="004E5039" w14:paraId="30226F38" w14:textId="77777777">
            <w:pPr>
              <w:widowControl/>
              <w:jc w:val="center"/>
            </w:pPr>
            <w:r w:rsidRPr="00D56C9B">
              <w:t>0.666</w:t>
            </w:r>
            <w:r>
              <w:t>7</w:t>
            </w:r>
            <w:r w:rsidRPr="00D56C9B">
              <w:t xml:space="preserve"> hours </w:t>
            </w:r>
          </w:p>
          <w:p w:rsidR="004E5039" w:rsidRPr="00D56C9B" w:rsidP="004E5039" w14:paraId="1EE2EF88" w14:textId="34118CD7">
            <w:pPr>
              <w:widowControl/>
              <w:jc w:val="center"/>
            </w:pPr>
            <w:r w:rsidRPr="00D56C9B">
              <w:t>(40 min.)</w:t>
            </w:r>
          </w:p>
        </w:tc>
        <w:tc>
          <w:tcPr>
            <w:tcW w:w="1350" w:type="dxa"/>
            <w:vAlign w:val="center"/>
          </w:tcPr>
          <w:p w:rsidR="004E5039" w:rsidRPr="00D56C9B" w:rsidP="004E5039" w14:paraId="030BFAC5" w14:textId="17DDD813">
            <w:pPr>
              <w:widowControl/>
              <w:jc w:val="center"/>
            </w:pPr>
            <w:r w:rsidRPr="00D56C9B">
              <w:t xml:space="preserve">400 </w:t>
            </w:r>
          </w:p>
        </w:tc>
      </w:tr>
      <w:tr w14:paraId="34787221" w14:textId="77777777" w:rsidTr="004E5039">
        <w:tblPrEx>
          <w:tblW w:w="10075" w:type="dxa"/>
          <w:jc w:val="center"/>
          <w:tblLook w:val="04A0"/>
        </w:tblPrEx>
        <w:trPr>
          <w:trHeight w:val="432"/>
          <w:jc w:val="center"/>
        </w:trPr>
        <w:tc>
          <w:tcPr>
            <w:tcW w:w="1599" w:type="dxa"/>
            <w:vAlign w:val="center"/>
          </w:tcPr>
          <w:p w:rsidR="004E5039" w:rsidRPr="00D56C9B" w:rsidP="004E5039" w14:paraId="7D4DB3C4" w14:textId="77777777">
            <w:pPr>
              <w:widowControl/>
              <w:jc w:val="center"/>
            </w:pPr>
          </w:p>
        </w:tc>
        <w:tc>
          <w:tcPr>
            <w:tcW w:w="1339" w:type="dxa"/>
            <w:vAlign w:val="center"/>
          </w:tcPr>
          <w:p w:rsidR="004E5039" w:rsidRPr="00D56C9B" w:rsidP="004E5039" w14:paraId="28F65D1E" w14:textId="77777777">
            <w:pPr>
              <w:widowControl/>
              <w:jc w:val="center"/>
            </w:pPr>
          </w:p>
        </w:tc>
        <w:tc>
          <w:tcPr>
            <w:tcW w:w="1430" w:type="dxa"/>
            <w:vAlign w:val="center"/>
          </w:tcPr>
          <w:p w:rsidR="004E5039" w:rsidRPr="00D56C9B" w:rsidP="004E5039" w14:paraId="0E5F0591" w14:textId="77777777">
            <w:pPr>
              <w:widowControl/>
              <w:jc w:val="center"/>
            </w:pPr>
          </w:p>
        </w:tc>
        <w:tc>
          <w:tcPr>
            <w:tcW w:w="1483" w:type="dxa"/>
            <w:vAlign w:val="center"/>
          </w:tcPr>
          <w:p w:rsidR="004E5039" w:rsidRPr="00D56C9B" w:rsidP="004E5039" w14:paraId="6669316D" w14:textId="77777777">
            <w:pPr>
              <w:widowControl/>
              <w:jc w:val="center"/>
            </w:pPr>
          </w:p>
        </w:tc>
        <w:tc>
          <w:tcPr>
            <w:tcW w:w="1434" w:type="dxa"/>
            <w:vAlign w:val="center"/>
          </w:tcPr>
          <w:p w:rsidR="004E5039" w:rsidRPr="00D56C9B" w:rsidP="004E5039" w14:paraId="6E6551F5" w14:textId="399A101E">
            <w:pPr>
              <w:widowControl/>
              <w:jc w:val="center"/>
            </w:pPr>
          </w:p>
        </w:tc>
        <w:tc>
          <w:tcPr>
            <w:tcW w:w="1440" w:type="dxa"/>
            <w:vAlign w:val="center"/>
          </w:tcPr>
          <w:p w:rsidR="004E5039" w:rsidRPr="00D56C9B" w:rsidP="004E5039" w14:paraId="40060C61" w14:textId="2EE1DEFE">
            <w:pPr>
              <w:widowControl/>
              <w:jc w:val="center"/>
            </w:pPr>
          </w:p>
        </w:tc>
        <w:tc>
          <w:tcPr>
            <w:tcW w:w="1350" w:type="dxa"/>
            <w:vAlign w:val="center"/>
          </w:tcPr>
          <w:p w:rsidR="004E5039" w:rsidRPr="00D56C9B" w:rsidP="004E5039" w14:paraId="4315C020" w14:textId="77777777">
            <w:pPr>
              <w:widowControl/>
              <w:jc w:val="center"/>
            </w:pPr>
          </w:p>
        </w:tc>
      </w:tr>
      <w:tr w14:paraId="26F9612D" w14:textId="77777777" w:rsidTr="004E5039">
        <w:tblPrEx>
          <w:tblW w:w="10075" w:type="dxa"/>
          <w:jc w:val="center"/>
          <w:tblLook w:val="04A0"/>
        </w:tblPrEx>
        <w:trPr>
          <w:trHeight w:val="557"/>
          <w:jc w:val="center"/>
        </w:trPr>
        <w:tc>
          <w:tcPr>
            <w:tcW w:w="1599" w:type="dxa"/>
            <w:vAlign w:val="center"/>
          </w:tcPr>
          <w:p w:rsidR="004E5039" w:rsidRPr="00D56C9B" w:rsidP="004E5039" w14:paraId="0BBF220D" w14:textId="1D846DCA">
            <w:pPr>
              <w:widowControl/>
              <w:jc w:val="center"/>
              <w:rPr>
                <w:b/>
                <w:bCs/>
              </w:rPr>
            </w:pPr>
            <w:bookmarkStart w:id="2" w:name="_Hlk147832519"/>
            <w:r w:rsidRPr="00D56C9B">
              <w:rPr>
                <w:b/>
                <w:bCs/>
              </w:rPr>
              <w:t xml:space="preserve">TOTALS </w:t>
            </w:r>
          </w:p>
        </w:tc>
        <w:tc>
          <w:tcPr>
            <w:tcW w:w="1339" w:type="dxa"/>
            <w:vAlign w:val="center"/>
          </w:tcPr>
          <w:p w:rsidR="004E5039" w:rsidRPr="00D56C9B" w:rsidP="004E5039" w14:paraId="3E89F9D4" w14:textId="25AD288E">
            <w:pPr>
              <w:widowControl/>
              <w:jc w:val="center"/>
              <w:rPr>
                <w:b/>
                <w:bCs/>
                <w:sz w:val="18"/>
                <w:szCs w:val="18"/>
              </w:rPr>
            </w:pPr>
            <w:r>
              <w:rPr>
                <w:b/>
                <w:bCs/>
                <w:sz w:val="18"/>
                <w:szCs w:val="18"/>
              </w:rPr>
              <w:t>(avg. 23.8193 min.)</w:t>
            </w:r>
          </w:p>
        </w:tc>
        <w:tc>
          <w:tcPr>
            <w:tcW w:w="1430" w:type="dxa"/>
            <w:vAlign w:val="center"/>
          </w:tcPr>
          <w:p w:rsidR="004E5039" w:rsidRPr="00D56C9B" w:rsidP="004E5039" w14:paraId="4E422131" w14:textId="67F78094">
            <w:pPr>
              <w:widowControl/>
              <w:jc w:val="center"/>
              <w:rPr>
                <w:b/>
                <w:bCs/>
                <w:sz w:val="18"/>
                <w:szCs w:val="18"/>
              </w:rPr>
            </w:pPr>
            <w:r>
              <w:rPr>
                <w:b/>
                <w:bCs/>
                <w:sz w:val="18"/>
                <w:szCs w:val="18"/>
              </w:rPr>
              <w:t>(avg. 10)</w:t>
            </w:r>
          </w:p>
        </w:tc>
        <w:tc>
          <w:tcPr>
            <w:tcW w:w="1483" w:type="dxa"/>
            <w:vAlign w:val="center"/>
          </w:tcPr>
          <w:p w:rsidR="004E5039" w:rsidP="004E5039" w14:paraId="6F640D95" w14:textId="69AD0BA3">
            <w:pPr>
              <w:widowControl/>
              <w:jc w:val="center"/>
              <w:rPr>
                <w:b/>
                <w:bCs/>
                <w:sz w:val="18"/>
                <w:szCs w:val="18"/>
              </w:rPr>
            </w:pPr>
            <w:r w:rsidRPr="00D56C9B">
              <w:rPr>
                <w:b/>
                <w:bCs/>
              </w:rPr>
              <w:t>8,300</w:t>
            </w:r>
          </w:p>
        </w:tc>
        <w:tc>
          <w:tcPr>
            <w:tcW w:w="1434" w:type="dxa"/>
            <w:vAlign w:val="center"/>
          </w:tcPr>
          <w:p w:rsidR="004E5039" w:rsidRPr="004E5039" w:rsidP="004E5039" w14:paraId="5A003336" w14:textId="6C4BAB4B">
            <w:pPr>
              <w:widowControl/>
              <w:jc w:val="center"/>
              <w:rPr>
                <w:b/>
                <w:bCs/>
              </w:rPr>
            </w:pPr>
            <w:r w:rsidRPr="004E5039">
              <w:rPr>
                <w:b/>
                <w:bCs/>
              </w:rPr>
              <w:t>60,800</w:t>
            </w:r>
          </w:p>
        </w:tc>
        <w:tc>
          <w:tcPr>
            <w:tcW w:w="1440" w:type="dxa"/>
            <w:vAlign w:val="center"/>
          </w:tcPr>
          <w:p w:rsidR="004E5039" w:rsidRPr="00D56C9B" w:rsidP="004E5039" w14:paraId="54B9735C" w14:textId="2054D140">
            <w:pPr>
              <w:widowControl/>
              <w:jc w:val="center"/>
              <w:rPr>
                <w:b/>
                <w:bCs/>
              </w:rPr>
            </w:pPr>
            <w:r>
              <w:rPr>
                <w:b/>
                <w:bCs/>
                <w:sz w:val="18"/>
                <w:szCs w:val="18"/>
              </w:rPr>
              <w:t>(avg. 3.9699 hours)</w:t>
            </w:r>
          </w:p>
        </w:tc>
        <w:tc>
          <w:tcPr>
            <w:tcW w:w="1350" w:type="dxa"/>
            <w:vAlign w:val="center"/>
          </w:tcPr>
          <w:p w:rsidR="004E5039" w:rsidRPr="00D56C9B" w:rsidP="004E5039" w14:paraId="698B7AF8" w14:textId="1267D675">
            <w:pPr>
              <w:widowControl/>
              <w:jc w:val="center"/>
              <w:rPr>
                <w:b/>
                <w:bCs/>
              </w:rPr>
            </w:pPr>
            <w:r w:rsidRPr="00D56C9B">
              <w:rPr>
                <w:b/>
                <w:bCs/>
              </w:rPr>
              <w:t xml:space="preserve">32,950 </w:t>
            </w:r>
          </w:p>
        </w:tc>
      </w:tr>
    </w:tbl>
    <w:bookmarkEnd w:id="2"/>
    <w:p w:rsidR="008B4DB4" w:rsidRPr="008B4DB4" w:rsidP="000216BB" w14:paraId="7CA938A9" w14:textId="650CAA3E">
      <w:pPr>
        <w:widowControl/>
        <w:ind w:left="360"/>
        <w:rPr>
          <w:sz w:val="18"/>
          <w:szCs w:val="18"/>
        </w:rPr>
      </w:pPr>
      <w:r w:rsidRPr="00D56C9B">
        <w:rPr>
          <w:sz w:val="22"/>
          <w:szCs w:val="22"/>
        </w:rPr>
        <w:t xml:space="preserve">* </w:t>
      </w:r>
      <w:r w:rsidRPr="008B4DB4">
        <w:rPr>
          <w:sz w:val="18"/>
          <w:szCs w:val="18"/>
        </w:rPr>
        <w:t xml:space="preserve">Figures are rounded to the nearest 4 decimal </w:t>
      </w:r>
      <w:r w:rsidR="002A483D">
        <w:rPr>
          <w:sz w:val="18"/>
          <w:szCs w:val="18"/>
        </w:rPr>
        <w:t>places</w:t>
      </w:r>
      <w:r w:rsidRPr="008B4DB4">
        <w:rPr>
          <w:sz w:val="18"/>
          <w:szCs w:val="18"/>
        </w:rPr>
        <w:t xml:space="preserve">. </w:t>
      </w:r>
    </w:p>
    <w:p w:rsidR="006C05A0" w:rsidRPr="00D56C9B" w:rsidP="000216BB" w14:paraId="433966B9" w14:textId="45291390">
      <w:pPr>
        <w:widowControl/>
        <w:ind w:left="360"/>
        <w:rPr>
          <w:sz w:val="18"/>
          <w:szCs w:val="18"/>
        </w:rPr>
      </w:pPr>
      <w:r>
        <w:rPr>
          <w:sz w:val="22"/>
          <w:szCs w:val="22"/>
        </w:rPr>
        <w:t xml:space="preserve">** </w:t>
      </w:r>
      <w:r w:rsidRPr="00D56C9B" w:rsidR="005254AB">
        <w:rPr>
          <w:sz w:val="18"/>
          <w:szCs w:val="18"/>
        </w:rPr>
        <w:t xml:space="preserve">There are 3 semi-monthly filing periods in September, resulting in 13 annual semi-monthly responses using TTB F 5130.Pilot-A. </w:t>
      </w:r>
    </w:p>
    <w:p w:rsidR="007B26D1" w:rsidRPr="00AF40E6" w:rsidP="000216BB" w14:paraId="74983199" w14:textId="0F5EB332">
      <w:pPr>
        <w:widowControl/>
        <w:ind w:left="360"/>
        <w:rPr>
          <w:sz w:val="22"/>
          <w:szCs w:val="22"/>
        </w:rPr>
      </w:pPr>
    </w:p>
    <w:p w:rsidR="00D56C9B" w:rsidRPr="00AF40E6" w:rsidP="000216BB" w14:paraId="7054E42C" w14:textId="3B022402">
      <w:pPr>
        <w:widowControl/>
        <w:autoSpaceDE/>
        <w:autoSpaceDN/>
        <w:adjustRightInd/>
        <w:ind w:left="360"/>
        <w:rPr>
          <w:sz w:val="22"/>
          <w:szCs w:val="22"/>
        </w:rPr>
      </w:pPr>
      <w:r w:rsidRPr="00AF40E6">
        <w:rPr>
          <w:sz w:val="22"/>
          <w:szCs w:val="22"/>
          <w:u w:val="single"/>
        </w:rPr>
        <w:t>Estimated Respondent Labor Costs:</w:t>
      </w:r>
      <w:r w:rsidRPr="00AF40E6">
        <w:rPr>
          <w:sz w:val="22"/>
          <w:szCs w:val="22"/>
        </w:rPr>
        <w:t xml:space="preserve">  </w:t>
      </w:r>
      <w:r w:rsidRPr="00AF40E6" w:rsidR="008519C9">
        <w:rPr>
          <w:sz w:val="22"/>
          <w:szCs w:val="22"/>
        </w:rPr>
        <w:t xml:space="preserve">Based on the </w:t>
      </w:r>
      <w:r w:rsidRPr="00AF40E6" w:rsidR="00C0521F">
        <w:rPr>
          <w:sz w:val="22"/>
          <w:szCs w:val="22"/>
        </w:rPr>
        <w:t xml:space="preserve">average </w:t>
      </w:r>
      <w:r w:rsidRPr="00AF40E6" w:rsidR="008519C9">
        <w:rPr>
          <w:sz w:val="22"/>
          <w:szCs w:val="22"/>
        </w:rPr>
        <w:t xml:space="preserve">fully-loaded labor rate per hour for accountants and auditors </w:t>
      </w:r>
      <w:r w:rsidRPr="00AF40E6" w:rsidR="00075F45">
        <w:rPr>
          <w:sz w:val="22"/>
          <w:szCs w:val="22"/>
        </w:rPr>
        <w:t xml:space="preserve">employed </w:t>
      </w:r>
      <w:r w:rsidRPr="00AF40E6" w:rsidR="008519C9">
        <w:rPr>
          <w:sz w:val="22"/>
          <w:szCs w:val="22"/>
        </w:rPr>
        <w:t>in the beverage manufacturing industr</w:t>
      </w:r>
      <w:r w:rsidRPr="00AF40E6" w:rsidR="006A4D80">
        <w:rPr>
          <w:sz w:val="22"/>
          <w:szCs w:val="22"/>
        </w:rPr>
        <w:t>ies</w:t>
      </w:r>
      <w:r w:rsidRPr="00AF40E6" w:rsidR="008519C9">
        <w:rPr>
          <w:sz w:val="22"/>
          <w:szCs w:val="22"/>
        </w:rPr>
        <w:t xml:space="preserve">, TTB estimates </w:t>
      </w:r>
      <w:r w:rsidRPr="00AF40E6" w:rsidR="00A00427">
        <w:rPr>
          <w:sz w:val="22"/>
          <w:szCs w:val="22"/>
        </w:rPr>
        <w:t xml:space="preserve">the </w:t>
      </w:r>
      <w:r w:rsidRPr="00AF40E6" w:rsidR="00075F45">
        <w:rPr>
          <w:sz w:val="22"/>
          <w:szCs w:val="22"/>
        </w:rPr>
        <w:t>per-</w:t>
      </w:r>
      <w:r w:rsidRPr="00AF40E6" w:rsidR="00A00427">
        <w:rPr>
          <w:sz w:val="22"/>
          <w:szCs w:val="22"/>
        </w:rPr>
        <w:t xml:space="preserve">respondent </w:t>
      </w:r>
      <w:r w:rsidRPr="00AF40E6" w:rsidR="00075F45">
        <w:rPr>
          <w:sz w:val="22"/>
          <w:szCs w:val="22"/>
        </w:rPr>
        <w:t xml:space="preserve">and total respondent </w:t>
      </w:r>
      <w:r w:rsidRPr="00AF40E6" w:rsidR="00A00427">
        <w:rPr>
          <w:sz w:val="22"/>
          <w:szCs w:val="22"/>
        </w:rPr>
        <w:t>labor costs for th</w:t>
      </w:r>
      <w:r w:rsidRPr="00AF40E6" w:rsidR="00654B9E">
        <w:rPr>
          <w:sz w:val="22"/>
          <w:szCs w:val="22"/>
        </w:rPr>
        <w:t xml:space="preserve">e beer excise tax </w:t>
      </w:r>
      <w:r w:rsidRPr="00AF40E6" w:rsidR="00A00427">
        <w:rPr>
          <w:sz w:val="22"/>
          <w:szCs w:val="22"/>
        </w:rPr>
        <w:t>is information collection as follows:</w:t>
      </w:r>
      <w:r>
        <w:rPr>
          <w:rFonts w:eastAsiaTheme="minorHAnsi"/>
          <w:sz w:val="22"/>
          <w:szCs w:val="22"/>
          <w:vertAlign w:val="superscript"/>
        </w:rPr>
        <w:footnoteReference w:id="4"/>
      </w:r>
      <w:r w:rsidRPr="00AF40E6" w:rsidR="00A00427">
        <w:rPr>
          <w:sz w:val="22"/>
          <w:szCs w:val="22"/>
        </w:rPr>
        <w:t xml:space="preserve"> </w:t>
      </w:r>
    </w:p>
    <w:p w:rsidR="007F1181" w14:paraId="5C2C2B6E" w14:textId="427F50AB">
      <w:pPr>
        <w:widowControl/>
        <w:autoSpaceDE/>
        <w:autoSpaceDN/>
        <w:adjustRightInd/>
        <w:rPr>
          <w:sz w:val="22"/>
          <w:szCs w:val="22"/>
        </w:rPr>
      </w:pPr>
      <w:r>
        <w:rPr>
          <w:sz w:val="22"/>
          <w:szCs w:val="22"/>
        </w:rPr>
        <w:br w:type="page"/>
      </w:r>
    </w:p>
    <w:tbl>
      <w:tblPr>
        <w:tblStyle w:val="TableGrid1"/>
        <w:tblW w:w="9360" w:type="dxa"/>
        <w:jc w:val="center"/>
        <w:tblLayout w:type="fixed"/>
        <w:tblCellMar>
          <w:left w:w="29" w:type="dxa"/>
          <w:right w:w="29" w:type="dxa"/>
        </w:tblCellMar>
        <w:tblLook w:val="04A0"/>
      </w:tblPr>
      <w:tblGrid>
        <w:gridCol w:w="1165"/>
        <w:gridCol w:w="1260"/>
        <w:gridCol w:w="1260"/>
        <w:gridCol w:w="1260"/>
        <w:gridCol w:w="1530"/>
        <w:gridCol w:w="1350"/>
        <w:gridCol w:w="1535"/>
      </w:tblGrid>
      <w:tr w14:paraId="7C29B4E4" w14:textId="33392FD2" w:rsidTr="0060610D">
        <w:tblPrEx>
          <w:tblW w:w="9360" w:type="dxa"/>
          <w:jc w:val="center"/>
          <w:tblLayout w:type="fixed"/>
          <w:tblCellMar>
            <w:left w:w="29" w:type="dxa"/>
            <w:right w:w="29" w:type="dxa"/>
          </w:tblCellMar>
          <w:tblLook w:val="04A0"/>
        </w:tblPrEx>
        <w:trPr>
          <w:trHeight w:val="692"/>
          <w:jc w:val="center"/>
        </w:trPr>
        <w:tc>
          <w:tcPr>
            <w:tcW w:w="9360" w:type="dxa"/>
            <w:gridSpan w:val="7"/>
            <w:vAlign w:val="center"/>
          </w:tcPr>
          <w:p w:rsidR="00D56C9B" w:rsidRPr="00AF40E6" w:rsidP="00654B9E" w14:paraId="45A31B44" w14:textId="77777777">
            <w:pPr>
              <w:widowControl/>
              <w:suppressAutoHyphens/>
              <w:autoSpaceDE/>
              <w:autoSpaceDN/>
              <w:adjustRightInd/>
              <w:jc w:val="center"/>
              <w:rPr>
                <w:rFonts w:eastAsiaTheme="minorHAnsi"/>
                <w:b/>
                <w:sz w:val="20"/>
                <w:szCs w:val="20"/>
              </w:rPr>
            </w:pPr>
            <w:r w:rsidRPr="00AF40E6">
              <w:rPr>
                <w:rFonts w:eastAsiaTheme="minorHAnsi"/>
                <w:b/>
                <w:sz w:val="20"/>
                <w:szCs w:val="20"/>
              </w:rPr>
              <w:t xml:space="preserve">NAICS 3121000 - Beverage Manufacturing, Accountants and Auditors </w:t>
            </w:r>
          </w:p>
          <w:p w:rsidR="00D56C9B" w:rsidRPr="00AF40E6" w:rsidP="00654B9E" w14:paraId="33EC6115" w14:textId="3CCE1C58">
            <w:pPr>
              <w:widowControl/>
              <w:suppressAutoHyphens/>
              <w:autoSpaceDE/>
              <w:autoSpaceDN/>
              <w:adjustRightInd/>
              <w:jc w:val="center"/>
              <w:rPr>
                <w:rFonts w:eastAsiaTheme="minorHAnsi"/>
                <w:b/>
                <w:sz w:val="20"/>
                <w:szCs w:val="20"/>
              </w:rPr>
            </w:pPr>
            <w:r w:rsidRPr="00AF40E6">
              <w:rPr>
                <w:rFonts w:eastAsiaTheme="minorHAnsi"/>
                <w:b/>
                <w:sz w:val="20"/>
                <w:szCs w:val="20"/>
              </w:rPr>
              <w:t>Average Fully-lo</w:t>
            </w:r>
            <w:r w:rsidRPr="00AF40E6">
              <w:rPr>
                <w:rFonts w:eastAsiaTheme="minorHAnsi"/>
                <w:b/>
                <w:sz w:val="20"/>
                <w:szCs w:val="20"/>
              </w:rPr>
              <w:t>aded Labor Rate/Hour = $59.04</w:t>
            </w:r>
            <w:r w:rsidRPr="00AF40E6" w:rsidR="008B4DB4">
              <w:rPr>
                <w:rFonts w:eastAsiaTheme="minorHAnsi"/>
                <w:b/>
                <w:sz w:val="20"/>
                <w:szCs w:val="20"/>
              </w:rPr>
              <w:t>*</w:t>
            </w:r>
          </w:p>
        </w:tc>
      </w:tr>
      <w:tr w14:paraId="388D2194" w14:textId="0E553BA6" w:rsidTr="00D56C9B">
        <w:tblPrEx>
          <w:tblW w:w="9360" w:type="dxa"/>
          <w:jc w:val="center"/>
          <w:tblLayout w:type="fixed"/>
          <w:tblCellMar>
            <w:left w:w="29" w:type="dxa"/>
            <w:right w:w="29" w:type="dxa"/>
          </w:tblCellMar>
          <w:tblLook w:val="04A0"/>
        </w:tblPrEx>
        <w:trPr>
          <w:trHeight w:val="576"/>
          <w:jc w:val="center"/>
        </w:trPr>
        <w:tc>
          <w:tcPr>
            <w:tcW w:w="1165" w:type="dxa"/>
            <w:tcMar>
              <w:left w:w="29" w:type="dxa"/>
              <w:right w:w="29" w:type="dxa"/>
            </w:tcMar>
            <w:vAlign w:val="center"/>
          </w:tcPr>
          <w:p w:rsidR="00654B9E" w:rsidRPr="00AF40E6" w:rsidP="000216BB" w14:paraId="0C3DEE37" w14:textId="66CA4BA6">
            <w:pPr>
              <w:widowControl/>
              <w:suppressAutoHyphens/>
              <w:autoSpaceDE/>
              <w:autoSpaceDN/>
              <w:adjustRightInd/>
              <w:jc w:val="center"/>
              <w:rPr>
                <w:rFonts w:eastAsiaTheme="minorHAnsi"/>
                <w:sz w:val="20"/>
                <w:szCs w:val="20"/>
              </w:rPr>
            </w:pPr>
            <w:r w:rsidRPr="00AF40E6">
              <w:rPr>
                <w:rFonts w:eastAsiaTheme="minorHAnsi"/>
                <w:sz w:val="20"/>
                <w:szCs w:val="20"/>
              </w:rPr>
              <w:t xml:space="preserve">Filing Frequency </w:t>
            </w:r>
          </w:p>
        </w:tc>
        <w:tc>
          <w:tcPr>
            <w:tcW w:w="1260" w:type="dxa"/>
            <w:tcMar>
              <w:left w:w="29" w:type="dxa"/>
              <w:right w:w="29" w:type="dxa"/>
            </w:tcMar>
            <w:vAlign w:val="center"/>
          </w:tcPr>
          <w:p w:rsidR="00654B9E" w:rsidRPr="00AF40E6" w:rsidP="000216BB" w14:paraId="3EE85F4A" w14:textId="77777777">
            <w:pPr>
              <w:widowControl/>
              <w:suppressAutoHyphens/>
              <w:autoSpaceDE/>
              <w:autoSpaceDN/>
              <w:adjustRightInd/>
              <w:jc w:val="center"/>
              <w:rPr>
                <w:rFonts w:eastAsiaTheme="minorHAnsi"/>
                <w:sz w:val="20"/>
                <w:szCs w:val="20"/>
              </w:rPr>
            </w:pPr>
            <w:r w:rsidRPr="00AF40E6">
              <w:rPr>
                <w:rFonts w:eastAsiaTheme="minorHAnsi"/>
                <w:sz w:val="20"/>
                <w:szCs w:val="20"/>
              </w:rPr>
              <w:t xml:space="preserve">Avg. Time / Response </w:t>
            </w:r>
          </w:p>
        </w:tc>
        <w:tc>
          <w:tcPr>
            <w:tcW w:w="1260" w:type="dxa"/>
            <w:tcMar>
              <w:left w:w="29" w:type="dxa"/>
              <w:right w:w="29" w:type="dxa"/>
            </w:tcMar>
            <w:vAlign w:val="center"/>
          </w:tcPr>
          <w:p w:rsidR="00654B9E" w:rsidRPr="00AF40E6" w:rsidP="000216BB" w14:paraId="739C7345" w14:textId="374B13D7">
            <w:pPr>
              <w:widowControl/>
              <w:suppressAutoHyphens/>
              <w:autoSpaceDE/>
              <w:autoSpaceDN/>
              <w:adjustRightInd/>
              <w:jc w:val="center"/>
              <w:rPr>
                <w:rFonts w:eastAsiaTheme="minorHAnsi"/>
                <w:sz w:val="20"/>
                <w:szCs w:val="20"/>
              </w:rPr>
            </w:pPr>
            <w:r w:rsidRPr="00AF40E6">
              <w:rPr>
                <w:rFonts w:eastAsiaTheme="minorHAnsi"/>
                <w:sz w:val="20"/>
                <w:szCs w:val="20"/>
              </w:rPr>
              <w:t>Labor Cost / Response</w:t>
            </w:r>
          </w:p>
        </w:tc>
        <w:tc>
          <w:tcPr>
            <w:tcW w:w="1260" w:type="dxa"/>
            <w:vAlign w:val="center"/>
          </w:tcPr>
          <w:p w:rsidR="00654B9E" w:rsidRPr="00AF40E6" w:rsidP="000216BB" w14:paraId="53FF12A7" w14:textId="77777777">
            <w:pPr>
              <w:widowControl/>
              <w:suppressAutoHyphens/>
              <w:autoSpaceDE/>
              <w:autoSpaceDN/>
              <w:adjustRightInd/>
              <w:jc w:val="center"/>
              <w:rPr>
                <w:rFonts w:eastAsiaTheme="minorHAnsi"/>
                <w:sz w:val="20"/>
                <w:szCs w:val="20"/>
              </w:rPr>
            </w:pPr>
            <w:r w:rsidRPr="00AF40E6">
              <w:rPr>
                <w:rFonts w:eastAsiaTheme="minorHAnsi"/>
                <w:sz w:val="20"/>
                <w:szCs w:val="20"/>
              </w:rPr>
              <w:t>Responses / Respondent</w:t>
            </w:r>
          </w:p>
        </w:tc>
        <w:tc>
          <w:tcPr>
            <w:tcW w:w="1530" w:type="dxa"/>
            <w:vAlign w:val="center"/>
          </w:tcPr>
          <w:p w:rsidR="00654B9E" w:rsidRPr="00AF40E6" w:rsidP="000216BB" w14:paraId="7B7B82C8" w14:textId="77777777">
            <w:pPr>
              <w:widowControl/>
              <w:suppressAutoHyphens/>
              <w:autoSpaceDE/>
              <w:autoSpaceDN/>
              <w:adjustRightInd/>
              <w:jc w:val="center"/>
              <w:rPr>
                <w:rFonts w:eastAsiaTheme="minorHAnsi"/>
                <w:sz w:val="20"/>
                <w:szCs w:val="20"/>
              </w:rPr>
            </w:pPr>
            <w:r w:rsidRPr="00AF40E6">
              <w:rPr>
                <w:rFonts w:eastAsiaTheme="minorHAnsi"/>
                <w:sz w:val="20"/>
                <w:szCs w:val="20"/>
              </w:rPr>
              <w:t xml:space="preserve">Labor Costs / Respondent </w:t>
            </w:r>
          </w:p>
        </w:tc>
        <w:tc>
          <w:tcPr>
            <w:tcW w:w="1350" w:type="dxa"/>
            <w:vAlign w:val="center"/>
          </w:tcPr>
          <w:p w:rsidR="00654B9E" w:rsidRPr="00AF40E6" w:rsidP="000216BB" w14:paraId="2B64871F" w14:textId="59811F6E">
            <w:pPr>
              <w:widowControl/>
              <w:suppressAutoHyphens/>
              <w:autoSpaceDE/>
              <w:autoSpaceDN/>
              <w:adjustRightInd/>
              <w:jc w:val="center"/>
              <w:rPr>
                <w:rFonts w:eastAsiaTheme="minorHAnsi"/>
                <w:sz w:val="20"/>
                <w:szCs w:val="20"/>
              </w:rPr>
            </w:pPr>
            <w:r w:rsidRPr="00AF40E6">
              <w:rPr>
                <w:rFonts w:eastAsiaTheme="minorHAnsi"/>
                <w:sz w:val="20"/>
                <w:szCs w:val="20"/>
              </w:rPr>
              <w:t>Total Respondents</w:t>
            </w:r>
          </w:p>
        </w:tc>
        <w:tc>
          <w:tcPr>
            <w:tcW w:w="1535" w:type="dxa"/>
            <w:vAlign w:val="center"/>
          </w:tcPr>
          <w:p w:rsidR="00654B9E" w:rsidRPr="00AF40E6" w:rsidP="000216BB" w14:paraId="76DDFAAF" w14:textId="70D3B65A">
            <w:pPr>
              <w:widowControl/>
              <w:suppressAutoHyphens/>
              <w:autoSpaceDE/>
              <w:autoSpaceDN/>
              <w:adjustRightInd/>
              <w:jc w:val="center"/>
              <w:rPr>
                <w:rFonts w:eastAsiaTheme="minorHAnsi"/>
                <w:sz w:val="20"/>
                <w:szCs w:val="20"/>
              </w:rPr>
            </w:pPr>
            <w:r w:rsidRPr="00AF40E6">
              <w:rPr>
                <w:rFonts w:eastAsiaTheme="minorHAnsi"/>
                <w:sz w:val="20"/>
                <w:szCs w:val="20"/>
              </w:rPr>
              <w:t>Total Labor Costs</w:t>
            </w:r>
          </w:p>
        </w:tc>
      </w:tr>
      <w:tr w14:paraId="0B379BBC" w14:textId="3CE7124C" w:rsidTr="00D56C9B">
        <w:tblPrEx>
          <w:tblW w:w="9360" w:type="dxa"/>
          <w:jc w:val="center"/>
          <w:tblLayout w:type="fixed"/>
          <w:tblCellMar>
            <w:left w:w="29" w:type="dxa"/>
            <w:right w:w="29" w:type="dxa"/>
          </w:tblCellMar>
          <w:tblLook w:val="04A0"/>
        </w:tblPrEx>
        <w:trPr>
          <w:trHeight w:val="576"/>
          <w:jc w:val="center"/>
        </w:trPr>
        <w:tc>
          <w:tcPr>
            <w:tcW w:w="1165" w:type="dxa"/>
            <w:tcMar>
              <w:left w:w="29" w:type="dxa"/>
              <w:right w:w="29" w:type="dxa"/>
            </w:tcMar>
            <w:vAlign w:val="center"/>
          </w:tcPr>
          <w:p w:rsidR="00654B9E" w:rsidRPr="00AF40E6" w:rsidP="000216BB" w14:paraId="194DF852" w14:textId="0ACD6011">
            <w:pPr>
              <w:widowControl/>
              <w:suppressAutoHyphens/>
              <w:autoSpaceDE/>
              <w:autoSpaceDN/>
              <w:adjustRightInd/>
              <w:jc w:val="center"/>
              <w:rPr>
                <w:rFonts w:eastAsiaTheme="minorHAnsi"/>
                <w:sz w:val="20"/>
                <w:szCs w:val="20"/>
              </w:rPr>
            </w:pPr>
            <w:r w:rsidRPr="00AF40E6">
              <w:rPr>
                <w:rFonts w:eastAsiaTheme="minorHAnsi"/>
                <w:sz w:val="20"/>
                <w:szCs w:val="20"/>
              </w:rPr>
              <w:t xml:space="preserve">Semi-monthly** </w:t>
            </w:r>
          </w:p>
        </w:tc>
        <w:tc>
          <w:tcPr>
            <w:tcW w:w="1260" w:type="dxa"/>
            <w:tcMar>
              <w:left w:w="29" w:type="dxa"/>
              <w:right w:w="29" w:type="dxa"/>
            </w:tcMar>
            <w:vAlign w:val="center"/>
          </w:tcPr>
          <w:p w:rsidR="00654B9E" w:rsidRPr="00AF40E6" w:rsidP="000216BB" w14:paraId="5F3C1530" w14:textId="6786E74D">
            <w:pPr>
              <w:widowControl/>
              <w:suppressAutoHyphens/>
              <w:autoSpaceDE/>
              <w:autoSpaceDN/>
              <w:adjustRightInd/>
              <w:jc w:val="center"/>
              <w:rPr>
                <w:rFonts w:eastAsiaTheme="minorHAnsi"/>
                <w:sz w:val="20"/>
                <w:szCs w:val="20"/>
              </w:rPr>
            </w:pPr>
            <w:r w:rsidRPr="00AF40E6">
              <w:rPr>
                <w:rFonts w:eastAsiaTheme="minorHAnsi"/>
                <w:sz w:val="20"/>
                <w:szCs w:val="20"/>
              </w:rPr>
              <w:t>27 min.</w:t>
            </w:r>
          </w:p>
        </w:tc>
        <w:tc>
          <w:tcPr>
            <w:tcW w:w="1260" w:type="dxa"/>
            <w:tcMar>
              <w:left w:w="29" w:type="dxa"/>
              <w:right w:w="29" w:type="dxa"/>
            </w:tcMar>
            <w:vAlign w:val="center"/>
          </w:tcPr>
          <w:p w:rsidR="00654B9E" w:rsidRPr="00AF40E6" w:rsidP="00F45B08" w14:paraId="1F05C382" w14:textId="31D78C59">
            <w:pPr>
              <w:widowControl/>
              <w:suppressAutoHyphens/>
              <w:autoSpaceDE/>
              <w:autoSpaceDN/>
              <w:adjustRightInd/>
              <w:jc w:val="center"/>
              <w:rPr>
                <w:rFonts w:eastAsiaTheme="minorHAnsi"/>
                <w:sz w:val="20"/>
                <w:szCs w:val="20"/>
              </w:rPr>
            </w:pPr>
            <w:r w:rsidRPr="00AF40E6">
              <w:rPr>
                <w:rFonts w:eastAsiaTheme="minorHAnsi"/>
                <w:sz w:val="20"/>
                <w:szCs w:val="20"/>
              </w:rPr>
              <w:t>$26.568</w:t>
            </w:r>
          </w:p>
        </w:tc>
        <w:tc>
          <w:tcPr>
            <w:tcW w:w="1260" w:type="dxa"/>
            <w:vAlign w:val="center"/>
          </w:tcPr>
          <w:p w:rsidR="00654B9E" w:rsidRPr="00AF40E6" w:rsidP="00A22743" w14:paraId="3B2A0960" w14:textId="0E333276">
            <w:pPr>
              <w:widowControl/>
              <w:suppressAutoHyphens/>
              <w:autoSpaceDE/>
              <w:autoSpaceDN/>
              <w:adjustRightInd/>
              <w:jc w:val="center"/>
              <w:rPr>
                <w:rFonts w:eastAsiaTheme="minorHAnsi"/>
                <w:sz w:val="20"/>
                <w:szCs w:val="20"/>
              </w:rPr>
            </w:pPr>
            <w:r w:rsidRPr="00AF40E6">
              <w:rPr>
                <w:rFonts w:eastAsiaTheme="minorHAnsi"/>
                <w:sz w:val="20"/>
                <w:szCs w:val="20"/>
              </w:rPr>
              <w:t>25</w:t>
            </w:r>
          </w:p>
        </w:tc>
        <w:tc>
          <w:tcPr>
            <w:tcW w:w="1530" w:type="dxa"/>
            <w:vAlign w:val="center"/>
          </w:tcPr>
          <w:p w:rsidR="00654B9E" w:rsidRPr="00AF40E6" w:rsidP="00A22743" w14:paraId="56B675B9" w14:textId="0EE6AE1D">
            <w:pPr>
              <w:widowControl/>
              <w:suppressAutoHyphens/>
              <w:autoSpaceDE/>
              <w:autoSpaceDN/>
              <w:adjustRightInd/>
              <w:jc w:val="center"/>
              <w:rPr>
                <w:rFonts w:eastAsiaTheme="minorHAnsi"/>
                <w:sz w:val="20"/>
                <w:szCs w:val="20"/>
              </w:rPr>
            </w:pPr>
            <w:r w:rsidRPr="00AF40E6">
              <w:rPr>
                <w:rFonts w:eastAsiaTheme="minorHAnsi"/>
                <w:sz w:val="20"/>
                <w:szCs w:val="20"/>
              </w:rPr>
              <w:t>$664.20</w:t>
            </w:r>
          </w:p>
        </w:tc>
        <w:tc>
          <w:tcPr>
            <w:tcW w:w="1350" w:type="dxa"/>
            <w:vAlign w:val="center"/>
          </w:tcPr>
          <w:p w:rsidR="00654B9E" w:rsidRPr="00AF40E6" w:rsidP="00A22743" w14:paraId="097D748A" w14:textId="6FFF6FE3">
            <w:pPr>
              <w:widowControl/>
              <w:suppressAutoHyphens/>
              <w:autoSpaceDE/>
              <w:autoSpaceDN/>
              <w:adjustRightInd/>
              <w:jc w:val="center"/>
              <w:rPr>
                <w:rFonts w:eastAsiaTheme="minorHAnsi"/>
                <w:sz w:val="20"/>
                <w:szCs w:val="20"/>
              </w:rPr>
            </w:pPr>
            <w:r w:rsidRPr="00AF40E6">
              <w:rPr>
                <w:rFonts w:eastAsiaTheme="minorHAnsi"/>
                <w:sz w:val="20"/>
                <w:szCs w:val="20"/>
              </w:rPr>
              <w:t>1,400</w:t>
            </w:r>
          </w:p>
        </w:tc>
        <w:tc>
          <w:tcPr>
            <w:tcW w:w="1535" w:type="dxa"/>
            <w:vAlign w:val="center"/>
          </w:tcPr>
          <w:p w:rsidR="00654B9E" w:rsidRPr="00AF40E6" w:rsidP="00A22743" w14:paraId="07B5B7DE" w14:textId="3B8EEFF9">
            <w:pPr>
              <w:widowControl/>
              <w:suppressAutoHyphens/>
              <w:autoSpaceDE/>
              <w:autoSpaceDN/>
              <w:adjustRightInd/>
              <w:jc w:val="center"/>
              <w:rPr>
                <w:rFonts w:eastAsiaTheme="minorHAnsi"/>
                <w:sz w:val="20"/>
                <w:szCs w:val="20"/>
              </w:rPr>
            </w:pPr>
            <w:r w:rsidRPr="00AF40E6">
              <w:rPr>
                <w:rFonts w:eastAsiaTheme="minorHAnsi"/>
                <w:sz w:val="20"/>
                <w:szCs w:val="20"/>
              </w:rPr>
              <w:t>$929.880.00</w:t>
            </w:r>
          </w:p>
        </w:tc>
      </w:tr>
      <w:tr w14:paraId="77FA748A" w14:textId="615B7359" w:rsidTr="00D56C9B">
        <w:tblPrEx>
          <w:tblW w:w="9360" w:type="dxa"/>
          <w:jc w:val="center"/>
          <w:tblLayout w:type="fixed"/>
          <w:tblCellMar>
            <w:left w:w="29" w:type="dxa"/>
            <w:right w:w="29" w:type="dxa"/>
          </w:tblCellMar>
          <w:tblLook w:val="04A0"/>
        </w:tblPrEx>
        <w:trPr>
          <w:trHeight w:val="576"/>
          <w:jc w:val="center"/>
        </w:trPr>
        <w:tc>
          <w:tcPr>
            <w:tcW w:w="1165" w:type="dxa"/>
            <w:tcMar>
              <w:left w:w="29" w:type="dxa"/>
              <w:right w:w="29" w:type="dxa"/>
            </w:tcMar>
            <w:vAlign w:val="center"/>
          </w:tcPr>
          <w:p w:rsidR="00654B9E" w:rsidRPr="00AF40E6" w:rsidP="000216BB" w14:paraId="255DABB7" w14:textId="4D22F9E3">
            <w:pPr>
              <w:widowControl/>
              <w:suppressAutoHyphens/>
              <w:autoSpaceDE/>
              <w:autoSpaceDN/>
              <w:adjustRightInd/>
              <w:jc w:val="center"/>
              <w:rPr>
                <w:rFonts w:eastAsiaTheme="minorHAnsi"/>
                <w:sz w:val="20"/>
                <w:szCs w:val="20"/>
              </w:rPr>
            </w:pPr>
            <w:r w:rsidRPr="00AF40E6">
              <w:rPr>
                <w:rFonts w:eastAsiaTheme="minorHAnsi"/>
                <w:sz w:val="20"/>
                <w:szCs w:val="20"/>
              </w:rPr>
              <w:t xml:space="preserve">Quarterly </w:t>
            </w:r>
          </w:p>
        </w:tc>
        <w:tc>
          <w:tcPr>
            <w:tcW w:w="1260" w:type="dxa"/>
            <w:tcMar>
              <w:left w:w="29" w:type="dxa"/>
              <w:right w:w="29" w:type="dxa"/>
            </w:tcMar>
            <w:vAlign w:val="center"/>
          </w:tcPr>
          <w:p w:rsidR="00654B9E" w:rsidRPr="00AF40E6" w:rsidP="000216BB" w14:paraId="15915955" w14:textId="1BFFEEDA">
            <w:pPr>
              <w:widowControl/>
              <w:suppressAutoHyphens/>
              <w:autoSpaceDE/>
              <w:autoSpaceDN/>
              <w:adjustRightInd/>
              <w:jc w:val="center"/>
              <w:rPr>
                <w:rFonts w:eastAsiaTheme="minorHAnsi"/>
                <w:sz w:val="20"/>
                <w:szCs w:val="20"/>
              </w:rPr>
            </w:pPr>
            <w:r w:rsidRPr="00AF40E6">
              <w:rPr>
                <w:rFonts w:eastAsiaTheme="minorHAnsi"/>
                <w:sz w:val="20"/>
                <w:szCs w:val="20"/>
              </w:rPr>
              <w:t xml:space="preserve">40 min. </w:t>
            </w:r>
          </w:p>
        </w:tc>
        <w:tc>
          <w:tcPr>
            <w:tcW w:w="1260" w:type="dxa"/>
            <w:tcMar>
              <w:left w:w="29" w:type="dxa"/>
              <w:right w:w="29" w:type="dxa"/>
            </w:tcMar>
            <w:vAlign w:val="center"/>
          </w:tcPr>
          <w:p w:rsidR="00654B9E" w:rsidRPr="00AF40E6" w:rsidP="00F45B08" w14:paraId="041CE128" w14:textId="70EC8899">
            <w:pPr>
              <w:widowControl/>
              <w:suppressAutoHyphens/>
              <w:autoSpaceDE/>
              <w:autoSpaceDN/>
              <w:adjustRightInd/>
              <w:jc w:val="center"/>
              <w:rPr>
                <w:rFonts w:eastAsiaTheme="minorHAnsi"/>
                <w:sz w:val="20"/>
                <w:szCs w:val="20"/>
              </w:rPr>
            </w:pPr>
            <w:r w:rsidRPr="00AF40E6">
              <w:rPr>
                <w:rFonts w:eastAsiaTheme="minorHAnsi"/>
                <w:sz w:val="20"/>
                <w:szCs w:val="20"/>
              </w:rPr>
              <w:t>$39.36</w:t>
            </w:r>
          </w:p>
        </w:tc>
        <w:tc>
          <w:tcPr>
            <w:tcW w:w="1260" w:type="dxa"/>
            <w:vAlign w:val="center"/>
          </w:tcPr>
          <w:p w:rsidR="00654B9E" w:rsidRPr="00AF40E6" w:rsidP="000216BB" w14:paraId="62F675C0" w14:textId="107F8C49">
            <w:pPr>
              <w:widowControl/>
              <w:suppressAutoHyphens/>
              <w:autoSpaceDE/>
              <w:autoSpaceDN/>
              <w:adjustRightInd/>
              <w:jc w:val="center"/>
              <w:rPr>
                <w:rFonts w:eastAsiaTheme="minorHAnsi"/>
                <w:sz w:val="20"/>
                <w:szCs w:val="20"/>
              </w:rPr>
            </w:pPr>
            <w:r w:rsidRPr="00AF40E6">
              <w:rPr>
                <w:rFonts w:eastAsiaTheme="minorHAnsi"/>
                <w:sz w:val="20"/>
                <w:szCs w:val="20"/>
              </w:rPr>
              <w:t>4</w:t>
            </w:r>
          </w:p>
        </w:tc>
        <w:tc>
          <w:tcPr>
            <w:tcW w:w="1530" w:type="dxa"/>
            <w:vAlign w:val="center"/>
          </w:tcPr>
          <w:p w:rsidR="00654B9E" w:rsidRPr="00AF40E6" w:rsidP="000216BB" w14:paraId="241025C3" w14:textId="163308AD">
            <w:pPr>
              <w:widowControl/>
              <w:suppressAutoHyphens/>
              <w:autoSpaceDE/>
              <w:autoSpaceDN/>
              <w:adjustRightInd/>
              <w:jc w:val="center"/>
              <w:rPr>
                <w:rFonts w:eastAsiaTheme="minorHAnsi"/>
                <w:sz w:val="20"/>
                <w:szCs w:val="20"/>
              </w:rPr>
            </w:pPr>
            <w:r w:rsidRPr="00AF40E6">
              <w:rPr>
                <w:rFonts w:eastAsiaTheme="minorHAnsi"/>
                <w:sz w:val="20"/>
                <w:szCs w:val="20"/>
              </w:rPr>
              <w:t>$157.44</w:t>
            </w:r>
          </w:p>
        </w:tc>
        <w:tc>
          <w:tcPr>
            <w:tcW w:w="1350" w:type="dxa"/>
            <w:vAlign w:val="center"/>
          </w:tcPr>
          <w:p w:rsidR="00654B9E" w:rsidRPr="00AF40E6" w:rsidP="000216BB" w14:paraId="076FD320" w14:textId="0E849CC9">
            <w:pPr>
              <w:widowControl/>
              <w:suppressAutoHyphens/>
              <w:autoSpaceDE/>
              <w:autoSpaceDN/>
              <w:adjustRightInd/>
              <w:jc w:val="center"/>
              <w:rPr>
                <w:rFonts w:eastAsiaTheme="minorHAnsi"/>
                <w:sz w:val="20"/>
                <w:szCs w:val="20"/>
              </w:rPr>
            </w:pPr>
            <w:r w:rsidRPr="00AF40E6">
              <w:rPr>
                <w:rFonts w:eastAsiaTheme="minorHAnsi"/>
                <w:sz w:val="20"/>
                <w:szCs w:val="20"/>
              </w:rPr>
              <w:t>6,300</w:t>
            </w:r>
          </w:p>
        </w:tc>
        <w:tc>
          <w:tcPr>
            <w:tcW w:w="1535" w:type="dxa"/>
            <w:vAlign w:val="center"/>
          </w:tcPr>
          <w:p w:rsidR="00654B9E" w:rsidRPr="00AF40E6" w:rsidP="000216BB" w14:paraId="0C6503EA" w14:textId="5B6F803D">
            <w:pPr>
              <w:widowControl/>
              <w:suppressAutoHyphens/>
              <w:autoSpaceDE/>
              <w:autoSpaceDN/>
              <w:adjustRightInd/>
              <w:jc w:val="center"/>
              <w:rPr>
                <w:rFonts w:eastAsiaTheme="minorHAnsi"/>
                <w:sz w:val="20"/>
                <w:szCs w:val="20"/>
              </w:rPr>
            </w:pPr>
            <w:r w:rsidRPr="00AF40E6">
              <w:rPr>
                <w:rFonts w:eastAsiaTheme="minorHAnsi"/>
                <w:sz w:val="20"/>
                <w:szCs w:val="20"/>
              </w:rPr>
              <w:t>$991,872.00</w:t>
            </w:r>
          </w:p>
        </w:tc>
      </w:tr>
      <w:tr w14:paraId="2A361C38" w14:textId="1A53CEAC" w:rsidTr="00D56C9B">
        <w:tblPrEx>
          <w:tblW w:w="9360" w:type="dxa"/>
          <w:jc w:val="center"/>
          <w:tblLayout w:type="fixed"/>
          <w:tblCellMar>
            <w:left w:w="29" w:type="dxa"/>
            <w:right w:w="29" w:type="dxa"/>
          </w:tblCellMar>
          <w:tblLook w:val="04A0"/>
        </w:tblPrEx>
        <w:trPr>
          <w:trHeight w:val="576"/>
          <w:jc w:val="center"/>
        </w:trPr>
        <w:tc>
          <w:tcPr>
            <w:tcW w:w="1165" w:type="dxa"/>
            <w:tcMar>
              <w:left w:w="29" w:type="dxa"/>
              <w:right w:w="29" w:type="dxa"/>
            </w:tcMar>
            <w:vAlign w:val="center"/>
          </w:tcPr>
          <w:p w:rsidR="00654B9E" w:rsidRPr="00AF40E6" w:rsidP="000216BB" w14:paraId="08C30DD3" w14:textId="140B6459">
            <w:pPr>
              <w:widowControl/>
              <w:suppressAutoHyphens/>
              <w:autoSpaceDE/>
              <w:autoSpaceDN/>
              <w:adjustRightInd/>
              <w:jc w:val="center"/>
              <w:rPr>
                <w:rFonts w:eastAsiaTheme="minorHAnsi"/>
                <w:sz w:val="20"/>
                <w:szCs w:val="20"/>
              </w:rPr>
            </w:pPr>
            <w:r w:rsidRPr="00AF40E6">
              <w:rPr>
                <w:rFonts w:eastAsiaTheme="minorHAnsi"/>
                <w:sz w:val="20"/>
                <w:szCs w:val="20"/>
              </w:rPr>
              <w:t>Annually</w:t>
            </w:r>
          </w:p>
        </w:tc>
        <w:tc>
          <w:tcPr>
            <w:tcW w:w="1260" w:type="dxa"/>
            <w:tcMar>
              <w:left w:w="29" w:type="dxa"/>
              <w:right w:w="29" w:type="dxa"/>
            </w:tcMar>
            <w:vAlign w:val="center"/>
          </w:tcPr>
          <w:p w:rsidR="00654B9E" w:rsidRPr="00AF40E6" w:rsidP="000216BB" w14:paraId="3DF61C96" w14:textId="241A2CE9">
            <w:pPr>
              <w:widowControl/>
              <w:suppressAutoHyphens/>
              <w:autoSpaceDE/>
              <w:autoSpaceDN/>
              <w:adjustRightInd/>
              <w:jc w:val="center"/>
              <w:rPr>
                <w:rFonts w:eastAsiaTheme="minorHAnsi"/>
                <w:sz w:val="20"/>
                <w:szCs w:val="20"/>
              </w:rPr>
            </w:pPr>
            <w:r w:rsidRPr="00AF40E6">
              <w:rPr>
                <w:rFonts w:eastAsiaTheme="minorHAnsi"/>
                <w:sz w:val="20"/>
                <w:szCs w:val="20"/>
              </w:rPr>
              <w:t xml:space="preserve">40 min. </w:t>
            </w:r>
          </w:p>
        </w:tc>
        <w:tc>
          <w:tcPr>
            <w:tcW w:w="1260" w:type="dxa"/>
            <w:tcMar>
              <w:left w:w="29" w:type="dxa"/>
              <w:right w:w="29" w:type="dxa"/>
            </w:tcMar>
            <w:vAlign w:val="center"/>
          </w:tcPr>
          <w:p w:rsidR="00654B9E" w:rsidRPr="00AF40E6" w:rsidP="00F45B08" w14:paraId="25B38487" w14:textId="374622DD">
            <w:pPr>
              <w:widowControl/>
              <w:suppressAutoHyphens/>
              <w:autoSpaceDE/>
              <w:autoSpaceDN/>
              <w:adjustRightInd/>
              <w:jc w:val="center"/>
              <w:rPr>
                <w:rFonts w:eastAsiaTheme="minorHAnsi"/>
                <w:sz w:val="20"/>
                <w:szCs w:val="20"/>
              </w:rPr>
            </w:pPr>
            <w:r w:rsidRPr="00AF40E6">
              <w:rPr>
                <w:rFonts w:eastAsiaTheme="minorHAnsi"/>
                <w:sz w:val="20"/>
                <w:szCs w:val="20"/>
              </w:rPr>
              <w:t>$39.36</w:t>
            </w:r>
          </w:p>
        </w:tc>
        <w:tc>
          <w:tcPr>
            <w:tcW w:w="1260" w:type="dxa"/>
            <w:vAlign w:val="center"/>
          </w:tcPr>
          <w:p w:rsidR="00654B9E" w:rsidRPr="00AF40E6" w:rsidP="000216BB" w14:paraId="72F0074E" w14:textId="18B45220">
            <w:pPr>
              <w:widowControl/>
              <w:suppressAutoHyphens/>
              <w:autoSpaceDE/>
              <w:autoSpaceDN/>
              <w:adjustRightInd/>
              <w:jc w:val="center"/>
              <w:rPr>
                <w:rFonts w:eastAsiaTheme="minorHAnsi"/>
                <w:sz w:val="20"/>
                <w:szCs w:val="20"/>
              </w:rPr>
            </w:pPr>
            <w:r w:rsidRPr="00AF40E6">
              <w:rPr>
                <w:rFonts w:eastAsiaTheme="minorHAnsi"/>
                <w:sz w:val="20"/>
                <w:szCs w:val="20"/>
              </w:rPr>
              <w:t>1</w:t>
            </w:r>
          </w:p>
        </w:tc>
        <w:tc>
          <w:tcPr>
            <w:tcW w:w="1530" w:type="dxa"/>
            <w:vAlign w:val="center"/>
          </w:tcPr>
          <w:p w:rsidR="00654B9E" w:rsidRPr="00AF40E6" w:rsidP="000216BB" w14:paraId="7D553A7C" w14:textId="5ED57E64">
            <w:pPr>
              <w:widowControl/>
              <w:suppressAutoHyphens/>
              <w:autoSpaceDE/>
              <w:autoSpaceDN/>
              <w:adjustRightInd/>
              <w:jc w:val="center"/>
              <w:rPr>
                <w:rFonts w:eastAsiaTheme="minorHAnsi"/>
                <w:sz w:val="20"/>
                <w:szCs w:val="20"/>
              </w:rPr>
            </w:pPr>
            <w:r w:rsidRPr="00AF40E6">
              <w:rPr>
                <w:rFonts w:eastAsiaTheme="minorHAnsi"/>
                <w:sz w:val="20"/>
                <w:szCs w:val="20"/>
              </w:rPr>
              <w:t>$39.</w:t>
            </w:r>
            <w:r w:rsidRPr="00AF40E6" w:rsidR="008B4DB4">
              <w:rPr>
                <w:rFonts w:eastAsiaTheme="minorHAnsi"/>
                <w:sz w:val="20"/>
                <w:szCs w:val="20"/>
              </w:rPr>
              <w:t>3</w:t>
            </w:r>
            <w:r w:rsidRPr="00AF40E6">
              <w:rPr>
                <w:rFonts w:eastAsiaTheme="minorHAnsi"/>
                <w:sz w:val="20"/>
                <w:szCs w:val="20"/>
              </w:rPr>
              <w:t>6</w:t>
            </w:r>
          </w:p>
        </w:tc>
        <w:tc>
          <w:tcPr>
            <w:tcW w:w="1350" w:type="dxa"/>
            <w:vAlign w:val="center"/>
          </w:tcPr>
          <w:p w:rsidR="00654B9E" w:rsidRPr="00AF40E6" w:rsidP="000216BB" w14:paraId="5C637EE8" w14:textId="0B231D12">
            <w:pPr>
              <w:widowControl/>
              <w:suppressAutoHyphens/>
              <w:autoSpaceDE/>
              <w:autoSpaceDN/>
              <w:adjustRightInd/>
              <w:jc w:val="center"/>
              <w:rPr>
                <w:rFonts w:eastAsiaTheme="minorHAnsi"/>
                <w:sz w:val="20"/>
                <w:szCs w:val="20"/>
              </w:rPr>
            </w:pPr>
            <w:r w:rsidRPr="00AF40E6">
              <w:rPr>
                <w:rFonts w:eastAsiaTheme="minorHAnsi"/>
                <w:sz w:val="20"/>
                <w:szCs w:val="20"/>
              </w:rPr>
              <w:t>600</w:t>
            </w:r>
          </w:p>
        </w:tc>
        <w:tc>
          <w:tcPr>
            <w:tcW w:w="1535" w:type="dxa"/>
            <w:vAlign w:val="center"/>
          </w:tcPr>
          <w:p w:rsidR="00654B9E" w:rsidRPr="00AF40E6" w:rsidP="000216BB" w14:paraId="1C2C6BD6" w14:textId="0F93D698">
            <w:pPr>
              <w:widowControl/>
              <w:suppressAutoHyphens/>
              <w:autoSpaceDE/>
              <w:autoSpaceDN/>
              <w:adjustRightInd/>
              <w:jc w:val="center"/>
              <w:rPr>
                <w:rFonts w:eastAsiaTheme="minorHAnsi"/>
                <w:sz w:val="20"/>
                <w:szCs w:val="20"/>
              </w:rPr>
            </w:pPr>
            <w:r w:rsidRPr="00AF40E6">
              <w:rPr>
                <w:rFonts w:eastAsiaTheme="minorHAnsi"/>
                <w:sz w:val="20"/>
                <w:szCs w:val="20"/>
              </w:rPr>
              <w:t>$23,</w:t>
            </w:r>
            <w:r w:rsidRPr="00AF40E6" w:rsidR="008B4DB4">
              <w:rPr>
                <w:rFonts w:eastAsiaTheme="minorHAnsi"/>
                <w:sz w:val="20"/>
                <w:szCs w:val="20"/>
              </w:rPr>
              <w:t>616</w:t>
            </w:r>
            <w:r w:rsidRPr="00AF40E6">
              <w:rPr>
                <w:rFonts w:eastAsiaTheme="minorHAnsi"/>
                <w:sz w:val="20"/>
                <w:szCs w:val="20"/>
              </w:rPr>
              <w:t>.00</w:t>
            </w:r>
          </w:p>
        </w:tc>
      </w:tr>
      <w:tr w14:paraId="449590FC" w14:textId="6F31B1ED" w:rsidTr="00D56C9B">
        <w:tblPrEx>
          <w:tblW w:w="9360" w:type="dxa"/>
          <w:jc w:val="center"/>
          <w:tblLayout w:type="fixed"/>
          <w:tblCellMar>
            <w:left w:w="29" w:type="dxa"/>
            <w:right w:w="29" w:type="dxa"/>
          </w:tblCellMar>
          <w:tblLook w:val="04A0"/>
        </w:tblPrEx>
        <w:trPr>
          <w:trHeight w:val="576"/>
          <w:jc w:val="center"/>
        </w:trPr>
        <w:tc>
          <w:tcPr>
            <w:tcW w:w="1165" w:type="dxa"/>
            <w:tcMar>
              <w:left w:w="29" w:type="dxa"/>
              <w:right w:w="29" w:type="dxa"/>
            </w:tcMar>
            <w:vAlign w:val="center"/>
          </w:tcPr>
          <w:p w:rsidR="002A483D" w:rsidRPr="00AF40E6" w:rsidP="002A483D" w14:paraId="1AFD1552" w14:textId="0E7D5D52">
            <w:pPr>
              <w:widowControl/>
              <w:suppressAutoHyphens/>
              <w:autoSpaceDE/>
              <w:autoSpaceDN/>
              <w:adjustRightInd/>
              <w:jc w:val="center"/>
              <w:rPr>
                <w:rFonts w:eastAsiaTheme="minorHAnsi"/>
                <w:b/>
                <w:bCs/>
                <w:sz w:val="20"/>
                <w:szCs w:val="20"/>
              </w:rPr>
            </w:pPr>
            <w:r w:rsidRPr="00AF40E6">
              <w:rPr>
                <w:rFonts w:eastAsiaTheme="minorHAnsi"/>
                <w:b/>
                <w:bCs/>
                <w:sz w:val="20"/>
                <w:szCs w:val="20"/>
              </w:rPr>
              <w:t>Totals</w:t>
            </w:r>
          </w:p>
        </w:tc>
        <w:tc>
          <w:tcPr>
            <w:tcW w:w="1260" w:type="dxa"/>
            <w:tcMar>
              <w:left w:w="29" w:type="dxa"/>
              <w:right w:w="29" w:type="dxa"/>
            </w:tcMar>
            <w:vAlign w:val="center"/>
          </w:tcPr>
          <w:p w:rsidR="002A483D" w:rsidRPr="00AF40E6" w:rsidP="002A483D" w14:paraId="7A27B93C" w14:textId="060433BF">
            <w:pPr>
              <w:widowControl/>
              <w:suppressAutoHyphens/>
              <w:autoSpaceDE/>
              <w:autoSpaceDN/>
              <w:adjustRightInd/>
              <w:jc w:val="center"/>
              <w:rPr>
                <w:rFonts w:eastAsiaTheme="minorHAnsi"/>
                <w:b/>
                <w:bCs/>
                <w:sz w:val="18"/>
                <w:szCs w:val="18"/>
              </w:rPr>
            </w:pPr>
            <w:r w:rsidRPr="00AF40E6">
              <w:rPr>
                <w:b/>
                <w:bCs/>
                <w:sz w:val="18"/>
                <w:szCs w:val="18"/>
              </w:rPr>
              <w:t>(avg. 23.819 min.)</w:t>
            </w:r>
          </w:p>
        </w:tc>
        <w:tc>
          <w:tcPr>
            <w:tcW w:w="1260" w:type="dxa"/>
            <w:tcMar>
              <w:left w:w="29" w:type="dxa"/>
              <w:right w:w="29" w:type="dxa"/>
            </w:tcMar>
            <w:vAlign w:val="center"/>
          </w:tcPr>
          <w:p w:rsidR="002A483D" w:rsidRPr="00AF40E6" w:rsidP="002A483D" w14:paraId="60FA39D1" w14:textId="34D249CF">
            <w:pPr>
              <w:widowControl/>
              <w:suppressAutoHyphens/>
              <w:autoSpaceDE/>
              <w:autoSpaceDN/>
              <w:adjustRightInd/>
              <w:jc w:val="center"/>
              <w:rPr>
                <w:rFonts w:eastAsiaTheme="minorHAnsi"/>
                <w:b/>
                <w:bCs/>
                <w:sz w:val="18"/>
                <w:szCs w:val="18"/>
              </w:rPr>
            </w:pPr>
            <w:r w:rsidRPr="00AF40E6">
              <w:rPr>
                <w:rFonts w:eastAsiaTheme="minorHAnsi"/>
                <w:b/>
                <w:bCs/>
                <w:sz w:val="18"/>
                <w:szCs w:val="18"/>
              </w:rPr>
              <w:t>(avg. $23.438)</w:t>
            </w:r>
          </w:p>
        </w:tc>
        <w:tc>
          <w:tcPr>
            <w:tcW w:w="1260" w:type="dxa"/>
            <w:vAlign w:val="center"/>
          </w:tcPr>
          <w:p w:rsidR="002A483D" w:rsidRPr="00AF40E6" w:rsidP="002A483D" w14:paraId="7A88ED0D" w14:textId="42364C5A">
            <w:pPr>
              <w:widowControl/>
              <w:suppressAutoHyphens/>
              <w:autoSpaceDE/>
              <w:autoSpaceDN/>
              <w:adjustRightInd/>
              <w:jc w:val="center"/>
              <w:rPr>
                <w:rFonts w:eastAsiaTheme="minorHAnsi"/>
                <w:b/>
                <w:bCs/>
                <w:sz w:val="20"/>
                <w:szCs w:val="20"/>
              </w:rPr>
            </w:pPr>
            <w:r w:rsidRPr="00AF40E6">
              <w:rPr>
                <w:rFonts w:eastAsiaTheme="minorHAnsi"/>
                <w:b/>
                <w:bCs/>
                <w:sz w:val="20"/>
                <w:szCs w:val="20"/>
              </w:rPr>
              <w:t>10</w:t>
            </w:r>
          </w:p>
        </w:tc>
        <w:tc>
          <w:tcPr>
            <w:tcW w:w="1530" w:type="dxa"/>
            <w:vAlign w:val="center"/>
          </w:tcPr>
          <w:p w:rsidR="002A483D" w:rsidRPr="00AF40E6" w:rsidP="002A483D" w14:paraId="71FAFBAA" w14:textId="7708C460">
            <w:pPr>
              <w:widowControl/>
              <w:suppressAutoHyphens/>
              <w:autoSpaceDE/>
              <w:autoSpaceDN/>
              <w:adjustRightInd/>
              <w:jc w:val="center"/>
              <w:rPr>
                <w:rFonts w:eastAsiaTheme="minorHAnsi"/>
                <w:b/>
                <w:bCs/>
                <w:sz w:val="18"/>
                <w:szCs w:val="18"/>
              </w:rPr>
            </w:pPr>
            <w:r w:rsidRPr="00AF40E6">
              <w:rPr>
                <w:rFonts w:eastAsiaTheme="minorHAnsi"/>
                <w:b/>
                <w:bCs/>
                <w:sz w:val="18"/>
                <w:szCs w:val="18"/>
              </w:rPr>
              <w:t>(avg. $234.38)</w:t>
            </w:r>
          </w:p>
        </w:tc>
        <w:tc>
          <w:tcPr>
            <w:tcW w:w="1350" w:type="dxa"/>
            <w:vAlign w:val="center"/>
          </w:tcPr>
          <w:p w:rsidR="002A483D" w:rsidRPr="00AF40E6" w:rsidP="002A483D" w14:paraId="11BE53D8" w14:textId="76862641">
            <w:pPr>
              <w:widowControl/>
              <w:suppressAutoHyphens/>
              <w:autoSpaceDE/>
              <w:autoSpaceDN/>
              <w:adjustRightInd/>
              <w:jc w:val="center"/>
              <w:rPr>
                <w:rFonts w:eastAsiaTheme="minorHAnsi"/>
                <w:b/>
                <w:bCs/>
                <w:sz w:val="20"/>
                <w:szCs w:val="20"/>
              </w:rPr>
            </w:pPr>
            <w:r w:rsidRPr="00AF40E6">
              <w:rPr>
                <w:rFonts w:eastAsiaTheme="minorHAnsi"/>
                <w:b/>
                <w:bCs/>
                <w:sz w:val="20"/>
                <w:szCs w:val="20"/>
              </w:rPr>
              <w:t>8,300</w:t>
            </w:r>
          </w:p>
        </w:tc>
        <w:tc>
          <w:tcPr>
            <w:tcW w:w="1535" w:type="dxa"/>
            <w:vAlign w:val="center"/>
          </w:tcPr>
          <w:p w:rsidR="002A483D" w:rsidRPr="00AF40E6" w:rsidP="002A483D" w14:paraId="6083D259" w14:textId="67BE2E8A">
            <w:pPr>
              <w:widowControl/>
              <w:suppressAutoHyphens/>
              <w:autoSpaceDE/>
              <w:autoSpaceDN/>
              <w:adjustRightInd/>
              <w:jc w:val="center"/>
              <w:rPr>
                <w:rFonts w:eastAsiaTheme="minorHAnsi"/>
                <w:b/>
                <w:bCs/>
                <w:sz w:val="20"/>
                <w:szCs w:val="20"/>
              </w:rPr>
            </w:pPr>
            <w:r w:rsidRPr="00AF40E6">
              <w:rPr>
                <w:rFonts w:eastAsiaTheme="minorHAnsi"/>
                <w:b/>
                <w:bCs/>
                <w:sz w:val="20"/>
                <w:szCs w:val="20"/>
              </w:rPr>
              <w:t>$1,945,368.00</w:t>
            </w:r>
          </w:p>
        </w:tc>
      </w:tr>
    </w:tbl>
    <w:p w:rsidR="002A483D" w:rsidRPr="00AF40E6" w:rsidP="000216BB" w14:paraId="2FE920E5" w14:textId="10E74F05">
      <w:pPr>
        <w:widowControl/>
        <w:autoSpaceDE/>
        <w:autoSpaceDN/>
        <w:adjustRightInd/>
        <w:ind w:left="360"/>
        <w:rPr>
          <w:sz w:val="18"/>
          <w:szCs w:val="18"/>
        </w:rPr>
      </w:pPr>
      <w:r w:rsidRPr="00AF40E6">
        <w:rPr>
          <w:sz w:val="22"/>
          <w:szCs w:val="22"/>
        </w:rPr>
        <w:t xml:space="preserve">* </w:t>
      </w:r>
      <w:r w:rsidRPr="00AF40E6">
        <w:rPr>
          <w:sz w:val="18"/>
          <w:szCs w:val="18"/>
        </w:rPr>
        <w:t>Figures rounded to the nearest three decimal places</w:t>
      </w:r>
      <w:r w:rsidRPr="00AF40E6" w:rsidR="00AF40E6">
        <w:rPr>
          <w:sz w:val="18"/>
          <w:szCs w:val="18"/>
        </w:rPr>
        <w:t xml:space="preserve">. </w:t>
      </w:r>
    </w:p>
    <w:p w:rsidR="00D56C9B" w:rsidRPr="00AF40E6" w:rsidP="000216BB" w14:paraId="0FD1F922" w14:textId="1D9FCBDB">
      <w:pPr>
        <w:widowControl/>
        <w:autoSpaceDE/>
        <w:autoSpaceDN/>
        <w:adjustRightInd/>
        <w:ind w:left="360"/>
        <w:rPr>
          <w:sz w:val="18"/>
          <w:szCs w:val="18"/>
        </w:rPr>
      </w:pPr>
      <w:r w:rsidRPr="00AF40E6">
        <w:rPr>
          <w:sz w:val="22"/>
          <w:szCs w:val="22"/>
        </w:rPr>
        <w:t xml:space="preserve">** </w:t>
      </w:r>
      <w:r w:rsidRPr="00AF40E6">
        <w:rPr>
          <w:sz w:val="18"/>
          <w:szCs w:val="18"/>
        </w:rPr>
        <w:t xml:space="preserve">There are 3 semi-monthly filing periods in September, resulting in 25 total annual responses for semi-monthly excise tax filers. </w:t>
      </w:r>
    </w:p>
    <w:p w:rsidR="00D56C9B" w:rsidRPr="00AF40E6" w:rsidP="000216BB" w14:paraId="4E374283" w14:textId="77777777">
      <w:pPr>
        <w:widowControl/>
        <w:autoSpaceDE/>
        <w:autoSpaceDN/>
        <w:adjustRightInd/>
        <w:ind w:left="360"/>
        <w:rPr>
          <w:sz w:val="22"/>
          <w:szCs w:val="22"/>
          <w:u w:val="single"/>
        </w:rPr>
      </w:pPr>
    </w:p>
    <w:p w:rsidR="00961B34" w:rsidRPr="00AF40E6" w:rsidP="000216BB" w14:paraId="4E60C93A" w14:textId="2B79463D">
      <w:pPr>
        <w:widowControl/>
        <w:autoSpaceDE/>
        <w:autoSpaceDN/>
        <w:adjustRightInd/>
        <w:ind w:left="360"/>
        <w:rPr>
          <w:sz w:val="22"/>
          <w:szCs w:val="22"/>
        </w:rPr>
      </w:pPr>
      <w:r w:rsidRPr="00AF40E6">
        <w:rPr>
          <w:sz w:val="22"/>
          <w:szCs w:val="22"/>
          <w:u w:val="single"/>
        </w:rPr>
        <w:t>Respondent Record Retention:</w:t>
      </w:r>
      <w:r w:rsidRPr="00AF40E6">
        <w:rPr>
          <w:sz w:val="22"/>
          <w:szCs w:val="22"/>
        </w:rPr>
        <w:t xml:space="preserve">  </w:t>
      </w:r>
      <w:r w:rsidRPr="00AF40E6" w:rsidR="00695B5F">
        <w:rPr>
          <w:sz w:val="22"/>
          <w:szCs w:val="22"/>
        </w:rPr>
        <w:t>In general, the TTB regulations require alcohol industry respondents to retain record copies of forms submitted to TTB for 3 years from the date of the record or the date of the last entry in the record, whichever is later; see 27 CFR 19.575</w:t>
      </w:r>
      <w:r w:rsidRPr="00AF40E6" w:rsidR="005442F1">
        <w:rPr>
          <w:sz w:val="22"/>
          <w:szCs w:val="22"/>
        </w:rPr>
        <w:t xml:space="preserve">, </w:t>
      </w:r>
      <w:r w:rsidRPr="00AF40E6" w:rsidR="00695B5F">
        <w:rPr>
          <w:sz w:val="22"/>
          <w:szCs w:val="22"/>
        </w:rPr>
        <w:t>24.300(d), and 25.300(c)</w:t>
      </w:r>
      <w:r w:rsidRPr="00AF40E6" w:rsidR="005442F1">
        <w:rPr>
          <w:sz w:val="22"/>
          <w:szCs w:val="22"/>
        </w:rPr>
        <w:t xml:space="preserve">. </w:t>
      </w:r>
    </w:p>
    <w:p w:rsidR="00626C37" w:rsidRPr="004A6904" w:rsidP="00E01404" w14:paraId="1C2DEAC0" w14:textId="111812FB">
      <w:pPr>
        <w:widowControl/>
        <w:tabs>
          <w:tab w:val="left" w:pos="540"/>
        </w:tabs>
        <w:ind w:left="540" w:hanging="540"/>
        <w:rPr>
          <w:sz w:val="28"/>
          <w:szCs w:val="28"/>
        </w:rPr>
      </w:pPr>
    </w:p>
    <w:p w:rsidR="00CE3C8B" w:rsidRPr="004A6904" w:rsidP="00CE3C8B" w14:paraId="29D3A829" w14:textId="77777777">
      <w:pPr>
        <w:widowControl/>
        <w:suppressAutoHyphens/>
        <w:rPr>
          <w:i/>
          <w:sz w:val="22"/>
          <w:szCs w:val="22"/>
        </w:rPr>
      </w:pPr>
      <w:r w:rsidRPr="004A6904">
        <w:rPr>
          <w:i/>
          <w:sz w:val="22"/>
          <w:szCs w:val="22"/>
        </w:rPr>
        <w:t xml:space="preserve">13.  What is the estimated annual cost burden to respondents or recordkeepers resulting from this information collection request (excluding the value of the hour burden in Question 12 above)? </w:t>
      </w:r>
    </w:p>
    <w:p w:rsidR="00CE3C8B" w:rsidRPr="004A6904" w:rsidP="00CE3C8B" w14:paraId="37E6E877" w14:textId="77777777">
      <w:pPr>
        <w:widowControl/>
        <w:suppressAutoHyphens/>
        <w:ind w:left="480" w:hanging="480"/>
        <w:rPr>
          <w:sz w:val="22"/>
          <w:szCs w:val="22"/>
        </w:rPr>
      </w:pPr>
    </w:p>
    <w:p w:rsidR="008E6F06" w:rsidRPr="004A6904" w:rsidP="00CE3C8B" w14:paraId="59E81E9E" w14:textId="4F727708">
      <w:pPr>
        <w:widowControl/>
        <w:suppressAutoHyphens/>
        <w:ind w:left="360"/>
        <w:rPr>
          <w:sz w:val="22"/>
          <w:szCs w:val="22"/>
        </w:rPr>
      </w:pPr>
      <w:r w:rsidRPr="004A6904">
        <w:rPr>
          <w:sz w:val="22"/>
          <w:szCs w:val="22"/>
          <w:u w:val="single"/>
        </w:rPr>
        <w:t>Start-up and on-going costs:</w:t>
      </w:r>
      <w:r w:rsidRPr="004A6904">
        <w:rPr>
          <w:sz w:val="22"/>
          <w:szCs w:val="22"/>
        </w:rPr>
        <w:t xml:space="preserve">  </w:t>
      </w:r>
      <w:r w:rsidRPr="004A6904" w:rsidR="008B0F44">
        <w:rPr>
          <w:sz w:val="22"/>
          <w:szCs w:val="22"/>
        </w:rPr>
        <w:t xml:space="preserve">The information provided by respondents under this collection request is the minimum necessary to allow TTB to identify the alcohol excise taxpayer, determine the amount of excise taxes due and paid, and </w:t>
      </w:r>
      <w:r w:rsidRPr="004A6904">
        <w:rPr>
          <w:sz w:val="22"/>
          <w:szCs w:val="22"/>
        </w:rPr>
        <w:t xml:space="preserve">verify compliance with Federal laws and regulations </w:t>
      </w:r>
      <w:r w:rsidRPr="004A6904">
        <w:rPr>
          <w:sz w:val="22"/>
          <w:szCs w:val="22"/>
        </w:rPr>
        <w:t>regarding alcohol operations.  R</w:t>
      </w:r>
      <w:r w:rsidRPr="004A6904" w:rsidR="008B0F44">
        <w:rPr>
          <w:sz w:val="22"/>
          <w:szCs w:val="22"/>
        </w:rPr>
        <w:t>espondents largely gather the required information from usual and customary business records concerning t</w:t>
      </w:r>
      <w:r w:rsidRPr="004A6904" w:rsidR="00CE3C8B">
        <w:rPr>
          <w:sz w:val="22"/>
          <w:szCs w:val="22"/>
        </w:rPr>
        <w:t xml:space="preserve">he </w:t>
      </w:r>
      <w:r w:rsidRPr="004A6904">
        <w:rPr>
          <w:sz w:val="22"/>
          <w:szCs w:val="22"/>
        </w:rPr>
        <w:t xml:space="preserve">amount of alcohol produced, removed, transferred, and disposed of during the reporting period, which </w:t>
      </w:r>
      <w:r w:rsidR="00DB5EB5">
        <w:rPr>
          <w:sz w:val="22"/>
          <w:szCs w:val="22"/>
        </w:rPr>
        <w:t>a</w:t>
      </w:r>
      <w:r w:rsidRPr="004A6904">
        <w:rPr>
          <w:sz w:val="22"/>
          <w:szCs w:val="22"/>
        </w:rPr>
        <w:t>ffects the amo</w:t>
      </w:r>
      <w:r w:rsidRPr="004A6904">
        <w:rPr>
          <w:sz w:val="22"/>
          <w:szCs w:val="22"/>
        </w:rPr>
        <w:t xml:space="preserve">unt of alcohol excise taxes due (recordkeeping requirements for alcohol excise taxpayers are approved under other OMB control numbers).  As such, TTB believes </w:t>
      </w:r>
      <w:r w:rsidRPr="004A6904" w:rsidR="00CE3C8B">
        <w:rPr>
          <w:sz w:val="22"/>
          <w:szCs w:val="22"/>
        </w:rPr>
        <w:t xml:space="preserve">that </w:t>
      </w:r>
      <w:r w:rsidRPr="004A6904">
        <w:rPr>
          <w:sz w:val="22"/>
          <w:szCs w:val="22"/>
        </w:rPr>
        <w:t xml:space="preserve">respondents have </w:t>
      </w:r>
      <w:r w:rsidRPr="004A6904" w:rsidR="00CE3C8B">
        <w:rPr>
          <w:sz w:val="22"/>
          <w:szCs w:val="22"/>
        </w:rPr>
        <w:t>no annualized start-up</w:t>
      </w:r>
      <w:r w:rsidRPr="004A6904">
        <w:rPr>
          <w:sz w:val="22"/>
          <w:szCs w:val="22"/>
        </w:rPr>
        <w:t xml:space="preserve">, capital, </w:t>
      </w:r>
      <w:r w:rsidRPr="004A6904" w:rsidR="00CE3C8B">
        <w:rPr>
          <w:sz w:val="22"/>
          <w:szCs w:val="22"/>
        </w:rPr>
        <w:t>maintenance</w:t>
      </w:r>
      <w:r w:rsidRPr="004A6904">
        <w:rPr>
          <w:sz w:val="22"/>
          <w:szCs w:val="22"/>
        </w:rPr>
        <w:t>, or other on-going costs</w:t>
      </w:r>
      <w:r w:rsidRPr="004A6904" w:rsidR="00CE3C8B">
        <w:rPr>
          <w:sz w:val="22"/>
          <w:szCs w:val="22"/>
        </w:rPr>
        <w:t xml:space="preserve"> </w:t>
      </w:r>
      <w:r w:rsidRPr="004A6904">
        <w:rPr>
          <w:sz w:val="22"/>
          <w:szCs w:val="22"/>
        </w:rPr>
        <w:t>for t</w:t>
      </w:r>
      <w:r w:rsidRPr="004A6904">
        <w:rPr>
          <w:sz w:val="22"/>
          <w:szCs w:val="22"/>
        </w:rPr>
        <w:t xml:space="preserve">his information collection. </w:t>
      </w:r>
    </w:p>
    <w:p w:rsidR="00EC0C3F" w:rsidRPr="004A6904" w:rsidP="00CE3C8B" w14:paraId="0B0FCE6B" w14:textId="786E98B6">
      <w:pPr>
        <w:widowControl/>
        <w:suppressAutoHyphens/>
        <w:ind w:left="360"/>
        <w:rPr>
          <w:sz w:val="22"/>
          <w:szCs w:val="22"/>
        </w:rPr>
      </w:pPr>
    </w:p>
    <w:p w:rsidR="00EB5F47" w:rsidRPr="004A6904" w:rsidP="00CE3C8B" w14:paraId="18AF694C" w14:textId="77777777">
      <w:pPr>
        <w:widowControl/>
        <w:suppressAutoHyphens/>
        <w:ind w:left="360"/>
        <w:rPr>
          <w:sz w:val="22"/>
          <w:szCs w:val="22"/>
        </w:rPr>
      </w:pPr>
      <w:r w:rsidRPr="004A6904">
        <w:rPr>
          <w:sz w:val="22"/>
          <w:szCs w:val="22"/>
          <w:u w:val="single"/>
        </w:rPr>
        <w:t>Mailing costs:</w:t>
      </w:r>
      <w:r w:rsidRPr="004A6904">
        <w:rPr>
          <w:sz w:val="22"/>
          <w:szCs w:val="22"/>
        </w:rPr>
        <w:t xml:space="preserve">  TTB estimates that 95 percent of the 8,300 respondents </w:t>
      </w:r>
      <w:r w:rsidRPr="004A6904" w:rsidR="00C500F8">
        <w:rPr>
          <w:sz w:val="22"/>
          <w:szCs w:val="22"/>
        </w:rPr>
        <w:t xml:space="preserve">(7,885) </w:t>
      </w:r>
      <w:r w:rsidRPr="004A6904">
        <w:rPr>
          <w:sz w:val="22"/>
          <w:szCs w:val="22"/>
        </w:rPr>
        <w:t>to the combined beer excise tax and operations report pilot test will respond electronically via Pay.gov and, therefore, will have no mailing costs</w:t>
      </w:r>
      <w:r w:rsidRPr="004A6904">
        <w:rPr>
          <w:sz w:val="22"/>
          <w:szCs w:val="22"/>
        </w:rPr>
        <w:t xml:space="preserve">.  </w:t>
      </w:r>
      <w:r w:rsidRPr="004A6904" w:rsidR="00C500F8">
        <w:rPr>
          <w:sz w:val="22"/>
          <w:szCs w:val="22"/>
        </w:rPr>
        <w:t xml:space="preserve">The remaining 415 respondents will have estimated mailing supply and postage costs of $4.00 per response, which results in </w:t>
      </w:r>
      <w:r w:rsidRPr="004A6904">
        <w:rPr>
          <w:sz w:val="22"/>
          <w:szCs w:val="22"/>
        </w:rPr>
        <w:t xml:space="preserve">annual </w:t>
      </w:r>
      <w:r w:rsidRPr="004A6904" w:rsidR="00C500F8">
        <w:rPr>
          <w:sz w:val="22"/>
          <w:szCs w:val="22"/>
        </w:rPr>
        <w:t xml:space="preserve">mailing costs </w:t>
      </w:r>
      <w:r w:rsidRPr="004A6904">
        <w:rPr>
          <w:sz w:val="22"/>
          <w:szCs w:val="22"/>
        </w:rPr>
        <w:t>as shown below:</w:t>
      </w:r>
    </w:p>
    <w:p w:rsidR="00EB5F47" w:rsidRPr="004A6904" w:rsidP="00CE3C8B" w14:paraId="41D48E81" w14:textId="77777777">
      <w:pPr>
        <w:widowControl/>
        <w:suppressAutoHyphens/>
        <w:ind w:left="360"/>
        <w:rPr>
          <w:sz w:val="22"/>
          <w:szCs w:val="22"/>
        </w:rPr>
      </w:pPr>
    </w:p>
    <w:tbl>
      <w:tblPr>
        <w:tblStyle w:val="TableGrid"/>
        <w:tblW w:w="8640" w:type="dxa"/>
        <w:tblInd w:w="360" w:type="dxa"/>
        <w:tblLook w:val="04A0"/>
      </w:tblPr>
      <w:tblGrid>
        <w:gridCol w:w="1608"/>
        <w:gridCol w:w="1658"/>
        <w:gridCol w:w="2169"/>
        <w:gridCol w:w="1713"/>
        <w:gridCol w:w="1492"/>
      </w:tblGrid>
      <w:tr w14:paraId="1700E0E5" w14:textId="77777777" w:rsidTr="008E6F06">
        <w:tblPrEx>
          <w:tblW w:w="8640" w:type="dxa"/>
          <w:tblInd w:w="360" w:type="dxa"/>
          <w:tblLook w:val="04A0"/>
        </w:tblPrEx>
        <w:trPr>
          <w:trHeight w:val="432"/>
        </w:trPr>
        <w:tc>
          <w:tcPr>
            <w:tcW w:w="1420" w:type="dxa"/>
            <w:vAlign w:val="center"/>
          </w:tcPr>
          <w:p w:rsidR="00EB5F47" w:rsidRPr="004A6904" w:rsidP="008E6F06" w14:paraId="1C7E7C92" w14:textId="7806984D">
            <w:pPr>
              <w:widowControl/>
              <w:suppressAutoHyphens/>
              <w:jc w:val="center"/>
              <w:rPr>
                <w:b/>
                <w:bCs/>
              </w:rPr>
            </w:pPr>
            <w:r w:rsidRPr="004A6904">
              <w:rPr>
                <w:b/>
                <w:bCs/>
              </w:rPr>
              <w:t>Filing Frequency</w:t>
            </w:r>
          </w:p>
        </w:tc>
        <w:tc>
          <w:tcPr>
            <w:tcW w:w="1465" w:type="dxa"/>
            <w:vAlign w:val="center"/>
          </w:tcPr>
          <w:p w:rsidR="00EB5F47" w:rsidRPr="004A6904" w:rsidP="008E6F06" w14:paraId="5FBFBFE3" w14:textId="1A6ADBCC">
            <w:pPr>
              <w:widowControl/>
              <w:suppressAutoHyphens/>
              <w:jc w:val="center"/>
              <w:rPr>
                <w:b/>
                <w:bCs/>
              </w:rPr>
            </w:pPr>
            <w:r w:rsidRPr="004A6904">
              <w:rPr>
                <w:b/>
                <w:bCs/>
              </w:rPr>
              <w:t>No. of Responses</w:t>
            </w:r>
          </w:p>
        </w:tc>
        <w:tc>
          <w:tcPr>
            <w:tcW w:w="1916" w:type="dxa"/>
            <w:vAlign w:val="center"/>
          </w:tcPr>
          <w:p w:rsidR="00EB5F47" w:rsidRPr="004A6904" w:rsidP="008E6F06" w14:paraId="5A3158C1" w14:textId="2E31C9B5">
            <w:pPr>
              <w:widowControl/>
              <w:suppressAutoHyphens/>
              <w:jc w:val="center"/>
              <w:rPr>
                <w:b/>
                <w:bCs/>
              </w:rPr>
            </w:pPr>
            <w:r w:rsidRPr="004A6904">
              <w:rPr>
                <w:b/>
                <w:bCs/>
              </w:rPr>
              <w:t>Total Mailing Cost/Respondent @ $4.00 per Response</w:t>
            </w:r>
          </w:p>
        </w:tc>
        <w:tc>
          <w:tcPr>
            <w:tcW w:w="1513" w:type="dxa"/>
            <w:vAlign w:val="center"/>
          </w:tcPr>
          <w:p w:rsidR="00EB5F47" w:rsidRPr="004A6904" w:rsidP="008E6F06" w14:paraId="7FDA2B1A" w14:textId="68A6543A">
            <w:pPr>
              <w:widowControl/>
              <w:suppressAutoHyphens/>
              <w:jc w:val="center"/>
              <w:rPr>
                <w:b/>
                <w:bCs/>
              </w:rPr>
            </w:pPr>
            <w:r w:rsidRPr="004A6904">
              <w:rPr>
                <w:b/>
                <w:bCs/>
              </w:rPr>
              <w:t xml:space="preserve">No. of </w:t>
            </w:r>
            <w:r w:rsidRPr="004A6904">
              <w:rPr>
                <w:b/>
                <w:bCs/>
              </w:rPr>
              <w:t>Respondents Using Mail</w:t>
            </w:r>
          </w:p>
        </w:tc>
        <w:tc>
          <w:tcPr>
            <w:tcW w:w="1318" w:type="dxa"/>
            <w:vAlign w:val="center"/>
          </w:tcPr>
          <w:p w:rsidR="00EB5F47" w:rsidRPr="004A6904" w:rsidP="008E6F06" w14:paraId="3226D688" w14:textId="4F25FFFB">
            <w:pPr>
              <w:widowControl/>
              <w:suppressAutoHyphens/>
              <w:jc w:val="center"/>
              <w:rPr>
                <w:b/>
                <w:bCs/>
              </w:rPr>
            </w:pPr>
            <w:r w:rsidRPr="004A6904">
              <w:rPr>
                <w:b/>
                <w:bCs/>
              </w:rPr>
              <w:t>Total Mailing Costs</w:t>
            </w:r>
          </w:p>
        </w:tc>
      </w:tr>
      <w:tr w14:paraId="25D19D34" w14:textId="77777777" w:rsidTr="008E6F06">
        <w:tblPrEx>
          <w:tblW w:w="8640" w:type="dxa"/>
          <w:tblInd w:w="360" w:type="dxa"/>
          <w:tblLook w:val="04A0"/>
        </w:tblPrEx>
        <w:trPr>
          <w:trHeight w:val="432"/>
        </w:trPr>
        <w:tc>
          <w:tcPr>
            <w:tcW w:w="1420" w:type="dxa"/>
            <w:vAlign w:val="center"/>
          </w:tcPr>
          <w:p w:rsidR="00EB5F47" w:rsidRPr="004A6904" w:rsidP="008E6F06" w14:paraId="17C08198" w14:textId="003A311B">
            <w:pPr>
              <w:widowControl/>
              <w:suppressAutoHyphens/>
              <w:jc w:val="center"/>
            </w:pPr>
            <w:r w:rsidRPr="004A6904">
              <w:t xml:space="preserve">Semi-monthly </w:t>
            </w:r>
          </w:p>
        </w:tc>
        <w:tc>
          <w:tcPr>
            <w:tcW w:w="1465" w:type="dxa"/>
            <w:vAlign w:val="center"/>
          </w:tcPr>
          <w:p w:rsidR="00EB5F47" w:rsidRPr="004A6904" w:rsidP="008E6F06" w14:paraId="3EF67FEF" w14:textId="4E95934F">
            <w:pPr>
              <w:widowControl/>
              <w:suppressAutoHyphens/>
              <w:jc w:val="center"/>
            </w:pPr>
            <w:r w:rsidRPr="004A6904">
              <w:t>25</w:t>
            </w:r>
          </w:p>
        </w:tc>
        <w:tc>
          <w:tcPr>
            <w:tcW w:w="1916" w:type="dxa"/>
            <w:vAlign w:val="center"/>
          </w:tcPr>
          <w:p w:rsidR="00EB5F47" w:rsidRPr="004A6904" w:rsidP="008E6F06" w14:paraId="1196B936" w14:textId="4F1010DE">
            <w:pPr>
              <w:widowControl/>
              <w:suppressAutoHyphens/>
              <w:jc w:val="center"/>
            </w:pPr>
            <w:r w:rsidRPr="004A6904">
              <w:t>$100.00</w:t>
            </w:r>
          </w:p>
        </w:tc>
        <w:tc>
          <w:tcPr>
            <w:tcW w:w="1513" w:type="dxa"/>
            <w:vAlign w:val="center"/>
          </w:tcPr>
          <w:p w:rsidR="00EB5F47" w:rsidRPr="004A6904" w:rsidP="008E6F06" w14:paraId="7C79B8CD" w14:textId="72E275BD">
            <w:pPr>
              <w:widowControl/>
              <w:suppressAutoHyphens/>
              <w:jc w:val="center"/>
            </w:pPr>
            <w:r w:rsidRPr="004A6904">
              <w:t>70</w:t>
            </w:r>
          </w:p>
        </w:tc>
        <w:tc>
          <w:tcPr>
            <w:tcW w:w="1318" w:type="dxa"/>
            <w:vAlign w:val="center"/>
          </w:tcPr>
          <w:p w:rsidR="00EB5F47" w:rsidRPr="004A6904" w:rsidP="008E6F06" w14:paraId="5E4C07BC" w14:textId="70A42AD8">
            <w:pPr>
              <w:widowControl/>
              <w:suppressAutoHyphens/>
              <w:jc w:val="right"/>
            </w:pPr>
            <w:r w:rsidRPr="004A6904">
              <w:t>$7,000.00</w:t>
            </w:r>
          </w:p>
        </w:tc>
      </w:tr>
      <w:tr w14:paraId="5D0B1E03" w14:textId="77777777" w:rsidTr="008E6F06">
        <w:tblPrEx>
          <w:tblW w:w="8640" w:type="dxa"/>
          <w:tblInd w:w="360" w:type="dxa"/>
          <w:tblLook w:val="04A0"/>
        </w:tblPrEx>
        <w:trPr>
          <w:trHeight w:val="432"/>
        </w:trPr>
        <w:tc>
          <w:tcPr>
            <w:tcW w:w="1420" w:type="dxa"/>
            <w:vAlign w:val="center"/>
          </w:tcPr>
          <w:p w:rsidR="00EB5F47" w:rsidRPr="004A6904" w:rsidP="008E6F06" w14:paraId="75888890" w14:textId="0460825B">
            <w:pPr>
              <w:widowControl/>
              <w:suppressAutoHyphens/>
              <w:jc w:val="center"/>
            </w:pPr>
            <w:r w:rsidRPr="004A6904">
              <w:t>Quarterly</w:t>
            </w:r>
          </w:p>
        </w:tc>
        <w:tc>
          <w:tcPr>
            <w:tcW w:w="1465" w:type="dxa"/>
            <w:vAlign w:val="center"/>
          </w:tcPr>
          <w:p w:rsidR="00EB5F47" w:rsidRPr="004A6904" w:rsidP="008E6F06" w14:paraId="237FDA15" w14:textId="060809A2">
            <w:pPr>
              <w:widowControl/>
              <w:suppressAutoHyphens/>
              <w:jc w:val="center"/>
            </w:pPr>
            <w:r w:rsidRPr="004A6904">
              <w:t>4</w:t>
            </w:r>
          </w:p>
        </w:tc>
        <w:tc>
          <w:tcPr>
            <w:tcW w:w="1916" w:type="dxa"/>
            <w:vAlign w:val="center"/>
          </w:tcPr>
          <w:p w:rsidR="00EB5F47" w:rsidRPr="004A6904" w:rsidP="008E6F06" w14:paraId="7ADE136B" w14:textId="486BDDC4">
            <w:pPr>
              <w:widowControl/>
              <w:suppressAutoHyphens/>
              <w:jc w:val="center"/>
            </w:pPr>
            <w:r w:rsidRPr="004A6904">
              <w:t>$16.00</w:t>
            </w:r>
          </w:p>
        </w:tc>
        <w:tc>
          <w:tcPr>
            <w:tcW w:w="1513" w:type="dxa"/>
            <w:vAlign w:val="center"/>
          </w:tcPr>
          <w:p w:rsidR="00EB5F47" w:rsidRPr="004A6904" w:rsidP="008E6F06" w14:paraId="596B7B74" w14:textId="410F23C8">
            <w:pPr>
              <w:widowControl/>
              <w:suppressAutoHyphens/>
              <w:jc w:val="center"/>
            </w:pPr>
            <w:r w:rsidRPr="004A6904">
              <w:t>315</w:t>
            </w:r>
          </w:p>
        </w:tc>
        <w:tc>
          <w:tcPr>
            <w:tcW w:w="1318" w:type="dxa"/>
            <w:vAlign w:val="center"/>
          </w:tcPr>
          <w:p w:rsidR="00EB5F47" w:rsidRPr="004A6904" w:rsidP="008E6F06" w14:paraId="349BEE20" w14:textId="72624DCE">
            <w:pPr>
              <w:widowControl/>
              <w:suppressAutoHyphens/>
              <w:jc w:val="right"/>
            </w:pPr>
            <w:r w:rsidRPr="004A6904">
              <w:t>$5,040.00</w:t>
            </w:r>
          </w:p>
        </w:tc>
      </w:tr>
      <w:tr w14:paraId="39D0CBFD" w14:textId="77777777" w:rsidTr="008E6F06">
        <w:tblPrEx>
          <w:tblW w:w="8640" w:type="dxa"/>
          <w:tblInd w:w="360" w:type="dxa"/>
          <w:tblLook w:val="04A0"/>
        </w:tblPrEx>
        <w:trPr>
          <w:trHeight w:val="432"/>
        </w:trPr>
        <w:tc>
          <w:tcPr>
            <w:tcW w:w="1420" w:type="dxa"/>
            <w:vAlign w:val="center"/>
          </w:tcPr>
          <w:p w:rsidR="00EB5F47" w:rsidRPr="004A6904" w:rsidP="008E6F06" w14:paraId="0E8B3182" w14:textId="047CD1B8">
            <w:pPr>
              <w:widowControl/>
              <w:suppressAutoHyphens/>
              <w:jc w:val="center"/>
            </w:pPr>
            <w:r w:rsidRPr="004A6904">
              <w:t xml:space="preserve">Annually </w:t>
            </w:r>
          </w:p>
        </w:tc>
        <w:tc>
          <w:tcPr>
            <w:tcW w:w="1465" w:type="dxa"/>
            <w:vAlign w:val="center"/>
          </w:tcPr>
          <w:p w:rsidR="00EB5F47" w:rsidRPr="004A6904" w:rsidP="008E6F06" w14:paraId="7C1163D1" w14:textId="4713EA96">
            <w:pPr>
              <w:widowControl/>
              <w:suppressAutoHyphens/>
              <w:jc w:val="center"/>
            </w:pPr>
            <w:r w:rsidRPr="004A6904">
              <w:t>1</w:t>
            </w:r>
          </w:p>
        </w:tc>
        <w:tc>
          <w:tcPr>
            <w:tcW w:w="1916" w:type="dxa"/>
            <w:vAlign w:val="center"/>
          </w:tcPr>
          <w:p w:rsidR="00EB5F47" w:rsidRPr="004A6904" w:rsidP="008E6F06" w14:paraId="422F3665" w14:textId="7A7E7FB3">
            <w:pPr>
              <w:widowControl/>
              <w:suppressAutoHyphens/>
              <w:jc w:val="center"/>
            </w:pPr>
            <w:r w:rsidRPr="004A6904">
              <w:t>$4.00</w:t>
            </w:r>
          </w:p>
        </w:tc>
        <w:tc>
          <w:tcPr>
            <w:tcW w:w="1513" w:type="dxa"/>
            <w:vAlign w:val="center"/>
          </w:tcPr>
          <w:p w:rsidR="00EB5F47" w:rsidRPr="004A6904" w:rsidP="008E6F06" w14:paraId="47B1FEE1" w14:textId="05EB5878">
            <w:pPr>
              <w:widowControl/>
              <w:suppressAutoHyphens/>
              <w:jc w:val="center"/>
            </w:pPr>
            <w:r w:rsidRPr="004A6904">
              <w:t>30</w:t>
            </w:r>
          </w:p>
        </w:tc>
        <w:tc>
          <w:tcPr>
            <w:tcW w:w="1318" w:type="dxa"/>
            <w:vAlign w:val="center"/>
          </w:tcPr>
          <w:p w:rsidR="00EB5F47" w:rsidRPr="004A6904" w:rsidP="008E6F06" w14:paraId="2846A911" w14:textId="1B5DB6DD">
            <w:pPr>
              <w:widowControl/>
              <w:suppressAutoHyphens/>
              <w:jc w:val="right"/>
            </w:pPr>
            <w:r w:rsidRPr="004A6904">
              <w:t>$120.00</w:t>
            </w:r>
          </w:p>
        </w:tc>
      </w:tr>
      <w:tr w14:paraId="4933CAB9" w14:textId="77777777" w:rsidTr="008E6F06">
        <w:tblPrEx>
          <w:tblW w:w="8640" w:type="dxa"/>
          <w:tblInd w:w="360" w:type="dxa"/>
          <w:tblLook w:val="04A0"/>
        </w:tblPrEx>
        <w:trPr>
          <w:trHeight w:val="432"/>
        </w:trPr>
        <w:tc>
          <w:tcPr>
            <w:tcW w:w="1420" w:type="dxa"/>
            <w:vAlign w:val="center"/>
          </w:tcPr>
          <w:p w:rsidR="00EB5F47" w:rsidRPr="004A6904" w:rsidP="008E6F06" w14:paraId="6079358E" w14:textId="4C85D0AE">
            <w:pPr>
              <w:widowControl/>
              <w:suppressAutoHyphens/>
              <w:jc w:val="center"/>
              <w:rPr>
                <w:b/>
                <w:bCs/>
              </w:rPr>
            </w:pPr>
            <w:r w:rsidRPr="004A6904">
              <w:rPr>
                <w:b/>
                <w:bCs/>
              </w:rPr>
              <w:t>TOTALS</w:t>
            </w:r>
          </w:p>
        </w:tc>
        <w:tc>
          <w:tcPr>
            <w:tcW w:w="1465" w:type="dxa"/>
            <w:vAlign w:val="center"/>
          </w:tcPr>
          <w:p w:rsidR="00EB5F47" w:rsidRPr="004A6904" w:rsidP="008E6F06" w14:paraId="507221B7" w14:textId="306A884C">
            <w:pPr>
              <w:widowControl/>
              <w:suppressAutoHyphens/>
              <w:jc w:val="center"/>
              <w:rPr>
                <w:b/>
                <w:bCs/>
              </w:rPr>
            </w:pPr>
          </w:p>
        </w:tc>
        <w:tc>
          <w:tcPr>
            <w:tcW w:w="1916" w:type="dxa"/>
            <w:vAlign w:val="center"/>
          </w:tcPr>
          <w:p w:rsidR="00EB5F47" w:rsidRPr="004A6904" w:rsidP="008E6F06" w14:paraId="45843AC7" w14:textId="17EFC0B1">
            <w:pPr>
              <w:widowControl/>
              <w:suppressAutoHyphens/>
              <w:jc w:val="center"/>
              <w:rPr>
                <w:b/>
                <w:bCs/>
              </w:rPr>
            </w:pPr>
            <w:r w:rsidRPr="004A6904">
              <w:rPr>
                <w:b/>
                <w:bCs/>
              </w:rPr>
              <w:t>$4.00</w:t>
            </w:r>
          </w:p>
        </w:tc>
        <w:tc>
          <w:tcPr>
            <w:tcW w:w="1513" w:type="dxa"/>
            <w:vAlign w:val="center"/>
          </w:tcPr>
          <w:p w:rsidR="00EB5F47" w:rsidRPr="004A6904" w:rsidP="008E6F06" w14:paraId="1A2D76B1" w14:textId="0DC3FD6D">
            <w:pPr>
              <w:widowControl/>
              <w:suppressAutoHyphens/>
              <w:jc w:val="center"/>
              <w:rPr>
                <w:b/>
                <w:bCs/>
              </w:rPr>
            </w:pPr>
            <w:r w:rsidRPr="004A6904">
              <w:rPr>
                <w:b/>
                <w:bCs/>
              </w:rPr>
              <w:t>415</w:t>
            </w:r>
          </w:p>
        </w:tc>
        <w:tc>
          <w:tcPr>
            <w:tcW w:w="1318" w:type="dxa"/>
            <w:vAlign w:val="center"/>
          </w:tcPr>
          <w:p w:rsidR="00EB5F47" w:rsidRPr="004A6904" w:rsidP="008E6F06" w14:paraId="7CCFC133" w14:textId="298B132F">
            <w:pPr>
              <w:widowControl/>
              <w:suppressAutoHyphens/>
              <w:jc w:val="right"/>
              <w:rPr>
                <w:b/>
                <w:bCs/>
              </w:rPr>
            </w:pPr>
            <w:r w:rsidRPr="004A6904">
              <w:rPr>
                <w:b/>
                <w:bCs/>
              </w:rPr>
              <w:t>$12,160.00</w:t>
            </w:r>
          </w:p>
        </w:tc>
      </w:tr>
    </w:tbl>
    <w:p w:rsidR="00CE3C8B" w:rsidRPr="004A6904" w:rsidP="00CE3C8B" w14:paraId="1752911C" w14:textId="77777777">
      <w:pPr>
        <w:widowControl/>
        <w:tabs>
          <w:tab w:val="left" w:pos="540"/>
        </w:tabs>
        <w:ind w:left="540" w:hanging="540"/>
        <w:rPr>
          <w:sz w:val="28"/>
          <w:szCs w:val="28"/>
        </w:rPr>
      </w:pPr>
    </w:p>
    <w:p w:rsidR="00CE3C8B" w:rsidRPr="004A6904" w:rsidP="00CE3C8B" w14:paraId="5595AAD9" w14:textId="77777777">
      <w:pPr>
        <w:widowControl/>
        <w:suppressAutoHyphens/>
        <w:ind w:left="480" w:hanging="480"/>
        <w:rPr>
          <w:i/>
          <w:sz w:val="22"/>
          <w:szCs w:val="22"/>
        </w:rPr>
      </w:pPr>
      <w:r w:rsidRPr="004A6904">
        <w:rPr>
          <w:i/>
          <w:sz w:val="22"/>
          <w:szCs w:val="22"/>
        </w:rPr>
        <w:t xml:space="preserve">14.  What is the annualized cost to the Federal Government? </w:t>
      </w:r>
    </w:p>
    <w:p w:rsidR="00CE3C8B" w:rsidRPr="004A6904" w:rsidP="00CE3C8B" w14:paraId="69C83234" w14:textId="77777777">
      <w:pPr>
        <w:widowControl/>
        <w:suppressAutoHyphens/>
        <w:ind w:left="480" w:hanging="480"/>
        <w:rPr>
          <w:sz w:val="22"/>
          <w:szCs w:val="22"/>
        </w:rPr>
      </w:pPr>
    </w:p>
    <w:p w:rsidR="00CE3C8B" w:rsidRPr="004A6904" w:rsidP="00CE3C8B" w14:paraId="403AD9E5" w14:textId="38680C30">
      <w:pPr>
        <w:ind w:left="360"/>
        <w:rPr>
          <w:sz w:val="22"/>
          <w:szCs w:val="22"/>
        </w:rPr>
      </w:pPr>
      <w:r w:rsidRPr="004A6904">
        <w:rPr>
          <w:sz w:val="22"/>
          <w:szCs w:val="22"/>
        </w:rPr>
        <w:t xml:space="preserve">As noted above, TTB currently estimates that </w:t>
      </w:r>
      <w:r w:rsidRPr="004A6904" w:rsidR="00DA1AF0">
        <w:rPr>
          <w:sz w:val="22"/>
          <w:szCs w:val="22"/>
        </w:rPr>
        <w:t xml:space="preserve">8,300 </w:t>
      </w:r>
      <w:r w:rsidRPr="004A6904">
        <w:rPr>
          <w:sz w:val="22"/>
          <w:szCs w:val="22"/>
        </w:rPr>
        <w:t>respondents</w:t>
      </w:r>
      <w:r w:rsidRPr="004A6904" w:rsidR="00DA1AF0">
        <w:rPr>
          <w:sz w:val="22"/>
          <w:szCs w:val="22"/>
        </w:rPr>
        <w:t xml:space="preserve"> will </w:t>
      </w:r>
      <w:r w:rsidRPr="004A6904" w:rsidR="004E5039">
        <w:rPr>
          <w:sz w:val="22"/>
          <w:szCs w:val="22"/>
        </w:rPr>
        <w:t>annually</w:t>
      </w:r>
      <w:r w:rsidRPr="004A6904" w:rsidR="00DA1AF0">
        <w:rPr>
          <w:sz w:val="22"/>
          <w:szCs w:val="22"/>
        </w:rPr>
        <w:t xml:space="preserve"> submit a total of </w:t>
      </w:r>
      <w:r w:rsidRPr="004A6904" w:rsidR="004E5039">
        <w:rPr>
          <w:sz w:val="22"/>
          <w:szCs w:val="22"/>
        </w:rPr>
        <w:t>60,800 responses to the combined beer excise tax return and operations report pilot test information collection.  TTB contractors and clerks (GS-</w:t>
      </w:r>
      <w:r w:rsidRPr="004A6904" w:rsidR="00B20708">
        <w:rPr>
          <w:sz w:val="22"/>
          <w:szCs w:val="22"/>
        </w:rPr>
        <w:t xml:space="preserve">4) process submitted forms, TTB specialists (GS-11) review the submitted tax return and operations report information, and TTB tax auditors (GS-12) review a select number of submissions.  </w:t>
      </w:r>
      <w:r w:rsidRPr="004A6904">
        <w:rPr>
          <w:sz w:val="22"/>
          <w:szCs w:val="22"/>
        </w:rPr>
        <w:t>As such,</w:t>
      </w:r>
      <w:r w:rsidRPr="004A6904" w:rsidR="00B20708">
        <w:rPr>
          <w:sz w:val="22"/>
          <w:szCs w:val="22"/>
        </w:rPr>
        <w:t xml:space="preserve"> the </w:t>
      </w:r>
      <w:r w:rsidRPr="004A6904">
        <w:rPr>
          <w:sz w:val="22"/>
          <w:szCs w:val="22"/>
        </w:rPr>
        <w:t xml:space="preserve">annual </w:t>
      </w:r>
      <w:r w:rsidRPr="004A6904">
        <w:rPr>
          <w:sz w:val="22"/>
          <w:szCs w:val="22"/>
        </w:rPr>
        <w:t xml:space="preserve">labor and overhead costs </w:t>
      </w:r>
      <w:r w:rsidRPr="004A6904" w:rsidR="00B20708">
        <w:rPr>
          <w:sz w:val="22"/>
          <w:szCs w:val="22"/>
        </w:rPr>
        <w:t xml:space="preserve">to the Federal government </w:t>
      </w:r>
      <w:r w:rsidRPr="004A6904">
        <w:rPr>
          <w:sz w:val="22"/>
          <w:szCs w:val="22"/>
        </w:rPr>
        <w:t xml:space="preserve">for processing this information collection </w:t>
      </w:r>
      <w:r w:rsidRPr="004A6904" w:rsidR="00B20708">
        <w:rPr>
          <w:sz w:val="22"/>
          <w:szCs w:val="22"/>
        </w:rPr>
        <w:t xml:space="preserve">are </w:t>
      </w:r>
      <w:r w:rsidRPr="004A6904">
        <w:rPr>
          <w:sz w:val="22"/>
          <w:szCs w:val="22"/>
        </w:rPr>
        <w:t xml:space="preserve">as follows: </w:t>
      </w:r>
    </w:p>
    <w:p w:rsidR="00CE3C8B" w:rsidRPr="004A6904" w:rsidP="00CE3C8B" w14:paraId="2CC5FA56" w14:textId="77777777">
      <w:pPr>
        <w:ind w:left="360"/>
        <w:rPr>
          <w:sz w:val="22"/>
          <w:szCs w:val="22"/>
        </w:rPr>
      </w:pPr>
    </w:p>
    <w:tbl>
      <w:tblPr>
        <w:tblStyle w:val="TableGrid11"/>
        <w:tblW w:w="8640" w:type="dxa"/>
        <w:jc w:val="center"/>
        <w:tblLayout w:type="fixed"/>
        <w:tblCellMar>
          <w:left w:w="144" w:type="dxa"/>
          <w:right w:w="144" w:type="dxa"/>
        </w:tblCellMar>
        <w:tblLook w:val="04A0"/>
      </w:tblPr>
      <w:tblGrid>
        <w:gridCol w:w="1795"/>
        <w:gridCol w:w="1260"/>
        <w:gridCol w:w="1440"/>
        <w:gridCol w:w="1260"/>
        <w:gridCol w:w="1260"/>
        <w:gridCol w:w="1625"/>
      </w:tblGrid>
      <w:tr w14:paraId="1C610B78" w14:textId="77777777" w:rsidTr="006C10F5">
        <w:tblPrEx>
          <w:tblW w:w="8640" w:type="dxa"/>
          <w:jc w:val="center"/>
          <w:tblLayout w:type="fixed"/>
          <w:tblCellMar>
            <w:left w:w="144" w:type="dxa"/>
            <w:right w:w="144" w:type="dxa"/>
          </w:tblCellMar>
          <w:tblLook w:val="04A0"/>
        </w:tblPrEx>
        <w:trPr>
          <w:trHeight w:val="576"/>
          <w:jc w:val="center"/>
        </w:trPr>
        <w:tc>
          <w:tcPr>
            <w:tcW w:w="8640" w:type="dxa"/>
            <w:gridSpan w:val="6"/>
            <w:vAlign w:val="center"/>
          </w:tcPr>
          <w:p w:rsidR="00CE3C8B" w:rsidRPr="004A6904" w:rsidP="006C10F5" w14:paraId="42218E68" w14:textId="77777777">
            <w:pPr>
              <w:suppressAutoHyphens/>
              <w:jc w:val="center"/>
              <w:rPr>
                <w:b/>
                <w:sz w:val="20"/>
                <w:szCs w:val="20"/>
              </w:rPr>
            </w:pPr>
            <w:r w:rsidRPr="004A6904">
              <w:rPr>
                <w:b/>
                <w:sz w:val="20"/>
                <w:szCs w:val="20"/>
              </w:rPr>
              <w:t>Costs for Personnel at TTB’s National Revenue Center in Cincinnati, Ohio</w:t>
            </w:r>
          </w:p>
        </w:tc>
      </w:tr>
      <w:tr w14:paraId="43E86473" w14:textId="77777777" w:rsidTr="006C10F5">
        <w:tblPrEx>
          <w:tblW w:w="8640" w:type="dxa"/>
          <w:jc w:val="center"/>
          <w:tblLayout w:type="fixed"/>
          <w:tblCellMar>
            <w:left w:w="144" w:type="dxa"/>
            <w:right w:w="144" w:type="dxa"/>
          </w:tblCellMar>
          <w:tblLook w:val="04A0"/>
        </w:tblPrEx>
        <w:trPr>
          <w:trHeight w:val="576"/>
          <w:jc w:val="center"/>
        </w:trPr>
        <w:tc>
          <w:tcPr>
            <w:tcW w:w="1795" w:type="dxa"/>
            <w:vAlign w:val="center"/>
          </w:tcPr>
          <w:p w:rsidR="00CE3C8B" w:rsidRPr="004A6904" w:rsidP="006C10F5" w14:paraId="5201AC58" w14:textId="77777777">
            <w:pPr>
              <w:suppressAutoHyphens/>
              <w:jc w:val="center"/>
              <w:rPr>
                <w:sz w:val="20"/>
                <w:szCs w:val="20"/>
              </w:rPr>
            </w:pPr>
            <w:r w:rsidRPr="004A6904">
              <w:rPr>
                <w:sz w:val="20"/>
                <w:szCs w:val="20"/>
              </w:rPr>
              <w:t xml:space="preserve">Position </w:t>
            </w:r>
          </w:p>
        </w:tc>
        <w:tc>
          <w:tcPr>
            <w:tcW w:w="1260" w:type="dxa"/>
            <w:tcMar>
              <w:left w:w="29" w:type="dxa"/>
              <w:right w:w="29" w:type="dxa"/>
            </w:tcMar>
            <w:vAlign w:val="center"/>
          </w:tcPr>
          <w:p w:rsidR="00CE3C8B" w:rsidRPr="004A6904" w:rsidP="006C10F5" w14:paraId="253D9D30" w14:textId="77777777">
            <w:pPr>
              <w:suppressAutoHyphens/>
              <w:jc w:val="center"/>
              <w:rPr>
                <w:sz w:val="20"/>
                <w:szCs w:val="20"/>
              </w:rPr>
            </w:pPr>
            <w:r w:rsidRPr="004A6904">
              <w:rPr>
                <w:sz w:val="20"/>
                <w:szCs w:val="20"/>
              </w:rPr>
              <w:t>Fully-loaded Labor Rate/Hour</w:t>
            </w:r>
            <w:r>
              <w:rPr>
                <w:sz w:val="20"/>
                <w:szCs w:val="20"/>
                <w:vertAlign w:val="superscript"/>
              </w:rPr>
              <w:footnoteReference w:id="5"/>
            </w:r>
          </w:p>
        </w:tc>
        <w:tc>
          <w:tcPr>
            <w:tcW w:w="1440" w:type="dxa"/>
            <w:tcMar>
              <w:left w:w="29" w:type="dxa"/>
              <w:right w:w="29" w:type="dxa"/>
            </w:tcMar>
            <w:vAlign w:val="center"/>
          </w:tcPr>
          <w:p w:rsidR="00CE3C8B" w:rsidRPr="004A6904" w:rsidP="006C10F5" w14:paraId="47C3FF85" w14:textId="77777777">
            <w:pPr>
              <w:suppressAutoHyphens/>
              <w:jc w:val="center"/>
              <w:rPr>
                <w:sz w:val="20"/>
                <w:szCs w:val="20"/>
              </w:rPr>
            </w:pPr>
            <w:r w:rsidRPr="004A6904">
              <w:rPr>
                <w:sz w:val="20"/>
                <w:szCs w:val="20"/>
              </w:rPr>
              <w:t xml:space="preserve">Processing Time per </w:t>
            </w:r>
            <w:r w:rsidRPr="004A6904">
              <w:rPr>
                <w:sz w:val="20"/>
                <w:szCs w:val="20"/>
              </w:rPr>
              <w:t>Response</w:t>
            </w:r>
          </w:p>
        </w:tc>
        <w:tc>
          <w:tcPr>
            <w:tcW w:w="1260" w:type="dxa"/>
            <w:tcMar>
              <w:left w:w="29" w:type="dxa"/>
              <w:right w:w="29" w:type="dxa"/>
            </w:tcMar>
            <w:vAlign w:val="center"/>
          </w:tcPr>
          <w:p w:rsidR="00CE3C8B" w:rsidRPr="004A6904" w:rsidP="006C10F5" w14:paraId="452E7D4A" w14:textId="77777777">
            <w:pPr>
              <w:suppressAutoHyphens/>
              <w:jc w:val="center"/>
              <w:rPr>
                <w:sz w:val="20"/>
                <w:szCs w:val="20"/>
              </w:rPr>
            </w:pPr>
            <w:r w:rsidRPr="004A6904">
              <w:rPr>
                <w:sz w:val="20"/>
                <w:szCs w:val="20"/>
              </w:rPr>
              <w:t>Costs per Response*</w:t>
            </w:r>
          </w:p>
        </w:tc>
        <w:tc>
          <w:tcPr>
            <w:tcW w:w="1260" w:type="dxa"/>
            <w:tcMar>
              <w:left w:w="29" w:type="dxa"/>
              <w:right w:w="29" w:type="dxa"/>
            </w:tcMar>
            <w:vAlign w:val="center"/>
          </w:tcPr>
          <w:p w:rsidR="00CE3C8B" w:rsidRPr="004A6904" w:rsidP="006C10F5" w14:paraId="23894FE9" w14:textId="20597368">
            <w:pPr>
              <w:suppressAutoHyphens/>
              <w:jc w:val="center"/>
              <w:rPr>
                <w:sz w:val="20"/>
                <w:szCs w:val="20"/>
              </w:rPr>
            </w:pPr>
            <w:r w:rsidRPr="004A6904">
              <w:rPr>
                <w:sz w:val="20"/>
                <w:szCs w:val="20"/>
              </w:rPr>
              <w:t>Total Responses</w:t>
            </w:r>
            <w:r w:rsidRPr="004A6904" w:rsidR="0093528A">
              <w:rPr>
                <w:sz w:val="20"/>
                <w:szCs w:val="20"/>
              </w:rPr>
              <w:t xml:space="preserve"> Processed or Reviewed </w:t>
            </w:r>
          </w:p>
        </w:tc>
        <w:tc>
          <w:tcPr>
            <w:tcW w:w="1625" w:type="dxa"/>
            <w:tcMar>
              <w:left w:w="29" w:type="dxa"/>
              <w:right w:w="29" w:type="dxa"/>
            </w:tcMar>
            <w:vAlign w:val="center"/>
          </w:tcPr>
          <w:p w:rsidR="00CE3C8B" w:rsidRPr="004A6904" w:rsidP="006C10F5" w14:paraId="65CB50D2" w14:textId="77777777">
            <w:pPr>
              <w:suppressAutoHyphens/>
              <w:jc w:val="center"/>
              <w:rPr>
                <w:sz w:val="20"/>
                <w:szCs w:val="20"/>
              </w:rPr>
            </w:pPr>
            <w:r w:rsidRPr="004A6904">
              <w:rPr>
                <w:sz w:val="20"/>
                <w:szCs w:val="20"/>
              </w:rPr>
              <w:t>Total Costs</w:t>
            </w:r>
          </w:p>
        </w:tc>
      </w:tr>
      <w:tr w14:paraId="4C55FE48" w14:textId="77777777" w:rsidTr="006C10F5">
        <w:tblPrEx>
          <w:tblW w:w="8640" w:type="dxa"/>
          <w:jc w:val="center"/>
          <w:tblLayout w:type="fixed"/>
          <w:tblCellMar>
            <w:left w:w="144" w:type="dxa"/>
            <w:right w:w="144" w:type="dxa"/>
          </w:tblCellMar>
          <w:tblLook w:val="04A0"/>
        </w:tblPrEx>
        <w:trPr>
          <w:trHeight w:val="576"/>
          <w:jc w:val="center"/>
        </w:trPr>
        <w:tc>
          <w:tcPr>
            <w:tcW w:w="1795" w:type="dxa"/>
            <w:vAlign w:val="center"/>
          </w:tcPr>
          <w:p w:rsidR="00CE3C8B" w:rsidRPr="004A6904" w:rsidP="006C10F5" w14:paraId="456279A7" w14:textId="77777777">
            <w:pPr>
              <w:suppressAutoHyphens/>
              <w:jc w:val="center"/>
              <w:rPr>
                <w:sz w:val="20"/>
                <w:szCs w:val="20"/>
              </w:rPr>
            </w:pPr>
            <w:r w:rsidRPr="004A6904">
              <w:rPr>
                <w:sz w:val="20"/>
                <w:szCs w:val="20"/>
              </w:rPr>
              <w:t xml:space="preserve">GS–5, Step 5, </w:t>
            </w:r>
          </w:p>
          <w:p w:rsidR="00CE3C8B" w:rsidRPr="004A6904" w:rsidP="006C10F5" w14:paraId="6DE1C864" w14:textId="77777777">
            <w:pPr>
              <w:suppressAutoHyphens/>
              <w:jc w:val="center"/>
              <w:rPr>
                <w:sz w:val="20"/>
                <w:szCs w:val="20"/>
              </w:rPr>
            </w:pPr>
            <w:r w:rsidRPr="004A6904">
              <w:rPr>
                <w:sz w:val="20"/>
                <w:szCs w:val="20"/>
              </w:rPr>
              <w:t xml:space="preserve">Clerk </w:t>
            </w:r>
          </w:p>
        </w:tc>
        <w:tc>
          <w:tcPr>
            <w:tcW w:w="1260" w:type="dxa"/>
            <w:tcMar>
              <w:left w:w="29" w:type="dxa"/>
              <w:right w:w="29" w:type="dxa"/>
            </w:tcMar>
            <w:vAlign w:val="center"/>
          </w:tcPr>
          <w:p w:rsidR="00CE3C8B" w:rsidRPr="004A6904" w:rsidP="006C10F5" w14:paraId="09D1A489" w14:textId="64703C50">
            <w:pPr>
              <w:suppressAutoHyphens/>
              <w:jc w:val="center"/>
              <w:rPr>
                <w:sz w:val="20"/>
                <w:szCs w:val="20"/>
              </w:rPr>
            </w:pPr>
            <w:r w:rsidRPr="004A6904">
              <w:rPr>
                <w:sz w:val="20"/>
                <w:szCs w:val="20"/>
              </w:rPr>
              <w:t>$34.75</w:t>
            </w:r>
          </w:p>
        </w:tc>
        <w:tc>
          <w:tcPr>
            <w:tcW w:w="1440" w:type="dxa"/>
            <w:tcMar>
              <w:left w:w="29" w:type="dxa"/>
              <w:right w:w="29" w:type="dxa"/>
            </w:tcMar>
            <w:vAlign w:val="center"/>
          </w:tcPr>
          <w:p w:rsidR="00CE3C8B" w:rsidRPr="004A6904" w:rsidP="006C10F5" w14:paraId="4AA1C727" w14:textId="607C601D">
            <w:pPr>
              <w:suppressAutoHyphens/>
              <w:jc w:val="center"/>
              <w:rPr>
                <w:sz w:val="20"/>
                <w:szCs w:val="20"/>
              </w:rPr>
            </w:pPr>
            <w:r w:rsidRPr="004A6904">
              <w:rPr>
                <w:sz w:val="20"/>
                <w:szCs w:val="20"/>
              </w:rPr>
              <w:t>10 minutes</w:t>
            </w:r>
          </w:p>
        </w:tc>
        <w:tc>
          <w:tcPr>
            <w:tcW w:w="1260" w:type="dxa"/>
            <w:tcMar>
              <w:left w:w="29" w:type="dxa"/>
              <w:right w:w="29" w:type="dxa"/>
            </w:tcMar>
            <w:vAlign w:val="center"/>
          </w:tcPr>
          <w:p w:rsidR="00CE3C8B" w:rsidRPr="004A6904" w:rsidP="006C10F5" w14:paraId="3B620387" w14:textId="0AE431C0">
            <w:pPr>
              <w:suppressAutoHyphens/>
              <w:jc w:val="center"/>
              <w:rPr>
                <w:sz w:val="20"/>
                <w:szCs w:val="20"/>
              </w:rPr>
            </w:pPr>
            <w:r w:rsidRPr="004A6904">
              <w:rPr>
                <w:sz w:val="20"/>
                <w:szCs w:val="20"/>
              </w:rPr>
              <w:t>$5.79</w:t>
            </w:r>
          </w:p>
        </w:tc>
        <w:tc>
          <w:tcPr>
            <w:tcW w:w="1260" w:type="dxa"/>
            <w:tcMar>
              <w:left w:w="29" w:type="dxa"/>
              <w:right w:w="29" w:type="dxa"/>
            </w:tcMar>
            <w:vAlign w:val="center"/>
          </w:tcPr>
          <w:p w:rsidR="00CE3C8B" w:rsidRPr="004A6904" w:rsidP="006C10F5" w14:paraId="3A2E1C26" w14:textId="13F6CF33">
            <w:pPr>
              <w:suppressAutoHyphens/>
              <w:jc w:val="center"/>
              <w:rPr>
                <w:sz w:val="20"/>
                <w:szCs w:val="20"/>
              </w:rPr>
            </w:pPr>
            <w:r w:rsidRPr="004A6904">
              <w:rPr>
                <w:sz w:val="20"/>
                <w:szCs w:val="20"/>
              </w:rPr>
              <w:t>60,800</w:t>
            </w:r>
          </w:p>
        </w:tc>
        <w:tc>
          <w:tcPr>
            <w:tcW w:w="1625" w:type="dxa"/>
            <w:tcMar>
              <w:left w:w="29" w:type="dxa"/>
              <w:right w:w="29" w:type="dxa"/>
            </w:tcMar>
            <w:vAlign w:val="center"/>
          </w:tcPr>
          <w:p w:rsidR="00CE3C8B" w:rsidRPr="004A6904" w:rsidP="006C10F5" w14:paraId="15FAA9EF" w14:textId="33B72E30">
            <w:pPr>
              <w:suppressAutoHyphens/>
              <w:jc w:val="center"/>
              <w:rPr>
                <w:sz w:val="20"/>
                <w:szCs w:val="20"/>
              </w:rPr>
            </w:pPr>
            <w:r w:rsidRPr="004A6904">
              <w:rPr>
                <w:sz w:val="20"/>
                <w:szCs w:val="20"/>
              </w:rPr>
              <w:t>$352,032.00</w:t>
            </w:r>
          </w:p>
        </w:tc>
      </w:tr>
      <w:tr w14:paraId="22E6A03C" w14:textId="77777777" w:rsidTr="006C10F5">
        <w:tblPrEx>
          <w:tblW w:w="8640" w:type="dxa"/>
          <w:jc w:val="center"/>
          <w:tblLayout w:type="fixed"/>
          <w:tblCellMar>
            <w:left w:w="144" w:type="dxa"/>
            <w:right w:w="144" w:type="dxa"/>
          </w:tblCellMar>
          <w:tblLook w:val="04A0"/>
        </w:tblPrEx>
        <w:trPr>
          <w:trHeight w:val="576"/>
          <w:jc w:val="center"/>
        </w:trPr>
        <w:tc>
          <w:tcPr>
            <w:tcW w:w="1795" w:type="dxa"/>
            <w:tcBorders>
              <w:top w:val="single" w:sz="4" w:space="0" w:color="auto"/>
            </w:tcBorders>
            <w:vAlign w:val="center"/>
          </w:tcPr>
          <w:p w:rsidR="00CE3C8B" w:rsidRPr="004A6904" w:rsidP="006C10F5" w14:paraId="1A08DC70" w14:textId="77777777">
            <w:pPr>
              <w:suppressAutoHyphens/>
              <w:jc w:val="center"/>
              <w:rPr>
                <w:sz w:val="20"/>
                <w:szCs w:val="20"/>
              </w:rPr>
            </w:pPr>
            <w:r w:rsidRPr="004A6904">
              <w:rPr>
                <w:sz w:val="20"/>
                <w:szCs w:val="20"/>
              </w:rPr>
              <w:t>GS-11, Step 5, Specialist</w:t>
            </w:r>
          </w:p>
        </w:tc>
        <w:tc>
          <w:tcPr>
            <w:tcW w:w="1260" w:type="dxa"/>
            <w:tcBorders>
              <w:top w:val="single" w:sz="4" w:space="0" w:color="auto"/>
              <w:bottom w:val="single" w:sz="4" w:space="0" w:color="auto"/>
            </w:tcBorders>
            <w:tcMar>
              <w:left w:w="29" w:type="dxa"/>
              <w:right w:w="29" w:type="dxa"/>
            </w:tcMar>
            <w:vAlign w:val="center"/>
          </w:tcPr>
          <w:p w:rsidR="00CE3C8B" w:rsidRPr="004A6904" w:rsidP="006C10F5" w14:paraId="60FD64B7" w14:textId="5114B347">
            <w:pPr>
              <w:suppressAutoHyphens/>
              <w:jc w:val="center"/>
              <w:rPr>
                <w:sz w:val="20"/>
                <w:szCs w:val="20"/>
              </w:rPr>
            </w:pPr>
            <w:r w:rsidRPr="004A6904">
              <w:rPr>
                <w:sz w:val="20"/>
                <w:szCs w:val="20"/>
              </w:rPr>
              <w:t>$67.72</w:t>
            </w:r>
          </w:p>
        </w:tc>
        <w:tc>
          <w:tcPr>
            <w:tcW w:w="1440" w:type="dxa"/>
            <w:tcBorders>
              <w:top w:val="single" w:sz="4" w:space="0" w:color="auto"/>
            </w:tcBorders>
            <w:tcMar>
              <w:left w:w="29" w:type="dxa"/>
              <w:right w:w="29" w:type="dxa"/>
            </w:tcMar>
            <w:vAlign w:val="center"/>
          </w:tcPr>
          <w:p w:rsidR="00CE3C8B" w:rsidRPr="004A6904" w:rsidP="006C10F5" w14:paraId="740DAAE0" w14:textId="3694AE83">
            <w:pPr>
              <w:suppressAutoHyphens/>
              <w:jc w:val="center"/>
              <w:rPr>
                <w:sz w:val="20"/>
                <w:szCs w:val="20"/>
              </w:rPr>
            </w:pPr>
            <w:r w:rsidRPr="004A6904">
              <w:rPr>
                <w:sz w:val="20"/>
                <w:szCs w:val="20"/>
              </w:rPr>
              <w:t>20 minutes</w:t>
            </w:r>
          </w:p>
        </w:tc>
        <w:tc>
          <w:tcPr>
            <w:tcW w:w="1260" w:type="dxa"/>
            <w:tcBorders>
              <w:top w:val="single" w:sz="4" w:space="0" w:color="auto"/>
            </w:tcBorders>
            <w:tcMar>
              <w:left w:w="29" w:type="dxa"/>
              <w:right w:w="29" w:type="dxa"/>
            </w:tcMar>
            <w:vAlign w:val="center"/>
          </w:tcPr>
          <w:p w:rsidR="00CE3C8B" w:rsidRPr="004A6904" w:rsidP="006C10F5" w14:paraId="4B6150E1" w14:textId="46A6D215">
            <w:pPr>
              <w:suppressAutoHyphens/>
              <w:jc w:val="center"/>
              <w:rPr>
                <w:sz w:val="20"/>
                <w:szCs w:val="20"/>
              </w:rPr>
            </w:pPr>
            <w:r w:rsidRPr="004A6904">
              <w:rPr>
                <w:sz w:val="20"/>
                <w:szCs w:val="20"/>
              </w:rPr>
              <w:t>$22.57</w:t>
            </w:r>
          </w:p>
        </w:tc>
        <w:tc>
          <w:tcPr>
            <w:tcW w:w="1260" w:type="dxa"/>
            <w:tcMar>
              <w:left w:w="29" w:type="dxa"/>
              <w:right w:w="29" w:type="dxa"/>
            </w:tcMar>
            <w:vAlign w:val="center"/>
          </w:tcPr>
          <w:p w:rsidR="00CE3C8B" w:rsidRPr="004A6904" w:rsidP="006C10F5" w14:paraId="6F68AB2A" w14:textId="0E57F886">
            <w:pPr>
              <w:suppressAutoHyphens/>
              <w:jc w:val="center"/>
              <w:rPr>
                <w:sz w:val="20"/>
                <w:szCs w:val="20"/>
              </w:rPr>
            </w:pPr>
            <w:r w:rsidRPr="004A6904">
              <w:rPr>
                <w:sz w:val="20"/>
                <w:szCs w:val="20"/>
              </w:rPr>
              <w:t>60,800</w:t>
            </w:r>
          </w:p>
        </w:tc>
        <w:tc>
          <w:tcPr>
            <w:tcW w:w="1625" w:type="dxa"/>
            <w:tcBorders>
              <w:top w:val="single" w:sz="4" w:space="0" w:color="auto"/>
            </w:tcBorders>
            <w:tcMar>
              <w:left w:w="29" w:type="dxa"/>
              <w:right w:w="29" w:type="dxa"/>
            </w:tcMar>
            <w:vAlign w:val="center"/>
          </w:tcPr>
          <w:p w:rsidR="00CE3C8B" w:rsidRPr="004A6904" w:rsidP="006C10F5" w14:paraId="1D7B6BE3" w14:textId="3AFCCD8A">
            <w:pPr>
              <w:suppressAutoHyphens/>
              <w:jc w:val="center"/>
              <w:rPr>
                <w:sz w:val="20"/>
                <w:szCs w:val="20"/>
              </w:rPr>
            </w:pPr>
            <w:r w:rsidRPr="004A6904">
              <w:rPr>
                <w:sz w:val="20"/>
                <w:szCs w:val="20"/>
              </w:rPr>
              <w:t>$1,372,256.00</w:t>
            </w:r>
          </w:p>
        </w:tc>
      </w:tr>
      <w:tr w14:paraId="0CE80391" w14:textId="77777777" w:rsidTr="006C10F5">
        <w:tblPrEx>
          <w:tblW w:w="8640" w:type="dxa"/>
          <w:jc w:val="center"/>
          <w:tblLayout w:type="fixed"/>
          <w:tblCellMar>
            <w:left w:w="144" w:type="dxa"/>
            <w:right w:w="144" w:type="dxa"/>
          </w:tblCellMar>
          <w:tblLook w:val="04A0"/>
        </w:tblPrEx>
        <w:trPr>
          <w:trHeight w:val="576"/>
          <w:jc w:val="center"/>
        </w:trPr>
        <w:tc>
          <w:tcPr>
            <w:tcW w:w="1795" w:type="dxa"/>
            <w:tcBorders>
              <w:top w:val="single" w:sz="4" w:space="0" w:color="auto"/>
            </w:tcBorders>
            <w:vAlign w:val="center"/>
          </w:tcPr>
          <w:p w:rsidR="004E5039" w:rsidRPr="004A6904" w:rsidP="006C10F5" w14:paraId="37D741C2" w14:textId="51A874D8">
            <w:pPr>
              <w:suppressAutoHyphens/>
              <w:jc w:val="center"/>
              <w:rPr>
                <w:sz w:val="20"/>
                <w:szCs w:val="20"/>
              </w:rPr>
            </w:pPr>
            <w:r w:rsidRPr="004A6904">
              <w:rPr>
                <w:sz w:val="20"/>
                <w:szCs w:val="20"/>
              </w:rPr>
              <w:t>GS-12, Step 5, Tax Auditor</w:t>
            </w:r>
          </w:p>
        </w:tc>
        <w:tc>
          <w:tcPr>
            <w:tcW w:w="1260" w:type="dxa"/>
            <w:tcBorders>
              <w:top w:val="single" w:sz="4" w:space="0" w:color="auto"/>
              <w:bottom w:val="single" w:sz="4" w:space="0" w:color="auto"/>
            </w:tcBorders>
            <w:tcMar>
              <w:left w:w="29" w:type="dxa"/>
              <w:right w:w="29" w:type="dxa"/>
            </w:tcMar>
            <w:vAlign w:val="center"/>
          </w:tcPr>
          <w:p w:rsidR="004E5039" w:rsidRPr="004A6904" w:rsidP="006C10F5" w14:paraId="58028711" w14:textId="4F84A391">
            <w:pPr>
              <w:suppressAutoHyphens/>
              <w:jc w:val="center"/>
              <w:rPr>
                <w:sz w:val="20"/>
                <w:szCs w:val="20"/>
              </w:rPr>
            </w:pPr>
            <w:r w:rsidRPr="004A6904">
              <w:rPr>
                <w:sz w:val="20"/>
                <w:szCs w:val="20"/>
              </w:rPr>
              <w:t>$76.37</w:t>
            </w:r>
          </w:p>
        </w:tc>
        <w:tc>
          <w:tcPr>
            <w:tcW w:w="1440" w:type="dxa"/>
            <w:tcBorders>
              <w:top w:val="single" w:sz="4" w:space="0" w:color="auto"/>
            </w:tcBorders>
            <w:tcMar>
              <w:left w:w="29" w:type="dxa"/>
              <w:right w:w="29" w:type="dxa"/>
            </w:tcMar>
            <w:vAlign w:val="center"/>
          </w:tcPr>
          <w:p w:rsidR="004E5039" w:rsidRPr="004A6904" w:rsidP="006C10F5" w14:paraId="74047DF9" w14:textId="66305485">
            <w:pPr>
              <w:suppressAutoHyphens/>
              <w:jc w:val="center"/>
              <w:rPr>
                <w:sz w:val="20"/>
                <w:szCs w:val="20"/>
              </w:rPr>
            </w:pPr>
            <w:r w:rsidRPr="004A6904">
              <w:rPr>
                <w:sz w:val="20"/>
                <w:szCs w:val="20"/>
              </w:rPr>
              <w:t>2 hours</w:t>
            </w:r>
          </w:p>
        </w:tc>
        <w:tc>
          <w:tcPr>
            <w:tcW w:w="1260" w:type="dxa"/>
            <w:tcBorders>
              <w:top w:val="single" w:sz="4" w:space="0" w:color="auto"/>
            </w:tcBorders>
            <w:tcMar>
              <w:left w:w="29" w:type="dxa"/>
              <w:right w:w="29" w:type="dxa"/>
            </w:tcMar>
            <w:vAlign w:val="center"/>
          </w:tcPr>
          <w:p w:rsidR="004E5039" w:rsidRPr="004A6904" w:rsidP="006C10F5" w14:paraId="6B61C1C0" w14:textId="6CC2C1AB">
            <w:pPr>
              <w:suppressAutoHyphens/>
              <w:jc w:val="center"/>
              <w:rPr>
                <w:sz w:val="20"/>
                <w:szCs w:val="20"/>
              </w:rPr>
            </w:pPr>
            <w:r w:rsidRPr="004A6904">
              <w:rPr>
                <w:sz w:val="20"/>
                <w:szCs w:val="20"/>
              </w:rPr>
              <w:t>$152.74</w:t>
            </w:r>
          </w:p>
        </w:tc>
        <w:tc>
          <w:tcPr>
            <w:tcW w:w="1260" w:type="dxa"/>
            <w:tcMar>
              <w:left w:w="29" w:type="dxa"/>
              <w:right w:w="29" w:type="dxa"/>
            </w:tcMar>
            <w:vAlign w:val="center"/>
          </w:tcPr>
          <w:p w:rsidR="004E5039" w:rsidRPr="004A6904" w:rsidP="006C10F5" w14:paraId="2052CC2D" w14:textId="1FBF5C21">
            <w:pPr>
              <w:suppressAutoHyphens/>
              <w:jc w:val="center"/>
              <w:rPr>
                <w:sz w:val="20"/>
                <w:szCs w:val="20"/>
              </w:rPr>
            </w:pPr>
            <w:r w:rsidRPr="004A6904">
              <w:rPr>
                <w:sz w:val="20"/>
                <w:szCs w:val="20"/>
              </w:rPr>
              <w:t>3,040</w:t>
            </w:r>
          </w:p>
        </w:tc>
        <w:tc>
          <w:tcPr>
            <w:tcW w:w="1625" w:type="dxa"/>
            <w:tcBorders>
              <w:top w:val="single" w:sz="4" w:space="0" w:color="auto"/>
            </w:tcBorders>
            <w:tcMar>
              <w:left w:w="29" w:type="dxa"/>
              <w:right w:w="29" w:type="dxa"/>
            </w:tcMar>
            <w:vAlign w:val="center"/>
          </w:tcPr>
          <w:p w:rsidR="004E5039" w:rsidRPr="004A6904" w:rsidP="006C10F5" w14:paraId="236FA3B4" w14:textId="5B6E0164">
            <w:pPr>
              <w:suppressAutoHyphens/>
              <w:jc w:val="center"/>
              <w:rPr>
                <w:sz w:val="20"/>
                <w:szCs w:val="20"/>
              </w:rPr>
            </w:pPr>
            <w:r w:rsidRPr="004A6904">
              <w:rPr>
                <w:sz w:val="20"/>
                <w:szCs w:val="20"/>
              </w:rPr>
              <w:t>$464,329.60</w:t>
            </w:r>
          </w:p>
        </w:tc>
      </w:tr>
      <w:tr w14:paraId="3ACD1A88" w14:textId="77777777" w:rsidTr="006C10F5">
        <w:tblPrEx>
          <w:tblW w:w="8640" w:type="dxa"/>
          <w:jc w:val="center"/>
          <w:tblLayout w:type="fixed"/>
          <w:tblCellMar>
            <w:left w:w="144" w:type="dxa"/>
            <w:right w:w="144" w:type="dxa"/>
          </w:tblCellMar>
          <w:tblLook w:val="04A0"/>
        </w:tblPrEx>
        <w:trPr>
          <w:trHeight w:val="576"/>
          <w:jc w:val="center"/>
        </w:trPr>
        <w:tc>
          <w:tcPr>
            <w:tcW w:w="1795" w:type="dxa"/>
            <w:vAlign w:val="center"/>
          </w:tcPr>
          <w:p w:rsidR="00CE3C8B" w:rsidRPr="004A6904" w:rsidP="006C10F5" w14:paraId="049DDD31" w14:textId="161FF0A9">
            <w:pPr>
              <w:suppressAutoHyphens/>
              <w:jc w:val="center"/>
              <w:rPr>
                <w:i/>
                <w:iCs/>
                <w:sz w:val="20"/>
                <w:szCs w:val="20"/>
              </w:rPr>
            </w:pPr>
            <w:r w:rsidRPr="004A6904">
              <w:rPr>
                <w:rFonts w:eastAsia="Calibri"/>
                <w:i/>
                <w:iCs/>
                <w:sz w:val="20"/>
                <w:szCs w:val="20"/>
              </w:rPr>
              <w:t xml:space="preserve">Labor Totals </w:t>
            </w:r>
          </w:p>
        </w:tc>
        <w:tc>
          <w:tcPr>
            <w:tcW w:w="1260" w:type="dxa"/>
            <w:vAlign w:val="center"/>
          </w:tcPr>
          <w:p w:rsidR="00CE3C8B" w:rsidRPr="004A6904" w:rsidP="006C10F5" w14:paraId="373B478A" w14:textId="77777777">
            <w:pPr>
              <w:suppressAutoHyphens/>
              <w:jc w:val="center"/>
              <w:rPr>
                <w:i/>
                <w:iCs/>
                <w:sz w:val="20"/>
                <w:szCs w:val="20"/>
              </w:rPr>
            </w:pPr>
          </w:p>
        </w:tc>
        <w:tc>
          <w:tcPr>
            <w:tcW w:w="1440" w:type="dxa"/>
            <w:vAlign w:val="center"/>
          </w:tcPr>
          <w:p w:rsidR="00CE3C8B" w:rsidRPr="004A6904" w:rsidP="006C10F5" w14:paraId="78344F72" w14:textId="77777777">
            <w:pPr>
              <w:suppressAutoHyphens/>
              <w:jc w:val="center"/>
              <w:rPr>
                <w:i/>
                <w:iCs/>
                <w:sz w:val="20"/>
                <w:szCs w:val="20"/>
              </w:rPr>
            </w:pPr>
          </w:p>
        </w:tc>
        <w:tc>
          <w:tcPr>
            <w:tcW w:w="1260" w:type="dxa"/>
            <w:tcMar>
              <w:left w:w="29" w:type="dxa"/>
              <w:right w:w="29" w:type="dxa"/>
            </w:tcMar>
            <w:vAlign w:val="center"/>
          </w:tcPr>
          <w:p w:rsidR="00CE3C8B" w:rsidRPr="004A6904" w:rsidP="006C10F5" w14:paraId="09D8D236" w14:textId="3D3B34ED">
            <w:pPr>
              <w:suppressAutoHyphens/>
              <w:jc w:val="center"/>
              <w:rPr>
                <w:i/>
                <w:iCs/>
                <w:sz w:val="20"/>
                <w:szCs w:val="20"/>
              </w:rPr>
            </w:pPr>
            <w:r w:rsidRPr="004A6904">
              <w:rPr>
                <w:i/>
                <w:iCs/>
                <w:sz w:val="20"/>
                <w:szCs w:val="20"/>
              </w:rPr>
              <w:t>($35.997)</w:t>
            </w:r>
          </w:p>
        </w:tc>
        <w:tc>
          <w:tcPr>
            <w:tcW w:w="1260" w:type="dxa"/>
            <w:tcMar>
              <w:left w:w="29" w:type="dxa"/>
              <w:right w:w="29" w:type="dxa"/>
            </w:tcMar>
            <w:vAlign w:val="center"/>
          </w:tcPr>
          <w:p w:rsidR="00CE3C8B" w:rsidRPr="004A6904" w:rsidP="006C10F5" w14:paraId="5E051697" w14:textId="40C9BAC1">
            <w:pPr>
              <w:suppressAutoHyphens/>
              <w:jc w:val="center"/>
              <w:rPr>
                <w:i/>
                <w:iCs/>
                <w:sz w:val="20"/>
                <w:szCs w:val="20"/>
              </w:rPr>
            </w:pPr>
            <w:r w:rsidRPr="004A6904">
              <w:rPr>
                <w:i/>
                <w:iCs/>
                <w:sz w:val="20"/>
                <w:szCs w:val="20"/>
              </w:rPr>
              <w:t>60,800</w:t>
            </w:r>
          </w:p>
        </w:tc>
        <w:tc>
          <w:tcPr>
            <w:tcW w:w="1625" w:type="dxa"/>
            <w:tcMar>
              <w:left w:w="29" w:type="dxa"/>
              <w:right w:w="29" w:type="dxa"/>
            </w:tcMar>
            <w:vAlign w:val="center"/>
          </w:tcPr>
          <w:p w:rsidR="00CE3C8B" w:rsidRPr="004A6904" w:rsidP="006C10F5" w14:paraId="044088CF" w14:textId="236A46BC">
            <w:pPr>
              <w:suppressAutoHyphens/>
              <w:jc w:val="center"/>
              <w:rPr>
                <w:i/>
                <w:iCs/>
                <w:sz w:val="20"/>
                <w:szCs w:val="20"/>
              </w:rPr>
            </w:pPr>
            <w:r w:rsidRPr="004A6904">
              <w:rPr>
                <w:i/>
                <w:iCs/>
                <w:sz w:val="20"/>
                <w:szCs w:val="20"/>
              </w:rPr>
              <w:t>$2,188,617.60</w:t>
            </w:r>
          </w:p>
        </w:tc>
      </w:tr>
      <w:tr w14:paraId="7A53DAE6" w14:textId="77777777" w:rsidTr="006C10F5">
        <w:tblPrEx>
          <w:tblW w:w="8640" w:type="dxa"/>
          <w:jc w:val="center"/>
          <w:tblLayout w:type="fixed"/>
          <w:tblCellMar>
            <w:left w:w="144" w:type="dxa"/>
            <w:right w:w="144" w:type="dxa"/>
          </w:tblCellMar>
          <w:tblLook w:val="04A0"/>
        </w:tblPrEx>
        <w:trPr>
          <w:trHeight w:val="576"/>
          <w:jc w:val="center"/>
        </w:trPr>
        <w:tc>
          <w:tcPr>
            <w:tcW w:w="1795" w:type="dxa"/>
            <w:vAlign w:val="center"/>
          </w:tcPr>
          <w:p w:rsidR="00CE3C8B" w:rsidRPr="004A6904" w:rsidP="006C10F5" w14:paraId="697FA91F" w14:textId="77777777">
            <w:pPr>
              <w:suppressAutoHyphens/>
              <w:jc w:val="center"/>
              <w:rPr>
                <w:rFonts w:eastAsia="Calibri"/>
                <w:i/>
                <w:iCs/>
                <w:sz w:val="20"/>
                <w:szCs w:val="20"/>
              </w:rPr>
            </w:pPr>
            <w:r w:rsidRPr="004A6904">
              <w:rPr>
                <w:rFonts w:eastAsia="Calibri"/>
                <w:i/>
                <w:iCs/>
                <w:sz w:val="20"/>
                <w:szCs w:val="20"/>
              </w:rPr>
              <w:t xml:space="preserve">Overhead Costs </w:t>
            </w:r>
          </w:p>
        </w:tc>
        <w:tc>
          <w:tcPr>
            <w:tcW w:w="1260" w:type="dxa"/>
            <w:vAlign w:val="center"/>
          </w:tcPr>
          <w:p w:rsidR="00CE3C8B" w:rsidRPr="004A6904" w:rsidP="006C10F5" w14:paraId="618802AB" w14:textId="77777777">
            <w:pPr>
              <w:suppressAutoHyphens/>
              <w:jc w:val="center"/>
              <w:rPr>
                <w:i/>
                <w:iCs/>
                <w:sz w:val="20"/>
                <w:szCs w:val="20"/>
              </w:rPr>
            </w:pPr>
          </w:p>
        </w:tc>
        <w:tc>
          <w:tcPr>
            <w:tcW w:w="1440" w:type="dxa"/>
            <w:vAlign w:val="center"/>
          </w:tcPr>
          <w:p w:rsidR="00CE3C8B" w:rsidRPr="004A6904" w:rsidP="006C10F5" w14:paraId="39DB565A" w14:textId="77777777">
            <w:pPr>
              <w:suppressAutoHyphens/>
              <w:jc w:val="center"/>
              <w:rPr>
                <w:i/>
                <w:iCs/>
                <w:sz w:val="20"/>
                <w:szCs w:val="20"/>
              </w:rPr>
            </w:pPr>
          </w:p>
        </w:tc>
        <w:tc>
          <w:tcPr>
            <w:tcW w:w="1260" w:type="dxa"/>
            <w:tcMar>
              <w:left w:w="29" w:type="dxa"/>
              <w:right w:w="29" w:type="dxa"/>
            </w:tcMar>
            <w:vAlign w:val="center"/>
          </w:tcPr>
          <w:p w:rsidR="00CE3C8B" w:rsidRPr="004A6904" w:rsidP="006C10F5" w14:paraId="2E8C9AAE" w14:textId="5BBD463C">
            <w:pPr>
              <w:suppressAutoHyphens/>
              <w:jc w:val="center"/>
              <w:rPr>
                <w:i/>
                <w:iCs/>
                <w:sz w:val="20"/>
                <w:szCs w:val="20"/>
              </w:rPr>
            </w:pPr>
            <w:r w:rsidRPr="004A6904">
              <w:rPr>
                <w:i/>
                <w:iCs/>
                <w:sz w:val="20"/>
                <w:szCs w:val="20"/>
              </w:rPr>
              <w:t>$2.00</w:t>
            </w:r>
          </w:p>
        </w:tc>
        <w:tc>
          <w:tcPr>
            <w:tcW w:w="1260" w:type="dxa"/>
            <w:tcMar>
              <w:left w:w="29" w:type="dxa"/>
              <w:right w:w="29" w:type="dxa"/>
            </w:tcMar>
            <w:vAlign w:val="center"/>
          </w:tcPr>
          <w:p w:rsidR="00CE3C8B" w:rsidRPr="004A6904" w:rsidP="006C10F5" w14:paraId="6316D2D6" w14:textId="164AE682">
            <w:pPr>
              <w:suppressAutoHyphens/>
              <w:jc w:val="center"/>
              <w:rPr>
                <w:i/>
                <w:iCs/>
                <w:sz w:val="20"/>
                <w:szCs w:val="20"/>
              </w:rPr>
            </w:pPr>
            <w:r w:rsidRPr="004A6904">
              <w:rPr>
                <w:i/>
                <w:iCs/>
                <w:sz w:val="20"/>
                <w:szCs w:val="20"/>
              </w:rPr>
              <w:t>60,800</w:t>
            </w:r>
          </w:p>
        </w:tc>
        <w:tc>
          <w:tcPr>
            <w:tcW w:w="1625" w:type="dxa"/>
            <w:tcMar>
              <w:left w:w="29" w:type="dxa"/>
              <w:right w:w="29" w:type="dxa"/>
            </w:tcMar>
            <w:vAlign w:val="center"/>
          </w:tcPr>
          <w:p w:rsidR="00CE3C8B" w:rsidRPr="004A6904" w:rsidP="006C10F5" w14:paraId="7DA33C79" w14:textId="13A4ECBA">
            <w:pPr>
              <w:suppressAutoHyphens/>
              <w:jc w:val="center"/>
              <w:rPr>
                <w:i/>
                <w:iCs/>
                <w:sz w:val="20"/>
                <w:szCs w:val="20"/>
              </w:rPr>
            </w:pPr>
            <w:r w:rsidRPr="004A6904">
              <w:rPr>
                <w:i/>
                <w:iCs/>
                <w:sz w:val="20"/>
                <w:szCs w:val="20"/>
              </w:rPr>
              <w:t>$121,600.00</w:t>
            </w:r>
          </w:p>
        </w:tc>
      </w:tr>
      <w:tr w14:paraId="59455F1D" w14:textId="77777777" w:rsidTr="006C10F5">
        <w:tblPrEx>
          <w:tblW w:w="8640" w:type="dxa"/>
          <w:jc w:val="center"/>
          <w:tblLayout w:type="fixed"/>
          <w:tblCellMar>
            <w:left w:w="144" w:type="dxa"/>
            <w:right w:w="144" w:type="dxa"/>
          </w:tblCellMar>
          <w:tblLook w:val="04A0"/>
        </w:tblPrEx>
        <w:trPr>
          <w:trHeight w:val="576"/>
          <w:jc w:val="center"/>
        </w:trPr>
        <w:tc>
          <w:tcPr>
            <w:tcW w:w="1795" w:type="dxa"/>
            <w:vAlign w:val="center"/>
          </w:tcPr>
          <w:p w:rsidR="00CE3C8B" w:rsidRPr="004A6904" w:rsidP="006C10F5" w14:paraId="7E01ADF3" w14:textId="77777777">
            <w:pPr>
              <w:suppressAutoHyphens/>
              <w:jc w:val="center"/>
              <w:rPr>
                <w:rFonts w:eastAsia="Calibri"/>
                <w:b/>
                <w:sz w:val="20"/>
                <w:szCs w:val="20"/>
              </w:rPr>
            </w:pPr>
            <w:r w:rsidRPr="004A6904">
              <w:rPr>
                <w:rFonts w:eastAsia="Calibri"/>
                <w:b/>
                <w:sz w:val="20"/>
                <w:szCs w:val="20"/>
              </w:rPr>
              <w:t>TOTAL COSTS</w:t>
            </w:r>
          </w:p>
        </w:tc>
        <w:tc>
          <w:tcPr>
            <w:tcW w:w="1260" w:type="dxa"/>
            <w:vAlign w:val="center"/>
          </w:tcPr>
          <w:p w:rsidR="00CE3C8B" w:rsidRPr="004A6904" w:rsidP="006C10F5" w14:paraId="217B41FC" w14:textId="77777777">
            <w:pPr>
              <w:suppressAutoHyphens/>
              <w:jc w:val="center"/>
              <w:rPr>
                <w:b/>
                <w:sz w:val="20"/>
                <w:szCs w:val="20"/>
              </w:rPr>
            </w:pPr>
          </w:p>
        </w:tc>
        <w:tc>
          <w:tcPr>
            <w:tcW w:w="1440" w:type="dxa"/>
            <w:vAlign w:val="center"/>
          </w:tcPr>
          <w:p w:rsidR="00CE3C8B" w:rsidRPr="004A6904" w:rsidP="006C10F5" w14:paraId="109F1A05" w14:textId="77777777">
            <w:pPr>
              <w:suppressAutoHyphens/>
              <w:jc w:val="center"/>
              <w:rPr>
                <w:b/>
                <w:sz w:val="20"/>
                <w:szCs w:val="20"/>
              </w:rPr>
            </w:pPr>
          </w:p>
        </w:tc>
        <w:tc>
          <w:tcPr>
            <w:tcW w:w="1260" w:type="dxa"/>
            <w:tcMar>
              <w:left w:w="29" w:type="dxa"/>
              <w:right w:w="29" w:type="dxa"/>
            </w:tcMar>
            <w:vAlign w:val="center"/>
          </w:tcPr>
          <w:p w:rsidR="00CE3C8B" w:rsidRPr="004A6904" w:rsidP="006C10F5" w14:paraId="42B5F181" w14:textId="160BBA83">
            <w:pPr>
              <w:suppressAutoHyphens/>
              <w:jc w:val="center"/>
              <w:rPr>
                <w:b/>
                <w:sz w:val="20"/>
                <w:szCs w:val="20"/>
              </w:rPr>
            </w:pPr>
            <w:r w:rsidRPr="004A6904">
              <w:rPr>
                <w:b/>
                <w:sz w:val="20"/>
                <w:szCs w:val="20"/>
              </w:rPr>
              <w:t>($37.997)</w:t>
            </w:r>
          </w:p>
        </w:tc>
        <w:tc>
          <w:tcPr>
            <w:tcW w:w="1260" w:type="dxa"/>
            <w:tcMar>
              <w:left w:w="29" w:type="dxa"/>
              <w:right w:w="29" w:type="dxa"/>
            </w:tcMar>
            <w:vAlign w:val="center"/>
          </w:tcPr>
          <w:p w:rsidR="00CE3C8B" w:rsidRPr="004A6904" w:rsidP="006C10F5" w14:paraId="58FECAD6" w14:textId="5197ADFA">
            <w:pPr>
              <w:suppressAutoHyphens/>
              <w:jc w:val="center"/>
              <w:rPr>
                <w:b/>
                <w:sz w:val="20"/>
                <w:szCs w:val="20"/>
              </w:rPr>
            </w:pPr>
            <w:r w:rsidRPr="004A6904">
              <w:rPr>
                <w:b/>
                <w:sz w:val="20"/>
                <w:szCs w:val="20"/>
              </w:rPr>
              <w:t>60,800</w:t>
            </w:r>
          </w:p>
        </w:tc>
        <w:tc>
          <w:tcPr>
            <w:tcW w:w="1625" w:type="dxa"/>
            <w:tcMar>
              <w:left w:w="29" w:type="dxa"/>
              <w:right w:w="29" w:type="dxa"/>
            </w:tcMar>
            <w:vAlign w:val="center"/>
          </w:tcPr>
          <w:p w:rsidR="00CE3C8B" w:rsidRPr="004A6904" w:rsidP="006C10F5" w14:paraId="41B85FF0" w14:textId="07118F9A">
            <w:pPr>
              <w:suppressAutoHyphens/>
              <w:jc w:val="center"/>
              <w:rPr>
                <w:b/>
                <w:sz w:val="20"/>
                <w:szCs w:val="20"/>
              </w:rPr>
            </w:pPr>
            <w:r w:rsidRPr="004A6904">
              <w:rPr>
                <w:b/>
                <w:sz w:val="20"/>
                <w:szCs w:val="20"/>
              </w:rPr>
              <w:t>$2,310,217.00</w:t>
            </w:r>
          </w:p>
        </w:tc>
      </w:tr>
    </w:tbl>
    <w:p w:rsidR="00CE3C8B" w:rsidRPr="004A6904" w:rsidP="00CE3C8B" w14:paraId="555ECF13" w14:textId="3A80138A">
      <w:pPr>
        <w:ind w:left="360"/>
        <w:rPr>
          <w:sz w:val="22"/>
          <w:szCs w:val="22"/>
        </w:rPr>
      </w:pPr>
    </w:p>
    <w:p w:rsidR="00CE3C8B" w:rsidRPr="004A6904" w:rsidP="00CE3C8B" w14:paraId="313AE930" w14:textId="73083C18">
      <w:pPr>
        <w:ind w:left="360"/>
        <w:rPr>
          <w:sz w:val="22"/>
          <w:szCs w:val="22"/>
        </w:rPr>
      </w:pPr>
      <w:r w:rsidRPr="004A6904">
        <w:rPr>
          <w:sz w:val="22"/>
          <w:szCs w:val="22"/>
        </w:rPr>
        <w:t xml:space="preserve">NOTE:  </w:t>
      </w:r>
      <w:r w:rsidRPr="004A6904">
        <w:rPr>
          <w:sz w:val="22"/>
          <w:szCs w:val="22"/>
        </w:rPr>
        <w:t xml:space="preserve">Printing and distribution costs to the Federal Government have decreased to $0.00 in due to the availability of TTB forms to the public on its website’s forms page at </w:t>
      </w:r>
      <w:r w:rsidRPr="004A6904">
        <w:rPr>
          <w:i/>
          <w:sz w:val="22"/>
          <w:szCs w:val="22"/>
        </w:rPr>
        <w:t>https://www.ttb.gov/forms</w:t>
      </w:r>
      <w:r w:rsidRPr="004A6904">
        <w:rPr>
          <w:sz w:val="22"/>
          <w:szCs w:val="22"/>
        </w:rPr>
        <w:t xml:space="preserve">. </w:t>
      </w:r>
    </w:p>
    <w:p w:rsidR="00CE3C8B" w:rsidRPr="004A6904" w:rsidP="00CE3C8B" w14:paraId="600B74A0" w14:textId="77777777">
      <w:pPr>
        <w:rPr>
          <w:sz w:val="28"/>
          <w:szCs w:val="28"/>
        </w:rPr>
      </w:pPr>
    </w:p>
    <w:p w:rsidR="0093146C" w:rsidRPr="004A6904" w:rsidP="007F1181" w14:paraId="1E2A4FC1" w14:textId="074E2D2D">
      <w:pPr>
        <w:keepNext/>
        <w:widowControl/>
        <w:suppressAutoHyphens/>
        <w:rPr>
          <w:i/>
          <w:sz w:val="22"/>
          <w:szCs w:val="22"/>
        </w:rPr>
      </w:pPr>
      <w:r w:rsidRPr="004A6904">
        <w:rPr>
          <w:i/>
          <w:sz w:val="22"/>
          <w:szCs w:val="22"/>
        </w:rPr>
        <w:t xml:space="preserve">15.  What is the reason for any program changes or adjustments reported? </w:t>
      </w:r>
    </w:p>
    <w:p w:rsidR="0093146C" w:rsidRPr="004A6904" w:rsidP="00E01404" w14:paraId="584258BB" w14:textId="77777777">
      <w:pPr>
        <w:widowControl/>
        <w:suppressAutoHyphens/>
        <w:rPr>
          <w:sz w:val="22"/>
          <w:szCs w:val="22"/>
        </w:rPr>
      </w:pPr>
    </w:p>
    <w:p w:rsidR="00FC0B83" w:rsidP="00646954" w14:paraId="7112871E" w14:textId="112D07B3">
      <w:pPr>
        <w:widowControl/>
        <w:ind w:left="360"/>
        <w:rPr>
          <w:sz w:val="22"/>
          <w:szCs w:val="22"/>
        </w:rPr>
      </w:pPr>
      <w:r w:rsidRPr="00993E1F">
        <w:rPr>
          <w:sz w:val="22"/>
          <w:szCs w:val="22"/>
        </w:rPr>
        <w:t>This is a new information collection request.</w:t>
      </w:r>
    </w:p>
    <w:p w:rsidR="00993E1F" w:rsidP="00646954" w14:paraId="5D6D2256" w14:textId="77777777">
      <w:pPr>
        <w:widowControl/>
        <w:ind w:left="360"/>
        <w:rPr>
          <w:sz w:val="22"/>
          <w:szCs w:val="22"/>
        </w:rPr>
      </w:pPr>
    </w:p>
    <w:p w:rsidR="00646954" w:rsidRPr="004A6904" w:rsidP="00646954" w14:paraId="2014CD09" w14:textId="5B8ADADD">
      <w:pPr>
        <w:widowControl/>
        <w:ind w:left="360"/>
        <w:rPr>
          <w:sz w:val="22"/>
          <w:szCs w:val="22"/>
        </w:rPr>
      </w:pPr>
      <w:r w:rsidRPr="008C0694">
        <w:rPr>
          <w:sz w:val="22"/>
          <w:szCs w:val="22"/>
          <w:u w:val="single"/>
        </w:rPr>
        <w:t>Estimated burden reduction:</w:t>
      </w:r>
      <w:r>
        <w:rPr>
          <w:sz w:val="22"/>
          <w:szCs w:val="22"/>
        </w:rPr>
        <w:t xml:space="preserve">  </w:t>
      </w:r>
      <w:r w:rsidRPr="004A6904" w:rsidR="007B6B37">
        <w:rPr>
          <w:sz w:val="22"/>
          <w:szCs w:val="22"/>
        </w:rPr>
        <w:t xml:space="preserve">However, TTB intends the combined beer excise tax and brewery operations report to decrease the respondent burden associated with the </w:t>
      </w:r>
      <w:r w:rsidRPr="004A6904" w:rsidR="007B6B37">
        <w:rPr>
          <w:sz w:val="22"/>
          <w:szCs w:val="22"/>
        </w:rPr>
        <w:t xml:space="preserve">current </w:t>
      </w:r>
      <w:r>
        <w:rPr>
          <w:sz w:val="22"/>
          <w:szCs w:val="22"/>
        </w:rPr>
        <w:t>,</w:t>
      </w:r>
      <w:r>
        <w:rPr>
          <w:sz w:val="22"/>
          <w:szCs w:val="22"/>
        </w:rPr>
        <w:t xml:space="preserve"> separate </w:t>
      </w:r>
      <w:r w:rsidRPr="004A6904" w:rsidR="007B6B37">
        <w:rPr>
          <w:sz w:val="22"/>
          <w:szCs w:val="22"/>
        </w:rPr>
        <w:t xml:space="preserve">excise return and operations report </w:t>
      </w:r>
      <w:r>
        <w:rPr>
          <w:sz w:val="22"/>
          <w:szCs w:val="22"/>
        </w:rPr>
        <w:t xml:space="preserve">forms </w:t>
      </w:r>
      <w:r w:rsidRPr="004A6904" w:rsidR="007B6B37">
        <w:rPr>
          <w:sz w:val="22"/>
          <w:szCs w:val="22"/>
        </w:rPr>
        <w:t>filed by brewers</w:t>
      </w:r>
      <w:r w:rsidRPr="004A6904" w:rsidR="003F2FED">
        <w:rPr>
          <w:sz w:val="22"/>
          <w:szCs w:val="22"/>
        </w:rPr>
        <w:t xml:space="preserve">.  Given that the current excise tax return (TTB F 5000.24), the monthly brewery operations report (TTB F 5130.9), and the quarterly brewery operations report (TTB F 5130.26) each have a burden of 0.75 hours per response, TTB anticipates burden savings </w:t>
      </w:r>
      <w:r w:rsidRPr="004A6904" w:rsidR="00AD3A1A">
        <w:rPr>
          <w:sz w:val="22"/>
          <w:szCs w:val="22"/>
        </w:rPr>
        <w:t xml:space="preserve">as shown below for the combined beer excise tax return and operation report information collection: </w:t>
      </w:r>
    </w:p>
    <w:p w:rsidR="00646954" w:rsidP="00646954" w14:paraId="036C7EA0" w14:textId="74426942">
      <w:pPr>
        <w:widowControl/>
        <w:ind w:left="360"/>
        <w:rPr>
          <w:color w:val="0070C0"/>
          <w:sz w:val="22"/>
          <w:szCs w:val="22"/>
        </w:rPr>
      </w:pPr>
    </w:p>
    <w:tbl>
      <w:tblPr>
        <w:tblStyle w:val="TableGrid"/>
        <w:tblW w:w="8640" w:type="dxa"/>
        <w:jc w:val="center"/>
        <w:tblCellMar>
          <w:left w:w="29" w:type="dxa"/>
          <w:right w:w="29" w:type="dxa"/>
        </w:tblCellMar>
        <w:tblLook w:val="04A0"/>
      </w:tblPr>
      <w:tblGrid>
        <w:gridCol w:w="1349"/>
        <w:gridCol w:w="1616"/>
        <w:gridCol w:w="1707"/>
        <w:gridCol w:w="1248"/>
        <w:gridCol w:w="1325"/>
        <w:gridCol w:w="1395"/>
      </w:tblGrid>
      <w:tr w14:paraId="2F2EE16C" w14:textId="77777777" w:rsidTr="000E697C">
        <w:tblPrEx>
          <w:tblW w:w="8640" w:type="dxa"/>
          <w:jc w:val="center"/>
          <w:tblCellMar>
            <w:left w:w="29" w:type="dxa"/>
            <w:right w:w="29" w:type="dxa"/>
          </w:tblCellMar>
          <w:tblLook w:val="04A0"/>
        </w:tblPrEx>
        <w:trPr>
          <w:trHeight w:val="935"/>
          <w:jc w:val="center"/>
        </w:trPr>
        <w:tc>
          <w:tcPr>
            <w:tcW w:w="1349" w:type="dxa"/>
            <w:vAlign w:val="center"/>
          </w:tcPr>
          <w:p w:rsidR="004A6904" w:rsidRPr="000E697C" w:rsidP="004A6904" w14:paraId="546FB550" w14:textId="4B2FFA30">
            <w:pPr>
              <w:widowControl/>
              <w:jc w:val="center"/>
              <w:rPr>
                <w:b/>
                <w:bCs/>
              </w:rPr>
            </w:pPr>
            <w:r w:rsidRPr="000E697C">
              <w:rPr>
                <w:b/>
                <w:bCs/>
              </w:rPr>
              <w:t xml:space="preserve">Filing Frequency </w:t>
            </w:r>
          </w:p>
        </w:tc>
        <w:tc>
          <w:tcPr>
            <w:tcW w:w="1616" w:type="dxa"/>
            <w:vAlign w:val="center"/>
          </w:tcPr>
          <w:p w:rsidR="004A6904" w:rsidRPr="000E697C" w:rsidP="004A6904" w14:paraId="5C8BA16A" w14:textId="1819777E">
            <w:pPr>
              <w:widowControl/>
              <w:jc w:val="center"/>
              <w:rPr>
                <w:b/>
                <w:bCs/>
              </w:rPr>
            </w:pPr>
            <w:r w:rsidRPr="000E697C">
              <w:rPr>
                <w:b/>
                <w:bCs/>
              </w:rPr>
              <w:t>Current Burden</w:t>
            </w:r>
          </w:p>
        </w:tc>
        <w:tc>
          <w:tcPr>
            <w:tcW w:w="1707" w:type="dxa"/>
            <w:vAlign w:val="center"/>
          </w:tcPr>
          <w:p w:rsidR="004A6904" w:rsidRPr="000E697C" w:rsidP="004A6904" w14:paraId="73BC5A2A" w14:textId="2975728C">
            <w:pPr>
              <w:widowControl/>
              <w:jc w:val="center"/>
              <w:rPr>
                <w:b/>
                <w:bCs/>
              </w:rPr>
            </w:pPr>
            <w:r w:rsidRPr="000E697C">
              <w:rPr>
                <w:b/>
                <w:bCs/>
              </w:rPr>
              <w:t>Pilot Burden</w:t>
            </w:r>
          </w:p>
        </w:tc>
        <w:tc>
          <w:tcPr>
            <w:tcW w:w="1248" w:type="dxa"/>
            <w:vAlign w:val="center"/>
          </w:tcPr>
          <w:p w:rsidR="004A6904" w:rsidRPr="000E697C" w:rsidP="004A6904" w14:paraId="1BDBE45D" w14:textId="522C0756">
            <w:pPr>
              <w:widowControl/>
              <w:jc w:val="center"/>
              <w:rPr>
                <w:b/>
                <w:bCs/>
              </w:rPr>
            </w:pPr>
            <w:r w:rsidRPr="000E697C">
              <w:rPr>
                <w:b/>
                <w:bCs/>
              </w:rPr>
              <w:t>Savings per Respondent</w:t>
            </w:r>
          </w:p>
        </w:tc>
        <w:tc>
          <w:tcPr>
            <w:tcW w:w="1325" w:type="dxa"/>
            <w:vAlign w:val="center"/>
          </w:tcPr>
          <w:p w:rsidR="004A6904" w:rsidRPr="000E697C" w:rsidP="004A6904" w14:paraId="5DD474DD" w14:textId="14102881">
            <w:pPr>
              <w:widowControl/>
              <w:jc w:val="center"/>
              <w:rPr>
                <w:b/>
                <w:bCs/>
              </w:rPr>
            </w:pPr>
            <w:r>
              <w:rPr>
                <w:b/>
                <w:bCs/>
              </w:rPr>
              <w:t xml:space="preserve">Brewery </w:t>
            </w:r>
            <w:r w:rsidRPr="000E697C">
              <w:rPr>
                <w:b/>
                <w:bCs/>
              </w:rPr>
              <w:t>Respondents in Pilot</w:t>
            </w:r>
            <w:r>
              <w:rPr>
                <w:b/>
                <w:bCs/>
              </w:rPr>
              <w:t xml:space="preserve"> Test</w:t>
            </w:r>
          </w:p>
        </w:tc>
        <w:tc>
          <w:tcPr>
            <w:tcW w:w="1395" w:type="dxa"/>
            <w:vAlign w:val="center"/>
          </w:tcPr>
          <w:p w:rsidR="004A6904" w:rsidRPr="000E697C" w:rsidP="004A6904" w14:paraId="3A941B27" w14:textId="2369D848">
            <w:pPr>
              <w:widowControl/>
              <w:jc w:val="center"/>
              <w:rPr>
                <w:b/>
                <w:bCs/>
              </w:rPr>
            </w:pPr>
            <w:r w:rsidRPr="000E697C">
              <w:rPr>
                <w:b/>
                <w:bCs/>
              </w:rPr>
              <w:t>Total Burden Decrease</w:t>
            </w:r>
            <w:r w:rsidR="000E697C">
              <w:rPr>
                <w:b/>
                <w:bCs/>
              </w:rPr>
              <w:t xml:space="preserve"> in Pilot Test</w:t>
            </w:r>
          </w:p>
        </w:tc>
      </w:tr>
      <w:tr w14:paraId="0F79AEE3" w14:textId="77777777" w:rsidTr="008C0694">
        <w:tblPrEx>
          <w:tblW w:w="8640" w:type="dxa"/>
          <w:jc w:val="center"/>
          <w:tblCellMar>
            <w:left w:w="29" w:type="dxa"/>
            <w:right w:w="29" w:type="dxa"/>
          </w:tblCellMar>
          <w:tblLook w:val="04A0"/>
        </w:tblPrEx>
        <w:trPr>
          <w:trHeight w:val="800"/>
          <w:jc w:val="center"/>
        </w:trPr>
        <w:tc>
          <w:tcPr>
            <w:tcW w:w="1349" w:type="dxa"/>
            <w:vAlign w:val="center"/>
          </w:tcPr>
          <w:p w:rsidR="004A6904" w:rsidRPr="000E697C" w:rsidP="004A6904" w14:paraId="348AB597" w14:textId="324B4F57">
            <w:pPr>
              <w:widowControl/>
              <w:jc w:val="center"/>
            </w:pPr>
            <w:r w:rsidRPr="000E697C">
              <w:t>Semi-monthly filers</w:t>
            </w:r>
          </w:p>
        </w:tc>
        <w:tc>
          <w:tcPr>
            <w:tcW w:w="1616" w:type="dxa"/>
            <w:vAlign w:val="center"/>
          </w:tcPr>
          <w:p w:rsidR="004A6904" w:rsidRPr="000E697C" w:rsidP="004A6904" w14:paraId="48653507" w14:textId="1DA5FDF7">
            <w:pPr>
              <w:widowControl/>
              <w:jc w:val="center"/>
            </w:pPr>
            <w:r w:rsidRPr="000E697C">
              <w:t xml:space="preserve">25 responses x 0.75 hour = 27.75 hours </w:t>
            </w:r>
          </w:p>
        </w:tc>
        <w:tc>
          <w:tcPr>
            <w:tcW w:w="1707" w:type="dxa"/>
            <w:vAlign w:val="center"/>
          </w:tcPr>
          <w:p w:rsidR="004A6904" w:rsidRPr="000E697C" w:rsidP="004A6904" w14:paraId="6DB018D8" w14:textId="451C48BB">
            <w:pPr>
              <w:widowControl/>
              <w:jc w:val="center"/>
            </w:pPr>
            <w:r w:rsidRPr="000E697C">
              <w:t xml:space="preserve">25 responses x avg. 27 minutes = 11.25 </w:t>
            </w:r>
            <w:r w:rsidRPr="000E697C" w:rsidR="000579BE">
              <w:t>hours</w:t>
            </w:r>
          </w:p>
        </w:tc>
        <w:tc>
          <w:tcPr>
            <w:tcW w:w="1248" w:type="dxa"/>
            <w:vAlign w:val="center"/>
          </w:tcPr>
          <w:p w:rsidR="004A6904" w:rsidRPr="000E697C" w:rsidP="004A6904" w14:paraId="17B6055E" w14:textId="62A44CF5">
            <w:pPr>
              <w:widowControl/>
              <w:jc w:val="center"/>
            </w:pPr>
            <w:r w:rsidRPr="000E697C">
              <w:t>16.5 hours</w:t>
            </w:r>
          </w:p>
        </w:tc>
        <w:tc>
          <w:tcPr>
            <w:tcW w:w="1325" w:type="dxa"/>
            <w:vAlign w:val="center"/>
          </w:tcPr>
          <w:p w:rsidR="004A6904" w:rsidRPr="000E697C" w:rsidP="004A6904" w14:paraId="3CF89408" w14:textId="340F5A88">
            <w:pPr>
              <w:widowControl/>
              <w:jc w:val="center"/>
            </w:pPr>
            <w:r w:rsidRPr="000E697C">
              <w:t>1,400</w:t>
            </w:r>
          </w:p>
        </w:tc>
        <w:tc>
          <w:tcPr>
            <w:tcW w:w="1395" w:type="dxa"/>
            <w:vAlign w:val="center"/>
          </w:tcPr>
          <w:p w:rsidR="004A6904" w:rsidRPr="000E697C" w:rsidP="004A6904" w14:paraId="2753C92E" w14:textId="343AE1B2">
            <w:pPr>
              <w:widowControl/>
              <w:jc w:val="center"/>
            </w:pPr>
            <w:r w:rsidRPr="000E697C">
              <w:t>23,100 hours</w:t>
            </w:r>
          </w:p>
        </w:tc>
      </w:tr>
      <w:tr w14:paraId="104F18A2" w14:textId="77777777" w:rsidTr="008C0694">
        <w:tblPrEx>
          <w:tblW w:w="8640" w:type="dxa"/>
          <w:jc w:val="center"/>
          <w:tblCellMar>
            <w:left w:w="29" w:type="dxa"/>
            <w:right w:w="29" w:type="dxa"/>
          </w:tblCellMar>
          <w:tblLook w:val="04A0"/>
        </w:tblPrEx>
        <w:trPr>
          <w:trHeight w:val="800"/>
          <w:jc w:val="center"/>
        </w:trPr>
        <w:tc>
          <w:tcPr>
            <w:tcW w:w="1349" w:type="dxa"/>
            <w:vAlign w:val="center"/>
          </w:tcPr>
          <w:p w:rsidR="004A6904" w:rsidRPr="000E697C" w:rsidP="004A6904" w14:paraId="4A36E2DA" w14:textId="1C481831">
            <w:pPr>
              <w:widowControl/>
              <w:jc w:val="center"/>
            </w:pPr>
            <w:r w:rsidRPr="000E697C">
              <w:t xml:space="preserve">Quarterly </w:t>
            </w:r>
          </w:p>
        </w:tc>
        <w:tc>
          <w:tcPr>
            <w:tcW w:w="1616" w:type="dxa"/>
            <w:vAlign w:val="center"/>
          </w:tcPr>
          <w:p w:rsidR="004A6904" w:rsidRPr="000E697C" w:rsidP="004A6904" w14:paraId="36A99B5D" w14:textId="171EA435">
            <w:pPr>
              <w:widowControl/>
              <w:jc w:val="center"/>
            </w:pPr>
            <w:r w:rsidRPr="000E697C">
              <w:t>8 responses x 0.75 h</w:t>
            </w:r>
            <w:r w:rsidR="008C0694">
              <w:t>ou</w:t>
            </w:r>
            <w:r w:rsidRPr="000E697C">
              <w:t>r = 6</w:t>
            </w:r>
            <w:r w:rsidR="008C0694">
              <w:t> </w:t>
            </w:r>
            <w:r w:rsidRPr="000E697C">
              <w:t>h</w:t>
            </w:r>
            <w:r w:rsidR="008C0694">
              <w:t>ours</w:t>
            </w:r>
          </w:p>
        </w:tc>
        <w:tc>
          <w:tcPr>
            <w:tcW w:w="1707" w:type="dxa"/>
            <w:vAlign w:val="center"/>
          </w:tcPr>
          <w:p w:rsidR="004A6904" w:rsidRPr="000E697C" w:rsidP="004A6904" w14:paraId="23BA1448" w14:textId="6F8CCBE8">
            <w:pPr>
              <w:widowControl/>
              <w:jc w:val="center"/>
            </w:pPr>
            <w:r w:rsidRPr="000E697C">
              <w:t>4 responses x 0.6667 h</w:t>
            </w:r>
            <w:r w:rsidR="008C0694">
              <w:t>ou</w:t>
            </w:r>
            <w:r w:rsidRPr="000E697C">
              <w:t>r = 2.6668 h</w:t>
            </w:r>
            <w:r w:rsidR="008C0694">
              <w:t>ours</w:t>
            </w:r>
          </w:p>
        </w:tc>
        <w:tc>
          <w:tcPr>
            <w:tcW w:w="1248" w:type="dxa"/>
            <w:vAlign w:val="center"/>
          </w:tcPr>
          <w:p w:rsidR="004A6904" w:rsidRPr="000E697C" w:rsidP="004A6904" w14:paraId="34A8CB4C" w14:textId="799557D7">
            <w:pPr>
              <w:widowControl/>
              <w:jc w:val="center"/>
            </w:pPr>
            <w:r w:rsidRPr="000E697C">
              <w:t>3.3333 hours</w:t>
            </w:r>
          </w:p>
        </w:tc>
        <w:tc>
          <w:tcPr>
            <w:tcW w:w="1325" w:type="dxa"/>
            <w:vAlign w:val="center"/>
          </w:tcPr>
          <w:p w:rsidR="004A6904" w:rsidRPr="000E697C" w:rsidP="004A6904" w14:paraId="4A8C04D7" w14:textId="727E38B1">
            <w:pPr>
              <w:widowControl/>
              <w:jc w:val="center"/>
            </w:pPr>
            <w:r w:rsidRPr="000E697C">
              <w:t>6,300</w:t>
            </w:r>
          </w:p>
        </w:tc>
        <w:tc>
          <w:tcPr>
            <w:tcW w:w="1395" w:type="dxa"/>
            <w:vAlign w:val="center"/>
          </w:tcPr>
          <w:p w:rsidR="004A6904" w:rsidRPr="000E697C" w:rsidP="004A6904" w14:paraId="78A28AF6" w14:textId="36675A20">
            <w:pPr>
              <w:widowControl/>
              <w:jc w:val="center"/>
            </w:pPr>
            <w:r w:rsidRPr="000E697C">
              <w:t>20,999.79 hours</w:t>
            </w:r>
          </w:p>
        </w:tc>
      </w:tr>
      <w:tr w14:paraId="7CEE224D" w14:textId="77777777" w:rsidTr="008C0694">
        <w:tblPrEx>
          <w:tblW w:w="8640" w:type="dxa"/>
          <w:jc w:val="center"/>
          <w:tblCellMar>
            <w:left w:w="29" w:type="dxa"/>
            <w:right w:w="29" w:type="dxa"/>
          </w:tblCellMar>
          <w:tblLook w:val="04A0"/>
        </w:tblPrEx>
        <w:trPr>
          <w:trHeight w:val="800"/>
          <w:jc w:val="center"/>
        </w:trPr>
        <w:tc>
          <w:tcPr>
            <w:tcW w:w="1349" w:type="dxa"/>
            <w:vAlign w:val="center"/>
          </w:tcPr>
          <w:p w:rsidR="004A6904" w:rsidRPr="000E697C" w:rsidP="004A6904" w14:paraId="4570C6C8" w14:textId="4AA5E471">
            <w:pPr>
              <w:widowControl/>
              <w:jc w:val="center"/>
            </w:pPr>
            <w:r w:rsidRPr="000E697C">
              <w:t>Annually</w:t>
            </w:r>
          </w:p>
        </w:tc>
        <w:tc>
          <w:tcPr>
            <w:tcW w:w="1616" w:type="dxa"/>
            <w:vAlign w:val="center"/>
          </w:tcPr>
          <w:p w:rsidR="004A6904" w:rsidRPr="000E697C" w:rsidP="004A6904" w14:paraId="1286CEE2" w14:textId="6E41971E">
            <w:pPr>
              <w:widowControl/>
              <w:jc w:val="center"/>
            </w:pPr>
            <w:r w:rsidRPr="000E697C">
              <w:t>5 respons</w:t>
            </w:r>
            <w:r w:rsidRPr="000E697C">
              <w:t>es x 0.75 h</w:t>
            </w:r>
            <w:r w:rsidR="008C0694">
              <w:t>ou</w:t>
            </w:r>
            <w:r w:rsidRPr="000E697C">
              <w:t>r = 3.75</w:t>
            </w:r>
            <w:r w:rsidR="008C0694">
              <w:t> </w:t>
            </w:r>
            <w:r w:rsidRPr="000E697C">
              <w:t>h</w:t>
            </w:r>
            <w:r w:rsidR="008C0694">
              <w:t>ours</w:t>
            </w:r>
          </w:p>
        </w:tc>
        <w:tc>
          <w:tcPr>
            <w:tcW w:w="1707" w:type="dxa"/>
            <w:vAlign w:val="center"/>
          </w:tcPr>
          <w:p w:rsidR="004A6904" w:rsidRPr="000E697C" w:rsidP="004A6904" w14:paraId="58BB80FA" w14:textId="2FEEE3F0">
            <w:pPr>
              <w:widowControl/>
              <w:jc w:val="center"/>
            </w:pPr>
            <w:r w:rsidRPr="000E697C">
              <w:t>1 response x 0.6667 h</w:t>
            </w:r>
            <w:r w:rsidR="008C0694">
              <w:t>ou</w:t>
            </w:r>
            <w:r w:rsidRPr="000E697C">
              <w:t>r = 0.6667 h</w:t>
            </w:r>
            <w:r w:rsidR="008C0694">
              <w:t>ou</w:t>
            </w:r>
            <w:r w:rsidRPr="000E697C">
              <w:t>r</w:t>
            </w:r>
          </w:p>
        </w:tc>
        <w:tc>
          <w:tcPr>
            <w:tcW w:w="1248" w:type="dxa"/>
            <w:vAlign w:val="center"/>
          </w:tcPr>
          <w:p w:rsidR="004A6904" w:rsidRPr="000E697C" w:rsidP="004A6904" w14:paraId="2C4FDE99" w14:textId="0F57FD2B">
            <w:pPr>
              <w:widowControl/>
              <w:jc w:val="center"/>
            </w:pPr>
            <w:r w:rsidRPr="000E697C">
              <w:t>3.0833 hours</w:t>
            </w:r>
          </w:p>
        </w:tc>
        <w:tc>
          <w:tcPr>
            <w:tcW w:w="1325" w:type="dxa"/>
            <w:vAlign w:val="center"/>
          </w:tcPr>
          <w:p w:rsidR="004A6904" w:rsidRPr="000E697C" w:rsidP="004A6904" w14:paraId="0F1B5D04" w14:textId="0A786366">
            <w:pPr>
              <w:widowControl/>
              <w:jc w:val="center"/>
            </w:pPr>
            <w:r w:rsidRPr="000E697C">
              <w:t>600</w:t>
            </w:r>
          </w:p>
        </w:tc>
        <w:tc>
          <w:tcPr>
            <w:tcW w:w="1395" w:type="dxa"/>
            <w:vAlign w:val="center"/>
          </w:tcPr>
          <w:p w:rsidR="004A6904" w:rsidRPr="000E697C" w:rsidP="004A6904" w14:paraId="27CC163B" w14:textId="29108736">
            <w:pPr>
              <w:widowControl/>
              <w:jc w:val="center"/>
            </w:pPr>
            <w:r w:rsidRPr="000E697C">
              <w:t>1,849.98 hours</w:t>
            </w:r>
          </w:p>
        </w:tc>
      </w:tr>
      <w:tr w14:paraId="2C4697A1" w14:textId="77777777" w:rsidTr="000E697C">
        <w:tblPrEx>
          <w:tblW w:w="8640" w:type="dxa"/>
          <w:jc w:val="center"/>
          <w:tblCellMar>
            <w:left w:w="29" w:type="dxa"/>
            <w:right w:w="29" w:type="dxa"/>
          </w:tblCellMar>
          <w:tblLook w:val="04A0"/>
        </w:tblPrEx>
        <w:trPr>
          <w:trHeight w:val="647"/>
          <w:jc w:val="center"/>
        </w:trPr>
        <w:tc>
          <w:tcPr>
            <w:tcW w:w="1349" w:type="dxa"/>
            <w:vAlign w:val="center"/>
          </w:tcPr>
          <w:p w:rsidR="004A6904" w:rsidRPr="000E697C" w:rsidP="004A6904" w14:paraId="56A6DA0F" w14:textId="07CD0DD9">
            <w:pPr>
              <w:widowControl/>
              <w:jc w:val="center"/>
              <w:rPr>
                <w:b/>
                <w:bCs/>
              </w:rPr>
            </w:pPr>
            <w:r w:rsidRPr="000E697C">
              <w:rPr>
                <w:b/>
                <w:bCs/>
              </w:rPr>
              <w:t>Totals</w:t>
            </w:r>
          </w:p>
        </w:tc>
        <w:tc>
          <w:tcPr>
            <w:tcW w:w="1616" w:type="dxa"/>
            <w:vAlign w:val="center"/>
          </w:tcPr>
          <w:p w:rsidR="004A6904" w:rsidRPr="000E697C" w:rsidP="004A6904" w14:paraId="5A08557A" w14:textId="375E20EE">
            <w:pPr>
              <w:widowControl/>
              <w:jc w:val="center"/>
              <w:rPr>
                <w:b/>
                <w:bCs/>
              </w:rPr>
            </w:pPr>
          </w:p>
        </w:tc>
        <w:tc>
          <w:tcPr>
            <w:tcW w:w="1707" w:type="dxa"/>
            <w:vAlign w:val="center"/>
          </w:tcPr>
          <w:p w:rsidR="004A6904" w:rsidRPr="000E697C" w:rsidP="004A6904" w14:paraId="0CC415F8" w14:textId="65F92716">
            <w:pPr>
              <w:widowControl/>
              <w:jc w:val="center"/>
              <w:rPr>
                <w:b/>
                <w:bCs/>
              </w:rPr>
            </w:pPr>
          </w:p>
        </w:tc>
        <w:tc>
          <w:tcPr>
            <w:tcW w:w="1248" w:type="dxa"/>
            <w:vAlign w:val="center"/>
          </w:tcPr>
          <w:p w:rsidR="004A6904" w:rsidRPr="000E697C" w:rsidP="004A6904" w14:paraId="598B8D1B" w14:textId="7BDA8762">
            <w:pPr>
              <w:widowControl/>
              <w:jc w:val="center"/>
              <w:rPr>
                <w:b/>
                <w:bCs/>
              </w:rPr>
            </w:pPr>
            <w:r w:rsidRPr="000E697C">
              <w:rPr>
                <w:b/>
                <w:bCs/>
              </w:rPr>
              <w:t>(avg. 5.5361 hours)</w:t>
            </w:r>
          </w:p>
        </w:tc>
        <w:tc>
          <w:tcPr>
            <w:tcW w:w="1325" w:type="dxa"/>
            <w:vAlign w:val="center"/>
          </w:tcPr>
          <w:p w:rsidR="004A6904" w:rsidRPr="000E697C" w:rsidP="004A6904" w14:paraId="59B11F9F" w14:textId="11C53108">
            <w:pPr>
              <w:widowControl/>
              <w:jc w:val="center"/>
              <w:rPr>
                <w:b/>
                <w:bCs/>
              </w:rPr>
            </w:pPr>
            <w:r w:rsidRPr="000E697C">
              <w:rPr>
                <w:b/>
                <w:bCs/>
              </w:rPr>
              <w:t>8,300</w:t>
            </w:r>
          </w:p>
        </w:tc>
        <w:tc>
          <w:tcPr>
            <w:tcW w:w="1395" w:type="dxa"/>
            <w:vAlign w:val="center"/>
          </w:tcPr>
          <w:p w:rsidR="004A6904" w:rsidRPr="000E697C" w:rsidP="004A6904" w14:paraId="7B16F64B" w14:textId="22C182C9">
            <w:pPr>
              <w:widowControl/>
              <w:jc w:val="center"/>
              <w:rPr>
                <w:b/>
                <w:bCs/>
              </w:rPr>
            </w:pPr>
            <w:r w:rsidRPr="000E697C">
              <w:rPr>
                <w:b/>
                <w:bCs/>
              </w:rPr>
              <w:t>45,949.77 hours</w:t>
            </w:r>
          </w:p>
        </w:tc>
      </w:tr>
    </w:tbl>
    <w:p w:rsidR="00646954" w:rsidRPr="000E697C" w:rsidP="00646954" w14:paraId="32CCFE77" w14:textId="77777777">
      <w:pPr>
        <w:widowControl/>
        <w:ind w:left="360"/>
        <w:rPr>
          <w:sz w:val="16"/>
          <w:szCs w:val="16"/>
        </w:rPr>
      </w:pPr>
    </w:p>
    <w:p w:rsidR="00AE41DC" w:rsidRPr="000E697C" w:rsidP="00E01404" w14:paraId="3A6A57C9" w14:textId="591AD74B">
      <w:pPr>
        <w:widowControl/>
        <w:ind w:left="360"/>
      </w:pPr>
      <w:r w:rsidRPr="000E697C">
        <w:rPr>
          <w:u w:val="single"/>
        </w:rPr>
        <w:t>NOTE:</w:t>
      </w:r>
      <w:r w:rsidRPr="000E697C">
        <w:t xml:space="preserve">  Under the current regulations:  Semi-monthly beer excise taxpayers file 13 semi-monthly tax returns (3 in September) and 12 monthly operations reports; quarterly beer taxpayers file 4 tax returns and 4 quarterly operations reports; and annual taxpayers f</w:t>
      </w:r>
      <w:r w:rsidRPr="000E697C">
        <w:t xml:space="preserve">ile 1 tax return and 4 quarterly operations reports. </w:t>
      </w:r>
    </w:p>
    <w:p w:rsidR="00533D2D" w:rsidRPr="007B6B37" w:rsidP="00E01404" w14:paraId="43997962" w14:textId="77777777">
      <w:pPr>
        <w:widowControl/>
        <w:tabs>
          <w:tab w:val="left" w:pos="540"/>
        </w:tabs>
        <w:ind w:left="540" w:hanging="540"/>
        <w:rPr>
          <w:sz w:val="28"/>
          <w:szCs w:val="28"/>
        </w:rPr>
      </w:pPr>
    </w:p>
    <w:p w:rsidR="00214081" w:rsidRPr="007B6B37" w:rsidP="00E01404" w14:paraId="71D27CDD" w14:textId="77777777">
      <w:pPr>
        <w:widowControl/>
        <w:suppressAutoHyphens/>
        <w:rPr>
          <w:i/>
          <w:sz w:val="22"/>
          <w:szCs w:val="22"/>
        </w:rPr>
      </w:pPr>
      <w:r w:rsidRPr="007B6B37">
        <w:rPr>
          <w:i/>
          <w:sz w:val="22"/>
          <w:szCs w:val="22"/>
        </w:rPr>
        <w:t xml:space="preserve">16.  Outline plans for tabulation and publication for collections of information whose results will be published. </w:t>
      </w:r>
    </w:p>
    <w:p w:rsidR="00214081" w:rsidRPr="007B6B37" w:rsidP="00E01404" w14:paraId="330D2971" w14:textId="77777777">
      <w:pPr>
        <w:widowControl/>
        <w:suppressAutoHyphens/>
        <w:ind w:left="480" w:hanging="480"/>
        <w:rPr>
          <w:sz w:val="22"/>
          <w:szCs w:val="22"/>
        </w:rPr>
      </w:pPr>
    </w:p>
    <w:p w:rsidR="00E3509A" w:rsidRPr="007B6B37" w:rsidP="007B6B37" w14:paraId="11043C23" w14:textId="37A67ED9">
      <w:pPr>
        <w:widowControl/>
        <w:ind w:left="360"/>
        <w:rPr>
          <w:sz w:val="22"/>
          <w:szCs w:val="22"/>
        </w:rPr>
      </w:pPr>
      <w:r w:rsidRPr="007B6B37">
        <w:rPr>
          <w:sz w:val="22"/>
          <w:szCs w:val="22"/>
        </w:rPr>
        <w:t xml:space="preserve">Based on the </w:t>
      </w:r>
      <w:r w:rsidRPr="007B6B37" w:rsidR="00020524">
        <w:rPr>
          <w:sz w:val="22"/>
          <w:szCs w:val="22"/>
        </w:rPr>
        <w:t xml:space="preserve">information </w:t>
      </w:r>
      <w:r w:rsidRPr="007B6B37">
        <w:rPr>
          <w:sz w:val="22"/>
          <w:szCs w:val="22"/>
        </w:rPr>
        <w:t xml:space="preserve">collected on </w:t>
      </w:r>
      <w:r w:rsidRPr="007B6B37" w:rsidR="00020524">
        <w:rPr>
          <w:sz w:val="22"/>
          <w:szCs w:val="22"/>
        </w:rPr>
        <w:t xml:space="preserve">the </w:t>
      </w:r>
      <w:r w:rsidRPr="007B6B37" w:rsidR="001C4D7F">
        <w:rPr>
          <w:sz w:val="22"/>
          <w:szCs w:val="22"/>
        </w:rPr>
        <w:t xml:space="preserve">Federal excise tax returns and industry operations reports it receives, </w:t>
      </w:r>
      <w:r w:rsidRPr="007B6B37">
        <w:rPr>
          <w:sz w:val="22"/>
          <w:szCs w:val="22"/>
        </w:rPr>
        <w:t xml:space="preserve">TTB compiles </w:t>
      </w:r>
      <w:r w:rsidRPr="007B6B37" w:rsidR="001C4D7F">
        <w:rPr>
          <w:sz w:val="22"/>
          <w:szCs w:val="22"/>
        </w:rPr>
        <w:t>periodic</w:t>
      </w:r>
      <w:r w:rsidRPr="007B6B37" w:rsidR="007B6B37">
        <w:rPr>
          <w:sz w:val="22"/>
          <w:szCs w:val="22"/>
        </w:rPr>
        <w:t>, generalized</w:t>
      </w:r>
      <w:r w:rsidRPr="007B6B37" w:rsidR="001C4D7F">
        <w:rPr>
          <w:sz w:val="22"/>
          <w:szCs w:val="22"/>
        </w:rPr>
        <w:t xml:space="preserve"> </w:t>
      </w:r>
      <w:r w:rsidRPr="007B6B37" w:rsidR="007B6B37">
        <w:rPr>
          <w:sz w:val="22"/>
          <w:szCs w:val="22"/>
        </w:rPr>
        <w:t xml:space="preserve">reports regarding </w:t>
      </w:r>
      <w:r w:rsidRPr="007B6B37">
        <w:rPr>
          <w:sz w:val="22"/>
          <w:szCs w:val="22"/>
        </w:rPr>
        <w:t xml:space="preserve">the amount of </w:t>
      </w:r>
      <w:r w:rsidRPr="007B6B37" w:rsidR="001034D4">
        <w:rPr>
          <w:sz w:val="22"/>
          <w:szCs w:val="22"/>
        </w:rPr>
        <w:t xml:space="preserve">Federal alcohol </w:t>
      </w:r>
      <w:r w:rsidRPr="007B6B37">
        <w:rPr>
          <w:sz w:val="22"/>
          <w:szCs w:val="22"/>
        </w:rPr>
        <w:t xml:space="preserve">excise taxes </w:t>
      </w:r>
      <w:r w:rsidRPr="007B6B37" w:rsidR="00020524">
        <w:rPr>
          <w:sz w:val="22"/>
          <w:szCs w:val="22"/>
        </w:rPr>
        <w:t>its collects</w:t>
      </w:r>
      <w:r w:rsidRPr="007B6B37" w:rsidR="001C4D7F">
        <w:rPr>
          <w:sz w:val="22"/>
          <w:szCs w:val="22"/>
        </w:rPr>
        <w:t xml:space="preserve">, and </w:t>
      </w:r>
      <w:r w:rsidRPr="007B6B37" w:rsidR="007B6B37">
        <w:rPr>
          <w:sz w:val="22"/>
          <w:szCs w:val="22"/>
        </w:rPr>
        <w:t>certain aspects of alcohol producer operations, including the amount of alcohol produced and removed.  This generalized information is available on the TTB website (</w:t>
      </w:r>
      <w:r w:rsidRPr="007B6B37" w:rsidR="007B6B37">
        <w:rPr>
          <w:i/>
          <w:iCs/>
          <w:sz w:val="22"/>
          <w:szCs w:val="22"/>
        </w:rPr>
        <w:t>https://www.ttb.gov/statistics</w:t>
      </w:r>
      <w:r w:rsidRPr="007B6B37" w:rsidR="007B6B37">
        <w:rPr>
          <w:sz w:val="22"/>
          <w:szCs w:val="22"/>
        </w:rPr>
        <w:t xml:space="preserve">) for use by other </w:t>
      </w:r>
      <w:r w:rsidRPr="007B6B37" w:rsidR="00B33781">
        <w:rPr>
          <w:sz w:val="22"/>
          <w:szCs w:val="22"/>
        </w:rPr>
        <w:t>Federal agencies, State and local governments, academic institutions, industry members, and the public</w:t>
      </w:r>
      <w:r w:rsidRPr="007B6B37" w:rsidR="007B6B37">
        <w:rPr>
          <w:sz w:val="22"/>
          <w:szCs w:val="22"/>
        </w:rPr>
        <w:t xml:space="preserve"> for </w:t>
      </w:r>
      <w:r w:rsidRPr="007B6B37" w:rsidR="00B33781">
        <w:rPr>
          <w:sz w:val="22"/>
          <w:szCs w:val="22"/>
        </w:rPr>
        <w:t>a variety of economic analysis, planning, and statistical purposes.</w:t>
      </w:r>
      <w:r w:rsidRPr="007B6B37" w:rsidR="007B6B37">
        <w:rPr>
          <w:sz w:val="22"/>
          <w:szCs w:val="22"/>
        </w:rPr>
        <w:t xml:space="preserve"> </w:t>
      </w:r>
    </w:p>
    <w:p w:rsidR="00533D2D" w:rsidRPr="007B6B37" w:rsidP="00E01404" w14:paraId="3FF5476C" w14:textId="77777777">
      <w:pPr>
        <w:widowControl/>
        <w:tabs>
          <w:tab w:val="left" w:pos="540"/>
        </w:tabs>
        <w:ind w:left="540" w:hanging="540"/>
        <w:rPr>
          <w:sz w:val="28"/>
          <w:szCs w:val="28"/>
        </w:rPr>
      </w:pPr>
    </w:p>
    <w:p w:rsidR="00214081" w:rsidRPr="007B6B37" w:rsidP="00E01404" w14:paraId="3FC1BF18" w14:textId="2321BB37">
      <w:pPr>
        <w:widowControl/>
        <w:suppressAutoHyphens/>
        <w:rPr>
          <w:i/>
          <w:sz w:val="22"/>
          <w:szCs w:val="22"/>
        </w:rPr>
      </w:pPr>
      <w:r w:rsidRPr="007B6B37">
        <w:rPr>
          <w:i/>
          <w:sz w:val="22"/>
          <w:szCs w:val="22"/>
        </w:rPr>
        <w:t xml:space="preserve">17.  If seeking approval to not display the expiration date for OMB approval of this information collection, what are the reasons that the display would be inappropriate? </w:t>
      </w:r>
    </w:p>
    <w:p w:rsidR="00214081" w:rsidRPr="007B6B37" w:rsidP="00E01404" w14:paraId="06CCD2CA" w14:textId="77777777">
      <w:pPr>
        <w:widowControl/>
        <w:suppressAutoHyphens/>
        <w:rPr>
          <w:i/>
          <w:sz w:val="22"/>
          <w:szCs w:val="22"/>
        </w:rPr>
      </w:pPr>
    </w:p>
    <w:p w:rsidR="006F543C" w:rsidRPr="007B6B37" w:rsidP="00E01404" w14:paraId="7ABF4567" w14:textId="42526B5D">
      <w:pPr>
        <w:widowControl/>
        <w:ind w:left="360"/>
        <w:rPr>
          <w:sz w:val="22"/>
          <w:szCs w:val="22"/>
        </w:rPr>
      </w:pPr>
      <w:r w:rsidRPr="007B6B37">
        <w:rPr>
          <w:sz w:val="22"/>
          <w:szCs w:val="22"/>
        </w:rPr>
        <w:t xml:space="preserve">As a cost saving measure for both TTB and the </w:t>
      </w:r>
      <w:r w:rsidRPr="007B6B37" w:rsidR="00020524">
        <w:rPr>
          <w:sz w:val="22"/>
          <w:szCs w:val="22"/>
        </w:rPr>
        <w:t>public</w:t>
      </w:r>
      <w:r w:rsidRPr="007B6B37">
        <w:rPr>
          <w:sz w:val="22"/>
          <w:szCs w:val="22"/>
        </w:rPr>
        <w:t xml:space="preserve">, TTB is seeking approval not to display the expiration date </w:t>
      </w:r>
      <w:r w:rsidRPr="007B6B37" w:rsidR="00020524">
        <w:rPr>
          <w:sz w:val="22"/>
          <w:szCs w:val="22"/>
        </w:rPr>
        <w:t>this information collection</w:t>
      </w:r>
      <w:r w:rsidRPr="007B6B37" w:rsidR="00B33781">
        <w:rPr>
          <w:sz w:val="22"/>
          <w:szCs w:val="22"/>
        </w:rPr>
        <w:t xml:space="preserve"> request’</w:t>
      </w:r>
      <w:r w:rsidRPr="007B6B37" w:rsidR="00020524">
        <w:rPr>
          <w:sz w:val="22"/>
          <w:szCs w:val="22"/>
        </w:rPr>
        <w:t xml:space="preserve">s </w:t>
      </w:r>
      <w:r w:rsidRPr="007B6B37">
        <w:rPr>
          <w:sz w:val="22"/>
          <w:szCs w:val="22"/>
        </w:rPr>
        <w:t xml:space="preserve">OMB approval </w:t>
      </w:r>
      <w:r w:rsidRPr="007B6B37" w:rsidR="00020524">
        <w:rPr>
          <w:sz w:val="22"/>
          <w:szCs w:val="22"/>
        </w:rPr>
        <w:t>on its related form</w:t>
      </w:r>
      <w:r w:rsidRPr="007B6B37" w:rsidR="00B33781">
        <w:rPr>
          <w:sz w:val="22"/>
          <w:szCs w:val="22"/>
        </w:rPr>
        <w:t xml:space="preserve">s or their electronic equivalents.  By </w:t>
      </w:r>
      <w:r w:rsidRPr="007B6B37">
        <w:rPr>
          <w:sz w:val="22"/>
          <w:szCs w:val="22"/>
        </w:rPr>
        <w:t>not displaying th</w:t>
      </w:r>
      <w:r w:rsidRPr="007B6B37" w:rsidR="00020524">
        <w:rPr>
          <w:sz w:val="22"/>
          <w:szCs w:val="22"/>
        </w:rPr>
        <w:t xml:space="preserve">at </w:t>
      </w:r>
      <w:r w:rsidRPr="007B6B37">
        <w:rPr>
          <w:sz w:val="22"/>
          <w:szCs w:val="22"/>
        </w:rPr>
        <w:t>date</w:t>
      </w:r>
      <w:r w:rsidRPr="007B6B37" w:rsidR="00B33781">
        <w:rPr>
          <w:sz w:val="22"/>
          <w:szCs w:val="22"/>
        </w:rPr>
        <w:t>, TT</w:t>
      </w:r>
      <w:r w:rsidRPr="007B6B37">
        <w:rPr>
          <w:sz w:val="22"/>
          <w:szCs w:val="22"/>
        </w:rPr>
        <w:t>B will not have to update th</w:t>
      </w:r>
      <w:r w:rsidRPr="007B6B37" w:rsidR="00B33781">
        <w:rPr>
          <w:sz w:val="22"/>
          <w:szCs w:val="22"/>
        </w:rPr>
        <w:t>at date on each form and their electronic versions each</w:t>
      </w:r>
      <w:r w:rsidRPr="007B6B37">
        <w:rPr>
          <w:sz w:val="22"/>
          <w:szCs w:val="22"/>
        </w:rPr>
        <w:t xml:space="preserve"> time th</w:t>
      </w:r>
      <w:r w:rsidRPr="007B6B37" w:rsidR="00422598">
        <w:rPr>
          <w:sz w:val="22"/>
          <w:szCs w:val="22"/>
        </w:rPr>
        <w:t>at OMB approves this</w:t>
      </w:r>
      <w:r w:rsidRPr="007B6B37">
        <w:rPr>
          <w:sz w:val="22"/>
          <w:szCs w:val="22"/>
        </w:rPr>
        <w:t xml:space="preserve"> information collection</w:t>
      </w:r>
      <w:r w:rsidRPr="007B6B37" w:rsidR="00B33781">
        <w:rPr>
          <w:sz w:val="22"/>
          <w:szCs w:val="22"/>
        </w:rPr>
        <w:t xml:space="preserve"> request</w:t>
      </w:r>
      <w:r w:rsidRPr="007B6B37" w:rsidR="00422598">
        <w:rPr>
          <w:sz w:val="22"/>
          <w:szCs w:val="22"/>
        </w:rPr>
        <w:t xml:space="preserve">.  Removing the OMB expiration date from </w:t>
      </w:r>
      <w:r w:rsidRPr="007B6B37" w:rsidR="00B33781">
        <w:rPr>
          <w:sz w:val="22"/>
          <w:szCs w:val="22"/>
        </w:rPr>
        <w:t xml:space="preserve">those collection instruments </w:t>
      </w:r>
      <w:r w:rsidRPr="007B6B37" w:rsidR="00422598">
        <w:rPr>
          <w:sz w:val="22"/>
          <w:szCs w:val="22"/>
        </w:rPr>
        <w:t xml:space="preserve">also </w:t>
      </w:r>
      <w:r w:rsidRPr="007B6B37">
        <w:rPr>
          <w:sz w:val="22"/>
          <w:szCs w:val="22"/>
        </w:rPr>
        <w:t xml:space="preserve">avoids confusion among </w:t>
      </w:r>
      <w:r w:rsidRPr="007B6B37" w:rsidR="00B33781">
        <w:rPr>
          <w:sz w:val="22"/>
          <w:szCs w:val="22"/>
        </w:rPr>
        <w:t xml:space="preserve">their </w:t>
      </w:r>
      <w:r w:rsidRPr="007B6B37">
        <w:rPr>
          <w:sz w:val="22"/>
          <w:szCs w:val="22"/>
        </w:rPr>
        <w:t>users when th</w:t>
      </w:r>
      <w:r w:rsidRPr="007B6B37" w:rsidR="00422598">
        <w:rPr>
          <w:sz w:val="22"/>
          <w:szCs w:val="22"/>
        </w:rPr>
        <w:t xml:space="preserve">at </w:t>
      </w:r>
      <w:r w:rsidRPr="007B6B37">
        <w:rPr>
          <w:sz w:val="22"/>
          <w:szCs w:val="22"/>
        </w:rPr>
        <w:t xml:space="preserve">date </w:t>
      </w:r>
      <w:r w:rsidRPr="007B6B37" w:rsidR="00422598">
        <w:rPr>
          <w:sz w:val="22"/>
          <w:szCs w:val="22"/>
        </w:rPr>
        <w:t xml:space="preserve">has passed but the collection is still under OMB review.  </w:t>
      </w:r>
      <w:r w:rsidRPr="007B6B37">
        <w:rPr>
          <w:sz w:val="22"/>
          <w:szCs w:val="22"/>
        </w:rPr>
        <w:t xml:space="preserve">In addition, TTB-regulated businesses will not have to </w:t>
      </w:r>
      <w:r w:rsidRPr="007B6B37">
        <w:rPr>
          <w:sz w:val="22"/>
          <w:szCs w:val="22"/>
        </w:rPr>
        <w:t xml:space="preserve">update their stocks of paper forms or alter electronic copies of the </w:t>
      </w:r>
      <w:r w:rsidRPr="007B6B37" w:rsidR="00B33781">
        <w:rPr>
          <w:sz w:val="22"/>
          <w:szCs w:val="22"/>
        </w:rPr>
        <w:t>collection instruments</w:t>
      </w:r>
      <w:r w:rsidRPr="007B6B37">
        <w:rPr>
          <w:sz w:val="22"/>
          <w:szCs w:val="22"/>
        </w:rPr>
        <w:t xml:space="preserve">, including any versions </w:t>
      </w:r>
      <w:r w:rsidRPr="007B6B37" w:rsidR="00B33781">
        <w:rPr>
          <w:sz w:val="22"/>
          <w:szCs w:val="22"/>
        </w:rPr>
        <w:t>p</w:t>
      </w:r>
      <w:r w:rsidRPr="007B6B37">
        <w:rPr>
          <w:sz w:val="22"/>
          <w:szCs w:val="22"/>
        </w:rPr>
        <w:t>roduced by some businesses, at their own expense, for use with their elec</w:t>
      </w:r>
      <w:r w:rsidRPr="007B6B37">
        <w:rPr>
          <w:sz w:val="22"/>
          <w:szCs w:val="22"/>
        </w:rPr>
        <w:t xml:space="preserve">tronic systems or for sale. </w:t>
      </w:r>
    </w:p>
    <w:p w:rsidR="00533D2D" w:rsidRPr="007B6B37" w:rsidP="00E01404" w14:paraId="16D67F33" w14:textId="77777777">
      <w:pPr>
        <w:widowControl/>
        <w:tabs>
          <w:tab w:val="left" w:pos="540"/>
        </w:tabs>
        <w:ind w:left="540" w:hanging="540"/>
        <w:rPr>
          <w:sz w:val="28"/>
          <w:szCs w:val="28"/>
        </w:rPr>
      </w:pPr>
    </w:p>
    <w:p w:rsidR="00214081" w:rsidRPr="007B6B37" w:rsidP="00E01404" w14:paraId="3DDA87E4" w14:textId="1B05848F">
      <w:pPr>
        <w:widowControl/>
        <w:suppressAutoHyphens/>
        <w:rPr>
          <w:i/>
          <w:sz w:val="22"/>
          <w:szCs w:val="22"/>
        </w:rPr>
      </w:pPr>
      <w:r w:rsidRPr="007B6B37">
        <w:rPr>
          <w:i/>
          <w:sz w:val="22"/>
          <w:szCs w:val="22"/>
        </w:rPr>
        <w:t>18.  What are the exceptions to the certification statement?</w:t>
      </w:r>
      <w:r w:rsidRPr="007B6B37" w:rsidR="008204A8">
        <w:rPr>
          <w:i/>
          <w:sz w:val="22"/>
          <w:szCs w:val="22"/>
        </w:rPr>
        <w:t xml:space="preserve"> </w:t>
      </w:r>
    </w:p>
    <w:p w:rsidR="00214081" w:rsidRPr="007B6B37" w:rsidP="007B6B37" w14:paraId="039C10CC" w14:textId="77777777">
      <w:pPr>
        <w:widowControl/>
        <w:suppressAutoHyphens/>
        <w:rPr>
          <w:sz w:val="22"/>
          <w:szCs w:val="22"/>
        </w:rPr>
      </w:pPr>
    </w:p>
    <w:p w:rsidR="006F543C" w:rsidRPr="007B6B37" w:rsidP="00E01404" w14:paraId="73E0D4FB" w14:textId="7794D3D9">
      <w:pPr>
        <w:widowControl/>
        <w:numPr>
          <w:ilvl w:val="0"/>
          <w:numId w:val="8"/>
        </w:numPr>
        <w:tabs>
          <w:tab w:val="left" w:pos="720"/>
        </w:tabs>
        <w:rPr>
          <w:sz w:val="22"/>
          <w:szCs w:val="22"/>
        </w:rPr>
      </w:pPr>
      <w:r w:rsidRPr="007B6B37">
        <w:rPr>
          <w:sz w:val="22"/>
          <w:szCs w:val="22"/>
        </w:rPr>
        <w:t xml:space="preserve">No statistics are involved. </w:t>
      </w:r>
    </w:p>
    <w:p w:rsidR="00870E7B" w:rsidRPr="007B6B37" w:rsidP="00E01404" w14:paraId="1F8FF610" w14:textId="7B9AF4F3">
      <w:pPr>
        <w:widowControl/>
        <w:tabs>
          <w:tab w:val="left" w:pos="540"/>
        </w:tabs>
        <w:ind w:left="540" w:hanging="540"/>
        <w:rPr>
          <w:sz w:val="28"/>
          <w:szCs w:val="28"/>
        </w:rPr>
      </w:pPr>
    </w:p>
    <w:p w:rsidR="00CE3C8B" w:rsidRPr="007B6B37" w:rsidP="00E01404" w14:paraId="02B405F1" w14:textId="77777777">
      <w:pPr>
        <w:widowControl/>
        <w:tabs>
          <w:tab w:val="left" w:pos="540"/>
        </w:tabs>
        <w:ind w:left="540" w:hanging="540"/>
        <w:rPr>
          <w:sz w:val="28"/>
          <w:szCs w:val="28"/>
        </w:rPr>
      </w:pPr>
    </w:p>
    <w:p w:rsidR="00533D2D" w:rsidRPr="007B6B37" w:rsidP="00E01404" w14:paraId="70DF8200" w14:textId="77777777">
      <w:pPr>
        <w:widowControl/>
        <w:tabs>
          <w:tab w:val="left" w:pos="540"/>
        </w:tabs>
        <w:ind w:left="540" w:hanging="540"/>
        <w:rPr>
          <w:sz w:val="22"/>
          <w:szCs w:val="22"/>
        </w:rPr>
      </w:pPr>
      <w:r w:rsidRPr="007B6B37">
        <w:rPr>
          <w:b/>
          <w:bCs/>
          <w:sz w:val="22"/>
          <w:szCs w:val="22"/>
        </w:rPr>
        <w:t xml:space="preserve">B.  </w:t>
      </w:r>
      <w:r w:rsidRPr="007B6B37">
        <w:rPr>
          <w:b/>
          <w:bCs/>
          <w:sz w:val="22"/>
          <w:szCs w:val="22"/>
          <w:u w:val="single"/>
        </w:rPr>
        <w:t>Collection of Information Employing Statistical Methods</w:t>
      </w:r>
      <w:r w:rsidRPr="007B6B37">
        <w:rPr>
          <w:b/>
          <w:bCs/>
          <w:sz w:val="22"/>
          <w:szCs w:val="22"/>
        </w:rPr>
        <w:t>.</w:t>
      </w:r>
      <w:r w:rsidRPr="007B6B37">
        <w:rPr>
          <w:sz w:val="22"/>
          <w:szCs w:val="22"/>
        </w:rPr>
        <w:t xml:space="preserve"> </w:t>
      </w:r>
    </w:p>
    <w:p w:rsidR="00533D2D" w:rsidRPr="007B6B37" w:rsidP="00E01404" w14:paraId="498B3110" w14:textId="77777777">
      <w:pPr>
        <w:widowControl/>
        <w:tabs>
          <w:tab w:val="left" w:pos="540"/>
        </w:tabs>
        <w:ind w:left="540" w:hanging="540"/>
        <w:rPr>
          <w:sz w:val="22"/>
          <w:szCs w:val="22"/>
        </w:rPr>
      </w:pPr>
    </w:p>
    <w:p w:rsidR="00533D2D" w:rsidRPr="007B6B37" w:rsidP="00CE3C8B" w14:paraId="7BE5FE69" w14:textId="3CB42A4D">
      <w:pPr>
        <w:widowControl/>
        <w:ind w:left="360"/>
        <w:rPr>
          <w:sz w:val="22"/>
          <w:szCs w:val="22"/>
        </w:rPr>
      </w:pPr>
      <w:r w:rsidRPr="007B6B37">
        <w:rPr>
          <w:sz w:val="22"/>
          <w:szCs w:val="22"/>
        </w:rPr>
        <w:t xml:space="preserve">This </w:t>
      </w:r>
      <w:r w:rsidRPr="007B6B37" w:rsidR="007B6B37">
        <w:rPr>
          <w:sz w:val="22"/>
          <w:szCs w:val="22"/>
        </w:rPr>
        <w:t xml:space="preserve">information collection request </w:t>
      </w:r>
      <w:r w:rsidRPr="007B6B37">
        <w:rPr>
          <w:sz w:val="22"/>
          <w:szCs w:val="22"/>
        </w:rPr>
        <w:t xml:space="preserve">does not employ statistical methods. </w:t>
      </w:r>
    </w:p>
    <w:p w:rsidR="00CE3C8B" w:rsidRPr="007B6B37" w:rsidP="00CE3C8B" w14:paraId="3D6EAF3A" w14:textId="56898C18">
      <w:pPr>
        <w:widowControl/>
        <w:rPr>
          <w:sz w:val="22"/>
          <w:szCs w:val="22"/>
        </w:rPr>
      </w:pPr>
    </w:p>
    <w:sectPr w:rsidSect="007D3639">
      <w:headerReference w:type="even" r:id="rId7"/>
      <w:headerReference w:type="default" r:id="rId8"/>
      <w:footerReference w:type="default" r:id="rId9"/>
      <w:footerReference w:type="first" r:id="rId10"/>
      <w:pgSz w:w="12240" w:h="15840" w:code="1"/>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7439" w:rsidP="00611F20" w14:paraId="5738AD76" w14:textId="69CF5DD5">
    <w:pPr>
      <w:pStyle w:val="Footer"/>
      <w:tabs>
        <w:tab w:val="clear" w:pos="4680"/>
      </w:tabs>
    </w:pPr>
    <w:r>
      <w:tab/>
    </w:r>
    <w:r w:rsidRPr="00BF3FEA" w:rsidR="00BF3FEA">
      <w:t>OMB No. 1513–NEW Supporting Statement (10–2023)</w:t>
    </w:r>
    <w:r w:rsidRPr="00611F20" w:rsidR="00611F2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7439" w:rsidRPr="00611F20" w:rsidP="007D3639" w14:paraId="1ECC6F7B" w14:textId="5647ECEC">
    <w:pPr>
      <w:pStyle w:val="Footer"/>
      <w:tabs>
        <w:tab w:val="clear" w:pos="4680"/>
      </w:tabs>
    </w:pPr>
    <w:r>
      <w:rPr>
        <w:sz w:val="22"/>
        <w:szCs w:val="22"/>
      </w:rPr>
      <w:tab/>
    </w:r>
    <w:bookmarkStart w:id="3" w:name="_Hlk147240031"/>
    <w:bookmarkStart w:id="4" w:name="_Hlk147240032"/>
    <w:r w:rsidRPr="00611F20" w:rsidR="00611F20">
      <w:t xml:space="preserve">OMB No. </w:t>
    </w:r>
    <w:r w:rsidRPr="00611F20">
      <w:t>1513–</w:t>
    </w:r>
    <w:r w:rsidR="00BF3FEA">
      <w:t xml:space="preserve">NEW </w:t>
    </w:r>
    <w:r w:rsidRPr="00611F20">
      <w:t>Supporting Statement (</w:t>
    </w:r>
    <w:r w:rsidRPr="00611F20" w:rsidR="00611F20">
      <w:t>1</w:t>
    </w:r>
    <w:r w:rsidR="00BF3FEA">
      <w:t>0</w:t>
    </w:r>
    <w:r w:rsidRPr="00611F20">
      <w:t>–20</w:t>
    </w:r>
    <w:r w:rsidRPr="00611F20" w:rsidR="00611F20">
      <w:t>2</w:t>
    </w:r>
    <w:r w:rsidR="00BF3FEA">
      <w:t>3</w:t>
    </w:r>
    <w:r w:rsidRPr="00611F20">
      <w:t xml:space="preserve">) </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5F8E" w14:paraId="1A67BE90" w14:textId="77777777">
      <w:r>
        <w:separator/>
      </w:r>
    </w:p>
  </w:footnote>
  <w:footnote w:type="continuationSeparator" w:id="1">
    <w:p w:rsidR="00885F8E" w14:paraId="230562FF" w14:textId="77777777">
      <w:r>
        <w:continuationSeparator/>
      </w:r>
    </w:p>
  </w:footnote>
  <w:footnote w:id="2">
    <w:p w:rsidR="000C7439" w:rsidRPr="002A600B" w:rsidP="00AC7775" w14:paraId="4D6BC7DF" w14:textId="7B6A985A">
      <w:pPr>
        <w:pStyle w:val="FootnoteText"/>
        <w:ind w:firstLine="270"/>
        <w:rPr>
          <w:sz w:val="18"/>
          <w:szCs w:val="18"/>
        </w:rPr>
      </w:pPr>
      <w:r w:rsidRPr="002A600B">
        <w:rPr>
          <w:rStyle w:val="FootnoteReference"/>
          <w:sz w:val="22"/>
          <w:szCs w:val="22"/>
        </w:rPr>
        <w:footnoteRef/>
      </w:r>
      <w:r w:rsidRPr="002A600B">
        <w:rPr>
          <w:sz w:val="22"/>
          <w:szCs w:val="22"/>
        </w:rPr>
        <w:t xml:space="preserve"> </w:t>
      </w:r>
      <w:bookmarkStart w:id="0" w:name="_Hlk147317757"/>
      <w:r w:rsidRPr="002A600B" w:rsidR="002A600B">
        <w:rPr>
          <w:sz w:val="18"/>
          <w:szCs w:val="18"/>
        </w:rPr>
        <w:t xml:space="preserve">Under 26 U.S.C. 5061(d)(4), to use annual filing, an alcohol excise taxpayer must reasonably expect to be liable for no more than $1,000 in excise taxes for the calendar year and must </w:t>
      </w:r>
      <w:r w:rsidR="00E10B01">
        <w:rPr>
          <w:sz w:val="18"/>
          <w:szCs w:val="18"/>
        </w:rPr>
        <w:t xml:space="preserve">have been </w:t>
      </w:r>
      <w:r w:rsidRPr="002A600B" w:rsidR="002A600B">
        <w:rPr>
          <w:sz w:val="18"/>
          <w:szCs w:val="18"/>
        </w:rPr>
        <w:t xml:space="preserve">liable for not more than $1,000 in such taxes in the preceding calendar year.  To use quarterly filing, </w:t>
      </w:r>
      <w:r w:rsidR="00855F18">
        <w:rPr>
          <w:sz w:val="18"/>
          <w:szCs w:val="18"/>
        </w:rPr>
        <w:t xml:space="preserve">an alcohol excise </w:t>
      </w:r>
      <w:r w:rsidRPr="002A600B" w:rsidR="002A600B">
        <w:rPr>
          <w:sz w:val="18"/>
          <w:szCs w:val="18"/>
        </w:rPr>
        <w:t xml:space="preserve">taxpayer must reasonably expect to be liable for no more than $50,000 in excise taxes for the calendar year and must </w:t>
      </w:r>
      <w:r w:rsidR="00E10B01">
        <w:rPr>
          <w:sz w:val="18"/>
          <w:szCs w:val="18"/>
        </w:rPr>
        <w:t xml:space="preserve">have been </w:t>
      </w:r>
      <w:r w:rsidRPr="002A600B" w:rsidR="002A600B">
        <w:rPr>
          <w:sz w:val="18"/>
          <w:szCs w:val="18"/>
        </w:rPr>
        <w:t xml:space="preserve">liable for not more than $50,000 in such taxes in the preceding calendar year. </w:t>
      </w:r>
    </w:p>
    <w:bookmarkEnd w:id="0"/>
  </w:footnote>
  <w:footnote w:id="3">
    <w:p w:rsidR="000A5EC1" w:rsidRPr="000A5EC1" w:rsidP="000A5EC1" w14:paraId="1BB4F095" w14:textId="18AB7ABB">
      <w:pPr>
        <w:pStyle w:val="FootnoteText"/>
        <w:ind w:firstLine="360"/>
        <w:rPr>
          <w:sz w:val="18"/>
          <w:szCs w:val="18"/>
        </w:rPr>
      </w:pPr>
      <w:r w:rsidRPr="000A5EC1">
        <w:rPr>
          <w:rStyle w:val="FootnoteReference"/>
          <w:sz w:val="22"/>
          <w:szCs w:val="22"/>
        </w:rPr>
        <w:footnoteRef/>
      </w:r>
      <w:r w:rsidRPr="000A5EC1">
        <w:rPr>
          <w:sz w:val="22"/>
          <w:szCs w:val="22"/>
        </w:rPr>
        <w:t xml:space="preserve"> </w:t>
      </w:r>
      <w:r w:rsidRPr="000A5EC1">
        <w:rPr>
          <w:sz w:val="18"/>
          <w:szCs w:val="18"/>
        </w:rPr>
        <w:t xml:space="preserve">Under 26 U.S.C. 5207, </w:t>
      </w:r>
      <w:r>
        <w:rPr>
          <w:sz w:val="18"/>
          <w:szCs w:val="18"/>
        </w:rPr>
        <w:t>DSP</w:t>
      </w:r>
      <w:r w:rsidRPr="000A5EC1">
        <w:rPr>
          <w:sz w:val="18"/>
          <w:szCs w:val="18"/>
        </w:rPr>
        <w:t xml:space="preserve"> proprietors must keep separate production, storage, processing, and denaturation accounts and submit reports on those activities </w:t>
      </w:r>
      <w:r>
        <w:rPr>
          <w:sz w:val="18"/>
          <w:szCs w:val="18"/>
        </w:rPr>
        <w:t>as t</w:t>
      </w:r>
      <w:r w:rsidRPr="000A5EC1">
        <w:rPr>
          <w:sz w:val="18"/>
          <w:szCs w:val="18"/>
        </w:rPr>
        <w:t>he Secretary prescribes by regulation.</w:t>
      </w:r>
      <w:r>
        <w:rPr>
          <w:sz w:val="18"/>
          <w:szCs w:val="18"/>
        </w:rPr>
        <w:t xml:space="preserve"> </w:t>
      </w:r>
    </w:p>
  </w:footnote>
  <w:footnote w:id="4">
    <w:p w:rsidR="00A00427" w:rsidRPr="00E942AE" w:rsidP="00654B9E" w14:paraId="7E1153BF" w14:textId="17A48BF4">
      <w:pPr>
        <w:suppressAutoHyphens/>
        <w:ind w:firstLine="270"/>
        <w:rPr>
          <w:sz w:val="18"/>
          <w:szCs w:val="18"/>
        </w:rPr>
      </w:pPr>
      <w:r w:rsidRPr="00597C08">
        <w:rPr>
          <w:rStyle w:val="FootnoteReference"/>
          <w:sz w:val="22"/>
          <w:szCs w:val="22"/>
        </w:rPr>
        <w:footnoteRef/>
      </w:r>
      <w:r w:rsidRPr="00597C08">
        <w:rPr>
          <w:sz w:val="22"/>
          <w:szCs w:val="22"/>
        </w:rPr>
        <w:t xml:space="preserve"> </w:t>
      </w:r>
      <w:r>
        <w:rPr>
          <w:sz w:val="18"/>
          <w:szCs w:val="18"/>
        </w:rPr>
        <w:t>P</w:t>
      </w:r>
      <w:r w:rsidRPr="00E942AE">
        <w:rPr>
          <w:sz w:val="18"/>
          <w:szCs w:val="18"/>
        </w:rPr>
        <w:t>rivate Sector Fully-loaded Labor Rate per</w:t>
      </w:r>
      <w:r w:rsidRPr="00E942AE">
        <w:rPr>
          <w:sz w:val="18"/>
          <w:szCs w:val="18"/>
        </w:rPr>
        <w:t xml:space="preserve"> Hour = </w:t>
      </w:r>
      <w:r>
        <w:rPr>
          <w:sz w:val="18"/>
          <w:szCs w:val="18"/>
        </w:rPr>
        <w:t>Hourly w</w:t>
      </w:r>
      <w:r w:rsidRPr="00E942AE">
        <w:rPr>
          <w:sz w:val="18"/>
          <w:szCs w:val="18"/>
        </w:rPr>
        <w:t xml:space="preserve">age rate </w:t>
      </w:r>
      <w:r>
        <w:rPr>
          <w:sz w:val="18"/>
          <w:szCs w:val="18"/>
        </w:rPr>
        <w:t xml:space="preserve">multiplied by a factor of </w:t>
      </w:r>
      <w:r w:rsidRPr="00E942AE">
        <w:rPr>
          <w:sz w:val="18"/>
          <w:szCs w:val="18"/>
        </w:rPr>
        <w:t>1.4</w:t>
      </w:r>
      <w:r>
        <w:rPr>
          <w:sz w:val="18"/>
          <w:szCs w:val="18"/>
        </w:rPr>
        <w:t>4</w:t>
      </w:r>
      <w:r w:rsidRPr="00E942AE">
        <w:rPr>
          <w:sz w:val="18"/>
          <w:szCs w:val="18"/>
        </w:rPr>
        <w:t xml:space="preserve"> to account for </w:t>
      </w:r>
      <w:r>
        <w:rPr>
          <w:sz w:val="18"/>
          <w:szCs w:val="18"/>
        </w:rPr>
        <w:t xml:space="preserve">employee </w:t>
      </w:r>
      <w:r w:rsidRPr="00E942AE">
        <w:rPr>
          <w:sz w:val="18"/>
          <w:szCs w:val="18"/>
        </w:rPr>
        <w:t xml:space="preserve">benefit costs.  Per the most recent U.S. Department of Labor, Bureau of Labor Statistics, data for National Industry-Specific Occupational Employment and Wage </w:t>
      </w:r>
      <w:r w:rsidRPr="00E942AE">
        <w:rPr>
          <w:sz w:val="18"/>
          <w:szCs w:val="18"/>
        </w:rPr>
        <w:t>Estimates for NAICS 312</w:t>
      </w:r>
      <w:r w:rsidR="00654B9E">
        <w:rPr>
          <w:sz w:val="18"/>
          <w:szCs w:val="18"/>
        </w:rPr>
        <w:t>1</w:t>
      </w:r>
      <w:r w:rsidRPr="00E942AE">
        <w:rPr>
          <w:sz w:val="18"/>
          <w:szCs w:val="18"/>
        </w:rPr>
        <w:t xml:space="preserve">00—Beverage Manufacturing, the average fully-loaded labor rate per hour for </w:t>
      </w:r>
      <w:r>
        <w:rPr>
          <w:sz w:val="18"/>
          <w:szCs w:val="18"/>
        </w:rPr>
        <w:t>Accountants and Auditors is $5</w:t>
      </w:r>
      <w:r w:rsidR="00654B9E">
        <w:rPr>
          <w:sz w:val="18"/>
          <w:szCs w:val="18"/>
        </w:rPr>
        <w:t>9.04</w:t>
      </w:r>
      <w:r w:rsidR="00383DD8">
        <w:rPr>
          <w:sz w:val="18"/>
          <w:szCs w:val="18"/>
        </w:rPr>
        <w:t xml:space="preserve"> per </w:t>
      </w:r>
      <w:r w:rsidR="00654B9E">
        <w:rPr>
          <w:sz w:val="18"/>
          <w:szCs w:val="18"/>
        </w:rPr>
        <w:t>hour, based on an average wage of $41.00</w:t>
      </w:r>
      <w:r w:rsidR="00383DD8">
        <w:rPr>
          <w:sz w:val="18"/>
          <w:szCs w:val="18"/>
        </w:rPr>
        <w:t xml:space="preserve"> per </w:t>
      </w:r>
      <w:r w:rsidR="00654B9E">
        <w:rPr>
          <w:sz w:val="18"/>
          <w:szCs w:val="18"/>
        </w:rPr>
        <w:t xml:space="preserve">hour.  See </w:t>
      </w:r>
      <w:r w:rsidRPr="00654B9E" w:rsidR="00654B9E">
        <w:rPr>
          <w:i/>
          <w:iCs/>
          <w:sz w:val="18"/>
          <w:szCs w:val="18"/>
        </w:rPr>
        <w:t>https://www.bls.gov/oes/current/naics4_312100.htm</w:t>
      </w:r>
      <w:r w:rsidR="00654B9E">
        <w:rPr>
          <w:sz w:val="18"/>
          <w:szCs w:val="18"/>
        </w:rPr>
        <w:t xml:space="preserve">. </w:t>
      </w:r>
    </w:p>
  </w:footnote>
  <w:footnote w:id="5">
    <w:p w:rsidR="00CE3C8B" w:rsidRPr="00E942AE" w:rsidP="008C0694" w14:paraId="3C10B5BF" w14:textId="2A17A761">
      <w:pPr>
        <w:suppressAutoHyphens/>
        <w:ind w:firstLine="270"/>
        <w:rPr>
          <w:sz w:val="18"/>
          <w:szCs w:val="18"/>
        </w:rPr>
      </w:pPr>
      <w:r w:rsidRPr="007F2B09">
        <w:rPr>
          <w:rStyle w:val="FootnoteReference"/>
          <w:sz w:val="22"/>
          <w:szCs w:val="22"/>
        </w:rPr>
        <w:footnoteRef/>
      </w:r>
      <w:r w:rsidRPr="007F2B09">
        <w:rPr>
          <w:sz w:val="22"/>
          <w:szCs w:val="22"/>
        </w:rPr>
        <w:t xml:space="preserve"> </w:t>
      </w:r>
      <w:r>
        <w:rPr>
          <w:sz w:val="18"/>
          <w:szCs w:val="18"/>
        </w:rPr>
        <w:t>Federal</w:t>
      </w:r>
      <w:r>
        <w:rPr>
          <w:sz w:val="18"/>
          <w:szCs w:val="18"/>
        </w:rPr>
        <w:t xml:space="preserve"> Government </w:t>
      </w:r>
      <w:r w:rsidRPr="00E942AE">
        <w:rPr>
          <w:sz w:val="18"/>
          <w:szCs w:val="18"/>
        </w:rPr>
        <w:t xml:space="preserve">Fully-loaded Labor Rate per Hour = </w:t>
      </w:r>
      <w:r>
        <w:rPr>
          <w:sz w:val="18"/>
          <w:szCs w:val="18"/>
        </w:rPr>
        <w:t>Hourly w</w:t>
      </w:r>
      <w:r w:rsidRPr="00E942AE">
        <w:rPr>
          <w:sz w:val="18"/>
          <w:szCs w:val="18"/>
        </w:rPr>
        <w:t>age rate x 1.</w:t>
      </w:r>
      <w:r>
        <w:rPr>
          <w:sz w:val="18"/>
          <w:szCs w:val="18"/>
        </w:rPr>
        <w:t>63</w:t>
      </w:r>
      <w:r w:rsidRPr="00E942AE">
        <w:rPr>
          <w:sz w:val="18"/>
          <w:szCs w:val="18"/>
        </w:rPr>
        <w:t xml:space="preserve"> to account for benefit costs.  Per the </w:t>
      </w:r>
      <w:r>
        <w:rPr>
          <w:sz w:val="18"/>
          <w:szCs w:val="18"/>
        </w:rPr>
        <w:t xml:space="preserve">most recent Office of Personnel Management (OPM) wage data, the fully-loaded labor rates for the Cincinnati, Ohio, wage area are:  (1) GS–5, step </w:t>
      </w:r>
      <w:r>
        <w:rPr>
          <w:sz w:val="18"/>
          <w:szCs w:val="18"/>
        </w:rPr>
        <w:t>5, employee = $32.13</w:t>
      </w:r>
      <w:r w:rsidRPr="00E942AE">
        <w:rPr>
          <w:sz w:val="18"/>
          <w:szCs w:val="18"/>
        </w:rPr>
        <w:t xml:space="preserve"> ($</w:t>
      </w:r>
      <w:r>
        <w:rPr>
          <w:sz w:val="18"/>
          <w:szCs w:val="18"/>
        </w:rPr>
        <w:t xml:space="preserve">19.71 in </w:t>
      </w:r>
      <w:r w:rsidRPr="00E942AE">
        <w:rPr>
          <w:sz w:val="18"/>
          <w:szCs w:val="18"/>
        </w:rPr>
        <w:t>wages plus $</w:t>
      </w:r>
      <w:r>
        <w:rPr>
          <w:sz w:val="18"/>
          <w:szCs w:val="18"/>
        </w:rPr>
        <w:t>12.42</w:t>
      </w:r>
      <w:r w:rsidRPr="00E942AE">
        <w:rPr>
          <w:sz w:val="18"/>
          <w:szCs w:val="18"/>
        </w:rPr>
        <w:t xml:space="preserve"> in benefit costs)</w:t>
      </w:r>
      <w:r>
        <w:rPr>
          <w:sz w:val="18"/>
          <w:szCs w:val="18"/>
        </w:rPr>
        <w:t xml:space="preserve">; </w:t>
      </w:r>
      <w:r w:rsidR="00BB13A0">
        <w:rPr>
          <w:sz w:val="18"/>
          <w:szCs w:val="18"/>
        </w:rPr>
        <w:t xml:space="preserve">and </w:t>
      </w:r>
      <w:r>
        <w:rPr>
          <w:sz w:val="18"/>
          <w:szCs w:val="18"/>
        </w:rPr>
        <w:t xml:space="preserve">(2) GS–11, step 5, employee = </w:t>
      </w:r>
      <w:r w:rsidRPr="004A39E7">
        <w:rPr>
          <w:sz w:val="18"/>
          <w:szCs w:val="18"/>
        </w:rPr>
        <w:t>$</w:t>
      </w:r>
      <w:r>
        <w:rPr>
          <w:sz w:val="18"/>
          <w:szCs w:val="18"/>
        </w:rPr>
        <w:t>58.91</w:t>
      </w:r>
      <w:r w:rsidRPr="004A39E7">
        <w:rPr>
          <w:sz w:val="18"/>
          <w:szCs w:val="18"/>
        </w:rPr>
        <w:t xml:space="preserve"> ($</w:t>
      </w:r>
      <w:r>
        <w:rPr>
          <w:sz w:val="18"/>
          <w:szCs w:val="18"/>
        </w:rPr>
        <w:t xml:space="preserve">36.14 in </w:t>
      </w:r>
      <w:r w:rsidRPr="004A39E7">
        <w:rPr>
          <w:sz w:val="18"/>
          <w:szCs w:val="18"/>
        </w:rPr>
        <w:t>wages plus $</w:t>
      </w:r>
      <w:r>
        <w:rPr>
          <w:sz w:val="18"/>
          <w:szCs w:val="18"/>
        </w:rPr>
        <w:t>14.77 in benefit costs)</w:t>
      </w:r>
      <w:r w:rsidR="00BB13A0">
        <w:rPr>
          <w:sz w:val="18"/>
          <w:szCs w:val="18"/>
        </w:rPr>
        <w:t>.</w:t>
      </w:r>
      <w:r>
        <w:rPr>
          <w:sz w:val="18"/>
          <w:szCs w:val="18"/>
        </w:rPr>
        <w:t xml:space="preserve">  </w:t>
      </w:r>
      <w:r w:rsidRPr="00E942AE">
        <w:rPr>
          <w:sz w:val="18"/>
          <w:szCs w:val="18"/>
        </w:rPr>
        <w:t xml:space="preserve">See the </w:t>
      </w:r>
      <w:r>
        <w:rPr>
          <w:sz w:val="18"/>
          <w:szCs w:val="18"/>
        </w:rPr>
        <w:t>OPM website at</w:t>
      </w:r>
      <w:r w:rsidR="0093528A">
        <w:rPr>
          <w:sz w:val="18"/>
          <w:szCs w:val="18"/>
        </w:rPr>
        <w:t xml:space="preserve"> </w:t>
      </w:r>
      <w:r w:rsidRPr="0093528A" w:rsidR="0093528A">
        <w:rPr>
          <w:i/>
          <w:iCs/>
          <w:sz w:val="18"/>
          <w:szCs w:val="18"/>
        </w:rPr>
        <w:t>https://www.opm.gov/policy-data-oversight/pay-leave/salaries-wages/salary-tables/23Tables/html/CIN_h.aspx</w:t>
      </w:r>
      <w:r w:rsidR="0093528A">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7439" w:rsidP="00E538EA" w14:paraId="25C30405" w14:textId="77777777">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0C7439" w14:paraId="457DF6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7439" w:rsidRPr="007D3639" w:rsidP="007D3639" w14:paraId="5CDE0001" w14:textId="0E85AE1D">
    <w:pPr>
      <w:pStyle w:val="Header"/>
      <w:tabs>
        <w:tab w:val="clear" w:pos="4320"/>
        <w:tab w:val="clear" w:pos="8640"/>
      </w:tabs>
      <w:jc w:val="center"/>
      <w:rPr>
        <w:sz w:val="22"/>
        <w:szCs w:val="22"/>
      </w:rPr>
    </w:pPr>
    <w:r w:rsidRPr="007D3639">
      <w:rPr>
        <w:sz w:val="22"/>
        <w:szCs w:val="22"/>
      </w:rPr>
      <w:t xml:space="preserve">- </w:t>
    </w:r>
    <w:r w:rsidRPr="007D3639">
      <w:rPr>
        <w:sz w:val="22"/>
        <w:szCs w:val="22"/>
      </w:rPr>
      <w:fldChar w:fldCharType="begin"/>
    </w:r>
    <w:r w:rsidRPr="007D3639">
      <w:rPr>
        <w:sz w:val="22"/>
        <w:szCs w:val="22"/>
      </w:rPr>
      <w:instrText xml:space="preserve"> PAGE   \* MERGEFORMAT </w:instrText>
    </w:r>
    <w:r w:rsidRPr="007D3639">
      <w:rPr>
        <w:sz w:val="22"/>
        <w:szCs w:val="22"/>
      </w:rPr>
      <w:fldChar w:fldCharType="separate"/>
    </w:r>
    <w:r w:rsidR="00BB13A0">
      <w:rPr>
        <w:noProof/>
        <w:sz w:val="22"/>
        <w:szCs w:val="22"/>
      </w:rPr>
      <w:t>7</w:t>
    </w:r>
    <w:r w:rsidRPr="007D3639">
      <w:rPr>
        <w:noProof/>
        <w:sz w:val="22"/>
        <w:szCs w:val="22"/>
      </w:rPr>
      <w:fldChar w:fldCharType="end"/>
    </w:r>
    <w:r w:rsidRPr="007D3639">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54852"/>
    <w:multiLevelType w:val="hybridMultilevel"/>
    <w:tmpl w:val="96A6C6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755DDE"/>
    <w:multiLevelType w:val="hybridMultilevel"/>
    <w:tmpl w:val="8FF41C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A4699C"/>
    <w:multiLevelType w:val="hybridMultilevel"/>
    <w:tmpl w:val="EFFE8A40"/>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4D2EBF"/>
    <w:multiLevelType w:val="hybridMultilevel"/>
    <w:tmpl w:val="2F66AF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38F6AB3"/>
    <w:multiLevelType w:val="hybridMultilevel"/>
    <w:tmpl w:val="85B87D6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A2B133D"/>
    <w:multiLevelType w:val="hybridMultilevel"/>
    <w:tmpl w:val="91A00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EFF4F9A"/>
    <w:multiLevelType w:val="hybridMultilevel"/>
    <w:tmpl w:val="2E3287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4981E63"/>
    <w:multiLevelType w:val="hybridMultilevel"/>
    <w:tmpl w:val="48EE2F0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59973EDA"/>
    <w:multiLevelType w:val="hybridMultilevel"/>
    <w:tmpl w:val="08DAD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A87215"/>
    <w:multiLevelType w:val="hybridMultilevel"/>
    <w:tmpl w:val="9E640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2433030">
    <w:abstractNumId w:val="2"/>
  </w:num>
  <w:num w:numId="2" w16cid:durableId="26879848">
    <w:abstractNumId w:val="8"/>
  </w:num>
  <w:num w:numId="3" w16cid:durableId="1660115809">
    <w:abstractNumId w:val="9"/>
  </w:num>
  <w:num w:numId="4" w16cid:durableId="124199641">
    <w:abstractNumId w:val="10"/>
  </w:num>
  <w:num w:numId="5" w16cid:durableId="54667629">
    <w:abstractNumId w:val="7"/>
  </w:num>
  <w:num w:numId="6" w16cid:durableId="1497573832">
    <w:abstractNumId w:val="1"/>
  </w:num>
  <w:num w:numId="7" w16cid:durableId="367529901">
    <w:abstractNumId w:val="0"/>
  </w:num>
  <w:num w:numId="8" w16cid:durableId="910038867">
    <w:abstractNumId w:val="4"/>
  </w:num>
  <w:num w:numId="9" w16cid:durableId="1186021510">
    <w:abstractNumId w:val="3"/>
  </w:num>
  <w:num w:numId="10" w16cid:durableId="1206330048">
    <w:abstractNumId w:val="5"/>
  </w:num>
  <w:num w:numId="11" w16cid:durableId="1137183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00"/>
  <w:drawingGridVerticalSpacing w:val="163"/>
  <w:displayHorizontalDrawingGridEvery w:val="0"/>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2D"/>
    <w:rsid w:val="000112FC"/>
    <w:rsid w:val="000117FE"/>
    <w:rsid w:val="000144F1"/>
    <w:rsid w:val="00016AFD"/>
    <w:rsid w:val="00017969"/>
    <w:rsid w:val="00020524"/>
    <w:rsid w:val="000216BB"/>
    <w:rsid w:val="00024888"/>
    <w:rsid w:val="00032B89"/>
    <w:rsid w:val="00035ABF"/>
    <w:rsid w:val="0005682A"/>
    <w:rsid w:val="000579BE"/>
    <w:rsid w:val="0006138F"/>
    <w:rsid w:val="00065515"/>
    <w:rsid w:val="000759D5"/>
    <w:rsid w:val="00075F45"/>
    <w:rsid w:val="00082CAB"/>
    <w:rsid w:val="000A5EC1"/>
    <w:rsid w:val="000B0707"/>
    <w:rsid w:val="000B5090"/>
    <w:rsid w:val="000B6AC6"/>
    <w:rsid w:val="000C2C94"/>
    <w:rsid w:val="000C7439"/>
    <w:rsid w:val="000E0641"/>
    <w:rsid w:val="000E4F00"/>
    <w:rsid w:val="000E59C2"/>
    <w:rsid w:val="000E697C"/>
    <w:rsid w:val="000F461A"/>
    <w:rsid w:val="000F7ACE"/>
    <w:rsid w:val="001034D4"/>
    <w:rsid w:val="001051F8"/>
    <w:rsid w:val="001156D5"/>
    <w:rsid w:val="00122B26"/>
    <w:rsid w:val="001238E2"/>
    <w:rsid w:val="00123976"/>
    <w:rsid w:val="001347B2"/>
    <w:rsid w:val="00141520"/>
    <w:rsid w:val="001446D6"/>
    <w:rsid w:val="001506DB"/>
    <w:rsid w:val="0015070A"/>
    <w:rsid w:val="00167ECC"/>
    <w:rsid w:val="00172E94"/>
    <w:rsid w:val="0018085B"/>
    <w:rsid w:val="00194CD8"/>
    <w:rsid w:val="001A3B47"/>
    <w:rsid w:val="001A667B"/>
    <w:rsid w:val="001A669C"/>
    <w:rsid w:val="001B45D6"/>
    <w:rsid w:val="001B787D"/>
    <w:rsid w:val="001C4D7F"/>
    <w:rsid w:val="001D5FC3"/>
    <w:rsid w:val="001E525F"/>
    <w:rsid w:val="001F34EF"/>
    <w:rsid w:val="001F656D"/>
    <w:rsid w:val="002025CA"/>
    <w:rsid w:val="00204D46"/>
    <w:rsid w:val="002107F9"/>
    <w:rsid w:val="00214081"/>
    <w:rsid w:val="00217FF5"/>
    <w:rsid w:val="00224692"/>
    <w:rsid w:val="00244F91"/>
    <w:rsid w:val="0025133D"/>
    <w:rsid w:val="00280433"/>
    <w:rsid w:val="0028189F"/>
    <w:rsid w:val="00285583"/>
    <w:rsid w:val="002960FA"/>
    <w:rsid w:val="002A10C5"/>
    <w:rsid w:val="002A157B"/>
    <w:rsid w:val="002A483D"/>
    <w:rsid w:val="002A600B"/>
    <w:rsid w:val="002A7CC5"/>
    <w:rsid w:val="002B5317"/>
    <w:rsid w:val="002B5ED1"/>
    <w:rsid w:val="002E00FC"/>
    <w:rsid w:val="002F38E2"/>
    <w:rsid w:val="002F5774"/>
    <w:rsid w:val="00301693"/>
    <w:rsid w:val="00304556"/>
    <w:rsid w:val="00307351"/>
    <w:rsid w:val="003127DD"/>
    <w:rsid w:val="00322562"/>
    <w:rsid w:val="00325AB0"/>
    <w:rsid w:val="003260F4"/>
    <w:rsid w:val="0033494E"/>
    <w:rsid w:val="003401A2"/>
    <w:rsid w:val="003457EB"/>
    <w:rsid w:val="003573D7"/>
    <w:rsid w:val="00357ED3"/>
    <w:rsid w:val="0036075D"/>
    <w:rsid w:val="00362B3A"/>
    <w:rsid w:val="00365E63"/>
    <w:rsid w:val="003702A4"/>
    <w:rsid w:val="0037462A"/>
    <w:rsid w:val="0037731B"/>
    <w:rsid w:val="0037759F"/>
    <w:rsid w:val="00377DB4"/>
    <w:rsid w:val="00383DD8"/>
    <w:rsid w:val="0039567E"/>
    <w:rsid w:val="003A6614"/>
    <w:rsid w:val="003B0877"/>
    <w:rsid w:val="003B1D46"/>
    <w:rsid w:val="003B7C65"/>
    <w:rsid w:val="003C02AF"/>
    <w:rsid w:val="003C4517"/>
    <w:rsid w:val="003D3A3A"/>
    <w:rsid w:val="003D5536"/>
    <w:rsid w:val="003F0891"/>
    <w:rsid w:val="003F2FED"/>
    <w:rsid w:val="003F32DE"/>
    <w:rsid w:val="0040472E"/>
    <w:rsid w:val="00412645"/>
    <w:rsid w:val="00412924"/>
    <w:rsid w:val="004176FF"/>
    <w:rsid w:val="004208C3"/>
    <w:rsid w:val="00422598"/>
    <w:rsid w:val="004253F8"/>
    <w:rsid w:val="00447A9C"/>
    <w:rsid w:val="00470DA4"/>
    <w:rsid w:val="00473335"/>
    <w:rsid w:val="00473E64"/>
    <w:rsid w:val="0047438E"/>
    <w:rsid w:val="004748B2"/>
    <w:rsid w:val="004829D3"/>
    <w:rsid w:val="004A39E7"/>
    <w:rsid w:val="004A6904"/>
    <w:rsid w:val="004B34BA"/>
    <w:rsid w:val="004B476A"/>
    <w:rsid w:val="004B62D7"/>
    <w:rsid w:val="004E181A"/>
    <w:rsid w:val="004E406D"/>
    <w:rsid w:val="004E5039"/>
    <w:rsid w:val="004F2CC1"/>
    <w:rsid w:val="004F310B"/>
    <w:rsid w:val="0051465E"/>
    <w:rsid w:val="005254AB"/>
    <w:rsid w:val="0053074F"/>
    <w:rsid w:val="00533D2D"/>
    <w:rsid w:val="005442F1"/>
    <w:rsid w:val="00545D85"/>
    <w:rsid w:val="00546E43"/>
    <w:rsid w:val="00553A23"/>
    <w:rsid w:val="0055605C"/>
    <w:rsid w:val="00557E93"/>
    <w:rsid w:val="00562A43"/>
    <w:rsid w:val="00574C41"/>
    <w:rsid w:val="005924FF"/>
    <w:rsid w:val="005949DD"/>
    <w:rsid w:val="00595613"/>
    <w:rsid w:val="00597C08"/>
    <w:rsid w:val="005B439F"/>
    <w:rsid w:val="005C0194"/>
    <w:rsid w:val="005D15A3"/>
    <w:rsid w:val="005D18DF"/>
    <w:rsid w:val="005D5465"/>
    <w:rsid w:val="005D68A2"/>
    <w:rsid w:val="005E0E8D"/>
    <w:rsid w:val="005F4ABC"/>
    <w:rsid w:val="005F5544"/>
    <w:rsid w:val="00611F20"/>
    <w:rsid w:val="00626C37"/>
    <w:rsid w:val="00645E4B"/>
    <w:rsid w:val="00646954"/>
    <w:rsid w:val="00650FF1"/>
    <w:rsid w:val="006544D7"/>
    <w:rsid w:val="006547B9"/>
    <w:rsid w:val="00654B9E"/>
    <w:rsid w:val="00662B8F"/>
    <w:rsid w:val="00662F41"/>
    <w:rsid w:val="006677C9"/>
    <w:rsid w:val="00672B07"/>
    <w:rsid w:val="0069027B"/>
    <w:rsid w:val="00695B5F"/>
    <w:rsid w:val="00696C9F"/>
    <w:rsid w:val="006A4D80"/>
    <w:rsid w:val="006A5448"/>
    <w:rsid w:val="006B0CB8"/>
    <w:rsid w:val="006B344A"/>
    <w:rsid w:val="006C05A0"/>
    <w:rsid w:val="006C10F5"/>
    <w:rsid w:val="006C65D6"/>
    <w:rsid w:val="006D2E41"/>
    <w:rsid w:val="006D3CD1"/>
    <w:rsid w:val="006E002C"/>
    <w:rsid w:val="006E7525"/>
    <w:rsid w:val="006F2FAD"/>
    <w:rsid w:val="006F4383"/>
    <w:rsid w:val="006F4921"/>
    <w:rsid w:val="006F543C"/>
    <w:rsid w:val="006F5AD4"/>
    <w:rsid w:val="00702F20"/>
    <w:rsid w:val="00704D3D"/>
    <w:rsid w:val="00704F05"/>
    <w:rsid w:val="00705135"/>
    <w:rsid w:val="007416A0"/>
    <w:rsid w:val="007434C4"/>
    <w:rsid w:val="00755414"/>
    <w:rsid w:val="0076622C"/>
    <w:rsid w:val="0076718E"/>
    <w:rsid w:val="00787557"/>
    <w:rsid w:val="007909DF"/>
    <w:rsid w:val="00794006"/>
    <w:rsid w:val="007A06BC"/>
    <w:rsid w:val="007A5D4B"/>
    <w:rsid w:val="007A7210"/>
    <w:rsid w:val="007B26D1"/>
    <w:rsid w:val="007B6ADE"/>
    <w:rsid w:val="007B6B37"/>
    <w:rsid w:val="007C1D76"/>
    <w:rsid w:val="007C1DDF"/>
    <w:rsid w:val="007D3639"/>
    <w:rsid w:val="007E2915"/>
    <w:rsid w:val="007F1181"/>
    <w:rsid w:val="007F2786"/>
    <w:rsid w:val="007F2B09"/>
    <w:rsid w:val="007F33E1"/>
    <w:rsid w:val="007F4517"/>
    <w:rsid w:val="007F7D48"/>
    <w:rsid w:val="008010D8"/>
    <w:rsid w:val="00813D2C"/>
    <w:rsid w:val="0081564A"/>
    <w:rsid w:val="008204A8"/>
    <w:rsid w:val="008263C8"/>
    <w:rsid w:val="00837B67"/>
    <w:rsid w:val="008510AD"/>
    <w:rsid w:val="00851251"/>
    <w:rsid w:val="008519C9"/>
    <w:rsid w:val="00855327"/>
    <w:rsid w:val="00855796"/>
    <w:rsid w:val="00855892"/>
    <w:rsid w:val="00855F18"/>
    <w:rsid w:val="00860E07"/>
    <w:rsid w:val="008646E8"/>
    <w:rsid w:val="00870E7B"/>
    <w:rsid w:val="008820FE"/>
    <w:rsid w:val="00883F7A"/>
    <w:rsid w:val="00885F8E"/>
    <w:rsid w:val="00890FF7"/>
    <w:rsid w:val="00894AAE"/>
    <w:rsid w:val="00897AF0"/>
    <w:rsid w:val="008A45CF"/>
    <w:rsid w:val="008B0F44"/>
    <w:rsid w:val="008B4DB4"/>
    <w:rsid w:val="008B59A1"/>
    <w:rsid w:val="008C0694"/>
    <w:rsid w:val="008C13CA"/>
    <w:rsid w:val="008D401A"/>
    <w:rsid w:val="008E40E7"/>
    <w:rsid w:val="008E6F06"/>
    <w:rsid w:val="009015D1"/>
    <w:rsid w:val="00901609"/>
    <w:rsid w:val="00913B6B"/>
    <w:rsid w:val="00915B29"/>
    <w:rsid w:val="0093146C"/>
    <w:rsid w:val="0093528A"/>
    <w:rsid w:val="00935A31"/>
    <w:rsid w:val="00944229"/>
    <w:rsid w:val="00951D23"/>
    <w:rsid w:val="00954179"/>
    <w:rsid w:val="00961B34"/>
    <w:rsid w:val="0096401A"/>
    <w:rsid w:val="009700E5"/>
    <w:rsid w:val="00974C6F"/>
    <w:rsid w:val="0097624E"/>
    <w:rsid w:val="0098343D"/>
    <w:rsid w:val="00993E1F"/>
    <w:rsid w:val="009A3E9F"/>
    <w:rsid w:val="009A5EE0"/>
    <w:rsid w:val="009B07C2"/>
    <w:rsid w:val="009C1449"/>
    <w:rsid w:val="009C7F85"/>
    <w:rsid w:val="00A00427"/>
    <w:rsid w:val="00A02E49"/>
    <w:rsid w:val="00A03AB4"/>
    <w:rsid w:val="00A0549F"/>
    <w:rsid w:val="00A0703F"/>
    <w:rsid w:val="00A2002B"/>
    <w:rsid w:val="00A207DE"/>
    <w:rsid w:val="00A22743"/>
    <w:rsid w:val="00A30020"/>
    <w:rsid w:val="00A52A63"/>
    <w:rsid w:val="00A563B3"/>
    <w:rsid w:val="00A60D7F"/>
    <w:rsid w:val="00A674E4"/>
    <w:rsid w:val="00A72AE6"/>
    <w:rsid w:val="00A73002"/>
    <w:rsid w:val="00A81C18"/>
    <w:rsid w:val="00A90285"/>
    <w:rsid w:val="00A92468"/>
    <w:rsid w:val="00AA3684"/>
    <w:rsid w:val="00AA55C8"/>
    <w:rsid w:val="00AB257E"/>
    <w:rsid w:val="00AC7775"/>
    <w:rsid w:val="00AC79E2"/>
    <w:rsid w:val="00AD3A1A"/>
    <w:rsid w:val="00AE41DC"/>
    <w:rsid w:val="00AE7BF7"/>
    <w:rsid w:val="00AF0766"/>
    <w:rsid w:val="00AF40E6"/>
    <w:rsid w:val="00AF4112"/>
    <w:rsid w:val="00AF7560"/>
    <w:rsid w:val="00B17D71"/>
    <w:rsid w:val="00B20708"/>
    <w:rsid w:val="00B33781"/>
    <w:rsid w:val="00B33886"/>
    <w:rsid w:val="00B34762"/>
    <w:rsid w:val="00B425A9"/>
    <w:rsid w:val="00B470D0"/>
    <w:rsid w:val="00B476E3"/>
    <w:rsid w:val="00B52CF7"/>
    <w:rsid w:val="00B56A0E"/>
    <w:rsid w:val="00B63F28"/>
    <w:rsid w:val="00B6579E"/>
    <w:rsid w:val="00B6705A"/>
    <w:rsid w:val="00B7109A"/>
    <w:rsid w:val="00B721C6"/>
    <w:rsid w:val="00B743A7"/>
    <w:rsid w:val="00B77F09"/>
    <w:rsid w:val="00B81FFD"/>
    <w:rsid w:val="00B931DD"/>
    <w:rsid w:val="00B96C16"/>
    <w:rsid w:val="00BB13A0"/>
    <w:rsid w:val="00BB5025"/>
    <w:rsid w:val="00BC13F2"/>
    <w:rsid w:val="00BD0054"/>
    <w:rsid w:val="00BE740F"/>
    <w:rsid w:val="00BF3FEA"/>
    <w:rsid w:val="00C00E52"/>
    <w:rsid w:val="00C04539"/>
    <w:rsid w:val="00C04C3A"/>
    <w:rsid w:val="00C0521F"/>
    <w:rsid w:val="00C125F7"/>
    <w:rsid w:val="00C23BB6"/>
    <w:rsid w:val="00C34C46"/>
    <w:rsid w:val="00C378F5"/>
    <w:rsid w:val="00C417F8"/>
    <w:rsid w:val="00C43682"/>
    <w:rsid w:val="00C500F8"/>
    <w:rsid w:val="00C54AF0"/>
    <w:rsid w:val="00C633C5"/>
    <w:rsid w:val="00C65D1A"/>
    <w:rsid w:val="00C668D1"/>
    <w:rsid w:val="00C71D74"/>
    <w:rsid w:val="00C92A32"/>
    <w:rsid w:val="00CA083A"/>
    <w:rsid w:val="00CB2A70"/>
    <w:rsid w:val="00CB39C8"/>
    <w:rsid w:val="00CB51D0"/>
    <w:rsid w:val="00CC0F97"/>
    <w:rsid w:val="00CD2F7C"/>
    <w:rsid w:val="00CD40F1"/>
    <w:rsid w:val="00CE1A2B"/>
    <w:rsid w:val="00CE1C93"/>
    <w:rsid w:val="00CE3C8B"/>
    <w:rsid w:val="00CE40EA"/>
    <w:rsid w:val="00D120A8"/>
    <w:rsid w:val="00D162F8"/>
    <w:rsid w:val="00D21388"/>
    <w:rsid w:val="00D22E1D"/>
    <w:rsid w:val="00D300AC"/>
    <w:rsid w:val="00D31438"/>
    <w:rsid w:val="00D371B5"/>
    <w:rsid w:val="00D54365"/>
    <w:rsid w:val="00D56C9B"/>
    <w:rsid w:val="00D74619"/>
    <w:rsid w:val="00D81BDA"/>
    <w:rsid w:val="00D86F43"/>
    <w:rsid w:val="00D87074"/>
    <w:rsid w:val="00DA1AF0"/>
    <w:rsid w:val="00DB0428"/>
    <w:rsid w:val="00DB24FE"/>
    <w:rsid w:val="00DB2843"/>
    <w:rsid w:val="00DB4D68"/>
    <w:rsid w:val="00DB5EB5"/>
    <w:rsid w:val="00DC4E6C"/>
    <w:rsid w:val="00DC7779"/>
    <w:rsid w:val="00DF0863"/>
    <w:rsid w:val="00DF355B"/>
    <w:rsid w:val="00E01404"/>
    <w:rsid w:val="00E107E9"/>
    <w:rsid w:val="00E10B01"/>
    <w:rsid w:val="00E34F09"/>
    <w:rsid w:val="00E3509A"/>
    <w:rsid w:val="00E35B19"/>
    <w:rsid w:val="00E461C6"/>
    <w:rsid w:val="00E538EA"/>
    <w:rsid w:val="00E80D80"/>
    <w:rsid w:val="00E86A2D"/>
    <w:rsid w:val="00E942AE"/>
    <w:rsid w:val="00EB574C"/>
    <w:rsid w:val="00EB5F47"/>
    <w:rsid w:val="00EB7235"/>
    <w:rsid w:val="00EC0C3F"/>
    <w:rsid w:val="00EC3142"/>
    <w:rsid w:val="00ED7A79"/>
    <w:rsid w:val="00EE201E"/>
    <w:rsid w:val="00EE505C"/>
    <w:rsid w:val="00EF7F06"/>
    <w:rsid w:val="00F03BB6"/>
    <w:rsid w:val="00F0454E"/>
    <w:rsid w:val="00F06C27"/>
    <w:rsid w:val="00F12E06"/>
    <w:rsid w:val="00F1713B"/>
    <w:rsid w:val="00F2060A"/>
    <w:rsid w:val="00F2430A"/>
    <w:rsid w:val="00F36B43"/>
    <w:rsid w:val="00F45B08"/>
    <w:rsid w:val="00F45B41"/>
    <w:rsid w:val="00F63D1F"/>
    <w:rsid w:val="00F65F89"/>
    <w:rsid w:val="00F66A72"/>
    <w:rsid w:val="00F7115D"/>
    <w:rsid w:val="00F71C4E"/>
    <w:rsid w:val="00F7306A"/>
    <w:rsid w:val="00F746A1"/>
    <w:rsid w:val="00F77DC3"/>
    <w:rsid w:val="00F9081A"/>
    <w:rsid w:val="00F90E48"/>
    <w:rsid w:val="00F97D3E"/>
    <w:rsid w:val="00FA20EC"/>
    <w:rsid w:val="00FB0A34"/>
    <w:rsid w:val="00FB53FB"/>
    <w:rsid w:val="00FB7858"/>
    <w:rsid w:val="00FC0B83"/>
    <w:rsid w:val="00FD7913"/>
    <w:rsid w:val="00FF64A9"/>
    <w:rsid w:val="00FF6C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F2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D2D"/>
    <w:pPr>
      <w:widowControl w:val="0"/>
      <w:autoSpaceDE w:val="0"/>
      <w:autoSpaceDN w:val="0"/>
      <w:adjustRightInd w:val="0"/>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character" w:styleId="FollowedHyperlink">
    <w:name w:val="FollowedHyperlink"/>
    <w:uiPriority w:val="99"/>
    <w:semiHidden/>
    <w:unhideWhenUsed/>
    <w:rsid w:val="00915B29"/>
    <w:rPr>
      <w:color w:val="954F72"/>
      <w:u w:val="single"/>
    </w:rPr>
  </w:style>
  <w:style w:type="paragraph" w:styleId="FootnoteText">
    <w:name w:val="footnote text"/>
    <w:basedOn w:val="Normal"/>
    <w:link w:val="FootnoteTextChar"/>
    <w:uiPriority w:val="99"/>
    <w:semiHidden/>
    <w:unhideWhenUsed/>
    <w:rsid w:val="00915B29"/>
  </w:style>
  <w:style w:type="character" w:customStyle="1" w:styleId="FootnoteTextChar">
    <w:name w:val="Footnote Text Char"/>
    <w:link w:val="FootnoteText"/>
    <w:uiPriority w:val="99"/>
    <w:semiHidden/>
    <w:rsid w:val="00915B29"/>
    <w:rPr>
      <w:rFonts w:ascii="Arial" w:eastAsia="Times New Roman" w:hAnsi="Arial" w:cs="Arial"/>
    </w:rPr>
  </w:style>
  <w:style w:type="character" w:styleId="FootnoteReference">
    <w:name w:val="footnote reference"/>
    <w:uiPriority w:val="99"/>
    <w:unhideWhenUsed/>
    <w:rsid w:val="00915B29"/>
    <w:rPr>
      <w:vertAlign w:val="superscript"/>
    </w:rPr>
  </w:style>
  <w:style w:type="table" w:customStyle="1" w:styleId="TableGrid1">
    <w:name w:val="Table Grid1"/>
    <w:basedOn w:val="TableNormal"/>
    <w:next w:val="TableGrid"/>
    <w:uiPriority w:val="39"/>
    <w:rsid w:val="000216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B34"/>
    <w:pPr>
      <w:ind w:left="720"/>
      <w:contextualSpacing/>
    </w:pPr>
  </w:style>
  <w:style w:type="table" w:customStyle="1" w:styleId="TableGrid11">
    <w:name w:val="Table Grid11"/>
    <w:basedOn w:val="TableNormal"/>
    <w:next w:val="TableGrid"/>
    <w:uiPriority w:val="39"/>
    <w:rsid w:val="00CE3C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59C2"/>
    <w:rPr>
      <w:color w:val="605E5C"/>
      <w:shd w:val="clear" w:color="auto" w:fill="E1DFDD"/>
    </w:rPr>
  </w:style>
  <w:style w:type="table" w:customStyle="1" w:styleId="TableGrid111">
    <w:name w:val="Table Grid111"/>
    <w:basedOn w:val="TableNormal"/>
    <w:next w:val="TableGrid"/>
    <w:uiPriority w:val="39"/>
    <w:rsid w:val="009352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2B8F"/>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tb.gov/foia"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12762-972F-4326-9887-BF27AD23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4343</Words>
  <Characters>24759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2023-10-27T16:04:00Z</dcterms:created>
  <dcterms:modified xsi:type="dcterms:W3CDTF">2023-10-27T16:04:00Z</dcterms:modified>
</cp:coreProperties>
</file>